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268EF" w14:textId="77777777" w:rsidR="00FC2F8E" w:rsidRDefault="00FC2F8E">
      <w:pPr>
        <w:spacing w:before="100" w:beforeAutospacing="1" w:after="100" w:afterAutospacing="1"/>
        <w:jc w:val="center"/>
        <w:rPr>
          <w:rFonts w:ascii="Times New Roman" w:hAnsi="Times New Roman" w:cs="Times New Roman"/>
          <w:b/>
          <w:bCs/>
          <w:sz w:val="24"/>
          <w:szCs w:val="24"/>
        </w:rPr>
      </w:pPr>
    </w:p>
    <w:p w14:paraId="75F060FA" w14:textId="0FC6EA29" w:rsidR="00FC2F8E" w:rsidRPr="00297679" w:rsidRDefault="00AE16DB">
      <w:pPr>
        <w:spacing w:before="100" w:beforeAutospacing="1" w:after="100" w:afterAutospacing="1"/>
        <w:rPr>
          <w:rFonts w:ascii="Times New Roman" w:hAnsi="Times New Roman" w:cs="Times New Roman"/>
          <w:b/>
          <w:bCs/>
          <w:sz w:val="24"/>
          <w:szCs w:val="24"/>
        </w:rPr>
      </w:pPr>
      <w:r w:rsidRPr="00297679">
        <w:rPr>
          <w:rFonts w:ascii="Times New Roman"/>
          <w:b/>
          <w:sz w:val="24"/>
          <w:szCs w:val="24"/>
        </w:rPr>
        <w:t>HEALTH WORKERS' EXPERIENCE IN WOMEN HEALTH EDUCATION DURING</w:t>
      </w:r>
      <w:r w:rsidR="008B06DB">
        <w:rPr>
          <w:rFonts w:ascii="Times New Roman"/>
          <w:b/>
          <w:sz w:val="24"/>
          <w:szCs w:val="24"/>
        </w:rPr>
        <w:t xml:space="preserve"> </w:t>
      </w:r>
      <w:r w:rsidR="008B06DB" w:rsidRPr="008B06DB">
        <w:rPr>
          <w:rFonts w:ascii="Times New Roman"/>
          <w:b/>
          <w:sz w:val="24"/>
          <w:szCs w:val="24"/>
        </w:rPr>
        <w:t>ATTENDING</w:t>
      </w:r>
      <w:r w:rsidR="008B06DB" w:rsidRPr="00297679">
        <w:rPr>
          <w:rFonts w:ascii="Times New Roman"/>
          <w:b/>
          <w:sz w:val="24"/>
          <w:szCs w:val="24"/>
        </w:rPr>
        <w:t xml:space="preserve"> </w:t>
      </w:r>
      <w:r w:rsidRPr="00297679">
        <w:rPr>
          <w:rFonts w:ascii="Times New Roman"/>
          <w:b/>
          <w:sz w:val="24"/>
          <w:szCs w:val="24"/>
        </w:rPr>
        <w:t>ANTENATAL AND IMMUNIZATION CLINICS IN AEFUTHA EBONYI STATE</w:t>
      </w:r>
      <w:r w:rsidR="0087097F" w:rsidRPr="00297679">
        <w:rPr>
          <w:rFonts w:ascii="Times New Roman"/>
          <w:b/>
          <w:sz w:val="24"/>
          <w:szCs w:val="24"/>
        </w:rPr>
        <w:t>, NIGERIA</w:t>
      </w:r>
    </w:p>
    <w:p w14:paraId="21C553F4" w14:textId="77777777" w:rsidR="00FC2F8E" w:rsidRPr="00297679" w:rsidRDefault="00FC2F8E">
      <w:pPr>
        <w:spacing w:before="100" w:beforeAutospacing="1" w:after="100" w:afterAutospacing="1"/>
        <w:jc w:val="center"/>
        <w:rPr>
          <w:rFonts w:ascii="Times New Roman" w:hAnsi="Times New Roman" w:cs="Times New Roman"/>
          <w:b/>
          <w:bCs/>
          <w:sz w:val="24"/>
          <w:szCs w:val="24"/>
        </w:rPr>
      </w:pPr>
    </w:p>
    <w:p w14:paraId="2A32784E" w14:textId="77777777" w:rsidR="005F181E" w:rsidRPr="00297679" w:rsidRDefault="005F181E">
      <w:pPr>
        <w:spacing w:before="100" w:beforeAutospacing="1" w:after="100" w:afterAutospacing="1"/>
        <w:rPr>
          <w:rFonts w:ascii="Times New Roman" w:hAnsi="Times New Roman" w:cs="Times New Roman"/>
          <w:b/>
          <w:bCs/>
          <w:sz w:val="24"/>
          <w:szCs w:val="24"/>
        </w:rPr>
      </w:pPr>
    </w:p>
    <w:p w14:paraId="6D3E18CE" w14:textId="77777777" w:rsidR="00D53ABA" w:rsidRPr="00297679" w:rsidRDefault="00D53ABA">
      <w:pPr>
        <w:spacing w:before="100" w:beforeAutospacing="1" w:after="100" w:afterAutospacing="1"/>
        <w:rPr>
          <w:rFonts w:ascii="Times New Roman" w:hAnsi="Times New Roman" w:cs="Times New Roman"/>
          <w:bCs/>
          <w:i/>
          <w:sz w:val="24"/>
          <w:szCs w:val="24"/>
        </w:rPr>
      </w:pPr>
    </w:p>
    <w:p w14:paraId="024A9A30" w14:textId="77777777" w:rsidR="00FC2F8E" w:rsidRPr="00297679" w:rsidRDefault="00AE16DB">
      <w:pPr>
        <w:pStyle w:val="Heading1"/>
        <w:spacing w:line="240" w:lineRule="auto"/>
      </w:pPr>
      <w:bookmarkStart w:id="0" w:name="_Toc5760"/>
      <w:r w:rsidRPr="00297679">
        <w:rPr>
          <w:szCs w:val="24"/>
        </w:rPr>
        <w:t>ABSTRACT</w:t>
      </w:r>
      <w:bookmarkEnd w:id="0"/>
      <w:r w:rsidRPr="00297679">
        <w:rPr>
          <w:szCs w:val="24"/>
        </w:rPr>
        <w:t xml:space="preserve">   </w:t>
      </w:r>
    </w:p>
    <w:p w14:paraId="1B2FAFAA" w14:textId="224B2E21" w:rsidR="003C0592" w:rsidRDefault="003C0592">
      <w:pPr>
        <w:spacing w:before="100" w:beforeAutospacing="1" w:after="100" w:afterAutospacing="1"/>
        <w:jc w:val="both"/>
      </w:pPr>
      <w:r w:rsidRPr="00A97251">
        <w:rPr>
          <w:b/>
          <w:bCs/>
        </w:rPr>
        <w:t>Background</w:t>
      </w:r>
      <w:r>
        <w:t xml:space="preserve">: Women’s health education during antenatal and </w:t>
      </w:r>
      <w:proofErr w:type="spellStart"/>
      <w:r>
        <w:t>immunisation</w:t>
      </w:r>
      <w:proofErr w:type="spellEnd"/>
      <w:r>
        <w:t xml:space="preserve"> clinics is an important component of maternal and child health service delivery. Health workers are central to this process, yet their experiences in providing education within tertiary clinical settings require context-specific understanding.</w:t>
      </w:r>
      <w:r w:rsidR="00A97251">
        <w:t xml:space="preserve"> </w:t>
      </w:r>
      <w:r w:rsidR="00A97251" w:rsidRPr="00A97251">
        <w:rPr>
          <w:b/>
          <w:bCs/>
        </w:rPr>
        <w:t>Aim</w:t>
      </w:r>
      <w:r w:rsidR="00A97251">
        <w:t>:</w:t>
      </w:r>
      <w:r>
        <w:t xml:space="preserve"> This study explored health workers’ experiences in delivering women’s health education during antenatal and </w:t>
      </w:r>
      <w:proofErr w:type="spellStart"/>
      <w:r>
        <w:t>immunisation</w:t>
      </w:r>
      <w:proofErr w:type="spellEnd"/>
      <w:r>
        <w:t xml:space="preserve"> clinics at Alex Ekwueme Federal University Teaching Hospital </w:t>
      </w:r>
      <w:proofErr w:type="spellStart"/>
      <w:r>
        <w:t>Abakaliki</w:t>
      </w:r>
      <w:proofErr w:type="spellEnd"/>
      <w:r>
        <w:t xml:space="preserve">, Ebonyi State, Nigeria. </w:t>
      </w:r>
      <w:r w:rsidRPr="00A97251">
        <w:rPr>
          <w:b/>
          <w:bCs/>
        </w:rPr>
        <w:t>Methods</w:t>
      </w:r>
      <w:r>
        <w:t xml:space="preserve">: A mixed-methods design was adopted. Quantitative data were collected from 79 eligible health workers using a census approach, while qualitative data were obtained through key informant interviews conducted until saturation. Quantitative data were </w:t>
      </w:r>
      <w:proofErr w:type="spellStart"/>
      <w:r>
        <w:t>analysed</w:t>
      </w:r>
      <w:proofErr w:type="spellEnd"/>
      <w:r>
        <w:t xml:space="preserve"> using IBM SPSS Version 30, and qualitative data were </w:t>
      </w:r>
      <w:proofErr w:type="spellStart"/>
      <w:r>
        <w:t>analysed</w:t>
      </w:r>
      <w:proofErr w:type="spellEnd"/>
      <w:r>
        <w:t xml:space="preserve"> thematically with NVIVO 15. </w:t>
      </w:r>
      <w:r w:rsidRPr="00A97251">
        <w:rPr>
          <w:b/>
          <w:bCs/>
        </w:rPr>
        <w:t>Results</w:t>
      </w:r>
      <w:r>
        <w:t xml:space="preserve">: Most respondents reported confidence and fulfilment in delivering women’s health education. Specifically, 51.3% strongly agreed and 27.6% agreed that they felt confident, while 48.7% strongly agreed and 39.5% agreed that they felt fulfilled. Reported challenges included heavy workload, staff shortages, low literacy among women, poor infrastructure, language barriers, limited teaching aids, unconducive environments, and time constraints. Enabling factors included continuous training, positive feedback from women, and management recognition. </w:t>
      </w:r>
      <w:r w:rsidRPr="00A97251">
        <w:rPr>
          <w:b/>
          <w:bCs/>
        </w:rPr>
        <w:t>Conclusion</w:t>
      </w:r>
      <w:r>
        <w:t xml:space="preserve">: Health workers considered women’s health education meaningful and professionally rewarding; however, institutional and systemic constraints limited effective delivery. Improved infrastructure, adequate teaching materials, clear guidelines, supportive supervision, and continuous professional development are needed to strengthen women’s health education during antenatal and </w:t>
      </w:r>
      <w:proofErr w:type="spellStart"/>
      <w:r>
        <w:t>immunisation</w:t>
      </w:r>
      <w:proofErr w:type="spellEnd"/>
      <w:r>
        <w:t xml:space="preserve"> clinics.</w:t>
      </w:r>
    </w:p>
    <w:p w14:paraId="6175E725" w14:textId="0673EB87" w:rsidR="00FC2F8E" w:rsidRPr="00297679" w:rsidRDefault="003C0592">
      <w:pPr>
        <w:spacing w:before="100" w:beforeAutospacing="1" w:after="100" w:afterAutospacing="1"/>
        <w:jc w:val="both"/>
        <w:rPr>
          <w:rFonts w:ascii="Times New Roman" w:hAnsi="Times New Roman" w:cs="Times New Roman"/>
          <w:sz w:val="24"/>
          <w:szCs w:val="24"/>
        </w:rPr>
      </w:pPr>
      <w:r w:rsidRPr="000D20DB">
        <w:rPr>
          <w:b/>
          <w:bCs/>
        </w:rPr>
        <w:t>Keywords</w:t>
      </w:r>
      <w:r w:rsidRPr="003C0592">
        <w:t xml:space="preserve">: Women’s health education; antenatal care; </w:t>
      </w:r>
      <w:proofErr w:type="spellStart"/>
      <w:r w:rsidRPr="003C0592">
        <w:t>immunisation</w:t>
      </w:r>
      <w:proofErr w:type="spellEnd"/>
      <w:r w:rsidRPr="003C0592">
        <w:t xml:space="preserve"> clinics; health workers’ experiences; maternal health; health education delivery; staff shortages; teaching aids; tertiary hospital</w:t>
      </w:r>
    </w:p>
    <w:p w14:paraId="03316FAE" w14:textId="77777777" w:rsidR="00FC2F8E" w:rsidRPr="00297679" w:rsidRDefault="00AE16DB">
      <w:pPr>
        <w:pStyle w:val="Heading1"/>
        <w:spacing w:line="240" w:lineRule="auto"/>
        <w:jc w:val="left"/>
        <w:rPr>
          <w:b w:val="0"/>
          <w:bCs w:val="0"/>
        </w:rPr>
      </w:pPr>
      <w:bookmarkStart w:id="1" w:name="_Toc20079"/>
      <w:r w:rsidRPr="00297679">
        <w:rPr>
          <w:rStyle w:val="Strong"/>
          <w:b/>
          <w:bCs/>
          <w:szCs w:val="24"/>
        </w:rPr>
        <w:t>INTRODUCTION</w:t>
      </w:r>
      <w:bookmarkEnd w:id="1"/>
    </w:p>
    <w:p w14:paraId="1A9615A5" w14:textId="36254395" w:rsidR="00FC2F8E" w:rsidRPr="00297679" w:rsidRDefault="00AE16DB">
      <w:pPr>
        <w:spacing w:before="100" w:beforeAutospacing="1" w:after="100" w:afterAutospacing="1"/>
        <w:jc w:val="both"/>
        <w:rPr>
          <w:rFonts w:ascii="Times New Roman" w:hAnsi="Times New Roman" w:cs="Times New Roman"/>
          <w:sz w:val="24"/>
          <w:szCs w:val="24"/>
        </w:rPr>
      </w:pPr>
      <w:r w:rsidRPr="00297679">
        <w:t xml:space="preserve">Maternal health remains a major public health concern globally, particularly in low- and middle-income countries (LMICs), where preventable maternal and neonatal morbidity and mortality continue to persist despite decades of interventions. The World Health Organization (WHO) defines maternal health as the health of women during pregnancy, childbirth, and the postnatal period, </w:t>
      </w:r>
      <w:proofErr w:type="spellStart"/>
      <w:r w:rsidRPr="00297679">
        <w:t>emphasising</w:t>
      </w:r>
      <w:proofErr w:type="spellEnd"/>
      <w:r w:rsidRPr="00297679">
        <w:t xml:space="preserve"> that access to quality antenatal, intrapartum, and postnatal services is fundamental to achieving safe motherhood (World Health Organization [WHO], </w:t>
      </w:r>
      <w:r w:rsidR="00507BF4" w:rsidRPr="00507BF4">
        <w:t>n.d.</w:t>
      </w:r>
      <w:r w:rsidRPr="00297679">
        <w:t xml:space="preserve">). Globally, although maternal mortality has declined over the past two decades, progress has been uneven and fragile. Sub-Saharan Africa continues to account for approximately 70% of global maternal deaths; approximately 287,000 women died globally from pregnancy-related causes in 2020, and most of these deaths were preventable through quality maternal care, adequate health education, and timely health service </w:t>
      </w:r>
      <w:proofErr w:type="spellStart"/>
      <w:r w:rsidRPr="00297679">
        <w:t>utilisation</w:t>
      </w:r>
      <w:proofErr w:type="spellEnd"/>
      <w:r w:rsidRPr="00297679">
        <w:t xml:space="preserve"> (World Health Organization et al., 2023). Health education for women during antenatal and </w:t>
      </w:r>
      <w:proofErr w:type="spellStart"/>
      <w:r w:rsidRPr="00297679">
        <w:t>immunisation</w:t>
      </w:r>
      <w:proofErr w:type="spellEnd"/>
      <w:r w:rsidRPr="00297679">
        <w:t xml:space="preserve"> clinics plays a pivotal role in empowering mothers with the knowledge and skills necessary to make informed health decisions for themselves and their children (United Nations, 2023). In Nigeria, maternal mortality remains alarmingly high, with a maternal mortality ratio of 512 deaths per 100,000 live births (National Population Commission [NPC] &amp; ICF, 2019). These disparities highlight not only gaps in service availability but also deficiencies in the quality and effectiveness of maternal healthcare interventions.</w:t>
      </w:r>
    </w:p>
    <w:p w14:paraId="0AC90D99"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 xml:space="preserve">Antenatal care (ANC) is widely </w:t>
      </w:r>
      <w:proofErr w:type="spellStart"/>
      <w:r w:rsidRPr="00297679">
        <w:t>recognised</w:t>
      </w:r>
      <w:proofErr w:type="spellEnd"/>
      <w:r w:rsidRPr="00297679">
        <w:t xml:space="preserve"> as one of the most critical strategies for reducing maternal and neonatal mortality. Beyond clinical monitoring, ANC provides a preventive platform for the early identification of pregnancy-related </w:t>
      </w:r>
      <w:r w:rsidRPr="00297679">
        <w:lastRenderedPageBreak/>
        <w:t xml:space="preserve">complications, management of pre-existing conditions, and promotion of healthy </w:t>
      </w:r>
      <w:proofErr w:type="spellStart"/>
      <w:r w:rsidRPr="00297679">
        <w:t>behaviours</w:t>
      </w:r>
      <w:proofErr w:type="spellEnd"/>
      <w:r w:rsidRPr="00297679">
        <w:t xml:space="preserve">. The WHO currently recommends a minimum of eight antenatal contacts during pregnancy to </w:t>
      </w:r>
      <w:proofErr w:type="spellStart"/>
      <w:r w:rsidRPr="00297679">
        <w:t>optimise</w:t>
      </w:r>
      <w:proofErr w:type="spellEnd"/>
      <w:r w:rsidRPr="00297679">
        <w:t xml:space="preserve"> maternal and neonatal outcomes and to enhance the delivery of structured health education (</w:t>
      </w:r>
      <w:proofErr w:type="spellStart"/>
      <w:r w:rsidRPr="00297679">
        <w:t>Olapeju</w:t>
      </w:r>
      <w:proofErr w:type="spellEnd"/>
      <w:r w:rsidRPr="00297679">
        <w:t xml:space="preserve"> et al., 2025). The shift from four to eight contacts underscores the growing recognition that frequent interaction between pregnant women and skilled health providers improves both clinical outcomes and health literacy.</w:t>
      </w:r>
    </w:p>
    <w:p w14:paraId="5E1B68F8"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 xml:space="preserve">Importantly, antenatal clinics are not solely biomedical service points; they are structured educational environments. During ANC sessions, health workers are expected to provide comprehensive education on maternal nutrition, danger signs in pregnancy, birth preparedness and complication readiness, prevention of mother-to-child transmission of infections, exclusive breastfeeding, postpartum care, family planning, and newborn care practices. Empirical evidence indicates that well-structured antenatal education significantly improves maternal knowledge, increases preparedness for childbirth, and contributes to positive </w:t>
      </w:r>
      <w:proofErr w:type="spellStart"/>
      <w:r w:rsidRPr="00297679">
        <w:t>labour</w:t>
      </w:r>
      <w:proofErr w:type="spellEnd"/>
      <w:r w:rsidRPr="00297679">
        <w:t xml:space="preserve"> outcomes (Hooper et al., 2025; Zanetti et al., 2024). These findings suggest that the quality of health education delivered during ANC visits may be as crucial as the clinical services provided.</w:t>
      </w:r>
    </w:p>
    <w:p w14:paraId="5C96C962" w14:textId="77777777" w:rsidR="00694096" w:rsidRPr="00297679" w:rsidRDefault="00000000">
      <w:pPr>
        <w:spacing w:before="100" w:beforeAutospacing="1" w:after="100" w:afterAutospacing="1"/>
        <w:jc w:val="both"/>
        <w:rPr>
          <w:rFonts w:ascii="Times New Roman" w:eastAsia="Times New Roman" w:hAnsi="Times New Roman" w:cs="Times New Roman"/>
          <w:sz w:val="24"/>
          <w:szCs w:val="24"/>
        </w:rPr>
      </w:pPr>
      <w:r w:rsidRPr="00297679">
        <w:t>Recent evidence also indicates that community-based maternal health education can support antenatal, delivery, and postnatal service uptake, but its effectiveness may be reduced by low literacy, socio-cultural barriers, and weak referral systems (</w:t>
      </w:r>
      <w:proofErr w:type="spellStart"/>
      <w:r w:rsidRPr="00297679">
        <w:t>Ekeoba</w:t>
      </w:r>
      <w:proofErr w:type="spellEnd"/>
      <w:r w:rsidRPr="00297679">
        <w:t>, 2026).</w:t>
      </w:r>
    </w:p>
    <w:p w14:paraId="1FB8A5E5" w14:textId="6DA753CB"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 xml:space="preserve">Similarly, </w:t>
      </w:r>
      <w:proofErr w:type="spellStart"/>
      <w:r w:rsidRPr="00297679">
        <w:t>immunisation</w:t>
      </w:r>
      <w:proofErr w:type="spellEnd"/>
      <w:r w:rsidRPr="00297679">
        <w:t xml:space="preserve"> clinics serve as continuous points of maternal engagement during the postnatal period. The establishment of the Expanded </w:t>
      </w:r>
      <w:proofErr w:type="spellStart"/>
      <w:r w:rsidRPr="00297679">
        <w:t>Programme</w:t>
      </w:r>
      <w:proofErr w:type="spellEnd"/>
      <w:r w:rsidRPr="00297679">
        <w:t xml:space="preserve"> on Immunization (EPI) by the World Health Organization strengthened global vaccination systems and positioned routine </w:t>
      </w:r>
      <w:proofErr w:type="spellStart"/>
      <w:r w:rsidRPr="00297679">
        <w:t>immunisation</w:t>
      </w:r>
      <w:proofErr w:type="spellEnd"/>
      <w:r w:rsidRPr="00297679">
        <w:t xml:space="preserve"> clinics as recurring contact opportunities between mothers and healthcare providers (WHO, 202</w:t>
      </w:r>
      <w:r w:rsidR="00507BF4">
        <w:t>0</w:t>
      </w:r>
      <w:r w:rsidRPr="00297679">
        <w:t xml:space="preserve">). In Nigeria, </w:t>
      </w:r>
      <w:proofErr w:type="spellStart"/>
      <w:r w:rsidRPr="00297679">
        <w:t>immunisation</w:t>
      </w:r>
      <w:proofErr w:type="spellEnd"/>
      <w:r w:rsidRPr="00297679">
        <w:t xml:space="preserve"> sessions typically include group health talks covering exclusive breastfeeding, complementary feeding, growth monitoring, hygiene practices, and postpartum maternal health. These sessions offer critical reinforcement of messages initially introduced during antenatal visits, creating a continuum of maternal education across the reproductive cycle.</w:t>
      </w:r>
    </w:p>
    <w:p w14:paraId="09C10E3F"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 xml:space="preserve">However, despite these structured opportunities, evidence suggests that </w:t>
      </w:r>
      <w:proofErr w:type="spellStart"/>
      <w:r w:rsidRPr="00297679">
        <w:t>immunisation</w:t>
      </w:r>
      <w:proofErr w:type="spellEnd"/>
      <w:r w:rsidRPr="00297679">
        <w:t xml:space="preserve"> service delivery in Nigeria faces multiple barriers. Studies have identified health system constraints, such as inadequate staffing, supply shortages, irregular vaccine availability, and poor infrastructure, as significant challenges (Balogun et al., 2025; Mohammed et al., 2024). Socio-cultural factors, including misconceptions about vaccines and low maternal education levels, further complicate service delivery. These challenges may inadvertently affect the time, quality, and consistency of health education provided during </w:t>
      </w:r>
      <w:proofErr w:type="spellStart"/>
      <w:r w:rsidRPr="00297679">
        <w:t>immunisation</w:t>
      </w:r>
      <w:proofErr w:type="spellEnd"/>
      <w:r w:rsidRPr="00297679">
        <w:t xml:space="preserve"> clinics.</w:t>
      </w:r>
    </w:p>
    <w:p w14:paraId="4E4C4860" w14:textId="77777777" w:rsidR="00694096" w:rsidRPr="00297679" w:rsidRDefault="00000000">
      <w:pPr>
        <w:spacing w:before="100" w:beforeAutospacing="1" w:after="100" w:afterAutospacing="1"/>
        <w:jc w:val="both"/>
        <w:rPr>
          <w:rFonts w:ascii="Times New Roman" w:eastAsia="Times New Roman" w:hAnsi="Times New Roman" w:cs="Times New Roman"/>
          <w:sz w:val="24"/>
          <w:szCs w:val="24"/>
        </w:rPr>
      </w:pPr>
      <w:r w:rsidRPr="00297679">
        <w:t xml:space="preserve">Recent Nigerian evidence shows that </w:t>
      </w:r>
      <w:proofErr w:type="spellStart"/>
      <w:r w:rsidRPr="00297679">
        <w:t>immunisation</w:t>
      </w:r>
      <w:proofErr w:type="spellEnd"/>
      <w:r w:rsidRPr="00297679">
        <w:t xml:space="preserve"> health talks may vary in content and delivery across clinics, and that limited formal training for health workers can contribute to inconsistent vaccine-related health education (Ekhaguere et al., 2026).</w:t>
      </w:r>
    </w:p>
    <w:p w14:paraId="5F815B45" w14:textId="77777777" w:rsidR="00694096" w:rsidRPr="00297679" w:rsidRDefault="00000000">
      <w:pPr>
        <w:spacing w:before="100" w:beforeAutospacing="1" w:after="100" w:afterAutospacing="1"/>
        <w:jc w:val="both"/>
        <w:rPr>
          <w:rFonts w:ascii="Times New Roman" w:eastAsia="Times New Roman" w:hAnsi="Times New Roman" w:cs="Times New Roman"/>
          <w:sz w:val="24"/>
          <w:szCs w:val="24"/>
        </w:rPr>
      </w:pPr>
      <w:r w:rsidRPr="00297679">
        <w:t xml:space="preserve">Caregiver-level misconceptions and health-system factors, including poor provider attitude, inadequate human-resource capacity, vaccine supply concerns, and weak counselling on side effects, have also been reported as barriers to childhood </w:t>
      </w:r>
      <w:proofErr w:type="spellStart"/>
      <w:r w:rsidRPr="00297679">
        <w:t>immunisation</w:t>
      </w:r>
      <w:proofErr w:type="spellEnd"/>
      <w:r w:rsidRPr="00297679">
        <w:t xml:space="preserve"> in northern Nigeria (Etim et al., 2025).</w:t>
      </w:r>
    </w:p>
    <w:p w14:paraId="00976274"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 xml:space="preserve">Health workers occupy a central role in translating maternal health policies into practice. Their competence, professional training, communication skills, attitudes, and motivation directly shape how health education is delivered and received. Research indicates that supportive supervision and targeted training significantly enhance health workers’ ability to provide effective maternal health education (Adefolarin et al., 2021). In Nigerian primary healthcare settings, gaps in knowledge and inadequate training have been linked to suboptimal delivery of prenatal nutrition education, ultimately influencing maternal understanding and </w:t>
      </w:r>
      <w:proofErr w:type="spellStart"/>
      <w:r w:rsidRPr="00297679">
        <w:t>behavioural</w:t>
      </w:r>
      <w:proofErr w:type="spellEnd"/>
      <w:r w:rsidRPr="00297679">
        <w:t xml:space="preserve"> outcomes (Ibikunle et al., 2021). These findings </w:t>
      </w:r>
      <w:proofErr w:type="spellStart"/>
      <w:r w:rsidRPr="00297679">
        <w:t>emphasise</w:t>
      </w:r>
      <w:proofErr w:type="spellEnd"/>
      <w:r w:rsidRPr="00297679">
        <w:t xml:space="preserve"> that health education effectiveness is dependent not only on policy frameworks but also on frontline provider capacity.</w:t>
      </w:r>
    </w:p>
    <w:p w14:paraId="4AA89D55" w14:textId="77777777" w:rsidR="00694096" w:rsidRPr="00297679" w:rsidRDefault="00000000">
      <w:pPr>
        <w:spacing w:before="100" w:beforeAutospacing="1" w:after="100" w:afterAutospacing="1"/>
        <w:jc w:val="both"/>
        <w:rPr>
          <w:rFonts w:ascii="Times New Roman" w:eastAsia="Times New Roman" w:hAnsi="Times New Roman" w:cs="Times New Roman"/>
          <w:sz w:val="24"/>
          <w:szCs w:val="24"/>
        </w:rPr>
      </w:pPr>
      <w:r w:rsidRPr="00297679">
        <w:t>Evidence from Nigerian antenatal settings further suggests that health-worker responsiveness and empathy are associated with antenatal patient satisfaction, indicating that interpersonal communication remains an important component of acceptable maternal care (Gift et al., 2025).</w:t>
      </w:r>
    </w:p>
    <w:p w14:paraId="41A8B1A1" w14:textId="6AF7CF4F"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 xml:space="preserve">Nevertheless, health workers operate within complex institutional and systemic environments that may either enable or constrain their performance. High patient volumes, workforce shortages, limited educational materials, time constraints, </w:t>
      </w:r>
      <w:r w:rsidRPr="00297679">
        <w:lastRenderedPageBreak/>
        <w:t xml:space="preserve">and inadequate infrastructural support can compromise the depth and interactivity of health education sessions. A systematic review examining barriers to adequate antenatal care </w:t>
      </w:r>
      <w:proofErr w:type="spellStart"/>
      <w:r w:rsidRPr="00297679">
        <w:t>utilisation</w:t>
      </w:r>
      <w:proofErr w:type="spellEnd"/>
      <w:r w:rsidRPr="00297679">
        <w:t xml:space="preserve"> in low-resource settings identified structural deficiencies, weak referral systems, and limited provider-client interaction time as recurring challenges (Ali et al., 202</w:t>
      </w:r>
      <w:r w:rsidR="00507BF4">
        <w:t>6</w:t>
      </w:r>
      <w:r w:rsidRPr="00297679">
        <w:t>). Furthermore, evidence from health workforce studies suggests that motivational factors, including recognition, career progression opportunities, availability of supplies, and workload balance, significantly influence performance outcomes (Sheikh et al., 2026). When health workers experience burnout or dissatisfaction, the quality of health education delivery may be adversely affected.</w:t>
      </w:r>
    </w:p>
    <w:p w14:paraId="7FB33411"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 xml:space="preserve">In Nigeria, maternal healthcare delivery is embedded within a multi-tiered health system </w:t>
      </w:r>
      <w:proofErr w:type="spellStart"/>
      <w:r w:rsidRPr="00297679">
        <w:t>characterised</w:t>
      </w:r>
      <w:proofErr w:type="spellEnd"/>
      <w:r w:rsidRPr="00297679">
        <w:t xml:space="preserve"> by variability in infrastructure, funding, and institutional capacity. While numerous studies have focused on maternal service </w:t>
      </w:r>
      <w:proofErr w:type="spellStart"/>
      <w:r w:rsidRPr="00297679">
        <w:t>utilisation</w:t>
      </w:r>
      <w:proofErr w:type="spellEnd"/>
      <w:r w:rsidRPr="00297679">
        <w:t xml:space="preserve"> rates, </w:t>
      </w:r>
      <w:proofErr w:type="spellStart"/>
      <w:r w:rsidRPr="00297679">
        <w:t>immunisation</w:t>
      </w:r>
      <w:proofErr w:type="spellEnd"/>
      <w:r w:rsidRPr="00297679">
        <w:t xml:space="preserve"> coverage, and patient satisfaction (Isika et al., 2025), relatively limited attention has been given to understanding the lived experiences of health workers responsible for delivering women’s health education, particularly within tertiary healthcare institutions. Yet, these providers are instrumental in shaping maternal knowledge, influencing health </w:t>
      </w:r>
      <w:proofErr w:type="spellStart"/>
      <w:r w:rsidRPr="00297679">
        <w:t>behaviours</w:t>
      </w:r>
      <w:proofErr w:type="spellEnd"/>
      <w:r w:rsidRPr="00297679">
        <w:t xml:space="preserve">, and reinforcing preventive practices across antenatal and </w:t>
      </w:r>
      <w:proofErr w:type="spellStart"/>
      <w:r w:rsidRPr="00297679">
        <w:t>immunisation</w:t>
      </w:r>
      <w:proofErr w:type="spellEnd"/>
      <w:r w:rsidRPr="00297679">
        <w:t xml:space="preserve"> settings.</w:t>
      </w:r>
    </w:p>
    <w:p w14:paraId="18E1746D"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Alex Ekwueme Federal University Teaching Hospital serves as a major referral and teaching hospital in Ebonyi State, catering to a diverse population of pregnant and postpartum women. As a tertiary institution, it is expected to maintain high standards of maternal healthcare delivery, including structured, evidence-based health education. However, tertiary settings often experience high client loads, referral complexities, academic responsibilities, and resource allocation challenges that may influence how health education sessions are conducted. Institutional culture, staffing ratios, availability of educational aids, and supervisory mechanisms may all shape the experiences of health workers delivering maternal education.</w:t>
      </w:r>
    </w:p>
    <w:p w14:paraId="1C3C4401"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 xml:space="preserve">Although the existing literature clearly establishes the benefits of antenatal education and highlights the importance of </w:t>
      </w:r>
      <w:proofErr w:type="spellStart"/>
      <w:r w:rsidRPr="00297679">
        <w:t>immunisation</w:t>
      </w:r>
      <w:proofErr w:type="spellEnd"/>
      <w:r w:rsidRPr="00297679">
        <w:t xml:space="preserve"> services, there remains a paucity of qualitative, context-specific research exploring how health workers experience the process of delivering women’s health education within both antenatal and </w:t>
      </w:r>
      <w:proofErr w:type="spellStart"/>
      <w:r w:rsidRPr="00297679">
        <w:t>immunisation</w:t>
      </w:r>
      <w:proofErr w:type="spellEnd"/>
      <w:r w:rsidRPr="00297679">
        <w:t xml:space="preserve"> clinics in tertiary institutions in South-Eastern Nigeria. Much of the current evidence is quantitative and outcome-focused, with limited exploration of provider perspectives, emotional </w:t>
      </w:r>
      <w:proofErr w:type="spellStart"/>
      <w:r w:rsidRPr="00297679">
        <w:t>labour</w:t>
      </w:r>
      <w:proofErr w:type="spellEnd"/>
      <w:r w:rsidRPr="00297679">
        <w:t>, institutional dynamics, and systemic influences.</w:t>
      </w:r>
    </w:p>
    <w:p w14:paraId="4F099C00"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Understanding these lived experiences is essential because the effectiveness of maternal health education depends not only on curriculum content but also on the realities of implementation. Health workers’ perceptions of their roles, the challenges they encounter, and the motivating or enabling factors within their environment directly influence the depth, clarity, and consistency of education provided to women.</w:t>
      </w:r>
    </w:p>
    <w:p w14:paraId="3EB28A56" w14:textId="483150A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 xml:space="preserve">Therefore, this study seeks to explore the lived experiences of health workers in delivering women’s health education during antenatal and </w:t>
      </w:r>
      <w:proofErr w:type="spellStart"/>
      <w:r w:rsidRPr="00297679">
        <w:t>immunisation</w:t>
      </w:r>
      <w:proofErr w:type="spellEnd"/>
      <w:r w:rsidRPr="00297679">
        <w:t xml:space="preserve"> clinics in</w:t>
      </w:r>
      <w:r w:rsidR="007B27AC" w:rsidRPr="007B27AC">
        <w:t xml:space="preserve"> </w:t>
      </w:r>
      <w:r w:rsidR="007B27AC" w:rsidRPr="007B27AC">
        <w:t xml:space="preserve">Alex Ekwueme Federal University Teaching Hospital, </w:t>
      </w:r>
      <w:proofErr w:type="spellStart"/>
      <w:r w:rsidR="007B27AC" w:rsidRPr="007B27AC">
        <w:t>Abakaliki</w:t>
      </w:r>
      <w:proofErr w:type="spellEnd"/>
      <w:r w:rsidR="007B27AC" w:rsidRPr="007B27AC">
        <w:t>; AE-FUTHA</w:t>
      </w:r>
      <w:r w:rsidRPr="00297679">
        <w:t>, Ebonyi State. By identifying the challenges, individual and institutional constraints, and enabling systemic factors influencing education delivery, the study aims to generate context-specific evidence that can inform institutional improvements, strengthen health worker support systems, and ultimately enhance maternal and child health outcomes.</w:t>
      </w:r>
    </w:p>
    <w:p w14:paraId="6271D304" w14:textId="77777777" w:rsidR="00694096" w:rsidRPr="00297679" w:rsidRDefault="00000000">
      <w:pPr>
        <w:spacing w:before="100" w:beforeAutospacing="1" w:after="100" w:afterAutospacing="1"/>
        <w:jc w:val="both"/>
        <w:rPr>
          <w:rFonts w:ascii="Times New Roman" w:eastAsia="Times New Roman" w:hAnsi="Times New Roman" w:cs="Times New Roman"/>
          <w:sz w:val="24"/>
          <w:szCs w:val="24"/>
        </w:rPr>
      </w:pPr>
      <w:r w:rsidRPr="00297679">
        <w:t xml:space="preserve">Therefore, a provider-focused examination of women’s health education in both antenatal and </w:t>
      </w:r>
      <w:proofErr w:type="spellStart"/>
      <w:r w:rsidRPr="00297679">
        <w:t>immunisation</w:t>
      </w:r>
      <w:proofErr w:type="spellEnd"/>
      <w:r w:rsidRPr="00297679">
        <w:t xml:space="preserve"> clinics is necessary to clarify how health workers’ experiences, institutional conditions, and client-related barriers interact within the AE-FUTHA context.</w:t>
      </w:r>
    </w:p>
    <w:p w14:paraId="43B92F1F" w14:textId="77777777" w:rsidR="00FC2F8E" w:rsidRPr="00297679" w:rsidRDefault="00AE16DB">
      <w:pPr>
        <w:pStyle w:val="Heading2"/>
        <w:spacing w:line="240" w:lineRule="auto"/>
      </w:pPr>
      <w:bookmarkStart w:id="2" w:name="_Toc23129"/>
      <w:r w:rsidRPr="00297679">
        <w:rPr>
          <w:rStyle w:val="Strong"/>
          <w:b/>
          <w:bCs/>
        </w:rPr>
        <w:t>1.3 Aim of the Study</w:t>
      </w:r>
      <w:bookmarkEnd w:id="2"/>
    </w:p>
    <w:p w14:paraId="32519CF7"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 xml:space="preserve">The main aim of this study is to explore the experiences of health workers in delivering women’s health education during antenatal and </w:t>
      </w:r>
      <w:proofErr w:type="spellStart"/>
      <w:r w:rsidRPr="00297679">
        <w:t>immunisation</w:t>
      </w:r>
      <w:proofErr w:type="spellEnd"/>
      <w:r w:rsidRPr="00297679">
        <w:t xml:space="preserve"> clinics in AE-FUTHA, Ebonyi State.</w:t>
      </w:r>
    </w:p>
    <w:p w14:paraId="7FFF8E5C" w14:textId="77777777" w:rsidR="00FC2F8E" w:rsidRPr="00297679" w:rsidRDefault="00AE16DB">
      <w:pPr>
        <w:pStyle w:val="Heading2"/>
        <w:spacing w:line="240" w:lineRule="auto"/>
      </w:pPr>
      <w:bookmarkStart w:id="3" w:name="_Toc26552"/>
      <w:r w:rsidRPr="00297679">
        <w:rPr>
          <w:rStyle w:val="Strong"/>
          <w:b/>
          <w:bCs/>
        </w:rPr>
        <w:t>1.4 Specific Objectives</w:t>
      </w:r>
      <w:bookmarkEnd w:id="3"/>
    </w:p>
    <w:p w14:paraId="0A056F70" w14:textId="77777777" w:rsidR="00FC2F8E" w:rsidRPr="00297679" w:rsidRDefault="00AE16DB">
      <w:pPr>
        <w:pStyle w:val="ListParagraph"/>
        <w:numPr>
          <w:ilvl w:val="0"/>
          <w:numId w:val="1"/>
        </w:numPr>
        <w:spacing w:before="100" w:beforeAutospacing="1" w:after="100" w:afterAutospacing="1"/>
        <w:jc w:val="both"/>
        <w:rPr>
          <w:rFonts w:ascii="Times New Roman" w:hAnsi="Times New Roman" w:cs="Times New Roman"/>
          <w:sz w:val="24"/>
          <w:szCs w:val="24"/>
        </w:rPr>
      </w:pPr>
      <w:r w:rsidRPr="00297679">
        <w:t xml:space="preserve">To explore the lived experiences of health workers in delivering women’s health education during antenatal and </w:t>
      </w:r>
      <w:proofErr w:type="spellStart"/>
      <w:r w:rsidRPr="00297679">
        <w:t>immunisation</w:t>
      </w:r>
      <w:proofErr w:type="spellEnd"/>
      <w:r w:rsidRPr="00297679">
        <w:t xml:space="preserve"> clinics in AE-FUTHA, Ebonyi State.</w:t>
      </w:r>
    </w:p>
    <w:p w14:paraId="0D90D3AA" w14:textId="77777777" w:rsidR="00FC2F8E" w:rsidRPr="00297679" w:rsidRDefault="00AE16DB">
      <w:pPr>
        <w:pStyle w:val="ListParagraph"/>
        <w:numPr>
          <w:ilvl w:val="0"/>
          <w:numId w:val="1"/>
        </w:numPr>
        <w:spacing w:before="100" w:beforeAutospacing="1" w:after="100" w:afterAutospacing="1"/>
        <w:jc w:val="both"/>
        <w:rPr>
          <w:rStyle w:val="Strong"/>
          <w:b w:val="0"/>
          <w:bCs w:val="0"/>
        </w:rPr>
      </w:pPr>
      <w:bookmarkStart w:id="4" w:name="_Toc17438"/>
      <w:r w:rsidRPr="00297679">
        <w:t xml:space="preserve">To identify the challenges encountered by health workers during women’s health education sessions in antenatal and </w:t>
      </w:r>
      <w:proofErr w:type="spellStart"/>
      <w:r w:rsidRPr="00297679">
        <w:t>immunisation</w:t>
      </w:r>
      <w:proofErr w:type="spellEnd"/>
      <w:r w:rsidRPr="00297679">
        <w:t xml:space="preserve"> clinics.</w:t>
      </w:r>
    </w:p>
    <w:p w14:paraId="0814C82D" w14:textId="690DBFCB" w:rsidR="00FC2F8E" w:rsidRPr="00297679" w:rsidRDefault="00AE16DB">
      <w:pPr>
        <w:spacing w:before="100" w:beforeAutospacing="1" w:after="100" w:afterAutospacing="1"/>
        <w:jc w:val="both"/>
        <w:rPr>
          <w:b/>
        </w:rPr>
      </w:pPr>
      <w:r w:rsidRPr="00297679">
        <w:rPr>
          <w:rFonts w:ascii="Calibri"/>
          <w:b/>
        </w:rPr>
        <w:lastRenderedPageBreak/>
        <w:t>METHODOLOGY</w:t>
      </w:r>
      <w:bookmarkEnd w:id="4"/>
    </w:p>
    <w:p w14:paraId="2050084B" w14:textId="77777777" w:rsidR="00FC2F8E" w:rsidRPr="00297679" w:rsidRDefault="00AE16DB">
      <w:pPr>
        <w:pStyle w:val="Heading1"/>
        <w:spacing w:line="240" w:lineRule="auto"/>
        <w:jc w:val="both"/>
        <w:rPr>
          <w:rFonts w:eastAsiaTheme="minorEastAsia"/>
          <w:b w:val="0"/>
          <w:bCs w:val="0"/>
          <w:szCs w:val="24"/>
        </w:rPr>
      </w:pPr>
      <w:bookmarkStart w:id="5" w:name="_Toc24829"/>
      <w:r w:rsidRPr="00297679">
        <w:t xml:space="preserve">The study employed a mixed-methods research design that used both quantitative and qualitative approaches. Women’s health education at AE-FUTHA involved the entire population of health workers directly offering maternal health education during antenatal and </w:t>
      </w:r>
      <w:proofErr w:type="spellStart"/>
      <w:r w:rsidRPr="00297679">
        <w:t>immunisation</w:t>
      </w:r>
      <w:proofErr w:type="spellEnd"/>
      <w:r w:rsidRPr="00297679">
        <w:t xml:space="preserve"> clinics. The overall population included seventy-nine (79) health workers. For the quantitative component, a census was used as the sampling technique, involving all eligible health workers. The use of a census ensured that every cadre of health worker involved in educating women was adequately represented in the study, thereby reducing sampling bias. The qualitative component did not use a fixed sample size; instead, in-depth interviews continued until data saturation was reached, when no new themes or revelations emerged from additional interviews. This ensured depth and richness of information while avoiding redundancy. A pretest was conducted among health workers at David Umahi Federal University Teaching Hospital (DUFHUS), </w:t>
      </w:r>
      <w:proofErr w:type="spellStart"/>
      <w:r w:rsidRPr="00297679">
        <w:t>Uburu</w:t>
      </w:r>
      <w:proofErr w:type="spellEnd"/>
      <w:r w:rsidRPr="00297679">
        <w:t>, which was similar to AE-FUTHA and sufficiently distant from the study area to avoid contamination of the main study population. The pilot test included 10% of the total population (7 copies). An attempt was also made to determine the reliability of the quantitative instrument by using the test-retest method to assess its stability over time. The questionnaire was initially administered to the selected respondents. One week later, the instrument was re-administered under the same conditions. The two sets of responses were entered into SPSS version 30. Internal consistency was determined using Cronbach’s alpha coefficient, which is generally accepted for measuring the internal consistency reliability of Likert-scale instruments. A coefficient value between 0.87 and 0.93 is considered promising, and a value above 0.93 is particularly good. A Cronbach’s alpha value of 0.93 was obtained, indicating good reliability for use in the main study.</w:t>
      </w:r>
    </w:p>
    <w:bookmarkEnd w:id="5"/>
    <w:p w14:paraId="395AE396" w14:textId="77777777" w:rsidR="00FC2F8E" w:rsidRPr="00297679" w:rsidRDefault="00AE16DB">
      <w:pPr>
        <w:pStyle w:val="Heading1"/>
        <w:spacing w:line="240" w:lineRule="auto"/>
        <w:jc w:val="left"/>
      </w:pPr>
      <w:r w:rsidRPr="00297679">
        <w:t>RESULTS AND DISCUSSION</w:t>
      </w:r>
    </w:p>
    <w:p w14:paraId="6ED9D020"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The results of the data analysis are presented in this section along with their interpretations. Of the seventy-nine (79) copies of the questionnaire that were provided, seventy-six (96.2%) were returned, correctly completed, and suitable for analysis.</w:t>
      </w:r>
    </w:p>
    <w:p w14:paraId="35124546" w14:textId="1FA8DAAB" w:rsidR="00FC2F8E" w:rsidRPr="00297679" w:rsidRDefault="00AE16DB">
      <w:pPr>
        <w:pStyle w:val="Heading2"/>
        <w:spacing w:line="240" w:lineRule="auto"/>
      </w:pPr>
      <w:bookmarkStart w:id="6" w:name="_Toc13854"/>
      <w:r w:rsidRPr="00297679">
        <w:t>4.1</w:t>
      </w:r>
      <w:r w:rsidRPr="00297679">
        <w:tab/>
        <w:t xml:space="preserve">Results </w:t>
      </w:r>
      <w:bookmarkEnd w:id="6"/>
    </w:p>
    <w:p w14:paraId="18F86CC4" w14:textId="77777777" w:rsidR="00FC2F8E" w:rsidRPr="00297679" w:rsidRDefault="00AE16DB">
      <w:pPr>
        <w:pStyle w:val="Heading3"/>
        <w:spacing w:line="240" w:lineRule="auto"/>
      </w:pPr>
      <w:bookmarkStart w:id="7" w:name="_Toc5296"/>
      <w:r w:rsidRPr="00297679">
        <w:t>4.1.1</w:t>
      </w:r>
      <w:r w:rsidRPr="00297679">
        <w:tab/>
        <w:t>Results and Analysis of Quantitative Data</w:t>
      </w:r>
      <w:bookmarkEnd w:id="7"/>
    </w:p>
    <w:p w14:paraId="0D7168FB" w14:textId="77777777" w:rsidR="00FC2F8E" w:rsidRPr="00297679" w:rsidRDefault="00AE16DB">
      <w:pPr>
        <w:pStyle w:val="Title"/>
      </w:pPr>
      <w:bookmarkStart w:id="8" w:name="_Toc224670844"/>
      <w:r w:rsidRPr="00297679">
        <w:rPr>
          <w:rStyle w:val="BookTitle1"/>
          <w:b/>
          <w:bCs/>
        </w:rPr>
        <w:t xml:space="preserve">Table </w:t>
      </w:r>
      <w:r w:rsidRPr="00297679">
        <w:rPr>
          <w:rStyle w:val="BookTitle1"/>
          <w:b/>
          <w:bCs/>
        </w:rPr>
        <w:fldChar w:fldCharType="begin"/>
      </w:r>
      <w:r w:rsidRPr="00297679">
        <w:rPr>
          <w:rStyle w:val="BookTitle1"/>
          <w:b/>
          <w:bCs/>
        </w:rPr>
        <w:instrText xml:space="preserve"> SEQ Table \* ARABIC </w:instrText>
      </w:r>
      <w:r w:rsidRPr="00297679">
        <w:rPr>
          <w:rStyle w:val="BookTitle1"/>
          <w:b/>
          <w:bCs/>
        </w:rPr>
        <w:fldChar w:fldCharType="separate"/>
      </w:r>
      <w:r w:rsidRPr="00297679">
        <w:rPr>
          <w:rStyle w:val="BookTitle1"/>
          <w:b/>
          <w:bCs/>
        </w:rPr>
        <w:t>1</w:t>
      </w:r>
      <w:r w:rsidRPr="00297679">
        <w:rPr>
          <w:rStyle w:val="BookTitle1"/>
          <w:b/>
          <w:bCs/>
        </w:rPr>
        <w:fldChar w:fldCharType="end"/>
      </w:r>
      <w:r w:rsidRPr="00297679">
        <w:t>: Sociodemographic Characteristics of Health Workers in AEFUTHA Ebonyi State</w:t>
      </w:r>
      <w:bookmarkEnd w:id="8"/>
    </w:p>
    <w:tbl>
      <w:tblPr>
        <w:tblStyle w:val="TableGrid"/>
        <w:tblW w:w="9498" w:type="dxa"/>
        <w:tblInd w:w="0" w:type="dxa"/>
        <w:tblBorders>
          <w:top w:val="single" w:sz="12" w:space="0" w:color="auto"/>
          <w:left w:val="none" w:sz="4" w:space="0" w:color="auto"/>
          <w:bottom w:val="single" w:sz="12" w:space="0" w:color="auto"/>
          <w:right w:val="none" w:sz="4" w:space="0" w:color="auto"/>
          <w:insideH w:val="none" w:sz="4" w:space="0" w:color="auto"/>
          <w:insideV w:val="none" w:sz="4" w:space="0" w:color="auto"/>
        </w:tblBorders>
        <w:tblLook w:val="04A0" w:firstRow="1" w:lastRow="0" w:firstColumn="1" w:lastColumn="0" w:noHBand="0" w:noVBand="1"/>
      </w:tblPr>
      <w:tblGrid>
        <w:gridCol w:w="5670"/>
        <w:gridCol w:w="2115"/>
        <w:gridCol w:w="1713"/>
      </w:tblGrid>
      <w:tr w:rsidR="00FC2F8E" w:rsidRPr="00297679" w14:paraId="43C4D745" w14:textId="77777777">
        <w:tc>
          <w:tcPr>
            <w:tcW w:w="5670" w:type="dxa"/>
            <w:tcBorders>
              <w:top w:val="single" w:sz="12" w:space="0" w:color="auto"/>
              <w:left w:val="none" w:sz="0" w:space="0" w:color="000000"/>
              <w:bottom w:val="single" w:sz="12" w:space="0" w:color="auto"/>
              <w:right w:val="none" w:sz="0" w:space="0" w:color="000000"/>
            </w:tcBorders>
          </w:tcPr>
          <w:p w14:paraId="52D52D7D" w14:textId="77777777" w:rsidR="00FC2F8E" w:rsidRPr="00297679" w:rsidRDefault="00AE16DB">
            <w:pPr>
              <w:spacing w:before="100" w:beforeAutospacing="1" w:after="100" w:afterAutospacing="1"/>
              <w:jc w:val="both"/>
              <w:rPr>
                <w:rFonts w:ascii="Times New Roman" w:hAnsi="Times New Roman" w:cs="Times New Roman" w:hint="default"/>
                <w:b/>
                <w:bCs/>
                <w:sz w:val="24"/>
                <w:szCs w:val="24"/>
              </w:rPr>
            </w:pPr>
            <w:r w:rsidRPr="00297679">
              <w:rPr>
                <w:rFonts w:ascii="Times New Roman" w:eastAsia="Calibri" w:hAnsi="Times New Roman" w:cs="Times New Roman" w:hint="default"/>
                <w:b/>
                <w:bCs/>
                <w:sz w:val="24"/>
                <w:szCs w:val="24"/>
              </w:rPr>
              <w:t>Characteristics</w:t>
            </w:r>
          </w:p>
        </w:tc>
        <w:tc>
          <w:tcPr>
            <w:tcW w:w="2115" w:type="dxa"/>
            <w:tcBorders>
              <w:top w:val="single" w:sz="12" w:space="0" w:color="auto"/>
              <w:left w:val="none" w:sz="0" w:space="0" w:color="000000"/>
              <w:bottom w:val="single" w:sz="12" w:space="0" w:color="auto"/>
              <w:right w:val="none" w:sz="0" w:space="0" w:color="000000"/>
            </w:tcBorders>
          </w:tcPr>
          <w:p w14:paraId="573EF91D" w14:textId="77777777" w:rsidR="00FC2F8E" w:rsidRPr="00297679" w:rsidRDefault="00AE16DB">
            <w:pPr>
              <w:spacing w:before="100" w:beforeAutospacing="1" w:after="100" w:afterAutospacing="1"/>
              <w:jc w:val="both"/>
              <w:rPr>
                <w:rFonts w:ascii="Times New Roman" w:hAnsi="Times New Roman" w:cs="Times New Roman" w:hint="default"/>
                <w:b/>
                <w:bCs/>
                <w:sz w:val="24"/>
                <w:szCs w:val="24"/>
              </w:rPr>
            </w:pPr>
            <w:r w:rsidRPr="00297679">
              <w:rPr>
                <w:rFonts w:ascii="Times New Roman" w:eastAsia="Calibri" w:hAnsi="Times New Roman" w:cs="Times New Roman" w:hint="default"/>
                <w:b/>
                <w:bCs/>
                <w:sz w:val="24"/>
                <w:szCs w:val="24"/>
              </w:rPr>
              <w:t>Frequency</w:t>
            </w:r>
          </w:p>
        </w:tc>
        <w:tc>
          <w:tcPr>
            <w:tcW w:w="1713" w:type="dxa"/>
            <w:tcBorders>
              <w:top w:val="single" w:sz="12" w:space="0" w:color="auto"/>
              <w:left w:val="none" w:sz="0" w:space="0" w:color="000000"/>
              <w:bottom w:val="single" w:sz="12" w:space="0" w:color="auto"/>
              <w:right w:val="none" w:sz="0" w:space="0" w:color="000000"/>
            </w:tcBorders>
          </w:tcPr>
          <w:p w14:paraId="25E7AC2C" w14:textId="77777777" w:rsidR="00FC2F8E" w:rsidRPr="00297679" w:rsidRDefault="00AE16DB">
            <w:pPr>
              <w:spacing w:before="100" w:beforeAutospacing="1" w:after="100" w:afterAutospacing="1"/>
              <w:jc w:val="both"/>
              <w:rPr>
                <w:rFonts w:ascii="Times New Roman" w:hAnsi="Times New Roman" w:cs="Times New Roman" w:hint="default"/>
                <w:b/>
                <w:bCs/>
                <w:sz w:val="24"/>
                <w:szCs w:val="24"/>
              </w:rPr>
            </w:pPr>
            <w:r w:rsidRPr="00297679">
              <w:rPr>
                <w:rFonts w:ascii="Times New Roman" w:eastAsia="Calibri" w:hAnsi="Times New Roman" w:cs="Times New Roman" w:hint="default"/>
                <w:b/>
                <w:bCs/>
                <w:sz w:val="24"/>
                <w:szCs w:val="24"/>
              </w:rPr>
              <w:t>Percentage</w:t>
            </w:r>
          </w:p>
        </w:tc>
      </w:tr>
      <w:tr w:rsidR="00FC2F8E" w:rsidRPr="00297679" w14:paraId="508D22E4" w14:textId="77777777">
        <w:tc>
          <w:tcPr>
            <w:tcW w:w="5670" w:type="dxa"/>
            <w:tcBorders>
              <w:top w:val="none" w:sz="0" w:space="0" w:color="000000"/>
              <w:left w:val="none" w:sz="0" w:space="0" w:color="000000"/>
              <w:bottom w:val="none" w:sz="0" w:space="0" w:color="000000"/>
              <w:right w:val="none" w:sz="0" w:space="0" w:color="000000"/>
            </w:tcBorders>
            <w:vAlign w:val="bottom"/>
          </w:tcPr>
          <w:p w14:paraId="71835040" w14:textId="77777777" w:rsidR="00FC2F8E" w:rsidRPr="00297679" w:rsidRDefault="00AE16DB">
            <w:pPr>
              <w:spacing w:before="100" w:beforeAutospacing="1" w:after="100" w:afterAutospacing="1"/>
              <w:jc w:val="both"/>
              <w:rPr>
                <w:rFonts w:ascii="Times New Roman" w:eastAsia="Times New Roman" w:hAnsi="Times New Roman" w:cs="Times New Roman" w:hint="default"/>
                <w:b/>
                <w:bCs/>
                <w:sz w:val="24"/>
                <w:szCs w:val="24"/>
              </w:rPr>
            </w:pPr>
            <w:r w:rsidRPr="00297679">
              <w:rPr>
                <w:rFonts w:ascii="Times New Roman" w:eastAsia="Times New Roman" w:hAnsi="Times New Roman" w:cs="Times New Roman" w:hint="default"/>
                <w:b/>
                <w:bCs/>
                <w:sz w:val="24"/>
                <w:szCs w:val="24"/>
              </w:rPr>
              <w:t>Age (Years)</w:t>
            </w:r>
          </w:p>
        </w:tc>
        <w:tc>
          <w:tcPr>
            <w:tcW w:w="2115" w:type="dxa"/>
            <w:tcBorders>
              <w:top w:val="none" w:sz="0" w:space="0" w:color="000000"/>
              <w:left w:val="none" w:sz="0" w:space="0" w:color="000000"/>
              <w:bottom w:val="none" w:sz="0" w:space="0" w:color="000000"/>
              <w:right w:val="none" w:sz="0" w:space="0" w:color="000000"/>
            </w:tcBorders>
            <w:vAlign w:val="bottom"/>
          </w:tcPr>
          <w:p w14:paraId="55AA8D74"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c>
          <w:tcPr>
            <w:tcW w:w="1713" w:type="dxa"/>
            <w:tcBorders>
              <w:top w:val="none" w:sz="0" w:space="0" w:color="000000"/>
              <w:left w:val="none" w:sz="0" w:space="0" w:color="000000"/>
              <w:bottom w:val="none" w:sz="0" w:space="0" w:color="000000"/>
              <w:right w:val="none" w:sz="0" w:space="0" w:color="000000"/>
            </w:tcBorders>
            <w:vAlign w:val="bottom"/>
          </w:tcPr>
          <w:p w14:paraId="0B016BB1"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r>
      <w:tr w:rsidR="00FC2F8E" w:rsidRPr="00297679" w14:paraId="4BAF2CFA" w14:textId="77777777">
        <w:tc>
          <w:tcPr>
            <w:tcW w:w="5670" w:type="dxa"/>
            <w:tcBorders>
              <w:top w:val="none" w:sz="0" w:space="0" w:color="000000"/>
              <w:left w:val="none" w:sz="0" w:space="0" w:color="000000"/>
              <w:bottom w:val="none" w:sz="0" w:space="0" w:color="000000"/>
              <w:right w:val="none" w:sz="0" w:space="0" w:color="000000"/>
            </w:tcBorders>
            <w:vAlign w:val="bottom"/>
          </w:tcPr>
          <w:p w14:paraId="51806A81"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20 - 29</w:t>
            </w:r>
          </w:p>
        </w:tc>
        <w:tc>
          <w:tcPr>
            <w:tcW w:w="2115" w:type="dxa"/>
            <w:tcBorders>
              <w:top w:val="none" w:sz="0" w:space="0" w:color="000000"/>
              <w:left w:val="none" w:sz="0" w:space="0" w:color="000000"/>
              <w:bottom w:val="none" w:sz="0" w:space="0" w:color="000000"/>
              <w:right w:val="none" w:sz="0" w:space="0" w:color="000000"/>
            </w:tcBorders>
            <w:vAlign w:val="bottom"/>
          </w:tcPr>
          <w:p w14:paraId="4682C35C"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21</w:t>
            </w:r>
          </w:p>
        </w:tc>
        <w:tc>
          <w:tcPr>
            <w:tcW w:w="1713" w:type="dxa"/>
            <w:tcBorders>
              <w:top w:val="none" w:sz="0" w:space="0" w:color="000000"/>
              <w:left w:val="none" w:sz="0" w:space="0" w:color="000000"/>
              <w:bottom w:val="none" w:sz="0" w:space="0" w:color="000000"/>
              <w:right w:val="none" w:sz="0" w:space="0" w:color="000000"/>
            </w:tcBorders>
            <w:vAlign w:val="bottom"/>
          </w:tcPr>
          <w:p w14:paraId="218D7ADD"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27.6</w:t>
            </w:r>
          </w:p>
        </w:tc>
      </w:tr>
      <w:tr w:rsidR="00FC2F8E" w:rsidRPr="00297679" w14:paraId="32DB7049" w14:textId="77777777">
        <w:tc>
          <w:tcPr>
            <w:tcW w:w="5670" w:type="dxa"/>
            <w:tcBorders>
              <w:top w:val="none" w:sz="0" w:space="0" w:color="000000"/>
              <w:left w:val="none" w:sz="0" w:space="0" w:color="000000"/>
              <w:bottom w:val="none" w:sz="0" w:space="0" w:color="000000"/>
              <w:right w:val="none" w:sz="0" w:space="0" w:color="000000"/>
            </w:tcBorders>
            <w:vAlign w:val="bottom"/>
          </w:tcPr>
          <w:p w14:paraId="1A5D519B"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30 - 39</w:t>
            </w:r>
          </w:p>
        </w:tc>
        <w:tc>
          <w:tcPr>
            <w:tcW w:w="2115" w:type="dxa"/>
            <w:tcBorders>
              <w:top w:val="none" w:sz="0" w:space="0" w:color="000000"/>
              <w:left w:val="none" w:sz="0" w:space="0" w:color="000000"/>
              <w:bottom w:val="none" w:sz="0" w:space="0" w:color="000000"/>
              <w:right w:val="none" w:sz="0" w:space="0" w:color="000000"/>
            </w:tcBorders>
            <w:vAlign w:val="bottom"/>
          </w:tcPr>
          <w:p w14:paraId="09107889"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17</w:t>
            </w:r>
          </w:p>
        </w:tc>
        <w:tc>
          <w:tcPr>
            <w:tcW w:w="1713" w:type="dxa"/>
            <w:tcBorders>
              <w:top w:val="none" w:sz="0" w:space="0" w:color="000000"/>
              <w:left w:val="none" w:sz="0" w:space="0" w:color="000000"/>
              <w:bottom w:val="none" w:sz="0" w:space="0" w:color="000000"/>
              <w:right w:val="none" w:sz="0" w:space="0" w:color="000000"/>
            </w:tcBorders>
            <w:vAlign w:val="bottom"/>
          </w:tcPr>
          <w:p w14:paraId="57ECCF59"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22.4</w:t>
            </w:r>
          </w:p>
        </w:tc>
      </w:tr>
      <w:tr w:rsidR="00FC2F8E" w:rsidRPr="00297679" w14:paraId="0DCA3346" w14:textId="77777777">
        <w:tc>
          <w:tcPr>
            <w:tcW w:w="5670" w:type="dxa"/>
            <w:tcBorders>
              <w:top w:val="none" w:sz="0" w:space="0" w:color="000000"/>
              <w:left w:val="none" w:sz="0" w:space="0" w:color="000000"/>
              <w:bottom w:val="none" w:sz="0" w:space="0" w:color="000000"/>
              <w:right w:val="none" w:sz="0" w:space="0" w:color="000000"/>
            </w:tcBorders>
            <w:vAlign w:val="bottom"/>
          </w:tcPr>
          <w:p w14:paraId="276F6A07"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40 - 49</w:t>
            </w:r>
          </w:p>
        </w:tc>
        <w:tc>
          <w:tcPr>
            <w:tcW w:w="2115" w:type="dxa"/>
            <w:tcBorders>
              <w:top w:val="none" w:sz="0" w:space="0" w:color="000000"/>
              <w:left w:val="none" w:sz="0" w:space="0" w:color="000000"/>
              <w:bottom w:val="none" w:sz="0" w:space="0" w:color="000000"/>
              <w:right w:val="none" w:sz="0" w:space="0" w:color="000000"/>
            </w:tcBorders>
            <w:vAlign w:val="bottom"/>
          </w:tcPr>
          <w:p w14:paraId="78434949"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28</w:t>
            </w:r>
          </w:p>
        </w:tc>
        <w:tc>
          <w:tcPr>
            <w:tcW w:w="1713" w:type="dxa"/>
            <w:tcBorders>
              <w:top w:val="none" w:sz="0" w:space="0" w:color="000000"/>
              <w:left w:val="none" w:sz="0" w:space="0" w:color="000000"/>
              <w:bottom w:val="none" w:sz="0" w:space="0" w:color="000000"/>
              <w:right w:val="none" w:sz="0" w:space="0" w:color="000000"/>
            </w:tcBorders>
            <w:vAlign w:val="bottom"/>
          </w:tcPr>
          <w:p w14:paraId="485F5EF2"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36.8</w:t>
            </w:r>
          </w:p>
        </w:tc>
      </w:tr>
      <w:tr w:rsidR="00FC2F8E" w:rsidRPr="00297679" w14:paraId="021F3117" w14:textId="77777777">
        <w:tc>
          <w:tcPr>
            <w:tcW w:w="5670" w:type="dxa"/>
            <w:tcBorders>
              <w:top w:val="none" w:sz="0" w:space="0" w:color="000000"/>
              <w:left w:val="none" w:sz="0" w:space="0" w:color="000000"/>
              <w:bottom w:val="none" w:sz="0" w:space="0" w:color="000000"/>
              <w:right w:val="none" w:sz="0" w:space="0" w:color="000000"/>
            </w:tcBorders>
            <w:vAlign w:val="bottom"/>
          </w:tcPr>
          <w:p w14:paraId="211DB13D"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50 and above</w:t>
            </w:r>
          </w:p>
        </w:tc>
        <w:tc>
          <w:tcPr>
            <w:tcW w:w="2115" w:type="dxa"/>
            <w:tcBorders>
              <w:top w:val="none" w:sz="0" w:space="0" w:color="000000"/>
              <w:left w:val="none" w:sz="0" w:space="0" w:color="000000"/>
              <w:bottom w:val="none" w:sz="0" w:space="0" w:color="000000"/>
              <w:right w:val="none" w:sz="0" w:space="0" w:color="000000"/>
            </w:tcBorders>
            <w:vAlign w:val="bottom"/>
          </w:tcPr>
          <w:p w14:paraId="0B253C77"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10</w:t>
            </w:r>
          </w:p>
        </w:tc>
        <w:tc>
          <w:tcPr>
            <w:tcW w:w="1713" w:type="dxa"/>
            <w:tcBorders>
              <w:top w:val="none" w:sz="0" w:space="0" w:color="000000"/>
              <w:left w:val="none" w:sz="0" w:space="0" w:color="000000"/>
              <w:bottom w:val="none" w:sz="0" w:space="0" w:color="000000"/>
              <w:right w:val="none" w:sz="0" w:space="0" w:color="000000"/>
            </w:tcBorders>
            <w:vAlign w:val="bottom"/>
          </w:tcPr>
          <w:p w14:paraId="2E8D69C3"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13.2</w:t>
            </w:r>
          </w:p>
        </w:tc>
      </w:tr>
      <w:tr w:rsidR="00FC2F8E" w:rsidRPr="00297679" w14:paraId="44200797" w14:textId="77777777">
        <w:tc>
          <w:tcPr>
            <w:tcW w:w="5670" w:type="dxa"/>
            <w:tcBorders>
              <w:top w:val="none" w:sz="0" w:space="0" w:color="000000"/>
              <w:left w:val="none" w:sz="0" w:space="0" w:color="000000"/>
              <w:bottom w:val="none" w:sz="0" w:space="0" w:color="000000"/>
              <w:right w:val="none" w:sz="0" w:space="0" w:color="000000"/>
            </w:tcBorders>
            <w:vAlign w:val="bottom"/>
          </w:tcPr>
          <w:p w14:paraId="01AAEB45" w14:textId="77777777" w:rsidR="00FC2F8E" w:rsidRPr="00297679" w:rsidRDefault="00AE16DB">
            <w:pPr>
              <w:spacing w:before="100" w:beforeAutospacing="1" w:after="100" w:afterAutospacing="1"/>
              <w:jc w:val="both"/>
              <w:rPr>
                <w:rFonts w:ascii="Times New Roman" w:eastAsia="Times New Roman" w:hAnsi="Times New Roman" w:cs="Times New Roman" w:hint="default"/>
                <w:b/>
                <w:bCs/>
                <w:sz w:val="24"/>
                <w:szCs w:val="24"/>
              </w:rPr>
            </w:pPr>
            <w:r w:rsidRPr="00297679">
              <w:rPr>
                <w:rFonts w:ascii="Times New Roman" w:eastAsia="Times New Roman" w:hAnsi="Times New Roman" w:cs="Times New Roman" w:hint="default"/>
                <w:b/>
                <w:bCs/>
                <w:sz w:val="24"/>
                <w:szCs w:val="24"/>
              </w:rPr>
              <w:t>Sex</w:t>
            </w:r>
          </w:p>
        </w:tc>
        <w:tc>
          <w:tcPr>
            <w:tcW w:w="2115" w:type="dxa"/>
            <w:tcBorders>
              <w:top w:val="none" w:sz="0" w:space="0" w:color="000000"/>
              <w:left w:val="none" w:sz="0" w:space="0" w:color="000000"/>
              <w:bottom w:val="none" w:sz="0" w:space="0" w:color="000000"/>
              <w:right w:val="none" w:sz="0" w:space="0" w:color="000000"/>
            </w:tcBorders>
            <w:vAlign w:val="bottom"/>
          </w:tcPr>
          <w:p w14:paraId="1510541E"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c>
          <w:tcPr>
            <w:tcW w:w="1713" w:type="dxa"/>
            <w:tcBorders>
              <w:top w:val="none" w:sz="0" w:space="0" w:color="000000"/>
              <w:left w:val="none" w:sz="0" w:space="0" w:color="000000"/>
              <w:bottom w:val="none" w:sz="0" w:space="0" w:color="000000"/>
              <w:right w:val="none" w:sz="0" w:space="0" w:color="000000"/>
            </w:tcBorders>
            <w:vAlign w:val="bottom"/>
          </w:tcPr>
          <w:p w14:paraId="2E77C728"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r>
      <w:tr w:rsidR="00FC2F8E" w:rsidRPr="00297679" w14:paraId="35E96C27" w14:textId="77777777">
        <w:tc>
          <w:tcPr>
            <w:tcW w:w="5670" w:type="dxa"/>
            <w:tcBorders>
              <w:top w:val="none" w:sz="0" w:space="0" w:color="000000"/>
              <w:left w:val="none" w:sz="0" w:space="0" w:color="000000"/>
              <w:bottom w:val="none" w:sz="0" w:space="0" w:color="000000"/>
              <w:right w:val="none" w:sz="0" w:space="0" w:color="000000"/>
            </w:tcBorders>
            <w:vAlign w:val="bottom"/>
          </w:tcPr>
          <w:p w14:paraId="1BD00D1D"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Male</w:t>
            </w:r>
          </w:p>
        </w:tc>
        <w:tc>
          <w:tcPr>
            <w:tcW w:w="2115" w:type="dxa"/>
            <w:tcBorders>
              <w:top w:val="none" w:sz="0" w:space="0" w:color="000000"/>
              <w:left w:val="none" w:sz="0" w:space="0" w:color="000000"/>
              <w:bottom w:val="none" w:sz="0" w:space="0" w:color="000000"/>
              <w:right w:val="none" w:sz="0" w:space="0" w:color="000000"/>
            </w:tcBorders>
            <w:vAlign w:val="bottom"/>
          </w:tcPr>
          <w:p w14:paraId="1793E289"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4</w:t>
            </w:r>
          </w:p>
        </w:tc>
        <w:tc>
          <w:tcPr>
            <w:tcW w:w="1713" w:type="dxa"/>
            <w:tcBorders>
              <w:top w:val="none" w:sz="0" w:space="0" w:color="000000"/>
              <w:left w:val="none" w:sz="0" w:space="0" w:color="000000"/>
              <w:bottom w:val="none" w:sz="0" w:space="0" w:color="000000"/>
              <w:right w:val="none" w:sz="0" w:space="0" w:color="000000"/>
            </w:tcBorders>
            <w:vAlign w:val="bottom"/>
          </w:tcPr>
          <w:p w14:paraId="1F6662CF"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5.3</w:t>
            </w:r>
          </w:p>
        </w:tc>
      </w:tr>
      <w:tr w:rsidR="00FC2F8E" w:rsidRPr="00297679" w14:paraId="35D27265" w14:textId="77777777">
        <w:tc>
          <w:tcPr>
            <w:tcW w:w="5670" w:type="dxa"/>
            <w:tcBorders>
              <w:top w:val="none" w:sz="0" w:space="0" w:color="000000"/>
              <w:left w:val="none" w:sz="0" w:space="0" w:color="000000"/>
              <w:bottom w:val="none" w:sz="0" w:space="0" w:color="000000"/>
              <w:right w:val="none" w:sz="0" w:space="0" w:color="000000"/>
            </w:tcBorders>
            <w:vAlign w:val="bottom"/>
          </w:tcPr>
          <w:p w14:paraId="56E6DC8C"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Female</w:t>
            </w:r>
          </w:p>
        </w:tc>
        <w:tc>
          <w:tcPr>
            <w:tcW w:w="2115" w:type="dxa"/>
            <w:tcBorders>
              <w:top w:val="none" w:sz="0" w:space="0" w:color="000000"/>
              <w:left w:val="none" w:sz="0" w:space="0" w:color="000000"/>
              <w:bottom w:val="none" w:sz="0" w:space="0" w:color="000000"/>
              <w:right w:val="none" w:sz="0" w:space="0" w:color="000000"/>
            </w:tcBorders>
            <w:vAlign w:val="bottom"/>
          </w:tcPr>
          <w:p w14:paraId="71A7D287"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72</w:t>
            </w:r>
          </w:p>
        </w:tc>
        <w:tc>
          <w:tcPr>
            <w:tcW w:w="1713" w:type="dxa"/>
            <w:tcBorders>
              <w:top w:val="none" w:sz="0" w:space="0" w:color="000000"/>
              <w:left w:val="none" w:sz="0" w:space="0" w:color="000000"/>
              <w:bottom w:val="none" w:sz="0" w:space="0" w:color="000000"/>
              <w:right w:val="none" w:sz="0" w:space="0" w:color="000000"/>
            </w:tcBorders>
            <w:vAlign w:val="bottom"/>
          </w:tcPr>
          <w:p w14:paraId="4E4485EB"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94.7</w:t>
            </w:r>
          </w:p>
        </w:tc>
      </w:tr>
      <w:tr w:rsidR="00FC2F8E" w:rsidRPr="00297679" w14:paraId="400FEE7D" w14:textId="77777777">
        <w:tc>
          <w:tcPr>
            <w:tcW w:w="5670" w:type="dxa"/>
            <w:tcBorders>
              <w:top w:val="none" w:sz="0" w:space="0" w:color="000000"/>
              <w:left w:val="none" w:sz="0" w:space="0" w:color="000000"/>
              <w:bottom w:val="none" w:sz="0" w:space="0" w:color="000000"/>
              <w:right w:val="none" w:sz="0" w:space="0" w:color="000000"/>
            </w:tcBorders>
            <w:vAlign w:val="bottom"/>
          </w:tcPr>
          <w:p w14:paraId="657B675A" w14:textId="77777777" w:rsidR="00FC2F8E" w:rsidRPr="00297679" w:rsidRDefault="00AE16DB">
            <w:pPr>
              <w:spacing w:before="100" w:beforeAutospacing="1" w:after="100" w:afterAutospacing="1"/>
              <w:jc w:val="both"/>
              <w:rPr>
                <w:rFonts w:ascii="Times New Roman" w:hAnsi="Times New Roman" w:cs="Times New Roman" w:hint="default"/>
                <w:b/>
                <w:bCs/>
                <w:sz w:val="24"/>
                <w:szCs w:val="24"/>
              </w:rPr>
            </w:pPr>
            <w:r w:rsidRPr="00297679">
              <w:rPr>
                <w:rFonts w:ascii="Times New Roman" w:eastAsia="Times New Roman" w:hAnsi="Times New Roman" w:cs="Times New Roman" w:hint="default"/>
                <w:b/>
                <w:bCs/>
                <w:sz w:val="24"/>
                <w:szCs w:val="24"/>
              </w:rPr>
              <w:t>Professional cadre</w:t>
            </w:r>
          </w:p>
        </w:tc>
        <w:tc>
          <w:tcPr>
            <w:tcW w:w="2115" w:type="dxa"/>
            <w:tcBorders>
              <w:top w:val="none" w:sz="0" w:space="0" w:color="000000"/>
              <w:left w:val="none" w:sz="0" w:space="0" w:color="000000"/>
              <w:bottom w:val="none" w:sz="0" w:space="0" w:color="000000"/>
              <w:right w:val="none" w:sz="0" w:space="0" w:color="000000"/>
            </w:tcBorders>
            <w:vAlign w:val="bottom"/>
          </w:tcPr>
          <w:p w14:paraId="4A38DFA8"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c>
          <w:tcPr>
            <w:tcW w:w="1713" w:type="dxa"/>
            <w:tcBorders>
              <w:top w:val="none" w:sz="0" w:space="0" w:color="000000"/>
              <w:left w:val="none" w:sz="0" w:space="0" w:color="000000"/>
              <w:bottom w:val="none" w:sz="0" w:space="0" w:color="000000"/>
              <w:right w:val="none" w:sz="0" w:space="0" w:color="000000"/>
            </w:tcBorders>
            <w:vAlign w:val="bottom"/>
          </w:tcPr>
          <w:p w14:paraId="02E90275"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r>
      <w:tr w:rsidR="00FC2F8E" w:rsidRPr="00297679" w14:paraId="45D0F926" w14:textId="77777777">
        <w:tc>
          <w:tcPr>
            <w:tcW w:w="5670" w:type="dxa"/>
            <w:tcBorders>
              <w:top w:val="none" w:sz="0" w:space="0" w:color="000000"/>
              <w:left w:val="none" w:sz="0" w:space="0" w:color="000000"/>
              <w:bottom w:val="none" w:sz="0" w:space="0" w:color="000000"/>
              <w:right w:val="none" w:sz="0" w:space="0" w:color="000000"/>
            </w:tcBorders>
            <w:vAlign w:val="bottom"/>
          </w:tcPr>
          <w:p w14:paraId="3E3CFCCA" w14:textId="77777777" w:rsidR="00FC2F8E" w:rsidRPr="00297679" w:rsidRDefault="00AE16DB">
            <w:pPr>
              <w:spacing w:before="100" w:beforeAutospacing="1" w:after="100" w:afterAutospacing="1"/>
              <w:ind w:left="252"/>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Nurse/Midwife</w:t>
            </w:r>
          </w:p>
        </w:tc>
        <w:tc>
          <w:tcPr>
            <w:tcW w:w="2115" w:type="dxa"/>
            <w:tcBorders>
              <w:top w:val="none" w:sz="0" w:space="0" w:color="000000"/>
              <w:left w:val="none" w:sz="0" w:space="0" w:color="000000"/>
              <w:bottom w:val="none" w:sz="0" w:space="0" w:color="000000"/>
              <w:right w:val="none" w:sz="0" w:space="0" w:color="000000"/>
            </w:tcBorders>
            <w:vAlign w:val="bottom"/>
          </w:tcPr>
          <w:p w14:paraId="44BAB7E2"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35</w:t>
            </w:r>
          </w:p>
        </w:tc>
        <w:tc>
          <w:tcPr>
            <w:tcW w:w="1713" w:type="dxa"/>
            <w:tcBorders>
              <w:top w:val="none" w:sz="0" w:space="0" w:color="000000"/>
              <w:left w:val="none" w:sz="0" w:space="0" w:color="000000"/>
              <w:bottom w:val="none" w:sz="0" w:space="0" w:color="000000"/>
              <w:right w:val="none" w:sz="0" w:space="0" w:color="000000"/>
            </w:tcBorders>
            <w:vAlign w:val="bottom"/>
          </w:tcPr>
          <w:p w14:paraId="4A2D4586"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46.1</w:t>
            </w:r>
          </w:p>
        </w:tc>
      </w:tr>
      <w:tr w:rsidR="00FC2F8E" w:rsidRPr="00297679" w14:paraId="2E7BEAEB" w14:textId="77777777">
        <w:tc>
          <w:tcPr>
            <w:tcW w:w="5670" w:type="dxa"/>
            <w:tcBorders>
              <w:top w:val="none" w:sz="0" w:space="0" w:color="000000"/>
              <w:left w:val="none" w:sz="0" w:space="0" w:color="000000"/>
              <w:bottom w:val="none" w:sz="0" w:space="0" w:color="000000"/>
              <w:right w:val="none" w:sz="0" w:space="0" w:color="000000"/>
            </w:tcBorders>
            <w:vAlign w:val="bottom"/>
          </w:tcPr>
          <w:p w14:paraId="7CF30DFA" w14:textId="77777777" w:rsidR="00FC2F8E" w:rsidRPr="00297679" w:rsidRDefault="00AE16DB">
            <w:pPr>
              <w:spacing w:before="100" w:beforeAutospacing="1" w:after="100" w:afterAutospacing="1"/>
              <w:ind w:left="252"/>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Dietician/Nutritionist</w:t>
            </w:r>
          </w:p>
        </w:tc>
        <w:tc>
          <w:tcPr>
            <w:tcW w:w="2115" w:type="dxa"/>
            <w:tcBorders>
              <w:top w:val="none" w:sz="0" w:space="0" w:color="000000"/>
              <w:left w:val="none" w:sz="0" w:space="0" w:color="000000"/>
              <w:bottom w:val="none" w:sz="0" w:space="0" w:color="000000"/>
              <w:right w:val="none" w:sz="0" w:space="0" w:color="000000"/>
            </w:tcBorders>
            <w:vAlign w:val="bottom"/>
          </w:tcPr>
          <w:p w14:paraId="136C3499"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30</w:t>
            </w:r>
          </w:p>
        </w:tc>
        <w:tc>
          <w:tcPr>
            <w:tcW w:w="1713" w:type="dxa"/>
            <w:tcBorders>
              <w:top w:val="none" w:sz="0" w:space="0" w:color="000000"/>
              <w:left w:val="none" w:sz="0" w:space="0" w:color="000000"/>
              <w:bottom w:val="none" w:sz="0" w:space="0" w:color="000000"/>
              <w:right w:val="none" w:sz="0" w:space="0" w:color="000000"/>
            </w:tcBorders>
            <w:vAlign w:val="bottom"/>
          </w:tcPr>
          <w:p w14:paraId="392A7FF7"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39.5</w:t>
            </w:r>
          </w:p>
        </w:tc>
      </w:tr>
      <w:tr w:rsidR="00FC2F8E" w:rsidRPr="00297679" w14:paraId="07786242" w14:textId="77777777">
        <w:tc>
          <w:tcPr>
            <w:tcW w:w="5670" w:type="dxa"/>
            <w:tcBorders>
              <w:top w:val="none" w:sz="0" w:space="0" w:color="000000"/>
              <w:left w:val="none" w:sz="0" w:space="0" w:color="000000"/>
              <w:bottom w:val="none" w:sz="0" w:space="0" w:color="000000"/>
              <w:right w:val="none" w:sz="0" w:space="0" w:color="000000"/>
            </w:tcBorders>
            <w:vAlign w:val="bottom"/>
          </w:tcPr>
          <w:p w14:paraId="62EFF816" w14:textId="77777777" w:rsidR="00FC2F8E" w:rsidRPr="00297679" w:rsidRDefault="00AE16DB">
            <w:pPr>
              <w:spacing w:before="100" w:beforeAutospacing="1" w:after="100" w:afterAutospacing="1"/>
              <w:ind w:left="252"/>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Health Educator</w:t>
            </w:r>
          </w:p>
        </w:tc>
        <w:tc>
          <w:tcPr>
            <w:tcW w:w="2115" w:type="dxa"/>
            <w:tcBorders>
              <w:top w:val="none" w:sz="0" w:space="0" w:color="000000"/>
              <w:left w:val="none" w:sz="0" w:space="0" w:color="000000"/>
              <w:bottom w:val="none" w:sz="0" w:space="0" w:color="000000"/>
              <w:right w:val="none" w:sz="0" w:space="0" w:color="000000"/>
            </w:tcBorders>
            <w:vAlign w:val="bottom"/>
          </w:tcPr>
          <w:p w14:paraId="2B0D3F1B"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4</w:t>
            </w:r>
          </w:p>
        </w:tc>
        <w:tc>
          <w:tcPr>
            <w:tcW w:w="1713" w:type="dxa"/>
            <w:tcBorders>
              <w:top w:val="none" w:sz="0" w:space="0" w:color="000000"/>
              <w:left w:val="none" w:sz="0" w:space="0" w:color="000000"/>
              <w:bottom w:val="none" w:sz="0" w:space="0" w:color="000000"/>
              <w:right w:val="none" w:sz="0" w:space="0" w:color="000000"/>
            </w:tcBorders>
            <w:vAlign w:val="bottom"/>
          </w:tcPr>
          <w:p w14:paraId="363AC3DA"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5.3</w:t>
            </w:r>
          </w:p>
        </w:tc>
      </w:tr>
      <w:tr w:rsidR="00FC2F8E" w:rsidRPr="00297679" w14:paraId="2A64E4AC" w14:textId="77777777">
        <w:tc>
          <w:tcPr>
            <w:tcW w:w="5670" w:type="dxa"/>
            <w:tcBorders>
              <w:top w:val="none" w:sz="0" w:space="0" w:color="000000"/>
              <w:left w:val="none" w:sz="0" w:space="0" w:color="000000"/>
              <w:bottom w:val="none" w:sz="0" w:space="0" w:color="000000"/>
              <w:right w:val="none" w:sz="0" w:space="0" w:color="000000"/>
            </w:tcBorders>
            <w:vAlign w:val="bottom"/>
          </w:tcPr>
          <w:p w14:paraId="305E2C35" w14:textId="77777777" w:rsidR="00FC2F8E" w:rsidRPr="00297679" w:rsidRDefault="00AE16DB">
            <w:pPr>
              <w:spacing w:before="100" w:beforeAutospacing="1" w:after="100" w:afterAutospacing="1"/>
              <w:ind w:left="252"/>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Community Health Officer/</w:t>
            </w:r>
            <w:proofErr w:type="spellStart"/>
            <w:r w:rsidRPr="00297679">
              <w:rPr>
                <w:rFonts w:ascii="Times New Roman" w:eastAsia="Times New Roman" w:hAnsi="Times New Roman" w:cs="Times New Roman" w:hint="default"/>
                <w:sz w:val="24"/>
                <w:szCs w:val="24"/>
              </w:rPr>
              <w:t>Extention</w:t>
            </w:r>
            <w:proofErr w:type="spellEnd"/>
            <w:r w:rsidRPr="00297679">
              <w:rPr>
                <w:rFonts w:ascii="Times New Roman" w:eastAsia="Times New Roman" w:hAnsi="Times New Roman" w:cs="Times New Roman" w:hint="default"/>
                <w:sz w:val="24"/>
                <w:szCs w:val="24"/>
              </w:rPr>
              <w:t xml:space="preserve"> worker</w:t>
            </w:r>
          </w:p>
        </w:tc>
        <w:tc>
          <w:tcPr>
            <w:tcW w:w="2115" w:type="dxa"/>
            <w:tcBorders>
              <w:top w:val="none" w:sz="0" w:space="0" w:color="000000"/>
              <w:left w:val="none" w:sz="0" w:space="0" w:color="000000"/>
              <w:bottom w:val="none" w:sz="0" w:space="0" w:color="000000"/>
              <w:right w:val="none" w:sz="0" w:space="0" w:color="000000"/>
            </w:tcBorders>
            <w:vAlign w:val="bottom"/>
          </w:tcPr>
          <w:p w14:paraId="27D2C9DE"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5</w:t>
            </w:r>
          </w:p>
        </w:tc>
        <w:tc>
          <w:tcPr>
            <w:tcW w:w="1713" w:type="dxa"/>
            <w:tcBorders>
              <w:top w:val="none" w:sz="0" w:space="0" w:color="000000"/>
              <w:left w:val="none" w:sz="0" w:space="0" w:color="000000"/>
              <w:bottom w:val="none" w:sz="0" w:space="0" w:color="000000"/>
              <w:right w:val="none" w:sz="0" w:space="0" w:color="000000"/>
            </w:tcBorders>
            <w:vAlign w:val="bottom"/>
          </w:tcPr>
          <w:p w14:paraId="5C97109B"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6.6</w:t>
            </w:r>
          </w:p>
        </w:tc>
      </w:tr>
      <w:tr w:rsidR="00FC2F8E" w:rsidRPr="00297679" w14:paraId="2AA3BF4E" w14:textId="77777777">
        <w:tc>
          <w:tcPr>
            <w:tcW w:w="5670" w:type="dxa"/>
            <w:tcBorders>
              <w:top w:val="none" w:sz="0" w:space="0" w:color="000000"/>
              <w:left w:val="none" w:sz="0" w:space="0" w:color="000000"/>
              <w:bottom w:val="none" w:sz="0" w:space="0" w:color="000000"/>
              <w:right w:val="none" w:sz="0" w:space="0" w:color="000000"/>
            </w:tcBorders>
            <w:vAlign w:val="bottom"/>
          </w:tcPr>
          <w:p w14:paraId="7BA57691"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Physiotherapist</w:t>
            </w:r>
          </w:p>
        </w:tc>
        <w:tc>
          <w:tcPr>
            <w:tcW w:w="2115" w:type="dxa"/>
            <w:tcBorders>
              <w:top w:val="none" w:sz="0" w:space="0" w:color="000000"/>
              <w:left w:val="none" w:sz="0" w:space="0" w:color="000000"/>
              <w:bottom w:val="none" w:sz="0" w:space="0" w:color="000000"/>
              <w:right w:val="none" w:sz="0" w:space="0" w:color="000000"/>
            </w:tcBorders>
            <w:vAlign w:val="bottom"/>
          </w:tcPr>
          <w:p w14:paraId="15C2A1F3"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2</w:t>
            </w:r>
          </w:p>
        </w:tc>
        <w:tc>
          <w:tcPr>
            <w:tcW w:w="1713" w:type="dxa"/>
            <w:tcBorders>
              <w:top w:val="none" w:sz="0" w:space="0" w:color="000000"/>
              <w:left w:val="none" w:sz="0" w:space="0" w:color="000000"/>
              <w:bottom w:val="none" w:sz="0" w:space="0" w:color="000000"/>
              <w:right w:val="none" w:sz="0" w:space="0" w:color="000000"/>
            </w:tcBorders>
            <w:vAlign w:val="bottom"/>
          </w:tcPr>
          <w:p w14:paraId="66CB91C2"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2.5</w:t>
            </w:r>
          </w:p>
        </w:tc>
      </w:tr>
      <w:tr w:rsidR="00FC2F8E" w:rsidRPr="00297679" w14:paraId="4DBE98FB" w14:textId="77777777">
        <w:tc>
          <w:tcPr>
            <w:tcW w:w="5670" w:type="dxa"/>
            <w:tcBorders>
              <w:top w:val="none" w:sz="0" w:space="0" w:color="000000"/>
              <w:left w:val="none" w:sz="0" w:space="0" w:color="000000"/>
              <w:bottom w:val="none" w:sz="0" w:space="0" w:color="000000"/>
              <w:right w:val="none" w:sz="0" w:space="0" w:color="000000"/>
            </w:tcBorders>
            <w:vAlign w:val="bottom"/>
          </w:tcPr>
          <w:p w14:paraId="66EEE887" w14:textId="77777777" w:rsidR="00FC2F8E" w:rsidRPr="00297679" w:rsidRDefault="00AE16DB">
            <w:pPr>
              <w:spacing w:before="100" w:beforeAutospacing="1" w:after="100" w:afterAutospacing="1"/>
              <w:jc w:val="both"/>
              <w:rPr>
                <w:rFonts w:ascii="Times New Roman" w:eastAsia="Times New Roman" w:hAnsi="Times New Roman" w:cs="Times New Roman" w:hint="default"/>
                <w:b/>
                <w:bCs/>
                <w:sz w:val="24"/>
                <w:szCs w:val="24"/>
              </w:rPr>
            </w:pPr>
            <w:r w:rsidRPr="00297679">
              <w:rPr>
                <w:rFonts w:ascii="Times New Roman" w:eastAsia="Times New Roman" w:hAnsi="Times New Roman" w:cs="Times New Roman" w:hint="default"/>
                <w:b/>
                <w:bCs/>
                <w:sz w:val="24"/>
                <w:szCs w:val="24"/>
              </w:rPr>
              <w:t>Highest educational qualification</w:t>
            </w:r>
          </w:p>
        </w:tc>
        <w:tc>
          <w:tcPr>
            <w:tcW w:w="2115" w:type="dxa"/>
            <w:tcBorders>
              <w:top w:val="none" w:sz="0" w:space="0" w:color="000000"/>
              <w:left w:val="none" w:sz="0" w:space="0" w:color="000000"/>
              <w:bottom w:val="none" w:sz="0" w:space="0" w:color="000000"/>
              <w:right w:val="none" w:sz="0" w:space="0" w:color="000000"/>
            </w:tcBorders>
            <w:vAlign w:val="bottom"/>
          </w:tcPr>
          <w:p w14:paraId="765B7109"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c>
          <w:tcPr>
            <w:tcW w:w="1713" w:type="dxa"/>
            <w:tcBorders>
              <w:top w:val="none" w:sz="0" w:space="0" w:color="000000"/>
              <w:left w:val="none" w:sz="0" w:space="0" w:color="000000"/>
              <w:bottom w:val="none" w:sz="0" w:space="0" w:color="000000"/>
              <w:right w:val="none" w:sz="0" w:space="0" w:color="000000"/>
            </w:tcBorders>
            <w:vAlign w:val="bottom"/>
          </w:tcPr>
          <w:p w14:paraId="2D0C58FC"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r>
      <w:tr w:rsidR="00FC2F8E" w:rsidRPr="00297679" w14:paraId="2B0F7B3C" w14:textId="77777777">
        <w:tc>
          <w:tcPr>
            <w:tcW w:w="5670" w:type="dxa"/>
            <w:tcBorders>
              <w:top w:val="none" w:sz="0" w:space="0" w:color="000000"/>
              <w:left w:val="none" w:sz="0" w:space="0" w:color="000000"/>
              <w:bottom w:val="none" w:sz="0" w:space="0" w:color="000000"/>
              <w:right w:val="none" w:sz="0" w:space="0" w:color="000000"/>
            </w:tcBorders>
            <w:vAlign w:val="bottom"/>
          </w:tcPr>
          <w:p w14:paraId="23FFC26E"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Diploma</w:t>
            </w:r>
          </w:p>
        </w:tc>
        <w:tc>
          <w:tcPr>
            <w:tcW w:w="2115" w:type="dxa"/>
            <w:tcBorders>
              <w:top w:val="none" w:sz="0" w:space="0" w:color="000000"/>
              <w:left w:val="none" w:sz="0" w:space="0" w:color="000000"/>
              <w:bottom w:val="none" w:sz="0" w:space="0" w:color="000000"/>
              <w:right w:val="none" w:sz="0" w:space="0" w:color="000000"/>
            </w:tcBorders>
            <w:vAlign w:val="bottom"/>
          </w:tcPr>
          <w:p w14:paraId="25D2C95C"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14</w:t>
            </w:r>
          </w:p>
        </w:tc>
        <w:tc>
          <w:tcPr>
            <w:tcW w:w="1713" w:type="dxa"/>
            <w:tcBorders>
              <w:top w:val="none" w:sz="0" w:space="0" w:color="000000"/>
              <w:left w:val="none" w:sz="0" w:space="0" w:color="000000"/>
              <w:bottom w:val="none" w:sz="0" w:space="0" w:color="000000"/>
              <w:right w:val="none" w:sz="0" w:space="0" w:color="000000"/>
            </w:tcBorders>
            <w:vAlign w:val="bottom"/>
          </w:tcPr>
          <w:p w14:paraId="22838845"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18.4</w:t>
            </w:r>
          </w:p>
        </w:tc>
      </w:tr>
      <w:tr w:rsidR="00FC2F8E" w:rsidRPr="00297679" w14:paraId="1EC855FC" w14:textId="77777777">
        <w:tc>
          <w:tcPr>
            <w:tcW w:w="5670" w:type="dxa"/>
            <w:tcBorders>
              <w:top w:val="none" w:sz="0" w:space="0" w:color="000000"/>
              <w:left w:val="none" w:sz="0" w:space="0" w:color="000000"/>
              <w:bottom w:val="none" w:sz="0" w:space="0" w:color="000000"/>
              <w:right w:val="none" w:sz="0" w:space="0" w:color="000000"/>
            </w:tcBorders>
            <w:vAlign w:val="bottom"/>
          </w:tcPr>
          <w:p w14:paraId="0BF7812B"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proofErr w:type="spellStart"/>
            <w:proofErr w:type="gramStart"/>
            <w:r w:rsidRPr="00297679">
              <w:rPr>
                <w:rFonts w:ascii="Times New Roman" w:eastAsia="Times New Roman" w:hAnsi="Times New Roman" w:cs="Times New Roman" w:hint="default"/>
                <w:sz w:val="24"/>
                <w:szCs w:val="24"/>
              </w:rPr>
              <w:lastRenderedPageBreak/>
              <w:t>B.Sc</w:t>
            </w:r>
            <w:proofErr w:type="spellEnd"/>
            <w:proofErr w:type="gramEnd"/>
          </w:p>
        </w:tc>
        <w:tc>
          <w:tcPr>
            <w:tcW w:w="2115" w:type="dxa"/>
            <w:tcBorders>
              <w:top w:val="none" w:sz="0" w:space="0" w:color="000000"/>
              <w:left w:val="none" w:sz="0" w:space="0" w:color="000000"/>
              <w:bottom w:val="none" w:sz="0" w:space="0" w:color="000000"/>
              <w:right w:val="none" w:sz="0" w:space="0" w:color="000000"/>
            </w:tcBorders>
            <w:vAlign w:val="bottom"/>
          </w:tcPr>
          <w:p w14:paraId="31231654"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42</w:t>
            </w:r>
          </w:p>
        </w:tc>
        <w:tc>
          <w:tcPr>
            <w:tcW w:w="1713" w:type="dxa"/>
            <w:tcBorders>
              <w:top w:val="none" w:sz="0" w:space="0" w:color="000000"/>
              <w:left w:val="none" w:sz="0" w:space="0" w:color="000000"/>
              <w:bottom w:val="none" w:sz="0" w:space="0" w:color="000000"/>
              <w:right w:val="none" w:sz="0" w:space="0" w:color="000000"/>
            </w:tcBorders>
            <w:vAlign w:val="bottom"/>
          </w:tcPr>
          <w:p w14:paraId="2A1C67D6"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55.2</w:t>
            </w:r>
          </w:p>
        </w:tc>
      </w:tr>
      <w:tr w:rsidR="00FC2F8E" w:rsidRPr="00297679" w14:paraId="3CD23664" w14:textId="77777777">
        <w:tc>
          <w:tcPr>
            <w:tcW w:w="5670" w:type="dxa"/>
            <w:tcBorders>
              <w:top w:val="none" w:sz="0" w:space="0" w:color="000000"/>
              <w:left w:val="none" w:sz="0" w:space="0" w:color="000000"/>
              <w:bottom w:val="none" w:sz="0" w:space="0" w:color="000000"/>
              <w:right w:val="none" w:sz="0" w:space="0" w:color="000000"/>
            </w:tcBorders>
            <w:vAlign w:val="bottom"/>
          </w:tcPr>
          <w:p w14:paraId="069764D7"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Post-graduate Diploma</w:t>
            </w:r>
          </w:p>
        </w:tc>
        <w:tc>
          <w:tcPr>
            <w:tcW w:w="2115" w:type="dxa"/>
            <w:tcBorders>
              <w:top w:val="none" w:sz="0" w:space="0" w:color="000000"/>
              <w:left w:val="none" w:sz="0" w:space="0" w:color="000000"/>
              <w:bottom w:val="none" w:sz="0" w:space="0" w:color="000000"/>
              <w:right w:val="none" w:sz="0" w:space="0" w:color="000000"/>
            </w:tcBorders>
            <w:vAlign w:val="bottom"/>
          </w:tcPr>
          <w:p w14:paraId="790439BC"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4</w:t>
            </w:r>
          </w:p>
        </w:tc>
        <w:tc>
          <w:tcPr>
            <w:tcW w:w="1713" w:type="dxa"/>
            <w:tcBorders>
              <w:top w:val="none" w:sz="0" w:space="0" w:color="000000"/>
              <w:left w:val="none" w:sz="0" w:space="0" w:color="000000"/>
              <w:bottom w:val="none" w:sz="0" w:space="0" w:color="000000"/>
              <w:right w:val="none" w:sz="0" w:space="0" w:color="000000"/>
            </w:tcBorders>
            <w:vAlign w:val="bottom"/>
          </w:tcPr>
          <w:p w14:paraId="3227D2E4"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5.3</w:t>
            </w:r>
          </w:p>
        </w:tc>
      </w:tr>
      <w:tr w:rsidR="00FC2F8E" w:rsidRPr="00297679" w14:paraId="34FCC1C0" w14:textId="77777777">
        <w:tc>
          <w:tcPr>
            <w:tcW w:w="5670" w:type="dxa"/>
            <w:tcBorders>
              <w:top w:val="none" w:sz="0" w:space="0" w:color="000000"/>
              <w:left w:val="none" w:sz="0" w:space="0" w:color="000000"/>
              <w:bottom w:val="none" w:sz="0" w:space="0" w:color="000000"/>
              <w:right w:val="none" w:sz="0" w:space="0" w:color="000000"/>
            </w:tcBorders>
            <w:vAlign w:val="bottom"/>
          </w:tcPr>
          <w:p w14:paraId="677D71B1"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Master's Degree</w:t>
            </w:r>
          </w:p>
        </w:tc>
        <w:tc>
          <w:tcPr>
            <w:tcW w:w="2115" w:type="dxa"/>
            <w:tcBorders>
              <w:top w:val="none" w:sz="0" w:space="0" w:color="000000"/>
              <w:left w:val="none" w:sz="0" w:space="0" w:color="000000"/>
              <w:bottom w:val="none" w:sz="0" w:space="0" w:color="000000"/>
              <w:right w:val="none" w:sz="0" w:space="0" w:color="000000"/>
            </w:tcBorders>
            <w:vAlign w:val="bottom"/>
          </w:tcPr>
          <w:p w14:paraId="527F8B8F"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12</w:t>
            </w:r>
          </w:p>
        </w:tc>
        <w:tc>
          <w:tcPr>
            <w:tcW w:w="1713" w:type="dxa"/>
            <w:tcBorders>
              <w:top w:val="none" w:sz="0" w:space="0" w:color="000000"/>
              <w:left w:val="none" w:sz="0" w:space="0" w:color="000000"/>
              <w:bottom w:val="none" w:sz="0" w:space="0" w:color="000000"/>
              <w:right w:val="none" w:sz="0" w:space="0" w:color="000000"/>
            </w:tcBorders>
            <w:vAlign w:val="bottom"/>
          </w:tcPr>
          <w:p w14:paraId="0219DB3F"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15.8</w:t>
            </w:r>
          </w:p>
        </w:tc>
      </w:tr>
      <w:tr w:rsidR="00FC2F8E" w:rsidRPr="00297679" w14:paraId="17FFABE8" w14:textId="77777777">
        <w:tc>
          <w:tcPr>
            <w:tcW w:w="5670" w:type="dxa"/>
            <w:tcBorders>
              <w:top w:val="none" w:sz="0" w:space="0" w:color="000000"/>
              <w:left w:val="none" w:sz="0" w:space="0" w:color="000000"/>
              <w:bottom w:val="single" w:sz="4" w:space="0" w:color="auto"/>
              <w:right w:val="none" w:sz="0" w:space="0" w:color="000000"/>
            </w:tcBorders>
            <w:vAlign w:val="bottom"/>
          </w:tcPr>
          <w:p w14:paraId="5FA1AFA1"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Others (Specify)</w:t>
            </w:r>
          </w:p>
        </w:tc>
        <w:tc>
          <w:tcPr>
            <w:tcW w:w="2115" w:type="dxa"/>
            <w:tcBorders>
              <w:top w:val="none" w:sz="0" w:space="0" w:color="000000"/>
              <w:left w:val="none" w:sz="0" w:space="0" w:color="000000"/>
              <w:bottom w:val="single" w:sz="4" w:space="0" w:color="auto"/>
              <w:right w:val="none" w:sz="0" w:space="0" w:color="000000"/>
            </w:tcBorders>
            <w:vAlign w:val="bottom"/>
          </w:tcPr>
          <w:p w14:paraId="58DB8BE7"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4</w:t>
            </w:r>
          </w:p>
        </w:tc>
        <w:tc>
          <w:tcPr>
            <w:tcW w:w="1713" w:type="dxa"/>
            <w:tcBorders>
              <w:top w:val="none" w:sz="0" w:space="0" w:color="000000"/>
              <w:left w:val="none" w:sz="0" w:space="0" w:color="000000"/>
              <w:bottom w:val="single" w:sz="4" w:space="0" w:color="auto"/>
              <w:right w:val="none" w:sz="0" w:space="0" w:color="000000"/>
            </w:tcBorders>
            <w:vAlign w:val="bottom"/>
          </w:tcPr>
          <w:p w14:paraId="799303A4"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5.3</w:t>
            </w:r>
          </w:p>
        </w:tc>
      </w:tr>
    </w:tbl>
    <w:p w14:paraId="4672AA8A" w14:textId="77777777" w:rsidR="00FC2F8E" w:rsidRPr="00297679" w:rsidRDefault="00AE16DB">
      <w:pPr>
        <w:spacing w:before="100" w:beforeAutospacing="1" w:after="100" w:afterAutospacing="1"/>
        <w:jc w:val="both"/>
        <w:rPr>
          <w:rFonts w:ascii="Times New Roman" w:eastAsia="Calibri" w:hAnsi="Times New Roman" w:cs="Times New Roman"/>
          <w:sz w:val="24"/>
          <w:szCs w:val="24"/>
        </w:rPr>
      </w:pPr>
      <w:r w:rsidRPr="00297679">
        <w:t xml:space="preserve">Table 1 presents the sociodemographic characteristics of health workers at AEFUTHA, Ebonyi State, Nigeria. The majority were aged 40–49 years, 28 (36.8%), followed by 20–29 years, 21 (27.6%). Most respondents were female, 72 (94.7%), while 4 (5.3%) were male. Nurses/midwives, 35 (46.1%), and dieticians/nutritionists, 30 (39.5%), constituted the major professional cadres. The majority had </w:t>
      </w:r>
      <w:proofErr w:type="spellStart"/>
      <w:proofErr w:type="gramStart"/>
      <w:r w:rsidRPr="00297679">
        <w:t>B.Sc</w:t>
      </w:r>
      <w:proofErr w:type="spellEnd"/>
      <w:proofErr w:type="gramEnd"/>
      <w:r w:rsidRPr="00297679">
        <w:t xml:space="preserve"> degrees, 42 (55.2%), followed by diplomas, 14 (18.4%), and master’s degrees, 12 (15.8%). Years of professional experience varied: less than 5 years, 25 (32.9%); 5–10 years, 16 (21.1%); 11–15 years, 17 (22.4%); and above 15 years, 18 (23.7%), as shown in Figure 1. Most respondents had worked in ANC/</w:t>
      </w:r>
      <w:proofErr w:type="spellStart"/>
      <w:r w:rsidRPr="00297679">
        <w:t>immunisation</w:t>
      </w:r>
      <w:proofErr w:type="spellEnd"/>
      <w:r w:rsidRPr="00297679">
        <w:t xml:space="preserve"> clinics for less than 1 year, 32 (42.1%), or 1–5 years, 30 (39.5%), while fewer had 6–10 years, 11 (14.5%), and above 10 years, 3 (3.9%).</w:t>
      </w:r>
    </w:p>
    <w:p w14:paraId="38054002"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rPr>
          <w:rFonts w:ascii="Calibri"/>
          <w:noProof/>
        </w:rPr>
        <w:drawing>
          <wp:inline distT="0" distB="0" distL="0" distR="0" wp14:anchorId="3D15C85A" wp14:editId="07B3E789">
            <wp:extent cx="5775959" cy="4777745"/>
            <wp:effectExtent l="0" t="0" r="15240" b="3810"/>
            <wp:docPr id="5565539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C755854" w14:textId="77777777" w:rsidR="00FC2F8E" w:rsidRPr="00297679" w:rsidRDefault="00AE16DB">
      <w:pPr>
        <w:pStyle w:val="Title"/>
      </w:pPr>
      <w:bookmarkStart w:id="9" w:name="_Toc224670966"/>
      <w:r w:rsidRPr="00297679">
        <w:t xml:space="preserve">Figure </w:t>
      </w:r>
      <w:r w:rsidR="00964562" w:rsidRPr="00297679">
        <w:t>1</w:t>
      </w:r>
      <w:r w:rsidRPr="00297679">
        <w:t>: Bar Chart Showing Years of Professional Experience among Health Workers in AEFUTHA Ebonyi State</w:t>
      </w:r>
      <w:bookmarkEnd w:id="9"/>
    </w:p>
    <w:p w14:paraId="7CCA72EB"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rPr>
          <w:rFonts w:ascii="Calibri"/>
          <w:noProof/>
        </w:rPr>
        <w:lastRenderedPageBreak/>
        <w:drawing>
          <wp:inline distT="0" distB="0" distL="0" distR="0" wp14:anchorId="1BC62726" wp14:editId="1BD88F02">
            <wp:extent cx="5806445" cy="4937754"/>
            <wp:effectExtent l="0" t="0" r="3810" b="15240"/>
            <wp:docPr id="209921694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DA78A7E" w14:textId="77777777" w:rsidR="00FC2F8E" w:rsidRPr="00297679" w:rsidRDefault="00AE16DB">
      <w:pPr>
        <w:pStyle w:val="Title"/>
      </w:pPr>
      <w:bookmarkStart w:id="10" w:name="_Toc224670967"/>
      <w:r w:rsidRPr="00297679">
        <w:t xml:space="preserve">Figure </w:t>
      </w:r>
      <w:r w:rsidR="00964562" w:rsidRPr="00297679">
        <w:t>2</w:t>
      </w:r>
      <w:r w:rsidRPr="00297679">
        <w:t>: Bar Chart Showing Years of working in ANC/ Immunization clinics among Health Workers in AEFUTHA Ebonyi State</w:t>
      </w:r>
      <w:bookmarkEnd w:id="10"/>
    </w:p>
    <w:p w14:paraId="1F78FDFC" w14:textId="77777777" w:rsidR="00964562" w:rsidRPr="00297679" w:rsidRDefault="00964562">
      <w:pPr>
        <w:pStyle w:val="Title"/>
      </w:pPr>
      <w:bookmarkStart w:id="11" w:name="_Toc224670846"/>
    </w:p>
    <w:p w14:paraId="7FB469E9" w14:textId="77777777" w:rsidR="00FC2F8E" w:rsidRPr="00297679" w:rsidRDefault="00AE16DB">
      <w:pPr>
        <w:pStyle w:val="Title"/>
      </w:pPr>
      <w:r w:rsidRPr="00297679">
        <w:t xml:space="preserve">Table </w:t>
      </w:r>
      <w:fldSimple w:instr=" SEQ Table \* ARABIC ">
        <w:r w:rsidRPr="00297679">
          <w:t>2</w:t>
        </w:r>
      </w:fldSimple>
      <w:r w:rsidRPr="00297679">
        <w:t xml:space="preserve">: Challenges Encountered in Delivering Health Education among Health Workers </w:t>
      </w:r>
      <w:r w:rsidRPr="00297679">
        <w:rPr>
          <w:rFonts w:eastAsia="Calibri"/>
        </w:rPr>
        <w:t>in AEFUTHA Ebonyi State</w:t>
      </w:r>
      <w:bookmarkEnd w:id="11"/>
    </w:p>
    <w:tbl>
      <w:tblPr>
        <w:tblStyle w:val="TableGrid"/>
        <w:tblW w:w="9720" w:type="dxa"/>
        <w:tblInd w:w="0" w:type="dxa"/>
        <w:tblBorders>
          <w:left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3344"/>
        <w:gridCol w:w="811"/>
        <w:gridCol w:w="803"/>
        <w:gridCol w:w="803"/>
        <w:gridCol w:w="803"/>
        <w:gridCol w:w="942"/>
        <w:gridCol w:w="1167"/>
        <w:gridCol w:w="1047"/>
      </w:tblGrid>
      <w:tr w:rsidR="00FC2F8E" w:rsidRPr="00297679" w14:paraId="0AD93535" w14:textId="77777777">
        <w:tc>
          <w:tcPr>
            <w:tcW w:w="3344" w:type="dxa"/>
            <w:tcBorders>
              <w:top w:val="single" w:sz="12" w:space="0" w:color="auto"/>
              <w:left w:val="none" w:sz="0" w:space="0" w:color="000000"/>
              <w:bottom w:val="single" w:sz="12" w:space="0" w:color="auto"/>
              <w:right w:val="none" w:sz="0" w:space="0" w:color="000000"/>
            </w:tcBorders>
          </w:tcPr>
          <w:p w14:paraId="475006C8" w14:textId="77777777" w:rsidR="00FC2F8E" w:rsidRPr="00297679" w:rsidRDefault="00AE16DB">
            <w:pPr>
              <w:spacing w:before="100" w:beforeAutospacing="1" w:after="100" w:afterAutospacing="1"/>
              <w:jc w:val="both"/>
              <w:rPr>
                <w:rFonts w:ascii="Times New Roman" w:hAnsi="Times New Roman" w:cs="Times New Roman" w:hint="default"/>
                <w:b/>
                <w:bCs/>
              </w:rPr>
            </w:pPr>
            <w:r w:rsidRPr="00297679">
              <w:rPr>
                <w:rFonts w:ascii="Times New Roman" w:hAnsi="Times New Roman" w:cs="Times New Roman" w:hint="default"/>
                <w:b/>
                <w:bCs/>
              </w:rPr>
              <w:t>Statement</w:t>
            </w:r>
          </w:p>
        </w:tc>
        <w:tc>
          <w:tcPr>
            <w:tcW w:w="811" w:type="dxa"/>
            <w:tcBorders>
              <w:top w:val="single" w:sz="12" w:space="0" w:color="auto"/>
              <w:left w:val="none" w:sz="0" w:space="0" w:color="000000"/>
              <w:bottom w:val="single" w:sz="12" w:space="0" w:color="auto"/>
              <w:right w:val="none" w:sz="0" w:space="0" w:color="000000"/>
            </w:tcBorders>
          </w:tcPr>
          <w:p w14:paraId="6420F94D"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SD</w:t>
            </w:r>
          </w:p>
          <w:p w14:paraId="6008E639"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 xml:space="preserve">n </w:t>
            </w:r>
          </w:p>
        </w:tc>
        <w:tc>
          <w:tcPr>
            <w:tcW w:w="803" w:type="dxa"/>
            <w:tcBorders>
              <w:top w:val="single" w:sz="12" w:space="0" w:color="auto"/>
              <w:left w:val="none" w:sz="0" w:space="0" w:color="000000"/>
              <w:bottom w:val="single" w:sz="12" w:space="0" w:color="auto"/>
              <w:right w:val="none" w:sz="0" w:space="0" w:color="000000"/>
            </w:tcBorders>
          </w:tcPr>
          <w:p w14:paraId="5074FE16"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D</w:t>
            </w:r>
          </w:p>
          <w:p w14:paraId="3344629E"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 xml:space="preserve">n </w:t>
            </w:r>
          </w:p>
        </w:tc>
        <w:tc>
          <w:tcPr>
            <w:tcW w:w="803" w:type="dxa"/>
            <w:tcBorders>
              <w:top w:val="single" w:sz="12" w:space="0" w:color="auto"/>
              <w:left w:val="none" w:sz="0" w:space="0" w:color="000000"/>
              <w:bottom w:val="single" w:sz="12" w:space="0" w:color="auto"/>
              <w:right w:val="none" w:sz="0" w:space="0" w:color="000000"/>
            </w:tcBorders>
          </w:tcPr>
          <w:p w14:paraId="61880BF5"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Ne</w:t>
            </w:r>
          </w:p>
          <w:p w14:paraId="3B3F9790"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 xml:space="preserve">n </w:t>
            </w:r>
          </w:p>
        </w:tc>
        <w:tc>
          <w:tcPr>
            <w:tcW w:w="803" w:type="dxa"/>
            <w:tcBorders>
              <w:top w:val="single" w:sz="12" w:space="0" w:color="auto"/>
              <w:left w:val="none" w:sz="0" w:space="0" w:color="000000"/>
              <w:bottom w:val="single" w:sz="12" w:space="0" w:color="auto"/>
              <w:right w:val="none" w:sz="0" w:space="0" w:color="000000"/>
            </w:tcBorders>
          </w:tcPr>
          <w:p w14:paraId="11A635D3"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A</w:t>
            </w:r>
          </w:p>
          <w:p w14:paraId="306B9035"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 xml:space="preserve">n </w:t>
            </w:r>
          </w:p>
        </w:tc>
        <w:tc>
          <w:tcPr>
            <w:tcW w:w="942" w:type="dxa"/>
            <w:tcBorders>
              <w:top w:val="single" w:sz="12" w:space="0" w:color="auto"/>
              <w:left w:val="none" w:sz="0" w:space="0" w:color="000000"/>
              <w:bottom w:val="single" w:sz="12" w:space="0" w:color="auto"/>
              <w:right w:val="none" w:sz="0" w:space="0" w:color="000000"/>
            </w:tcBorders>
          </w:tcPr>
          <w:p w14:paraId="29880FB5"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SA</w:t>
            </w:r>
          </w:p>
          <w:p w14:paraId="63CF4D0C"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 xml:space="preserve">n </w:t>
            </w:r>
          </w:p>
        </w:tc>
        <w:tc>
          <w:tcPr>
            <w:tcW w:w="1167" w:type="dxa"/>
            <w:tcBorders>
              <w:top w:val="single" w:sz="12" w:space="0" w:color="auto"/>
              <w:left w:val="none" w:sz="0" w:space="0" w:color="000000"/>
              <w:bottom w:val="single" w:sz="12" w:space="0" w:color="auto"/>
              <w:right w:val="none" w:sz="0" w:space="0" w:color="000000"/>
            </w:tcBorders>
          </w:tcPr>
          <w:p w14:paraId="22CBAB57" w14:textId="77777777" w:rsidR="00FC2F8E" w:rsidRPr="00297679" w:rsidRDefault="00AE16DB">
            <w:pPr>
              <w:spacing w:before="100" w:beforeAutospacing="1" w:after="100" w:afterAutospacing="1"/>
              <w:jc w:val="center"/>
              <w:rPr>
                <w:rFonts w:ascii="Times New Roman" w:hAnsi="Times New Roman" w:cs="Times New Roman" w:hint="default"/>
                <w:b/>
                <w:bCs/>
              </w:rPr>
            </w:pPr>
            <w:proofErr w:type="spellStart"/>
            <w:r w:rsidRPr="00297679">
              <w:rPr>
                <w:rFonts w:ascii="Times New Roman" w:hAnsi="Times New Roman" w:cs="Times New Roman" w:hint="default"/>
                <w:b/>
                <w:bCs/>
              </w:rPr>
              <w:t>Mean±SD</w:t>
            </w:r>
            <w:proofErr w:type="spellEnd"/>
          </w:p>
        </w:tc>
        <w:tc>
          <w:tcPr>
            <w:tcW w:w="1047" w:type="dxa"/>
            <w:tcBorders>
              <w:top w:val="single" w:sz="12" w:space="0" w:color="auto"/>
              <w:left w:val="none" w:sz="0" w:space="0" w:color="000000"/>
              <w:bottom w:val="single" w:sz="12" w:space="0" w:color="auto"/>
              <w:right w:val="none" w:sz="0" w:space="0" w:color="000000"/>
            </w:tcBorders>
          </w:tcPr>
          <w:p w14:paraId="7A78E43F"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Decision</w:t>
            </w:r>
          </w:p>
        </w:tc>
      </w:tr>
      <w:tr w:rsidR="00FC2F8E" w:rsidRPr="00297679" w14:paraId="12358CD4" w14:textId="77777777">
        <w:trPr>
          <w:trHeight w:val="1167"/>
        </w:trPr>
        <w:tc>
          <w:tcPr>
            <w:tcW w:w="3344" w:type="dxa"/>
            <w:tcBorders>
              <w:top w:val="single" w:sz="12" w:space="0" w:color="auto"/>
              <w:left w:val="none" w:sz="0" w:space="0" w:color="000000"/>
              <w:bottom w:val="none" w:sz="0" w:space="0" w:color="000000"/>
              <w:right w:val="none" w:sz="0" w:space="0" w:color="000000"/>
            </w:tcBorders>
          </w:tcPr>
          <w:p w14:paraId="49DAF085" w14:textId="77777777" w:rsidR="00FC2F8E" w:rsidRPr="00297679" w:rsidRDefault="00AE16DB">
            <w:pPr>
              <w:spacing w:before="100" w:beforeAutospacing="1" w:after="100" w:afterAutospacing="1"/>
              <w:jc w:val="both"/>
              <w:rPr>
                <w:rFonts w:ascii="Times New Roman" w:hAnsi="Times New Roman" w:cs="Times New Roman" w:hint="default"/>
              </w:rPr>
            </w:pPr>
            <w:r w:rsidRPr="00297679">
              <w:rPr>
                <w:rFonts w:ascii="Times New Roman" w:hAnsi="Times New Roman" w:cs="Times New Roman" w:hint="default"/>
              </w:rPr>
              <w:t>Heavy work load limits the time I spend on health education</w:t>
            </w:r>
          </w:p>
        </w:tc>
        <w:tc>
          <w:tcPr>
            <w:tcW w:w="811" w:type="dxa"/>
            <w:tcBorders>
              <w:top w:val="single" w:sz="12" w:space="0" w:color="auto"/>
              <w:left w:val="none" w:sz="0" w:space="0" w:color="000000"/>
              <w:bottom w:val="none" w:sz="0" w:space="0" w:color="000000"/>
              <w:right w:val="none" w:sz="0" w:space="0" w:color="000000"/>
            </w:tcBorders>
          </w:tcPr>
          <w:p w14:paraId="6F49F5FB"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7</w:t>
            </w:r>
          </w:p>
        </w:tc>
        <w:tc>
          <w:tcPr>
            <w:tcW w:w="803" w:type="dxa"/>
            <w:tcBorders>
              <w:top w:val="single" w:sz="12" w:space="0" w:color="auto"/>
              <w:left w:val="none" w:sz="0" w:space="0" w:color="000000"/>
              <w:bottom w:val="none" w:sz="0" w:space="0" w:color="000000"/>
              <w:right w:val="none" w:sz="0" w:space="0" w:color="000000"/>
            </w:tcBorders>
          </w:tcPr>
          <w:p w14:paraId="036E8BF5"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8</w:t>
            </w:r>
          </w:p>
        </w:tc>
        <w:tc>
          <w:tcPr>
            <w:tcW w:w="803" w:type="dxa"/>
            <w:tcBorders>
              <w:top w:val="single" w:sz="12" w:space="0" w:color="auto"/>
              <w:left w:val="none" w:sz="0" w:space="0" w:color="000000"/>
              <w:bottom w:val="none" w:sz="0" w:space="0" w:color="000000"/>
              <w:right w:val="none" w:sz="0" w:space="0" w:color="000000"/>
            </w:tcBorders>
          </w:tcPr>
          <w:p w14:paraId="42FBED87"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15</w:t>
            </w:r>
          </w:p>
        </w:tc>
        <w:tc>
          <w:tcPr>
            <w:tcW w:w="803" w:type="dxa"/>
            <w:tcBorders>
              <w:top w:val="single" w:sz="12" w:space="0" w:color="auto"/>
              <w:left w:val="none" w:sz="0" w:space="0" w:color="000000"/>
              <w:bottom w:val="none" w:sz="0" w:space="0" w:color="000000"/>
              <w:right w:val="none" w:sz="0" w:space="0" w:color="000000"/>
            </w:tcBorders>
          </w:tcPr>
          <w:p w14:paraId="55D41E5F"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21</w:t>
            </w:r>
          </w:p>
        </w:tc>
        <w:tc>
          <w:tcPr>
            <w:tcW w:w="942" w:type="dxa"/>
            <w:tcBorders>
              <w:top w:val="single" w:sz="12" w:space="0" w:color="auto"/>
              <w:left w:val="none" w:sz="0" w:space="0" w:color="000000"/>
              <w:bottom w:val="none" w:sz="0" w:space="0" w:color="000000"/>
              <w:right w:val="none" w:sz="0" w:space="0" w:color="000000"/>
            </w:tcBorders>
          </w:tcPr>
          <w:p w14:paraId="459E038B"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25</w:t>
            </w:r>
          </w:p>
        </w:tc>
        <w:tc>
          <w:tcPr>
            <w:tcW w:w="1167" w:type="dxa"/>
            <w:tcBorders>
              <w:top w:val="single" w:sz="12" w:space="0" w:color="auto"/>
              <w:left w:val="none" w:sz="0" w:space="0" w:color="000000"/>
              <w:bottom w:val="none" w:sz="0" w:space="0" w:color="000000"/>
              <w:right w:val="none" w:sz="0" w:space="0" w:color="000000"/>
            </w:tcBorders>
          </w:tcPr>
          <w:p w14:paraId="59FACDF3"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3.7±1.36</w:t>
            </w:r>
          </w:p>
        </w:tc>
        <w:tc>
          <w:tcPr>
            <w:tcW w:w="1047" w:type="dxa"/>
            <w:tcBorders>
              <w:top w:val="single" w:sz="12" w:space="0" w:color="auto"/>
              <w:left w:val="none" w:sz="0" w:space="0" w:color="000000"/>
              <w:bottom w:val="none" w:sz="0" w:space="0" w:color="000000"/>
              <w:right w:val="none" w:sz="0" w:space="0" w:color="000000"/>
            </w:tcBorders>
          </w:tcPr>
          <w:p w14:paraId="05BBD70C"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Accepted</w:t>
            </w:r>
          </w:p>
        </w:tc>
      </w:tr>
      <w:tr w:rsidR="00FC2F8E" w:rsidRPr="00297679" w14:paraId="225DA245" w14:textId="77777777">
        <w:trPr>
          <w:trHeight w:val="900"/>
        </w:trPr>
        <w:tc>
          <w:tcPr>
            <w:tcW w:w="3344" w:type="dxa"/>
            <w:tcBorders>
              <w:top w:val="none" w:sz="0" w:space="0" w:color="000000"/>
              <w:left w:val="none" w:sz="0" w:space="0" w:color="000000"/>
              <w:bottom w:val="none" w:sz="0" w:space="0" w:color="000000"/>
              <w:right w:val="none" w:sz="0" w:space="0" w:color="000000"/>
            </w:tcBorders>
          </w:tcPr>
          <w:p w14:paraId="2B684D99" w14:textId="77777777" w:rsidR="00FC2F8E" w:rsidRPr="00297679" w:rsidRDefault="00AE16DB">
            <w:pPr>
              <w:spacing w:before="100" w:beforeAutospacing="1" w:after="100" w:afterAutospacing="1"/>
              <w:jc w:val="both"/>
              <w:rPr>
                <w:rFonts w:ascii="Times New Roman" w:hAnsi="Times New Roman" w:cs="Times New Roman" w:hint="default"/>
              </w:rPr>
            </w:pPr>
            <w:r w:rsidRPr="00297679">
              <w:rPr>
                <w:rFonts w:ascii="Times New Roman" w:hAnsi="Times New Roman" w:cs="Times New Roman" w:hint="default"/>
              </w:rPr>
              <w:t>Staff shortage affects the quality of health education sessions</w:t>
            </w:r>
          </w:p>
        </w:tc>
        <w:tc>
          <w:tcPr>
            <w:tcW w:w="811" w:type="dxa"/>
            <w:tcBorders>
              <w:top w:val="none" w:sz="0" w:space="0" w:color="000000"/>
              <w:left w:val="none" w:sz="0" w:space="0" w:color="000000"/>
              <w:bottom w:val="none" w:sz="0" w:space="0" w:color="000000"/>
              <w:right w:val="none" w:sz="0" w:space="0" w:color="000000"/>
            </w:tcBorders>
          </w:tcPr>
          <w:p w14:paraId="5B75C358"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7</w:t>
            </w:r>
          </w:p>
        </w:tc>
        <w:tc>
          <w:tcPr>
            <w:tcW w:w="803" w:type="dxa"/>
            <w:tcBorders>
              <w:top w:val="none" w:sz="0" w:space="0" w:color="000000"/>
              <w:left w:val="none" w:sz="0" w:space="0" w:color="000000"/>
              <w:bottom w:val="none" w:sz="0" w:space="0" w:color="000000"/>
              <w:right w:val="none" w:sz="0" w:space="0" w:color="000000"/>
            </w:tcBorders>
          </w:tcPr>
          <w:p w14:paraId="4FD3DBDD"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8</w:t>
            </w:r>
          </w:p>
        </w:tc>
        <w:tc>
          <w:tcPr>
            <w:tcW w:w="803" w:type="dxa"/>
            <w:tcBorders>
              <w:top w:val="none" w:sz="0" w:space="0" w:color="000000"/>
              <w:left w:val="none" w:sz="0" w:space="0" w:color="000000"/>
              <w:bottom w:val="none" w:sz="0" w:space="0" w:color="000000"/>
              <w:right w:val="none" w:sz="0" w:space="0" w:color="000000"/>
            </w:tcBorders>
          </w:tcPr>
          <w:p w14:paraId="0DA67F69"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11</w:t>
            </w:r>
          </w:p>
        </w:tc>
        <w:tc>
          <w:tcPr>
            <w:tcW w:w="803" w:type="dxa"/>
            <w:tcBorders>
              <w:top w:val="none" w:sz="0" w:space="0" w:color="000000"/>
              <w:left w:val="none" w:sz="0" w:space="0" w:color="000000"/>
              <w:bottom w:val="none" w:sz="0" w:space="0" w:color="000000"/>
              <w:right w:val="none" w:sz="0" w:space="0" w:color="000000"/>
            </w:tcBorders>
          </w:tcPr>
          <w:p w14:paraId="4772959E"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22</w:t>
            </w:r>
          </w:p>
        </w:tc>
        <w:tc>
          <w:tcPr>
            <w:tcW w:w="942" w:type="dxa"/>
            <w:tcBorders>
              <w:top w:val="none" w:sz="0" w:space="0" w:color="000000"/>
              <w:left w:val="none" w:sz="0" w:space="0" w:color="000000"/>
              <w:bottom w:val="none" w:sz="0" w:space="0" w:color="000000"/>
              <w:right w:val="none" w:sz="0" w:space="0" w:color="000000"/>
            </w:tcBorders>
          </w:tcPr>
          <w:p w14:paraId="11E2AA43"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28</w:t>
            </w:r>
          </w:p>
        </w:tc>
        <w:tc>
          <w:tcPr>
            <w:tcW w:w="1167" w:type="dxa"/>
            <w:tcBorders>
              <w:top w:val="none" w:sz="0" w:space="0" w:color="000000"/>
              <w:left w:val="none" w:sz="0" w:space="0" w:color="000000"/>
              <w:bottom w:val="none" w:sz="0" w:space="0" w:color="000000"/>
              <w:right w:val="none" w:sz="0" w:space="0" w:color="000000"/>
            </w:tcBorders>
          </w:tcPr>
          <w:p w14:paraId="3FAA9A57"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3.78±1.31</w:t>
            </w:r>
          </w:p>
        </w:tc>
        <w:tc>
          <w:tcPr>
            <w:tcW w:w="1047" w:type="dxa"/>
            <w:tcBorders>
              <w:top w:val="none" w:sz="0" w:space="0" w:color="000000"/>
              <w:left w:val="none" w:sz="0" w:space="0" w:color="000000"/>
              <w:bottom w:val="none" w:sz="0" w:space="0" w:color="000000"/>
              <w:right w:val="none" w:sz="0" w:space="0" w:color="000000"/>
            </w:tcBorders>
          </w:tcPr>
          <w:p w14:paraId="0EEFD8D2"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Accepted</w:t>
            </w:r>
          </w:p>
        </w:tc>
      </w:tr>
      <w:tr w:rsidR="00FC2F8E" w:rsidRPr="00297679" w14:paraId="3D687207" w14:textId="77777777">
        <w:trPr>
          <w:trHeight w:val="1179"/>
        </w:trPr>
        <w:tc>
          <w:tcPr>
            <w:tcW w:w="3344" w:type="dxa"/>
            <w:tcBorders>
              <w:top w:val="none" w:sz="0" w:space="0" w:color="000000"/>
              <w:left w:val="none" w:sz="0" w:space="0" w:color="000000"/>
              <w:bottom w:val="none" w:sz="0" w:space="0" w:color="000000"/>
              <w:right w:val="none" w:sz="0" w:space="0" w:color="000000"/>
            </w:tcBorders>
          </w:tcPr>
          <w:p w14:paraId="7D26EA75" w14:textId="77777777" w:rsidR="00FC2F8E" w:rsidRPr="00297679" w:rsidRDefault="00AE16DB">
            <w:pPr>
              <w:spacing w:before="100" w:beforeAutospacing="1" w:after="100" w:afterAutospacing="1"/>
              <w:jc w:val="both"/>
              <w:rPr>
                <w:rFonts w:ascii="Times New Roman" w:hAnsi="Times New Roman" w:cs="Times New Roman" w:hint="default"/>
              </w:rPr>
            </w:pPr>
            <w:r w:rsidRPr="00297679">
              <w:rPr>
                <w:rFonts w:ascii="Times New Roman" w:hAnsi="Times New Roman" w:cs="Times New Roman" w:hint="default"/>
              </w:rPr>
              <w:t xml:space="preserve">Limited time during clinics reduces the depth of information </w:t>
            </w:r>
            <w:proofErr w:type="spellStart"/>
            <w:r w:rsidRPr="00297679">
              <w:rPr>
                <w:rFonts w:ascii="Times New Roman" w:hAnsi="Times New Roman" w:cs="Times New Roman" w:hint="default"/>
              </w:rPr>
              <w:t>i</w:t>
            </w:r>
            <w:proofErr w:type="spellEnd"/>
            <w:r w:rsidRPr="00297679">
              <w:rPr>
                <w:rFonts w:ascii="Times New Roman" w:hAnsi="Times New Roman" w:cs="Times New Roman" w:hint="default"/>
              </w:rPr>
              <w:t xml:space="preserve"> provide</w:t>
            </w:r>
          </w:p>
        </w:tc>
        <w:tc>
          <w:tcPr>
            <w:tcW w:w="811" w:type="dxa"/>
            <w:tcBorders>
              <w:top w:val="none" w:sz="0" w:space="0" w:color="000000"/>
              <w:left w:val="none" w:sz="0" w:space="0" w:color="000000"/>
              <w:bottom w:val="none" w:sz="0" w:space="0" w:color="000000"/>
              <w:right w:val="none" w:sz="0" w:space="0" w:color="000000"/>
            </w:tcBorders>
          </w:tcPr>
          <w:p w14:paraId="58FD8FF3"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7</w:t>
            </w:r>
          </w:p>
        </w:tc>
        <w:tc>
          <w:tcPr>
            <w:tcW w:w="803" w:type="dxa"/>
            <w:tcBorders>
              <w:top w:val="none" w:sz="0" w:space="0" w:color="000000"/>
              <w:left w:val="none" w:sz="0" w:space="0" w:color="000000"/>
              <w:bottom w:val="none" w:sz="0" w:space="0" w:color="000000"/>
              <w:right w:val="none" w:sz="0" w:space="0" w:color="000000"/>
            </w:tcBorders>
          </w:tcPr>
          <w:p w14:paraId="12884A73"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7</w:t>
            </w:r>
          </w:p>
        </w:tc>
        <w:tc>
          <w:tcPr>
            <w:tcW w:w="803" w:type="dxa"/>
            <w:tcBorders>
              <w:top w:val="none" w:sz="0" w:space="0" w:color="000000"/>
              <w:left w:val="none" w:sz="0" w:space="0" w:color="000000"/>
              <w:bottom w:val="none" w:sz="0" w:space="0" w:color="000000"/>
              <w:right w:val="none" w:sz="0" w:space="0" w:color="000000"/>
            </w:tcBorders>
          </w:tcPr>
          <w:p w14:paraId="119CEA35"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11</w:t>
            </w:r>
          </w:p>
        </w:tc>
        <w:tc>
          <w:tcPr>
            <w:tcW w:w="803" w:type="dxa"/>
            <w:tcBorders>
              <w:top w:val="none" w:sz="0" w:space="0" w:color="000000"/>
              <w:left w:val="none" w:sz="0" w:space="0" w:color="000000"/>
              <w:bottom w:val="none" w:sz="0" w:space="0" w:color="000000"/>
              <w:right w:val="none" w:sz="0" w:space="0" w:color="000000"/>
            </w:tcBorders>
          </w:tcPr>
          <w:p w14:paraId="4BD1B138"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26</w:t>
            </w:r>
          </w:p>
        </w:tc>
        <w:tc>
          <w:tcPr>
            <w:tcW w:w="942" w:type="dxa"/>
            <w:tcBorders>
              <w:top w:val="none" w:sz="0" w:space="0" w:color="000000"/>
              <w:left w:val="none" w:sz="0" w:space="0" w:color="000000"/>
              <w:bottom w:val="none" w:sz="0" w:space="0" w:color="000000"/>
              <w:right w:val="none" w:sz="0" w:space="0" w:color="000000"/>
            </w:tcBorders>
          </w:tcPr>
          <w:p w14:paraId="46889380"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25</w:t>
            </w:r>
          </w:p>
        </w:tc>
        <w:tc>
          <w:tcPr>
            <w:tcW w:w="1167" w:type="dxa"/>
            <w:tcBorders>
              <w:top w:val="none" w:sz="0" w:space="0" w:color="000000"/>
              <w:left w:val="none" w:sz="0" w:space="0" w:color="000000"/>
              <w:bottom w:val="none" w:sz="0" w:space="0" w:color="000000"/>
              <w:right w:val="none" w:sz="0" w:space="0" w:color="000000"/>
            </w:tcBorders>
          </w:tcPr>
          <w:p w14:paraId="008F6D65"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3.7±1.33</w:t>
            </w:r>
          </w:p>
        </w:tc>
        <w:tc>
          <w:tcPr>
            <w:tcW w:w="1047" w:type="dxa"/>
            <w:tcBorders>
              <w:top w:val="none" w:sz="0" w:space="0" w:color="000000"/>
              <w:left w:val="none" w:sz="0" w:space="0" w:color="000000"/>
              <w:bottom w:val="none" w:sz="0" w:space="0" w:color="000000"/>
              <w:right w:val="none" w:sz="0" w:space="0" w:color="000000"/>
            </w:tcBorders>
          </w:tcPr>
          <w:p w14:paraId="196471A4"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Accepted</w:t>
            </w:r>
          </w:p>
        </w:tc>
      </w:tr>
      <w:tr w:rsidR="00FC2F8E" w:rsidRPr="00297679" w14:paraId="21F97163" w14:textId="77777777">
        <w:trPr>
          <w:trHeight w:val="891"/>
        </w:trPr>
        <w:tc>
          <w:tcPr>
            <w:tcW w:w="3344" w:type="dxa"/>
            <w:tcBorders>
              <w:top w:val="none" w:sz="0" w:space="0" w:color="000000"/>
              <w:left w:val="none" w:sz="0" w:space="0" w:color="000000"/>
              <w:bottom w:val="none" w:sz="0" w:space="0" w:color="000000"/>
              <w:right w:val="none" w:sz="0" w:space="0" w:color="000000"/>
            </w:tcBorders>
          </w:tcPr>
          <w:p w14:paraId="6AEB4687" w14:textId="77777777" w:rsidR="00FC2F8E" w:rsidRPr="00297679" w:rsidRDefault="00AE16DB">
            <w:pPr>
              <w:spacing w:before="100" w:beforeAutospacing="1" w:after="100" w:afterAutospacing="1"/>
              <w:jc w:val="both"/>
              <w:rPr>
                <w:rFonts w:ascii="Times New Roman" w:hAnsi="Times New Roman" w:cs="Times New Roman" w:hint="default"/>
              </w:rPr>
            </w:pPr>
            <w:r w:rsidRPr="00297679">
              <w:rPr>
                <w:rFonts w:ascii="Times New Roman" w:hAnsi="Times New Roman" w:cs="Times New Roman" w:hint="default"/>
              </w:rPr>
              <w:lastRenderedPageBreak/>
              <w:t>Women low literacy level makes health education difficult</w:t>
            </w:r>
          </w:p>
        </w:tc>
        <w:tc>
          <w:tcPr>
            <w:tcW w:w="811" w:type="dxa"/>
            <w:tcBorders>
              <w:top w:val="none" w:sz="0" w:space="0" w:color="000000"/>
              <w:left w:val="none" w:sz="0" w:space="0" w:color="000000"/>
              <w:bottom w:val="none" w:sz="0" w:space="0" w:color="000000"/>
              <w:right w:val="none" w:sz="0" w:space="0" w:color="000000"/>
            </w:tcBorders>
          </w:tcPr>
          <w:p w14:paraId="5EFD923E"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4</w:t>
            </w:r>
          </w:p>
        </w:tc>
        <w:tc>
          <w:tcPr>
            <w:tcW w:w="803" w:type="dxa"/>
            <w:tcBorders>
              <w:top w:val="none" w:sz="0" w:space="0" w:color="000000"/>
              <w:left w:val="none" w:sz="0" w:space="0" w:color="000000"/>
              <w:bottom w:val="none" w:sz="0" w:space="0" w:color="000000"/>
              <w:right w:val="none" w:sz="0" w:space="0" w:color="000000"/>
            </w:tcBorders>
          </w:tcPr>
          <w:p w14:paraId="40E02F43"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9</w:t>
            </w:r>
          </w:p>
        </w:tc>
        <w:tc>
          <w:tcPr>
            <w:tcW w:w="803" w:type="dxa"/>
            <w:tcBorders>
              <w:top w:val="none" w:sz="0" w:space="0" w:color="000000"/>
              <w:left w:val="none" w:sz="0" w:space="0" w:color="000000"/>
              <w:bottom w:val="none" w:sz="0" w:space="0" w:color="000000"/>
              <w:right w:val="none" w:sz="0" w:space="0" w:color="000000"/>
            </w:tcBorders>
          </w:tcPr>
          <w:p w14:paraId="7381F5E7"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13</w:t>
            </w:r>
          </w:p>
        </w:tc>
        <w:tc>
          <w:tcPr>
            <w:tcW w:w="803" w:type="dxa"/>
            <w:tcBorders>
              <w:top w:val="none" w:sz="0" w:space="0" w:color="000000"/>
              <w:left w:val="none" w:sz="0" w:space="0" w:color="000000"/>
              <w:bottom w:val="none" w:sz="0" w:space="0" w:color="000000"/>
              <w:right w:val="none" w:sz="0" w:space="0" w:color="000000"/>
            </w:tcBorders>
          </w:tcPr>
          <w:p w14:paraId="5BC39394"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21</w:t>
            </w:r>
          </w:p>
        </w:tc>
        <w:tc>
          <w:tcPr>
            <w:tcW w:w="942" w:type="dxa"/>
            <w:tcBorders>
              <w:top w:val="none" w:sz="0" w:space="0" w:color="000000"/>
              <w:left w:val="none" w:sz="0" w:space="0" w:color="000000"/>
              <w:bottom w:val="none" w:sz="0" w:space="0" w:color="000000"/>
              <w:right w:val="none" w:sz="0" w:space="0" w:color="000000"/>
            </w:tcBorders>
          </w:tcPr>
          <w:p w14:paraId="79018DEC"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28</w:t>
            </w:r>
          </w:p>
        </w:tc>
        <w:tc>
          <w:tcPr>
            <w:tcW w:w="1167" w:type="dxa"/>
            <w:tcBorders>
              <w:top w:val="none" w:sz="0" w:space="0" w:color="000000"/>
              <w:left w:val="none" w:sz="0" w:space="0" w:color="000000"/>
              <w:bottom w:val="none" w:sz="0" w:space="0" w:color="000000"/>
              <w:right w:val="none" w:sz="0" w:space="0" w:color="000000"/>
            </w:tcBorders>
          </w:tcPr>
          <w:p w14:paraId="4BAE8BEC"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3.87±1.33</w:t>
            </w:r>
          </w:p>
        </w:tc>
        <w:tc>
          <w:tcPr>
            <w:tcW w:w="1047" w:type="dxa"/>
            <w:tcBorders>
              <w:top w:val="none" w:sz="0" w:space="0" w:color="000000"/>
              <w:left w:val="none" w:sz="0" w:space="0" w:color="000000"/>
              <w:bottom w:val="none" w:sz="0" w:space="0" w:color="000000"/>
              <w:right w:val="none" w:sz="0" w:space="0" w:color="000000"/>
            </w:tcBorders>
          </w:tcPr>
          <w:p w14:paraId="023AB9E0"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Accepted</w:t>
            </w:r>
          </w:p>
        </w:tc>
      </w:tr>
      <w:tr w:rsidR="00FC2F8E" w:rsidRPr="00297679" w14:paraId="3A0221F3" w14:textId="77777777">
        <w:tc>
          <w:tcPr>
            <w:tcW w:w="3344" w:type="dxa"/>
            <w:tcBorders>
              <w:top w:val="none" w:sz="0" w:space="0" w:color="000000"/>
              <w:left w:val="none" w:sz="0" w:space="0" w:color="000000"/>
              <w:bottom w:val="none" w:sz="0" w:space="0" w:color="000000"/>
              <w:right w:val="none" w:sz="0" w:space="0" w:color="000000"/>
            </w:tcBorders>
          </w:tcPr>
          <w:p w14:paraId="797FA07B" w14:textId="77777777" w:rsidR="00FC2F8E" w:rsidRPr="00297679" w:rsidRDefault="00AE16DB">
            <w:pPr>
              <w:spacing w:before="100" w:beforeAutospacing="1" w:after="100" w:afterAutospacing="1"/>
              <w:jc w:val="both"/>
              <w:rPr>
                <w:rFonts w:ascii="Times New Roman" w:hAnsi="Times New Roman" w:cs="Times New Roman" w:hint="default"/>
              </w:rPr>
            </w:pPr>
            <w:r w:rsidRPr="00297679">
              <w:rPr>
                <w:rFonts w:ascii="Times New Roman" w:hAnsi="Times New Roman" w:cs="Times New Roman" w:hint="default"/>
              </w:rPr>
              <w:t>Cultural belief sometimes interferes with health education delivery</w:t>
            </w:r>
          </w:p>
        </w:tc>
        <w:tc>
          <w:tcPr>
            <w:tcW w:w="811" w:type="dxa"/>
            <w:tcBorders>
              <w:top w:val="none" w:sz="0" w:space="0" w:color="000000"/>
              <w:left w:val="none" w:sz="0" w:space="0" w:color="000000"/>
              <w:bottom w:val="none" w:sz="0" w:space="0" w:color="000000"/>
              <w:right w:val="none" w:sz="0" w:space="0" w:color="000000"/>
            </w:tcBorders>
          </w:tcPr>
          <w:p w14:paraId="303C8466"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7</w:t>
            </w:r>
          </w:p>
        </w:tc>
        <w:tc>
          <w:tcPr>
            <w:tcW w:w="803" w:type="dxa"/>
            <w:tcBorders>
              <w:top w:val="none" w:sz="0" w:space="0" w:color="000000"/>
              <w:left w:val="none" w:sz="0" w:space="0" w:color="000000"/>
              <w:bottom w:val="none" w:sz="0" w:space="0" w:color="000000"/>
              <w:right w:val="none" w:sz="0" w:space="0" w:color="000000"/>
            </w:tcBorders>
          </w:tcPr>
          <w:p w14:paraId="1CAFFE52"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3</w:t>
            </w:r>
          </w:p>
        </w:tc>
        <w:tc>
          <w:tcPr>
            <w:tcW w:w="803" w:type="dxa"/>
            <w:tcBorders>
              <w:top w:val="none" w:sz="0" w:space="0" w:color="000000"/>
              <w:left w:val="none" w:sz="0" w:space="0" w:color="000000"/>
              <w:bottom w:val="none" w:sz="0" w:space="0" w:color="000000"/>
              <w:right w:val="none" w:sz="0" w:space="0" w:color="000000"/>
            </w:tcBorders>
          </w:tcPr>
          <w:p w14:paraId="26BC4B49"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14</w:t>
            </w:r>
          </w:p>
        </w:tc>
        <w:tc>
          <w:tcPr>
            <w:tcW w:w="803" w:type="dxa"/>
            <w:tcBorders>
              <w:top w:val="none" w:sz="0" w:space="0" w:color="000000"/>
              <w:left w:val="none" w:sz="0" w:space="0" w:color="000000"/>
              <w:bottom w:val="none" w:sz="0" w:space="0" w:color="000000"/>
              <w:right w:val="none" w:sz="0" w:space="0" w:color="000000"/>
            </w:tcBorders>
          </w:tcPr>
          <w:p w14:paraId="20A0EB8A"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33</w:t>
            </w:r>
          </w:p>
        </w:tc>
        <w:tc>
          <w:tcPr>
            <w:tcW w:w="942" w:type="dxa"/>
            <w:tcBorders>
              <w:top w:val="none" w:sz="0" w:space="0" w:color="000000"/>
              <w:left w:val="none" w:sz="0" w:space="0" w:color="000000"/>
              <w:bottom w:val="none" w:sz="0" w:space="0" w:color="000000"/>
              <w:right w:val="none" w:sz="0" w:space="0" w:color="000000"/>
            </w:tcBorders>
          </w:tcPr>
          <w:p w14:paraId="5878D390"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18</w:t>
            </w:r>
          </w:p>
        </w:tc>
        <w:tc>
          <w:tcPr>
            <w:tcW w:w="1167" w:type="dxa"/>
            <w:tcBorders>
              <w:top w:val="none" w:sz="0" w:space="0" w:color="000000"/>
              <w:left w:val="none" w:sz="0" w:space="0" w:color="000000"/>
              <w:bottom w:val="none" w:sz="0" w:space="0" w:color="000000"/>
              <w:right w:val="none" w:sz="0" w:space="0" w:color="000000"/>
            </w:tcBorders>
          </w:tcPr>
          <w:p w14:paraId="2E5931A0"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3.7±1.22</w:t>
            </w:r>
          </w:p>
        </w:tc>
        <w:tc>
          <w:tcPr>
            <w:tcW w:w="1047" w:type="dxa"/>
            <w:tcBorders>
              <w:top w:val="none" w:sz="0" w:space="0" w:color="000000"/>
              <w:left w:val="none" w:sz="0" w:space="0" w:color="000000"/>
              <w:bottom w:val="none" w:sz="0" w:space="0" w:color="000000"/>
              <w:right w:val="none" w:sz="0" w:space="0" w:color="000000"/>
            </w:tcBorders>
          </w:tcPr>
          <w:p w14:paraId="2ED199B3"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Accepted</w:t>
            </w:r>
          </w:p>
        </w:tc>
      </w:tr>
      <w:tr w:rsidR="00FC2F8E" w:rsidRPr="00297679" w14:paraId="5DF55A50" w14:textId="77777777">
        <w:tc>
          <w:tcPr>
            <w:tcW w:w="3344" w:type="dxa"/>
            <w:tcBorders>
              <w:top w:val="none" w:sz="0" w:space="0" w:color="000000"/>
              <w:left w:val="none" w:sz="0" w:space="0" w:color="000000"/>
              <w:bottom w:val="single" w:sz="12" w:space="0" w:color="auto"/>
              <w:right w:val="none" w:sz="0" w:space="0" w:color="000000"/>
            </w:tcBorders>
          </w:tcPr>
          <w:p w14:paraId="7EDD2A69" w14:textId="77777777" w:rsidR="00FC2F8E" w:rsidRPr="00297679" w:rsidRDefault="00AE16DB">
            <w:pPr>
              <w:spacing w:before="100" w:beforeAutospacing="1" w:after="100" w:afterAutospacing="1"/>
              <w:jc w:val="both"/>
              <w:rPr>
                <w:rFonts w:ascii="Times New Roman" w:hAnsi="Times New Roman" w:cs="Times New Roman" w:hint="default"/>
              </w:rPr>
            </w:pPr>
            <w:r w:rsidRPr="00297679">
              <w:rPr>
                <w:rFonts w:ascii="Times New Roman" w:hAnsi="Times New Roman" w:cs="Times New Roman" w:hint="default"/>
              </w:rPr>
              <w:t>Grand mean</w:t>
            </w:r>
          </w:p>
        </w:tc>
        <w:tc>
          <w:tcPr>
            <w:tcW w:w="811" w:type="dxa"/>
            <w:tcBorders>
              <w:top w:val="none" w:sz="0" w:space="0" w:color="000000"/>
              <w:left w:val="none" w:sz="0" w:space="0" w:color="000000"/>
              <w:bottom w:val="single" w:sz="12" w:space="0" w:color="auto"/>
              <w:right w:val="none" w:sz="0" w:space="0" w:color="000000"/>
            </w:tcBorders>
          </w:tcPr>
          <w:p w14:paraId="05B0F4C3" w14:textId="77777777" w:rsidR="00FC2F8E" w:rsidRPr="00297679" w:rsidRDefault="00FC2F8E">
            <w:pPr>
              <w:spacing w:before="100" w:beforeAutospacing="1" w:after="100" w:afterAutospacing="1"/>
              <w:jc w:val="center"/>
              <w:rPr>
                <w:rFonts w:ascii="Times New Roman" w:hAnsi="Times New Roman" w:cs="Times New Roman" w:hint="default"/>
              </w:rPr>
            </w:pPr>
          </w:p>
        </w:tc>
        <w:tc>
          <w:tcPr>
            <w:tcW w:w="803" w:type="dxa"/>
            <w:tcBorders>
              <w:top w:val="none" w:sz="0" w:space="0" w:color="000000"/>
              <w:left w:val="none" w:sz="0" w:space="0" w:color="000000"/>
              <w:bottom w:val="single" w:sz="12" w:space="0" w:color="auto"/>
              <w:right w:val="none" w:sz="0" w:space="0" w:color="000000"/>
            </w:tcBorders>
          </w:tcPr>
          <w:p w14:paraId="70AA7EA1" w14:textId="77777777" w:rsidR="00FC2F8E" w:rsidRPr="00297679" w:rsidRDefault="00FC2F8E">
            <w:pPr>
              <w:spacing w:before="100" w:beforeAutospacing="1" w:after="100" w:afterAutospacing="1"/>
              <w:jc w:val="center"/>
              <w:rPr>
                <w:rFonts w:ascii="Times New Roman" w:hAnsi="Times New Roman" w:cs="Times New Roman" w:hint="default"/>
              </w:rPr>
            </w:pPr>
          </w:p>
        </w:tc>
        <w:tc>
          <w:tcPr>
            <w:tcW w:w="803" w:type="dxa"/>
            <w:tcBorders>
              <w:top w:val="none" w:sz="0" w:space="0" w:color="000000"/>
              <w:left w:val="none" w:sz="0" w:space="0" w:color="000000"/>
              <w:bottom w:val="single" w:sz="12" w:space="0" w:color="auto"/>
              <w:right w:val="none" w:sz="0" w:space="0" w:color="000000"/>
            </w:tcBorders>
          </w:tcPr>
          <w:p w14:paraId="57C8E39E" w14:textId="77777777" w:rsidR="00FC2F8E" w:rsidRPr="00297679" w:rsidRDefault="00FC2F8E">
            <w:pPr>
              <w:spacing w:before="100" w:beforeAutospacing="1" w:after="100" w:afterAutospacing="1"/>
              <w:jc w:val="center"/>
              <w:rPr>
                <w:rFonts w:ascii="Times New Roman" w:hAnsi="Times New Roman" w:cs="Times New Roman" w:hint="default"/>
              </w:rPr>
            </w:pPr>
          </w:p>
        </w:tc>
        <w:tc>
          <w:tcPr>
            <w:tcW w:w="803" w:type="dxa"/>
            <w:tcBorders>
              <w:top w:val="none" w:sz="0" w:space="0" w:color="000000"/>
              <w:left w:val="none" w:sz="0" w:space="0" w:color="000000"/>
              <w:bottom w:val="single" w:sz="12" w:space="0" w:color="auto"/>
              <w:right w:val="none" w:sz="0" w:space="0" w:color="000000"/>
            </w:tcBorders>
          </w:tcPr>
          <w:p w14:paraId="50D10B6D" w14:textId="77777777" w:rsidR="00FC2F8E" w:rsidRPr="00297679" w:rsidRDefault="00FC2F8E">
            <w:pPr>
              <w:spacing w:before="100" w:beforeAutospacing="1" w:after="100" w:afterAutospacing="1"/>
              <w:jc w:val="center"/>
              <w:rPr>
                <w:rFonts w:ascii="Times New Roman" w:hAnsi="Times New Roman" w:cs="Times New Roman" w:hint="default"/>
              </w:rPr>
            </w:pPr>
          </w:p>
        </w:tc>
        <w:tc>
          <w:tcPr>
            <w:tcW w:w="942" w:type="dxa"/>
            <w:tcBorders>
              <w:top w:val="none" w:sz="0" w:space="0" w:color="000000"/>
              <w:left w:val="none" w:sz="0" w:space="0" w:color="000000"/>
              <w:bottom w:val="single" w:sz="12" w:space="0" w:color="auto"/>
              <w:right w:val="none" w:sz="0" w:space="0" w:color="000000"/>
            </w:tcBorders>
          </w:tcPr>
          <w:p w14:paraId="7EB02511" w14:textId="77777777" w:rsidR="00FC2F8E" w:rsidRPr="00297679" w:rsidRDefault="00FC2F8E">
            <w:pPr>
              <w:spacing w:before="100" w:beforeAutospacing="1" w:after="100" w:afterAutospacing="1"/>
              <w:jc w:val="center"/>
              <w:rPr>
                <w:rFonts w:ascii="Times New Roman" w:hAnsi="Times New Roman" w:cs="Times New Roman" w:hint="default"/>
              </w:rPr>
            </w:pPr>
          </w:p>
        </w:tc>
        <w:tc>
          <w:tcPr>
            <w:tcW w:w="1167" w:type="dxa"/>
            <w:tcBorders>
              <w:top w:val="none" w:sz="0" w:space="0" w:color="000000"/>
              <w:left w:val="none" w:sz="0" w:space="0" w:color="000000"/>
              <w:bottom w:val="single" w:sz="12" w:space="0" w:color="auto"/>
              <w:right w:val="none" w:sz="0" w:space="0" w:color="000000"/>
            </w:tcBorders>
          </w:tcPr>
          <w:p w14:paraId="468B0086"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3.75±1.13</w:t>
            </w:r>
          </w:p>
        </w:tc>
        <w:tc>
          <w:tcPr>
            <w:tcW w:w="1047" w:type="dxa"/>
            <w:tcBorders>
              <w:top w:val="none" w:sz="0" w:space="0" w:color="000000"/>
              <w:left w:val="none" w:sz="0" w:space="0" w:color="000000"/>
              <w:bottom w:val="single" w:sz="12" w:space="0" w:color="auto"/>
              <w:right w:val="none" w:sz="0" w:space="0" w:color="000000"/>
            </w:tcBorders>
          </w:tcPr>
          <w:p w14:paraId="5D9FFE8D"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Accepted</w:t>
            </w:r>
          </w:p>
        </w:tc>
      </w:tr>
    </w:tbl>
    <w:p w14:paraId="289688E7" w14:textId="77777777" w:rsidR="00FC2F8E" w:rsidRPr="00297679" w:rsidRDefault="00AE16DB">
      <w:pPr>
        <w:jc w:val="both"/>
        <w:rPr>
          <w:rFonts w:ascii="Times New Roman" w:hAnsi="Times New Roman" w:cs="Times New Roman"/>
          <w:b/>
          <w:bCs/>
        </w:rPr>
      </w:pPr>
      <w:r w:rsidRPr="00297679">
        <w:rPr>
          <w:rFonts w:ascii="Times New Roman" w:eastAsia="Calibri" w:hAnsi="Times New Roman" w:cs="Times New Roman"/>
          <w:b/>
          <w:bCs/>
        </w:rPr>
        <w:t>SD = Strongly Disagree; D = Disagree; Ne = Neutral; A = Agree; SA = Strongly Agree</w:t>
      </w:r>
    </w:p>
    <w:p w14:paraId="320ED797"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The result in Table 2 presents the challenges encountered by health workers in delivering health education at AEFUTHA, Ebonyi State. All items were accepted, with weighted mean scores above the mean criterion of 3.0. The highest mean score was observed for the statement “Women’s low literacy level makes health education difficult”, with a mean of 3.87±1.33, indicating that literacy barriers are a major challenge to effective health education delivery. This was closely followed by “Staff shortage affects the quality of health education sessions”, with a mean of 3.78±1.31, highlighting human-resource constraints as a significant limitation. Heavy workload and limited time during clinics had mean scores of 3.70±1.36 and 3.70±1.33, respectively, showing that time pressure and workload reduce the depth and quality of information provided. Similarly, “Cultural beliefs sometimes interfere with health education delivery” recorded a mean of 3.70±1.22, reflecting socio-cultural barriers that hinder effective communication. Overall, the grand mean score of 3.75±1.13 suggests that health workers generally encounter notable challenges in delivering health education.</w:t>
      </w:r>
    </w:p>
    <w:p w14:paraId="7E71953E" w14:textId="7B2A440A" w:rsidR="00FC2F8E" w:rsidRPr="00297679" w:rsidRDefault="00AE16DB">
      <w:pPr>
        <w:pStyle w:val="Heading2"/>
        <w:spacing w:line="240" w:lineRule="auto"/>
      </w:pPr>
      <w:bookmarkStart w:id="12" w:name="_Toc9218"/>
      <w:r w:rsidRPr="00297679">
        <w:t>4.2 Discussion</w:t>
      </w:r>
      <w:bookmarkEnd w:id="12"/>
      <w:r w:rsidR="008B06DB">
        <w:t>s</w:t>
      </w:r>
    </w:p>
    <w:p w14:paraId="6677601C"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 xml:space="preserve">This section discusses the findings of the present study in relation to existing evidence on the lived experiences, challenges, enabling factors, and systemic influences affecting health workers in delivering women’s health education during antenatal and </w:t>
      </w:r>
      <w:proofErr w:type="spellStart"/>
      <w:r w:rsidRPr="00297679">
        <w:t>immunisation</w:t>
      </w:r>
      <w:proofErr w:type="spellEnd"/>
      <w:r w:rsidRPr="00297679">
        <w:t xml:space="preserve"> clinics in AE-FUTHA, Ebonyi State. The results obtained from this tertiary hospital are compared with previous studies conducted within Nigeria and internationally, highlighting areas of convergence and divergence. The discussion integrates both the quantitative and qualitative strands of the study with empirical reviews, showing how health workers’ confidence, fulfilment, and motivation are reinforced by women’s eagerness to learn, while systemic and institutional barriers, such as poor infrastructure, staff shortages, and lack of </w:t>
      </w:r>
      <w:proofErr w:type="spellStart"/>
      <w:r w:rsidRPr="00297679">
        <w:t>standardised</w:t>
      </w:r>
      <w:proofErr w:type="spellEnd"/>
      <w:r w:rsidRPr="00297679">
        <w:t xml:space="preserve"> guidelines, continue to limit effectiveness.</w:t>
      </w:r>
    </w:p>
    <w:p w14:paraId="0CAF044B" w14:textId="77777777" w:rsidR="00FC2F8E" w:rsidRPr="00297679" w:rsidRDefault="00AE16DB">
      <w:pPr>
        <w:pStyle w:val="Title"/>
      </w:pPr>
      <w:r w:rsidRPr="00297679">
        <w:t xml:space="preserve">4.2.2 Challenges Encountered by Health Workers in Delivering Women’s Health Education during Antenatal and </w:t>
      </w:r>
      <w:proofErr w:type="spellStart"/>
      <w:r w:rsidRPr="00297679">
        <w:t>Immunisation</w:t>
      </w:r>
      <w:proofErr w:type="spellEnd"/>
      <w:r w:rsidRPr="00297679">
        <w:t xml:space="preserve"> Clinics</w:t>
      </w:r>
    </w:p>
    <w:p w14:paraId="314456DC"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The findings of this study, in relation to research question two on the challenges encountered by health workers, as shown in Table 2 of the quantitative part and Theme 2 of the qualitative part, revealed that respondents experienced several barriers in the course of delivering women’s health education. The quantitative results indicated that women’s low literacy level was the most significant challenge, with a mean score of 3.87±1.33, suggesting that literacy barriers hinder effective communication. This was closely followed by staff shortages (3.78±1.31), heavy workload (3.70±1.36), limited time during clinics (3.70±1.33), and cultural beliefs interfering with health education delivery (3.70±1.22). Overall, the grand mean score of 3.75±1.13 suggests that health workers generally encounter notable challenges in delivering health education.</w:t>
      </w:r>
    </w:p>
    <w:p w14:paraId="25C516CE"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 xml:space="preserve">These quantitative findings are consistent with the qualitative accounts in which participants described language barriers, time constraints, lack of teaching aids, poor infrastructure, and staff shortages as major obstacles. One CHEW explained, “Some of them, they don’t understand your own language and I too don’t understand their own… except general English that we can use. Some of them don’t understand English.” Similarly, a nurse </w:t>
      </w:r>
      <w:proofErr w:type="spellStart"/>
      <w:r w:rsidRPr="00297679">
        <w:t>emphasised</w:t>
      </w:r>
      <w:proofErr w:type="spellEnd"/>
      <w:r w:rsidRPr="00297679">
        <w:t>, “The mother-in-law or caregiver might not understand English… being the caregiver, I might not be able to speak their language that will relay the message down to them.” These narratives illustrate how literacy and language barriers reduce the effectiveness of health talks, aligning with the quantitative evidence that low literacy levels are a major challenge.</w:t>
      </w:r>
    </w:p>
    <w:p w14:paraId="1508B15C"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 xml:space="preserve">The issue of time constraints was also highlighted in both strands. Quantitatively, time pressure recorded a mean score of 3.70±1.33, while qualitatively, nurses explained that mothers often preferred quick services over health talks. One nurse noted, “Most of them… just want to come and vaccinate… they always consider time.” Another added, “Women will always complain that they want to rush somewhere… they feel we are disturbing them through the head talk.” These accounts </w:t>
      </w:r>
      <w:r w:rsidRPr="00297679">
        <w:lastRenderedPageBreak/>
        <w:t xml:space="preserve">reflect the socio-economic realities mothers face, which undermine their willingness to engage in health education sessions. This finding resonates with Ekhaguere et al. (2026), who identified time constraints as a major barrier in </w:t>
      </w:r>
      <w:proofErr w:type="spellStart"/>
      <w:r w:rsidRPr="00297679">
        <w:t>immunisation</w:t>
      </w:r>
      <w:proofErr w:type="spellEnd"/>
      <w:r w:rsidRPr="00297679">
        <w:t xml:space="preserve"> clinics.</w:t>
      </w:r>
    </w:p>
    <w:p w14:paraId="0988C5B5"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The lack of teaching aids and poor infrastructure also emerged as significant challenges. Participants lamented the absence of visual aids, demonstration tools, and conducive environments. One dietician explained, “We don’t have some instruments, so you use masks to educate them.” Another nurse added, “Sometimes, you will need simulator, flex, flip charts… but we don’t have those teaching aids.” These experiences mirror Abubakar (2024), who reported insufficient educational materials and poor infrastructure as hindrances to effective health education.</w:t>
      </w:r>
    </w:p>
    <w:p w14:paraId="5F155578" w14:textId="77777777" w:rsidR="00FC2F8E" w:rsidRPr="00297679" w:rsidRDefault="00AE16DB">
      <w:pPr>
        <w:spacing w:before="100" w:beforeAutospacing="1" w:after="100" w:afterAutospacing="1"/>
        <w:jc w:val="both"/>
        <w:rPr>
          <w:rFonts w:ascii="Times New Roman" w:eastAsia="Calibri" w:hAnsi="Times New Roman" w:cs="Times New Roman"/>
          <w:sz w:val="24"/>
          <w:szCs w:val="24"/>
        </w:rPr>
      </w:pPr>
      <w:r w:rsidRPr="00297679">
        <w:t xml:space="preserve">Staff shortages and heavy workload were further </w:t>
      </w:r>
      <w:proofErr w:type="spellStart"/>
      <w:r w:rsidRPr="00297679">
        <w:t>emphasised</w:t>
      </w:r>
      <w:proofErr w:type="spellEnd"/>
      <w:r w:rsidRPr="00297679">
        <w:t>, with nurses explaining that limited manpower forced them to rush through sessions. One nurse stated, “We are short staffed… sometimes you’ll be overwhelmed with work that you won’t have time to give the necessary information.” This aligns with the quantitative score of 3.78±1.31 for staff shortages and 3.70±1.36 for workload. These findings are consistent with Adefolarin et al. (2021), who found that, without structured training and adequate staffing, health workers struggled to deliver comprehensive maternal health education.</w:t>
      </w:r>
    </w:p>
    <w:p w14:paraId="507CB695" w14:textId="77777777" w:rsidR="00FC2F8E" w:rsidRPr="00297679" w:rsidRDefault="00AE16DB">
      <w:pPr>
        <w:pStyle w:val="Heading2"/>
        <w:spacing w:line="240" w:lineRule="auto"/>
      </w:pPr>
      <w:bookmarkStart w:id="13" w:name="_Toc5562"/>
      <w:r w:rsidRPr="00297679">
        <w:t>Conclusion</w:t>
      </w:r>
      <w:bookmarkEnd w:id="13"/>
    </w:p>
    <w:p w14:paraId="4E18D0E3" w14:textId="77777777" w:rsidR="000F0B0A" w:rsidRDefault="000F0B0A" w:rsidP="000F0B0A">
      <w:pPr>
        <w:pStyle w:val="Heading2"/>
        <w:spacing w:line="240" w:lineRule="auto"/>
        <w:jc w:val="both"/>
        <w:rPr>
          <w:rFonts w:asciiTheme="minorHAnsi" w:eastAsiaTheme="minorEastAsia" w:hAnsiTheme="minorHAnsi" w:cstheme="minorBidi"/>
          <w:b w:val="0"/>
          <w:bCs w:val="0"/>
          <w:kern w:val="0"/>
          <w:sz w:val="20"/>
          <w:szCs w:val="20"/>
        </w:rPr>
      </w:pPr>
      <w:bookmarkStart w:id="14" w:name="_Toc26550"/>
      <w:r w:rsidRPr="000F0B0A">
        <w:rPr>
          <w:rFonts w:asciiTheme="minorHAnsi" w:eastAsiaTheme="minorEastAsia" w:hAnsiTheme="minorHAnsi" w:cstheme="minorBidi"/>
          <w:b w:val="0"/>
          <w:bCs w:val="0"/>
          <w:kern w:val="0"/>
          <w:sz w:val="20"/>
          <w:szCs w:val="20"/>
        </w:rPr>
        <w:t xml:space="preserve">This study examined the experiences of health workers in delivering women’s health education during antenatal and </w:t>
      </w:r>
      <w:proofErr w:type="spellStart"/>
      <w:r w:rsidRPr="000F0B0A">
        <w:rPr>
          <w:rFonts w:asciiTheme="minorHAnsi" w:eastAsiaTheme="minorEastAsia" w:hAnsiTheme="minorHAnsi" w:cstheme="minorBidi"/>
          <w:b w:val="0"/>
          <w:bCs w:val="0"/>
          <w:kern w:val="0"/>
          <w:sz w:val="20"/>
          <w:szCs w:val="20"/>
        </w:rPr>
        <w:t>immunisation</w:t>
      </w:r>
      <w:proofErr w:type="spellEnd"/>
      <w:r w:rsidRPr="000F0B0A">
        <w:rPr>
          <w:rFonts w:asciiTheme="minorHAnsi" w:eastAsiaTheme="minorEastAsia" w:hAnsiTheme="minorHAnsi" w:cstheme="minorBidi"/>
          <w:b w:val="0"/>
          <w:bCs w:val="0"/>
          <w:kern w:val="0"/>
          <w:sz w:val="20"/>
          <w:szCs w:val="20"/>
        </w:rPr>
        <w:t xml:space="preserve"> clinics at AE-FUTHA, Ebonyi State. The findings indicate that health workers generally felt confident and fulfilled in their educational role, especially when women were receptive and provided positive feedback. However, the delivery of health education was constrained by low literacy among women, language barriers, staff shortages, heavy workload, limited clinic time, poor infrastructure, and inadequate teaching aids. The findings also suggest that training, professional experience, institutional recognition, supportive supervision, and management support are important enabling factors for effective education delivery. Overall, women’s health education in antenatal and </w:t>
      </w:r>
      <w:proofErr w:type="spellStart"/>
      <w:r w:rsidRPr="000F0B0A">
        <w:rPr>
          <w:rFonts w:asciiTheme="minorHAnsi" w:eastAsiaTheme="minorEastAsia" w:hAnsiTheme="minorHAnsi" w:cstheme="minorBidi"/>
          <w:b w:val="0"/>
          <w:bCs w:val="0"/>
          <w:kern w:val="0"/>
          <w:sz w:val="20"/>
          <w:szCs w:val="20"/>
        </w:rPr>
        <w:t>immunisation</w:t>
      </w:r>
      <w:proofErr w:type="spellEnd"/>
      <w:r w:rsidRPr="000F0B0A">
        <w:rPr>
          <w:rFonts w:asciiTheme="minorHAnsi" w:eastAsiaTheme="minorEastAsia" w:hAnsiTheme="minorHAnsi" w:cstheme="minorBidi"/>
          <w:b w:val="0"/>
          <w:bCs w:val="0"/>
          <w:kern w:val="0"/>
          <w:sz w:val="20"/>
          <w:szCs w:val="20"/>
        </w:rPr>
        <w:t xml:space="preserve"> clinics depends not only on health workers’ knowledge and commitment but also on the institutional environment in which education is provided. Strengthening staffing, improving clinic infrastructure, providing appropriate teaching materials, and introducing clear operational guidelines may enhance the consistency, quality, and acceptability of health education services in the study setting.</w:t>
      </w:r>
    </w:p>
    <w:p w14:paraId="3ECD90CF" w14:textId="232E9BB9" w:rsidR="00FC2F8E" w:rsidRPr="00297679" w:rsidRDefault="00AE16DB">
      <w:pPr>
        <w:pStyle w:val="Heading2"/>
        <w:spacing w:line="240" w:lineRule="auto"/>
      </w:pPr>
      <w:r w:rsidRPr="00297679">
        <w:t>Recommendations</w:t>
      </w:r>
      <w:bookmarkEnd w:id="14"/>
    </w:p>
    <w:p w14:paraId="6F39242C"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 xml:space="preserve">Based on the findings of this study, the following recommendations are proposed to improve the delivery of women’s health education during antenatal and </w:t>
      </w:r>
      <w:proofErr w:type="spellStart"/>
      <w:r w:rsidRPr="00297679">
        <w:t>immunisation</w:t>
      </w:r>
      <w:proofErr w:type="spellEnd"/>
      <w:r w:rsidRPr="00297679">
        <w:t xml:space="preserve"> clinics in AE-FUTHA, Ebonyi State:</w:t>
      </w:r>
    </w:p>
    <w:p w14:paraId="7E2D970E" w14:textId="77777777" w:rsidR="00FC2F8E" w:rsidRPr="00297679" w:rsidRDefault="00AE16DB">
      <w:pPr>
        <w:pStyle w:val="ListParagraph"/>
        <w:numPr>
          <w:ilvl w:val="0"/>
          <w:numId w:val="18"/>
        </w:numPr>
        <w:spacing w:before="100" w:beforeAutospacing="1" w:after="100" w:afterAutospacing="1"/>
        <w:jc w:val="both"/>
        <w:rPr>
          <w:rFonts w:ascii="Times New Roman" w:hAnsi="Times New Roman" w:cs="Times New Roman"/>
          <w:sz w:val="24"/>
          <w:szCs w:val="24"/>
        </w:rPr>
      </w:pPr>
      <w:r w:rsidRPr="00297679">
        <w:t>Firstly, hospital management should provide adequate teaching aids and visual demonstration tools, such as projectors, simulators, and flip charts, to enhance clarity and engagement during health education sessions.</w:t>
      </w:r>
    </w:p>
    <w:p w14:paraId="3608E3A8" w14:textId="77777777" w:rsidR="00FC2F8E" w:rsidRPr="00297679" w:rsidRDefault="00AE16DB">
      <w:pPr>
        <w:pStyle w:val="ListParagraph"/>
        <w:numPr>
          <w:ilvl w:val="0"/>
          <w:numId w:val="18"/>
        </w:numPr>
        <w:spacing w:before="100" w:beforeAutospacing="1" w:after="100" w:afterAutospacing="1"/>
        <w:jc w:val="both"/>
        <w:rPr>
          <w:rFonts w:ascii="Times New Roman" w:hAnsi="Times New Roman" w:cs="Times New Roman"/>
          <w:sz w:val="24"/>
          <w:szCs w:val="24"/>
        </w:rPr>
      </w:pPr>
      <w:r w:rsidRPr="00297679">
        <w:t xml:space="preserve">Secondly, infrastructural improvements, such as the provision of fans, air conditioning, adequate space, and reliable electricity supply, should be </w:t>
      </w:r>
      <w:proofErr w:type="spellStart"/>
      <w:r w:rsidRPr="00297679">
        <w:t>prioritised</w:t>
      </w:r>
      <w:proofErr w:type="spellEnd"/>
      <w:r w:rsidRPr="00297679">
        <w:t xml:space="preserve"> to create a conducive environment for mothers and health workers.</w:t>
      </w:r>
    </w:p>
    <w:p w14:paraId="0E126958" w14:textId="77777777" w:rsidR="00FC2F8E" w:rsidRPr="00297679" w:rsidRDefault="00AE16DB">
      <w:pPr>
        <w:pStyle w:val="ListParagraph"/>
        <w:numPr>
          <w:ilvl w:val="0"/>
          <w:numId w:val="18"/>
        </w:numPr>
        <w:spacing w:before="100" w:beforeAutospacing="1" w:after="100" w:afterAutospacing="1"/>
        <w:jc w:val="both"/>
        <w:rPr>
          <w:rFonts w:ascii="Times New Roman" w:hAnsi="Times New Roman" w:cs="Times New Roman"/>
          <w:sz w:val="24"/>
          <w:szCs w:val="24"/>
        </w:rPr>
      </w:pPr>
      <w:r w:rsidRPr="00297679">
        <w:t>Thirdly, continuous professional training and supportive supervision should be strengthened to build health workers’ confidence, update their knowledge, and improve their communication skills.</w:t>
      </w:r>
    </w:p>
    <w:p w14:paraId="7360091E" w14:textId="77777777" w:rsidR="00FC2F8E" w:rsidRPr="00297679" w:rsidRDefault="00AE16DB">
      <w:pPr>
        <w:pStyle w:val="ListParagraph"/>
        <w:numPr>
          <w:ilvl w:val="0"/>
          <w:numId w:val="18"/>
        </w:numPr>
        <w:spacing w:before="100" w:beforeAutospacing="1" w:after="100" w:afterAutospacing="1"/>
        <w:jc w:val="both"/>
        <w:rPr>
          <w:rFonts w:ascii="Times New Roman" w:hAnsi="Times New Roman" w:cs="Times New Roman"/>
          <w:sz w:val="24"/>
          <w:szCs w:val="24"/>
        </w:rPr>
      </w:pPr>
      <w:r w:rsidRPr="00297679">
        <w:t>Fourthly, incentives should be introduced for both mothers and health workers. Motivational gifts for mothers can encourage participation, while recognition and rewards for staff can boost morale and performance.</w:t>
      </w:r>
    </w:p>
    <w:p w14:paraId="3D9AC75A" w14:textId="77777777" w:rsidR="000F0B0A" w:rsidRPr="000F0B0A" w:rsidRDefault="000F0B0A" w:rsidP="000F0B0A">
      <w:pPr>
        <w:spacing w:before="100" w:beforeAutospacing="1" w:after="100" w:afterAutospacing="1"/>
        <w:rPr>
          <w:rFonts w:ascii="Times New Roman" w:eastAsia="Times New Roman" w:hAnsi="Times New Roman" w:cs="Times New Roman"/>
          <w:sz w:val="24"/>
          <w:szCs w:val="24"/>
          <w:lang w:eastAsia="en-US"/>
        </w:rPr>
      </w:pPr>
      <w:r w:rsidRPr="000F0B0A">
        <w:rPr>
          <w:rFonts w:ascii="Times New Roman" w:eastAsia="Times New Roman" w:hAnsi="Times New Roman" w:cs="Times New Roman"/>
          <w:b/>
          <w:bCs/>
          <w:sz w:val="24"/>
          <w:szCs w:val="24"/>
          <w:lang w:eastAsia="en-US"/>
        </w:rPr>
        <w:t>Limitation</w:t>
      </w:r>
    </w:p>
    <w:p w14:paraId="75DEA56D" w14:textId="77777777" w:rsidR="000F0B0A" w:rsidRDefault="000F0B0A" w:rsidP="000F0B0A">
      <w:pPr>
        <w:spacing w:before="100" w:beforeAutospacing="1" w:after="100" w:afterAutospacing="1"/>
        <w:rPr>
          <w:rFonts w:ascii="Times New Roman" w:eastAsia="Times New Roman" w:hAnsi="Times New Roman" w:cs="Times New Roman"/>
          <w:sz w:val="24"/>
          <w:szCs w:val="24"/>
          <w:lang w:eastAsia="en-US"/>
        </w:rPr>
      </w:pPr>
      <w:r w:rsidRPr="000F0B0A">
        <w:rPr>
          <w:rFonts w:ascii="Times New Roman" w:eastAsia="Times New Roman" w:hAnsi="Times New Roman" w:cs="Times New Roman"/>
          <w:sz w:val="24"/>
          <w:szCs w:val="24"/>
          <w:lang w:eastAsia="en-US"/>
        </w:rPr>
        <w:t>This study was limited to health workers in one tertiary hospital, which may restrict the transferability of the findings to other health facilities. The quantitative component relied on self-reported responses, which may be influenced by response bias. Although qualitative interviews continued until saturation, the findings reflect the experiences of participants within the AE-FUTHA context only.</w:t>
      </w:r>
    </w:p>
    <w:p w14:paraId="37338889" w14:textId="77777777" w:rsidR="004511BC" w:rsidRPr="004511BC" w:rsidRDefault="004511BC" w:rsidP="008B4E25">
      <w:pPr>
        <w:spacing w:before="100" w:beforeAutospacing="1" w:after="100" w:afterAutospacing="1"/>
        <w:jc w:val="both"/>
        <w:rPr>
          <w:rFonts w:ascii="Times New Roman" w:eastAsia="Times New Roman" w:hAnsi="Times New Roman" w:cs="Times New Roman"/>
          <w:b/>
          <w:bCs/>
          <w:sz w:val="24"/>
          <w:szCs w:val="24"/>
          <w:lang w:eastAsia="en-US"/>
        </w:rPr>
      </w:pPr>
      <w:r w:rsidRPr="004511BC">
        <w:rPr>
          <w:rFonts w:ascii="Times New Roman" w:eastAsia="Times New Roman" w:hAnsi="Times New Roman" w:cs="Times New Roman"/>
          <w:b/>
          <w:bCs/>
          <w:sz w:val="24"/>
          <w:szCs w:val="24"/>
          <w:lang w:eastAsia="en-US"/>
        </w:rPr>
        <w:t>Declaration of AI Use</w:t>
      </w:r>
    </w:p>
    <w:p w14:paraId="3D054321" w14:textId="4F09BC7F" w:rsidR="004511BC" w:rsidRPr="000F0B0A" w:rsidRDefault="004511BC" w:rsidP="008B4E25">
      <w:pPr>
        <w:spacing w:before="100" w:beforeAutospacing="1" w:after="100" w:afterAutospacing="1"/>
        <w:jc w:val="both"/>
        <w:rPr>
          <w:rFonts w:ascii="Times New Roman" w:eastAsia="Times New Roman" w:hAnsi="Times New Roman" w:cs="Times New Roman"/>
          <w:sz w:val="24"/>
          <w:szCs w:val="24"/>
          <w:lang w:eastAsia="en-US"/>
        </w:rPr>
      </w:pPr>
      <w:r w:rsidRPr="004511BC">
        <w:rPr>
          <w:rFonts w:ascii="Times New Roman" w:eastAsia="Times New Roman" w:hAnsi="Times New Roman" w:cs="Times New Roman"/>
          <w:sz w:val="24"/>
          <w:szCs w:val="24"/>
          <w:lang w:eastAsia="en-US"/>
        </w:rPr>
        <w:t xml:space="preserve">This manuscript was prepared through the combined contributions of all author(s), including contributions to the study design, data, content development, results, interpretation, and related scholarly </w:t>
      </w:r>
      <w:r w:rsidRPr="004511BC">
        <w:rPr>
          <w:rFonts w:ascii="Times New Roman" w:eastAsia="Times New Roman" w:hAnsi="Times New Roman" w:cs="Times New Roman"/>
          <w:sz w:val="24"/>
          <w:szCs w:val="24"/>
          <w:lang w:eastAsia="en-US"/>
        </w:rPr>
        <w:lastRenderedPageBreak/>
        <w:t>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97C6B6F" w14:textId="77777777" w:rsidR="00FC2F8E" w:rsidRPr="00297679" w:rsidRDefault="00AE16DB">
      <w:pPr>
        <w:pStyle w:val="Heading1"/>
        <w:spacing w:line="240" w:lineRule="auto"/>
        <w:jc w:val="left"/>
      </w:pPr>
      <w:bookmarkStart w:id="15" w:name="_Toc30533"/>
      <w:r w:rsidRPr="00297679">
        <w:rPr>
          <w:szCs w:val="24"/>
        </w:rPr>
        <w:t>REFERENCES</w:t>
      </w:r>
      <w:bookmarkEnd w:id="15"/>
    </w:p>
    <w:p w14:paraId="1A168C9A"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Abubakar, B. D. (2024). Health workers perceived hindrances to implementation of the National </w:t>
      </w:r>
      <w:proofErr w:type="spellStart"/>
      <w:r w:rsidRPr="00507BF4">
        <w:rPr>
          <w:rFonts w:ascii="Times New Roman" w:eastAsia="Times New Roman" w:hAnsi="Times New Roman" w:cs="Times New Roman"/>
          <w:sz w:val="24"/>
          <w:szCs w:val="24"/>
          <w:lang w:eastAsia="en-US"/>
        </w:rPr>
        <w:t>Programme</w:t>
      </w:r>
      <w:proofErr w:type="spellEnd"/>
      <w:r w:rsidRPr="00507BF4">
        <w:rPr>
          <w:rFonts w:ascii="Times New Roman" w:eastAsia="Times New Roman" w:hAnsi="Times New Roman" w:cs="Times New Roman"/>
          <w:sz w:val="24"/>
          <w:szCs w:val="24"/>
          <w:lang w:eastAsia="en-US"/>
        </w:rPr>
        <w:t xml:space="preserve"> on Immunization among people in Kwara State, Nigeria. </w:t>
      </w:r>
      <w:r w:rsidRPr="00507BF4">
        <w:rPr>
          <w:rFonts w:ascii="Times New Roman" w:eastAsia="Times New Roman" w:hAnsi="Times New Roman" w:cs="Times New Roman"/>
          <w:i/>
          <w:iCs/>
          <w:sz w:val="24"/>
          <w:szCs w:val="24"/>
          <w:lang w:eastAsia="en-US"/>
        </w:rPr>
        <w:t>Pan-African Journal of Health and Environmental Science, 3</w:t>
      </w:r>
      <w:r w:rsidRPr="00507BF4">
        <w:rPr>
          <w:rFonts w:ascii="Times New Roman" w:eastAsia="Times New Roman" w:hAnsi="Times New Roman" w:cs="Times New Roman"/>
          <w:sz w:val="24"/>
          <w:szCs w:val="24"/>
          <w:lang w:eastAsia="en-US"/>
        </w:rPr>
        <w:t xml:space="preserve">(1), 12–26. </w:t>
      </w:r>
      <w:hyperlink r:id="rId11" w:history="1">
        <w:r w:rsidRPr="00507BF4">
          <w:rPr>
            <w:rFonts w:ascii="Times New Roman" w:eastAsia="Times New Roman" w:hAnsi="Times New Roman" w:cs="Times New Roman"/>
            <w:color w:val="0000FF"/>
            <w:sz w:val="24"/>
            <w:szCs w:val="24"/>
            <w:u w:val="single"/>
            <w:lang w:eastAsia="en-US"/>
          </w:rPr>
          <w:t>https://doi.org/10.56893/ajhes2024v03i01.02</w:t>
        </w:r>
      </w:hyperlink>
    </w:p>
    <w:p w14:paraId="6E1CB58D"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Adefolarin, A. O., </w:t>
      </w:r>
      <w:proofErr w:type="spellStart"/>
      <w:r w:rsidRPr="00507BF4">
        <w:rPr>
          <w:rFonts w:ascii="Times New Roman" w:eastAsia="Times New Roman" w:hAnsi="Times New Roman" w:cs="Times New Roman"/>
          <w:sz w:val="24"/>
          <w:szCs w:val="24"/>
          <w:lang w:eastAsia="en-US"/>
        </w:rPr>
        <w:t>Gershim</w:t>
      </w:r>
      <w:proofErr w:type="spellEnd"/>
      <w:r w:rsidRPr="00507BF4">
        <w:rPr>
          <w:rFonts w:ascii="Times New Roman" w:eastAsia="Times New Roman" w:hAnsi="Times New Roman" w:cs="Times New Roman"/>
          <w:sz w:val="24"/>
          <w:szCs w:val="24"/>
          <w:lang w:eastAsia="en-US"/>
        </w:rPr>
        <w:t xml:space="preserve">, A., Sola, A. O., &amp; Oye, G. (2021). The effect of training and supervision on primary health care workers’ competence to deliver maternal depression inclusive health education in Ibadan, Nigeria: A quasi-experimental study. </w:t>
      </w:r>
      <w:r w:rsidRPr="00507BF4">
        <w:rPr>
          <w:rFonts w:ascii="Times New Roman" w:eastAsia="Times New Roman" w:hAnsi="Times New Roman" w:cs="Times New Roman"/>
          <w:i/>
          <w:iCs/>
          <w:sz w:val="24"/>
          <w:szCs w:val="24"/>
          <w:lang w:eastAsia="en-US"/>
        </w:rPr>
        <w:t>BMC Health Services Research, 21</w:t>
      </w:r>
      <w:r w:rsidRPr="00507BF4">
        <w:rPr>
          <w:rFonts w:ascii="Times New Roman" w:eastAsia="Times New Roman" w:hAnsi="Times New Roman" w:cs="Times New Roman"/>
          <w:sz w:val="24"/>
          <w:szCs w:val="24"/>
          <w:lang w:eastAsia="en-US"/>
        </w:rPr>
        <w:t xml:space="preserve">, Article 1286. </w:t>
      </w:r>
      <w:hyperlink r:id="rId12" w:history="1">
        <w:r w:rsidRPr="00507BF4">
          <w:rPr>
            <w:rFonts w:ascii="Times New Roman" w:eastAsia="Times New Roman" w:hAnsi="Times New Roman" w:cs="Times New Roman"/>
            <w:color w:val="0000FF"/>
            <w:sz w:val="24"/>
            <w:szCs w:val="24"/>
            <w:u w:val="single"/>
            <w:lang w:eastAsia="en-US"/>
          </w:rPr>
          <w:t>https://doi.org/10.1186/s12913-021-07208-3</w:t>
        </w:r>
      </w:hyperlink>
    </w:p>
    <w:p w14:paraId="5E6DD89C"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Ali, S. T., Rizvi, S. A., Talat, M., Abuzar, S., Azhar, M., &amp; Rehman, M. (2026). Barriers to timely and adequate antenatal care: A systematic review of socioeconomic, cultural, psychosocial, and health-system factors across high- and low-resource settings. </w:t>
      </w:r>
      <w:r w:rsidRPr="00507BF4">
        <w:rPr>
          <w:rFonts w:ascii="Times New Roman" w:eastAsia="Times New Roman" w:hAnsi="Times New Roman" w:cs="Times New Roman"/>
          <w:i/>
          <w:iCs/>
          <w:sz w:val="24"/>
          <w:szCs w:val="24"/>
          <w:lang w:eastAsia="en-US"/>
        </w:rPr>
        <w:t>BMC Pregnancy and Childbirth, 26</w:t>
      </w:r>
      <w:r w:rsidRPr="00507BF4">
        <w:rPr>
          <w:rFonts w:ascii="Times New Roman" w:eastAsia="Times New Roman" w:hAnsi="Times New Roman" w:cs="Times New Roman"/>
          <w:sz w:val="24"/>
          <w:szCs w:val="24"/>
          <w:lang w:eastAsia="en-US"/>
        </w:rPr>
        <w:t xml:space="preserve">, Article 96. </w:t>
      </w:r>
      <w:hyperlink r:id="rId13" w:history="1">
        <w:r w:rsidRPr="00507BF4">
          <w:rPr>
            <w:rFonts w:ascii="Times New Roman" w:eastAsia="Times New Roman" w:hAnsi="Times New Roman" w:cs="Times New Roman"/>
            <w:color w:val="0000FF"/>
            <w:sz w:val="24"/>
            <w:szCs w:val="24"/>
            <w:u w:val="single"/>
            <w:lang w:eastAsia="en-US"/>
          </w:rPr>
          <w:t>https://doi.org/10.1186/s12884-025-08565-1</w:t>
        </w:r>
      </w:hyperlink>
    </w:p>
    <w:p w14:paraId="3C909DC8"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Balogun, F. M., </w:t>
      </w:r>
      <w:proofErr w:type="spellStart"/>
      <w:r w:rsidRPr="00507BF4">
        <w:rPr>
          <w:rFonts w:ascii="Times New Roman" w:eastAsia="Times New Roman" w:hAnsi="Times New Roman" w:cs="Times New Roman"/>
          <w:sz w:val="24"/>
          <w:szCs w:val="24"/>
          <w:lang w:eastAsia="en-US"/>
        </w:rPr>
        <w:t>Omobowale</w:t>
      </w:r>
      <w:proofErr w:type="spellEnd"/>
      <w:r w:rsidRPr="00507BF4">
        <w:rPr>
          <w:rFonts w:ascii="Times New Roman" w:eastAsia="Times New Roman" w:hAnsi="Times New Roman" w:cs="Times New Roman"/>
          <w:sz w:val="24"/>
          <w:szCs w:val="24"/>
          <w:lang w:eastAsia="en-US"/>
        </w:rPr>
        <w:t xml:space="preserve">, O. C., &amp; </w:t>
      </w:r>
      <w:proofErr w:type="spellStart"/>
      <w:r w:rsidRPr="00507BF4">
        <w:rPr>
          <w:rFonts w:ascii="Times New Roman" w:eastAsia="Times New Roman" w:hAnsi="Times New Roman" w:cs="Times New Roman"/>
          <w:sz w:val="24"/>
          <w:szCs w:val="24"/>
          <w:lang w:eastAsia="en-US"/>
        </w:rPr>
        <w:t>Akindolire</w:t>
      </w:r>
      <w:proofErr w:type="spellEnd"/>
      <w:r w:rsidRPr="00507BF4">
        <w:rPr>
          <w:rFonts w:ascii="Times New Roman" w:eastAsia="Times New Roman" w:hAnsi="Times New Roman" w:cs="Times New Roman"/>
          <w:sz w:val="24"/>
          <w:szCs w:val="24"/>
          <w:lang w:eastAsia="en-US"/>
        </w:rPr>
        <w:t xml:space="preserve">, A. E. (2025). Enablers and barriers to older women’s support of infant immunization timeliness and completion in selected urban slum communities of Ibadan, Nigeria. </w:t>
      </w:r>
      <w:r w:rsidRPr="00507BF4">
        <w:rPr>
          <w:rFonts w:ascii="Times New Roman" w:eastAsia="Times New Roman" w:hAnsi="Times New Roman" w:cs="Times New Roman"/>
          <w:i/>
          <w:iCs/>
          <w:sz w:val="24"/>
          <w:szCs w:val="24"/>
          <w:lang w:eastAsia="en-US"/>
        </w:rPr>
        <w:t>Vaccine: X, 25</w:t>
      </w:r>
      <w:r w:rsidRPr="00507BF4">
        <w:rPr>
          <w:rFonts w:ascii="Times New Roman" w:eastAsia="Times New Roman" w:hAnsi="Times New Roman" w:cs="Times New Roman"/>
          <w:sz w:val="24"/>
          <w:szCs w:val="24"/>
          <w:lang w:eastAsia="en-US"/>
        </w:rPr>
        <w:t xml:space="preserve">, 100668. </w:t>
      </w:r>
      <w:hyperlink r:id="rId14" w:history="1">
        <w:r w:rsidRPr="00507BF4">
          <w:rPr>
            <w:rFonts w:ascii="Times New Roman" w:eastAsia="Times New Roman" w:hAnsi="Times New Roman" w:cs="Times New Roman"/>
            <w:color w:val="0000FF"/>
            <w:sz w:val="24"/>
            <w:szCs w:val="24"/>
            <w:u w:val="single"/>
            <w:lang w:eastAsia="en-US"/>
          </w:rPr>
          <w:t>https://doi.org/10.1016/j.jvacx.2025.100668</w:t>
        </w:r>
      </w:hyperlink>
    </w:p>
    <w:p w14:paraId="1301C52B"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proofErr w:type="spellStart"/>
      <w:r w:rsidRPr="00507BF4">
        <w:rPr>
          <w:rFonts w:ascii="Times New Roman" w:eastAsia="Times New Roman" w:hAnsi="Times New Roman" w:cs="Times New Roman"/>
          <w:sz w:val="24"/>
          <w:szCs w:val="24"/>
          <w:lang w:eastAsia="en-US"/>
        </w:rPr>
        <w:t>Ekeoba</w:t>
      </w:r>
      <w:proofErr w:type="spellEnd"/>
      <w:r w:rsidRPr="00507BF4">
        <w:rPr>
          <w:rFonts w:ascii="Times New Roman" w:eastAsia="Times New Roman" w:hAnsi="Times New Roman" w:cs="Times New Roman"/>
          <w:sz w:val="24"/>
          <w:szCs w:val="24"/>
          <w:lang w:eastAsia="en-US"/>
        </w:rPr>
        <w:t xml:space="preserve">, C. C. (2026). Effectiveness of community-based health education interventions on maternal health service uptake in Sub-Saharan Africa: A systematic review. </w:t>
      </w:r>
      <w:r w:rsidRPr="00507BF4">
        <w:rPr>
          <w:rFonts w:ascii="Times New Roman" w:eastAsia="Times New Roman" w:hAnsi="Times New Roman" w:cs="Times New Roman"/>
          <w:i/>
          <w:iCs/>
          <w:sz w:val="24"/>
          <w:szCs w:val="24"/>
          <w:lang w:eastAsia="en-US"/>
        </w:rPr>
        <w:t>Asian Journal of Medical Principles and Clinical Practice, 9</w:t>
      </w:r>
      <w:r w:rsidRPr="00507BF4">
        <w:rPr>
          <w:rFonts w:ascii="Times New Roman" w:eastAsia="Times New Roman" w:hAnsi="Times New Roman" w:cs="Times New Roman"/>
          <w:sz w:val="24"/>
          <w:szCs w:val="24"/>
          <w:lang w:eastAsia="en-US"/>
        </w:rPr>
        <w:t xml:space="preserve">(1), 641–654. </w:t>
      </w:r>
      <w:hyperlink r:id="rId15" w:history="1">
        <w:r w:rsidRPr="00507BF4">
          <w:rPr>
            <w:rFonts w:ascii="Times New Roman" w:eastAsia="Times New Roman" w:hAnsi="Times New Roman" w:cs="Times New Roman"/>
            <w:color w:val="0000FF"/>
            <w:sz w:val="24"/>
            <w:szCs w:val="24"/>
            <w:u w:val="single"/>
            <w:lang w:eastAsia="en-US"/>
          </w:rPr>
          <w:t>https://doi.org/10.9734/ajmpcp/2026/v9i1432</w:t>
        </w:r>
      </w:hyperlink>
    </w:p>
    <w:p w14:paraId="45F5CF59"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Ekhaguere, O. A., Ekpenyong, N., Mohammed, E. F., Bukar, F. L., Oyo-Ita, A., &amp; Kaufman, J. (2026). Content and factors influencing health education in </w:t>
      </w:r>
      <w:proofErr w:type="spellStart"/>
      <w:r w:rsidRPr="00507BF4">
        <w:rPr>
          <w:rFonts w:ascii="Times New Roman" w:eastAsia="Times New Roman" w:hAnsi="Times New Roman" w:cs="Times New Roman"/>
          <w:sz w:val="24"/>
          <w:szCs w:val="24"/>
          <w:lang w:eastAsia="en-US"/>
        </w:rPr>
        <w:t>immunisation</w:t>
      </w:r>
      <w:proofErr w:type="spellEnd"/>
      <w:r w:rsidRPr="00507BF4">
        <w:rPr>
          <w:rFonts w:ascii="Times New Roman" w:eastAsia="Times New Roman" w:hAnsi="Times New Roman" w:cs="Times New Roman"/>
          <w:sz w:val="24"/>
          <w:szCs w:val="24"/>
          <w:lang w:eastAsia="en-US"/>
        </w:rPr>
        <w:t xml:space="preserve"> clinics in Nigeria. </w:t>
      </w:r>
      <w:r w:rsidRPr="00507BF4">
        <w:rPr>
          <w:rFonts w:ascii="Times New Roman" w:eastAsia="Times New Roman" w:hAnsi="Times New Roman" w:cs="Times New Roman"/>
          <w:i/>
          <w:iCs/>
          <w:sz w:val="24"/>
          <w:szCs w:val="24"/>
          <w:lang w:eastAsia="en-US"/>
        </w:rPr>
        <w:t>Tropical Medicine &amp; International Health, 31</w:t>
      </w:r>
      <w:r w:rsidRPr="00507BF4">
        <w:rPr>
          <w:rFonts w:ascii="Times New Roman" w:eastAsia="Times New Roman" w:hAnsi="Times New Roman" w:cs="Times New Roman"/>
          <w:sz w:val="24"/>
          <w:szCs w:val="24"/>
          <w:lang w:eastAsia="en-US"/>
        </w:rPr>
        <w:t xml:space="preserve">(5), 603–611. </w:t>
      </w:r>
      <w:hyperlink r:id="rId16" w:history="1">
        <w:r w:rsidRPr="00507BF4">
          <w:rPr>
            <w:rFonts w:ascii="Times New Roman" w:eastAsia="Times New Roman" w:hAnsi="Times New Roman" w:cs="Times New Roman"/>
            <w:color w:val="0000FF"/>
            <w:sz w:val="24"/>
            <w:szCs w:val="24"/>
            <w:u w:val="single"/>
            <w:lang w:eastAsia="en-US"/>
          </w:rPr>
          <w:t>https://doi.org/10.1111/tmi.70101</w:t>
        </w:r>
      </w:hyperlink>
    </w:p>
    <w:p w14:paraId="0220632D"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Etim, E.-O. E., </w:t>
      </w:r>
      <w:proofErr w:type="spellStart"/>
      <w:r w:rsidRPr="00507BF4">
        <w:rPr>
          <w:rFonts w:ascii="Times New Roman" w:eastAsia="Times New Roman" w:hAnsi="Times New Roman" w:cs="Times New Roman"/>
          <w:sz w:val="24"/>
          <w:szCs w:val="24"/>
          <w:lang w:eastAsia="en-US"/>
        </w:rPr>
        <w:t>Odiachi</w:t>
      </w:r>
      <w:proofErr w:type="spellEnd"/>
      <w:r w:rsidRPr="00507BF4">
        <w:rPr>
          <w:rFonts w:ascii="Times New Roman" w:eastAsia="Times New Roman" w:hAnsi="Times New Roman" w:cs="Times New Roman"/>
          <w:sz w:val="24"/>
          <w:szCs w:val="24"/>
          <w:lang w:eastAsia="en-US"/>
        </w:rPr>
        <w:t xml:space="preserve">, A., Dougherty, L., Alabi, M., Adetunji, A., &amp; </w:t>
      </w:r>
      <w:proofErr w:type="spellStart"/>
      <w:r w:rsidRPr="00507BF4">
        <w:rPr>
          <w:rFonts w:ascii="Times New Roman" w:eastAsia="Times New Roman" w:hAnsi="Times New Roman" w:cs="Times New Roman"/>
          <w:sz w:val="24"/>
          <w:szCs w:val="24"/>
          <w:lang w:eastAsia="en-US"/>
        </w:rPr>
        <w:t>Adedimeji</w:t>
      </w:r>
      <w:proofErr w:type="spellEnd"/>
      <w:r w:rsidRPr="00507BF4">
        <w:rPr>
          <w:rFonts w:ascii="Times New Roman" w:eastAsia="Times New Roman" w:hAnsi="Times New Roman" w:cs="Times New Roman"/>
          <w:sz w:val="24"/>
          <w:szCs w:val="24"/>
          <w:lang w:eastAsia="en-US"/>
        </w:rPr>
        <w:t xml:space="preserve">, A. (2025). Understanding caregivers’ and community influencers’ perspectives on the barriers to childhood </w:t>
      </w:r>
      <w:proofErr w:type="spellStart"/>
      <w:r w:rsidRPr="00507BF4">
        <w:rPr>
          <w:rFonts w:ascii="Times New Roman" w:eastAsia="Times New Roman" w:hAnsi="Times New Roman" w:cs="Times New Roman"/>
          <w:sz w:val="24"/>
          <w:szCs w:val="24"/>
          <w:lang w:eastAsia="en-US"/>
        </w:rPr>
        <w:t>immunisation</w:t>
      </w:r>
      <w:proofErr w:type="spellEnd"/>
      <w:r w:rsidRPr="00507BF4">
        <w:rPr>
          <w:rFonts w:ascii="Times New Roman" w:eastAsia="Times New Roman" w:hAnsi="Times New Roman" w:cs="Times New Roman"/>
          <w:sz w:val="24"/>
          <w:szCs w:val="24"/>
          <w:lang w:eastAsia="en-US"/>
        </w:rPr>
        <w:t xml:space="preserve"> in northern Nigerian states with public-private partnerships in routine </w:t>
      </w:r>
      <w:proofErr w:type="spellStart"/>
      <w:r w:rsidRPr="00507BF4">
        <w:rPr>
          <w:rFonts w:ascii="Times New Roman" w:eastAsia="Times New Roman" w:hAnsi="Times New Roman" w:cs="Times New Roman"/>
          <w:sz w:val="24"/>
          <w:szCs w:val="24"/>
          <w:lang w:eastAsia="en-US"/>
        </w:rPr>
        <w:t>immunisation</w:t>
      </w:r>
      <w:proofErr w:type="spellEnd"/>
      <w:r w:rsidRPr="00507BF4">
        <w:rPr>
          <w:rFonts w:ascii="Times New Roman" w:eastAsia="Times New Roman" w:hAnsi="Times New Roman" w:cs="Times New Roman"/>
          <w:sz w:val="24"/>
          <w:szCs w:val="24"/>
          <w:lang w:eastAsia="en-US"/>
        </w:rPr>
        <w:t xml:space="preserve"> </w:t>
      </w:r>
      <w:proofErr w:type="spellStart"/>
      <w:r w:rsidRPr="00507BF4">
        <w:rPr>
          <w:rFonts w:ascii="Times New Roman" w:eastAsia="Times New Roman" w:hAnsi="Times New Roman" w:cs="Times New Roman"/>
          <w:sz w:val="24"/>
          <w:szCs w:val="24"/>
          <w:lang w:eastAsia="en-US"/>
        </w:rPr>
        <w:t>programme</w:t>
      </w:r>
      <w:proofErr w:type="spellEnd"/>
      <w:r w:rsidRPr="00507BF4">
        <w:rPr>
          <w:rFonts w:ascii="Times New Roman" w:eastAsia="Times New Roman" w:hAnsi="Times New Roman" w:cs="Times New Roman"/>
          <w:sz w:val="24"/>
          <w:szCs w:val="24"/>
          <w:lang w:eastAsia="en-US"/>
        </w:rPr>
        <w:t xml:space="preserve">. </w:t>
      </w:r>
      <w:r w:rsidRPr="00507BF4">
        <w:rPr>
          <w:rFonts w:ascii="Times New Roman" w:eastAsia="Times New Roman" w:hAnsi="Times New Roman" w:cs="Times New Roman"/>
          <w:i/>
          <w:iCs/>
          <w:sz w:val="24"/>
          <w:szCs w:val="24"/>
          <w:lang w:eastAsia="en-US"/>
        </w:rPr>
        <w:t>BMC Public Health, 25</w:t>
      </w:r>
      <w:r w:rsidRPr="00507BF4">
        <w:rPr>
          <w:rFonts w:ascii="Times New Roman" w:eastAsia="Times New Roman" w:hAnsi="Times New Roman" w:cs="Times New Roman"/>
          <w:sz w:val="24"/>
          <w:szCs w:val="24"/>
          <w:lang w:eastAsia="en-US"/>
        </w:rPr>
        <w:t xml:space="preserve">, Article 1471. </w:t>
      </w:r>
      <w:hyperlink r:id="rId17" w:history="1">
        <w:r w:rsidRPr="00507BF4">
          <w:rPr>
            <w:rFonts w:ascii="Times New Roman" w:eastAsia="Times New Roman" w:hAnsi="Times New Roman" w:cs="Times New Roman"/>
            <w:color w:val="0000FF"/>
            <w:sz w:val="24"/>
            <w:szCs w:val="24"/>
            <w:u w:val="single"/>
            <w:lang w:eastAsia="en-US"/>
          </w:rPr>
          <w:t>https://doi.org/10.1186/s12889-025-22710-7</w:t>
        </w:r>
      </w:hyperlink>
    </w:p>
    <w:p w14:paraId="2F8960A8"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val="nl-BE" w:eastAsia="en-US"/>
        </w:rPr>
        <w:t xml:space="preserve">Gift, E. O., Orduwa, W. H., Okolo, O., Osigwe, P. C., &amp; Bello, B. G. (2025). </w:t>
      </w:r>
      <w:r w:rsidRPr="00507BF4">
        <w:rPr>
          <w:rFonts w:ascii="Times New Roman" w:eastAsia="Times New Roman" w:hAnsi="Times New Roman" w:cs="Times New Roman"/>
          <w:sz w:val="24"/>
          <w:szCs w:val="24"/>
          <w:lang w:eastAsia="en-US"/>
        </w:rPr>
        <w:t xml:space="preserve">Correlates of responsiveness and empathy on antenatal patients’ satisfaction in primary healthcare facilities. </w:t>
      </w:r>
      <w:r w:rsidRPr="00507BF4">
        <w:rPr>
          <w:rFonts w:ascii="Times New Roman" w:eastAsia="Times New Roman" w:hAnsi="Times New Roman" w:cs="Times New Roman"/>
          <w:i/>
          <w:iCs/>
          <w:sz w:val="24"/>
          <w:szCs w:val="24"/>
          <w:lang w:eastAsia="en-US"/>
        </w:rPr>
        <w:t>Asian Research Journal of Current Science, 7</w:t>
      </w:r>
      <w:r w:rsidRPr="00507BF4">
        <w:rPr>
          <w:rFonts w:ascii="Times New Roman" w:eastAsia="Times New Roman" w:hAnsi="Times New Roman" w:cs="Times New Roman"/>
          <w:sz w:val="24"/>
          <w:szCs w:val="24"/>
          <w:lang w:eastAsia="en-US"/>
        </w:rPr>
        <w:t xml:space="preserve">(1), 1–11. </w:t>
      </w:r>
      <w:hyperlink r:id="rId18" w:history="1">
        <w:r w:rsidRPr="00507BF4">
          <w:rPr>
            <w:rFonts w:ascii="Times New Roman" w:eastAsia="Times New Roman" w:hAnsi="Times New Roman" w:cs="Times New Roman"/>
            <w:color w:val="0000FF"/>
            <w:sz w:val="24"/>
            <w:szCs w:val="24"/>
            <w:u w:val="single"/>
            <w:lang w:eastAsia="en-US"/>
          </w:rPr>
          <w:t>https://doi.org/10.56557/arjocs/2025/v7i1124</w:t>
        </w:r>
      </w:hyperlink>
    </w:p>
    <w:p w14:paraId="444DE66C"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Hooper, E., </w:t>
      </w:r>
      <w:proofErr w:type="spellStart"/>
      <w:r w:rsidRPr="00507BF4">
        <w:rPr>
          <w:rFonts w:ascii="Times New Roman" w:eastAsia="Times New Roman" w:hAnsi="Times New Roman" w:cs="Times New Roman"/>
          <w:sz w:val="24"/>
          <w:szCs w:val="24"/>
          <w:lang w:eastAsia="en-US"/>
        </w:rPr>
        <w:t>Mechkaroff</w:t>
      </w:r>
      <w:proofErr w:type="spellEnd"/>
      <w:r w:rsidRPr="00507BF4">
        <w:rPr>
          <w:rFonts w:ascii="Times New Roman" w:eastAsia="Times New Roman" w:hAnsi="Times New Roman" w:cs="Times New Roman"/>
          <w:sz w:val="24"/>
          <w:szCs w:val="24"/>
          <w:lang w:eastAsia="en-US"/>
        </w:rPr>
        <w:t xml:space="preserve">, O., </w:t>
      </w:r>
      <w:proofErr w:type="spellStart"/>
      <w:r w:rsidRPr="00507BF4">
        <w:rPr>
          <w:rFonts w:ascii="Times New Roman" w:eastAsia="Times New Roman" w:hAnsi="Times New Roman" w:cs="Times New Roman"/>
          <w:sz w:val="24"/>
          <w:szCs w:val="24"/>
          <w:lang w:eastAsia="en-US"/>
        </w:rPr>
        <w:t>Upitis</w:t>
      </w:r>
      <w:proofErr w:type="spellEnd"/>
      <w:r w:rsidRPr="00507BF4">
        <w:rPr>
          <w:rFonts w:ascii="Times New Roman" w:eastAsia="Times New Roman" w:hAnsi="Times New Roman" w:cs="Times New Roman"/>
          <w:sz w:val="24"/>
          <w:szCs w:val="24"/>
          <w:lang w:eastAsia="en-US"/>
        </w:rPr>
        <w:t xml:space="preserve">, A., Schofield, E., Carland, J. E., &amp; Henry, A. (2025). The effectiveness of antenatal education on improving </w:t>
      </w:r>
      <w:proofErr w:type="spellStart"/>
      <w:r w:rsidRPr="00507BF4">
        <w:rPr>
          <w:rFonts w:ascii="Times New Roman" w:eastAsia="Times New Roman" w:hAnsi="Times New Roman" w:cs="Times New Roman"/>
          <w:sz w:val="24"/>
          <w:szCs w:val="24"/>
          <w:lang w:eastAsia="en-US"/>
        </w:rPr>
        <w:t>labour</w:t>
      </w:r>
      <w:proofErr w:type="spellEnd"/>
      <w:r w:rsidRPr="00507BF4">
        <w:rPr>
          <w:rFonts w:ascii="Times New Roman" w:eastAsia="Times New Roman" w:hAnsi="Times New Roman" w:cs="Times New Roman"/>
          <w:sz w:val="24"/>
          <w:szCs w:val="24"/>
          <w:lang w:eastAsia="en-US"/>
        </w:rPr>
        <w:t xml:space="preserve"> and birth outcomes: A systematic review and meta-analysis. </w:t>
      </w:r>
      <w:r w:rsidRPr="00507BF4">
        <w:rPr>
          <w:rFonts w:ascii="Times New Roman" w:eastAsia="Times New Roman" w:hAnsi="Times New Roman" w:cs="Times New Roman"/>
          <w:i/>
          <w:iCs/>
          <w:sz w:val="24"/>
          <w:szCs w:val="24"/>
          <w:lang w:eastAsia="en-US"/>
        </w:rPr>
        <w:t>Women and Birth, 38</w:t>
      </w:r>
      <w:r w:rsidRPr="00507BF4">
        <w:rPr>
          <w:rFonts w:ascii="Times New Roman" w:eastAsia="Times New Roman" w:hAnsi="Times New Roman" w:cs="Times New Roman"/>
          <w:sz w:val="24"/>
          <w:szCs w:val="24"/>
          <w:lang w:eastAsia="en-US"/>
        </w:rPr>
        <w:t xml:space="preserve">(1), 101843. </w:t>
      </w:r>
      <w:hyperlink r:id="rId19" w:history="1">
        <w:r w:rsidRPr="00507BF4">
          <w:rPr>
            <w:rFonts w:ascii="Times New Roman" w:eastAsia="Times New Roman" w:hAnsi="Times New Roman" w:cs="Times New Roman"/>
            <w:color w:val="0000FF"/>
            <w:sz w:val="24"/>
            <w:szCs w:val="24"/>
            <w:u w:val="single"/>
            <w:lang w:eastAsia="en-US"/>
          </w:rPr>
          <w:t>https://doi.org/10.1016/j.wombi.2024.101843</w:t>
        </w:r>
      </w:hyperlink>
    </w:p>
    <w:p w14:paraId="7B8DA276"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lastRenderedPageBreak/>
        <w:t xml:space="preserve">Ibikunle, H. A., Okafor, I. P., &amp; </w:t>
      </w:r>
      <w:proofErr w:type="spellStart"/>
      <w:r w:rsidRPr="00507BF4">
        <w:rPr>
          <w:rFonts w:ascii="Times New Roman" w:eastAsia="Times New Roman" w:hAnsi="Times New Roman" w:cs="Times New Roman"/>
          <w:sz w:val="24"/>
          <w:szCs w:val="24"/>
          <w:lang w:eastAsia="en-US"/>
        </w:rPr>
        <w:t>Adejimi</w:t>
      </w:r>
      <w:proofErr w:type="spellEnd"/>
      <w:r w:rsidRPr="00507BF4">
        <w:rPr>
          <w:rFonts w:ascii="Times New Roman" w:eastAsia="Times New Roman" w:hAnsi="Times New Roman" w:cs="Times New Roman"/>
          <w:sz w:val="24"/>
          <w:szCs w:val="24"/>
          <w:lang w:eastAsia="en-US"/>
        </w:rPr>
        <w:t xml:space="preserve">, A. A. (2021). Pre-natal nutrition education: Health care providers’ knowledge and quality of services in primary health care </w:t>
      </w:r>
      <w:proofErr w:type="spellStart"/>
      <w:r w:rsidRPr="00507BF4">
        <w:rPr>
          <w:rFonts w:ascii="Times New Roman" w:eastAsia="Times New Roman" w:hAnsi="Times New Roman" w:cs="Times New Roman"/>
          <w:sz w:val="24"/>
          <w:szCs w:val="24"/>
          <w:lang w:eastAsia="en-US"/>
        </w:rPr>
        <w:t>centres</w:t>
      </w:r>
      <w:proofErr w:type="spellEnd"/>
      <w:r w:rsidRPr="00507BF4">
        <w:rPr>
          <w:rFonts w:ascii="Times New Roman" w:eastAsia="Times New Roman" w:hAnsi="Times New Roman" w:cs="Times New Roman"/>
          <w:sz w:val="24"/>
          <w:szCs w:val="24"/>
          <w:lang w:eastAsia="en-US"/>
        </w:rPr>
        <w:t xml:space="preserve"> in Lagos, Nigeria. </w:t>
      </w:r>
      <w:r w:rsidRPr="00507BF4">
        <w:rPr>
          <w:rFonts w:ascii="Times New Roman" w:eastAsia="Times New Roman" w:hAnsi="Times New Roman" w:cs="Times New Roman"/>
          <w:i/>
          <w:iCs/>
          <w:sz w:val="24"/>
          <w:szCs w:val="24"/>
          <w:lang w:eastAsia="en-US"/>
        </w:rPr>
        <w:t>PLOS ONE, 16</w:t>
      </w:r>
      <w:r w:rsidRPr="00507BF4">
        <w:rPr>
          <w:rFonts w:ascii="Times New Roman" w:eastAsia="Times New Roman" w:hAnsi="Times New Roman" w:cs="Times New Roman"/>
          <w:sz w:val="24"/>
          <w:szCs w:val="24"/>
          <w:lang w:eastAsia="en-US"/>
        </w:rPr>
        <w:t xml:space="preserve">(11), e0259237. </w:t>
      </w:r>
      <w:hyperlink r:id="rId20" w:history="1">
        <w:r w:rsidRPr="00507BF4">
          <w:rPr>
            <w:rFonts w:ascii="Times New Roman" w:eastAsia="Times New Roman" w:hAnsi="Times New Roman" w:cs="Times New Roman"/>
            <w:color w:val="0000FF"/>
            <w:sz w:val="24"/>
            <w:szCs w:val="24"/>
            <w:u w:val="single"/>
            <w:lang w:eastAsia="en-US"/>
          </w:rPr>
          <w:t>https://doi.org/10.1371/journal.pone.0259237</w:t>
        </w:r>
      </w:hyperlink>
    </w:p>
    <w:p w14:paraId="039E71EC"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Isika, A. I., Oku, A. O., Obi, I. F., &amp; Oyo-Ita, A. (2025). Client satisfaction with the quality of maternal healthcare services among immunization clinic attendees in selected primary healthcare facilities in Cross River State, Nigeria: A rural–urban comparison. </w:t>
      </w:r>
      <w:r w:rsidRPr="00507BF4">
        <w:rPr>
          <w:rFonts w:ascii="Times New Roman" w:eastAsia="Times New Roman" w:hAnsi="Times New Roman" w:cs="Times New Roman"/>
          <w:i/>
          <w:iCs/>
          <w:sz w:val="24"/>
          <w:szCs w:val="24"/>
          <w:lang w:eastAsia="en-US"/>
        </w:rPr>
        <w:t>African Journal of Reproductive Health, 29</w:t>
      </w:r>
      <w:r w:rsidRPr="00507BF4">
        <w:rPr>
          <w:rFonts w:ascii="Times New Roman" w:eastAsia="Times New Roman" w:hAnsi="Times New Roman" w:cs="Times New Roman"/>
          <w:sz w:val="24"/>
          <w:szCs w:val="24"/>
          <w:lang w:eastAsia="en-US"/>
        </w:rPr>
        <w:t xml:space="preserve">(6), 129–140. </w:t>
      </w:r>
      <w:hyperlink r:id="rId21" w:history="1">
        <w:r w:rsidRPr="00507BF4">
          <w:rPr>
            <w:rFonts w:ascii="Times New Roman" w:eastAsia="Times New Roman" w:hAnsi="Times New Roman" w:cs="Times New Roman"/>
            <w:color w:val="0000FF"/>
            <w:sz w:val="24"/>
            <w:szCs w:val="24"/>
            <w:u w:val="single"/>
            <w:lang w:eastAsia="en-US"/>
          </w:rPr>
          <w:t>https://doi.org/10.29063/ajrh2025/v29i6.12</w:t>
        </w:r>
      </w:hyperlink>
    </w:p>
    <w:p w14:paraId="70851152"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Mohammed, Y., Reynolds, H. W., Waziri, H., Attahiru, A., Olowo-Okere, A., </w:t>
      </w:r>
      <w:proofErr w:type="spellStart"/>
      <w:r w:rsidRPr="00507BF4">
        <w:rPr>
          <w:rFonts w:ascii="Times New Roman" w:eastAsia="Times New Roman" w:hAnsi="Times New Roman" w:cs="Times New Roman"/>
          <w:sz w:val="24"/>
          <w:szCs w:val="24"/>
          <w:lang w:eastAsia="en-US"/>
        </w:rPr>
        <w:t>Kamateeka</w:t>
      </w:r>
      <w:proofErr w:type="spellEnd"/>
      <w:r w:rsidRPr="00507BF4">
        <w:rPr>
          <w:rFonts w:ascii="Times New Roman" w:eastAsia="Times New Roman" w:hAnsi="Times New Roman" w:cs="Times New Roman"/>
          <w:sz w:val="24"/>
          <w:szCs w:val="24"/>
          <w:lang w:eastAsia="en-US"/>
        </w:rPr>
        <w:t xml:space="preserve">, M., Waziri, N. E., Garba, A. M., Corrêa, G. C., Garba, R., Vollmer, N., &amp; </w:t>
      </w:r>
      <w:proofErr w:type="spellStart"/>
      <w:r w:rsidRPr="00507BF4">
        <w:rPr>
          <w:rFonts w:ascii="Times New Roman" w:eastAsia="Times New Roman" w:hAnsi="Times New Roman" w:cs="Times New Roman"/>
          <w:sz w:val="24"/>
          <w:szCs w:val="24"/>
          <w:lang w:eastAsia="en-US"/>
        </w:rPr>
        <w:t>Nguku</w:t>
      </w:r>
      <w:proofErr w:type="spellEnd"/>
      <w:r w:rsidRPr="00507BF4">
        <w:rPr>
          <w:rFonts w:ascii="Times New Roman" w:eastAsia="Times New Roman" w:hAnsi="Times New Roman" w:cs="Times New Roman"/>
          <w:sz w:val="24"/>
          <w:szCs w:val="24"/>
          <w:lang w:eastAsia="en-US"/>
        </w:rPr>
        <w:t xml:space="preserve">, P. (2024). Exploring the landscape of routine immunization in Nigeria: A scoping review of barriers and facilitators. </w:t>
      </w:r>
      <w:r w:rsidRPr="00507BF4">
        <w:rPr>
          <w:rFonts w:ascii="Times New Roman" w:eastAsia="Times New Roman" w:hAnsi="Times New Roman" w:cs="Times New Roman"/>
          <w:i/>
          <w:iCs/>
          <w:sz w:val="24"/>
          <w:szCs w:val="24"/>
          <w:lang w:eastAsia="en-US"/>
        </w:rPr>
        <w:t>Vaccine: X, 20</w:t>
      </w:r>
      <w:r w:rsidRPr="00507BF4">
        <w:rPr>
          <w:rFonts w:ascii="Times New Roman" w:eastAsia="Times New Roman" w:hAnsi="Times New Roman" w:cs="Times New Roman"/>
          <w:sz w:val="24"/>
          <w:szCs w:val="24"/>
          <w:lang w:eastAsia="en-US"/>
        </w:rPr>
        <w:t xml:space="preserve">, 100563. </w:t>
      </w:r>
      <w:hyperlink r:id="rId22" w:history="1">
        <w:r w:rsidRPr="00507BF4">
          <w:rPr>
            <w:rFonts w:ascii="Times New Roman" w:eastAsia="Times New Roman" w:hAnsi="Times New Roman" w:cs="Times New Roman"/>
            <w:color w:val="0000FF"/>
            <w:sz w:val="24"/>
            <w:szCs w:val="24"/>
            <w:u w:val="single"/>
            <w:lang w:eastAsia="en-US"/>
          </w:rPr>
          <w:t>https://doi.org/10.1016/j.jvacx.2024.100563</w:t>
        </w:r>
      </w:hyperlink>
    </w:p>
    <w:p w14:paraId="76A1FE3A"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National Population Commission (NPC) [Nigeria] &amp; ICF. (2019). </w:t>
      </w:r>
      <w:r w:rsidRPr="00507BF4">
        <w:rPr>
          <w:rFonts w:ascii="Times New Roman" w:eastAsia="Times New Roman" w:hAnsi="Times New Roman" w:cs="Times New Roman"/>
          <w:i/>
          <w:iCs/>
          <w:sz w:val="24"/>
          <w:szCs w:val="24"/>
          <w:lang w:eastAsia="en-US"/>
        </w:rPr>
        <w:t>Nigeria Demographic and Health Survey 2018</w:t>
      </w:r>
      <w:r w:rsidRPr="00507BF4">
        <w:rPr>
          <w:rFonts w:ascii="Times New Roman" w:eastAsia="Times New Roman" w:hAnsi="Times New Roman" w:cs="Times New Roman"/>
          <w:sz w:val="24"/>
          <w:szCs w:val="24"/>
          <w:lang w:eastAsia="en-US"/>
        </w:rPr>
        <w:t xml:space="preserve">. NPC and ICF. </w:t>
      </w:r>
      <w:hyperlink r:id="rId23" w:history="1">
        <w:r w:rsidRPr="00507BF4">
          <w:rPr>
            <w:rFonts w:ascii="Times New Roman" w:eastAsia="Times New Roman" w:hAnsi="Times New Roman" w:cs="Times New Roman"/>
            <w:color w:val="0000FF"/>
            <w:sz w:val="24"/>
            <w:szCs w:val="24"/>
            <w:u w:val="single"/>
            <w:lang w:eastAsia="en-US"/>
          </w:rPr>
          <w:t>https://preview.dhsprogram.com/pubs/pdf/FR359/FR359.pdf</w:t>
        </w:r>
      </w:hyperlink>
    </w:p>
    <w:p w14:paraId="3FA2DF85"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Olapeju, B., Bride, M., Wamala, M., </w:t>
      </w:r>
      <w:proofErr w:type="spellStart"/>
      <w:r w:rsidRPr="00507BF4">
        <w:rPr>
          <w:rFonts w:ascii="Times New Roman" w:eastAsia="Times New Roman" w:hAnsi="Times New Roman" w:cs="Times New Roman"/>
          <w:sz w:val="24"/>
          <w:szCs w:val="24"/>
          <w:lang w:eastAsia="en-US"/>
        </w:rPr>
        <w:t>Atobrah</w:t>
      </w:r>
      <w:proofErr w:type="spellEnd"/>
      <w:r w:rsidRPr="00507BF4">
        <w:rPr>
          <w:rFonts w:ascii="Times New Roman" w:eastAsia="Times New Roman" w:hAnsi="Times New Roman" w:cs="Times New Roman"/>
          <w:sz w:val="24"/>
          <w:szCs w:val="24"/>
          <w:lang w:eastAsia="en-US"/>
        </w:rPr>
        <w:t xml:space="preserve">, D., Lee, E. H., &amp; Hendrickson, Z. M. (2025). Antenatal care and breastfeeding practices in Sub-Saharan Africa: An analysis of demographic and health surveys. </w:t>
      </w:r>
      <w:r w:rsidRPr="00507BF4">
        <w:rPr>
          <w:rFonts w:ascii="Times New Roman" w:eastAsia="Times New Roman" w:hAnsi="Times New Roman" w:cs="Times New Roman"/>
          <w:i/>
          <w:iCs/>
          <w:sz w:val="24"/>
          <w:szCs w:val="24"/>
          <w:lang w:eastAsia="en-US"/>
        </w:rPr>
        <w:t>BMC Pregnancy and Childbirth, 25</w:t>
      </w:r>
      <w:r w:rsidRPr="00507BF4">
        <w:rPr>
          <w:rFonts w:ascii="Times New Roman" w:eastAsia="Times New Roman" w:hAnsi="Times New Roman" w:cs="Times New Roman"/>
          <w:sz w:val="24"/>
          <w:szCs w:val="24"/>
          <w:lang w:eastAsia="en-US"/>
        </w:rPr>
        <w:t xml:space="preserve">, Article 77. </w:t>
      </w:r>
      <w:hyperlink r:id="rId24" w:history="1">
        <w:r w:rsidRPr="00507BF4">
          <w:rPr>
            <w:rFonts w:ascii="Times New Roman" w:eastAsia="Times New Roman" w:hAnsi="Times New Roman" w:cs="Times New Roman"/>
            <w:color w:val="0000FF"/>
            <w:sz w:val="24"/>
            <w:szCs w:val="24"/>
            <w:u w:val="single"/>
            <w:lang w:eastAsia="en-US"/>
          </w:rPr>
          <w:t>https://doi.org/10.1186/s12884-025-07188-w</w:t>
        </w:r>
      </w:hyperlink>
    </w:p>
    <w:p w14:paraId="6665D33F"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val="nl-BE" w:eastAsia="en-US"/>
        </w:rPr>
        <w:t xml:space="preserve">Sheikh, N. S., Gele, A., &amp; Bonfrer, I. (2026). </w:t>
      </w:r>
      <w:r w:rsidRPr="00507BF4">
        <w:rPr>
          <w:rFonts w:ascii="Times New Roman" w:eastAsia="Times New Roman" w:hAnsi="Times New Roman" w:cs="Times New Roman"/>
          <w:sz w:val="24"/>
          <w:szCs w:val="24"/>
          <w:lang w:eastAsia="en-US"/>
        </w:rPr>
        <w:t xml:space="preserve">Understanding motivating and demotivating factors among maternal healthcare professionals in Somalia: A qualitative interview study. </w:t>
      </w:r>
      <w:r w:rsidRPr="00507BF4">
        <w:rPr>
          <w:rFonts w:ascii="Times New Roman" w:eastAsia="Times New Roman" w:hAnsi="Times New Roman" w:cs="Times New Roman"/>
          <w:i/>
          <w:iCs/>
          <w:sz w:val="24"/>
          <w:szCs w:val="24"/>
          <w:lang w:eastAsia="en-US"/>
        </w:rPr>
        <w:t>BMJ Global Health, 11</w:t>
      </w:r>
      <w:r w:rsidRPr="00507BF4">
        <w:rPr>
          <w:rFonts w:ascii="Times New Roman" w:eastAsia="Times New Roman" w:hAnsi="Times New Roman" w:cs="Times New Roman"/>
          <w:sz w:val="24"/>
          <w:szCs w:val="24"/>
          <w:lang w:eastAsia="en-US"/>
        </w:rPr>
        <w:t xml:space="preserve">(2), e018479. </w:t>
      </w:r>
      <w:hyperlink r:id="rId25" w:history="1">
        <w:r w:rsidRPr="00507BF4">
          <w:rPr>
            <w:rFonts w:ascii="Times New Roman" w:eastAsia="Times New Roman" w:hAnsi="Times New Roman" w:cs="Times New Roman"/>
            <w:color w:val="0000FF"/>
            <w:sz w:val="24"/>
            <w:szCs w:val="24"/>
            <w:u w:val="single"/>
            <w:lang w:eastAsia="en-US"/>
          </w:rPr>
          <w:t>https://doi.org/10.1136/bmjgh-2024-018479</w:t>
        </w:r>
      </w:hyperlink>
    </w:p>
    <w:p w14:paraId="6B66013C"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United Nations. (2023). </w:t>
      </w:r>
      <w:r w:rsidRPr="00507BF4">
        <w:rPr>
          <w:rFonts w:ascii="Times New Roman" w:eastAsia="Times New Roman" w:hAnsi="Times New Roman" w:cs="Times New Roman"/>
          <w:i/>
          <w:iCs/>
          <w:sz w:val="24"/>
          <w:szCs w:val="24"/>
          <w:lang w:eastAsia="en-US"/>
        </w:rPr>
        <w:t>The Sustainable Development Goals Report 2023: Special edition</w:t>
      </w:r>
      <w:r w:rsidRPr="00507BF4">
        <w:rPr>
          <w:rFonts w:ascii="Times New Roman" w:eastAsia="Times New Roman" w:hAnsi="Times New Roman" w:cs="Times New Roman"/>
          <w:sz w:val="24"/>
          <w:szCs w:val="24"/>
          <w:lang w:eastAsia="en-US"/>
        </w:rPr>
        <w:t xml:space="preserve">. </w:t>
      </w:r>
      <w:hyperlink r:id="rId26" w:history="1">
        <w:r w:rsidRPr="00507BF4">
          <w:rPr>
            <w:rFonts w:ascii="Times New Roman" w:eastAsia="Times New Roman" w:hAnsi="Times New Roman" w:cs="Times New Roman"/>
            <w:color w:val="0000FF"/>
            <w:sz w:val="24"/>
            <w:szCs w:val="24"/>
            <w:u w:val="single"/>
            <w:lang w:eastAsia="en-US"/>
          </w:rPr>
          <w:t>https://sdgs.un.org/documents/sustainable-development-goals-report-2023-53220</w:t>
        </w:r>
      </w:hyperlink>
    </w:p>
    <w:p w14:paraId="434A4379"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World Health Organization. (2020). </w:t>
      </w:r>
      <w:r w:rsidRPr="00507BF4">
        <w:rPr>
          <w:rFonts w:ascii="Times New Roman" w:eastAsia="Times New Roman" w:hAnsi="Times New Roman" w:cs="Times New Roman"/>
          <w:i/>
          <w:iCs/>
          <w:sz w:val="24"/>
          <w:szCs w:val="24"/>
          <w:lang w:eastAsia="en-US"/>
        </w:rPr>
        <w:t>Immunization Agenda 2030: A global strategy to leave no one behind</w:t>
      </w:r>
      <w:r w:rsidRPr="00507BF4">
        <w:rPr>
          <w:rFonts w:ascii="Times New Roman" w:eastAsia="Times New Roman" w:hAnsi="Times New Roman" w:cs="Times New Roman"/>
          <w:sz w:val="24"/>
          <w:szCs w:val="24"/>
          <w:lang w:eastAsia="en-US"/>
        </w:rPr>
        <w:t xml:space="preserve">. </w:t>
      </w:r>
      <w:hyperlink r:id="rId27" w:history="1">
        <w:r w:rsidRPr="00507BF4">
          <w:rPr>
            <w:rFonts w:ascii="Times New Roman" w:eastAsia="Times New Roman" w:hAnsi="Times New Roman" w:cs="Times New Roman"/>
            <w:color w:val="0000FF"/>
            <w:sz w:val="24"/>
            <w:szCs w:val="24"/>
            <w:u w:val="single"/>
            <w:lang w:eastAsia="en-US"/>
          </w:rPr>
          <w:t>https://www.who.int/publications/m/item/immunization-agenda-2030-a-global-strategy-to-leave-no-one-behind</w:t>
        </w:r>
      </w:hyperlink>
    </w:p>
    <w:p w14:paraId="3309FE14"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World Health Organization. (n.d.). </w:t>
      </w:r>
      <w:r w:rsidRPr="00507BF4">
        <w:rPr>
          <w:rFonts w:ascii="Times New Roman" w:eastAsia="Times New Roman" w:hAnsi="Times New Roman" w:cs="Times New Roman"/>
          <w:i/>
          <w:iCs/>
          <w:sz w:val="24"/>
          <w:szCs w:val="24"/>
          <w:lang w:eastAsia="en-US"/>
        </w:rPr>
        <w:t>Maternal health</w:t>
      </w:r>
      <w:r w:rsidRPr="00507BF4">
        <w:rPr>
          <w:rFonts w:ascii="Times New Roman" w:eastAsia="Times New Roman" w:hAnsi="Times New Roman" w:cs="Times New Roman"/>
          <w:sz w:val="24"/>
          <w:szCs w:val="24"/>
          <w:lang w:eastAsia="en-US"/>
        </w:rPr>
        <w:t xml:space="preserve">. Retrieved July 20, 2026, from </w:t>
      </w:r>
      <w:hyperlink r:id="rId28" w:history="1">
        <w:r w:rsidRPr="00507BF4">
          <w:rPr>
            <w:rFonts w:ascii="Times New Roman" w:eastAsia="Times New Roman" w:hAnsi="Times New Roman" w:cs="Times New Roman"/>
            <w:color w:val="0000FF"/>
            <w:sz w:val="24"/>
            <w:szCs w:val="24"/>
            <w:u w:val="single"/>
            <w:lang w:eastAsia="en-US"/>
          </w:rPr>
          <w:t>https://www.who.int/health-topics/maternal-health</w:t>
        </w:r>
      </w:hyperlink>
    </w:p>
    <w:p w14:paraId="3CA9C009"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World Health Organization, United Nations Children’s Fund, United Nations Population Fund, World Bank Group, &amp; United Nations Department of Economic and Social Affairs, Population Division. (2023). </w:t>
      </w:r>
      <w:r w:rsidRPr="00507BF4">
        <w:rPr>
          <w:rFonts w:ascii="Times New Roman" w:eastAsia="Times New Roman" w:hAnsi="Times New Roman" w:cs="Times New Roman"/>
          <w:i/>
          <w:iCs/>
          <w:sz w:val="24"/>
          <w:szCs w:val="24"/>
          <w:lang w:eastAsia="en-US"/>
        </w:rPr>
        <w:t>Trends in maternal mortality 2000 to 2020: Estimates by WHO, UNICEF, UNFPA, World Bank Group and UNDESA/Population Division</w:t>
      </w:r>
      <w:r w:rsidRPr="00507BF4">
        <w:rPr>
          <w:rFonts w:ascii="Times New Roman" w:eastAsia="Times New Roman" w:hAnsi="Times New Roman" w:cs="Times New Roman"/>
          <w:sz w:val="24"/>
          <w:szCs w:val="24"/>
          <w:lang w:eastAsia="en-US"/>
        </w:rPr>
        <w:t xml:space="preserve">. World Health Organization. </w:t>
      </w:r>
      <w:hyperlink r:id="rId29" w:history="1">
        <w:r w:rsidRPr="00507BF4">
          <w:rPr>
            <w:rFonts w:ascii="Times New Roman" w:eastAsia="Times New Roman" w:hAnsi="Times New Roman" w:cs="Times New Roman"/>
            <w:color w:val="0000FF"/>
            <w:sz w:val="24"/>
            <w:szCs w:val="24"/>
            <w:u w:val="single"/>
            <w:lang w:eastAsia="en-US"/>
          </w:rPr>
          <w:t>https://www.who.int/publications/i/item/9789240068759</w:t>
        </w:r>
      </w:hyperlink>
    </w:p>
    <w:p w14:paraId="5738FAC0" w14:textId="77777777" w:rsidR="00507BF4" w:rsidRPr="00507BF4" w:rsidRDefault="00507BF4" w:rsidP="00507BF4">
      <w:pPr>
        <w:spacing w:before="100" w:beforeAutospacing="1" w:after="100" w:afterAutospacing="1"/>
        <w:ind w:left="540" w:hanging="540"/>
        <w:jc w:val="both"/>
        <w:rPr>
          <w:rFonts w:ascii="Times New Roman" w:eastAsia="Times New Roman" w:hAnsi="Times New Roman" w:cs="Times New Roman"/>
          <w:sz w:val="24"/>
          <w:szCs w:val="24"/>
          <w:lang w:eastAsia="en-US"/>
        </w:rPr>
      </w:pPr>
      <w:r w:rsidRPr="00507BF4">
        <w:rPr>
          <w:rFonts w:ascii="Times New Roman" w:eastAsia="Times New Roman" w:hAnsi="Times New Roman" w:cs="Times New Roman"/>
          <w:sz w:val="24"/>
          <w:szCs w:val="24"/>
          <w:lang w:eastAsia="en-US"/>
        </w:rPr>
        <w:t xml:space="preserve">Zanetti, M. R. D., Sosa, C. G., Foster, T., Rossello, J. L., </w:t>
      </w:r>
      <w:proofErr w:type="spellStart"/>
      <w:r w:rsidRPr="00507BF4">
        <w:rPr>
          <w:rFonts w:ascii="Times New Roman" w:eastAsia="Times New Roman" w:hAnsi="Times New Roman" w:cs="Times New Roman"/>
          <w:sz w:val="24"/>
          <w:szCs w:val="24"/>
          <w:lang w:eastAsia="en-US"/>
        </w:rPr>
        <w:t>Serruya</w:t>
      </w:r>
      <w:proofErr w:type="spellEnd"/>
      <w:r w:rsidRPr="00507BF4">
        <w:rPr>
          <w:rFonts w:ascii="Times New Roman" w:eastAsia="Times New Roman" w:hAnsi="Times New Roman" w:cs="Times New Roman"/>
          <w:sz w:val="24"/>
          <w:szCs w:val="24"/>
          <w:lang w:eastAsia="en-US"/>
        </w:rPr>
        <w:t xml:space="preserve">, S., &amp; de Múcio, B. (2024). What are the benefits of antenatal education as a maternal health promotion tool? A systematic review with meta-analysis. </w:t>
      </w:r>
      <w:r w:rsidRPr="00507BF4">
        <w:rPr>
          <w:rFonts w:ascii="Times New Roman" w:eastAsia="Times New Roman" w:hAnsi="Times New Roman" w:cs="Times New Roman"/>
          <w:i/>
          <w:iCs/>
          <w:sz w:val="24"/>
          <w:szCs w:val="24"/>
          <w:lang w:eastAsia="en-US"/>
        </w:rPr>
        <w:t>ABCS Health Sciences, 49</w:t>
      </w:r>
      <w:r w:rsidRPr="00507BF4">
        <w:rPr>
          <w:rFonts w:ascii="Times New Roman" w:eastAsia="Times New Roman" w:hAnsi="Times New Roman" w:cs="Times New Roman"/>
          <w:sz w:val="24"/>
          <w:szCs w:val="24"/>
          <w:lang w:eastAsia="en-US"/>
        </w:rPr>
        <w:t xml:space="preserve">, e024305. </w:t>
      </w:r>
      <w:hyperlink r:id="rId30" w:history="1">
        <w:r w:rsidRPr="00507BF4">
          <w:rPr>
            <w:rFonts w:ascii="Times New Roman" w:eastAsia="Times New Roman" w:hAnsi="Times New Roman" w:cs="Times New Roman"/>
            <w:color w:val="0000FF"/>
            <w:sz w:val="24"/>
            <w:szCs w:val="24"/>
            <w:u w:val="single"/>
            <w:lang w:eastAsia="en-US"/>
          </w:rPr>
          <w:t>https://doi.org/10.7322/abcshs.2022150.2213</w:t>
        </w:r>
      </w:hyperlink>
    </w:p>
    <w:p w14:paraId="3E51596A" w14:textId="2C9CE554" w:rsidR="00694096" w:rsidRDefault="00694096" w:rsidP="00507BF4">
      <w:pPr>
        <w:jc w:val="both"/>
      </w:pPr>
    </w:p>
    <w:sectPr w:rsidR="00694096">
      <w:headerReference w:type="even" r:id="rId31"/>
      <w:headerReference w:type="default" r:id="rId32"/>
      <w:footerReference w:type="even" r:id="rId33"/>
      <w:footerReference w:type="default" r:id="rId34"/>
      <w:headerReference w:type="first" r:id="rId35"/>
      <w:footerReference w:type="first" r:id="rId36"/>
      <w:pgSz w:w="11909" w:h="16834"/>
      <w:pgMar w:top="1008" w:right="864" w:bottom="864" w:left="1008" w:header="576" w:footer="15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61CD3" w14:textId="77777777" w:rsidR="00F854C4" w:rsidRDefault="00F854C4">
      <w:r>
        <w:rPr>
          <w:rFonts w:ascii="Calibri"/>
        </w:rPr>
        <w:separator/>
      </w:r>
    </w:p>
  </w:endnote>
  <w:endnote w:type="continuationSeparator" w:id="0">
    <w:p w14:paraId="7E8A69C1" w14:textId="77777777" w:rsidR="00F854C4" w:rsidRDefault="00F854C4">
      <w:r>
        <w:rPr>
          <w:rFonts w:ascii="Calibri"/>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heSans B4 SemiLight">
    <w:altName w:val="Arial"/>
    <w:charset w:val="00"/>
    <w:family w:val="auto"/>
    <w:pitch w:val="default"/>
    <w:sig w:usb0="00000000"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1324A" w14:textId="77777777" w:rsidR="0007614C" w:rsidRDefault="0007614C">
    <w:pPr>
      <w:pStyle w:val="Foote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343231"/>
    </w:sdtPr>
    <w:sdtContent>
      <w:p w14:paraId="71C252EB" w14:textId="77777777" w:rsidR="00FC2F8E" w:rsidRDefault="00AE16DB">
        <w:pPr>
          <w:pStyle w:val="Footer"/>
          <w:jc w:val="center"/>
          <w:rPr>
            <w:rFonts w:hint="default"/>
          </w:rPr>
        </w:pPr>
        <w:r>
          <w:fldChar w:fldCharType="begin"/>
        </w:r>
        <w:r>
          <w:instrText xml:space="preserve"> PAGE   \* MERGEFORMAT </w:instrText>
        </w:r>
        <w:r>
          <w:fldChar w:fldCharType="separate"/>
        </w:r>
        <w:r>
          <w:rPr>
            <w:rFonts w:hint="default"/>
          </w:rPr>
          <w:t>14</w:t>
        </w:r>
        <w:r>
          <w:fldChar w:fldCharType="end"/>
        </w:r>
      </w:p>
    </w:sdtContent>
  </w:sdt>
  <w:p w14:paraId="46F3F6C9" w14:textId="77777777" w:rsidR="00FC2F8E" w:rsidRDefault="00FC2F8E">
    <w:pPr>
      <w:pStyle w:val="Footer"/>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EE7C7" w14:textId="77777777" w:rsidR="0007614C" w:rsidRDefault="0007614C">
    <w:pPr>
      <w:pStyle w:val="Foo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FDE1B" w14:textId="77777777" w:rsidR="00F854C4" w:rsidRDefault="00F854C4">
      <w:r>
        <w:rPr>
          <w:rFonts w:ascii="Calibri"/>
        </w:rPr>
        <w:separator/>
      </w:r>
    </w:p>
  </w:footnote>
  <w:footnote w:type="continuationSeparator" w:id="0">
    <w:p w14:paraId="433449C0" w14:textId="77777777" w:rsidR="00F854C4" w:rsidRDefault="00F854C4">
      <w:r>
        <w:rPr>
          <w:rFonts w:ascii="Calibri"/>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5E891" w14:textId="77777777" w:rsidR="0007614C" w:rsidRDefault="00000000">
    <w:pPr>
      <w:pStyle w:val="Header"/>
    </w:pPr>
    <w:r>
      <w:rPr>
        <w:noProof/>
      </w:rPr>
      <w:pict w14:anchorId="5FE720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908391" o:spid="_x0000_s1026" type="#_x0000_t136" style="position:absolute;margin-left:0;margin-top:0;width:595.3pt;height:112.2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A2951" w14:textId="77777777" w:rsidR="00FC2F8E" w:rsidRDefault="00000000">
    <w:pPr>
      <w:pStyle w:val="Header"/>
    </w:pPr>
    <w:r>
      <w:rPr>
        <w:noProof/>
      </w:rPr>
      <w:pict w14:anchorId="3F9F08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908392" o:spid="_x0000_s1027" type="#_x0000_t136" style="position:absolute;margin-left:0;margin-top:0;width:595.3pt;height:112.2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79FE8" w14:textId="77777777" w:rsidR="0007614C" w:rsidRDefault="00000000">
    <w:pPr>
      <w:pStyle w:val="Header"/>
    </w:pPr>
    <w:r>
      <w:rPr>
        <w:noProof/>
      </w:rPr>
      <w:pict w14:anchorId="30874A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908390" o:spid="_x0000_s1025" type="#_x0000_t136" style="position:absolute;margin-left:0;margin-top:0;width:595.3pt;height:112.2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4256"/>
    <w:multiLevelType w:val="multilevel"/>
    <w:tmpl w:val="0194425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B362DD"/>
    <w:multiLevelType w:val="multilevel"/>
    <w:tmpl w:val="05B362D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6354590"/>
    <w:multiLevelType w:val="multilevel"/>
    <w:tmpl w:val="C556ED8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FC429D"/>
    <w:multiLevelType w:val="multilevel"/>
    <w:tmpl w:val="8D1E34E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FF1E59"/>
    <w:multiLevelType w:val="multilevel"/>
    <w:tmpl w:val="09FF1E5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FA70D78"/>
    <w:multiLevelType w:val="multilevel"/>
    <w:tmpl w:val="1FA70D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ABF2D06"/>
    <w:multiLevelType w:val="multilevel"/>
    <w:tmpl w:val="2ABF2D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D3A40FF"/>
    <w:multiLevelType w:val="multilevel"/>
    <w:tmpl w:val="2D3A40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D9310A3"/>
    <w:multiLevelType w:val="multilevel"/>
    <w:tmpl w:val="2D9310A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B21425"/>
    <w:multiLevelType w:val="multilevel"/>
    <w:tmpl w:val="2EB2142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24128E2"/>
    <w:multiLevelType w:val="multilevel"/>
    <w:tmpl w:val="324128E2"/>
    <w:lvl w:ilvl="0">
      <w:start w:val="1"/>
      <w:numFmt w:val="lowerLetter"/>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1" w15:restartNumberingAfterBreak="0">
    <w:nsid w:val="363D0D69"/>
    <w:multiLevelType w:val="multilevel"/>
    <w:tmpl w:val="363D0D6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C397549"/>
    <w:multiLevelType w:val="multilevel"/>
    <w:tmpl w:val="4C39754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F0E1293"/>
    <w:multiLevelType w:val="hybridMultilevel"/>
    <w:tmpl w:val="7C94B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8C2AC3"/>
    <w:multiLevelType w:val="multilevel"/>
    <w:tmpl w:val="608C2AC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16401BC"/>
    <w:multiLevelType w:val="multilevel"/>
    <w:tmpl w:val="616401B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2FF0ECA"/>
    <w:multiLevelType w:val="multilevel"/>
    <w:tmpl w:val="10027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B7149B"/>
    <w:multiLevelType w:val="multilevel"/>
    <w:tmpl w:val="67B7149B"/>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2C71349"/>
    <w:multiLevelType w:val="hybridMultilevel"/>
    <w:tmpl w:val="3D208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C107E1"/>
    <w:multiLevelType w:val="multilevel"/>
    <w:tmpl w:val="73C107E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72E69A8"/>
    <w:multiLevelType w:val="multilevel"/>
    <w:tmpl w:val="772E69A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A38775B"/>
    <w:multiLevelType w:val="multilevel"/>
    <w:tmpl w:val="7A38775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E960F0F"/>
    <w:multiLevelType w:val="multilevel"/>
    <w:tmpl w:val="D5466AE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832B67"/>
    <w:multiLevelType w:val="multilevel"/>
    <w:tmpl w:val="8AB012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8509837">
    <w:abstractNumId w:val="17"/>
  </w:num>
  <w:num w:numId="2" w16cid:durableId="1345010101">
    <w:abstractNumId w:val="19"/>
  </w:num>
  <w:num w:numId="3" w16cid:durableId="1959752588">
    <w:abstractNumId w:val="4"/>
  </w:num>
  <w:num w:numId="4" w16cid:durableId="364065056">
    <w:abstractNumId w:val="15"/>
  </w:num>
  <w:num w:numId="5" w16cid:durableId="125855585">
    <w:abstractNumId w:val="1"/>
  </w:num>
  <w:num w:numId="6" w16cid:durableId="1723482154">
    <w:abstractNumId w:val="5"/>
  </w:num>
  <w:num w:numId="7" w16cid:durableId="1929385087">
    <w:abstractNumId w:val="9"/>
  </w:num>
  <w:num w:numId="8" w16cid:durableId="237205740">
    <w:abstractNumId w:val="7"/>
  </w:num>
  <w:num w:numId="9" w16cid:durableId="66804836">
    <w:abstractNumId w:val="20"/>
  </w:num>
  <w:num w:numId="10" w16cid:durableId="1686638753">
    <w:abstractNumId w:val="12"/>
  </w:num>
  <w:num w:numId="11" w16cid:durableId="1649094494">
    <w:abstractNumId w:val="0"/>
  </w:num>
  <w:num w:numId="12" w16cid:durableId="368603379">
    <w:abstractNumId w:val="11"/>
  </w:num>
  <w:num w:numId="13" w16cid:durableId="1395395224">
    <w:abstractNumId w:val="14"/>
  </w:num>
  <w:num w:numId="14" w16cid:durableId="105662492">
    <w:abstractNumId w:val="21"/>
  </w:num>
  <w:num w:numId="15" w16cid:durableId="1662587075">
    <w:abstractNumId w:val="8"/>
  </w:num>
  <w:num w:numId="16" w16cid:durableId="1339887119">
    <w:abstractNumId w:val="6"/>
  </w:num>
  <w:num w:numId="17" w16cid:durableId="896085578">
    <w:abstractNumId w:val="10"/>
  </w:num>
  <w:num w:numId="18" w16cid:durableId="1675959147">
    <w:abstractNumId w:val="18"/>
  </w:num>
  <w:num w:numId="19" w16cid:durableId="430276225">
    <w:abstractNumId w:val="16"/>
  </w:num>
  <w:num w:numId="20" w16cid:durableId="2130926160">
    <w:abstractNumId w:val="23"/>
  </w:num>
  <w:num w:numId="21" w16cid:durableId="401760952">
    <w:abstractNumId w:val="2"/>
  </w:num>
  <w:num w:numId="22" w16cid:durableId="1828935712">
    <w:abstractNumId w:val="22"/>
  </w:num>
  <w:num w:numId="23" w16cid:durableId="1235244394">
    <w:abstractNumId w:val="3"/>
  </w:num>
  <w:num w:numId="24" w16cid:durableId="17116130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720"/>
  <w:drawingGridVerticalSpacing w:val="156"/>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M1NzezMDO3MDMxMbFU0lEKTi0uzszPAykwqgUAbvqtiCwAAAA="/>
  </w:docVars>
  <w:rsids>
    <w:rsidRoot w:val="130E20CA"/>
    <w:rsid w:val="000339E5"/>
    <w:rsid w:val="00074479"/>
    <w:rsid w:val="0007614C"/>
    <w:rsid w:val="000B3968"/>
    <w:rsid w:val="000D20DB"/>
    <w:rsid w:val="000E1A33"/>
    <w:rsid w:val="000F0B0A"/>
    <w:rsid w:val="00106A6E"/>
    <w:rsid w:val="00126E27"/>
    <w:rsid w:val="00127F8F"/>
    <w:rsid w:val="001430DE"/>
    <w:rsid w:val="0015600D"/>
    <w:rsid w:val="0018113C"/>
    <w:rsid w:val="00193310"/>
    <w:rsid w:val="001D51C7"/>
    <w:rsid w:val="00235C7F"/>
    <w:rsid w:val="00246E0B"/>
    <w:rsid w:val="00292A88"/>
    <w:rsid w:val="00297679"/>
    <w:rsid w:val="002B6DB3"/>
    <w:rsid w:val="002B6EBB"/>
    <w:rsid w:val="002E406E"/>
    <w:rsid w:val="002E42FE"/>
    <w:rsid w:val="002E4E20"/>
    <w:rsid w:val="00333BEA"/>
    <w:rsid w:val="00336FE3"/>
    <w:rsid w:val="00350EB3"/>
    <w:rsid w:val="00374315"/>
    <w:rsid w:val="00396B4F"/>
    <w:rsid w:val="003A17A9"/>
    <w:rsid w:val="003C0592"/>
    <w:rsid w:val="003F2B2E"/>
    <w:rsid w:val="003F6B87"/>
    <w:rsid w:val="0041630E"/>
    <w:rsid w:val="004461F3"/>
    <w:rsid w:val="004511BC"/>
    <w:rsid w:val="004547D6"/>
    <w:rsid w:val="00457D19"/>
    <w:rsid w:val="004767E9"/>
    <w:rsid w:val="00507BF4"/>
    <w:rsid w:val="00527A59"/>
    <w:rsid w:val="005304D5"/>
    <w:rsid w:val="00551665"/>
    <w:rsid w:val="005B2D3A"/>
    <w:rsid w:val="005D3215"/>
    <w:rsid w:val="005F181E"/>
    <w:rsid w:val="00606FE4"/>
    <w:rsid w:val="006115FF"/>
    <w:rsid w:val="00620565"/>
    <w:rsid w:val="00625BDA"/>
    <w:rsid w:val="006327B9"/>
    <w:rsid w:val="0063304F"/>
    <w:rsid w:val="006714AF"/>
    <w:rsid w:val="0068109A"/>
    <w:rsid w:val="00694096"/>
    <w:rsid w:val="0069544E"/>
    <w:rsid w:val="006D3C7F"/>
    <w:rsid w:val="006F4D64"/>
    <w:rsid w:val="007738B8"/>
    <w:rsid w:val="007A224A"/>
    <w:rsid w:val="007B27AC"/>
    <w:rsid w:val="007C38C3"/>
    <w:rsid w:val="007C4E0E"/>
    <w:rsid w:val="008047C0"/>
    <w:rsid w:val="00850389"/>
    <w:rsid w:val="00850E21"/>
    <w:rsid w:val="0087097F"/>
    <w:rsid w:val="00872637"/>
    <w:rsid w:val="00884B4D"/>
    <w:rsid w:val="00887DDF"/>
    <w:rsid w:val="008B05D0"/>
    <w:rsid w:val="008B06DB"/>
    <w:rsid w:val="008B3E1A"/>
    <w:rsid w:val="008B4E25"/>
    <w:rsid w:val="008B743C"/>
    <w:rsid w:val="008B76F9"/>
    <w:rsid w:val="008C2B62"/>
    <w:rsid w:val="00917A00"/>
    <w:rsid w:val="00932A65"/>
    <w:rsid w:val="00964562"/>
    <w:rsid w:val="009E1760"/>
    <w:rsid w:val="00A056F7"/>
    <w:rsid w:val="00A13A86"/>
    <w:rsid w:val="00A26AC3"/>
    <w:rsid w:val="00A32AF3"/>
    <w:rsid w:val="00A558AC"/>
    <w:rsid w:val="00A66FA1"/>
    <w:rsid w:val="00A9060B"/>
    <w:rsid w:val="00A97251"/>
    <w:rsid w:val="00AB6E74"/>
    <w:rsid w:val="00AE16DB"/>
    <w:rsid w:val="00B24EAD"/>
    <w:rsid w:val="00B2597C"/>
    <w:rsid w:val="00B62906"/>
    <w:rsid w:val="00B642C7"/>
    <w:rsid w:val="00B77B9A"/>
    <w:rsid w:val="00BA041E"/>
    <w:rsid w:val="00BB2500"/>
    <w:rsid w:val="00C27826"/>
    <w:rsid w:val="00C36B38"/>
    <w:rsid w:val="00C422B3"/>
    <w:rsid w:val="00C56CF6"/>
    <w:rsid w:val="00C73A66"/>
    <w:rsid w:val="00CB63D9"/>
    <w:rsid w:val="00CC169C"/>
    <w:rsid w:val="00D035CB"/>
    <w:rsid w:val="00D53ABA"/>
    <w:rsid w:val="00D616D2"/>
    <w:rsid w:val="00D676FF"/>
    <w:rsid w:val="00D8260C"/>
    <w:rsid w:val="00DA4E53"/>
    <w:rsid w:val="00DF130A"/>
    <w:rsid w:val="00E04869"/>
    <w:rsid w:val="00E26EC7"/>
    <w:rsid w:val="00E36B47"/>
    <w:rsid w:val="00E61D98"/>
    <w:rsid w:val="00E75BB3"/>
    <w:rsid w:val="00E82332"/>
    <w:rsid w:val="00EA54F8"/>
    <w:rsid w:val="00EE6565"/>
    <w:rsid w:val="00EE79E5"/>
    <w:rsid w:val="00EF455C"/>
    <w:rsid w:val="00F00246"/>
    <w:rsid w:val="00F35054"/>
    <w:rsid w:val="00F52902"/>
    <w:rsid w:val="00F854C4"/>
    <w:rsid w:val="00F85D5C"/>
    <w:rsid w:val="00F96FF1"/>
    <w:rsid w:val="00FB1328"/>
    <w:rsid w:val="00FC2F8E"/>
    <w:rsid w:val="00FD4956"/>
    <w:rsid w:val="02944E5B"/>
    <w:rsid w:val="036735C6"/>
    <w:rsid w:val="0A1D68AC"/>
    <w:rsid w:val="0B553FE2"/>
    <w:rsid w:val="130E20CA"/>
    <w:rsid w:val="1BC767FE"/>
    <w:rsid w:val="21BC76E5"/>
    <w:rsid w:val="23683F64"/>
    <w:rsid w:val="24FC4D41"/>
    <w:rsid w:val="25123DE1"/>
    <w:rsid w:val="2A5D4B5C"/>
    <w:rsid w:val="2B4D5018"/>
    <w:rsid w:val="2EBE2D45"/>
    <w:rsid w:val="2FE21398"/>
    <w:rsid w:val="363E0309"/>
    <w:rsid w:val="383D2534"/>
    <w:rsid w:val="39F01D9F"/>
    <w:rsid w:val="3A25235E"/>
    <w:rsid w:val="3D040CB5"/>
    <w:rsid w:val="3EA85341"/>
    <w:rsid w:val="454710BA"/>
    <w:rsid w:val="47861A1A"/>
    <w:rsid w:val="47CE672A"/>
    <w:rsid w:val="50346F21"/>
    <w:rsid w:val="565D343D"/>
    <w:rsid w:val="593F0F77"/>
    <w:rsid w:val="5F403799"/>
    <w:rsid w:val="624F23FA"/>
    <w:rsid w:val="717410B3"/>
    <w:rsid w:val="71B455DF"/>
    <w:rsid w:val="7DF93F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41FE073"/>
  <w15:docId w15:val="{C479EA65-B34A-4532-88D6-644E61B8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header" w:qFormat="1"/>
    <w:lsdException w:name="footer" w:uiPriority="99" w:qFormat="1"/>
    <w:lsdException w:name="caption" w:unhideWhenUsed="1" w:qFormat="1"/>
    <w:lsdException w:name="table of figures" w:uiPriority="99"/>
    <w:lsdException w:name="annotation reference" w:qFormat="1"/>
    <w:lsdException w:name="Title" w:qFormat="1"/>
    <w:lsdException w:name="Default Paragraph Font" w:semiHidden="1" w:uiPriority="1" w:unhideWhenUsed="1"/>
    <w:lsdException w:name="Subtitle" w:qFormat="1"/>
    <w:lsdException w:name="Hyperlink" w:uiPriority="99" w:qFormat="1"/>
    <w:lsdException w:name="Followed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link w:val="Heading1Char"/>
    <w:qFormat/>
    <w:pPr>
      <w:spacing w:after="160" w:line="480" w:lineRule="auto"/>
      <w:jc w:val="center"/>
      <w:outlineLvl w:val="0"/>
    </w:pPr>
    <w:rPr>
      <w:rFonts w:eastAsia="Calibri"/>
      <w:b/>
      <w:bCs/>
      <w:kern w:val="2"/>
      <w:sz w:val="24"/>
      <w:szCs w:val="22"/>
      <w:lang w:eastAsia="zh-CN"/>
    </w:rPr>
  </w:style>
  <w:style w:type="paragraph" w:styleId="Heading2">
    <w:name w:val="heading 2"/>
    <w:next w:val="Normal"/>
    <w:link w:val="Heading2Char"/>
    <w:unhideWhenUsed/>
    <w:qFormat/>
    <w:pPr>
      <w:spacing w:after="160" w:line="256" w:lineRule="auto"/>
      <w:outlineLvl w:val="1"/>
    </w:pPr>
    <w:rPr>
      <w:rFonts w:eastAsia="Calibri"/>
      <w:b/>
      <w:bCs/>
      <w:kern w:val="2"/>
      <w:sz w:val="24"/>
      <w:szCs w:val="24"/>
      <w:lang w:eastAsia="zh-CN"/>
    </w:rPr>
  </w:style>
  <w:style w:type="paragraph" w:styleId="Heading3">
    <w:name w:val="heading 3"/>
    <w:basedOn w:val="Heading2"/>
    <w:next w:val="Normal"/>
    <w:link w:val="Heading3Char"/>
    <w:unhideWhenUsed/>
    <w:qFormat/>
    <w:pPr>
      <w:outlineLvl w:val="2"/>
    </w:pPr>
  </w:style>
  <w:style w:type="paragraph" w:styleId="Heading4">
    <w:name w:val="heading 4"/>
    <w:next w:val="Normal"/>
    <w:link w:val="Heading4Char"/>
    <w:semiHidden/>
    <w:unhideWhenUsed/>
    <w:qFormat/>
    <w:pPr>
      <w:keepNext/>
      <w:keepLines/>
      <w:spacing w:before="80" w:after="40" w:line="256" w:lineRule="auto"/>
      <w:outlineLvl w:val="3"/>
    </w:pPr>
    <w:rPr>
      <w:rFonts w:ascii="Calibri" w:eastAsia="Times New Roman" w:hAnsi="Calibri" w:hint="eastAsia"/>
      <w:i/>
      <w:iCs/>
      <w:color w:val="2F5496"/>
      <w:kern w:val="2"/>
      <w:sz w:val="24"/>
      <w:szCs w:val="22"/>
      <w:lang w:eastAsia="zh-CN"/>
    </w:rPr>
  </w:style>
  <w:style w:type="paragraph" w:styleId="Heading5">
    <w:name w:val="heading 5"/>
    <w:basedOn w:val="Normal"/>
    <w:next w:val="Normal"/>
    <w:link w:val="Heading5Char"/>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link w:val="Heading6Char"/>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link w:val="Heading7Char"/>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link w:val="Heading8Char"/>
    <w:semiHidden/>
    <w:unhideWhenUsed/>
    <w:qFormat/>
    <w:pPr>
      <w:keepNext/>
      <w:keepLines/>
      <w:spacing w:before="240" w:after="64" w:line="320" w:lineRule="auto"/>
      <w:outlineLvl w:val="7"/>
    </w:pPr>
    <w:rPr>
      <w:sz w:val="24"/>
      <w:szCs w:val="24"/>
    </w:rPr>
  </w:style>
  <w:style w:type="paragraph" w:styleId="Heading9">
    <w:name w:val="heading 9"/>
    <w:basedOn w:val="Normal"/>
    <w:next w:val="Normal"/>
    <w:link w:val="Heading9Char"/>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pPr>
      <w:spacing w:after="200"/>
    </w:pPr>
    <w:rPr>
      <w:i/>
      <w:iCs/>
      <w:color w:val="44546A" w:themeColor="text2"/>
      <w:sz w:val="18"/>
      <w:szCs w:val="18"/>
    </w:rPr>
  </w:style>
  <w:style w:type="character" w:styleId="CommentReference">
    <w:name w:val="annotation reference"/>
    <w:qFormat/>
    <w:rPr>
      <w:sz w:val="16"/>
      <w:szCs w:val="16"/>
    </w:rPr>
  </w:style>
  <w:style w:type="character" w:styleId="Emphasis">
    <w:name w:val="Emphasis"/>
    <w:basedOn w:val="DefaultParagraphFont"/>
    <w:qFormat/>
    <w:rPr>
      <w:i/>
      <w:iCs/>
    </w:rPr>
  </w:style>
  <w:style w:type="character" w:styleId="FollowedHyperlink">
    <w:name w:val="FollowedHyperlink"/>
    <w:qFormat/>
    <w:rPr>
      <w:color w:val="954F72"/>
      <w:u w:val="single"/>
    </w:rPr>
  </w:style>
  <w:style w:type="paragraph" w:styleId="Footer">
    <w:name w:val="footer"/>
    <w:link w:val="FooterChar"/>
    <w:uiPriority w:val="99"/>
    <w:qFormat/>
    <w:pPr>
      <w:tabs>
        <w:tab w:val="center" w:pos="4320"/>
        <w:tab w:val="right" w:pos="8640"/>
      </w:tabs>
    </w:pPr>
    <w:rPr>
      <w:rFonts w:ascii="Calibri" w:eastAsia="Times New Roman" w:hAnsi="Calibri" w:hint="eastAsia"/>
      <w:lang w:eastAsia="zh-CN"/>
    </w:rPr>
  </w:style>
  <w:style w:type="paragraph" w:styleId="Header">
    <w:name w:val="header"/>
    <w:basedOn w:val="Normal"/>
    <w:link w:val="HeaderChar"/>
    <w:qFormat/>
    <w:pPr>
      <w:tabs>
        <w:tab w:val="center" w:pos="4680"/>
        <w:tab w:val="right" w:pos="9360"/>
      </w:tabs>
    </w:pPr>
  </w:style>
  <w:style w:type="character" w:styleId="Hyperlink">
    <w:name w:val="Hyperlink"/>
    <w:uiPriority w:val="99"/>
    <w:qFormat/>
    <w:rPr>
      <w:color w:val="0000FF"/>
      <w:u w:val="single"/>
    </w:rPr>
  </w:style>
  <w:style w:type="paragraph" w:styleId="NormalWeb">
    <w:name w:val="Normal (Web)"/>
    <w:uiPriority w:val="99"/>
    <w:qFormat/>
    <w:pPr>
      <w:spacing w:beforeAutospacing="1" w:afterAutospacing="1"/>
    </w:pPr>
    <w:rPr>
      <w:rFonts w:eastAsia="Times New Roman"/>
      <w:sz w:val="24"/>
      <w:szCs w:val="24"/>
      <w:lang w:eastAsia="zh-CN"/>
    </w:rPr>
  </w:style>
  <w:style w:type="character" w:styleId="Strong">
    <w:name w:val="Strong"/>
    <w:basedOn w:val="DefaultParagraphFont"/>
    <w:uiPriority w:val="22"/>
    <w:qFormat/>
    <w:rPr>
      <w:b/>
      <w:bCs/>
    </w:rPr>
  </w:style>
  <w:style w:type="paragraph" w:styleId="Subtitle">
    <w:name w:val="Subtitle"/>
    <w:basedOn w:val="Normal"/>
    <w:link w:val="SubtitleChar"/>
    <w:qFormat/>
    <w:pPr>
      <w:spacing w:before="240" w:after="60" w:line="312" w:lineRule="auto"/>
      <w:jc w:val="center"/>
      <w:outlineLvl w:val="1"/>
    </w:pPr>
    <w:rPr>
      <w:rFonts w:ascii="Arial" w:hAnsi="Arial" w:cs="Arial"/>
      <w:b/>
      <w:bCs/>
      <w:kern w:val="28"/>
      <w:sz w:val="32"/>
      <w:szCs w:val="32"/>
    </w:rPr>
  </w:style>
  <w:style w:type="table" w:styleId="TableGrid">
    <w:name w:val="Table Grid"/>
    <w:qFormat/>
    <w:rPr>
      <w:rFonts w:hint="eastAsia"/>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paragraph" w:styleId="TableofFigures">
    <w:name w:val="table of figures"/>
    <w:basedOn w:val="Normal"/>
    <w:next w:val="Normal"/>
    <w:uiPriority w:val="99"/>
    <w:pPr>
      <w:ind w:leftChars="200" w:left="200" w:hangingChars="200" w:hanging="200"/>
    </w:pPr>
  </w:style>
  <w:style w:type="paragraph" w:styleId="Title">
    <w:name w:val="Title"/>
    <w:basedOn w:val="Normal"/>
    <w:next w:val="Normal"/>
    <w:link w:val="TitleChar"/>
    <w:qFormat/>
    <w:rPr>
      <w:rFonts w:ascii="Times New Roman" w:hAnsi="Times New Roman" w:cs="Times New Roman"/>
      <w:b/>
      <w:bCs/>
      <w:sz w:val="24"/>
      <w:szCs w:val="24"/>
    </w:rPr>
  </w:style>
  <w:style w:type="paragraph" w:styleId="TOC1">
    <w:name w:val="toc 1"/>
    <w:basedOn w:val="Normal"/>
    <w:next w:val="Normal"/>
    <w:autoRedefine/>
    <w:uiPriority w:val="39"/>
    <w:qFormat/>
    <w:pPr>
      <w:spacing w:after="100"/>
    </w:pPr>
  </w:style>
  <w:style w:type="paragraph" w:styleId="TOC2">
    <w:name w:val="toc 2"/>
    <w:basedOn w:val="Normal"/>
    <w:next w:val="Normal"/>
    <w:autoRedefine/>
    <w:uiPriority w:val="39"/>
    <w:qFormat/>
    <w:pPr>
      <w:spacing w:after="100"/>
      <w:ind w:left="200"/>
    </w:pPr>
  </w:style>
  <w:style w:type="paragraph" w:styleId="TOC3">
    <w:name w:val="toc 3"/>
    <w:basedOn w:val="Normal"/>
    <w:next w:val="Normal"/>
    <w:autoRedefine/>
    <w:uiPriority w:val="39"/>
    <w:qFormat/>
    <w:pPr>
      <w:spacing w:after="100"/>
      <w:ind w:left="400"/>
    </w:pPr>
  </w:style>
  <w:style w:type="paragraph" w:styleId="TOC4">
    <w:name w:val="toc 4"/>
    <w:basedOn w:val="Normal"/>
    <w:next w:val="Normal"/>
    <w:autoRedefine/>
    <w:uiPriority w:val="39"/>
    <w:unhideWhenUsed/>
    <w:qFormat/>
    <w:pPr>
      <w:spacing w:after="100" w:line="278" w:lineRule="auto"/>
      <w:ind w:left="720"/>
    </w:pPr>
    <w:rPr>
      <w:kern w:val="2"/>
      <w:sz w:val="24"/>
      <w:szCs w:val="24"/>
      <w:lang w:eastAsia="en-US"/>
      <w14:ligatures w14:val="standardContextual"/>
    </w:rPr>
  </w:style>
  <w:style w:type="paragraph" w:styleId="TOC5">
    <w:name w:val="toc 5"/>
    <w:basedOn w:val="Normal"/>
    <w:next w:val="Normal"/>
    <w:autoRedefine/>
    <w:uiPriority w:val="39"/>
    <w:unhideWhenUsed/>
    <w:qFormat/>
    <w:pPr>
      <w:spacing w:after="100" w:line="278" w:lineRule="auto"/>
      <w:ind w:left="960"/>
    </w:pPr>
    <w:rPr>
      <w:kern w:val="2"/>
      <w:sz w:val="24"/>
      <w:szCs w:val="24"/>
      <w:lang w:eastAsia="en-US"/>
      <w14:ligatures w14:val="standardContextual"/>
    </w:rPr>
  </w:style>
  <w:style w:type="paragraph" w:styleId="TOC6">
    <w:name w:val="toc 6"/>
    <w:basedOn w:val="Normal"/>
    <w:next w:val="Normal"/>
    <w:autoRedefine/>
    <w:uiPriority w:val="39"/>
    <w:unhideWhenUsed/>
    <w:qFormat/>
    <w:pPr>
      <w:spacing w:after="100" w:line="278" w:lineRule="auto"/>
      <w:ind w:left="1200"/>
    </w:pPr>
    <w:rPr>
      <w:kern w:val="2"/>
      <w:sz w:val="24"/>
      <w:szCs w:val="24"/>
      <w:lang w:eastAsia="en-US"/>
      <w14:ligatures w14:val="standardContextual"/>
    </w:rPr>
  </w:style>
  <w:style w:type="paragraph" w:styleId="TOC7">
    <w:name w:val="toc 7"/>
    <w:basedOn w:val="Normal"/>
    <w:next w:val="Normal"/>
    <w:autoRedefine/>
    <w:uiPriority w:val="39"/>
    <w:unhideWhenUsed/>
    <w:qFormat/>
    <w:pPr>
      <w:spacing w:after="100" w:line="278" w:lineRule="auto"/>
      <w:ind w:left="1440"/>
    </w:pPr>
    <w:rPr>
      <w:kern w:val="2"/>
      <w:sz w:val="24"/>
      <w:szCs w:val="24"/>
      <w:lang w:eastAsia="en-US"/>
      <w14:ligatures w14:val="standardContextual"/>
    </w:rPr>
  </w:style>
  <w:style w:type="paragraph" w:styleId="TOC8">
    <w:name w:val="toc 8"/>
    <w:basedOn w:val="Normal"/>
    <w:next w:val="Normal"/>
    <w:autoRedefine/>
    <w:uiPriority w:val="39"/>
    <w:unhideWhenUsed/>
    <w:qFormat/>
    <w:pPr>
      <w:spacing w:after="100" w:line="278" w:lineRule="auto"/>
      <w:ind w:left="1680"/>
    </w:pPr>
    <w:rPr>
      <w:kern w:val="2"/>
      <w:sz w:val="24"/>
      <w:szCs w:val="24"/>
      <w:lang w:eastAsia="en-US"/>
      <w14:ligatures w14:val="standardContextual"/>
    </w:rPr>
  </w:style>
  <w:style w:type="paragraph" w:styleId="TOC9">
    <w:name w:val="toc 9"/>
    <w:basedOn w:val="Normal"/>
    <w:next w:val="Normal"/>
    <w:autoRedefine/>
    <w:uiPriority w:val="39"/>
    <w:unhideWhenUsed/>
    <w:qFormat/>
    <w:pPr>
      <w:spacing w:after="100" w:line="278" w:lineRule="auto"/>
      <w:ind w:left="1920"/>
    </w:pPr>
    <w:rPr>
      <w:kern w:val="2"/>
      <w:sz w:val="24"/>
      <w:szCs w:val="24"/>
      <w:lang w:eastAsia="en-US"/>
      <w14:ligatures w14:val="standardContextual"/>
    </w:rPr>
  </w:style>
  <w:style w:type="character" w:customStyle="1" w:styleId="TitleChar">
    <w:name w:val="Title Char"/>
    <w:link w:val="Title"/>
    <w:qFormat/>
    <w:rPr>
      <w:rFonts w:eastAsiaTheme="minorEastAsia"/>
      <w:b/>
      <w:bCs/>
      <w:sz w:val="24"/>
      <w:szCs w:val="24"/>
      <w:lang w:eastAsia="zh-CN"/>
    </w:rPr>
  </w:style>
  <w:style w:type="paragraph" w:customStyle="1" w:styleId="z-BottomofForm1">
    <w:name w:val="z-Bottom of Form1"/>
    <w:link w:val="z-BottomofFormChar"/>
    <w:qFormat/>
    <w:pPr>
      <w:pBdr>
        <w:top w:val="single" w:sz="6" w:space="1" w:color="auto"/>
      </w:pBdr>
      <w:jc w:val="center"/>
    </w:pPr>
    <w:rPr>
      <w:rFonts w:ascii="Arial" w:eastAsia="Times New Roman" w:hAnsi="Arial"/>
      <w:vanish/>
      <w:sz w:val="16"/>
      <w:szCs w:val="16"/>
      <w:lang w:eastAsia="zh-CN"/>
    </w:rPr>
  </w:style>
  <w:style w:type="character" w:customStyle="1" w:styleId="Heading5Char">
    <w:name w:val="Heading 5 Char"/>
    <w:link w:val="Heading5"/>
    <w:qFormat/>
    <w:rPr>
      <w:rFonts w:ascii="Times New Roman" w:eastAsia="Times New Roman" w:hAnsi="Times New Roman" w:cs="Times New Roman" w:hint="default"/>
      <w:color w:val="2F5496"/>
      <w:sz w:val="24"/>
    </w:rPr>
  </w:style>
  <w:style w:type="character" w:customStyle="1" w:styleId="FooterChar">
    <w:name w:val="Footer Char"/>
    <w:link w:val="Footer"/>
    <w:uiPriority w:val="99"/>
    <w:qFormat/>
    <w:rPr>
      <w:rFonts w:ascii="Times New Roman" w:eastAsia="Times New Roman" w:hAnsi="Times New Roman" w:cs="Times New Roman" w:hint="default"/>
      <w:kern w:val="0"/>
      <w:sz w:val="20"/>
      <w:szCs w:val="20"/>
      <w:lang w:eastAsia="zh-CN"/>
    </w:rPr>
  </w:style>
  <w:style w:type="character" w:customStyle="1" w:styleId="z-BottomofFormChar">
    <w:name w:val="z-Bottom of Form Char"/>
    <w:link w:val="z-BottomofForm1"/>
    <w:qFormat/>
    <w:rPr>
      <w:rFonts w:ascii="Arial" w:eastAsia="Times New Roman" w:hAnsi="Arial" w:cs="Arial" w:hint="default"/>
      <w:vanish/>
      <w:kern w:val="0"/>
      <w:sz w:val="16"/>
      <w:szCs w:val="16"/>
      <w:lang w:val="en-US" w:eastAsia="en-US"/>
    </w:rPr>
  </w:style>
  <w:style w:type="character" w:customStyle="1" w:styleId="Heading2Char">
    <w:name w:val="Heading 2 Char"/>
    <w:link w:val="Heading2"/>
    <w:qFormat/>
    <w:rPr>
      <w:rFonts w:eastAsia="Calibri"/>
      <w:b/>
      <w:bCs/>
      <w:kern w:val="2"/>
      <w:sz w:val="24"/>
      <w:szCs w:val="24"/>
      <w:lang w:eastAsia="zh-CN"/>
    </w:rPr>
  </w:style>
  <w:style w:type="character" w:customStyle="1" w:styleId="Heading1Char">
    <w:name w:val="Heading 1 Char"/>
    <w:link w:val="Heading1"/>
    <w:qFormat/>
    <w:rPr>
      <w:rFonts w:eastAsia="Calibri"/>
      <w:b/>
      <w:bCs/>
      <w:kern w:val="2"/>
      <w:sz w:val="24"/>
      <w:szCs w:val="22"/>
      <w:lang w:eastAsia="zh-CN"/>
    </w:rPr>
  </w:style>
  <w:style w:type="character" w:customStyle="1" w:styleId="IntenseQuoteChar">
    <w:name w:val="Intense Quote Char"/>
    <w:qFormat/>
    <w:rPr>
      <w:rFonts w:ascii="Times New Roman" w:hAnsi="Times New Roman" w:cs="Times New Roman" w:hint="default"/>
      <w:i/>
      <w:iCs/>
      <w:color w:val="2F5496"/>
      <w:sz w:val="24"/>
    </w:rPr>
  </w:style>
  <w:style w:type="character" w:customStyle="1" w:styleId="SubtitleChar">
    <w:name w:val="Subtitle Char"/>
    <w:link w:val="Subtitle"/>
    <w:qFormat/>
    <w:rPr>
      <w:rFonts w:ascii="Times New Roman" w:eastAsia="Times New Roman" w:hAnsi="Times New Roman" w:cs="Times New Roman" w:hint="default"/>
      <w:color w:val="595959"/>
      <w:spacing w:val="15"/>
      <w:sz w:val="28"/>
      <w:szCs w:val="28"/>
    </w:rPr>
  </w:style>
  <w:style w:type="character" w:customStyle="1" w:styleId="QuoteChar">
    <w:name w:val="Quote Char"/>
    <w:qFormat/>
    <w:rPr>
      <w:rFonts w:ascii="Times New Roman" w:hAnsi="Times New Roman" w:cs="Times New Roman" w:hint="default"/>
      <w:i/>
      <w:iCs/>
      <w:color w:val="404040"/>
      <w:sz w:val="24"/>
    </w:rPr>
  </w:style>
  <w:style w:type="paragraph" w:customStyle="1" w:styleId="z-TopofForm1">
    <w:name w:val="z-Top of Form1"/>
    <w:link w:val="z-TopofFormChar"/>
    <w:qFormat/>
    <w:pPr>
      <w:pBdr>
        <w:bottom w:val="single" w:sz="6" w:space="1" w:color="auto"/>
      </w:pBdr>
      <w:jc w:val="center"/>
    </w:pPr>
    <w:rPr>
      <w:rFonts w:ascii="Arial" w:eastAsia="Times New Roman" w:hAnsi="Arial"/>
      <w:vanish/>
      <w:sz w:val="16"/>
      <w:szCs w:val="16"/>
      <w:lang w:eastAsia="zh-CN"/>
    </w:rPr>
  </w:style>
  <w:style w:type="character" w:customStyle="1" w:styleId="ArinzeStyleChar">
    <w:name w:val="Arinze Style Char"/>
    <w:qFormat/>
    <w:rPr>
      <w:rFonts w:ascii="Times New Roman" w:hAnsi="Times New Roman" w:cs="Times New Roman" w:hint="default"/>
      <w:b/>
      <w:sz w:val="24"/>
      <w:szCs w:val="24"/>
    </w:rPr>
  </w:style>
  <w:style w:type="character" w:customStyle="1" w:styleId="msointenseemphasis0">
    <w:name w:val="msointenseemphasis"/>
    <w:qFormat/>
    <w:rPr>
      <w:i/>
      <w:iCs/>
      <w:color w:val="2F5496"/>
    </w:rPr>
  </w:style>
  <w:style w:type="character" w:customStyle="1" w:styleId="Heading8Char">
    <w:name w:val="Heading 8 Char"/>
    <w:link w:val="Heading8"/>
    <w:qFormat/>
    <w:rPr>
      <w:rFonts w:ascii="Times New Roman" w:eastAsia="Times New Roman" w:hAnsi="Times New Roman" w:cs="Times New Roman" w:hint="default"/>
      <w:i/>
      <w:iCs/>
      <w:color w:val="272727"/>
      <w:sz w:val="24"/>
    </w:rPr>
  </w:style>
  <w:style w:type="character" w:customStyle="1" w:styleId="msointensereference0">
    <w:name w:val="msointensereference"/>
    <w:qFormat/>
    <w:rPr>
      <w:b/>
      <w:bCs/>
      <w:smallCaps/>
      <w:color w:val="2F5496"/>
      <w:spacing w:val="5"/>
    </w:rPr>
  </w:style>
  <w:style w:type="character" w:customStyle="1" w:styleId="Heading4Char">
    <w:name w:val="Heading 4 Char"/>
    <w:link w:val="Heading4"/>
    <w:qFormat/>
    <w:rPr>
      <w:rFonts w:ascii="Times New Roman" w:eastAsia="Times New Roman" w:hAnsi="Times New Roman" w:cs="Times New Roman" w:hint="default"/>
      <w:i/>
      <w:iCs/>
      <w:color w:val="2F5496"/>
      <w:sz w:val="24"/>
    </w:rPr>
  </w:style>
  <w:style w:type="character" w:customStyle="1" w:styleId="Heading3Char">
    <w:name w:val="Heading 3 Char"/>
    <w:link w:val="Heading3"/>
    <w:qFormat/>
    <w:rPr>
      <w:rFonts w:eastAsia="Calibri"/>
      <w:b/>
      <w:bCs/>
      <w:kern w:val="2"/>
      <w:sz w:val="24"/>
      <w:szCs w:val="24"/>
      <w:lang w:eastAsia="zh-CN"/>
    </w:rPr>
  </w:style>
  <w:style w:type="character" w:customStyle="1" w:styleId="z-TopofFormChar">
    <w:name w:val="z-Top of Form Char"/>
    <w:link w:val="z-TopofForm1"/>
    <w:qFormat/>
    <w:rPr>
      <w:rFonts w:ascii="Arial" w:eastAsia="Times New Roman" w:hAnsi="Arial" w:cs="Arial" w:hint="default"/>
      <w:vanish/>
      <w:kern w:val="0"/>
      <w:sz w:val="16"/>
      <w:szCs w:val="16"/>
      <w:lang w:val="en-US" w:eastAsia="en-US"/>
    </w:rPr>
  </w:style>
  <w:style w:type="character" w:customStyle="1" w:styleId="Heading6Char">
    <w:name w:val="Heading 6 Char"/>
    <w:link w:val="Heading6"/>
    <w:qFormat/>
    <w:rPr>
      <w:rFonts w:ascii="Times New Roman" w:eastAsia="Times New Roman" w:hAnsi="Times New Roman" w:cs="Times New Roman" w:hint="default"/>
      <w:i/>
      <w:iCs/>
      <w:color w:val="595959"/>
      <w:sz w:val="24"/>
    </w:rPr>
  </w:style>
  <w:style w:type="character" w:customStyle="1" w:styleId="Heading7Char">
    <w:name w:val="Heading 7 Char"/>
    <w:link w:val="Heading7"/>
    <w:qFormat/>
    <w:rPr>
      <w:rFonts w:ascii="Times New Roman" w:eastAsia="Times New Roman" w:hAnsi="Times New Roman" w:cs="Times New Roman" w:hint="default"/>
      <w:color w:val="595959"/>
      <w:sz w:val="24"/>
    </w:rPr>
  </w:style>
  <w:style w:type="character" w:customStyle="1" w:styleId="Heading9Char">
    <w:name w:val="Heading 9 Char"/>
    <w:link w:val="Heading9"/>
    <w:qFormat/>
    <w:rPr>
      <w:rFonts w:ascii="Times New Roman" w:eastAsia="Times New Roman" w:hAnsi="Times New Roman" w:cs="Times New Roman" w:hint="default"/>
      <w:color w:val="272727"/>
      <w:sz w:val="24"/>
    </w:rPr>
  </w:style>
  <w:style w:type="character" w:customStyle="1" w:styleId="ListofFiguresChar">
    <w:name w:val="List of Figures Char"/>
    <w:rPr>
      <w:rFonts w:ascii="Times New Roman" w:hAnsi="Times New Roman" w:cs="Times New Roman" w:hint="default"/>
      <w:b/>
      <w:bCs/>
      <w:color w:val="44546A"/>
      <w:sz w:val="24"/>
      <w:szCs w:val="18"/>
    </w:rPr>
  </w:style>
  <w:style w:type="paragraph" w:customStyle="1" w:styleId="DeptAddress">
    <w:name w:val="DeptAddress"/>
    <w:pPr>
      <w:tabs>
        <w:tab w:val="left" w:pos="7200"/>
      </w:tabs>
      <w:ind w:left="7200"/>
    </w:pPr>
    <w:rPr>
      <w:rFonts w:ascii="TheSans B4 SemiLight" w:eastAsia="Times New Roman" w:hAnsi="TheSans B4 SemiLight"/>
      <w:sz w:val="18"/>
      <w:szCs w:val="18"/>
      <w:lang w:eastAsia="zh-CN"/>
    </w:rPr>
  </w:style>
  <w:style w:type="paragraph" w:customStyle="1" w:styleId="msonospacing0">
    <w:name w:val="msonospacing"/>
    <w:rPr>
      <w:rFonts w:ascii="Calibri" w:eastAsia="Calibri" w:hAnsi="Calibri"/>
      <w:sz w:val="22"/>
      <w:szCs w:val="22"/>
      <w:lang w:eastAsia="zh-CN"/>
    </w:rPr>
  </w:style>
  <w:style w:type="character" w:customStyle="1" w:styleId="apple-converted-space">
    <w:name w:val="apple-converted-space"/>
  </w:style>
  <w:style w:type="paragraph" w:customStyle="1" w:styleId="Style47">
    <w:name w:val="_Style 47"/>
    <w:basedOn w:val="Normal"/>
    <w:next w:val="Normal"/>
    <w:pPr>
      <w:pBdr>
        <w:bottom w:val="single" w:sz="6" w:space="1" w:color="auto"/>
      </w:pBdr>
      <w:jc w:val="center"/>
    </w:pPr>
    <w:rPr>
      <w:rFonts w:ascii="Arial" w:eastAsia="SimSun"/>
      <w:vanish/>
      <w:sz w:val="16"/>
    </w:rPr>
  </w:style>
  <w:style w:type="paragraph" w:customStyle="1" w:styleId="Style48">
    <w:name w:val="_Style 48"/>
    <w:basedOn w:val="Normal"/>
    <w:next w:val="Normal"/>
    <w:pPr>
      <w:pBdr>
        <w:top w:val="single" w:sz="6" w:space="1" w:color="auto"/>
      </w:pBdr>
      <w:jc w:val="center"/>
    </w:pPr>
    <w:rPr>
      <w:rFonts w:ascii="Arial" w:eastAsia="SimSun"/>
      <w:vanish/>
      <w:sz w:val="16"/>
    </w:rPr>
  </w:style>
  <w:style w:type="paragraph" w:customStyle="1" w:styleId="Style49">
    <w:name w:val="_Style 49"/>
    <w:basedOn w:val="Normal"/>
    <w:next w:val="Normal"/>
    <w:pPr>
      <w:pBdr>
        <w:bottom w:val="single" w:sz="6" w:space="1" w:color="auto"/>
      </w:pBdr>
      <w:jc w:val="center"/>
    </w:pPr>
    <w:rPr>
      <w:rFonts w:ascii="Arial" w:eastAsia="SimSun"/>
      <w:vanish/>
      <w:sz w:val="16"/>
    </w:rPr>
  </w:style>
  <w:style w:type="paragraph" w:customStyle="1" w:styleId="Style50">
    <w:name w:val="_Style 50"/>
    <w:basedOn w:val="Normal"/>
    <w:next w:val="Normal"/>
    <w:pPr>
      <w:pBdr>
        <w:top w:val="single" w:sz="6" w:space="1" w:color="auto"/>
      </w:pBdr>
      <w:jc w:val="center"/>
    </w:pPr>
    <w:rPr>
      <w:rFonts w:ascii="Arial" w:eastAsia="SimSun"/>
      <w:vanish/>
      <w:sz w:val="16"/>
    </w:rPr>
  </w:style>
  <w:style w:type="paragraph" w:styleId="ListParagraph">
    <w:name w:val="List Paragraph"/>
    <w:basedOn w:val="Normal"/>
    <w:uiPriority w:val="34"/>
    <w:unhideWhenUsed/>
    <w:qFormat/>
    <w:pPr>
      <w:ind w:left="720"/>
      <w:contextualSpacing/>
    </w:pPr>
  </w:style>
  <w:style w:type="character" w:customStyle="1" w:styleId="BookTitle1">
    <w:name w:val="Book Title1"/>
    <w:uiPriority w:val="33"/>
    <w:qFormat/>
    <w:rPr>
      <w:rFonts w:ascii="Times New Roman" w:hAnsi="Times New Roman" w:cs="Times New Roman"/>
      <w:b/>
      <w:bCs/>
      <w:sz w:val="24"/>
      <w:szCs w:val="24"/>
    </w:rPr>
  </w:style>
  <w:style w:type="character" w:customStyle="1" w:styleId="HeaderChar">
    <w:name w:val="Header Char"/>
    <w:basedOn w:val="DefaultParagraphFont"/>
    <w:link w:val="Header"/>
    <w:rPr>
      <w:rFonts w:asciiTheme="minorHAnsi" w:eastAsiaTheme="minorEastAsia" w:hAnsiTheme="minorHAnsi" w:cstheme="minorBidi"/>
      <w:lang w:eastAsia="zh-CN"/>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5F181E"/>
    <w:rPr>
      <w:color w:val="605E5C"/>
      <w:shd w:val="clear" w:color="auto" w:fill="E1DFDD"/>
    </w:rPr>
  </w:style>
  <w:style w:type="paragraph" w:styleId="NoSpacing">
    <w:name w:val="No Spacing"/>
    <w:uiPriority w:val="1"/>
    <w:qFormat/>
    <w:rsid w:val="00457D19"/>
    <w:rPr>
      <w:rFonts w:asciiTheme="minorHAnsi" w:eastAsiaTheme="minorHAnsi" w:hAnsiTheme="minorHAnsi" w:cstheme="minorBidi"/>
      <w:sz w:val="22"/>
      <w:szCs w:val="22"/>
      <w:lang w:val="en-GB"/>
    </w:rPr>
  </w:style>
  <w:style w:type="paragraph" w:customStyle="1" w:styleId="isselectedend">
    <w:name w:val="isselectedend"/>
    <w:basedOn w:val="Normal"/>
    <w:rsid w:val="000F0B0A"/>
    <w:pPr>
      <w:spacing w:before="100" w:beforeAutospacing="1" w:after="100" w:afterAutospacing="1"/>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668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86/s12884-025-08565-1" TargetMode="External"/><Relationship Id="rId18" Type="http://schemas.openxmlformats.org/officeDocument/2006/relationships/hyperlink" Target="https://doi.org/10.56557/arjocs/2025/v7i1124" TargetMode="External"/><Relationship Id="rId26" Type="http://schemas.openxmlformats.org/officeDocument/2006/relationships/hyperlink" Target="https://sdgs.un.org/documents/sustainable-development-goals-report-2023-53220" TargetMode="External"/><Relationship Id="rId21" Type="http://schemas.openxmlformats.org/officeDocument/2006/relationships/hyperlink" Target="https://doi.org/10.29063/ajrh2025/v29i6.12"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doi.org/10.1186/s12913-021-07208-3" TargetMode="External"/><Relationship Id="rId17" Type="http://schemas.openxmlformats.org/officeDocument/2006/relationships/hyperlink" Target="https://doi.org/10.1186/s12889-025-22710-7" TargetMode="External"/><Relationship Id="rId25" Type="http://schemas.openxmlformats.org/officeDocument/2006/relationships/hyperlink" Target="https://doi.org/10.1136/bmjgh-2024-018479"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i.org/10.1111/tmi.70101" TargetMode="External"/><Relationship Id="rId20" Type="http://schemas.openxmlformats.org/officeDocument/2006/relationships/hyperlink" Target="https://doi.org/10.1371/journal.pone.0259237" TargetMode="External"/><Relationship Id="rId29" Type="http://schemas.openxmlformats.org/officeDocument/2006/relationships/hyperlink" Target="https://www.who.int/publications/i/item/978924006875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56893/ajhes2024v03i01.02" TargetMode="External"/><Relationship Id="rId24" Type="http://schemas.openxmlformats.org/officeDocument/2006/relationships/hyperlink" Target="https://doi.org/10.1186/s12884-025-07188-w"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i.org/10.9734/ajmpcp/2026/v9i1432" TargetMode="External"/><Relationship Id="rId23" Type="http://schemas.openxmlformats.org/officeDocument/2006/relationships/hyperlink" Target="https://preview.dhsprogram.com/pubs/pdf/FR359/FR359.pdf" TargetMode="External"/><Relationship Id="rId28" Type="http://schemas.openxmlformats.org/officeDocument/2006/relationships/hyperlink" Target="https://www.who.int/health-topics/maternal-health" TargetMode="External"/><Relationship Id="rId36" Type="http://schemas.openxmlformats.org/officeDocument/2006/relationships/footer" Target="footer3.xml"/><Relationship Id="rId10" Type="http://schemas.openxmlformats.org/officeDocument/2006/relationships/chart" Target="charts/chart2.xml"/><Relationship Id="rId19" Type="http://schemas.openxmlformats.org/officeDocument/2006/relationships/hyperlink" Target="https://doi.org/10.1016/j.wombi.2024.101843"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hyperlink" Target="https://doi.org/10.1016/j.jvacx.2025.100668" TargetMode="External"/><Relationship Id="rId22" Type="http://schemas.openxmlformats.org/officeDocument/2006/relationships/hyperlink" Target="https://doi.org/10.1016/j.jvacx.2024.100563" TargetMode="External"/><Relationship Id="rId27" Type="http://schemas.openxmlformats.org/officeDocument/2006/relationships/hyperlink" Target="https://www.who.int/publications/m/item/immunization-agenda-2030-a-global-strategy-to-leave-no-one-behind" TargetMode="External"/><Relationship Id="rId30" Type="http://schemas.openxmlformats.org/officeDocument/2006/relationships/hyperlink" Target="https://doi.org/10.7322/abcshs.2022150.2213" TargetMode="External"/><Relationship Id="rId35" Type="http://schemas.openxmlformats.org/officeDocument/2006/relationships/header" Target="header3.xml"/><Relationship Id="rId8" Type="http://schemas.openxmlformats.org/officeDocument/2006/relationships/endnotes" Target="endnotes.xml"/><Relationship Id="rId3" Type="http://schemas.openxmlformats.org/officeDocument/2006/relationships/numbering" Target="numbering.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esktop\(2026)%20RESEARCH\AMANDA%20MARC'S\Amanda%20Marcus%20questionnaire%20(Respons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esktop\(2026)%20RESEARCH\AMANDA%20MARC'S\Amanda%20Marcus%20questionnaire%20(Response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Sheet3!$F$2:$F$5</c:f>
              <c:strCache>
                <c:ptCount val="4"/>
                <c:pt idx="0">
                  <c:v>Less than 5 years</c:v>
                </c:pt>
                <c:pt idx="1">
                  <c:v>5 - 10 years</c:v>
                </c:pt>
                <c:pt idx="2">
                  <c:v>11 - 15 years</c:v>
                </c:pt>
                <c:pt idx="3">
                  <c:v>Above 15 years</c:v>
                </c:pt>
              </c:strCache>
            </c:strRef>
          </c:cat>
          <c:val>
            <c:numRef>
              <c:f>Sheet3!$I$2:$I$5</c:f>
              <c:numCache>
                <c:formatCode>0.0%</c:formatCode>
                <c:ptCount val="4"/>
                <c:pt idx="0">
                  <c:v>0.32900000000000001</c:v>
                </c:pt>
                <c:pt idx="1">
                  <c:v>0.21099999999999999</c:v>
                </c:pt>
                <c:pt idx="2">
                  <c:v>0.223</c:v>
                </c:pt>
                <c:pt idx="3">
                  <c:v>0.23699999999999999</c:v>
                </c:pt>
              </c:numCache>
            </c:numRef>
          </c:val>
          <c:extLst>
            <c:ext xmlns:c16="http://schemas.microsoft.com/office/drawing/2014/chart" uri="{C3380CC4-5D6E-409C-BE32-E72D297353CC}">
              <c16:uniqueId val="{00000000-E363-4111-9EE9-C7B8387FDC8C}"/>
            </c:ext>
          </c:extLst>
        </c:ser>
        <c:dLbls>
          <c:showLegendKey val="0"/>
          <c:showVal val="1"/>
          <c:showCatName val="0"/>
          <c:showSerName val="0"/>
          <c:showPercent val="0"/>
          <c:showBubbleSize val="0"/>
        </c:dLbls>
        <c:gapWidth val="164"/>
        <c:overlap val="-22"/>
        <c:axId val="1603239488"/>
        <c:axId val="1603229888"/>
      </c:barChart>
      <c:catAx>
        <c:axId val="1603239488"/>
        <c:scaling>
          <c:orientation val="minMax"/>
        </c:scaling>
        <c:delete val="0"/>
        <c:axPos val="b"/>
        <c:title>
          <c:tx>
            <c:rich>
              <a:bodyPr rot="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r>
                  <a:rPr lang="en-US"/>
                  <a:t>Years of Experience</a:t>
                </a:r>
              </a:p>
            </c:rich>
          </c:tx>
          <c:overlay val="0"/>
          <c:spPr>
            <a:noFill/>
            <a:ln>
              <a:noFill/>
            </a:ln>
            <a:effectLst/>
          </c:spPr>
          <c:txPr>
            <a:bodyPr rot="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603229888"/>
        <c:crosses val="autoZero"/>
        <c:auto val="1"/>
        <c:lblAlgn val="ctr"/>
        <c:lblOffset val="100"/>
        <c:noMultiLvlLbl val="0"/>
      </c:catAx>
      <c:valAx>
        <c:axId val="1603229888"/>
        <c:scaling>
          <c:orientation val="minMax"/>
        </c:scaling>
        <c:delete val="0"/>
        <c:axPos val="l"/>
        <c:title>
          <c:tx>
            <c:rich>
              <a:bodyPr rot="-540000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xPr>
            <a:bodyPr rot="-540000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603239488"/>
        <c:crosses val="autoZero"/>
        <c:crossBetween val="between"/>
      </c:valAx>
      <c:spPr>
        <a:noFill/>
        <a:ln>
          <a:noFill/>
        </a:ln>
        <a:effectLst/>
      </c:spPr>
    </c:plotArea>
    <c:plotVisOnly val="1"/>
    <c:dispBlanksAs val="gap"/>
    <c:showDLblsOverMax val="0"/>
    <c:extLst>
      <c:ext uri="{0b15fc19-7d7d-44ad-8c2d-2c3a37ce22c3}">
        <chartProps xmlns="https://web.wps.cn/et/2018/main" chartId="{df6d0a9e-f22e-4d2a-b601-0000f4b40cf6}"/>
      </c:ext>
    </c:extLst>
  </c:chart>
  <c:spPr>
    <a:solidFill>
      <a:schemeClr val="bg1"/>
    </a:solidFill>
    <a:ln w="9525" cap="flat" cmpd="sng" algn="ctr">
      <a:solidFill>
        <a:schemeClr val="tx1">
          <a:lumMod val="15000"/>
          <a:lumOff val="85000"/>
        </a:schemeClr>
      </a:solidFill>
      <a:round/>
    </a:ln>
    <a:effectLst/>
  </c:spPr>
  <c:txPr>
    <a:bodyPr/>
    <a:lstStyle/>
    <a:p>
      <a:pPr>
        <a:defRPr lang="en-GB"/>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Sheet3!$F$7:$F$10</c:f>
              <c:strCache>
                <c:ptCount val="4"/>
                <c:pt idx="0">
                  <c:v>Less than 1 year</c:v>
                </c:pt>
                <c:pt idx="1">
                  <c:v>1 - 5 years</c:v>
                </c:pt>
                <c:pt idx="2">
                  <c:v>6 - 10 years</c:v>
                </c:pt>
                <c:pt idx="3">
                  <c:v>Above 10 years</c:v>
                </c:pt>
              </c:strCache>
            </c:strRef>
          </c:cat>
          <c:val>
            <c:numRef>
              <c:f>Sheet3!$I$7:$I$10</c:f>
              <c:numCache>
                <c:formatCode>0.0%</c:formatCode>
                <c:ptCount val="4"/>
                <c:pt idx="0">
                  <c:v>0.42099999999999999</c:v>
                </c:pt>
                <c:pt idx="1">
                  <c:v>0.39500000000000002</c:v>
                </c:pt>
                <c:pt idx="2">
                  <c:v>0.14499999999999999</c:v>
                </c:pt>
                <c:pt idx="3">
                  <c:v>3.9E-2</c:v>
                </c:pt>
              </c:numCache>
            </c:numRef>
          </c:val>
          <c:extLst>
            <c:ext xmlns:c16="http://schemas.microsoft.com/office/drawing/2014/chart" uri="{C3380CC4-5D6E-409C-BE32-E72D297353CC}">
              <c16:uniqueId val="{00000000-7FF5-4721-89F8-8739FDA036C6}"/>
            </c:ext>
          </c:extLst>
        </c:ser>
        <c:dLbls>
          <c:showLegendKey val="0"/>
          <c:showVal val="1"/>
          <c:showCatName val="0"/>
          <c:showSerName val="0"/>
          <c:showPercent val="0"/>
          <c:showBubbleSize val="0"/>
        </c:dLbls>
        <c:gapWidth val="164"/>
        <c:overlap val="-22"/>
        <c:axId val="1603239488"/>
        <c:axId val="1603229888"/>
      </c:barChart>
      <c:catAx>
        <c:axId val="1603239488"/>
        <c:scaling>
          <c:orientation val="minMax"/>
        </c:scaling>
        <c:delete val="0"/>
        <c:axPos val="b"/>
        <c:title>
          <c:tx>
            <c:rich>
              <a:bodyPr rot="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r>
                  <a:rPr lang="en-US"/>
                  <a:t>Years of working in ANC/ Immunization Clinics</a:t>
                </a:r>
              </a:p>
            </c:rich>
          </c:tx>
          <c:overlay val="0"/>
          <c:spPr>
            <a:noFill/>
            <a:ln>
              <a:noFill/>
            </a:ln>
            <a:effectLst/>
          </c:spPr>
          <c:txPr>
            <a:bodyPr rot="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603229888"/>
        <c:crosses val="autoZero"/>
        <c:auto val="1"/>
        <c:lblAlgn val="ctr"/>
        <c:lblOffset val="100"/>
        <c:noMultiLvlLbl val="0"/>
      </c:catAx>
      <c:valAx>
        <c:axId val="1603229888"/>
        <c:scaling>
          <c:orientation val="minMax"/>
        </c:scaling>
        <c:delete val="0"/>
        <c:axPos val="l"/>
        <c:title>
          <c:tx>
            <c:rich>
              <a:bodyPr rot="-540000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xPr>
            <a:bodyPr rot="-540000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603239488"/>
        <c:crosses val="autoZero"/>
        <c:crossBetween val="between"/>
      </c:valAx>
      <c:spPr>
        <a:noFill/>
        <a:ln>
          <a:noFill/>
        </a:ln>
        <a:effectLst/>
      </c:spPr>
    </c:plotArea>
    <c:plotVisOnly val="1"/>
    <c:dispBlanksAs val="gap"/>
    <c:showDLblsOverMax val="0"/>
    <c:extLst>
      <c:ext uri="{0b15fc19-7d7d-44ad-8c2d-2c3a37ce22c3}">
        <chartProps xmlns="https://web.wps.cn/et/2018/main" chartId="{b2faec97-ce13-411f-bd57-e8547668df1e}"/>
      </c:ext>
    </c:extLst>
  </c:chart>
  <c:spPr>
    <a:solidFill>
      <a:schemeClr val="bg1"/>
    </a:solidFill>
    <a:ln w="9525" cap="flat" cmpd="sng" algn="ctr">
      <a:solidFill>
        <a:schemeClr val="tx1">
          <a:lumMod val="15000"/>
          <a:lumOff val="85000"/>
        </a:schemeClr>
      </a:solidFill>
      <a:round/>
    </a:ln>
    <a:effectLst/>
  </c:spPr>
  <c:txPr>
    <a:bodyPr/>
    <a:lstStyle/>
    <a:p>
      <a:pPr>
        <a:defRPr lang="en-GB"/>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98E5A6BF-2024-4245-B07C-9E17FF8AFA3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5139</Words>
  <Characters>29295</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AJRMMS 2634</dc:title>
  <dc:subject>Edited manuscript</dc:subject>
  <dc:creator>User</dc:creator>
  <cp:lastModifiedBy>SDI CPU 1117</cp:lastModifiedBy>
  <cp:revision>33</cp:revision>
  <dcterms:created xsi:type="dcterms:W3CDTF">2026-05-08T05:09:00Z</dcterms:created>
  <dcterms:modified xsi:type="dcterms:W3CDTF">2026-07-20T08:44:00Z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2057-12.2.0.23197</vt:lpwstr>
  </property>
  <property fmtid="{D5CDD505-2E9C-101B-9397-08002B2CF9AE}" pid="3" name="ICV">
    <vt:lpwstr>0BF000167C164F5B955047D002437334_11</vt:lpwstr>
  </property>
  <property fmtid="{D5CDD505-2E9C-101B-9397-08002B2CF9AE}" pid="4" name="GrammarlyDocumentId">
    <vt:lpwstr>b3005373-9f91-4405-8c6c-eb72ff61fd1f</vt:lpwstr>
  </property>
</Properties>
</file>