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68EF" w14:textId="77777777" w:rsidR="00FC2F8E" w:rsidRDefault="00FC2F8E">
      <w:pPr>
        <w:spacing w:before="100" w:beforeAutospacing="1" w:after="100" w:afterAutospacing="1"/>
        <w:jc w:val="center"/>
        <w:rPr>
          <w:rFonts w:ascii="Times New Roman" w:hAnsi="Times New Roman" w:cs="Times New Roman"/>
          <w:b/>
          <w:bCs/>
          <w:sz w:val="24"/>
          <w:szCs w:val="24"/>
        </w:rPr>
      </w:pPr>
    </w:p>
    <w:p w14:paraId="75F060FA" w14:textId="77777777" w:rsidR="00FC2F8E" w:rsidRPr="00297679" w:rsidRDefault="00AE16DB">
      <w:pPr>
        <w:spacing w:before="100" w:beforeAutospacing="1" w:after="100" w:afterAutospacing="1"/>
        <w:rPr>
          <w:rFonts w:ascii="Times New Roman" w:hAnsi="Times New Roman" w:cs="Times New Roman"/>
          <w:b/>
          <w:bCs/>
          <w:sz w:val="24"/>
          <w:szCs w:val="24"/>
        </w:rPr>
      </w:pPr>
      <w:r w:rsidRPr="00297679">
        <w:rPr>
          <w:rFonts w:ascii="Times New Roman"/>
          <w:b/>
          <w:sz w:val="24"/>
          <w:szCs w:val="24"/>
        </w:rPr>
        <w:t>HEALTH WORKERS' EXPERIENCE IN WOMEN HEALTH EDUCATION DURING ANTENATAL AND IMMUNIZATION CLINICS IN AEFUTHA EBONYI STATE</w:t>
      </w:r>
      <w:r w:rsidR="0087097F" w:rsidRPr="00297679">
        <w:rPr>
          <w:rFonts w:ascii="Times New Roman"/>
          <w:b/>
          <w:sz w:val="24"/>
          <w:szCs w:val="24"/>
        </w:rPr>
        <w:t>, NIGERIA</w:t>
      </w:r>
    </w:p>
    <w:p w14:paraId="21C553F4" w14:textId="77777777" w:rsidR="00FC2F8E" w:rsidRPr="00297679" w:rsidRDefault="00FC2F8E">
      <w:pPr>
        <w:spacing w:before="100" w:beforeAutospacing="1" w:after="100" w:afterAutospacing="1"/>
        <w:jc w:val="center"/>
        <w:rPr>
          <w:rFonts w:ascii="Times New Roman" w:hAnsi="Times New Roman" w:cs="Times New Roman"/>
          <w:b/>
          <w:bCs/>
          <w:sz w:val="24"/>
          <w:szCs w:val="24"/>
        </w:rPr>
      </w:pPr>
    </w:p>
    <w:p w14:paraId="2A32784E" w14:textId="77777777" w:rsidR="005F181E" w:rsidRPr="00297679" w:rsidRDefault="005F181E">
      <w:pPr>
        <w:spacing w:before="100" w:beforeAutospacing="1" w:after="100" w:afterAutospacing="1"/>
        <w:rPr>
          <w:rFonts w:ascii="Times New Roman" w:hAnsi="Times New Roman" w:cs="Times New Roman"/>
          <w:b/>
          <w:bCs/>
          <w:sz w:val="24"/>
          <w:szCs w:val="24"/>
        </w:rPr>
      </w:pPr>
    </w:p>
    <w:p w14:paraId="6D3E18CE" w14:textId="77777777" w:rsidR="00D53ABA" w:rsidRPr="00297679" w:rsidRDefault="00D53ABA">
      <w:pPr>
        <w:spacing w:before="100" w:beforeAutospacing="1" w:after="100" w:afterAutospacing="1"/>
        <w:rPr>
          <w:rFonts w:ascii="Times New Roman" w:hAnsi="Times New Roman" w:cs="Times New Roman"/>
          <w:bCs/>
          <w:i/>
          <w:sz w:val="24"/>
          <w:szCs w:val="24"/>
        </w:rPr>
      </w:pPr>
    </w:p>
    <w:p w14:paraId="024A9A30" w14:textId="77777777" w:rsidR="00FC2F8E" w:rsidRPr="00297679" w:rsidRDefault="00AE16DB">
      <w:pPr>
        <w:pStyle w:val="Heading1"/>
        <w:spacing w:line="240" w:lineRule="auto"/>
      </w:pPr>
      <w:bookmarkStart w:id="0" w:name="_Toc5760"/>
      <w:r w:rsidRPr="00297679">
        <w:rPr>
          <w:szCs w:val="24"/>
        </w:rPr>
        <w:t>ABSTRACT</w:t>
      </w:r>
      <w:bookmarkEnd w:id="0"/>
      <w:r w:rsidRPr="00297679">
        <w:rPr>
          <w:szCs w:val="24"/>
        </w:rPr>
        <w:t xml:space="preserve">   </w:t>
      </w:r>
    </w:p>
    <w:p w14:paraId="1B2FAFAA" w14:textId="224B2E21" w:rsidR="003C0592" w:rsidRDefault="003C0592">
      <w:pPr>
        <w:spacing w:before="100" w:beforeAutospacing="1" w:after="100" w:afterAutospacing="1"/>
        <w:jc w:val="both"/>
      </w:pPr>
      <w:r w:rsidRPr="00A97251">
        <w:rPr>
          <w:b/>
          <w:bCs/>
        </w:rPr>
        <w:t>Background</w:t>
      </w:r>
      <w:r>
        <w:t xml:space="preserve">: Women’s health education during antenatal and </w:t>
      </w:r>
      <w:proofErr w:type="spellStart"/>
      <w:r>
        <w:t>immunisation</w:t>
      </w:r>
      <w:proofErr w:type="spellEnd"/>
      <w:r>
        <w:t xml:space="preserve"> clinics is an important component of maternal and child health service delivery. Health workers are central to this process, yet their experiences in providing education within tertiary clinical settings require context-specific understanding.</w:t>
      </w:r>
      <w:r w:rsidR="00A97251">
        <w:t xml:space="preserve"> </w:t>
      </w:r>
      <w:r w:rsidR="00A97251" w:rsidRPr="00A97251">
        <w:rPr>
          <w:b/>
          <w:bCs/>
        </w:rPr>
        <w:t>Aim</w:t>
      </w:r>
      <w:r w:rsidR="00A97251">
        <w:t>:</w:t>
      </w:r>
      <w:r>
        <w:t xml:space="preserve"> This study explored health workers’ experiences in delivering women’s health education during antenatal and </w:t>
      </w:r>
      <w:proofErr w:type="spellStart"/>
      <w:r>
        <w:t>immunisation</w:t>
      </w:r>
      <w:proofErr w:type="spellEnd"/>
      <w:r>
        <w:t xml:space="preserve"> clinics at Alex Ekwueme Federal University Teaching Hospital </w:t>
      </w:r>
      <w:proofErr w:type="spellStart"/>
      <w:r>
        <w:t>Abakaliki</w:t>
      </w:r>
      <w:proofErr w:type="spellEnd"/>
      <w:r>
        <w:t xml:space="preserve">, Ebonyi State, Nigeria. </w:t>
      </w:r>
      <w:r w:rsidRPr="00A97251">
        <w:rPr>
          <w:b/>
          <w:bCs/>
        </w:rPr>
        <w:t>Methods</w:t>
      </w:r>
      <w:r>
        <w:t xml:space="preserve">: A mixed-methods design was adopted. Quantitative data were collected from 79 eligible health workers using a census approach, while qualitative data were obtained through key informant interviews conducted until saturation. Quantitative data were </w:t>
      </w:r>
      <w:proofErr w:type="spellStart"/>
      <w:r>
        <w:t>analysed</w:t>
      </w:r>
      <w:proofErr w:type="spellEnd"/>
      <w:r>
        <w:t xml:space="preserve"> using IBM SPSS Version 30, and qualitative data were </w:t>
      </w:r>
      <w:proofErr w:type="spellStart"/>
      <w:r>
        <w:t>analysed</w:t>
      </w:r>
      <w:proofErr w:type="spellEnd"/>
      <w:r>
        <w:t xml:space="preserve"> thematically with NVIVO 15. </w:t>
      </w:r>
      <w:r w:rsidRPr="00A97251">
        <w:rPr>
          <w:b/>
          <w:bCs/>
        </w:rPr>
        <w:t>Results</w:t>
      </w:r>
      <w:r>
        <w:t xml:space="preserve">: Most respondents reported confidence and fulfilment in delivering women’s health education. Specifically, 51.3% strongly agreed and 27.6% agreed that they felt confident, while 48.7% strongly agreed and 39.5% agreed that they felt fulfilled. Reported challenges included heavy workload, staff shortages, low literacy among women, poor infrastructure, language barriers, limited teaching aids, unconducive environments, and time constraints. Enabling factors included continuous training, positive feedback from women, and management recognition. </w:t>
      </w:r>
      <w:r w:rsidRPr="00A97251">
        <w:rPr>
          <w:b/>
          <w:bCs/>
        </w:rPr>
        <w:t>Conclusion</w:t>
      </w:r>
      <w:r>
        <w:t xml:space="preserve">: Health workers considered women’s health education meaningful and professionally rewarding; however, institutional and systemic constraints limited effective delivery. Improved infrastructure, adequate teaching materials, clear guidelines, supportive supervision, and continuous professional development are needed to strengthen women’s health education during antenatal and </w:t>
      </w:r>
      <w:proofErr w:type="spellStart"/>
      <w:r>
        <w:t>immunisation</w:t>
      </w:r>
      <w:proofErr w:type="spellEnd"/>
      <w:r>
        <w:t xml:space="preserve"> clinics.</w:t>
      </w:r>
    </w:p>
    <w:p w14:paraId="6175E725" w14:textId="0673EB87" w:rsidR="00FC2F8E" w:rsidRPr="00297679" w:rsidRDefault="003C0592">
      <w:pPr>
        <w:spacing w:before="100" w:beforeAutospacing="1" w:after="100" w:afterAutospacing="1"/>
        <w:jc w:val="both"/>
        <w:rPr>
          <w:rFonts w:ascii="Times New Roman" w:hAnsi="Times New Roman" w:cs="Times New Roman"/>
          <w:sz w:val="24"/>
          <w:szCs w:val="24"/>
        </w:rPr>
      </w:pPr>
      <w:r w:rsidRPr="000D20DB">
        <w:rPr>
          <w:b/>
          <w:bCs/>
        </w:rPr>
        <w:t>Keywords</w:t>
      </w:r>
      <w:r w:rsidRPr="003C0592">
        <w:t xml:space="preserve">: Women’s health education; antenatal care; </w:t>
      </w:r>
      <w:proofErr w:type="spellStart"/>
      <w:r w:rsidRPr="003C0592">
        <w:t>immunisation</w:t>
      </w:r>
      <w:proofErr w:type="spellEnd"/>
      <w:r w:rsidRPr="003C0592">
        <w:t xml:space="preserve"> clinics; health workers’ experiences; maternal health; health education delivery; staff shortages; teaching aids; tertiary hospital</w:t>
      </w:r>
    </w:p>
    <w:p w14:paraId="03316FAE" w14:textId="77777777" w:rsidR="00FC2F8E" w:rsidRPr="00297679" w:rsidRDefault="00AE16DB">
      <w:pPr>
        <w:pStyle w:val="Heading1"/>
        <w:spacing w:line="240" w:lineRule="auto"/>
        <w:jc w:val="left"/>
        <w:rPr>
          <w:b w:val="0"/>
          <w:bCs w:val="0"/>
        </w:rPr>
      </w:pPr>
      <w:bookmarkStart w:id="1" w:name="_Toc20079"/>
      <w:r w:rsidRPr="00297679">
        <w:rPr>
          <w:rStyle w:val="Strong"/>
          <w:b/>
          <w:bCs/>
          <w:szCs w:val="24"/>
        </w:rPr>
        <w:t>INTRODUCTION</w:t>
      </w:r>
      <w:bookmarkEnd w:id="1"/>
    </w:p>
    <w:p w14:paraId="1A9615A5"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Maternal health remains a major public health concern globally, particularly in low- and middle-income countries (LMICs), where preventable maternal and neonatal morbidity and mortality continue to persist despite decades of interventions. The World Health Organization (WHO) defines maternal health as the health of women during pregnancy, childbirth, and the postnatal period, emphasising that access to quality antenatal, intrapartum, and postnatal services is fundamental to achieving safe motherhood (World Health Organization [WHO], 2024). Globally, although maternal mortality has declined over the past two decades, progress has been uneven and fragile. Sub-Saharan Africa continues to account for approximately 70% of global maternal deaths; approximately 287,000 women died globally from pregnancy-related causes in 2020, and most of these deaths were preventable through quality maternal care, adequate health education, and timely health service utilisation (World Health Organization et al., 2023). Health education for women during antenatal and immunisation clinics plays a pivotal role in empowering mothers with the knowledge and skills necessary to make informed health decisions for themselves and their children (United Nations, 2023). In Nigeria, maternal mortality remains alarmingly high, with a maternal mortality ratio of 512 deaths per 100,000 live births (National Population Commission [NPC] &amp; ICF, 2019). These disparities highlight not only gaps in service availability but also deficiencies in the quality and effectiveness of maternal healthcare interventions.</w:t>
      </w:r>
    </w:p>
    <w:p w14:paraId="0AC90D99"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Antenatal care (ANC) is widely recognised as one of the most critical strategies for reducing maternal and neonatal mortality. Beyond clinical monitoring, ANC provides a preventive platform for the early identification of pregnancy-related complications, management of pre-existing conditions, and promotion of healthy behaviours. The WHO currently recommends a minimum of eight antenatal contacts during pregnancy to optimise maternal and neonatal outcomes and to </w:t>
      </w:r>
      <w:r w:rsidRPr="00297679">
        <w:lastRenderedPageBreak/>
        <w:t>enhance the delivery of structured health education (Olapeju et al., 2025). The shift from four to eight contacts underscores the growing recognition that frequent interaction between pregnant women and skilled health providers improves both clinical outcomes and health literacy.</w:t>
      </w:r>
    </w:p>
    <w:p w14:paraId="5E1B68F8"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Importantly, antenatal clinics are not solely biomedical service points; they are structured educational environments. During ANC sessions, health workers are expected to provide comprehensive education on maternal nutrition, danger signs in pregnancy, birth preparedness and complication readiness, prevention of mother-to-child transmission of infections, exclusive breastfeeding, postpartum care, family planning, and newborn care practices. Empirical evidence indicates that well-structured antenatal education significantly improves maternal knowledge, increases preparedness for childbirth, and contributes to positive labour outcomes (Hooper et al., 2025; Zanetti et al., 2024). These findings suggest that the quality of health education delivered during ANC visits may be as crucial as the clinical services provided.</w:t>
      </w:r>
    </w:p>
    <w:p w14:paraId="5C96C962"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Recent evidence also indicates that community-based maternal health education can support antenatal, delivery, and postnatal service uptake, but its effectiveness may be reduced by low literacy, socio-cultural barriers, and weak referral systems (Ekeoba, 2026).</w:t>
      </w:r>
    </w:p>
    <w:p w14:paraId="1FB8A5E5"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Similarly, immunisation clinics serve as continuous points of maternal engagement during the postnatal period. The establishment of the Expanded Programme on Immunization (EPI) by the World Health Organization strengthened global vaccination systems and positioned routine immunisation clinics as recurring contact opportunities between mothers and healthcare providers (WHO, 2021). In Nigeria, immunisation sessions typically include group health talks covering exclusive breastfeeding, complementary feeding, growth monitoring, hygiene practices, and postpartum maternal health. These sessions offer critical reinforcement of messages initially introduced during antenatal visits, creating a continuum of maternal education across the reproductive cycle.</w:t>
      </w:r>
    </w:p>
    <w:p w14:paraId="09C10E3F"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However, despite these structured opportunities, evidence suggests that immunisation service delivery in Nigeria faces multiple barriers. Studies have identified health system constraints, such as inadequate staffing, supply shortages, irregular vaccine availability, and poor infrastructure, as significant challenges (Balogun et al., 2025; Mohammed et al., 2024). Socio-cultural factors, including misconceptions about vaccines and low maternal education levels, further complicate service delivery. These challenges may inadvertently affect the time, quality, and consistency of health education provided during immunisation clinics.</w:t>
      </w:r>
    </w:p>
    <w:p w14:paraId="4E4C4860"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Recent Nigerian evidence shows that immunisation health talks may vary in content and delivery across clinics, and that limited formal training for health workers can contribute to inconsistent vaccine-related health education (Ekhaguere et al., 2026).</w:t>
      </w:r>
    </w:p>
    <w:p w14:paraId="5F815B45"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Caregiver-level misconceptions and health-system factors, including poor provider attitude, inadequate human-resource capacity, vaccine supply concerns, and weak counselling on side effects, have also been reported as barriers to childhood immunisation in northern Nigeria (Etim et al., 2025).</w:t>
      </w:r>
    </w:p>
    <w:p w14:paraId="00976274"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Health workers occupy a central role in translating maternal health policies into practice. Their competence, professional training, communication skills, attitudes, and motivation directly shape how health education is delivered and received. Research indicates that supportive supervision and targeted training significantly enhance health workers’ ability to provide effective maternal health education (Adefolarin et al., 2021). In Nigerian primary healthcare settings, gaps in knowledge and inadequate training have been linked to suboptimal delivery of prenatal nutrition education, ultimately influencing maternal understanding and behavioural outcomes (Ibikunle et al., 2021). These findings emphasise that health education effectiveness is dependent not only on policy frameworks but also on frontline provider capacity.</w:t>
      </w:r>
    </w:p>
    <w:p w14:paraId="4AA89D55"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Evidence from Nigerian antenatal settings further suggests that health-worker responsiveness and empathy are associated with antenatal patient satisfaction, indicating that interpersonal communication remains an important component of acceptable maternal care (Gift et al., 2025).</w:t>
      </w:r>
    </w:p>
    <w:p w14:paraId="41A8B1A1"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 xml:space="preserve">Nevertheless, health workers operate within complex institutional and systemic environments that may either enable or constrain their performance. High patient volumes, workforce shortages, limited educational materials, time constraints, and inadequate infrastructural support can compromise the depth and interactivity of health education sessions. A systematic review examining barriers to adequate antenatal care utilisation in low-resource settings identified structural </w:t>
      </w:r>
      <w:r w:rsidRPr="00297679">
        <w:lastRenderedPageBreak/>
        <w:t>deficiencies, weak referral systems, and limited provider-client interaction time as recurring challenges (Ali et al., 2025). Furthermore, evidence from health workforce studies suggests that motivational factors, including recognition, career progression opportunities, availability of supplies, and workload balance, significantly influence performance outcomes (Sheikh et al., 2026). When health workers experience burnout or dissatisfaction, the quality of health education delivery may be adversely affected.</w:t>
      </w:r>
    </w:p>
    <w:p w14:paraId="7FB33411"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In Nigeria, maternal healthcare delivery is embedded within a multi-tiered health system characterised by variability in infrastructure, funding, and institutional capacity. While numerous studies have focused on maternal service utilisation rates, immunisation coverage, and patient satisfaction (Isika et al., 2025), relatively limited attention has been given to understanding the lived experiences of health workers responsible for delivering women’s health education, particularly within tertiary healthcare institutions. Yet, these providers are instrumental in shaping maternal knowledge, influencing health behaviours, and reinforcing preventive practices across antenatal and immunisation settings.</w:t>
      </w:r>
    </w:p>
    <w:p w14:paraId="18E1746D"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Alex Ekwueme Federal University Teaching Hospital serves as a major referral and teaching hospital in Ebonyi State, catering to a diverse population of pregnant and postpartum women. As a tertiary institution, it is expected to maintain high standards of maternal healthcare delivery, including structured, evidence-based health education. However, tertiary settings often experience high client loads, referral complexities, academic responsibilities, and resource allocation challenges that may influence how health education sessions are conducted. Institutional culture, staffing ratios, availability of educational aids, and supervisory mechanisms may all shape the experiences of health workers delivering maternal education.</w:t>
      </w:r>
    </w:p>
    <w:p w14:paraId="1C3C4401"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Although the existing literature clearly establishes the benefits of antenatal education and highlights the importance of immunisation services, there remains a paucity of qualitative, context-specific research exploring how health workers experience the process of delivering women’s health education within both antenatal and immunisation clinics in tertiary institutions in South-Eastern Nigeria. Much of the current evidence is quantitative and outcome-focused, with limited exploration of provider perspectives, emotional labour, institutional dynamics, and systemic influences.</w:t>
      </w:r>
    </w:p>
    <w:p w14:paraId="4F099C00"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Understanding these lived experiences is essential because the effectiveness of maternal health education depends not only on curriculum content but also on the realities of implementation. Health workers’ perceptions of their roles, the challenges they encounter, and the motivating or enabling factors within their environment directly influence the depth, clarity, and consistency of education provided to women.</w:t>
      </w:r>
    </w:p>
    <w:p w14:paraId="3EB28A56" w14:textId="77777777" w:rsidR="00FC2F8E" w:rsidRPr="00297679" w:rsidRDefault="00AE16DB">
      <w:pPr>
        <w:spacing w:before="100" w:beforeAutospacing="1" w:after="100" w:afterAutospacing="1"/>
        <w:jc w:val="both"/>
        <w:rPr>
          <w:rFonts w:ascii="Times New Roman" w:eastAsia="Times New Roman" w:hAnsi="Times New Roman" w:cs="Times New Roman"/>
          <w:sz w:val="24"/>
          <w:szCs w:val="24"/>
        </w:rPr>
      </w:pPr>
      <w:r w:rsidRPr="00297679">
        <w:t>Therefore, this study seeks to explore the lived experiences of health workers in delivering women’s health education during antenatal and immunisation clinics in AE-FUTHA, Ebonyi State. By identifying the challenges, individual and institutional constraints, and enabling systemic factors influencing education delivery, the study aims to generate context-specific evidence that can inform institutional improvements, strengthen health worker support systems, and ultimately enhance maternal and child health outcomes.</w:t>
      </w:r>
    </w:p>
    <w:p w14:paraId="6271D304" w14:textId="77777777" w:rsidR="00694096" w:rsidRPr="00297679" w:rsidRDefault="00000000">
      <w:pPr>
        <w:spacing w:before="100" w:beforeAutospacing="1" w:after="100" w:afterAutospacing="1"/>
        <w:jc w:val="both"/>
        <w:rPr>
          <w:rFonts w:ascii="Times New Roman" w:eastAsia="Times New Roman" w:hAnsi="Times New Roman" w:cs="Times New Roman"/>
          <w:sz w:val="24"/>
          <w:szCs w:val="24"/>
        </w:rPr>
      </w:pPr>
      <w:r w:rsidRPr="00297679">
        <w:t>Therefore, a provider-focused examination of women’s health education in both antenatal and immunisation clinics is necessary to clarify how health workers’ experiences, institutional conditions, and client-related barriers interact within the AE-FUTHA context.</w:t>
      </w:r>
    </w:p>
    <w:p w14:paraId="43B92F1F" w14:textId="77777777" w:rsidR="00FC2F8E" w:rsidRPr="00297679" w:rsidRDefault="00AE16DB">
      <w:pPr>
        <w:pStyle w:val="Heading2"/>
        <w:spacing w:line="240" w:lineRule="auto"/>
      </w:pPr>
      <w:bookmarkStart w:id="2" w:name="_Toc23129"/>
      <w:r w:rsidRPr="00297679">
        <w:rPr>
          <w:rStyle w:val="Strong"/>
          <w:b/>
          <w:bCs/>
        </w:rPr>
        <w:t>1.3 Aim of the Study</w:t>
      </w:r>
      <w:bookmarkEnd w:id="2"/>
    </w:p>
    <w:p w14:paraId="32519CF7"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main aim of this study is to explore the experiences of health workers in delivering women’s health education during antenatal and immunisation clinics in AE-FUTHA, Ebonyi State.</w:t>
      </w:r>
    </w:p>
    <w:p w14:paraId="7FFF8E5C" w14:textId="77777777" w:rsidR="00FC2F8E" w:rsidRPr="00297679" w:rsidRDefault="00AE16DB">
      <w:pPr>
        <w:pStyle w:val="Heading2"/>
        <w:spacing w:line="240" w:lineRule="auto"/>
      </w:pPr>
      <w:bookmarkStart w:id="3" w:name="_Toc26552"/>
      <w:r w:rsidRPr="00297679">
        <w:rPr>
          <w:rStyle w:val="Strong"/>
          <w:b/>
          <w:bCs/>
        </w:rPr>
        <w:t>1.4 Specific Objectives</w:t>
      </w:r>
      <w:bookmarkEnd w:id="3"/>
    </w:p>
    <w:p w14:paraId="0A056F70" w14:textId="77777777" w:rsidR="00FC2F8E" w:rsidRPr="00297679" w:rsidRDefault="00AE16DB">
      <w:pPr>
        <w:pStyle w:val="ListParagraph"/>
        <w:numPr>
          <w:ilvl w:val="0"/>
          <w:numId w:val="1"/>
        </w:numPr>
        <w:spacing w:before="100" w:beforeAutospacing="1" w:after="100" w:afterAutospacing="1"/>
        <w:jc w:val="both"/>
        <w:rPr>
          <w:rFonts w:ascii="Times New Roman" w:hAnsi="Times New Roman" w:cs="Times New Roman"/>
          <w:sz w:val="24"/>
          <w:szCs w:val="24"/>
        </w:rPr>
      </w:pPr>
      <w:r w:rsidRPr="00297679">
        <w:t>To explore the lived experiences of health workers in delivering women’s health education during antenatal and immunisation clinics in AE-FUTHA, Ebonyi State.</w:t>
      </w:r>
    </w:p>
    <w:p w14:paraId="0D90D3AA" w14:textId="77777777" w:rsidR="00FC2F8E" w:rsidRPr="00297679" w:rsidRDefault="00AE16DB">
      <w:pPr>
        <w:pStyle w:val="ListParagraph"/>
        <w:numPr>
          <w:ilvl w:val="0"/>
          <w:numId w:val="1"/>
        </w:numPr>
        <w:spacing w:before="100" w:beforeAutospacing="1" w:after="100" w:afterAutospacing="1"/>
        <w:jc w:val="both"/>
        <w:rPr>
          <w:rStyle w:val="Strong"/>
          <w:b w:val="0"/>
          <w:bCs w:val="0"/>
        </w:rPr>
      </w:pPr>
      <w:bookmarkStart w:id="4" w:name="_Toc17438"/>
      <w:r w:rsidRPr="00297679">
        <w:t>To identify the challenges encountered by health workers during women’s health education sessions in antenatal and immunisation clinics.</w:t>
      </w:r>
    </w:p>
    <w:p w14:paraId="0814C82D" w14:textId="77777777" w:rsidR="00FC2F8E" w:rsidRPr="00297679" w:rsidRDefault="00AE16DB">
      <w:pPr>
        <w:spacing w:before="100" w:beforeAutospacing="1" w:after="100" w:afterAutospacing="1"/>
        <w:jc w:val="both"/>
        <w:rPr>
          <w:b/>
        </w:rPr>
      </w:pPr>
      <w:r w:rsidRPr="00297679">
        <w:rPr>
          <w:rFonts w:ascii="Calibri"/>
          <w:b/>
        </w:rPr>
        <w:t>RESEARCH METHODOLOGY</w:t>
      </w:r>
      <w:bookmarkEnd w:id="4"/>
    </w:p>
    <w:p w14:paraId="2050084B" w14:textId="77777777" w:rsidR="00FC2F8E" w:rsidRPr="00297679" w:rsidRDefault="00AE16DB">
      <w:pPr>
        <w:pStyle w:val="Heading1"/>
        <w:spacing w:line="240" w:lineRule="auto"/>
        <w:jc w:val="both"/>
        <w:rPr>
          <w:rFonts w:eastAsiaTheme="minorEastAsia"/>
          <w:b w:val="0"/>
          <w:bCs w:val="0"/>
          <w:szCs w:val="24"/>
        </w:rPr>
      </w:pPr>
      <w:bookmarkStart w:id="5" w:name="_Toc24829"/>
      <w:r w:rsidRPr="00297679">
        <w:lastRenderedPageBreak/>
        <w:t>The study employed a mixed-methods research design that used both quantitative and qualitative approaches. Women’s health education at AE-FUTHA involved the entire population of health workers directly offering maternal health education during antenatal and immunisation clinics. The overall population included seventy-nine (79) health workers. For the quantitative component, a census was used as the sampling technique, involving all eligible health workers. The use of a census ensured that every cadre of health worker involved in educating women was adequately represented in the study, thereby reducing sampling bias. The qualitative component did not use a fixed sample size; instead, in-depth interviews continued until data saturation was reached, when no new themes or revelations emerged from additional interviews. This ensured depth and richness of information while avoiding redundancy. A pretest was conducted among health workers at David Umahi Federal University Teaching Hospital (DUFHUS), Uburu, which was similar to AE-FUTHA and sufficiently distant from the study area to avoid contamination of the main study population. The pilot test included 10% of the total population (7 copies). An attempt was also made to determine the reliability of the quantitative instrument by using the test-retest method to assess its stability over time. The questionnaire was initially administered to the selected respondents. One week later, the instrument was re-administered under the same conditions. The two sets of responses were entered into SPSS version 30. Internal consistency was determined using Cronbach’s alpha coefficient, which is generally accepted for measuring the internal consistency reliability of Likert-scale instruments. A coefficient value between 0.87 and 0.93 is considered promising, and a value above 0.93 is particularly good. A Cronbach’s alpha value of 0.93 was obtained, indicating good reliability for use in the main study.</w:t>
      </w:r>
    </w:p>
    <w:bookmarkEnd w:id="5"/>
    <w:p w14:paraId="395AE396" w14:textId="77777777" w:rsidR="00FC2F8E" w:rsidRPr="00297679" w:rsidRDefault="00AE16DB">
      <w:pPr>
        <w:pStyle w:val="Heading1"/>
        <w:spacing w:line="240" w:lineRule="auto"/>
        <w:jc w:val="left"/>
      </w:pPr>
      <w:r w:rsidRPr="00297679">
        <w:t>RESULTS AND DISCUSSION</w:t>
      </w:r>
    </w:p>
    <w:p w14:paraId="6ED9D020"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results of the data analysis are presented in this section along with their interpretations. Of the seventy-nine (79) copies of the questionnaire that were provided, seventy-six (96.2%) were returned, correctly completed, and suitable for analysis.</w:t>
      </w:r>
    </w:p>
    <w:p w14:paraId="35124546" w14:textId="77777777" w:rsidR="00FC2F8E" w:rsidRPr="00297679" w:rsidRDefault="00AE16DB">
      <w:pPr>
        <w:pStyle w:val="Heading2"/>
        <w:spacing w:line="240" w:lineRule="auto"/>
      </w:pPr>
      <w:bookmarkStart w:id="6" w:name="_Toc13854"/>
      <w:r w:rsidRPr="00297679">
        <w:t>4.1</w:t>
      </w:r>
      <w:r w:rsidRPr="00297679">
        <w:tab/>
        <w:t>Results and Analysis</w:t>
      </w:r>
      <w:bookmarkEnd w:id="6"/>
      <w:r w:rsidRPr="00297679">
        <w:t xml:space="preserve"> </w:t>
      </w:r>
    </w:p>
    <w:p w14:paraId="18F86CC4" w14:textId="77777777" w:rsidR="00FC2F8E" w:rsidRPr="00297679" w:rsidRDefault="00AE16DB">
      <w:pPr>
        <w:pStyle w:val="Heading3"/>
        <w:spacing w:line="240" w:lineRule="auto"/>
      </w:pPr>
      <w:bookmarkStart w:id="7" w:name="_Toc5296"/>
      <w:r w:rsidRPr="00297679">
        <w:t>4.1.1</w:t>
      </w:r>
      <w:r w:rsidRPr="00297679">
        <w:tab/>
        <w:t>Results and Analysis of Quantitative Data</w:t>
      </w:r>
      <w:bookmarkEnd w:id="7"/>
    </w:p>
    <w:p w14:paraId="0D7168FB" w14:textId="77777777" w:rsidR="00FC2F8E" w:rsidRPr="00297679" w:rsidRDefault="00AE16DB">
      <w:pPr>
        <w:pStyle w:val="Title"/>
      </w:pPr>
      <w:bookmarkStart w:id="8" w:name="_Toc224670844"/>
      <w:r w:rsidRPr="00297679">
        <w:rPr>
          <w:rStyle w:val="BookTitle1"/>
          <w:b/>
          <w:bCs/>
        </w:rPr>
        <w:t xml:space="preserve">Table </w:t>
      </w:r>
      <w:r w:rsidRPr="00297679">
        <w:rPr>
          <w:rStyle w:val="BookTitle1"/>
          <w:b/>
          <w:bCs/>
        </w:rPr>
        <w:fldChar w:fldCharType="begin"/>
      </w:r>
      <w:r w:rsidRPr="00297679">
        <w:rPr>
          <w:rStyle w:val="BookTitle1"/>
          <w:b/>
          <w:bCs/>
        </w:rPr>
        <w:instrText xml:space="preserve"> SEQ Table \* ARABIC </w:instrText>
      </w:r>
      <w:r w:rsidRPr="00297679">
        <w:rPr>
          <w:rStyle w:val="BookTitle1"/>
          <w:b/>
          <w:bCs/>
        </w:rPr>
        <w:fldChar w:fldCharType="separate"/>
      </w:r>
      <w:r w:rsidRPr="00297679">
        <w:rPr>
          <w:rStyle w:val="BookTitle1"/>
          <w:b/>
          <w:bCs/>
        </w:rPr>
        <w:t>1</w:t>
      </w:r>
      <w:r w:rsidRPr="00297679">
        <w:rPr>
          <w:rStyle w:val="BookTitle1"/>
          <w:b/>
          <w:bCs/>
        </w:rPr>
        <w:fldChar w:fldCharType="end"/>
      </w:r>
      <w:r w:rsidRPr="00297679">
        <w:t>: Sociodemographic Characteristics of Health Workers in AEFUTHA Ebonyi State</w:t>
      </w:r>
      <w:bookmarkEnd w:id="8"/>
    </w:p>
    <w:tbl>
      <w:tblPr>
        <w:tblStyle w:val="TableGrid"/>
        <w:tblW w:w="9498" w:type="dxa"/>
        <w:tblInd w:w="0" w:type="dxa"/>
        <w:tblBorders>
          <w:top w:val="single" w:sz="12" w:space="0" w:color="auto"/>
          <w:left w:val="none" w:sz="4" w:space="0" w:color="auto"/>
          <w:bottom w:val="single" w:sz="12" w:space="0" w:color="auto"/>
          <w:right w:val="none" w:sz="4" w:space="0" w:color="auto"/>
          <w:insideH w:val="none" w:sz="4" w:space="0" w:color="auto"/>
          <w:insideV w:val="none" w:sz="4" w:space="0" w:color="auto"/>
        </w:tblBorders>
        <w:tblLook w:val="04A0" w:firstRow="1" w:lastRow="0" w:firstColumn="1" w:lastColumn="0" w:noHBand="0" w:noVBand="1"/>
      </w:tblPr>
      <w:tblGrid>
        <w:gridCol w:w="5670"/>
        <w:gridCol w:w="2115"/>
        <w:gridCol w:w="1713"/>
      </w:tblGrid>
      <w:tr w:rsidR="00FC2F8E" w:rsidRPr="00297679" w14:paraId="43C4D745" w14:textId="77777777">
        <w:tc>
          <w:tcPr>
            <w:tcW w:w="5670" w:type="dxa"/>
            <w:tcBorders>
              <w:top w:val="single" w:sz="12" w:space="0" w:color="auto"/>
              <w:left w:val="none" w:sz="0" w:space="0" w:color="000000"/>
              <w:bottom w:val="single" w:sz="12" w:space="0" w:color="auto"/>
              <w:right w:val="none" w:sz="0" w:space="0" w:color="000000"/>
            </w:tcBorders>
          </w:tcPr>
          <w:p w14:paraId="52D52D7D"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Characteristics</w:t>
            </w:r>
          </w:p>
        </w:tc>
        <w:tc>
          <w:tcPr>
            <w:tcW w:w="2115" w:type="dxa"/>
            <w:tcBorders>
              <w:top w:val="single" w:sz="12" w:space="0" w:color="auto"/>
              <w:left w:val="none" w:sz="0" w:space="0" w:color="000000"/>
              <w:bottom w:val="single" w:sz="12" w:space="0" w:color="auto"/>
              <w:right w:val="none" w:sz="0" w:space="0" w:color="000000"/>
            </w:tcBorders>
          </w:tcPr>
          <w:p w14:paraId="573EF91D"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Frequency</w:t>
            </w:r>
          </w:p>
        </w:tc>
        <w:tc>
          <w:tcPr>
            <w:tcW w:w="1713" w:type="dxa"/>
            <w:tcBorders>
              <w:top w:val="single" w:sz="12" w:space="0" w:color="auto"/>
              <w:left w:val="none" w:sz="0" w:space="0" w:color="000000"/>
              <w:bottom w:val="single" w:sz="12" w:space="0" w:color="auto"/>
              <w:right w:val="none" w:sz="0" w:space="0" w:color="000000"/>
            </w:tcBorders>
          </w:tcPr>
          <w:p w14:paraId="25E7AC2C"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Calibri" w:hAnsi="Times New Roman" w:cs="Times New Roman" w:hint="default"/>
                <w:b/>
                <w:bCs/>
                <w:sz w:val="24"/>
                <w:szCs w:val="24"/>
              </w:rPr>
              <w:t>Percentage</w:t>
            </w:r>
          </w:p>
        </w:tc>
      </w:tr>
      <w:tr w:rsidR="00FC2F8E" w:rsidRPr="00297679" w14:paraId="508D22E4" w14:textId="77777777">
        <w:tc>
          <w:tcPr>
            <w:tcW w:w="5670" w:type="dxa"/>
            <w:tcBorders>
              <w:top w:val="none" w:sz="0" w:space="0" w:color="000000"/>
              <w:left w:val="none" w:sz="0" w:space="0" w:color="000000"/>
              <w:bottom w:val="none" w:sz="0" w:space="0" w:color="000000"/>
              <w:right w:val="none" w:sz="0" w:space="0" w:color="000000"/>
            </w:tcBorders>
            <w:vAlign w:val="bottom"/>
          </w:tcPr>
          <w:p w14:paraId="71835040"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Age (Years)</w:t>
            </w:r>
          </w:p>
        </w:tc>
        <w:tc>
          <w:tcPr>
            <w:tcW w:w="2115" w:type="dxa"/>
            <w:tcBorders>
              <w:top w:val="none" w:sz="0" w:space="0" w:color="000000"/>
              <w:left w:val="none" w:sz="0" w:space="0" w:color="000000"/>
              <w:bottom w:val="none" w:sz="0" w:space="0" w:color="000000"/>
              <w:right w:val="none" w:sz="0" w:space="0" w:color="000000"/>
            </w:tcBorders>
            <w:vAlign w:val="bottom"/>
          </w:tcPr>
          <w:p w14:paraId="55AA8D7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0B016BB1"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4BAF2CFA" w14:textId="77777777">
        <w:tc>
          <w:tcPr>
            <w:tcW w:w="5670" w:type="dxa"/>
            <w:tcBorders>
              <w:top w:val="none" w:sz="0" w:space="0" w:color="000000"/>
              <w:left w:val="none" w:sz="0" w:space="0" w:color="000000"/>
              <w:bottom w:val="none" w:sz="0" w:space="0" w:color="000000"/>
              <w:right w:val="none" w:sz="0" w:space="0" w:color="000000"/>
            </w:tcBorders>
            <w:vAlign w:val="bottom"/>
          </w:tcPr>
          <w:p w14:paraId="51806A8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20 - 29</w:t>
            </w:r>
          </w:p>
        </w:tc>
        <w:tc>
          <w:tcPr>
            <w:tcW w:w="2115" w:type="dxa"/>
            <w:tcBorders>
              <w:top w:val="none" w:sz="0" w:space="0" w:color="000000"/>
              <w:left w:val="none" w:sz="0" w:space="0" w:color="000000"/>
              <w:bottom w:val="none" w:sz="0" w:space="0" w:color="000000"/>
              <w:right w:val="none" w:sz="0" w:space="0" w:color="000000"/>
            </w:tcBorders>
            <w:vAlign w:val="bottom"/>
          </w:tcPr>
          <w:p w14:paraId="4682C35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21</w:t>
            </w:r>
          </w:p>
        </w:tc>
        <w:tc>
          <w:tcPr>
            <w:tcW w:w="1713" w:type="dxa"/>
            <w:tcBorders>
              <w:top w:val="none" w:sz="0" w:space="0" w:color="000000"/>
              <w:left w:val="none" w:sz="0" w:space="0" w:color="000000"/>
              <w:bottom w:val="none" w:sz="0" w:space="0" w:color="000000"/>
              <w:right w:val="none" w:sz="0" w:space="0" w:color="000000"/>
            </w:tcBorders>
            <w:vAlign w:val="bottom"/>
          </w:tcPr>
          <w:p w14:paraId="218D7ADD"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27.6</w:t>
            </w:r>
          </w:p>
        </w:tc>
      </w:tr>
      <w:tr w:rsidR="00FC2F8E" w:rsidRPr="00297679" w14:paraId="32DB7049" w14:textId="77777777">
        <w:tc>
          <w:tcPr>
            <w:tcW w:w="5670" w:type="dxa"/>
            <w:tcBorders>
              <w:top w:val="none" w:sz="0" w:space="0" w:color="000000"/>
              <w:left w:val="none" w:sz="0" w:space="0" w:color="000000"/>
              <w:bottom w:val="none" w:sz="0" w:space="0" w:color="000000"/>
              <w:right w:val="none" w:sz="0" w:space="0" w:color="000000"/>
            </w:tcBorders>
            <w:vAlign w:val="bottom"/>
          </w:tcPr>
          <w:p w14:paraId="1A5D519B"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30 - 39</w:t>
            </w:r>
          </w:p>
        </w:tc>
        <w:tc>
          <w:tcPr>
            <w:tcW w:w="2115" w:type="dxa"/>
            <w:tcBorders>
              <w:top w:val="none" w:sz="0" w:space="0" w:color="000000"/>
              <w:left w:val="none" w:sz="0" w:space="0" w:color="000000"/>
              <w:bottom w:val="none" w:sz="0" w:space="0" w:color="000000"/>
              <w:right w:val="none" w:sz="0" w:space="0" w:color="000000"/>
            </w:tcBorders>
            <w:vAlign w:val="bottom"/>
          </w:tcPr>
          <w:p w14:paraId="0910788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17</w:t>
            </w:r>
          </w:p>
        </w:tc>
        <w:tc>
          <w:tcPr>
            <w:tcW w:w="1713" w:type="dxa"/>
            <w:tcBorders>
              <w:top w:val="none" w:sz="0" w:space="0" w:color="000000"/>
              <w:left w:val="none" w:sz="0" w:space="0" w:color="000000"/>
              <w:bottom w:val="none" w:sz="0" w:space="0" w:color="000000"/>
              <w:right w:val="none" w:sz="0" w:space="0" w:color="000000"/>
            </w:tcBorders>
            <w:vAlign w:val="bottom"/>
          </w:tcPr>
          <w:p w14:paraId="57ECCF5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22.4</w:t>
            </w:r>
          </w:p>
        </w:tc>
      </w:tr>
      <w:tr w:rsidR="00FC2F8E" w:rsidRPr="00297679" w14:paraId="0DCA3346" w14:textId="77777777">
        <w:tc>
          <w:tcPr>
            <w:tcW w:w="5670" w:type="dxa"/>
            <w:tcBorders>
              <w:top w:val="none" w:sz="0" w:space="0" w:color="000000"/>
              <w:left w:val="none" w:sz="0" w:space="0" w:color="000000"/>
              <w:bottom w:val="none" w:sz="0" w:space="0" w:color="000000"/>
              <w:right w:val="none" w:sz="0" w:space="0" w:color="000000"/>
            </w:tcBorders>
            <w:vAlign w:val="bottom"/>
          </w:tcPr>
          <w:p w14:paraId="276F6A07"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40 - 49</w:t>
            </w:r>
          </w:p>
        </w:tc>
        <w:tc>
          <w:tcPr>
            <w:tcW w:w="2115" w:type="dxa"/>
            <w:tcBorders>
              <w:top w:val="none" w:sz="0" w:space="0" w:color="000000"/>
              <w:left w:val="none" w:sz="0" w:space="0" w:color="000000"/>
              <w:bottom w:val="none" w:sz="0" w:space="0" w:color="000000"/>
              <w:right w:val="none" w:sz="0" w:space="0" w:color="000000"/>
            </w:tcBorders>
            <w:vAlign w:val="bottom"/>
          </w:tcPr>
          <w:p w14:paraId="7843494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28</w:t>
            </w:r>
          </w:p>
        </w:tc>
        <w:tc>
          <w:tcPr>
            <w:tcW w:w="1713" w:type="dxa"/>
            <w:tcBorders>
              <w:top w:val="none" w:sz="0" w:space="0" w:color="000000"/>
              <w:left w:val="none" w:sz="0" w:space="0" w:color="000000"/>
              <w:bottom w:val="none" w:sz="0" w:space="0" w:color="000000"/>
              <w:right w:val="none" w:sz="0" w:space="0" w:color="000000"/>
            </w:tcBorders>
            <w:vAlign w:val="bottom"/>
          </w:tcPr>
          <w:p w14:paraId="485F5EF2"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36.8</w:t>
            </w:r>
          </w:p>
        </w:tc>
      </w:tr>
      <w:tr w:rsidR="00FC2F8E" w:rsidRPr="00297679" w14:paraId="021F3117" w14:textId="77777777">
        <w:tc>
          <w:tcPr>
            <w:tcW w:w="5670" w:type="dxa"/>
            <w:tcBorders>
              <w:top w:val="none" w:sz="0" w:space="0" w:color="000000"/>
              <w:left w:val="none" w:sz="0" w:space="0" w:color="000000"/>
              <w:bottom w:val="none" w:sz="0" w:space="0" w:color="000000"/>
              <w:right w:val="none" w:sz="0" w:space="0" w:color="000000"/>
            </w:tcBorders>
            <w:vAlign w:val="bottom"/>
          </w:tcPr>
          <w:p w14:paraId="211DB13D"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50 and above</w:t>
            </w:r>
          </w:p>
        </w:tc>
        <w:tc>
          <w:tcPr>
            <w:tcW w:w="2115" w:type="dxa"/>
            <w:tcBorders>
              <w:top w:val="none" w:sz="0" w:space="0" w:color="000000"/>
              <w:left w:val="none" w:sz="0" w:space="0" w:color="000000"/>
              <w:bottom w:val="none" w:sz="0" w:space="0" w:color="000000"/>
              <w:right w:val="none" w:sz="0" w:space="0" w:color="000000"/>
            </w:tcBorders>
            <w:vAlign w:val="bottom"/>
          </w:tcPr>
          <w:p w14:paraId="0B253C7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10</w:t>
            </w:r>
          </w:p>
        </w:tc>
        <w:tc>
          <w:tcPr>
            <w:tcW w:w="1713" w:type="dxa"/>
            <w:tcBorders>
              <w:top w:val="none" w:sz="0" w:space="0" w:color="000000"/>
              <w:left w:val="none" w:sz="0" w:space="0" w:color="000000"/>
              <w:bottom w:val="none" w:sz="0" w:space="0" w:color="000000"/>
              <w:right w:val="none" w:sz="0" w:space="0" w:color="000000"/>
            </w:tcBorders>
            <w:vAlign w:val="bottom"/>
          </w:tcPr>
          <w:p w14:paraId="2E8D69C3"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13.2</w:t>
            </w:r>
          </w:p>
        </w:tc>
      </w:tr>
      <w:tr w:rsidR="00FC2F8E" w:rsidRPr="00297679" w14:paraId="44200797" w14:textId="77777777">
        <w:tc>
          <w:tcPr>
            <w:tcW w:w="5670" w:type="dxa"/>
            <w:tcBorders>
              <w:top w:val="none" w:sz="0" w:space="0" w:color="000000"/>
              <w:left w:val="none" w:sz="0" w:space="0" w:color="000000"/>
              <w:bottom w:val="none" w:sz="0" w:space="0" w:color="000000"/>
              <w:right w:val="none" w:sz="0" w:space="0" w:color="000000"/>
            </w:tcBorders>
            <w:vAlign w:val="bottom"/>
          </w:tcPr>
          <w:p w14:paraId="01AAEB45"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Sex</w:t>
            </w:r>
          </w:p>
        </w:tc>
        <w:tc>
          <w:tcPr>
            <w:tcW w:w="2115" w:type="dxa"/>
            <w:tcBorders>
              <w:top w:val="none" w:sz="0" w:space="0" w:color="000000"/>
              <w:left w:val="none" w:sz="0" w:space="0" w:color="000000"/>
              <w:bottom w:val="none" w:sz="0" w:space="0" w:color="000000"/>
              <w:right w:val="none" w:sz="0" w:space="0" w:color="000000"/>
            </w:tcBorders>
            <w:vAlign w:val="bottom"/>
          </w:tcPr>
          <w:p w14:paraId="1510541E"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2E77C728"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35E96C27" w14:textId="77777777">
        <w:tc>
          <w:tcPr>
            <w:tcW w:w="5670" w:type="dxa"/>
            <w:tcBorders>
              <w:top w:val="none" w:sz="0" w:space="0" w:color="000000"/>
              <w:left w:val="none" w:sz="0" w:space="0" w:color="000000"/>
              <w:bottom w:val="none" w:sz="0" w:space="0" w:color="000000"/>
              <w:right w:val="none" w:sz="0" w:space="0" w:color="000000"/>
            </w:tcBorders>
            <w:vAlign w:val="bottom"/>
          </w:tcPr>
          <w:p w14:paraId="1BD00D1D"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Male</w:t>
            </w:r>
          </w:p>
        </w:tc>
        <w:tc>
          <w:tcPr>
            <w:tcW w:w="2115" w:type="dxa"/>
            <w:tcBorders>
              <w:top w:val="none" w:sz="0" w:space="0" w:color="000000"/>
              <w:left w:val="none" w:sz="0" w:space="0" w:color="000000"/>
              <w:bottom w:val="none" w:sz="0" w:space="0" w:color="000000"/>
              <w:right w:val="none" w:sz="0" w:space="0" w:color="000000"/>
            </w:tcBorders>
            <w:vAlign w:val="bottom"/>
          </w:tcPr>
          <w:p w14:paraId="1793E28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1F6662C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35D27265" w14:textId="77777777">
        <w:tc>
          <w:tcPr>
            <w:tcW w:w="5670" w:type="dxa"/>
            <w:tcBorders>
              <w:top w:val="none" w:sz="0" w:space="0" w:color="000000"/>
              <w:left w:val="none" w:sz="0" w:space="0" w:color="000000"/>
              <w:bottom w:val="none" w:sz="0" w:space="0" w:color="000000"/>
              <w:right w:val="none" w:sz="0" w:space="0" w:color="000000"/>
            </w:tcBorders>
            <w:vAlign w:val="bottom"/>
          </w:tcPr>
          <w:p w14:paraId="56E6DC8C"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Female</w:t>
            </w:r>
          </w:p>
        </w:tc>
        <w:tc>
          <w:tcPr>
            <w:tcW w:w="2115" w:type="dxa"/>
            <w:tcBorders>
              <w:top w:val="none" w:sz="0" w:space="0" w:color="000000"/>
              <w:left w:val="none" w:sz="0" w:space="0" w:color="000000"/>
              <w:bottom w:val="none" w:sz="0" w:space="0" w:color="000000"/>
              <w:right w:val="none" w:sz="0" w:space="0" w:color="000000"/>
            </w:tcBorders>
            <w:vAlign w:val="bottom"/>
          </w:tcPr>
          <w:p w14:paraId="71A7D28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72</w:t>
            </w:r>
          </w:p>
        </w:tc>
        <w:tc>
          <w:tcPr>
            <w:tcW w:w="1713" w:type="dxa"/>
            <w:tcBorders>
              <w:top w:val="none" w:sz="0" w:space="0" w:color="000000"/>
              <w:left w:val="none" w:sz="0" w:space="0" w:color="000000"/>
              <w:bottom w:val="none" w:sz="0" w:space="0" w:color="000000"/>
              <w:right w:val="none" w:sz="0" w:space="0" w:color="000000"/>
            </w:tcBorders>
            <w:vAlign w:val="bottom"/>
          </w:tcPr>
          <w:p w14:paraId="4E4485EB"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94.7</w:t>
            </w:r>
          </w:p>
        </w:tc>
      </w:tr>
      <w:tr w:rsidR="00FC2F8E" w:rsidRPr="00297679" w14:paraId="400FEE7D" w14:textId="77777777">
        <w:tc>
          <w:tcPr>
            <w:tcW w:w="5670" w:type="dxa"/>
            <w:tcBorders>
              <w:top w:val="none" w:sz="0" w:space="0" w:color="000000"/>
              <w:left w:val="none" w:sz="0" w:space="0" w:color="000000"/>
              <w:bottom w:val="none" w:sz="0" w:space="0" w:color="000000"/>
              <w:right w:val="none" w:sz="0" w:space="0" w:color="000000"/>
            </w:tcBorders>
            <w:vAlign w:val="bottom"/>
          </w:tcPr>
          <w:p w14:paraId="657B675A" w14:textId="77777777" w:rsidR="00FC2F8E" w:rsidRPr="00297679" w:rsidRDefault="00AE16DB">
            <w:pPr>
              <w:spacing w:before="100" w:beforeAutospacing="1" w:after="100" w:afterAutospacing="1"/>
              <w:jc w:val="both"/>
              <w:rPr>
                <w:rFonts w:ascii="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Professional cadre</w:t>
            </w:r>
          </w:p>
        </w:tc>
        <w:tc>
          <w:tcPr>
            <w:tcW w:w="2115" w:type="dxa"/>
            <w:tcBorders>
              <w:top w:val="none" w:sz="0" w:space="0" w:color="000000"/>
              <w:left w:val="none" w:sz="0" w:space="0" w:color="000000"/>
              <w:bottom w:val="none" w:sz="0" w:space="0" w:color="000000"/>
              <w:right w:val="none" w:sz="0" w:space="0" w:color="000000"/>
            </w:tcBorders>
            <w:vAlign w:val="bottom"/>
          </w:tcPr>
          <w:p w14:paraId="4A38DFA8"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02E90275"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45D0F926" w14:textId="77777777">
        <w:tc>
          <w:tcPr>
            <w:tcW w:w="5670" w:type="dxa"/>
            <w:tcBorders>
              <w:top w:val="none" w:sz="0" w:space="0" w:color="000000"/>
              <w:left w:val="none" w:sz="0" w:space="0" w:color="000000"/>
              <w:bottom w:val="none" w:sz="0" w:space="0" w:color="000000"/>
              <w:right w:val="none" w:sz="0" w:space="0" w:color="000000"/>
            </w:tcBorders>
            <w:vAlign w:val="bottom"/>
          </w:tcPr>
          <w:p w14:paraId="3E3CFCCA"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Nurse/Midwife</w:t>
            </w:r>
          </w:p>
        </w:tc>
        <w:tc>
          <w:tcPr>
            <w:tcW w:w="2115" w:type="dxa"/>
            <w:tcBorders>
              <w:top w:val="none" w:sz="0" w:space="0" w:color="000000"/>
              <w:left w:val="none" w:sz="0" w:space="0" w:color="000000"/>
              <w:bottom w:val="none" w:sz="0" w:space="0" w:color="000000"/>
              <w:right w:val="none" w:sz="0" w:space="0" w:color="000000"/>
            </w:tcBorders>
            <w:vAlign w:val="bottom"/>
          </w:tcPr>
          <w:p w14:paraId="44BAB7E2"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35</w:t>
            </w:r>
          </w:p>
        </w:tc>
        <w:tc>
          <w:tcPr>
            <w:tcW w:w="1713" w:type="dxa"/>
            <w:tcBorders>
              <w:top w:val="none" w:sz="0" w:space="0" w:color="000000"/>
              <w:left w:val="none" w:sz="0" w:space="0" w:color="000000"/>
              <w:bottom w:val="none" w:sz="0" w:space="0" w:color="000000"/>
              <w:right w:val="none" w:sz="0" w:space="0" w:color="000000"/>
            </w:tcBorders>
            <w:vAlign w:val="bottom"/>
          </w:tcPr>
          <w:p w14:paraId="4A2D4586"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46.1</w:t>
            </w:r>
          </w:p>
        </w:tc>
      </w:tr>
      <w:tr w:rsidR="00FC2F8E" w:rsidRPr="00297679" w14:paraId="2E7BEAEB" w14:textId="77777777">
        <w:tc>
          <w:tcPr>
            <w:tcW w:w="5670" w:type="dxa"/>
            <w:tcBorders>
              <w:top w:val="none" w:sz="0" w:space="0" w:color="000000"/>
              <w:left w:val="none" w:sz="0" w:space="0" w:color="000000"/>
              <w:bottom w:val="none" w:sz="0" w:space="0" w:color="000000"/>
              <w:right w:val="none" w:sz="0" w:space="0" w:color="000000"/>
            </w:tcBorders>
            <w:vAlign w:val="bottom"/>
          </w:tcPr>
          <w:p w14:paraId="7CF30DFA"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Dietician/Nutritionist</w:t>
            </w:r>
          </w:p>
        </w:tc>
        <w:tc>
          <w:tcPr>
            <w:tcW w:w="2115" w:type="dxa"/>
            <w:tcBorders>
              <w:top w:val="none" w:sz="0" w:space="0" w:color="000000"/>
              <w:left w:val="none" w:sz="0" w:space="0" w:color="000000"/>
              <w:bottom w:val="none" w:sz="0" w:space="0" w:color="000000"/>
              <w:right w:val="none" w:sz="0" w:space="0" w:color="000000"/>
            </w:tcBorders>
            <w:vAlign w:val="bottom"/>
          </w:tcPr>
          <w:p w14:paraId="136C3499"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30</w:t>
            </w:r>
          </w:p>
        </w:tc>
        <w:tc>
          <w:tcPr>
            <w:tcW w:w="1713" w:type="dxa"/>
            <w:tcBorders>
              <w:top w:val="none" w:sz="0" w:space="0" w:color="000000"/>
              <w:left w:val="none" w:sz="0" w:space="0" w:color="000000"/>
              <w:bottom w:val="none" w:sz="0" w:space="0" w:color="000000"/>
              <w:right w:val="none" w:sz="0" w:space="0" w:color="000000"/>
            </w:tcBorders>
            <w:vAlign w:val="bottom"/>
          </w:tcPr>
          <w:p w14:paraId="392A7FF7"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39.5</w:t>
            </w:r>
          </w:p>
        </w:tc>
      </w:tr>
      <w:tr w:rsidR="00FC2F8E" w:rsidRPr="00297679" w14:paraId="07786242" w14:textId="77777777">
        <w:tc>
          <w:tcPr>
            <w:tcW w:w="5670" w:type="dxa"/>
            <w:tcBorders>
              <w:top w:val="none" w:sz="0" w:space="0" w:color="000000"/>
              <w:left w:val="none" w:sz="0" w:space="0" w:color="000000"/>
              <w:bottom w:val="none" w:sz="0" w:space="0" w:color="000000"/>
              <w:right w:val="none" w:sz="0" w:space="0" w:color="000000"/>
            </w:tcBorders>
            <w:vAlign w:val="bottom"/>
          </w:tcPr>
          <w:p w14:paraId="62EFF816"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Health Educator</w:t>
            </w:r>
          </w:p>
        </w:tc>
        <w:tc>
          <w:tcPr>
            <w:tcW w:w="2115" w:type="dxa"/>
            <w:tcBorders>
              <w:top w:val="none" w:sz="0" w:space="0" w:color="000000"/>
              <w:left w:val="none" w:sz="0" w:space="0" w:color="000000"/>
              <w:bottom w:val="none" w:sz="0" w:space="0" w:color="000000"/>
              <w:right w:val="none" w:sz="0" w:space="0" w:color="000000"/>
            </w:tcBorders>
            <w:vAlign w:val="bottom"/>
          </w:tcPr>
          <w:p w14:paraId="2B0D3F1B"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363AC3DA"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2A64E4AC" w14:textId="77777777">
        <w:tc>
          <w:tcPr>
            <w:tcW w:w="5670" w:type="dxa"/>
            <w:tcBorders>
              <w:top w:val="none" w:sz="0" w:space="0" w:color="000000"/>
              <w:left w:val="none" w:sz="0" w:space="0" w:color="000000"/>
              <w:bottom w:val="none" w:sz="0" w:space="0" w:color="000000"/>
              <w:right w:val="none" w:sz="0" w:space="0" w:color="000000"/>
            </w:tcBorders>
            <w:vAlign w:val="bottom"/>
          </w:tcPr>
          <w:p w14:paraId="305E2C35" w14:textId="77777777" w:rsidR="00FC2F8E" w:rsidRPr="00297679" w:rsidRDefault="00AE16DB">
            <w:pPr>
              <w:spacing w:before="100" w:beforeAutospacing="1" w:after="100" w:afterAutospacing="1"/>
              <w:ind w:left="252"/>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Community Health Officer/Extention worker</w:t>
            </w:r>
          </w:p>
        </w:tc>
        <w:tc>
          <w:tcPr>
            <w:tcW w:w="2115" w:type="dxa"/>
            <w:tcBorders>
              <w:top w:val="none" w:sz="0" w:space="0" w:color="000000"/>
              <w:left w:val="none" w:sz="0" w:space="0" w:color="000000"/>
              <w:bottom w:val="none" w:sz="0" w:space="0" w:color="000000"/>
              <w:right w:val="none" w:sz="0" w:space="0" w:color="000000"/>
            </w:tcBorders>
            <w:vAlign w:val="bottom"/>
          </w:tcPr>
          <w:p w14:paraId="27D2C9DE"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5</w:t>
            </w:r>
          </w:p>
        </w:tc>
        <w:tc>
          <w:tcPr>
            <w:tcW w:w="1713" w:type="dxa"/>
            <w:tcBorders>
              <w:top w:val="none" w:sz="0" w:space="0" w:color="000000"/>
              <w:left w:val="none" w:sz="0" w:space="0" w:color="000000"/>
              <w:bottom w:val="none" w:sz="0" w:space="0" w:color="000000"/>
              <w:right w:val="none" w:sz="0" w:space="0" w:color="000000"/>
            </w:tcBorders>
            <w:vAlign w:val="bottom"/>
          </w:tcPr>
          <w:p w14:paraId="5C97109B" w14:textId="77777777" w:rsidR="00FC2F8E" w:rsidRPr="00297679" w:rsidRDefault="00AE16DB">
            <w:pPr>
              <w:spacing w:before="100" w:beforeAutospacing="1" w:after="100" w:afterAutospacing="1"/>
              <w:jc w:val="both"/>
              <w:rPr>
                <w:rFonts w:ascii="Times New Roman" w:hAnsi="Times New Roman" w:cs="Times New Roman" w:hint="default"/>
                <w:sz w:val="24"/>
                <w:szCs w:val="24"/>
              </w:rPr>
            </w:pPr>
            <w:r w:rsidRPr="00297679">
              <w:rPr>
                <w:rFonts w:ascii="Times New Roman" w:eastAsia="Times New Roman" w:hAnsi="Times New Roman" w:cs="Times New Roman" w:hint="default"/>
                <w:sz w:val="24"/>
                <w:szCs w:val="24"/>
              </w:rPr>
              <w:t>6.6</w:t>
            </w:r>
          </w:p>
        </w:tc>
      </w:tr>
      <w:tr w:rsidR="00FC2F8E" w:rsidRPr="00297679" w14:paraId="2AA3BF4E" w14:textId="77777777">
        <w:tc>
          <w:tcPr>
            <w:tcW w:w="5670" w:type="dxa"/>
            <w:tcBorders>
              <w:top w:val="none" w:sz="0" w:space="0" w:color="000000"/>
              <w:left w:val="none" w:sz="0" w:space="0" w:color="000000"/>
              <w:bottom w:val="none" w:sz="0" w:space="0" w:color="000000"/>
              <w:right w:val="none" w:sz="0" w:space="0" w:color="000000"/>
            </w:tcBorders>
            <w:vAlign w:val="bottom"/>
          </w:tcPr>
          <w:p w14:paraId="7BA5769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Physiotherapist</w:t>
            </w:r>
          </w:p>
        </w:tc>
        <w:tc>
          <w:tcPr>
            <w:tcW w:w="2115" w:type="dxa"/>
            <w:tcBorders>
              <w:top w:val="none" w:sz="0" w:space="0" w:color="000000"/>
              <w:left w:val="none" w:sz="0" w:space="0" w:color="000000"/>
              <w:bottom w:val="none" w:sz="0" w:space="0" w:color="000000"/>
              <w:right w:val="none" w:sz="0" w:space="0" w:color="000000"/>
            </w:tcBorders>
            <w:vAlign w:val="bottom"/>
          </w:tcPr>
          <w:p w14:paraId="15C2A1F3"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w:t>
            </w:r>
          </w:p>
        </w:tc>
        <w:tc>
          <w:tcPr>
            <w:tcW w:w="1713" w:type="dxa"/>
            <w:tcBorders>
              <w:top w:val="none" w:sz="0" w:space="0" w:color="000000"/>
              <w:left w:val="none" w:sz="0" w:space="0" w:color="000000"/>
              <w:bottom w:val="none" w:sz="0" w:space="0" w:color="000000"/>
              <w:right w:val="none" w:sz="0" w:space="0" w:color="000000"/>
            </w:tcBorders>
            <w:vAlign w:val="bottom"/>
          </w:tcPr>
          <w:p w14:paraId="66CB91C2"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2.5</w:t>
            </w:r>
          </w:p>
        </w:tc>
      </w:tr>
      <w:tr w:rsidR="00FC2F8E" w:rsidRPr="00297679" w14:paraId="4DBE98FB" w14:textId="77777777">
        <w:tc>
          <w:tcPr>
            <w:tcW w:w="5670" w:type="dxa"/>
            <w:tcBorders>
              <w:top w:val="none" w:sz="0" w:space="0" w:color="000000"/>
              <w:left w:val="none" w:sz="0" w:space="0" w:color="000000"/>
              <w:bottom w:val="none" w:sz="0" w:space="0" w:color="000000"/>
              <w:right w:val="none" w:sz="0" w:space="0" w:color="000000"/>
            </w:tcBorders>
            <w:vAlign w:val="bottom"/>
          </w:tcPr>
          <w:p w14:paraId="66EEE887" w14:textId="77777777" w:rsidR="00FC2F8E" w:rsidRPr="00297679" w:rsidRDefault="00AE16DB">
            <w:pPr>
              <w:spacing w:before="100" w:beforeAutospacing="1" w:after="100" w:afterAutospacing="1"/>
              <w:jc w:val="both"/>
              <w:rPr>
                <w:rFonts w:ascii="Times New Roman" w:eastAsia="Times New Roman" w:hAnsi="Times New Roman" w:cs="Times New Roman" w:hint="default"/>
                <w:b/>
                <w:bCs/>
                <w:sz w:val="24"/>
                <w:szCs w:val="24"/>
              </w:rPr>
            </w:pPr>
            <w:r w:rsidRPr="00297679">
              <w:rPr>
                <w:rFonts w:ascii="Times New Roman" w:eastAsia="Times New Roman" w:hAnsi="Times New Roman" w:cs="Times New Roman" w:hint="default"/>
                <w:b/>
                <w:bCs/>
                <w:sz w:val="24"/>
                <w:szCs w:val="24"/>
              </w:rPr>
              <w:t>Highest educational qualification</w:t>
            </w:r>
          </w:p>
        </w:tc>
        <w:tc>
          <w:tcPr>
            <w:tcW w:w="2115" w:type="dxa"/>
            <w:tcBorders>
              <w:top w:val="none" w:sz="0" w:space="0" w:color="000000"/>
              <w:left w:val="none" w:sz="0" w:space="0" w:color="000000"/>
              <w:bottom w:val="none" w:sz="0" w:space="0" w:color="000000"/>
              <w:right w:val="none" w:sz="0" w:space="0" w:color="000000"/>
            </w:tcBorders>
            <w:vAlign w:val="bottom"/>
          </w:tcPr>
          <w:p w14:paraId="765B7109"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c>
          <w:tcPr>
            <w:tcW w:w="1713" w:type="dxa"/>
            <w:tcBorders>
              <w:top w:val="none" w:sz="0" w:space="0" w:color="000000"/>
              <w:left w:val="none" w:sz="0" w:space="0" w:color="000000"/>
              <w:bottom w:val="none" w:sz="0" w:space="0" w:color="000000"/>
              <w:right w:val="none" w:sz="0" w:space="0" w:color="000000"/>
            </w:tcBorders>
            <w:vAlign w:val="bottom"/>
          </w:tcPr>
          <w:p w14:paraId="2D0C58F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 </w:t>
            </w:r>
          </w:p>
        </w:tc>
      </w:tr>
      <w:tr w:rsidR="00FC2F8E" w:rsidRPr="00297679" w14:paraId="2B0F7B3C" w14:textId="77777777">
        <w:tc>
          <w:tcPr>
            <w:tcW w:w="5670" w:type="dxa"/>
            <w:tcBorders>
              <w:top w:val="none" w:sz="0" w:space="0" w:color="000000"/>
              <w:left w:val="none" w:sz="0" w:space="0" w:color="000000"/>
              <w:bottom w:val="none" w:sz="0" w:space="0" w:color="000000"/>
              <w:right w:val="none" w:sz="0" w:space="0" w:color="000000"/>
            </w:tcBorders>
            <w:vAlign w:val="bottom"/>
          </w:tcPr>
          <w:p w14:paraId="23FFC26E"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Diploma</w:t>
            </w:r>
          </w:p>
        </w:tc>
        <w:tc>
          <w:tcPr>
            <w:tcW w:w="2115" w:type="dxa"/>
            <w:tcBorders>
              <w:top w:val="none" w:sz="0" w:space="0" w:color="000000"/>
              <w:left w:val="none" w:sz="0" w:space="0" w:color="000000"/>
              <w:bottom w:val="none" w:sz="0" w:space="0" w:color="000000"/>
              <w:right w:val="none" w:sz="0" w:space="0" w:color="000000"/>
            </w:tcBorders>
            <w:vAlign w:val="bottom"/>
          </w:tcPr>
          <w:p w14:paraId="25D2C95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14</w:t>
            </w:r>
          </w:p>
        </w:tc>
        <w:tc>
          <w:tcPr>
            <w:tcW w:w="1713" w:type="dxa"/>
            <w:tcBorders>
              <w:top w:val="none" w:sz="0" w:space="0" w:color="000000"/>
              <w:left w:val="none" w:sz="0" w:space="0" w:color="000000"/>
              <w:bottom w:val="none" w:sz="0" w:space="0" w:color="000000"/>
              <w:right w:val="none" w:sz="0" w:space="0" w:color="000000"/>
            </w:tcBorders>
            <w:vAlign w:val="bottom"/>
          </w:tcPr>
          <w:p w14:paraId="22838845"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18.4</w:t>
            </w:r>
          </w:p>
        </w:tc>
      </w:tr>
      <w:tr w:rsidR="00FC2F8E" w:rsidRPr="00297679" w14:paraId="1EC855FC" w14:textId="77777777">
        <w:tc>
          <w:tcPr>
            <w:tcW w:w="5670" w:type="dxa"/>
            <w:tcBorders>
              <w:top w:val="none" w:sz="0" w:space="0" w:color="000000"/>
              <w:left w:val="none" w:sz="0" w:space="0" w:color="000000"/>
              <w:bottom w:val="none" w:sz="0" w:space="0" w:color="000000"/>
              <w:right w:val="none" w:sz="0" w:space="0" w:color="000000"/>
            </w:tcBorders>
            <w:vAlign w:val="bottom"/>
          </w:tcPr>
          <w:p w14:paraId="0BF7812B"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B.Sc</w:t>
            </w:r>
          </w:p>
        </w:tc>
        <w:tc>
          <w:tcPr>
            <w:tcW w:w="2115" w:type="dxa"/>
            <w:tcBorders>
              <w:top w:val="none" w:sz="0" w:space="0" w:color="000000"/>
              <w:left w:val="none" w:sz="0" w:space="0" w:color="000000"/>
              <w:bottom w:val="none" w:sz="0" w:space="0" w:color="000000"/>
              <w:right w:val="none" w:sz="0" w:space="0" w:color="000000"/>
            </w:tcBorders>
            <w:vAlign w:val="bottom"/>
          </w:tcPr>
          <w:p w14:paraId="3123165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42</w:t>
            </w:r>
          </w:p>
        </w:tc>
        <w:tc>
          <w:tcPr>
            <w:tcW w:w="1713" w:type="dxa"/>
            <w:tcBorders>
              <w:top w:val="none" w:sz="0" w:space="0" w:color="000000"/>
              <w:left w:val="none" w:sz="0" w:space="0" w:color="000000"/>
              <w:bottom w:val="none" w:sz="0" w:space="0" w:color="000000"/>
              <w:right w:val="none" w:sz="0" w:space="0" w:color="000000"/>
            </w:tcBorders>
            <w:vAlign w:val="bottom"/>
          </w:tcPr>
          <w:p w14:paraId="2A1C67D6"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55.2</w:t>
            </w:r>
          </w:p>
        </w:tc>
      </w:tr>
      <w:tr w:rsidR="00FC2F8E" w:rsidRPr="00297679" w14:paraId="3CD23664" w14:textId="77777777">
        <w:tc>
          <w:tcPr>
            <w:tcW w:w="5670" w:type="dxa"/>
            <w:tcBorders>
              <w:top w:val="none" w:sz="0" w:space="0" w:color="000000"/>
              <w:left w:val="none" w:sz="0" w:space="0" w:color="000000"/>
              <w:bottom w:val="none" w:sz="0" w:space="0" w:color="000000"/>
              <w:right w:val="none" w:sz="0" w:space="0" w:color="000000"/>
            </w:tcBorders>
            <w:vAlign w:val="bottom"/>
          </w:tcPr>
          <w:p w14:paraId="069764D7"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Post-graduate Diploma</w:t>
            </w:r>
          </w:p>
        </w:tc>
        <w:tc>
          <w:tcPr>
            <w:tcW w:w="2115" w:type="dxa"/>
            <w:tcBorders>
              <w:top w:val="none" w:sz="0" w:space="0" w:color="000000"/>
              <w:left w:val="none" w:sz="0" w:space="0" w:color="000000"/>
              <w:bottom w:val="none" w:sz="0" w:space="0" w:color="000000"/>
              <w:right w:val="none" w:sz="0" w:space="0" w:color="000000"/>
            </w:tcBorders>
            <w:vAlign w:val="bottom"/>
          </w:tcPr>
          <w:p w14:paraId="790439BC"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none" w:sz="0" w:space="0" w:color="000000"/>
              <w:right w:val="none" w:sz="0" w:space="0" w:color="000000"/>
            </w:tcBorders>
            <w:vAlign w:val="bottom"/>
          </w:tcPr>
          <w:p w14:paraId="3227D2E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r w:rsidR="00FC2F8E" w:rsidRPr="00297679" w14:paraId="34FCC1C0" w14:textId="77777777">
        <w:tc>
          <w:tcPr>
            <w:tcW w:w="5670" w:type="dxa"/>
            <w:tcBorders>
              <w:top w:val="none" w:sz="0" w:space="0" w:color="000000"/>
              <w:left w:val="none" w:sz="0" w:space="0" w:color="000000"/>
              <w:bottom w:val="none" w:sz="0" w:space="0" w:color="000000"/>
              <w:right w:val="none" w:sz="0" w:space="0" w:color="000000"/>
            </w:tcBorders>
            <w:vAlign w:val="bottom"/>
          </w:tcPr>
          <w:p w14:paraId="677D71B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lastRenderedPageBreak/>
              <w:t>Master's Degree</w:t>
            </w:r>
          </w:p>
        </w:tc>
        <w:tc>
          <w:tcPr>
            <w:tcW w:w="2115" w:type="dxa"/>
            <w:tcBorders>
              <w:top w:val="none" w:sz="0" w:space="0" w:color="000000"/>
              <w:left w:val="none" w:sz="0" w:space="0" w:color="000000"/>
              <w:bottom w:val="none" w:sz="0" w:space="0" w:color="000000"/>
              <w:right w:val="none" w:sz="0" w:space="0" w:color="000000"/>
            </w:tcBorders>
            <w:vAlign w:val="bottom"/>
          </w:tcPr>
          <w:p w14:paraId="527F8B8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12</w:t>
            </w:r>
          </w:p>
        </w:tc>
        <w:tc>
          <w:tcPr>
            <w:tcW w:w="1713" w:type="dxa"/>
            <w:tcBorders>
              <w:top w:val="none" w:sz="0" w:space="0" w:color="000000"/>
              <w:left w:val="none" w:sz="0" w:space="0" w:color="000000"/>
              <w:bottom w:val="none" w:sz="0" w:space="0" w:color="000000"/>
              <w:right w:val="none" w:sz="0" w:space="0" w:color="000000"/>
            </w:tcBorders>
            <w:vAlign w:val="bottom"/>
          </w:tcPr>
          <w:p w14:paraId="0219DB3F"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15.8</w:t>
            </w:r>
          </w:p>
        </w:tc>
      </w:tr>
      <w:tr w:rsidR="00FC2F8E" w:rsidRPr="00297679" w14:paraId="17FFABE8" w14:textId="77777777">
        <w:tc>
          <w:tcPr>
            <w:tcW w:w="5670" w:type="dxa"/>
            <w:tcBorders>
              <w:top w:val="none" w:sz="0" w:space="0" w:color="000000"/>
              <w:left w:val="none" w:sz="0" w:space="0" w:color="000000"/>
              <w:bottom w:val="single" w:sz="4" w:space="0" w:color="auto"/>
              <w:right w:val="none" w:sz="0" w:space="0" w:color="000000"/>
            </w:tcBorders>
            <w:vAlign w:val="bottom"/>
          </w:tcPr>
          <w:p w14:paraId="5FA1AFA1" w14:textId="77777777" w:rsidR="00FC2F8E" w:rsidRPr="00297679" w:rsidRDefault="00AE16DB">
            <w:pPr>
              <w:spacing w:before="100" w:beforeAutospacing="1" w:after="100" w:afterAutospacing="1"/>
              <w:ind w:left="252"/>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Others (Specify)</w:t>
            </w:r>
          </w:p>
        </w:tc>
        <w:tc>
          <w:tcPr>
            <w:tcW w:w="2115" w:type="dxa"/>
            <w:tcBorders>
              <w:top w:val="none" w:sz="0" w:space="0" w:color="000000"/>
              <w:left w:val="none" w:sz="0" w:space="0" w:color="000000"/>
              <w:bottom w:val="single" w:sz="4" w:space="0" w:color="auto"/>
              <w:right w:val="none" w:sz="0" w:space="0" w:color="000000"/>
            </w:tcBorders>
            <w:vAlign w:val="bottom"/>
          </w:tcPr>
          <w:p w14:paraId="58DB8BE7"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4</w:t>
            </w:r>
          </w:p>
        </w:tc>
        <w:tc>
          <w:tcPr>
            <w:tcW w:w="1713" w:type="dxa"/>
            <w:tcBorders>
              <w:top w:val="none" w:sz="0" w:space="0" w:color="000000"/>
              <w:left w:val="none" w:sz="0" w:space="0" w:color="000000"/>
              <w:bottom w:val="single" w:sz="4" w:space="0" w:color="auto"/>
              <w:right w:val="none" w:sz="0" w:space="0" w:color="000000"/>
            </w:tcBorders>
            <w:vAlign w:val="bottom"/>
          </w:tcPr>
          <w:p w14:paraId="799303A4" w14:textId="77777777" w:rsidR="00FC2F8E" w:rsidRPr="00297679" w:rsidRDefault="00AE16DB">
            <w:pPr>
              <w:spacing w:before="100" w:beforeAutospacing="1" w:after="100" w:afterAutospacing="1"/>
              <w:jc w:val="both"/>
              <w:rPr>
                <w:rFonts w:ascii="Times New Roman" w:eastAsia="Times New Roman" w:hAnsi="Times New Roman" w:cs="Times New Roman" w:hint="default"/>
                <w:sz w:val="24"/>
                <w:szCs w:val="24"/>
              </w:rPr>
            </w:pPr>
            <w:r w:rsidRPr="00297679">
              <w:rPr>
                <w:rFonts w:ascii="Times New Roman" w:eastAsia="Times New Roman" w:hAnsi="Times New Roman" w:cs="Times New Roman" w:hint="default"/>
                <w:sz w:val="24"/>
                <w:szCs w:val="24"/>
              </w:rPr>
              <w:t>5.3</w:t>
            </w:r>
          </w:p>
        </w:tc>
      </w:tr>
    </w:tbl>
    <w:p w14:paraId="4672AA8A" w14:textId="77777777" w:rsidR="00FC2F8E" w:rsidRPr="00297679" w:rsidRDefault="00AE16DB">
      <w:pPr>
        <w:spacing w:before="100" w:beforeAutospacing="1" w:after="100" w:afterAutospacing="1"/>
        <w:jc w:val="both"/>
        <w:rPr>
          <w:rFonts w:ascii="Times New Roman" w:eastAsia="Calibri" w:hAnsi="Times New Roman" w:cs="Times New Roman"/>
          <w:sz w:val="24"/>
          <w:szCs w:val="24"/>
        </w:rPr>
      </w:pPr>
      <w:r w:rsidRPr="00297679">
        <w:t>Table 1 presents the sociodemographic characteristics of health workers at AEFUTHA, Ebonyi State, Nigeria. The majority were aged 40–49 years, 28 (36.8%), followed by 20–29 years, 21 (27.6%). Most respondents were female, 72 (94.7%), while 4 (5.3%) were male. Nurses/midwives, 35 (46.1%), and dieticians/nutritionists, 30 (39.5%), constituted the major professional cadres. The majority had B.Sc degrees, 42 (55.2%), followed by diplomas, 14 (18.4%), and master’s degrees, 12 (15.8%). Years of professional experience varied: less than 5 years, 25 (32.9%); 5–10 years, 16 (21.1%); 11–15 years, 17 (22.4%); and above 15 years, 18 (23.7%), as shown in Figure 1. Most respondents had worked in ANC/immunisation clinics for less than 1 year, 32 (42.1%), or 1–5 years, 30 (39.5%), while fewer had 6–10 years, 11 (14.5%), and above 10 years, 3 (3.9%).</w:t>
      </w:r>
    </w:p>
    <w:p w14:paraId="38054002"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rPr>
          <w:rFonts w:ascii="Calibri"/>
          <w:noProof/>
        </w:rPr>
        <w:drawing>
          <wp:inline distT="0" distB="0" distL="0" distR="0" wp14:anchorId="3D15C85A" wp14:editId="07B3E789">
            <wp:extent cx="5775959" cy="4777745"/>
            <wp:effectExtent l="0" t="0" r="15240" b="3810"/>
            <wp:docPr id="556553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755854" w14:textId="77777777" w:rsidR="00FC2F8E" w:rsidRPr="00297679" w:rsidRDefault="00AE16DB">
      <w:pPr>
        <w:pStyle w:val="Title"/>
      </w:pPr>
      <w:bookmarkStart w:id="9" w:name="_Toc224670966"/>
      <w:r w:rsidRPr="00297679">
        <w:t xml:space="preserve">Figure </w:t>
      </w:r>
      <w:r w:rsidR="00964562" w:rsidRPr="00297679">
        <w:t>1</w:t>
      </w:r>
      <w:r w:rsidRPr="00297679">
        <w:t>: Bar Chart Showing Years of Professional Experience among Health Workers in AEFUTHA Ebonyi State</w:t>
      </w:r>
      <w:bookmarkEnd w:id="9"/>
    </w:p>
    <w:p w14:paraId="7CCA72EB"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rPr>
          <w:rFonts w:ascii="Calibri"/>
          <w:noProof/>
        </w:rPr>
        <w:lastRenderedPageBreak/>
        <w:drawing>
          <wp:inline distT="0" distB="0" distL="0" distR="0" wp14:anchorId="1BC62726" wp14:editId="1BD88F02">
            <wp:extent cx="5806445" cy="4937754"/>
            <wp:effectExtent l="0" t="0" r="3810" b="15240"/>
            <wp:docPr id="20992169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A78A7E" w14:textId="77777777" w:rsidR="00FC2F8E" w:rsidRPr="00297679" w:rsidRDefault="00AE16DB">
      <w:pPr>
        <w:pStyle w:val="Title"/>
      </w:pPr>
      <w:bookmarkStart w:id="10" w:name="_Toc224670967"/>
      <w:r w:rsidRPr="00297679">
        <w:t xml:space="preserve">Figure </w:t>
      </w:r>
      <w:r w:rsidR="00964562" w:rsidRPr="00297679">
        <w:t>2</w:t>
      </w:r>
      <w:r w:rsidRPr="00297679">
        <w:t>: Bar Chart Showing Years of working in ANC/ Immunization clinics among Health Workers in AEFUTHA Ebonyi State</w:t>
      </w:r>
      <w:bookmarkEnd w:id="10"/>
    </w:p>
    <w:p w14:paraId="1F78FDFC" w14:textId="77777777" w:rsidR="00964562" w:rsidRPr="00297679" w:rsidRDefault="00964562">
      <w:pPr>
        <w:pStyle w:val="Title"/>
      </w:pPr>
      <w:bookmarkStart w:id="11" w:name="_Toc224670846"/>
    </w:p>
    <w:p w14:paraId="7FB469E9" w14:textId="77777777" w:rsidR="00FC2F8E" w:rsidRPr="00297679" w:rsidRDefault="00AE16DB">
      <w:pPr>
        <w:pStyle w:val="Title"/>
      </w:pPr>
      <w:r w:rsidRPr="00297679">
        <w:t xml:space="preserve">Table </w:t>
      </w:r>
      <w:fldSimple w:instr=" SEQ Table \* ARABIC ">
        <w:r w:rsidRPr="00297679">
          <w:t>2</w:t>
        </w:r>
      </w:fldSimple>
      <w:r w:rsidRPr="00297679">
        <w:t xml:space="preserve">: Challenges Encountered in Delivering Health Education among Health Workers </w:t>
      </w:r>
      <w:r w:rsidRPr="00297679">
        <w:rPr>
          <w:rFonts w:eastAsia="Calibri"/>
        </w:rPr>
        <w:t>in AEFUTHA Ebonyi State</w:t>
      </w:r>
      <w:bookmarkEnd w:id="11"/>
    </w:p>
    <w:tbl>
      <w:tblPr>
        <w:tblStyle w:val="TableGrid"/>
        <w:tblW w:w="9720" w:type="dxa"/>
        <w:tblInd w:w="0" w:type="dxa"/>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344"/>
        <w:gridCol w:w="811"/>
        <w:gridCol w:w="803"/>
        <w:gridCol w:w="803"/>
        <w:gridCol w:w="803"/>
        <w:gridCol w:w="942"/>
        <w:gridCol w:w="1167"/>
        <w:gridCol w:w="1047"/>
      </w:tblGrid>
      <w:tr w:rsidR="00FC2F8E" w:rsidRPr="00297679" w14:paraId="0AD93535" w14:textId="77777777">
        <w:tc>
          <w:tcPr>
            <w:tcW w:w="3344" w:type="dxa"/>
            <w:tcBorders>
              <w:top w:val="single" w:sz="12" w:space="0" w:color="auto"/>
              <w:left w:val="none" w:sz="0" w:space="0" w:color="000000"/>
              <w:bottom w:val="single" w:sz="12" w:space="0" w:color="auto"/>
              <w:right w:val="none" w:sz="0" w:space="0" w:color="000000"/>
            </w:tcBorders>
          </w:tcPr>
          <w:p w14:paraId="475006C8" w14:textId="77777777" w:rsidR="00FC2F8E" w:rsidRPr="00297679" w:rsidRDefault="00AE16DB">
            <w:pPr>
              <w:spacing w:before="100" w:beforeAutospacing="1" w:after="100" w:afterAutospacing="1"/>
              <w:jc w:val="both"/>
              <w:rPr>
                <w:rFonts w:ascii="Times New Roman" w:hAnsi="Times New Roman" w:cs="Times New Roman" w:hint="default"/>
                <w:b/>
                <w:bCs/>
              </w:rPr>
            </w:pPr>
            <w:r w:rsidRPr="00297679">
              <w:rPr>
                <w:rFonts w:ascii="Times New Roman" w:hAnsi="Times New Roman" w:cs="Times New Roman" w:hint="default"/>
                <w:b/>
                <w:bCs/>
              </w:rPr>
              <w:t>Statement</w:t>
            </w:r>
          </w:p>
        </w:tc>
        <w:tc>
          <w:tcPr>
            <w:tcW w:w="811" w:type="dxa"/>
            <w:tcBorders>
              <w:top w:val="single" w:sz="12" w:space="0" w:color="auto"/>
              <w:left w:val="none" w:sz="0" w:space="0" w:color="000000"/>
              <w:bottom w:val="single" w:sz="12" w:space="0" w:color="auto"/>
              <w:right w:val="none" w:sz="0" w:space="0" w:color="000000"/>
            </w:tcBorders>
          </w:tcPr>
          <w:p w14:paraId="6420F94D"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SD</w:t>
            </w:r>
          </w:p>
          <w:p w14:paraId="6008E639"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5074FE16"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D</w:t>
            </w:r>
          </w:p>
          <w:p w14:paraId="3344629E"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61880BF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Ne</w:t>
            </w:r>
          </w:p>
          <w:p w14:paraId="3B3F9790"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803" w:type="dxa"/>
            <w:tcBorders>
              <w:top w:val="single" w:sz="12" w:space="0" w:color="auto"/>
              <w:left w:val="none" w:sz="0" w:space="0" w:color="000000"/>
              <w:bottom w:val="single" w:sz="12" w:space="0" w:color="auto"/>
              <w:right w:val="none" w:sz="0" w:space="0" w:color="000000"/>
            </w:tcBorders>
          </w:tcPr>
          <w:p w14:paraId="11A635D3"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A</w:t>
            </w:r>
          </w:p>
          <w:p w14:paraId="306B903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942" w:type="dxa"/>
            <w:tcBorders>
              <w:top w:val="single" w:sz="12" w:space="0" w:color="auto"/>
              <w:left w:val="none" w:sz="0" w:space="0" w:color="000000"/>
              <w:bottom w:val="single" w:sz="12" w:space="0" w:color="auto"/>
              <w:right w:val="none" w:sz="0" w:space="0" w:color="000000"/>
            </w:tcBorders>
          </w:tcPr>
          <w:p w14:paraId="29880FB5"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SA</w:t>
            </w:r>
          </w:p>
          <w:p w14:paraId="63CF4D0C"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 xml:space="preserve">n </w:t>
            </w:r>
          </w:p>
        </w:tc>
        <w:tc>
          <w:tcPr>
            <w:tcW w:w="1167" w:type="dxa"/>
            <w:tcBorders>
              <w:top w:val="single" w:sz="12" w:space="0" w:color="auto"/>
              <w:left w:val="none" w:sz="0" w:space="0" w:color="000000"/>
              <w:bottom w:val="single" w:sz="12" w:space="0" w:color="auto"/>
              <w:right w:val="none" w:sz="0" w:space="0" w:color="000000"/>
            </w:tcBorders>
          </w:tcPr>
          <w:p w14:paraId="22CBAB57"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Mean±SD</w:t>
            </w:r>
          </w:p>
        </w:tc>
        <w:tc>
          <w:tcPr>
            <w:tcW w:w="1047" w:type="dxa"/>
            <w:tcBorders>
              <w:top w:val="single" w:sz="12" w:space="0" w:color="auto"/>
              <w:left w:val="none" w:sz="0" w:space="0" w:color="000000"/>
              <w:bottom w:val="single" w:sz="12" w:space="0" w:color="auto"/>
              <w:right w:val="none" w:sz="0" w:space="0" w:color="000000"/>
            </w:tcBorders>
          </w:tcPr>
          <w:p w14:paraId="7A78E43F" w14:textId="77777777" w:rsidR="00FC2F8E" w:rsidRPr="00297679" w:rsidRDefault="00AE16DB">
            <w:pPr>
              <w:spacing w:before="100" w:beforeAutospacing="1" w:after="100" w:afterAutospacing="1"/>
              <w:jc w:val="center"/>
              <w:rPr>
                <w:rFonts w:ascii="Times New Roman" w:hAnsi="Times New Roman" w:cs="Times New Roman" w:hint="default"/>
                <w:b/>
                <w:bCs/>
              </w:rPr>
            </w:pPr>
            <w:r w:rsidRPr="00297679">
              <w:rPr>
                <w:rFonts w:ascii="Times New Roman" w:hAnsi="Times New Roman" w:cs="Times New Roman" w:hint="default"/>
                <w:b/>
                <w:bCs/>
              </w:rPr>
              <w:t>Decision</w:t>
            </w:r>
          </w:p>
        </w:tc>
      </w:tr>
      <w:tr w:rsidR="00FC2F8E" w:rsidRPr="00297679" w14:paraId="12358CD4" w14:textId="77777777">
        <w:trPr>
          <w:trHeight w:val="1167"/>
        </w:trPr>
        <w:tc>
          <w:tcPr>
            <w:tcW w:w="3344" w:type="dxa"/>
            <w:tcBorders>
              <w:top w:val="single" w:sz="12" w:space="0" w:color="auto"/>
              <w:left w:val="none" w:sz="0" w:space="0" w:color="000000"/>
              <w:bottom w:val="none" w:sz="0" w:space="0" w:color="000000"/>
              <w:right w:val="none" w:sz="0" w:space="0" w:color="000000"/>
            </w:tcBorders>
          </w:tcPr>
          <w:p w14:paraId="49DAF085"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Heavy work load limits the time I spend on health education</w:t>
            </w:r>
          </w:p>
        </w:tc>
        <w:tc>
          <w:tcPr>
            <w:tcW w:w="811" w:type="dxa"/>
            <w:tcBorders>
              <w:top w:val="single" w:sz="12" w:space="0" w:color="auto"/>
              <w:left w:val="none" w:sz="0" w:space="0" w:color="000000"/>
              <w:bottom w:val="none" w:sz="0" w:space="0" w:color="000000"/>
              <w:right w:val="none" w:sz="0" w:space="0" w:color="000000"/>
            </w:tcBorders>
          </w:tcPr>
          <w:p w14:paraId="6F49F5FB"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single" w:sz="12" w:space="0" w:color="auto"/>
              <w:left w:val="none" w:sz="0" w:space="0" w:color="000000"/>
              <w:bottom w:val="none" w:sz="0" w:space="0" w:color="000000"/>
              <w:right w:val="none" w:sz="0" w:space="0" w:color="000000"/>
            </w:tcBorders>
          </w:tcPr>
          <w:p w14:paraId="036E8BF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8</w:t>
            </w:r>
          </w:p>
        </w:tc>
        <w:tc>
          <w:tcPr>
            <w:tcW w:w="803" w:type="dxa"/>
            <w:tcBorders>
              <w:top w:val="single" w:sz="12" w:space="0" w:color="auto"/>
              <w:left w:val="none" w:sz="0" w:space="0" w:color="000000"/>
              <w:bottom w:val="none" w:sz="0" w:space="0" w:color="000000"/>
              <w:right w:val="none" w:sz="0" w:space="0" w:color="000000"/>
            </w:tcBorders>
          </w:tcPr>
          <w:p w14:paraId="42FBED8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15</w:t>
            </w:r>
          </w:p>
        </w:tc>
        <w:tc>
          <w:tcPr>
            <w:tcW w:w="803" w:type="dxa"/>
            <w:tcBorders>
              <w:top w:val="single" w:sz="12" w:space="0" w:color="auto"/>
              <w:left w:val="none" w:sz="0" w:space="0" w:color="000000"/>
              <w:bottom w:val="none" w:sz="0" w:space="0" w:color="000000"/>
              <w:right w:val="none" w:sz="0" w:space="0" w:color="000000"/>
            </w:tcBorders>
          </w:tcPr>
          <w:p w14:paraId="55D41E5F"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21</w:t>
            </w:r>
          </w:p>
        </w:tc>
        <w:tc>
          <w:tcPr>
            <w:tcW w:w="942" w:type="dxa"/>
            <w:tcBorders>
              <w:top w:val="single" w:sz="12" w:space="0" w:color="auto"/>
              <w:left w:val="none" w:sz="0" w:space="0" w:color="000000"/>
              <w:bottom w:val="none" w:sz="0" w:space="0" w:color="000000"/>
              <w:right w:val="none" w:sz="0" w:space="0" w:color="000000"/>
            </w:tcBorders>
          </w:tcPr>
          <w:p w14:paraId="459E038B"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25</w:t>
            </w:r>
          </w:p>
        </w:tc>
        <w:tc>
          <w:tcPr>
            <w:tcW w:w="1167" w:type="dxa"/>
            <w:tcBorders>
              <w:top w:val="single" w:sz="12" w:space="0" w:color="auto"/>
              <w:left w:val="none" w:sz="0" w:space="0" w:color="000000"/>
              <w:bottom w:val="none" w:sz="0" w:space="0" w:color="000000"/>
              <w:right w:val="none" w:sz="0" w:space="0" w:color="000000"/>
            </w:tcBorders>
          </w:tcPr>
          <w:p w14:paraId="59FACDF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3.7±1.36</w:t>
            </w:r>
          </w:p>
        </w:tc>
        <w:tc>
          <w:tcPr>
            <w:tcW w:w="1047" w:type="dxa"/>
            <w:tcBorders>
              <w:top w:val="single" w:sz="12" w:space="0" w:color="auto"/>
              <w:left w:val="none" w:sz="0" w:space="0" w:color="000000"/>
              <w:bottom w:val="none" w:sz="0" w:space="0" w:color="000000"/>
              <w:right w:val="none" w:sz="0" w:space="0" w:color="000000"/>
            </w:tcBorders>
          </w:tcPr>
          <w:p w14:paraId="05BBD70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225DA245" w14:textId="77777777">
        <w:trPr>
          <w:trHeight w:val="900"/>
        </w:trPr>
        <w:tc>
          <w:tcPr>
            <w:tcW w:w="3344" w:type="dxa"/>
            <w:tcBorders>
              <w:top w:val="none" w:sz="0" w:space="0" w:color="000000"/>
              <w:left w:val="none" w:sz="0" w:space="0" w:color="000000"/>
              <w:bottom w:val="none" w:sz="0" w:space="0" w:color="000000"/>
              <w:right w:val="none" w:sz="0" w:space="0" w:color="000000"/>
            </w:tcBorders>
          </w:tcPr>
          <w:p w14:paraId="2B684D99"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Staff shortage affects the quality of health education sessions</w:t>
            </w:r>
          </w:p>
        </w:tc>
        <w:tc>
          <w:tcPr>
            <w:tcW w:w="811" w:type="dxa"/>
            <w:tcBorders>
              <w:top w:val="none" w:sz="0" w:space="0" w:color="000000"/>
              <w:left w:val="none" w:sz="0" w:space="0" w:color="000000"/>
              <w:bottom w:val="none" w:sz="0" w:space="0" w:color="000000"/>
              <w:right w:val="none" w:sz="0" w:space="0" w:color="000000"/>
            </w:tcBorders>
          </w:tcPr>
          <w:p w14:paraId="5B75C358"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4FD3DBDD"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8</w:t>
            </w:r>
          </w:p>
        </w:tc>
        <w:tc>
          <w:tcPr>
            <w:tcW w:w="803" w:type="dxa"/>
            <w:tcBorders>
              <w:top w:val="none" w:sz="0" w:space="0" w:color="000000"/>
              <w:left w:val="none" w:sz="0" w:space="0" w:color="000000"/>
              <w:bottom w:val="none" w:sz="0" w:space="0" w:color="000000"/>
              <w:right w:val="none" w:sz="0" w:space="0" w:color="000000"/>
            </w:tcBorders>
          </w:tcPr>
          <w:p w14:paraId="0DA67F69"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4772959E"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22</w:t>
            </w:r>
          </w:p>
        </w:tc>
        <w:tc>
          <w:tcPr>
            <w:tcW w:w="942" w:type="dxa"/>
            <w:tcBorders>
              <w:top w:val="none" w:sz="0" w:space="0" w:color="000000"/>
              <w:left w:val="none" w:sz="0" w:space="0" w:color="000000"/>
              <w:bottom w:val="none" w:sz="0" w:space="0" w:color="000000"/>
              <w:right w:val="none" w:sz="0" w:space="0" w:color="000000"/>
            </w:tcBorders>
          </w:tcPr>
          <w:p w14:paraId="11E2AA4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3FAA9A5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3.78±1.31</w:t>
            </w:r>
          </w:p>
        </w:tc>
        <w:tc>
          <w:tcPr>
            <w:tcW w:w="1047" w:type="dxa"/>
            <w:tcBorders>
              <w:top w:val="none" w:sz="0" w:space="0" w:color="000000"/>
              <w:left w:val="none" w:sz="0" w:space="0" w:color="000000"/>
              <w:bottom w:val="none" w:sz="0" w:space="0" w:color="000000"/>
              <w:right w:val="none" w:sz="0" w:space="0" w:color="000000"/>
            </w:tcBorders>
          </w:tcPr>
          <w:p w14:paraId="0EEFD8D2"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3D687207" w14:textId="77777777">
        <w:trPr>
          <w:trHeight w:val="1179"/>
        </w:trPr>
        <w:tc>
          <w:tcPr>
            <w:tcW w:w="3344" w:type="dxa"/>
            <w:tcBorders>
              <w:top w:val="none" w:sz="0" w:space="0" w:color="000000"/>
              <w:left w:val="none" w:sz="0" w:space="0" w:color="000000"/>
              <w:bottom w:val="none" w:sz="0" w:space="0" w:color="000000"/>
              <w:right w:val="none" w:sz="0" w:space="0" w:color="000000"/>
            </w:tcBorders>
          </w:tcPr>
          <w:p w14:paraId="7D26EA75"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Limited time during clinics reduces the depth of information i provide</w:t>
            </w:r>
          </w:p>
        </w:tc>
        <w:tc>
          <w:tcPr>
            <w:tcW w:w="811" w:type="dxa"/>
            <w:tcBorders>
              <w:top w:val="none" w:sz="0" w:space="0" w:color="000000"/>
              <w:left w:val="none" w:sz="0" w:space="0" w:color="000000"/>
              <w:bottom w:val="none" w:sz="0" w:space="0" w:color="000000"/>
              <w:right w:val="none" w:sz="0" w:space="0" w:color="000000"/>
            </w:tcBorders>
          </w:tcPr>
          <w:p w14:paraId="58FD8FF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2884A7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19CEA3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11</w:t>
            </w:r>
          </w:p>
        </w:tc>
        <w:tc>
          <w:tcPr>
            <w:tcW w:w="803" w:type="dxa"/>
            <w:tcBorders>
              <w:top w:val="none" w:sz="0" w:space="0" w:color="000000"/>
              <w:left w:val="none" w:sz="0" w:space="0" w:color="000000"/>
              <w:bottom w:val="none" w:sz="0" w:space="0" w:color="000000"/>
              <w:right w:val="none" w:sz="0" w:space="0" w:color="000000"/>
            </w:tcBorders>
          </w:tcPr>
          <w:p w14:paraId="4BD1B138"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26</w:t>
            </w:r>
          </w:p>
        </w:tc>
        <w:tc>
          <w:tcPr>
            <w:tcW w:w="942" w:type="dxa"/>
            <w:tcBorders>
              <w:top w:val="none" w:sz="0" w:space="0" w:color="000000"/>
              <w:left w:val="none" w:sz="0" w:space="0" w:color="000000"/>
              <w:bottom w:val="none" w:sz="0" w:space="0" w:color="000000"/>
              <w:right w:val="none" w:sz="0" w:space="0" w:color="000000"/>
            </w:tcBorders>
          </w:tcPr>
          <w:p w14:paraId="4688938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25</w:t>
            </w:r>
          </w:p>
        </w:tc>
        <w:tc>
          <w:tcPr>
            <w:tcW w:w="1167" w:type="dxa"/>
            <w:tcBorders>
              <w:top w:val="none" w:sz="0" w:space="0" w:color="000000"/>
              <w:left w:val="none" w:sz="0" w:space="0" w:color="000000"/>
              <w:bottom w:val="none" w:sz="0" w:space="0" w:color="000000"/>
              <w:right w:val="none" w:sz="0" w:space="0" w:color="000000"/>
            </w:tcBorders>
          </w:tcPr>
          <w:p w14:paraId="008F6D65"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3.7±1.33</w:t>
            </w:r>
          </w:p>
        </w:tc>
        <w:tc>
          <w:tcPr>
            <w:tcW w:w="1047" w:type="dxa"/>
            <w:tcBorders>
              <w:top w:val="none" w:sz="0" w:space="0" w:color="000000"/>
              <w:left w:val="none" w:sz="0" w:space="0" w:color="000000"/>
              <w:bottom w:val="none" w:sz="0" w:space="0" w:color="000000"/>
              <w:right w:val="none" w:sz="0" w:space="0" w:color="000000"/>
            </w:tcBorders>
          </w:tcPr>
          <w:p w14:paraId="196471A4"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21F97163" w14:textId="77777777">
        <w:trPr>
          <w:trHeight w:val="891"/>
        </w:trPr>
        <w:tc>
          <w:tcPr>
            <w:tcW w:w="3344" w:type="dxa"/>
            <w:tcBorders>
              <w:top w:val="none" w:sz="0" w:space="0" w:color="000000"/>
              <w:left w:val="none" w:sz="0" w:space="0" w:color="000000"/>
              <w:bottom w:val="none" w:sz="0" w:space="0" w:color="000000"/>
              <w:right w:val="none" w:sz="0" w:space="0" w:color="000000"/>
            </w:tcBorders>
          </w:tcPr>
          <w:p w14:paraId="6AEB4687"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lastRenderedPageBreak/>
              <w:t>Women low literacy level makes health education difficult</w:t>
            </w:r>
          </w:p>
        </w:tc>
        <w:tc>
          <w:tcPr>
            <w:tcW w:w="811" w:type="dxa"/>
            <w:tcBorders>
              <w:top w:val="none" w:sz="0" w:space="0" w:color="000000"/>
              <w:left w:val="none" w:sz="0" w:space="0" w:color="000000"/>
              <w:bottom w:val="none" w:sz="0" w:space="0" w:color="000000"/>
              <w:right w:val="none" w:sz="0" w:space="0" w:color="000000"/>
            </w:tcBorders>
          </w:tcPr>
          <w:p w14:paraId="5EFD923E"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4</w:t>
            </w:r>
          </w:p>
        </w:tc>
        <w:tc>
          <w:tcPr>
            <w:tcW w:w="803" w:type="dxa"/>
            <w:tcBorders>
              <w:top w:val="none" w:sz="0" w:space="0" w:color="000000"/>
              <w:left w:val="none" w:sz="0" w:space="0" w:color="000000"/>
              <w:bottom w:val="none" w:sz="0" w:space="0" w:color="000000"/>
              <w:right w:val="none" w:sz="0" w:space="0" w:color="000000"/>
            </w:tcBorders>
          </w:tcPr>
          <w:p w14:paraId="40E02F4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9</w:t>
            </w:r>
          </w:p>
        </w:tc>
        <w:tc>
          <w:tcPr>
            <w:tcW w:w="803" w:type="dxa"/>
            <w:tcBorders>
              <w:top w:val="none" w:sz="0" w:space="0" w:color="000000"/>
              <w:left w:val="none" w:sz="0" w:space="0" w:color="000000"/>
              <w:bottom w:val="none" w:sz="0" w:space="0" w:color="000000"/>
              <w:right w:val="none" w:sz="0" w:space="0" w:color="000000"/>
            </w:tcBorders>
          </w:tcPr>
          <w:p w14:paraId="7381F5E7"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13</w:t>
            </w:r>
          </w:p>
        </w:tc>
        <w:tc>
          <w:tcPr>
            <w:tcW w:w="803" w:type="dxa"/>
            <w:tcBorders>
              <w:top w:val="none" w:sz="0" w:space="0" w:color="000000"/>
              <w:left w:val="none" w:sz="0" w:space="0" w:color="000000"/>
              <w:bottom w:val="none" w:sz="0" w:space="0" w:color="000000"/>
              <w:right w:val="none" w:sz="0" w:space="0" w:color="000000"/>
            </w:tcBorders>
          </w:tcPr>
          <w:p w14:paraId="5BC39394"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21</w:t>
            </w:r>
          </w:p>
        </w:tc>
        <w:tc>
          <w:tcPr>
            <w:tcW w:w="942" w:type="dxa"/>
            <w:tcBorders>
              <w:top w:val="none" w:sz="0" w:space="0" w:color="000000"/>
              <w:left w:val="none" w:sz="0" w:space="0" w:color="000000"/>
              <w:bottom w:val="none" w:sz="0" w:space="0" w:color="000000"/>
              <w:right w:val="none" w:sz="0" w:space="0" w:color="000000"/>
            </w:tcBorders>
          </w:tcPr>
          <w:p w14:paraId="79018DE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28</w:t>
            </w:r>
          </w:p>
        </w:tc>
        <w:tc>
          <w:tcPr>
            <w:tcW w:w="1167" w:type="dxa"/>
            <w:tcBorders>
              <w:top w:val="none" w:sz="0" w:space="0" w:color="000000"/>
              <w:left w:val="none" w:sz="0" w:space="0" w:color="000000"/>
              <w:bottom w:val="none" w:sz="0" w:space="0" w:color="000000"/>
              <w:right w:val="none" w:sz="0" w:space="0" w:color="000000"/>
            </w:tcBorders>
          </w:tcPr>
          <w:p w14:paraId="4BAE8BEC"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3.87±1.33</w:t>
            </w:r>
          </w:p>
        </w:tc>
        <w:tc>
          <w:tcPr>
            <w:tcW w:w="1047" w:type="dxa"/>
            <w:tcBorders>
              <w:top w:val="none" w:sz="0" w:space="0" w:color="000000"/>
              <w:left w:val="none" w:sz="0" w:space="0" w:color="000000"/>
              <w:bottom w:val="none" w:sz="0" w:space="0" w:color="000000"/>
              <w:right w:val="none" w:sz="0" w:space="0" w:color="000000"/>
            </w:tcBorders>
          </w:tcPr>
          <w:p w14:paraId="023AB9E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3A0221F3" w14:textId="77777777">
        <w:tc>
          <w:tcPr>
            <w:tcW w:w="3344" w:type="dxa"/>
            <w:tcBorders>
              <w:top w:val="none" w:sz="0" w:space="0" w:color="000000"/>
              <w:left w:val="none" w:sz="0" w:space="0" w:color="000000"/>
              <w:bottom w:val="none" w:sz="0" w:space="0" w:color="000000"/>
              <w:right w:val="none" w:sz="0" w:space="0" w:color="000000"/>
            </w:tcBorders>
          </w:tcPr>
          <w:p w14:paraId="797FA07B"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Cultural belief sometimes interferes with health education delivery</w:t>
            </w:r>
          </w:p>
        </w:tc>
        <w:tc>
          <w:tcPr>
            <w:tcW w:w="811" w:type="dxa"/>
            <w:tcBorders>
              <w:top w:val="none" w:sz="0" w:space="0" w:color="000000"/>
              <w:left w:val="none" w:sz="0" w:space="0" w:color="000000"/>
              <w:bottom w:val="none" w:sz="0" w:space="0" w:color="000000"/>
              <w:right w:val="none" w:sz="0" w:space="0" w:color="000000"/>
            </w:tcBorders>
          </w:tcPr>
          <w:p w14:paraId="303C8466"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7</w:t>
            </w:r>
          </w:p>
        </w:tc>
        <w:tc>
          <w:tcPr>
            <w:tcW w:w="803" w:type="dxa"/>
            <w:tcBorders>
              <w:top w:val="none" w:sz="0" w:space="0" w:color="000000"/>
              <w:left w:val="none" w:sz="0" w:space="0" w:color="000000"/>
              <w:bottom w:val="none" w:sz="0" w:space="0" w:color="000000"/>
              <w:right w:val="none" w:sz="0" w:space="0" w:color="000000"/>
            </w:tcBorders>
          </w:tcPr>
          <w:p w14:paraId="1CAFFE52"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3</w:t>
            </w:r>
          </w:p>
        </w:tc>
        <w:tc>
          <w:tcPr>
            <w:tcW w:w="803" w:type="dxa"/>
            <w:tcBorders>
              <w:top w:val="none" w:sz="0" w:space="0" w:color="000000"/>
              <w:left w:val="none" w:sz="0" w:space="0" w:color="000000"/>
              <w:bottom w:val="none" w:sz="0" w:space="0" w:color="000000"/>
              <w:right w:val="none" w:sz="0" w:space="0" w:color="000000"/>
            </w:tcBorders>
          </w:tcPr>
          <w:p w14:paraId="26BC4B49"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14</w:t>
            </w:r>
          </w:p>
        </w:tc>
        <w:tc>
          <w:tcPr>
            <w:tcW w:w="803" w:type="dxa"/>
            <w:tcBorders>
              <w:top w:val="none" w:sz="0" w:space="0" w:color="000000"/>
              <w:left w:val="none" w:sz="0" w:space="0" w:color="000000"/>
              <w:bottom w:val="none" w:sz="0" w:space="0" w:color="000000"/>
              <w:right w:val="none" w:sz="0" w:space="0" w:color="000000"/>
            </w:tcBorders>
          </w:tcPr>
          <w:p w14:paraId="20A0EB8A"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33</w:t>
            </w:r>
          </w:p>
        </w:tc>
        <w:tc>
          <w:tcPr>
            <w:tcW w:w="942" w:type="dxa"/>
            <w:tcBorders>
              <w:top w:val="none" w:sz="0" w:space="0" w:color="000000"/>
              <w:left w:val="none" w:sz="0" w:space="0" w:color="000000"/>
              <w:bottom w:val="none" w:sz="0" w:space="0" w:color="000000"/>
              <w:right w:val="none" w:sz="0" w:space="0" w:color="000000"/>
            </w:tcBorders>
          </w:tcPr>
          <w:p w14:paraId="5878D39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Calibri"/>
                <w:color w:val="000000"/>
              </w:rPr>
              <w:t>18</w:t>
            </w:r>
          </w:p>
        </w:tc>
        <w:tc>
          <w:tcPr>
            <w:tcW w:w="1167" w:type="dxa"/>
            <w:tcBorders>
              <w:top w:val="none" w:sz="0" w:space="0" w:color="000000"/>
              <w:left w:val="none" w:sz="0" w:space="0" w:color="000000"/>
              <w:bottom w:val="none" w:sz="0" w:space="0" w:color="000000"/>
              <w:right w:val="none" w:sz="0" w:space="0" w:color="000000"/>
            </w:tcBorders>
          </w:tcPr>
          <w:p w14:paraId="2E5931A0"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3.7±1.22</w:t>
            </w:r>
          </w:p>
        </w:tc>
        <w:tc>
          <w:tcPr>
            <w:tcW w:w="1047" w:type="dxa"/>
            <w:tcBorders>
              <w:top w:val="none" w:sz="0" w:space="0" w:color="000000"/>
              <w:left w:val="none" w:sz="0" w:space="0" w:color="000000"/>
              <w:bottom w:val="none" w:sz="0" w:space="0" w:color="000000"/>
              <w:right w:val="none" w:sz="0" w:space="0" w:color="000000"/>
            </w:tcBorders>
          </w:tcPr>
          <w:p w14:paraId="2ED199B3"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r w:rsidR="00FC2F8E" w:rsidRPr="00297679" w14:paraId="5DF55A50" w14:textId="77777777">
        <w:tc>
          <w:tcPr>
            <w:tcW w:w="3344" w:type="dxa"/>
            <w:tcBorders>
              <w:top w:val="none" w:sz="0" w:space="0" w:color="000000"/>
              <w:left w:val="none" w:sz="0" w:space="0" w:color="000000"/>
              <w:bottom w:val="single" w:sz="12" w:space="0" w:color="auto"/>
              <w:right w:val="none" w:sz="0" w:space="0" w:color="000000"/>
            </w:tcBorders>
          </w:tcPr>
          <w:p w14:paraId="7EDD2A69" w14:textId="77777777" w:rsidR="00FC2F8E" w:rsidRPr="00297679" w:rsidRDefault="00AE16DB">
            <w:pPr>
              <w:spacing w:before="100" w:beforeAutospacing="1" w:after="100" w:afterAutospacing="1"/>
              <w:jc w:val="both"/>
              <w:rPr>
                <w:rFonts w:ascii="Times New Roman" w:hAnsi="Times New Roman" w:cs="Times New Roman" w:hint="default"/>
              </w:rPr>
            </w:pPr>
            <w:r w:rsidRPr="00297679">
              <w:rPr>
                <w:rFonts w:ascii="Times New Roman" w:hAnsi="Times New Roman" w:cs="Times New Roman" w:hint="default"/>
              </w:rPr>
              <w:t>Grand mean</w:t>
            </w:r>
          </w:p>
        </w:tc>
        <w:tc>
          <w:tcPr>
            <w:tcW w:w="811" w:type="dxa"/>
            <w:tcBorders>
              <w:top w:val="none" w:sz="0" w:space="0" w:color="000000"/>
              <w:left w:val="none" w:sz="0" w:space="0" w:color="000000"/>
              <w:bottom w:val="single" w:sz="12" w:space="0" w:color="auto"/>
              <w:right w:val="none" w:sz="0" w:space="0" w:color="000000"/>
            </w:tcBorders>
          </w:tcPr>
          <w:p w14:paraId="05B0F4C3"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70AA7EA1"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7C8E39E"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803" w:type="dxa"/>
            <w:tcBorders>
              <w:top w:val="none" w:sz="0" w:space="0" w:color="000000"/>
              <w:left w:val="none" w:sz="0" w:space="0" w:color="000000"/>
              <w:bottom w:val="single" w:sz="12" w:space="0" w:color="auto"/>
              <w:right w:val="none" w:sz="0" w:space="0" w:color="000000"/>
            </w:tcBorders>
          </w:tcPr>
          <w:p w14:paraId="50D10B6D"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942" w:type="dxa"/>
            <w:tcBorders>
              <w:top w:val="none" w:sz="0" w:space="0" w:color="000000"/>
              <w:left w:val="none" w:sz="0" w:space="0" w:color="000000"/>
              <w:bottom w:val="single" w:sz="12" w:space="0" w:color="auto"/>
              <w:right w:val="none" w:sz="0" w:space="0" w:color="000000"/>
            </w:tcBorders>
          </w:tcPr>
          <w:p w14:paraId="7EB02511" w14:textId="77777777" w:rsidR="00FC2F8E" w:rsidRPr="00297679" w:rsidRDefault="00FC2F8E">
            <w:pPr>
              <w:spacing w:before="100" w:beforeAutospacing="1" w:after="100" w:afterAutospacing="1"/>
              <w:jc w:val="center"/>
              <w:rPr>
                <w:rFonts w:ascii="Times New Roman" w:hAnsi="Times New Roman" w:cs="Times New Roman" w:hint="default"/>
              </w:rPr>
            </w:pPr>
          </w:p>
        </w:tc>
        <w:tc>
          <w:tcPr>
            <w:tcW w:w="1167" w:type="dxa"/>
            <w:tcBorders>
              <w:top w:val="none" w:sz="0" w:space="0" w:color="000000"/>
              <w:left w:val="none" w:sz="0" w:space="0" w:color="000000"/>
              <w:bottom w:val="single" w:sz="12" w:space="0" w:color="auto"/>
              <w:right w:val="none" w:sz="0" w:space="0" w:color="000000"/>
            </w:tcBorders>
          </w:tcPr>
          <w:p w14:paraId="468B0086"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3.75±1.13</w:t>
            </w:r>
          </w:p>
        </w:tc>
        <w:tc>
          <w:tcPr>
            <w:tcW w:w="1047" w:type="dxa"/>
            <w:tcBorders>
              <w:top w:val="none" w:sz="0" w:space="0" w:color="000000"/>
              <w:left w:val="none" w:sz="0" w:space="0" w:color="000000"/>
              <w:bottom w:val="single" w:sz="12" w:space="0" w:color="auto"/>
              <w:right w:val="none" w:sz="0" w:space="0" w:color="000000"/>
            </w:tcBorders>
          </w:tcPr>
          <w:p w14:paraId="5D9FFE8D" w14:textId="77777777" w:rsidR="00FC2F8E" w:rsidRPr="00297679" w:rsidRDefault="00AE16DB">
            <w:pPr>
              <w:spacing w:before="100" w:beforeAutospacing="1" w:after="100" w:afterAutospacing="1"/>
              <w:jc w:val="center"/>
              <w:rPr>
                <w:rFonts w:ascii="Times New Roman" w:hAnsi="Times New Roman" w:cs="Times New Roman" w:hint="default"/>
              </w:rPr>
            </w:pPr>
            <w:r w:rsidRPr="00297679">
              <w:rPr>
                <w:rFonts w:ascii="Times New Roman" w:hAnsi="Times New Roman" w:cs="Times New Roman" w:hint="default"/>
              </w:rPr>
              <w:t>Accepted</w:t>
            </w:r>
          </w:p>
        </w:tc>
      </w:tr>
    </w:tbl>
    <w:p w14:paraId="289688E7" w14:textId="77777777" w:rsidR="00FC2F8E" w:rsidRPr="00297679" w:rsidRDefault="00AE16DB">
      <w:pPr>
        <w:jc w:val="both"/>
        <w:rPr>
          <w:rFonts w:ascii="Times New Roman" w:hAnsi="Times New Roman" w:cs="Times New Roman"/>
          <w:b/>
          <w:bCs/>
        </w:rPr>
      </w:pPr>
      <w:r w:rsidRPr="00297679">
        <w:rPr>
          <w:rFonts w:ascii="Times New Roman" w:eastAsia="Calibri" w:hAnsi="Times New Roman" w:cs="Times New Roman"/>
          <w:b/>
          <w:bCs/>
        </w:rPr>
        <w:t>SD = Strongly Disagree; D = Disagree; Ne = Neutral; A = Agree; SA = Strongly Agree</w:t>
      </w:r>
    </w:p>
    <w:p w14:paraId="320ED797"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result in Table 2 presents the challenges encountered by health workers in delivering health education at AEFUTHA, Ebonyi State. All items were accepted, with weighted mean scores above the mean criterion of 3.0. The highest mean score was observed for the statement “Women’s low literacy level makes health education difficult”, with a mean of 3.87±1.33, indicating that literacy barriers are a major challenge to effective health education delivery. This was closely followed by “Staff shortage affects the quality of health education sessions”, with a mean of 3.78±1.31, highlighting human-resource constraints as a significant limitation. Heavy workload and limited time during clinics had mean scores of 3.70±1.36 and 3.70±1.33, respectively, showing that time pressure and workload reduce the depth and quality of information provided. Similarly, “Cultural beliefs sometimes interfere with health education delivery” recorded a mean of 3.70±1.22, reflecting socio-cultural barriers that hinder effective communication. Overall, the grand mean score of 3.75±1.13 suggests that health workers generally encounter notable challenges in delivering health education.</w:t>
      </w:r>
    </w:p>
    <w:p w14:paraId="7E71953E" w14:textId="77777777" w:rsidR="00FC2F8E" w:rsidRPr="00297679" w:rsidRDefault="00AE16DB">
      <w:pPr>
        <w:pStyle w:val="Heading2"/>
        <w:spacing w:line="240" w:lineRule="auto"/>
      </w:pPr>
      <w:bookmarkStart w:id="12" w:name="_Toc9218"/>
      <w:r w:rsidRPr="00297679">
        <w:t>4.2 Discussion of Findings</w:t>
      </w:r>
      <w:bookmarkEnd w:id="12"/>
    </w:p>
    <w:p w14:paraId="6677601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This section discusses the findings of the present study in relation to existing evidence on the lived experiences, challenges, enabling factors, and systemic influences affecting health workers in delivering women’s health education during antenatal and immunisation clinics in AE-FUTHA, Ebonyi State. The results obtained from this tertiary hospital are compared with previous studies conducted within Nigeria and internationally, highlighting areas of convergence and divergence. The discussion integrates both the quantitative and qualitative strands of the study with empirical reviews, showing how health workers’ confidence, fulfilment, and motivation are reinforced by women’s eagerness to learn, while systemic and institutional barriers, such as poor infrastructure, staff shortages, and lack of standardised guidelines, continue to limit effectiveness.</w:t>
      </w:r>
    </w:p>
    <w:p w14:paraId="0CAF044B" w14:textId="77777777" w:rsidR="00FC2F8E" w:rsidRPr="00297679" w:rsidRDefault="00AE16DB">
      <w:pPr>
        <w:pStyle w:val="Title"/>
      </w:pPr>
      <w:r w:rsidRPr="00297679">
        <w:t>4.2.2 Challenges Encountered by Health Workers in Delivering Women’s Health Education during Antenatal and Immunisation Clinics</w:t>
      </w:r>
    </w:p>
    <w:p w14:paraId="314456D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findings of this study, in relation to research question two on the challenges encountered by health workers, as shown in Table 2 of the quantitative part and Theme 2 of the qualitative part, revealed that respondents experienced several barriers in the course of delivering women’s health education. The quantitative results indicated that women’s low literacy level was the most significant challenge, with a mean score of 3.87±1.33, suggesting that literacy barriers hinder effective communication. This was closely followed by staff shortages (3.78±1.31), heavy workload (3.70±1.36), limited time during clinics (3.70±1.33), and cultural beliefs interfering with health education delivery (3.70±1.22). Overall, the grand mean score of 3.75±1.13 suggests that health workers generally encounter notable challenges in delivering health education.</w:t>
      </w:r>
    </w:p>
    <w:p w14:paraId="25C516CE"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These quantitative findings are consistent with the qualitative accounts in which participants described language barriers, time constraints, lack of teaching aids, poor infrastructure, and staff shortages as major obstacles. One CHEW explained, “Some of them, they don’t understand your own language and I too don’t understand their own… except general English that we can use. Some of them don’t understand English.” Similarly, a nurse emphasised, “The mother-in-law or caregiver might not understand English… being the caregiver, I might not be able to speak their language that will relay the message down to them.” These narratives illustrate how literacy and language barriers reduce the effectiveness of health talks, aligning with the quantitative evidence that low literacy levels are a major challenge.</w:t>
      </w:r>
    </w:p>
    <w:p w14:paraId="1508B15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 xml:space="preserve">The issue of time constraints was also highlighted in both strands. Quantitatively, time pressure recorded a mean score of 3.70±1.33, while qualitatively, nurses explained that mothers often preferred quick services over health talks. One nurse noted, “Most of them… just want to come and vaccinate… they always consider time.” Another added, “Women will always complain that they want to rush somewhere… they feel we are disturbing them through the head talk.” These accounts </w:t>
      </w:r>
      <w:r w:rsidRPr="00297679">
        <w:lastRenderedPageBreak/>
        <w:t>reflect the socio-economic realities mothers face, which undermine their willingness to engage in health education sessions. This finding resonates with Ekhaguere et al. (2026), who identified time constraints as a major barrier in immunisation clinics.</w:t>
      </w:r>
    </w:p>
    <w:p w14:paraId="0988C5B5"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The lack of teaching aids and poor infrastructure also emerged as significant challenges. Participants lamented the absence of visual aids, demonstration tools, and conducive environments. One dietician explained, “We don’t have some instruments, so you use masks to educate them.” Another nurse added, “Sometimes, you will need simulator, flex, flip charts… but we don’t have those teaching aids.” These experiences mirror Abubakar (2024), who reported insufficient educational materials and poor infrastructure as hindrances to effective health education.</w:t>
      </w:r>
    </w:p>
    <w:p w14:paraId="5F155578" w14:textId="77777777" w:rsidR="00FC2F8E" w:rsidRPr="00297679" w:rsidRDefault="00AE16DB">
      <w:pPr>
        <w:spacing w:before="100" w:beforeAutospacing="1" w:after="100" w:afterAutospacing="1"/>
        <w:jc w:val="both"/>
        <w:rPr>
          <w:rFonts w:ascii="Times New Roman" w:eastAsia="Calibri" w:hAnsi="Times New Roman" w:cs="Times New Roman"/>
          <w:sz w:val="24"/>
          <w:szCs w:val="24"/>
        </w:rPr>
      </w:pPr>
      <w:r w:rsidRPr="00297679">
        <w:t>Staff shortages and heavy workload were further emphasised, with nurses explaining that limited manpower forced them to rush through sessions. One nurse stated, “We are short staffed… sometimes you’ll be overwhelmed with work that you won’t have time to give the necessary information.” This aligns with the quantitative score of 3.78±1.31 for staff shortages and 3.70±1.36 for workload. These findings are consistent with Adefolarin et al. (2021), who found that, without structured training and adequate staffing, health workers struggled to deliver comprehensive maternal health education.</w:t>
      </w:r>
    </w:p>
    <w:p w14:paraId="507CB695" w14:textId="77777777" w:rsidR="00FC2F8E" w:rsidRPr="00297679" w:rsidRDefault="00AE16DB">
      <w:pPr>
        <w:pStyle w:val="Heading2"/>
        <w:spacing w:line="240" w:lineRule="auto"/>
      </w:pPr>
      <w:bookmarkStart w:id="13" w:name="_Toc5562"/>
      <w:r w:rsidRPr="00297679">
        <w:t>Conclusion</w:t>
      </w:r>
      <w:bookmarkEnd w:id="13"/>
    </w:p>
    <w:p w14:paraId="4E18D0E3" w14:textId="77777777" w:rsidR="000F0B0A" w:rsidRDefault="000F0B0A" w:rsidP="000F0B0A">
      <w:pPr>
        <w:pStyle w:val="Heading2"/>
        <w:spacing w:line="240" w:lineRule="auto"/>
        <w:jc w:val="both"/>
        <w:rPr>
          <w:rFonts w:asciiTheme="minorHAnsi" w:eastAsiaTheme="minorEastAsia" w:hAnsiTheme="minorHAnsi" w:cstheme="minorBidi"/>
          <w:b w:val="0"/>
          <w:bCs w:val="0"/>
          <w:kern w:val="0"/>
          <w:sz w:val="20"/>
          <w:szCs w:val="20"/>
        </w:rPr>
      </w:pPr>
      <w:bookmarkStart w:id="14" w:name="_Toc26550"/>
      <w:r w:rsidRPr="000F0B0A">
        <w:rPr>
          <w:rFonts w:asciiTheme="minorHAnsi" w:eastAsiaTheme="minorEastAsia" w:hAnsiTheme="minorHAnsi" w:cstheme="minorBidi"/>
          <w:b w:val="0"/>
          <w:bCs w:val="0"/>
          <w:kern w:val="0"/>
          <w:sz w:val="20"/>
          <w:szCs w:val="20"/>
        </w:rPr>
        <w:t xml:space="preserve">This study examined the experiences of health workers in delivering women’s health education during antenatal and </w:t>
      </w:r>
      <w:proofErr w:type="spellStart"/>
      <w:r w:rsidRPr="000F0B0A">
        <w:rPr>
          <w:rFonts w:asciiTheme="minorHAnsi" w:eastAsiaTheme="minorEastAsia" w:hAnsiTheme="minorHAnsi" w:cstheme="minorBidi"/>
          <w:b w:val="0"/>
          <w:bCs w:val="0"/>
          <w:kern w:val="0"/>
          <w:sz w:val="20"/>
          <w:szCs w:val="20"/>
        </w:rPr>
        <w:t>immunisation</w:t>
      </w:r>
      <w:proofErr w:type="spellEnd"/>
      <w:r w:rsidRPr="000F0B0A">
        <w:rPr>
          <w:rFonts w:asciiTheme="minorHAnsi" w:eastAsiaTheme="minorEastAsia" w:hAnsiTheme="minorHAnsi" w:cstheme="minorBidi"/>
          <w:b w:val="0"/>
          <w:bCs w:val="0"/>
          <w:kern w:val="0"/>
          <w:sz w:val="20"/>
          <w:szCs w:val="20"/>
        </w:rPr>
        <w:t xml:space="preserve"> clinics at AE-FUTHA, Ebonyi State. The findings indicate that health workers generally felt confident and fulfilled in their educational role, especially when women were receptive and provided positive feedback. However, the delivery of health education was constrained by low literacy among women, language barriers, staff shortages, heavy workload, limited clinic time, poor infrastructure, and inadequate teaching aids. The findings also suggest that training, professional experience, institutional recognition, supportive supervision, and management support are important enabling factors for effective education delivery. Overall, women’s health education in antenatal and </w:t>
      </w:r>
      <w:proofErr w:type="spellStart"/>
      <w:r w:rsidRPr="000F0B0A">
        <w:rPr>
          <w:rFonts w:asciiTheme="minorHAnsi" w:eastAsiaTheme="minorEastAsia" w:hAnsiTheme="minorHAnsi" w:cstheme="minorBidi"/>
          <w:b w:val="0"/>
          <w:bCs w:val="0"/>
          <w:kern w:val="0"/>
          <w:sz w:val="20"/>
          <w:szCs w:val="20"/>
        </w:rPr>
        <w:t>immunisation</w:t>
      </w:r>
      <w:proofErr w:type="spellEnd"/>
      <w:r w:rsidRPr="000F0B0A">
        <w:rPr>
          <w:rFonts w:asciiTheme="minorHAnsi" w:eastAsiaTheme="minorEastAsia" w:hAnsiTheme="minorHAnsi" w:cstheme="minorBidi"/>
          <w:b w:val="0"/>
          <w:bCs w:val="0"/>
          <w:kern w:val="0"/>
          <w:sz w:val="20"/>
          <w:szCs w:val="20"/>
        </w:rPr>
        <w:t xml:space="preserve"> clinics depends not only on health workers’ knowledge and commitment but also on the institutional environment in which education is provided. Strengthening staffing, improving clinic infrastructure, providing appropriate teaching materials, and introducing clear operational guidelines may enhance the consistency, quality, and acceptability of health education services in the study setting.</w:t>
      </w:r>
    </w:p>
    <w:p w14:paraId="3ECD90CF" w14:textId="232E9BB9" w:rsidR="00FC2F8E" w:rsidRPr="00297679" w:rsidRDefault="00AE16DB">
      <w:pPr>
        <w:pStyle w:val="Heading2"/>
        <w:spacing w:line="240" w:lineRule="auto"/>
      </w:pPr>
      <w:r w:rsidRPr="00297679">
        <w:t>Recommendations</w:t>
      </w:r>
      <w:bookmarkEnd w:id="14"/>
    </w:p>
    <w:p w14:paraId="6F39242C" w14:textId="77777777" w:rsidR="00FC2F8E" w:rsidRPr="00297679" w:rsidRDefault="00AE16DB">
      <w:pPr>
        <w:spacing w:before="100" w:beforeAutospacing="1" w:after="100" w:afterAutospacing="1"/>
        <w:jc w:val="both"/>
        <w:rPr>
          <w:rFonts w:ascii="Times New Roman" w:hAnsi="Times New Roman" w:cs="Times New Roman"/>
          <w:sz w:val="24"/>
          <w:szCs w:val="24"/>
        </w:rPr>
      </w:pPr>
      <w:r w:rsidRPr="00297679">
        <w:t>Based on the findings of this study, the following recommendations are proposed to improve the delivery of women’s health education during antenatal and immunisation clinics in AE-FUTHA, Ebonyi State:</w:t>
      </w:r>
    </w:p>
    <w:p w14:paraId="7E2D970E"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Firstly, hospital management should provide adequate teaching aids and visual demonstration tools, such as projectors, simulators, and flip charts, to enhance clarity and engagement during health education sessions.</w:t>
      </w:r>
    </w:p>
    <w:p w14:paraId="3608E3A8"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Secondly, infrastructural improvements, such as the provision of fans, air conditioning, adequate space, and reliable electricity supply, should be prioritised to create a conducive environment for mothers and health workers.</w:t>
      </w:r>
    </w:p>
    <w:p w14:paraId="0E126958"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Thirdly, continuous professional training and supportive supervision should be strengthened to build health workers’ confidence, update their knowledge, and improve their communication skills.</w:t>
      </w:r>
    </w:p>
    <w:p w14:paraId="7360091E" w14:textId="77777777" w:rsidR="00FC2F8E" w:rsidRPr="00297679" w:rsidRDefault="00AE16DB">
      <w:pPr>
        <w:pStyle w:val="ListParagraph"/>
        <w:numPr>
          <w:ilvl w:val="0"/>
          <w:numId w:val="18"/>
        </w:numPr>
        <w:spacing w:before="100" w:beforeAutospacing="1" w:after="100" w:afterAutospacing="1"/>
        <w:jc w:val="both"/>
        <w:rPr>
          <w:rFonts w:ascii="Times New Roman" w:hAnsi="Times New Roman" w:cs="Times New Roman"/>
          <w:sz w:val="24"/>
          <w:szCs w:val="24"/>
        </w:rPr>
      </w:pPr>
      <w:r w:rsidRPr="00297679">
        <w:t>Fourthly, incentives should be introduced for both mothers and health workers. Motivational gifts for mothers can encourage participation, while recognition and rewards for staff can boost morale and performance.</w:t>
      </w:r>
    </w:p>
    <w:p w14:paraId="3D9AC75A" w14:textId="77777777" w:rsidR="000F0B0A" w:rsidRPr="000F0B0A" w:rsidRDefault="000F0B0A" w:rsidP="000F0B0A">
      <w:pPr>
        <w:spacing w:before="100" w:beforeAutospacing="1" w:after="100" w:afterAutospacing="1"/>
        <w:rPr>
          <w:rFonts w:ascii="Times New Roman" w:eastAsia="Times New Roman" w:hAnsi="Times New Roman" w:cs="Times New Roman"/>
          <w:sz w:val="24"/>
          <w:szCs w:val="24"/>
          <w:lang w:eastAsia="en-US"/>
        </w:rPr>
      </w:pPr>
      <w:r w:rsidRPr="000F0B0A">
        <w:rPr>
          <w:rFonts w:ascii="Times New Roman" w:eastAsia="Times New Roman" w:hAnsi="Times New Roman" w:cs="Times New Roman"/>
          <w:b/>
          <w:bCs/>
          <w:sz w:val="24"/>
          <w:szCs w:val="24"/>
          <w:lang w:eastAsia="en-US"/>
        </w:rPr>
        <w:t>Limitation</w:t>
      </w:r>
    </w:p>
    <w:p w14:paraId="75DEA56D" w14:textId="77777777" w:rsidR="000F0B0A" w:rsidRDefault="000F0B0A" w:rsidP="000F0B0A">
      <w:pPr>
        <w:spacing w:before="100" w:beforeAutospacing="1" w:after="100" w:afterAutospacing="1"/>
        <w:rPr>
          <w:rFonts w:ascii="Times New Roman" w:eastAsia="Times New Roman" w:hAnsi="Times New Roman" w:cs="Times New Roman"/>
          <w:sz w:val="24"/>
          <w:szCs w:val="24"/>
          <w:lang w:eastAsia="en-US"/>
        </w:rPr>
      </w:pPr>
      <w:r w:rsidRPr="000F0B0A">
        <w:rPr>
          <w:rFonts w:ascii="Times New Roman" w:eastAsia="Times New Roman" w:hAnsi="Times New Roman" w:cs="Times New Roman"/>
          <w:sz w:val="24"/>
          <w:szCs w:val="24"/>
          <w:lang w:eastAsia="en-US"/>
        </w:rPr>
        <w:t>This study was limited to health workers in one tertiary hospital, which may restrict the transferability of the findings to other health facilities. The quantitative component relied on self-reported responses, which may be influenced by response bias. Although qualitative interviews continued until saturation, the findings reflect the experiences of participants within the AE-FUTHA context only.</w:t>
      </w:r>
    </w:p>
    <w:p w14:paraId="37338889" w14:textId="77777777" w:rsidR="004511BC" w:rsidRPr="004511BC" w:rsidRDefault="004511BC" w:rsidP="008B4E25">
      <w:pPr>
        <w:spacing w:before="100" w:beforeAutospacing="1" w:after="100" w:afterAutospacing="1"/>
        <w:jc w:val="both"/>
        <w:rPr>
          <w:rFonts w:ascii="Times New Roman" w:eastAsia="Times New Roman" w:hAnsi="Times New Roman" w:cs="Times New Roman"/>
          <w:b/>
          <w:bCs/>
          <w:sz w:val="24"/>
          <w:szCs w:val="24"/>
          <w:lang w:eastAsia="en-US"/>
        </w:rPr>
      </w:pPr>
      <w:r w:rsidRPr="004511BC">
        <w:rPr>
          <w:rFonts w:ascii="Times New Roman" w:eastAsia="Times New Roman" w:hAnsi="Times New Roman" w:cs="Times New Roman"/>
          <w:b/>
          <w:bCs/>
          <w:sz w:val="24"/>
          <w:szCs w:val="24"/>
          <w:lang w:eastAsia="en-US"/>
        </w:rPr>
        <w:t>Declaration of AI Use</w:t>
      </w:r>
    </w:p>
    <w:p w14:paraId="3D054321" w14:textId="4F09BC7F" w:rsidR="004511BC" w:rsidRPr="000F0B0A" w:rsidRDefault="004511BC" w:rsidP="008B4E25">
      <w:pPr>
        <w:spacing w:before="100" w:beforeAutospacing="1" w:after="100" w:afterAutospacing="1"/>
        <w:jc w:val="both"/>
        <w:rPr>
          <w:rFonts w:ascii="Times New Roman" w:eastAsia="Times New Roman" w:hAnsi="Times New Roman" w:cs="Times New Roman"/>
          <w:sz w:val="24"/>
          <w:szCs w:val="24"/>
          <w:lang w:eastAsia="en-US"/>
        </w:rPr>
      </w:pPr>
      <w:r w:rsidRPr="004511BC">
        <w:rPr>
          <w:rFonts w:ascii="Times New Roman" w:eastAsia="Times New Roman" w:hAnsi="Times New Roman" w:cs="Times New Roman"/>
          <w:sz w:val="24"/>
          <w:szCs w:val="24"/>
          <w:lang w:eastAsia="en-US"/>
        </w:rPr>
        <w:t xml:space="preserve">This manuscript was prepared through the combined contributions of all author(s), including contributions to the study design, data, content development, results, interpretation, and related scholarly </w:t>
      </w:r>
      <w:r w:rsidRPr="004511BC">
        <w:rPr>
          <w:rFonts w:ascii="Times New Roman" w:eastAsia="Times New Roman" w:hAnsi="Times New Roman" w:cs="Times New Roman"/>
          <w:sz w:val="24"/>
          <w:szCs w:val="24"/>
          <w:lang w:eastAsia="en-US"/>
        </w:rPr>
        <w:lastRenderedPageBreak/>
        <w:t>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97C6B6F" w14:textId="77777777" w:rsidR="00FC2F8E" w:rsidRPr="00297679" w:rsidRDefault="00AE16DB">
      <w:pPr>
        <w:pStyle w:val="Heading1"/>
        <w:spacing w:line="240" w:lineRule="auto"/>
        <w:jc w:val="left"/>
      </w:pPr>
      <w:bookmarkStart w:id="15" w:name="_Toc30533"/>
      <w:r w:rsidRPr="00297679">
        <w:rPr>
          <w:szCs w:val="24"/>
        </w:rPr>
        <w:t>REFERENCES</w:t>
      </w:r>
      <w:bookmarkEnd w:id="15"/>
    </w:p>
    <w:p w14:paraId="55324EA6" w14:textId="77777777" w:rsidR="00694096" w:rsidRPr="00297679" w:rsidRDefault="00000000" w:rsidP="00126E27">
      <w:pPr>
        <w:jc w:val="both"/>
      </w:pPr>
      <w:r w:rsidRPr="00297679">
        <w:t>Abubakar, B. D. (2024). Health workers’ perceived hindrances to implementation of the National Programme on Immunization among people in Kwara State, Nigeria. Pan-African Journal of Health and Environmental Science, 3(1), 12–26. https://doi.org/10.56893/ajhes2024v03i01.02</w:t>
      </w:r>
    </w:p>
    <w:p w14:paraId="06002188" w14:textId="77777777" w:rsidR="00694096" w:rsidRPr="00297679" w:rsidRDefault="00000000" w:rsidP="00126E27">
      <w:pPr>
        <w:jc w:val="both"/>
      </w:pPr>
      <w:r w:rsidRPr="00297679">
        <w:t>Adefolarin, A. O., Gershim, A., Sola, A. O., &amp; Oye, G. (2021). The effect of training and supervision on primary health care workers’ competence to deliver maternal depression-inclusive health education in Ibadan, Nigeria: A quasi-experimental study. BMC Health Services Research, 21, Article 1286. https://doi.org/10.1186/s12913-021-07208-3</w:t>
      </w:r>
    </w:p>
    <w:p w14:paraId="4E130F1C" w14:textId="77777777" w:rsidR="00694096" w:rsidRPr="00297679" w:rsidRDefault="00000000" w:rsidP="00126E27">
      <w:pPr>
        <w:jc w:val="both"/>
      </w:pPr>
      <w:r w:rsidRPr="00297679">
        <w:t>Ali, S. T., Rizvi, S. A., Talat, M., Abuzar, S., Azhar, M., &amp; Rehman, M. (2025). Barriers to timely and adequate antenatal care: A systematic review of socioeconomic, cultural, psychosocial, and health-system factors across high- and low-resource settings. BMC Pregnancy and Childbirth. Advance online publication. https://doi.org/10.1186/s12884-025-08565-1</w:t>
      </w:r>
    </w:p>
    <w:p w14:paraId="4C37818F" w14:textId="77777777" w:rsidR="00694096" w:rsidRPr="00297679" w:rsidRDefault="00000000" w:rsidP="00126E27">
      <w:pPr>
        <w:jc w:val="both"/>
      </w:pPr>
      <w:r w:rsidRPr="00297679">
        <w:t>Balogun, F. M., Omobowale, O. C., &amp; Akindolire, A. E. (2025). Enablers and barriers to older women’s support of infant immunization timeliness and completion in selected urban slum communities of Ibadan, Nigeria. Vaccine: X, 25, 100668. https://doi.org/10.1016/j.jvacx.2025.100668</w:t>
      </w:r>
    </w:p>
    <w:p w14:paraId="0872235E" w14:textId="77777777" w:rsidR="00694096" w:rsidRPr="00297679" w:rsidRDefault="00000000" w:rsidP="00126E27">
      <w:pPr>
        <w:jc w:val="both"/>
      </w:pPr>
      <w:r w:rsidRPr="00297679">
        <w:t>Ekeoba, C. C. (2026). Effectiveness of community-based health education interventions on maternal health service uptake in Sub-Saharan Africa: A systematic review. Asian Journal of Medical Principles and Clinical Practice, 9(1), 641–654. https://doi.org/10.9734/ajmpcp/2026/v9i1432</w:t>
      </w:r>
    </w:p>
    <w:p w14:paraId="1DC38D84" w14:textId="77777777" w:rsidR="00694096" w:rsidRPr="00297679" w:rsidRDefault="00000000" w:rsidP="00126E27">
      <w:pPr>
        <w:jc w:val="both"/>
      </w:pPr>
      <w:r w:rsidRPr="00297679">
        <w:t>Ekhaguere, O. A., Ekpenyong, N., Mohammed, E. F., Bukar, F. L., Oyo-Ita, A., &amp; Kaufman, J. (2026). Content and factors influencing health education in immunisation clinics in Nigeria. Tropical Medicine &amp; International Health, 31(5), 603–611. https://doi.org/10.1111/tmi.70101</w:t>
      </w:r>
    </w:p>
    <w:p w14:paraId="7218B58D" w14:textId="77777777" w:rsidR="00694096" w:rsidRPr="00297679" w:rsidRDefault="00000000" w:rsidP="00126E27">
      <w:pPr>
        <w:jc w:val="both"/>
      </w:pPr>
      <w:r w:rsidRPr="00297679">
        <w:t>Etim, E.-O. E., Odiachi, A., Dougherty, L., Alabi, M., Adetunji, A., &amp; Adedimeji, A. (2025). Understanding caregivers’ and community influencers’ perspectives on the barriers to childhood immunisation in Northern Nigerian States with public-private partnerships in routine immunisation programme. BMC Public Health, 25, Article 1471. https://doi.org/10.1186/s12889-025-22710-7</w:t>
      </w:r>
    </w:p>
    <w:p w14:paraId="38F9CFB2" w14:textId="77777777" w:rsidR="00694096" w:rsidRPr="00297679" w:rsidRDefault="00000000" w:rsidP="00126E27">
      <w:pPr>
        <w:jc w:val="both"/>
      </w:pPr>
      <w:r w:rsidRPr="00297679">
        <w:t>Gift, E. O., Orduwa, W. H., Okolo, O., Osigwe, P. C., &amp; Bello, B. G. (2025). Correlates of responsiveness and empathy on antenatal patients’ satisfaction in primary healthcare facilities. Asian Research Journal of Current Science, 7(1), 1–11. https://doi.org/10.56557/arjocs/2025/v7i1124</w:t>
      </w:r>
    </w:p>
    <w:p w14:paraId="62A1A1AD" w14:textId="77777777" w:rsidR="00694096" w:rsidRPr="00297679" w:rsidRDefault="00000000" w:rsidP="00126E27">
      <w:pPr>
        <w:jc w:val="both"/>
      </w:pPr>
      <w:r w:rsidRPr="00297679">
        <w:t>Hooper, E., Mechkaroff, O., Upitis, A., Schofield, E., Carland, J. E., &amp; Henry, A. (2025). The effectiveness of antenatal education on improving labour and birth outcomes: A systematic review and meta-analysis. Women and Birth, 38(1), 101843. https://doi.org/10.1016/j.wombi.2024.101843</w:t>
      </w:r>
    </w:p>
    <w:p w14:paraId="6DC444A9" w14:textId="77777777" w:rsidR="00694096" w:rsidRPr="00297679" w:rsidRDefault="00000000" w:rsidP="00126E27">
      <w:pPr>
        <w:jc w:val="both"/>
      </w:pPr>
      <w:r w:rsidRPr="00297679">
        <w:t>Ibikunle, H. A., Okafor, I. P., &amp; Adejimi, A. A. (2021). Pre-natal nutrition education: Health care providers’ knowledge and quality of services in primary health care centres in Lagos, Nigeria. PLOS ONE, 16(11), e0259237. https://doi.org/10.1371/journal.pone.0259237</w:t>
      </w:r>
    </w:p>
    <w:p w14:paraId="1D8AE6EE" w14:textId="77777777" w:rsidR="00694096" w:rsidRPr="00297679" w:rsidRDefault="00000000" w:rsidP="00126E27">
      <w:pPr>
        <w:jc w:val="both"/>
      </w:pPr>
      <w:r w:rsidRPr="00297679">
        <w:t>Isika, A. I., Oku, A. O., Obi, I. F., &amp; Oyo-Ita, A. (2025). Client satisfaction with the quality of maternal healthcare services among immunization clinic attendees in selected primary healthcare facilities in Cross River State, Nigeria: A rural-urban comparison. African Journal of Reproductive Health, 29(6). https://doi.org/10.29063/ajrh2025/v29i6.12</w:t>
      </w:r>
    </w:p>
    <w:p w14:paraId="74CA02B6" w14:textId="77777777" w:rsidR="00694096" w:rsidRPr="00297679" w:rsidRDefault="00000000" w:rsidP="00126E27">
      <w:pPr>
        <w:jc w:val="both"/>
      </w:pPr>
      <w:r w:rsidRPr="00297679">
        <w:t>Mohammed, Y., Reynolds, H. W., Waziri, H., Attahiru, A., Olowo-Okere, A., Kamateeka, M., Waziri, N. E., Garba, A. M., Corrêa, G. C., Garba, R., Vollmer, N., &amp; Nguku, P. (2024). Exploring the landscape of routine immunization in Nigeria: A scoping review of barriers and facilitators. Preprints. https://doi.org/10.20944/preprints202405.1388.v1</w:t>
      </w:r>
    </w:p>
    <w:p w14:paraId="04D7008C" w14:textId="77777777" w:rsidR="00694096" w:rsidRPr="00297679" w:rsidRDefault="00000000" w:rsidP="00126E27">
      <w:pPr>
        <w:jc w:val="both"/>
      </w:pPr>
      <w:r w:rsidRPr="00297679">
        <w:t>National Population Commission (NPC) [Nigeria] &amp; ICF. (2019). Nigeria Demographic and Health Survey 2018. NPC and ICF. https://preview.dhsprogram.com/pubs/pdf/FR359/FR359.pdf</w:t>
      </w:r>
    </w:p>
    <w:p w14:paraId="473CBB39" w14:textId="77777777" w:rsidR="00694096" w:rsidRPr="00297679" w:rsidRDefault="00000000" w:rsidP="00126E27">
      <w:pPr>
        <w:jc w:val="both"/>
      </w:pPr>
      <w:r w:rsidRPr="00297679">
        <w:t>Olapeju, B., Bride, M., Wamala, M., Atobrah, D., Lee, E. H., &amp; Hendrickson, Z. M. (2025). Antenatal care and breastfeeding practices in Sub-Saharan Africa: An analysis of demographic and health surveys. BMC Pregnancy and Childbirth, 25(1), Article 77. https://doi.org/10.1186/s12884-025-07188-w</w:t>
      </w:r>
    </w:p>
    <w:p w14:paraId="7FE754AB" w14:textId="77777777" w:rsidR="00694096" w:rsidRPr="00297679" w:rsidRDefault="00000000" w:rsidP="00126E27">
      <w:pPr>
        <w:jc w:val="both"/>
      </w:pPr>
      <w:r w:rsidRPr="00297679">
        <w:t>Sheikh, N. S., Gele, A., &amp; Bonfrer, I. (2026). Understanding motivating and demotivating factors among maternal healthcare professionals in Somalia: A qualitative interview study. BMJ Global Health, 11(2), e018479. https://doi.org/10.1136/bmjgh-2024-018479</w:t>
      </w:r>
    </w:p>
    <w:p w14:paraId="68A81197" w14:textId="77777777" w:rsidR="00694096" w:rsidRPr="00297679" w:rsidRDefault="00000000" w:rsidP="00126E27">
      <w:pPr>
        <w:jc w:val="both"/>
      </w:pPr>
      <w:r w:rsidRPr="00297679">
        <w:lastRenderedPageBreak/>
        <w:t>United Nations. (2023). The Sustainable Development Goals Report 2023: Special edition. United Nations. https://sdgs.un.org/documents/sustainable-development-goals-report-2023-53220</w:t>
      </w:r>
    </w:p>
    <w:p w14:paraId="12B7B63C" w14:textId="77777777" w:rsidR="00694096" w:rsidRPr="00297679" w:rsidRDefault="00000000" w:rsidP="00126E27">
      <w:pPr>
        <w:jc w:val="both"/>
      </w:pPr>
      <w:r w:rsidRPr="00297679">
        <w:t>World Health Organization. (2021). Immunization agenda 2030: A global strategy to leave no one behind. World Health Organization. https://www.who.int/publications/m/item/immunization-agenda-2030-a-global-strategy-to-leave-no-one-behind</w:t>
      </w:r>
    </w:p>
    <w:p w14:paraId="2CD6D040" w14:textId="77777777" w:rsidR="00694096" w:rsidRPr="00297679" w:rsidRDefault="00000000" w:rsidP="00126E27">
      <w:pPr>
        <w:jc w:val="both"/>
      </w:pPr>
      <w:r w:rsidRPr="00297679">
        <w:t>World Health Organization. (2024). Maternal health. https://www.who.int/health-topics/maternal-health</w:t>
      </w:r>
    </w:p>
    <w:p w14:paraId="47FFE06C" w14:textId="77777777" w:rsidR="00694096" w:rsidRPr="00297679" w:rsidRDefault="00000000" w:rsidP="00126E27">
      <w:pPr>
        <w:jc w:val="both"/>
      </w:pPr>
      <w:r w:rsidRPr="00297679">
        <w:t>World Health Organization, United Nations Children’s Fund, United Nations Population Fund, World Bank Group, &amp; United Nations Department of Economic and Social Affairs, Population Division. (2023). Trends in maternal mortality 2000 to 2020: Estimates by WHO, UNICEF, UNFPA, World Bank Group and UNDESA/Population Division. World Health Organization. https://www.who.int/publications/i/item/9789240068759</w:t>
      </w:r>
    </w:p>
    <w:p w14:paraId="3E51596A" w14:textId="77777777" w:rsidR="00694096" w:rsidRDefault="00000000" w:rsidP="00126E27">
      <w:pPr>
        <w:jc w:val="both"/>
      </w:pPr>
      <w:r w:rsidRPr="00297679">
        <w:t>Zanetti, M. R. D., Sosa, C. G., Foster, T., Rossello, J. L., Serruya, S., &amp; de Múcio, B. (2024). What are the benefits of antenatal education as a maternal health promotion tool? A systematic review with meta-analysis. ABCS Health Sciences, 49, e024305. https://doi.org/10.7322/abcshs.2022150.2213</w:t>
      </w:r>
    </w:p>
    <w:sectPr w:rsidR="00694096">
      <w:headerReference w:type="even" r:id="rId11"/>
      <w:headerReference w:type="default" r:id="rId12"/>
      <w:footerReference w:type="even" r:id="rId13"/>
      <w:footerReference w:type="default" r:id="rId14"/>
      <w:headerReference w:type="first" r:id="rId15"/>
      <w:footerReference w:type="first" r:id="rId16"/>
      <w:pgSz w:w="11909" w:h="16834"/>
      <w:pgMar w:top="1008" w:right="864" w:bottom="864" w:left="1008" w:header="576" w:footer="15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348F" w14:textId="77777777" w:rsidR="00F85D5C" w:rsidRDefault="00F85D5C">
      <w:r>
        <w:rPr>
          <w:rFonts w:ascii="Calibri"/>
        </w:rPr>
        <w:separator/>
      </w:r>
    </w:p>
  </w:endnote>
  <w:endnote w:type="continuationSeparator" w:id="0">
    <w:p w14:paraId="065A4415" w14:textId="77777777" w:rsidR="00F85D5C" w:rsidRDefault="00F85D5C">
      <w:r>
        <w:rPr>
          <w:rFonts w:asci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heSans B4 SemiLight">
    <w:altName w:val="Arial"/>
    <w:charset w:val="00"/>
    <w:family w:val="auto"/>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324A" w14:textId="77777777" w:rsidR="0007614C" w:rsidRDefault="0007614C">
    <w:pPr>
      <w:pStyle w:val="Foo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343231"/>
    </w:sdtPr>
    <w:sdtContent>
      <w:p w14:paraId="71C252EB" w14:textId="77777777" w:rsidR="00FC2F8E" w:rsidRDefault="00AE16DB">
        <w:pPr>
          <w:pStyle w:val="Footer"/>
          <w:jc w:val="center"/>
          <w:rPr>
            <w:rFonts w:hint="default"/>
          </w:rPr>
        </w:pPr>
        <w:r>
          <w:fldChar w:fldCharType="begin"/>
        </w:r>
        <w:r>
          <w:instrText xml:space="preserve"> PAGE   \* MERGEFORMAT </w:instrText>
        </w:r>
        <w:r>
          <w:fldChar w:fldCharType="separate"/>
        </w:r>
        <w:r>
          <w:rPr>
            <w:rFonts w:hint="default"/>
          </w:rPr>
          <w:t>14</w:t>
        </w:r>
        <w:r>
          <w:fldChar w:fldCharType="end"/>
        </w:r>
      </w:p>
    </w:sdtContent>
  </w:sdt>
  <w:p w14:paraId="46F3F6C9" w14:textId="77777777" w:rsidR="00FC2F8E" w:rsidRDefault="00FC2F8E">
    <w:pPr>
      <w:pStyle w:val="Foote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E7C7" w14:textId="77777777" w:rsidR="0007614C" w:rsidRDefault="0007614C">
    <w:pPr>
      <w:pStyle w:val="Foo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B47C" w14:textId="77777777" w:rsidR="00F85D5C" w:rsidRDefault="00F85D5C">
      <w:r>
        <w:rPr>
          <w:rFonts w:ascii="Calibri"/>
        </w:rPr>
        <w:separator/>
      </w:r>
    </w:p>
  </w:footnote>
  <w:footnote w:type="continuationSeparator" w:id="0">
    <w:p w14:paraId="5E570B80" w14:textId="77777777" w:rsidR="00F85D5C" w:rsidRDefault="00F85D5C">
      <w:r>
        <w:rPr>
          <w:rFonts w:asci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E891" w14:textId="77777777" w:rsidR="0007614C" w:rsidRDefault="00000000">
    <w:pPr>
      <w:pStyle w:val="Header"/>
    </w:pPr>
    <w:r>
      <w:rPr>
        <w:noProof/>
      </w:rPr>
      <w:pict w14:anchorId="5FE72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1" o:spid="_x0000_s1026" type="#_x0000_t136" style="position:absolute;margin-left:0;margin-top:0;width:595.3pt;height:112.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2951" w14:textId="77777777" w:rsidR="00FC2F8E" w:rsidRDefault="00000000">
    <w:pPr>
      <w:pStyle w:val="Header"/>
    </w:pPr>
    <w:r>
      <w:rPr>
        <w:noProof/>
      </w:rPr>
      <w:pict w14:anchorId="3F9F0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2" o:spid="_x0000_s1027" type="#_x0000_t136" style="position:absolute;margin-left:0;margin-top:0;width:595.3pt;height:112.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9FE8" w14:textId="77777777" w:rsidR="0007614C" w:rsidRDefault="00000000">
    <w:pPr>
      <w:pStyle w:val="Header"/>
    </w:pPr>
    <w:r>
      <w:rPr>
        <w:noProof/>
      </w:rPr>
      <w:pict w14:anchorId="30874A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908390" o:spid="_x0000_s1025" type="#_x0000_t136" style="position:absolute;margin-left:0;margin-top:0;width:595.3pt;height:112.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256"/>
    <w:multiLevelType w:val="multilevel"/>
    <w:tmpl w:val="019442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B362DD"/>
    <w:multiLevelType w:val="multilevel"/>
    <w:tmpl w:val="05B36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FF1E59"/>
    <w:multiLevelType w:val="multilevel"/>
    <w:tmpl w:val="09FF1E5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A70D78"/>
    <w:multiLevelType w:val="multilevel"/>
    <w:tmpl w:val="1FA70D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ABF2D06"/>
    <w:multiLevelType w:val="multilevel"/>
    <w:tmpl w:val="2ABF2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3A40FF"/>
    <w:multiLevelType w:val="multilevel"/>
    <w:tmpl w:val="2D3A40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D9310A3"/>
    <w:multiLevelType w:val="multilevel"/>
    <w:tmpl w:val="2D9310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B21425"/>
    <w:multiLevelType w:val="multilevel"/>
    <w:tmpl w:val="2EB214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24128E2"/>
    <w:multiLevelType w:val="multilevel"/>
    <w:tmpl w:val="324128E2"/>
    <w:lvl w:ilvl="0">
      <w:start w:val="1"/>
      <w:numFmt w:val="lowerLetter"/>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9" w15:restartNumberingAfterBreak="0">
    <w:nsid w:val="363D0D69"/>
    <w:multiLevelType w:val="multilevel"/>
    <w:tmpl w:val="363D0D6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C397549"/>
    <w:multiLevelType w:val="multilevel"/>
    <w:tmpl w:val="4C39754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08C2AC3"/>
    <w:multiLevelType w:val="multilevel"/>
    <w:tmpl w:val="608C2AC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16401BC"/>
    <w:multiLevelType w:val="multilevel"/>
    <w:tmpl w:val="616401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7B7149B"/>
    <w:multiLevelType w:val="multilevel"/>
    <w:tmpl w:val="67B7149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C71349"/>
    <w:multiLevelType w:val="hybridMultilevel"/>
    <w:tmpl w:val="3D208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C107E1"/>
    <w:multiLevelType w:val="multilevel"/>
    <w:tmpl w:val="73C107E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2E69A8"/>
    <w:multiLevelType w:val="multilevel"/>
    <w:tmpl w:val="772E69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A38775B"/>
    <w:multiLevelType w:val="multilevel"/>
    <w:tmpl w:val="7A38775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88509837">
    <w:abstractNumId w:val="13"/>
  </w:num>
  <w:num w:numId="2" w16cid:durableId="1345010101">
    <w:abstractNumId w:val="15"/>
  </w:num>
  <w:num w:numId="3" w16cid:durableId="1959752588">
    <w:abstractNumId w:val="2"/>
  </w:num>
  <w:num w:numId="4" w16cid:durableId="364065056">
    <w:abstractNumId w:val="12"/>
  </w:num>
  <w:num w:numId="5" w16cid:durableId="125855585">
    <w:abstractNumId w:val="1"/>
  </w:num>
  <w:num w:numId="6" w16cid:durableId="1723482154">
    <w:abstractNumId w:val="3"/>
  </w:num>
  <w:num w:numId="7" w16cid:durableId="1929385087">
    <w:abstractNumId w:val="7"/>
  </w:num>
  <w:num w:numId="8" w16cid:durableId="237205740">
    <w:abstractNumId w:val="5"/>
  </w:num>
  <w:num w:numId="9" w16cid:durableId="66804836">
    <w:abstractNumId w:val="16"/>
  </w:num>
  <w:num w:numId="10" w16cid:durableId="1686638753">
    <w:abstractNumId w:val="10"/>
  </w:num>
  <w:num w:numId="11" w16cid:durableId="1649094494">
    <w:abstractNumId w:val="0"/>
  </w:num>
  <w:num w:numId="12" w16cid:durableId="368603379">
    <w:abstractNumId w:val="9"/>
  </w:num>
  <w:num w:numId="13" w16cid:durableId="1395395224">
    <w:abstractNumId w:val="11"/>
  </w:num>
  <w:num w:numId="14" w16cid:durableId="105662492">
    <w:abstractNumId w:val="17"/>
  </w:num>
  <w:num w:numId="15" w16cid:durableId="1662587075">
    <w:abstractNumId w:val="6"/>
  </w:num>
  <w:num w:numId="16" w16cid:durableId="1339887119">
    <w:abstractNumId w:val="4"/>
  </w:num>
  <w:num w:numId="17" w16cid:durableId="896085578">
    <w:abstractNumId w:val="8"/>
  </w:num>
  <w:num w:numId="18" w16cid:durableId="16759591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1NzezMDO3MDMxMbFU0lEKTi0uzszPAykwqgUAbvqtiCwAAAA="/>
  </w:docVars>
  <w:rsids>
    <w:rsidRoot w:val="130E20CA"/>
    <w:rsid w:val="000339E5"/>
    <w:rsid w:val="00074479"/>
    <w:rsid w:val="0007614C"/>
    <w:rsid w:val="000B3968"/>
    <w:rsid w:val="000D20DB"/>
    <w:rsid w:val="000E1A33"/>
    <w:rsid w:val="000F0B0A"/>
    <w:rsid w:val="00106A6E"/>
    <w:rsid w:val="00126E27"/>
    <w:rsid w:val="00127F8F"/>
    <w:rsid w:val="001430DE"/>
    <w:rsid w:val="0015600D"/>
    <w:rsid w:val="0018113C"/>
    <w:rsid w:val="00193310"/>
    <w:rsid w:val="001D51C7"/>
    <w:rsid w:val="00235C7F"/>
    <w:rsid w:val="00246E0B"/>
    <w:rsid w:val="00292A88"/>
    <w:rsid w:val="00297679"/>
    <w:rsid w:val="002B6DB3"/>
    <w:rsid w:val="002B6EBB"/>
    <w:rsid w:val="002E406E"/>
    <w:rsid w:val="002E42FE"/>
    <w:rsid w:val="002E4E20"/>
    <w:rsid w:val="00333BEA"/>
    <w:rsid w:val="00336FE3"/>
    <w:rsid w:val="00350EB3"/>
    <w:rsid w:val="00374315"/>
    <w:rsid w:val="00396B4F"/>
    <w:rsid w:val="003A17A9"/>
    <w:rsid w:val="003C0592"/>
    <w:rsid w:val="003F2B2E"/>
    <w:rsid w:val="003F6B87"/>
    <w:rsid w:val="0041630E"/>
    <w:rsid w:val="004461F3"/>
    <w:rsid w:val="004511BC"/>
    <w:rsid w:val="004547D6"/>
    <w:rsid w:val="00457D19"/>
    <w:rsid w:val="004767E9"/>
    <w:rsid w:val="00527A59"/>
    <w:rsid w:val="00551665"/>
    <w:rsid w:val="005B2D3A"/>
    <w:rsid w:val="005D3215"/>
    <w:rsid w:val="005F181E"/>
    <w:rsid w:val="00606FE4"/>
    <w:rsid w:val="006115FF"/>
    <w:rsid w:val="00620565"/>
    <w:rsid w:val="00625BDA"/>
    <w:rsid w:val="006327B9"/>
    <w:rsid w:val="0063304F"/>
    <w:rsid w:val="006714AF"/>
    <w:rsid w:val="0068109A"/>
    <w:rsid w:val="00694096"/>
    <w:rsid w:val="0069544E"/>
    <w:rsid w:val="006D3C7F"/>
    <w:rsid w:val="006F4D64"/>
    <w:rsid w:val="007738B8"/>
    <w:rsid w:val="007A224A"/>
    <w:rsid w:val="007C38C3"/>
    <w:rsid w:val="007C4E0E"/>
    <w:rsid w:val="008047C0"/>
    <w:rsid w:val="00850389"/>
    <w:rsid w:val="00850E21"/>
    <w:rsid w:val="0087097F"/>
    <w:rsid w:val="00872637"/>
    <w:rsid w:val="00884B4D"/>
    <w:rsid w:val="00887DDF"/>
    <w:rsid w:val="008B05D0"/>
    <w:rsid w:val="008B3E1A"/>
    <w:rsid w:val="008B4E25"/>
    <w:rsid w:val="008B743C"/>
    <w:rsid w:val="008B76F9"/>
    <w:rsid w:val="008C2B62"/>
    <w:rsid w:val="00917A00"/>
    <w:rsid w:val="00932A65"/>
    <w:rsid w:val="00964562"/>
    <w:rsid w:val="00A056F7"/>
    <w:rsid w:val="00A13A86"/>
    <w:rsid w:val="00A26AC3"/>
    <w:rsid w:val="00A32AF3"/>
    <w:rsid w:val="00A558AC"/>
    <w:rsid w:val="00A66FA1"/>
    <w:rsid w:val="00A9060B"/>
    <w:rsid w:val="00A97251"/>
    <w:rsid w:val="00AB6E74"/>
    <w:rsid w:val="00AE16DB"/>
    <w:rsid w:val="00B24EAD"/>
    <w:rsid w:val="00B2597C"/>
    <w:rsid w:val="00B62906"/>
    <w:rsid w:val="00B642C7"/>
    <w:rsid w:val="00B77B9A"/>
    <w:rsid w:val="00BA041E"/>
    <w:rsid w:val="00BB2500"/>
    <w:rsid w:val="00C27826"/>
    <w:rsid w:val="00C36B38"/>
    <w:rsid w:val="00C422B3"/>
    <w:rsid w:val="00C56CF6"/>
    <w:rsid w:val="00C73A66"/>
    <w:rsid w:val="00CB63D9"/>
    <w:rsid w:val="00CC169C"/>
    <w:rsid w:val="00D035CB"/>
    <w:rsid w:val="00D53ABA"/>
    <w:rsid w:val="00D616D2"/>
    <w:rsid w:val="00D676FF"/>
    <w:rsid w:val="00D8260C"/>
    <w:rsid w:val="00DA4E53"/>
    <w:rsid w:val="00DF130A"/>
    <w:rsid w:val="00E04869"/>
    <w:rsid w:val="00E26EC7"/>
    <w:rsid w:val="00E36B47"/>
    <w:rsid w:val="00E61D98"/>
    <w:rsid w:val="00E75BB3"/>
    <w:rsid w:val="00E82332"/>
    <w:rsid w:val="00EA54F8"/>
    <w:rsid w:val="00EE79E5"/>
    <w:rsid w:val="00EF455C"/>
    <w:rsid w:val="00F00246"/>
    <w:rsid w:val="00F35054"/>
    <w:rsid w:val="00F52902"/>
    <w:rsid w:val="00F85D5C"/>
    <w:rsid w:val="00F96FF1"/>
    <w:rsid w:val="00FB1328"/>
    <w:rsid w:val="00FC2F8E"/>
    <w:rsid w:val="00FD4956"/>
    <w:rsid w:val="02944E5B"/>
    <w:rsid w:val="036735C6"/>
    <w:rsid w:val="0A1D68AC"/>
    <w:rsid w:val="0B553FE2"/>
    <w:rsid w:val="130E20CA"/>
    <w:rsid w:val="1BC767FE"/>
    <w:rsid w:val="21BC76E5"/>
    <w:rsid w:val="23683F64"/>
    <w:rsid w:val="24FC4D41"/>
    <w:rsid w:val="25123DE1"/>
    <w:rsid w:val="2A5D4B5C"/>
    <w:rsid w:val="2B4D5018"/>
    <w:rsid w:val="2EBE2D45"/>
    <w:rsid w:val="2FE21398"/>
    <w:rsid w:val="363E0309"/>
    <w:rsid w:val="383D2534"/>
    <w:rsid w:val="39F01D9F"/>
    <w:rsid w:val="3A25235E"/>
    <w:rsid w:val="3D040CB5"/>
    <w:rsid w:val="3EA85341"/>
    <w:rsid w:val="454710BA"/>
    <w:rsid w:val="47861A1A"/>
    <w:rsid w:val="47CE672A"/>
    <w:rsid w:val="50346F21"/>
    <w:rsid w:val="565D343D"/>
    <w:rsid w:val="593F0F77"/>
    <w:rsid w:val="5F403799"/>
    <w:rsid w:val="624F23FA"/>
    <w:rsid w:val="717410B3"/>
    <w:rsid w:val="71B455DF"/>
    <w:rsid w:val="7DF93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1FE073"/>
  <w15:docId w15:val="{C479EA65-B34A-4532-88D6-644E61B8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qFormat="1"/>
    <w:lsdException w:name="footer" w:uiPriority="99" w:qFormat="1"/>
    <w:lsdException w:name="caption" w:unhideWhenUsed="1" w:qFormat="1"/>
    <w:lsdException w:name="table of figures" w:uiPriority="99"/>
    <w:lsdException w:name="annotation reference" w:qFormat="1"/>
    <w:lsdException w:name="Title" w:qFormat="1"/>
    <w:lsdException w:name="Default Paragraph Font" w:semiHidden="1" w:uiPriority="1" w:unhideWhenUsed="1"/>
    <w:lsdException w:name="Subtitle" w:qFormat="1"/>
    <w:lsdException w:name="Hyperlink" w:uiPriority="99"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qFormat/>
    <w:pPr>
      <w:spacing w:after="160" w:line="480" w:lineRule="auto"/>
      <w:jc w:val="center"/>
      <w:outlineLvl w:val="0"/>
    </w:pPr>
    <w:rPr>
      <w:rFonts w:eastAsia="Calibri"/>
      <w:b/>
      <w:bCs/>
      <w:kern w:val="2"/>
      <w:sz w:val="24"/>
      <w:szCs w:val="22"/>
      <w:lang w:eastAsia="zh-CN"/>
    </w:rPr>
  </w:style>
  <w:style w:type="paragraph" w:styleId="Heading2">
    <w:name w:val="heading 2"/>
    <w:next w:val="Normal"/>
    <w:link w:val="Heading2Char"/>
    <w:unhideWhenUsed/>
    <w:qFormat/>
    <w:pPr>
      <w:spacing w:after="160" w:line="256" w:lineRule="auto"/>
      <w:outlineLvl w:val="1"/>
    </w:pPr>
    <w:rPr>
      <w:rFonts w:eastAsia="Calibri"/>
      <w:b/>
      <w:bCs/>
      <w:kern w:val="2"/>
      <w:sz w:val="24"/>
      <w:szCs w:val="24"/>
      <w:lang w:eastAsia="zh-CN"/>
    </w:rPr>
  </w:style>
  <w:style w:type="paragraph" w:styleId="Heading3">
    <w:name w:val="heading 3"/>
    <w:basedOn w:val="Heading2"/>
    <w:next w:val="Normal"/>
    <w:link w:val="Heading3Char"/>
    <w:unhideWhenUsed/>
    <w:qFormat/>
    <w:pPr>
      <w:outlineLvl w:val="2"/>
    </w:pPr>
  </w:style>
  <w:style w:type="paragraph" w:styleId="Heading4">
    <w:name w:val="heading 4"/>
    <w:next w:val="Normal"/>
    <w:link w:val="Heading4Char"/>
    <w:semiHidden/>
    <w:unhideWhenUsed/>
    <w:qFormat/>
    <w:pPr>
      <w:keepNext/>
      <w:keepLines/>
      <w:spacing w:before="80" w:after="40" w:line="256" w:lineRule="auto"/>
      <w:outlineLvl w:val="3"/>
    </w:pPr>
    <w:rPr>
      <w:rFonts w:ascii="Calibri" w:eastAsia="Times New Roman" w:hAnsi="Calibri" w:hint="eastAsia"/>
      <w:i/>
      <w:iCs/>
      <w:color w:val="2F5496"/>
      <w:kern w:val="2"/>
      <w:sz w:val="24"/>
      <w:szCs w:val="22"/>
      <w:lang w:eastAsia="zh-CN"/>
    </w:rPr>
  </w:style>
  <w:style w:type="paragraph" w:styleId="Heading5">
    <w:name w:val="heading 5"/>
    <w:basedOn w:val="Normal"/>
    <w:next w:val="Normal"/>
    <w:link w:val="Heading5Char"/>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link w:val="Heading7Char"/>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link w:val="Heading8Char"/>
    <w:semiHidden/>
    <w:unhideWhenUsed/>
    <w:qFormat/>
    <w:pPr>
      <w:keepNext/>
      <w:keepLines/>
      <w:spacing w:before="240" w:after="64" w:line="320" w:lineRule="auto"/>
      <w:outlineLvl w:val="7"/>
    </w:pPr>
    <w:rPr>
      <w:sz w:val="24"/>
      <w:szCs w:val="24"/>
    </w:rPr>
  </w:style>
  <w:style w:type="paragraph" w:styleId="Heading9">
    <w:name w:val="heading 9"/>
    <w:basedOn w:val="Normal"/>
    <w:next w:val="Normal"/>
    <w:link w:val="Heading9Char"/>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spacing w:after="200"/>
    </w:pPr>
    <w:rPr>
      <w:i/>
      <w:iCs/>
      <w:color w:val="44546A" w:themeColor="text2"/>
      <w:sz w:val="18"/>
      <w:szCs w:val="18"/>
    </w:rPr>
  </w:style>
  <w:style w:type="character" w:styleId="CommentReference">
    <w:name w:val="annotation reference"/>
    <w:qFormat/>
    <w:rPr>
      <w:sz w:val="16"/>
      <w:szCs w:val="16"/>
    </w:rPr>
  </w:style>
  <w:style w:type="character" w:styleId="Emphasis">
    <w:name w:val="Emphasis"/>
    <w:basedOn w:val="DefaultParagraphFont"/>
    <w:qFormat/>
    <w:rPr>
      <w:i/>
      <w:iCs/>
    </w:rPr>
  </w:style>
  <w:style w:type="character" w:styleId="FollowedHyperlink">
    <w:name w:val="FollowedHyperlink"/>
    <w:qFormat/>
    <w:rPr>
      <w:color w:val="954F72"/>
      <w:u w:val="single"/>
    </w:rPr>
  </w:style>
  <w:style w:type="paragraph" w:styleId="Footer">
    <w:name w:val="footer"/>
    <w:link w:val="FooterChar"/>
    <w:uiPriority w:val="99"/>
    <w:qFormat/>
    <w:pPr>
      <w:tabs>
        <w:tab w:val="center" w:pos="4320"/>
        <w:tab w:val="right" w:pos="8640"/>
      </w:tabs>
    </w:pPr>
    <w:rPr>
      <w:rFonts w:ascii="Calibri" w:eastAsia="Times New Roman" w:hAnsi="Calibri" w:hint="eastAsia"/>
      <w:lang w:eastAsia="zh-CN"/>
    </w:rPr>
  </w:style>
  <w:style w:type="paragraph" w:styleId="Header">
    <w:name w:val="header"/>
    <w:basedOn w:val="Normal"/>
    <w:link w:val="HeaderChar"/>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uiPriority w:val="99"/>
    <w:qFormat/>
    <w:pPr>
      <w:spacing w:beforeAutospacing="1" w:afterAutospacing="1"/>
    </w:pPr>
    <w:rPr>
      <w:rFonts w:eastAsia="Times New Roman"/>
      <w:sz w:val="24"/>
      <w:szCs w:val="24"/>
      <w:lang w:eastAsia="zh-CN"/>
    </w:rPr>
  </w:style>
  <w:style w:type="character" w:styleId="Strong">
    <w:name w:val="Strong"/>
    <w:basedOn w:val="DefaultParagraphFont"/>
    <w:uiPriority w:val="22"/>
    <w:qFormat/>
    <w:rPr>
      <w:b/>
      <w:bCs/>
    </w:rPr>
  </w:style>
  <w:style w:type="paragraph" w:styleId="Subtitle">
    <w:name w:val="Subtitle"/>
    <w:basedOn w:val="Normal"/>
    <w:link w:val="SubtitleChar"/>
    <w:qFormat/>
    <w:pPr>
      <w:spacing w:before="240" w:after="60" w:line="312" w:lineRule="auto"/>
      <w:jc w:val="center"/>
      <w:outlineLvl w:val="1"/>
    </w:pPr>
    <w:rPr>
      <w:rFonts w:ascii="Arial" w:hAnsi="Arial" w:cs="Arial"/>
      <w:b/>
      <w:bCs/>
      <w:kern w:val="28"/>
      <w:sz w:val="32"/>
      <w:szCs w:val="32"/>
    </w:rPr>
  </w:style>
  <w:style w:type="table" w:styleId="TableGrid">
    <w:name w:val="Table Grid"/>
    <w:qFormat/>
    <w:rPr>
      <w:rFonts w:hint="eastAsia"/>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styleId="TableofFigures">
    <w:name w:val="table of figures"/>
    <w:basedOn w:val="Normal"/>
    <w:next w:val="Normal"/>
    <w:uiPriority w:val="99"/>
    <w:pPr>
      <w:ind w:leftChars="200" w:left="200" w:hangingChars="200" w:hanging="200"/>
    </w:pPr>
  </w:style>
  <w:style w:type="paragraph" w:styleId="Title">
    <w:name w:val="Title"/>
    <w:basedOn w:val="Normal"/>
    <w:next w:val="Normal"/>
    <w:link w:val="TitleChar"/>
    <w:qFormat/>
    <w:rPr>
      <w:rFonts w:ascii="Times New Roman" w:hAnsi="Times New Roman" w:cs="Times New Roman"/>
      <w:b/>
      <w:bCs/>
      <w:sz w:val="24"/>
      <w:szCs w:val="24"/>
    </w:rPr>
  </w:style>
  <w:style w:type="paragraph" w:styleId="TOC1">
    <w:name w:val="toc 1"/>
    <w:basedOn w:val="Normal"/>
    <w:next w:val="Normal"/>
    <w:autoRedefine/>
    <w:uiPriority w:val="39"/>
    <w:qFormat/>
    <w:pPr>
      <w:spacing w:after="100"/>
    </w:pPr>
  </w:style>
  <w:style w:type="paragraph" w:styleId="TOC2">
    <w:name w:val="toc 2"/>
    <w:basedOn w:val="Normal"/>
    <w:next w:val="Normal"/>
    <w:autoRedefine/>
    <w:uiPriority w:val="39"/>
    <w:qFormat/>
    <w:pPr>
      <w:spacing w:after="100"/>
      <w:ind w:left="200"/>
    </w:pPr>
  </w:style>
  <w:style w:type="paragraph" w:styleId="TOC3">
    <w:name w:val="toc 3"/>
    <w:basedOn w:val="Normal"/>
    <w:next w:val="Normal"/>
    <w:autoRedefine/>
    <w:uiPriority w:val="39"/>
    <w:qFormat/>
    <w:pPr>
      <w:spacing w:after="100"/>
      <w:ind w:left="400"/>
    </w:pPr>
  </w:style>
  <w:style w:type="paragraph" w:styleId="TOC4">
    <w:name w:val="toc 4"/>
    <w:basedOn w:val="Normal"/>
    <w:next w:val="Normal"/>
    <w:autoRedefine/>
    <w:uiPriority w:val="39"/>
    <w:unhideWhenUsed/>
    <w:qFormat/>
    <w:pPr>
      <w:spacing w:after="100" w:line="278" w:lineRule="auto"/>
      <w:ind w:left="720"/>
    </w:pPr>
    <w:rPr>
      <w:kern w:val="2"/>
      <w:sz w:val="24"/>
      <w:szCs w:val="24"/>
      <w:lang w:eastAsia="en-US"/>
      <w14:ligatures w14:val="standardContextual"/>
    </w:rPr>
  </w:style>
  <w:style w:type="paragraph" w:styleId="TOC5">
    <w:name w:val="toc 5"/>
    <w:basedOn w:val="Normal"/>
    <w:next w:val="Normal"/>
    <w:autoRedefine/>
    <w:uiPriority w:val="39"/>
    <w:unhideWhenUsed/>
    <w:qFormat/>
    <w:pPr>
      <w:spacing w:after="100" w:line="278" w:lineRule="auto"/>
      <w:ind w:left="960"/>
    </w:pPr>
    <w:rPr>
      <w:kern w:val="2"/>
      <w:sz w:val="24"/>
      <w:szCs w:val="24"/>
      <w:lang w:eastAsia="en-US"/>
      <w14:ligatures w14:val="standardContextual"/>
    </w:rPr>
  </w:style>
  <w:style w:type="paragraph" w:styleId="TOC6">
    <w:name w:val="toc 6"/>
    <w:basedOn w:val="Normal"/>
    <w:next w:val="Normal"/>
    <w:autoRedefine/>
    <w:uiPriority w:val="39"/>
    <w:unhideWhenUsed/>
    <w:qFormat/>
    <w:pPr>
      <w:spacing w:after="100" w:line="278" w:lineRule="auto"/>
      <w:ind w:left="1200"/>
    </w:pPr>
    <w:rPr>
      <w:kern w:val="2"/>
      <w:sz w:val="24"/>
      <w:szCs w:val="24"/>
      <w:lang w:eastAsia="en-US"/>
      <w14:ligatures w14:val="standardContextual"/>
    </w:rPr>
  </w:style>
  <w:style w:type="paragraph" w:styleId="TOC7">
    <w:name w:val="toc 7"/>
    <w:basedOn w:val="Normal"/>
    <w:next w:val="Normal"/>
    <w:autoRedefine/>
    <w:uiPriority w:val="39"/>
    <w:unhideWhenUsed/>
    <w:qFormat/>
    <w:pPr>
      <w:spacing w:after="100" w:line="278" w:lineRule="auto"/>
      <w:ind w:left="1440"/>
    </w:pPr>
    <w:rPr>
      <w:kern w:val="2"/>
      <w:sz w:val="24"/>
      <w:szCs w:val="24"/>
      <w:lang w:eastAsia="en-US"/>
      <w14:ligatures w14:val="standardContextual"/>
    </w:rPr>
  </w:style>
  <w:style w:type="paragraph" w:styleId="TOC8">
    <w:name w:val="toc 8"/>
    <w:basedOn w:val="Normal"/>
    <w:next w:val="Normal"/>
    <w:autoRedefine/>
    <w:uiPriority w:val="39"/>
    <w:unhideWhenUsed/>
    <w:qFormat/>
    <w:pPr>
      <w:spacing w:after="100" w:line="278" w:lineRule="auto"/>
      <w:ind w:left="1680"/>
    </w:pPr>
    <w:rPr>
      <w:kern w:val="2"/>
      <w:sz w:val="24"/>
      <w:szCs w:val="24"/>
      <w:lang w:eastAsia="en-US"/>
      <w14:ligatures w14:val="standardContextual"/>
    </w:rPr>
  </w:style>
  <w:style w:type="paragraph" w:styleId="TOC9">
    <w:name w:val="toc 9"/>
    <w:basedOn w:val="Normal"/>
    <w:next w:val="Normal"/>
    <w:autoRedefine/>
    <w:uiPriority w:val="39"/>
    <w:unhideWhenUsed/>
    <w:qFormat/>
    <w:pPr>
      <w:spacing w:after="100" w:line="278" w:lineRule="auto"/>
      <w:ind w:left="1920"/>
    </w:pPr>
    <w:rPr>
      <w:kern w:val="2"/>
      <w:sz w:val="24"/>
      <w:szCs w:val="24"/>
      <w:lang w:eastAsia="en-US"/>
      <w14:ligatures w14:val="standardContextual"/>
    </w:rPr>
  </w:style>
  <w:style w:type="character" w:customStyle="1" w:styleId="TitleChar">
    <w:name w:val="Title Char"/>
    <w:link w:val="Title"/>
    <w:qFormat/>
    <w:rPr>
      <w:rFonts w:eastAsiaTheme="minorEastAsia"/>
      <w:b/>
      <w:bCs/>
      <w:sz w:val="24"/>
      <w:szCs w:val="24"/>
      <w:lang w:eastAsia="zh-CN"/>
    </w:rPr>
  </w:style>
  <w:style w:type="paragraph" w:customStyle="1" w:styleId="z-BottomofForm1">
    <w:name w:val="z-Bottom of Form1"/>
    <w:link w:val="z-BottomofFormChar"/>
    <w:qFormat/>
    <w:pPr>
      <w:pBdr>
        <w:top w:val="single" w:sz="6" w:space="1" w:color="auto"/>
      </w:pBdr>
      <w:jc w:val="center"/>
    </w:pPr>
    <w:rPr>
      <w:rFonts w:ascii="Arial" w:eastAsia="Times New Roman" w:hAnsi="Arial"/>
      <w:vanish/>
      <w:sz w:val="16"/>
      <w:szCs w:val="16"/>
      <w:lang w:eastAsia="zh-CN"/>
    </w:rPr>
  </w:style>
  <w:style w:type="character" w:customStyle="1" w:styleId="Heading5Char">
    <w:name w:val="Heading 5 Char"/>
    <w:link w:val="Heading5"/>
    <w:qFormat/>
    <w:rPr>
      <w:rFonts w:ascii="Times New Roman" w:eastAsia="Times New Roman" w:hAnsi="Times New Roman" w:cs="Times New Roman" w:hint="default"/>
      <w:color w:val="2F5496"/>
      <w:sz w:val="24"/>
    </w:rPr>
  </w:style>
  <w:style w:type="character" w:customStyle="1" w:styleId="FooterChar">
    <w:name w:val="Footer Char"/>
    <w:link w:val="Footer"/>
    <w:uiPriority w:val="99"/>
    <w:qFormat/>
    <w:rPr>
      <w:rFonts w:ascii="Times New Roman" w:eastAsia="Times New Roman" w:hAnsi="Times New Roman" w:cs="Times New Roman" w:hint="default"/>
      <w:kern w:val="0"/>
      <w:sz w:val="20"/>
      <w:szCs w:val="20"/>
      <w:lang w:eastAsia="zh-CN"/>
    </w:rPr>
  </w:style>
  <w:style w:type="character" w:customStyle="1" w:styleId="z-BottomofFormChar">
    <w:name w:val="z-Bottom of Form Char"/>
    <w:link w:val="z-BottomofForm1"/>
    <w:qFormat/>
    <w:rPr>
      <w:rFonts w:ascii="Arial" w:eastAsia="Times New Roman" w:hAnsi="Arial" w:cs="Arial" w:hint="default"/>
      <w:vanish/>
      <w:kern w:val="0"/>
      <w:sz w:val="16"/>
      <w:szCs w:val="16"/>
      <w:lang w:val="en-US" w:eastAsia="en-US"/>
    </w:rPr>
  </w:style>
  <w:style w:type="character" w:customStyle="1" w:styleId="Heading2Char">
    <w:name w:val="Heading 2 Char"/>
    <w:link w:val="Heading2"/>
    <w:qFormat/>
    <w:rPr>
      <w:rFonts w:eastAsia="Calibri"/>
      <w:b/>
      <w:bCs/>
      <w:kern w:val="2"/>
      <w:sz w:val="24"/>
      <w:szCs w:val="24"/>
      <w:lang w:eastAsia="zh-CN"/>
    </w:rPr>
  </w:style>
  <w:style w:type="character" w:customStyle="1" w:styleId="Heading1Char">
    <w:name w:val="Heading 1 Char"/>
    <w:link w:val="Heading1"/>
    <w:qFormat/>
    <w:rPr>
      <w:rFonts w:eastAsia="Calibri"/>
      <w:b/>
      <w:bCs/>
      <w:kern w:val="2"/>
      <w:sz w:val="24"/>
      <w:szCs w:val="22"/>
      <w:lang w:eastAsia="zh-CN"/>
    </w:rPr>
  </w:style>
  <w:style w:type="character" w:customStyle="1" w:styleId="IntenseQuoteChar">
    <w:name w:val="Intense Quote Char"/>
    <w:qFormat/>
    <w:rPr>
      <w:rFonts w:ascii="Times New Roman" w:hAnsi="Times New Roman" w:cs="Times New Roman" w:hint="default"/>
      <w:i/>
      <w:iCs/>
      <w:color w:val="2F5496"/>
      <w:sz w:val="24"/>
    </w:rPr>
  </w:style>
  <w:style w:type="character" w:customStyle="1" w:styleId="SubtitleChar">
    <w:name w:val="Subtitle Char"/>
    <w:link w:val="Subtitle"/>
    <w:qFormat/>
    <w:rPr>
      <w:rFonts w:ascii="Times New Roman" w:eastAsia="Times New Roman" w:hAnsi="Times New Roman" w:cs="Times New Roman" w:hint="default"/>
      <w:color w:val="595959"/>
      <w:spacing w:val="15"/>
      <w:sz w:val="28"/>
      <w:szCs w:val="28"/>
    </w:rPr>
  </w:style>
  <w:style w:type="character" w:customStyle="1" w:styleId="QuoteChar">
    <w:name w:val="Quote Char"/>
    <w:qFormat/>
    <w:rPr>
      <w:rFonts w:ascii="Times New Roman" w:hAnsi="Times New Roman" w:cs="Times New Roman" w:hint="default"/>
      <w:i/>
      <w:iCs/>
      <w:color w:val="404040"/>
      <w:sz w:val="24"/>
    </w:rPr>
  </w:style>
  <w:style w:type="paragraph" w:customStyle="1" w:styleId="z-TopofForm1">
    <w:name w:val="z-Top of Form1"/>
    <w:link w:val="z-TopofFormChar"/>
    <w:qFormat/>
    <w:pPr>
      <w:pBdr>
        <w:bottom w:val="single" w:sz="6" w:space="1" w:color="auto"/>
      </w:pBdr>
      <w:jc w:val="center"/>
    </w:pPr>
    <w:rPr>
      <w:rFonts w:ascii="Arial" w:eastAsia="Times New Roman" w:hAnsi="Arial"/>
      <w:vanish/>
      <w:sz w:val="16"/>
      <w:szCs w:val="16"/>
      <w:lang w:eastAsia="zh-CN"/>
    </w:rPr>
  </w:style>
  <w:style w:type="character" w:customStyle="1" w:styleId="ArinzeStyleChar">
    <w:name w:val="Arinze Style Char"/>
    <w:qFormat/>
    <w:rPr>
      <w:rFonts w:ascii="Times New Roman" w:hAnsi="Times New Roman" w:cs="Times New Roman" w:hint="default"/>
      <w:b/>
      <w:sz w:val="24"/>
      <w:szCs w:val="24"/>
    </w:rPr>
  </w:style>
  <w:style w:type="character" w:customStyle="1" w:styleId="msointenseemphasis0">
    <w:name w:val="msointenseemphasis"/>
    <w:qFormat/>
    <w:rPr>
      <w:i/>
      <w:iCs/>
      <w:color w:val="2F5496"/>
    </w:rPr>
  </w:style>
  <w:style w:type="character" w:customStyle="1" w:styleId="Heading8Char">
    <w:name w:val="Heading 8 Char"/>
    <w:link w:val="Heading8"/>
    <w:qFormat/>
    <w:rPr>
      <w:rFonts w:ascii="Times New Roman" w:eastAsia="Times New Roman" w:hAnsi="Times New Roman" w:cs="Times New Roman" w:hint="default"/>
      <w:i/>
      <w:iCs/>
      <w:color w:val="272727"/>
      <w:sz w:val="24"/>
    </w:rPr>
  </w:style>
  <w:style w:type="character" w:customStyle="1" w:styleId="msointensereference0">
    <w:name w:val="msointensereference"/>
    <w:qFormat/>
    <w:rPr>
      <w:b/>
      <w:bCs/>
      <w:smallCaps/>
      <w:color w:val="2F5496"/>
      <w:spacing w:val="5"/>
    </w:rPr>
  </w:style>
  <w:style w:type="character" w:customStyle="1" w:styleId="Heading4Char">
    <w:name w:val="Heading 4 Char"/>
    <w:link w:val="Heading4"/>
    <w:qFormat/>
    <w:rPr>
      <w:rFonts w:ascii="Times New Roman" w:eastAsia="Times New Roman" w:hAnsi="Times New Roman" w:cs="Times New Roman" w:hint="default"/>
      <w:i/>
      <w:iCs/>
      <w:color w:val="2F5496"/>
      <w:sz w:val="24"/>
    </w:rPr>
  </w:style>
  <w:style w:type="character" w:customStyle="1" w:styleId="Heading3Char">
    <w:name w:val="Heading 3 Char"/>
    <w:link w:val="Heading3"/>
    <w:qFormat/>
    <w:rPr>
      <w:rFonts w:eastAsia="Calibri"/>
      <w:b/>
      <w:bCs/>
      <w:kern w:val="2"/>
      <w:sz w:val="24"/>
      <w:szCs w:val="24"/>
      <w:lang w:eastAsia="zh-CN"/>
    </w:rPr>
  </w:style>
  <w:style w:type="character" w:customStyle="1" w:styleId="z-TopofFormChar">
    <w:name w:val="z-Top of Form Char"/>
    <w:link w:val="z-TopofForm1"/>
    <w:qFormat/>
    <w:rPr>
      <w:rFonts w:ascii="Arial" w:eastAsia="Times New Roman" w:hAnsi="Arial" w:cs="Arial" w:hint="default"/>
      <w:vanish/>
      <w:kern w:val="0"/>
      <w:sz w:val="16"/>
      <w:szCs w:val="16"/>
      <w:lang w:val="en-US" w:eastAsia="en-US"/>
    </w:rPr>
  </w:style>
  <w:style w:type="character" w:customStyle="1" w:styleId="Heading6Char">
    <w:name w:val="Heading 6 Char"/>
    <w:link w:val="Heading6"/>
    <w:qFormat/>
    <w:rPr>
      <w:rFonts w:ascii="Times New Roman" w:eastAsia="Times New Roman" w:hAnsi="Times New Roman" w:cs="Times New Roman" w:hint="default"/>
      <w:i/>
      <w:iCs/>
      <w:color w:val="595959"/>
      <w:sz w:val="24"/>
    </w:rPr>
  </w:style>
  <w:style w:type="character" w:customStyle="1" w:styleId="Heading7Char">
    <w:name w:val="Heading 7 Char"/>
    <w:link w:val="Heading7"/>
    <w:qFormat/>
    <w:rPr>
      <w:rFonts w:ascii="Times New Roman" w:eastAsia="Times New Roman" w:hAnsi="Times New Roman" w:cs="Times New Roman" w:hint="default"/>
      <w:color w:val="595959"/>
      <w:sz w:val="24"/>
    </w:rPr>
  </w:style>
  <w:style w:type="character" w:customStyle="1" w:styleId="Heading9Char">
    <w:name w:val="Heading 9 Char"/>
    <w:link w:val="Heading9"/>
    <w:qFormat/>
    <w:rPr>
      <w:rFonts w:ascii="Times New Roman" w:eastAsia="Times New Roman" w:hAnsi="Times New Roman" w:cs="Times New Roman" w:hint="default"/>
      <w:color w:val="272727"/>
      <w:sz w:val="24"/>
    </w:rPr>
  </w:style>
  <w:style w:type="character" w:customStyle="1" w:styleId="ListofFiguresChar">
    <w:name w:val="List of Figures Char"/>
    <w:rPr>
      <w:rFonts w:ascii="Times New Roman" w:hAnsi="Times New Roman" w:cs="Times New Roman" w:hint="default"/>
      <w:b/>
      <w:bCs/>
      <w:color w:val="44546A"/>
      <w:sz w:val="24"/>
      <w:szCs w:val="18"/>
    </w:rPr>
  </w:style>
  <w:style w:type="paragraph" w:customStyle="1" w:styleId="DeptAddress">
    <w:name w:val="DeptAddress"/>
    <w:pPr>
      <w:tabs>
        <w:tab w:val="left" w:pos="7200"/>
      </w:tabs>
      <w:ind w:left="7200"/>
    </w:pPr>
    <w:rPr>
      <w:rFonts w:ascii="TheSans B4 SemiLight" w:eastAsia="Times New Roman" w:hAnsi="TheSans B4 SemiLight"/>
      <w:sz w:val="18"/>
      <w:szCs w:val="18"/>
      <w:lang w:eastAsia="zh-CN"/>
    </w:rPr>
  </w:style>
  <w:style w:type="paragraph" w:customStyle="1" w:styleId="msonospacing0">
    <w:name w:val="msonospacing"/>
    <w:rPr>
      <w:rFonts w:ascii="Calibri" w:eastAsia="Calibri" w:hAnsi="Calibri"/>
      <w:sz w:val="22"/>
      <w:szCs w:val="22"/>
      <w:lang w:eastAsia="zh-CN"/>
    </w:rPr>
  </w:style>
  <w:style w:type="character" w:customStyle="1" w:styleId="apple-converted-space">
    <w:name w:val="apple-converted-space"/>
  </w:style>
  <w:style w:type="paragraph" w:customStyle="1" w:styleId="Style47">
    <w:name w:val="_Style 47"/>
    <w:basedOn w:val="Normal"/>
    <w:next w:val="Normal"/>
    <w:pPr>
      <w:pBdr>
        <w:bottom w:val="single" w:sz="6" w:space="1" w:color="auto"/>
      </w:pBdr>
      <w:jc w:val="center"/>
    </w:pPr>
    <w:rPr>
      <w:rFonts w:ascii="Arial" w:eastAsia="SimSun"/>
      <w:vanish/>
      <w:sz w:val="16"/>
    </w:rPr>
  </w:style>
  <w:style w:type="paragraph" w:customStyle="1" w:styleId="Style48">
    <w:name w:val="_Style 48"/>
    <w:basedOn w:val="Normal"/>
    <w:next w:val="Normal"/>
    <w:pPr>
      <w:pBdr>
        <w:top w:val="single" w:sz="6" w:space="1" w:color="auto"/>
      </w:pBdr>
      <w:jc w:val="center"/>
    </w:pPr>
    <w:rPr>
      <w:rFonts w:ascii="Arial" w:eastAsia="SimSun"/>
      <w:vanish/>
      <w:sz w:val="16"/>
    </w:rPr>
  </w:style>
  <w:style w:type="paragraph" w:customStyle="1" w:styleId="Style49">
    <w:name w:val="_Style 49"/>
    <w:basedOn w:val="Normal"/>
    <w:next w:val="Normal"/>
    <w:pPr>
      <w:pBdr>
        <w:bottom w:val="single" w:sz="6" w:space="1" w:color="auto"/>
      </w:pBdr>
      <w:jc w:val="center"/>
    </w:pPr>
    <w:rPr>
      <w:rFonts w:ascii="Arial" w:eastAsia="SimSun"/>
      <w:vanish/>
      <w:sz w:val="16"/>
    </w:rPr>
  </w:style>
  <w:style w:type="paragraph" w:customStyle="1" w:styleId="Style50">
    <w:name w:val="_Style 50"/>
    <w:basedOn w:val="Normal"/>
    <w:next w:val="Normal"/>
    <w:pPr>
      <w:pBdr>
        <w:top w:val="single" w:sz="6" w:space="1" w:color="auto"/>
      </w:pBdr>
      <w:jc w:val="center"/>
    </w:pPr>
    <w:rPr>
      <w:rFonts w:ascii="Arial" w:eastAsia="SimSun"/>
      <w:vanish/>
      <w:sz w:val="16"/>
    </w:rPr>
  </w:style>
  <w:style w:type="paragraph" w:styleId="ListParagraph">
    <w:name w:val="List Paragraph"/>
    <w:basedOn w:val="Normal"/>
    <w:uiPriority w:val="34"/>
    <w:unhideWhenUsed/>
    <w:qFormat/>
    <w:pPr>
      <w:ind w:left="720"/>
      <w:contextualSpacing/>
    </w:pPr>
  </w:style>
  <w:style w:type="character" w:customStyle="1" w:styleId="BookTitle1">
    <w:name w:val="Book Title1"/>
    <w:uiPriority w:val="33"/>
    <w:qFormat/>
    <w:rPr>
      <w:rFonts w:ascii="Times New Roman" w:hAnsi="Times New Roman" w:cs="Times New Roman"/>
      <w:b/>
      <w:bCs/>
      <w:sz w:val="24"/>
      <w:szCs w:val="24"/>
    </w:rPr>
  </w:style>
  <w:style w:type="character" w:customStyle="1" w:styleId="HeaderChar">
    <w:name w:val="Header Char"/>
    <w:basedOn w:val="DefaultParagraphFont"/>
    <w:link w:val="Header"/>
    <w:rPr>
      <w:rFonts w:asciiTheme="minorHAnsi" w:eastAsiaTheme="minorEastAsia" w:hAnsiTheme="minorHAnsi" w:cstheme="minorBidi"/>
      <w:lang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5F181E"/>
    <w:rPr>
      <w:color w:val="605E5C"/>
      <w:shd w:val="clear" w:color="auto" w:fill="E1DFDD"/>
    </w:rPr>
  </w:style>
  <w:style w:type="paragraph" w:styleId="NoSpacing">
    <w:name w:val="No Spacing"/>
    <w:uiPriority w:val="1"/>
    <w:qFormat/>
    <w:rsid w:val="00457D19"/>
    <w:rPr>
      <w:rFonts w:asciiTheme="minorHAnsi" w:eastAsiaTheme="minorHAnsi" w:hAnsiTheme="minorHAnsi" w:cstheme="minorBidi"/>
      <w:sz w:val="22"/>
      <w:szCs w:val="22"/>
      <w:lang w:val="en-GB"/>
    </w:rPr>
  </w:style>
  <w:style w:type="paragraph" w:customStyle="1" w:styleId="isselectedend">
    <w:name w:val="isselectedend"/>
    <w:basedOn w:val="Normal"/>
    <w:rsid w:val="000F0B0A"/>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68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2026)%20RESEARCH\AMANDA%20MARC'S\Amanda%20Marcus%20questionnaire%20(Respons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Sheet3!$F$2:$F$5</c:f>
              <c:strCache>
                <c:ptCount val="4"/>
                <c:pt idx="0">
                  <c:v>Less than 5 years</c:v>
                </c:pt>
                <c:pt idx="1">
                  <c:v>5 - 10 years</c:v>
                </c:pt>
                <c:pt idx="2">
                  <c:v>11 - 15 years</c:v>
                </c:pt>
                <c:pt idx="3">
                  <c:v>Above 15 years</c:v>
                </c:pt>
              </c:strCache>
            </c:strRef>
          </c:cat>
          <c:val>
            <c:numRef>
              <c:f>Sheet3!$I$2:$I$5</c:f>
              <c:numCache>
                <c:formatCode>0.0%</c:formatCode>
                <c:ptCount val="4"/>
                <c:pt idx="0">
                  <c:v>0.32900000000000001</c:v>
                </c:pt>
                <c:pt idx="1">
                  <c:v>0.21099999999999999</c:v>
                </c:pt>
                <c:pt idx="2">
                  <c:v>0.223</c:v>
                </c:pt>
                <c:pt idx="3">
                  <c:v>0.23699999999999999</c:v>
                </c:pt>
              </c:numCache>
            </c:numRef>
          </c:val>
          <c:extLst>
            <c:ext xmlns:c16="http://schemas.microsoft.com/office/drawing/2014/chart" uri="{C3380CC4-5D6E-409C-BE32-E72D297353CC}">
              <c16:uniqueId val="{00000000-E363-4111-9EE9-C7B8387FDC8C}"/>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Experience</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df6d0a9e-f22e-4d2a-b601-0000f4b40cf6}"/>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Sheet3!$F$7:$F$10</c:f>
              <c:strCache>
                <c:ptCount val="4"/>
                <c:pt idx="0">
                  <c:v>Less than 1 year</c:v>
                </c:pt>
                <c:pt idx="1">
                  <c:v>1 - 5 years</c:v>
                </c:pt>
                <c:pt idx="2">
                  <c:v>6 - 10 years</c:v>
                </c:pt>
                <c:pt idx="3">
                  <c:v>Above 10 years</c:v>
                </c:pt>
              </c:strCache>
            </c:strRef>
          </c:cat>
          <c:val>
            <c:numRef>
              <c:f>Sheet3!$I$7:$I$10</c:f>
              <c:numCache>
                <c:formatCode>0.0%</c:formatCode>
                <c:ptCount val="4"/>
                <c:pt idx="0">
                  <c:v>0.42099999999999999</c:v>
                </c:pt>
                <c:pt idx="1">
                  <c:v>0.39500000000000002</c:v>
                </c:pt>
                <c:pt idx="2">
                  <c:v>0.14499999999999999</c:v>
                </c:pt>
                <c:pt idx="3">
                  <c:v>3.9E-2</c:v>
                </c:pt>
              </c:numCache>
            </c:numRef>
          </c:val>
          <c:extLst>
            <c:ext xmlns:c16="http://schemas.microsoft.com/office/drawing/2014/chart" uri="{C3380CC4-5D6E-409C-BE32-E72D297353CC}">
              <c16:uniqueId val="{00000000-7FF5-4721-89F8-8739FDA036C6}"/>
            </c:ext>
          </c:extLst>
        </c:ser>
        <c:dLbls>
          <c:showLegendKey val="0"/>
          <c:showVal val="1"/>
          <c:showCatName val="0"/>
          <c:showSerName val="0"/>
          <c:showPercent val="0"/>
          <c:showBubbleSize val="0"/>
        </c:dLbls>
        <c:gapWidth val="164"/>
        <c:overlap val="-22"/>
        <c:axId val="1603239488"/>
        <c:axId val="1603229888"/>
      </c:barChart>
      <c:catAx>
        <c:axId val="1603239488"/>
        <c:scaling>
          <c:orientation val="minMax"/>
        </c:scaling>
        <c:delete val="0"/>
        <c:axPos val="b"/>
        <c:title>
          <c:tx>
            <c:rich>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Years of working in ANC/ Immunization Clinics</a:t>
                </a:r>
              </a:p>
            </c:rich>
          </c:tx>
          <c:overlay val="0"/>
          <c:spPr>
            <a:noFill/>
            <a:ln>
              <a:noFill/>
            </a:ln>
            <a:effectLst/>
          </c:spPr>
          <c:txPr>
            <a:bodyPr rot="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29888"/>
        <c:crosses val="autoZero"/>
        <c:auto val="1"/>
        <c:lblAlgn val="ctr"/>
        <c:lblOffset val="100"/>
        <c:noMultiLvlLbl val="0"/>
      </c:catAx>
      <c:valAx>
        <c:axId val="1603229888"/>
        <c:scaling>
          <c:orientation val="minMax"/>
        </c:scaling>
        <c:delete val="0"/>
        <c:axPos val="l"/>
        <c:title>
          <c:tx>
            <c:rich>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lang="en-GB"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03239488"/>
        <c:crosses val="autoZero"/>
        <c:crossBetween val="between"/>
      </c:valAx>
      <c:spPr>
        <a:noFill/>
        <a:ln>
          <a:noFill/>
        </a:ln>
        <a:effectLst/>
      </c:spPr>
    </c:plotArea>
    <c:plotVisOnly val="1"/>
    <c:dispBlanksAs val="gap"/>
    <c:showDLblsOverMax val="0"/>
    <c:extLst>
      <c:ext uri="{0b15fc19-7d7d-44ad-8c2d-2c3a37ce22c3}">
        <chartProps xmlns="https://web.wps.cn/et/2018/main" chartId="{b2faec97-ce13-411f-bd57-e8547668df1e}"/>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98E5A6BF-2024-4245-B07C-9E17FF8AFA3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4942</Words>
  <Characters>28175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AJRMMS 2634</dc:title>
  <dc:subject>Edited manuscript</dc:subject>
  <dc:creator>User</dc:creator>
  <cp:lastModifiedBy>SDI 1020</cp:lastModifiedBy>
  <cp:revision>30</cp:revision>
  <dcterms:created xsi:type="dcterms:W3CDTF">2026-05-08T05:09:00Z</dcterms:created>
  <dcterms:modified xsi:type="dcterms:W3CDTF">2026-06-22T05:18:00Z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0BF000167C164F5B955047D002437334_11</vt:lpwstr>
  </property>
  <property fmtid="{D5CDD505-2E9C-101B-9397-08002B2CF9AE}" pid="4" name="GrammarlyDocumentId">
    <vt:lpwstr>b3005373-9f91-4405-8c6c-eb72ff61fd1f</vt:lpwstr>
  </property>
</Properties>
</file>