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1A852" w14:textId="77777777" w:rsidR="006872DA" w:rsidRDefault="006872DA" w:rsidP="001949D5">
      <w:pPr>
        <w:pStyle w:val="NormalWeb"/>
        <w:jc w:val="center"/>
        <w:rPr>
          <w:b/>
        </w:rPr>
      </w:pPr>
      <w:r w:rsidRPr="006F3BAC">
        <w:rPr>
          <w:b/>
          <w:bCs/>
          <w:highlight w:val="yellow"/>
        </w:rPr>
        <w:t>PREVALENCE AND</w:t>
      </w:r>
      <w:r w:rsidRPr="006F3BAC">
        <w:rPr>
          <w:b/>
          <w:highlight w:val="yellow"/>
        </w:rPr>
        <w:t xml:space="preserve"> IMPACT OF PERCEIVED JOB STRESS ON WORK OUTPUT AMONG PUBLIC HEALTH NURSES IN SELECTED HEALTHCARE FACILITIES IN YENAGOA, BAYELSA STATE</w:t>
      </w:r>
      <w:r w:rsidR="00601D79" w:rsidRPr="006F3BAC">
        <w:rPr>
          <w:b/>
          <w:highlight w:val="yellow"/>
        </w:rPr>
        <w:t>, NIGERIA</w:t>
      </w:r>
    </w:p>
    <w:p w14:paraId="44733E83" w14:textId="77777777" w:rsidR="00673BB7" w:rsidRPr="00417355" w:rsidRDefault="00673BB7" w:rsidP="00673BB7">
      <w:pPr>
        <w:jc w:val="center"/>
        <w:rPr>
          <w:rFonts w:ascii="Cambria" w:eastAsia="Times New Roman" w:hAnsi="Cambria" w:cs="Calibri"/>
          <w:color w:val="000000"/>
          <w:sz w:val="20"/>
          <w:szCs w:val="20"/>
          <w:lang w:val="en-IN" w:eastAsia="en-IN"/>
        </w:rPr>
      </w:pPr>
    </w:p>
    <w:p w14:paraId="1431F093" w14:textId="77777777" w:rsidR="00673BB7" w:rsidRPr="00417355" w:rsidRDefault="00673BB7" w:rsidP="001949D5">
      <w:pPr>
        <w:spacing w:line="240" w:lineRule="auto"/>
        <w:jc w:val="center"/>
      </w:pPr>
    </w:p>
    <w:p w14:paraId="5AE6E7BB" w14:textId="77777777" w:rsidR="006872DA" w:rsidRPr="00417355" w:rsidRDefault="006872DA" w:rsidP="001949D5">
      <w:pPr>
        <w:spacing w:line="240" w:lineRule="auto"/>
        <w:jc w:val="center"/>
        <w:rPr>
          <w:rFonts w:ascii="Times New Roman" w:hAnsi="Times New Roman" w:cs="Times New Roman"/>
          <w:b/>
          <w:bCs/>
          <w:sz w:val="28"/>
          <w:szCs w:val="30"/>
        </w:rPr>
      </w:pPr>
    </w:p>
    <w:p w14:paraId="6754D0D7" w14:textId="77777777" w:rsidR="006872DA" w:rsidRPr="00417355" w:rsidRDefault="006872DA" w:rsidP="001949D5">
      <w:pPr>
        <w:spacing w:line="240" w:lineRule="auto"/>
        <w:jc w:val="center"/>
        <w:rPr>
          <w:rFonts w:ascii="Times New Roman" w:hAnsi="Times New Roman" w:cs="Times New Roman"/>
          <w:b/>
          <w:bCs/>
          <w:sz w:val="24"/>
          <w:szCs w:val="24"/>
        </w:rPr>
      </w:pPr>
    </w:p>
    <w:p w14:paraId="3BDCB520" w14:textId="77777777" w:rsidR="00DF690A" w:rsidRPr="00417355" w:rsidRDefault="00DF690A" w:rsidP="001949D5">
      <w:pPr>
        <w:spacing w:line="240" w:lineRule="auto"/>
        <w:jc w:val="center"/>
        <w:rPr>
          <w:rFonts w:ascii="Times New Roman" w:hAnsi="Times New Roman" w:cs="Times New Roman"/>
          <w:b/>
          <w:bCs/>
          <w:sz w:val="24"/>
          <w:szCs w:val="24"/>
        </w:rPr>
      </w:pPr>
      <w:r w:rsidRPr="00417355">
        <w:rPr>
          <w:rFonts w:ascii="Times New Roman" w:hAnsi="Times New Roman" w:cs="Times New Roman"/>
          <w:b/>
          <w:bCs/>
          <w:sz w:val="24"/>
          <w:szCs w:val="24"/>
        </w:rPr>
        <w:t>ABSTRACT</w:t>
      </w:r>
    </w:p>
    <w:p w14:paraId="1D1D717B" w14:textId="77777777" w:rsidR="00C75110" w:rsidRPr="00417355" w:rsidRDefault="00C75110" w:rsidP="001949D5">
      <w:pPr>
        <w:pStyle w:val="NormalWeb"/>
        <w:jc w:val="both"/>
      </w:pPr>
      <w:r w:rsidRPr="00417355">
        <w:rPr>
          <w:rStyle w:val="Strong"/>
        </w:rPr>
        <w:t>Aim:</w:t>
      </w:r>
      <w:r w:rsidRPr="00417355">
        <w:t xml:space="preserve"> This study assessed the prevalence and impact of perceived job stress on work output among public health nurses in selected healthcare facilities in Yenagoa, Bayelsa State. </w:t>
      </w:r>
      <w:r w:rsidRPr="00417355">
        <w:rPr>
          <w:rStyle w:val="Strong"/>
        </w:rPr>
        <w:t>Methods:</w:t>
      </w:r>
      <w:r w:rsidRPr="00417355">
        <w:t xml:space="preserve"> A descriptive survey design was used. Three hundred and four public health nurses were selected from an estimated population of 900 nurses working in public healthcare facilities in Bayelsa State using the Taro Yamane sample size determination formula. Data were collected with a structured questionnaire, validated by the researcher’s supervisor. Reliability was assessed using Cronbach’s alpha, which yielded an index of 0.85. Data were </w:t>
      </w:r>
      <w:proofErr w:type="spellStart"/>
      <w:r w:rsidRPr="00417355">
        <w:t>analysed</w:t>
      </w:r>
      <w:proofErr w:type="spellEnd"/>
      <w:r w:rsidRPr="00417355">
        <w:t xml:space="preserve"> using simple percentages, while chi-square statistics were used to test the null hypotheses at the 0.05 level of significance. </w:t>
      </w:r>
      <w:r w:rsidRPr="00417355">
        <w:rPr>
          <w:rStyle w:val="Strong"/>
        </w:rPr>
        <w:t>Results:</w:t>
      </w:r>
      <w:r w:rsidRPr="00417355">
        <w:t xml:space="preserve"> Respondents were predominantly female (179; 58.88%), while 125 (41.12%) were male. The largest age group was 35–44 years (99; 32.57%), followed by those aged 55 years and above (61; 20.06%). The findings indicated a high prevalence of perceived job stress among the nurses. Perceived job stress was associated with reduced efficiency, reduced quality of care, low job satisfaction, impaired focus, mental exhaustion and difficulties in communication and decision-making. </w:t>
      </w:r>
      <w:r w:rsidRPr="00417355">
        <w:rPr>
          <w:rStyle w:val="Strong"/>
        </w:rPr>
        <w:t>Conclusion:</w:t>
      </w:r>
      <w:r w:rsidRPr="00417355">
        <w:t xml:space="preserve"> The study found that perceived job stress was a relevant concern among public health nurses in the selected facilities and had implications for work output. Excessive workload, long working hours, emotional strain, inadequate resources, insufficient management support and staffing shortages were identified as key contributors. </w:t>
      </w:r>
    </w:p>
    <w:p w14:paraId="0D9741E5" w14:textId="77777777" w:rsidR="00601D79" w:rsidRPr="00417355" w:rsidRDefault="001F290E" w:rsidP="001949D5">
      <w:pPr>
        <w:pStyle w:val="NormalWeb"/>
        <w:jc w:val="both"/>
      </w:pPr>
      <w:r w:rsidRPr="00417355">
        <w:t>Keywords: Perceived job stress; public health nurses; work output; occupational stress; nursing performance; healthcare facilities; Yenagoa; Bayelsa State; workload; job satisfaction; patient care quality.</w:t>
      </w:r>
    </w:p>
    <w:p w14:paraId="7EC7A93B" w14:textId="77777777" w:rsidR="001F49F8" w:rsidRPr="00417355" w:rsidRDefault="001F49F8" w:rsidP="001949D5">
      <w:pPr>
        <w:pStyle w:val="NormalWeb"/>
      </w:pPr>
      <w:r w:rsidRPr="00417355">
        <w:rPr>
          <w:rStyle w:val="Strong"/>
        </w:rPr>
        <w:t>INTRODUCTION</w:t>
      </w:r>
    </w:p>
    <w:p w14:paraId="3A4A822B" w14:textId="7DCCD4C4" w:rsidR="00F26303" w:rsidRPr="00417355" w:rsidRDefault="00F26303" w:rsidP="00135C6E">
      <w:pPr>
        <w:pStyle w:val="NormalWeb"/>
        <w:jc w:val="both"/>
      </w:pPr>
      <w:r>
        <w:t>In healthcare, job stress has emerged as a major issue, particularly in relation to nurses who work under highly demanding conditions. Job stress includes emotional, physical and psychological strain arising from factors such as work overload, an unfavourable work environment, role conflict and inadequate support (Mohr et al., 2025). Nurses in the healthcare sector play a crucial role in the health system through monitoring patients, administering medication and providing emotional care. However, the stressors they encounter, especially in public healthcare settings, are major contributors to job stress, which can compromise the performance of nurses and the health system more broadly (</w:t>
      </w:r>
      <w:r>
        <w:rPr>
          <w:highlight w:val="yellow"/>
        </w:rPr>
        <w:t>Rajabi et al., 2018</w:t>
      </w:r>
      <w:r>
        <w:t xml:space="preserve">). Job stress among nurses has become a common source of workplace strain that affects their well-being and overall job performance. High workload demands, workplace tension and pressure from management organisations among public health </w:t>
      </w:r>
      <w:r>
        <w:lastRenderedPageBreak/>
        <w:t>nurses significantly affect their physical and mental health, as well as their occupational performance (</w:t>
      </w:r>
      <w:proofErr w:type="spellStart"/>
      <w:r w:rsidR="00213E39" w:rsidRPr="00213E39">
        <w:t>Dall’Ora</w:t>
      </w:r>
      <w:proofErr w:type="spellEnd"/>
      <w:r>
        <w:t xml:space="preserve"> et al., 202</w:t>
      </w:r>
      <w:r w:rsidR="00213E39">
        <w:t>0</w:t>
      </w:r>
      <w:r>
        <w:t>).</w:t>
      </w:r>
      <w:r w:rsidR="00637BE8">
        <w:t xml:space="preserve"> </w:t>
      </w:r>
      <w:r w:rsidRPr="00417355">
        <w:rPr>
          <w:b/>
        </w:rPr>
        <w:t xml:space="preserve">Recent </w:t>
      </w:r>
      <w:proofErr w:type="spellStart"/>
      <w:r w:rsidRPr="00417355">
        <w:rPr>
          <w:b/>
        </w:rPr>
        <w:t>synthesised</w:t>
      </w:r>
      <w:proofErr w:type="spellEnd"/>
      <w:r w:rsidRPr="00417355">
        <w:rPr>
          <w:b/>
        </w:rPr>
        <w:t xml:space="preserve"> evidence further indicates that nurse burnout is associated with poorer patient safety, patient satisfaction and quality of care, supporting the importance of examining stress as a factor that can affect both staff well-being and service delivery (Li et al., 2024).</w:t>
      </w:r>
    </w:p>
    <w:p w14:paraId="5770804A" w14:textId="066B5981" w:rsidR="00F26303" w:rsidRPr="00417355" w:rsidRDefault="00F26303" w:rsidP="00135C6E">
      <w:pPr>
        <w:pStyle w:val="NormalWeb"/>
        <w:jc w:val="both"/>
      </w:pPr>
      <w:r>
        <w:t>In Nigeria, approximately 80.5% of nurses reported a moderate level of stress, while 10.6% reported severe stress (</w:t>
      </w:r>
      <w:proofErr w:type="spellStart"/>
      <w:r w:rsidR="00213E39" w:rsidRPr="00213E39">
        <w:t>Babapour</w:t>
      </w:r>
      <w:proofErr w:type="spellEnd"/>
      <w:r>
        <w:t xml:space="preserve"> et al., 202</w:t>
      </w:r>
      <w:r w:rsidR="00213E39">
        <w:t>2</w:t>
      </w:r>
      <w:r>
        <w:t>). These levels of stress were attributed to factors such as high workloads, personnel shortages, long working hours and exposure to emotionally and physically demanding situations (Awada et al., 202</w:t>
      </w:r>
      <w:r w:rsidR="00213E39">
        <w:t>2</w:t>
      </w:r>
      <w:r>
        <w:t>). In Bayelsa State, nurses are confronted with specific community-related emergencies, patient suffering and the need to engage with patients’ families during care. These factors create an environment in which stress is heightened, especially when nurses also face financial and operational pressure associated with meeting health-facility obligations (</w:t>
      </w:r>
      <w:r>
        <w:rPr>
          <w:highlight w:val="yellow"/>
        </w:rPr>
        <w:t>Kakemam et al., 2019</w:t>
      </w:r>
      <w:r>
        <w:t>). One of the major causes of job stress in public health settings is understaffing (</w:t>
      </w:r>
      <w:proofErr w:type="spellStart"/>
      <w:r w:rsidR="00213E39" w:rsidRPr="00213E39">
        <w:t>Dall’Ora</w:t>
      </w:r>
      <w:proofErr w:type="spellEnd"/>
      <w:r>
        <w:t xml:space="preserve"> et al., 202</w:t>
      </w:r>
      <w:r w:rsidR="00213E39">
        <w:t>0</w:t>
      </w:r>
      <w:r>
        <w:t>). Studies have observed concerning levels of understaffing in healthcare settings, where nurse staffing is insufficient to meet workload demands, leading to reduced quality of care and increased stress levels (</w:t>
      </w:r>
      <w:r>
        <w:rPr>
          <w:highlight w:val="yellow"/>
        </w:rPr>
        <w:t>Kakemam et al., 2019</w:t>
      </w:r>
      <w:r>
        <w:t>). Nurses in Bayelsa State, as in other parts of Nigeria, often take on demanding workloads that may result in physical and mental fatigue (</w:t>
      </w:r>
      <w:proofErr w:type="spellStart"/>
      <w:r w:rsidR="00213E39" w:rsidRPr="00213E39">
        <w:t>Dall’Ora</w:t>
      </w:r>
      <w:proofErr w:type="spellEnd"/>
      <w:r>
        <w:t xml:space="preserve"> et al., 202</w:t>
      </w:r>
      <w:r w:rsidR="00213E39">
        <w:t>0</w:t>
      </w:r>
      <w:r>
        <w:t>).</w:t>
      </w:r>
    </w:p>
    <w:p w14:paraId="37C4EA11" w14:textId="3BB0BD74" w:rsidR="00F26303" w:rsidRPr="00417355" w:rsidRDefault="00F26303" w:rsidP="00135C6E">
      <w:pPr>
        <w:pStyle w:val="NormalWeb"/>
        <w:jc w:val="both"/>
      </w:pPr>
      <w:r w:rsidRPr="00417355">
        <w:rPr>
          <w:b/>
        </w:rPr>
        <w:t>In a Nigerian tertiary hospital context, work-related stress has also been reported to have a negative relationship with patient safety culture among nurses, which is relevant to interpreting work output in public health settings (Sani et al., 2024).</w:t>
      </w:r>
      <w:r w:rsidR="00BF3739">
        <w:rPr>
          <w:b/>
        </w:rPr>
        <w:t xml:space="preserve"> </w:t>
      </w:r>
      <w:r w:rsidRPr="00417355">
        <w:rPr>
          <w:b/>
        </w:rPr>
        <w:t>A recent Nigerian study among perioperative nurses further identified workload, inadequate rest periods and demanding clinical tasks as workplace stressors, suggesting that similar organisational pressures may be important when assessing public health nurses in Bayelsa State (Oyediran et al., 2025).</w:t>
      </w:r>
    </w:p>
    <w:p w14:paraId="7949B192" w14:textId="4F548BDE" w:rsidR="00F26303" w:rsidRPr="00417355" w:rsidRDefault="00F26303" w:rsidP="00135C6E">
      <w:pPr>
        <w:pStyle w:val="NormalWeb"/>
        <w:jc w:val="both"/>
      </w:pPr>
      <w:r>
        <w:t>Another challenge that nurses face is financial strain, which may arise when pay scales are perceived as inadequate relative to the demands of the job (Dall’Ora et al., 2020). Low wages, financial instability and stressors associated with healthcare facilities in Bayelsa State and other parts of Nigeria contribute to job stress, thereby increasing burnout and job dissatisfaction (</w:t>
      </w:r>
      <w:r>
        <w:rPr>
          <w:highlight w:val="yellow"/>
        </w:rPr>
        <w:t>Babapour et al., 2022</w:t>
      </w:r>
      <w:r>
        <w:t>). This burden is further increased by poorly equipped healthcare facilities that lack adequate resources for nurses to use while performing their duties.</w:t>
      </w:r>
      <w:r w:rsidR="00BF3739">
        <w:t xml:space="preserve"> </w:t>
      </w:r>
      <w:r w:rsidRPr="00417355">
        <w:rPr>
          <w:b/>
        </w:rPr>
        <w:t>A hospital-focused review also identified workload, leadership, autonomy, working conditions, rewards and recognition as organisational factors associated with job satisfaction, which supports considering work output in relation to the broader employment environment (Amlari &amp; Patikar, 2026).</w:t>
      </w:r>
    </w:p>
    <w:p w14:paraId="1B2E22B4" w14:textId="332C34BA" w:rsidR="00F26303" w:rsidRPr="00417355" w:rsidRDefault="00F26303" w:rsidP="00135C6E">
      <w:pPr>
        <w:pStyle w:val="NormalWeb"/>
        <w:jc w:val="both"/>
      </w:pPr>
      <w:r w:rsidRPr="00417355">
        <w:t xml:space="preserve">Public health nurses in Bayelsa State experience societal stress in addition to visible workplace stressors. In rural and semi-urban areas, nurses are often expected to maintain a positive public image while also caring for their families. In rural settings, nurses may also be expected to provide voluntary assistance to sick individuals and to respond to community health needs, including environmental conditions that contribute to illness. These factors may compound stress and reduce job satisfaction. </w:t>
      </w:r>
      <w:r w:rsidR="00404BF5" w:rsidRPr="00404BF5">
        <w:t>Ghahramani</w:t>
      </w:r>
      <w:r w:rsidRPr="00417355">
        <w:t xml:space="preserve"> et al. (202</w:t>
      </w:r>
      <w:r w:rsidR="00404BF5">
        <w:t>1</w:t>
      </w:r>
      <w:r w:rsidRPr="00417355">
        <w:t xml:space="preserve">) suggested that stigma towards health workers may increase vulnerability to work-related stressors and reduce job satisfaction. Job pressures among </w:t>
      </w:r>
      <w:r w:rsidRPr="00417355">
        <w:lastRenderedPageBreak/>
        <w:t>nurses in Bayelsa State may also contribute to serious health problems, including cardiovascular, gastrointestinal and musculoskeletal conditions. Mental health concerns, such as anxiety, depression and emotional exhaustion, may reduce decision-making capacity and overall performance. Highly stressed public health nurses may therefore experience physical and mental distress, low job satisfaction and reduced effectiveness in task execution.</w:t>
      </w:r>
    </w:p>
    <w:p w14:paraId="53F6262F" w14:textId="77777777" w:rsidR="00F26303" w:rsidRPr="00417355" w:rsidRDefault="00F26303" w:rsidP="00135C6E">
      <w:pPr>
        <w:pStyle w:val="NormalWeb"/>
        <w:jc w:val="both"/>
      </w:pPr>
      <w:r w:rsidRPr="00417355">
        <w:t>Understanding the effect of job stress on nurses’ work performance is important for developing interventions that improve the work environment and the quality of care provided in healthcare facilities. Addressing job stress among nurses is therefore important for improving the quality of care in health facilities in Yenagoa and for supporting a healthier and more effective healthcare workforce. However, to date, there is limited research in Bayelsa State on the prevalence and identifiable sources of job stress, the health and social impacts of job stress on nurses, and the coping strategies used to manage stress. The present study seeks to address this research gap and to provide recommendations for healthcare managers and decision-makers.</w:t>
      </w:r>
    </w:p>
    <w:p w14:paraId="2523CE44" w14:textId="3BC1DAFB" w:rsidR="006932FB" w:rsidRDefault="00000000" w:rsidP="00BF3739">
      <w:pPr>
        <w:pStyle w:val="NormalWeb"/>
        <w:jc w:val="both"/>
      </w:pPr>
      <w:r>
        <w:rPr>
          <w:highlight w:val="yellow"/>
        </w:rPr>
        <w:t>Broader evidence on occupational stress, compassion fatigue and nurse well-being is relevant when examining nurses’ health and work-related outcomes (Adams et al., 20</w:t>
      </w:r>
      <w:r w:rsidR="00404BF5">
        <w:rPr>
          <w:highlight w:val="yellow"/>
        </w:rPr>
        <w:t>06</w:t>
      </w:r>
      <w:r>
        <w:rPr>
          <w:highlight w:val="yellow"/>
        </w:rPr>
        <w:t>; Bakker et al., 2014; Bhatia, 20</w:t>
      </w:r>
      <w:r w:rsidR="00213E39">
        <w:rPr>
          <w:highlight w:val="yellow"/>
        </w:rPr>
        <w:t>1</w:t>
      </w:r>
      <w:r>
        <w:rPr>
          <w:highlight w:val="yellow"/>
        </w:rPr>
        <w:t>0; Boamah et al., 201</w:t>
      </w:r>
      <w:r w:rsidR="00213E39">
        <w:rPr>
          <w:highlight w:val="yellow"/>
        </w:rPr>
        <w:t>7</w:t>
      </w:r>
      <w:r>
        <w:rPr>
          <w:highlight w:val="yellow"/>
        </w:rPr>
        <w:t xml:space="preserve">). Social support, work engagement, role ambiguity and role conflict have also been considered in relation to occupational strain and work outcomes (Baumeister &amp; Leary, </w:t>
      </w:r>
      <w:r w:rsidR="00213E39" w:rsidRPr="00213E39">
        <w:t>1995</w:t>
      </w:r>
      <w:r>
        <w:rPr>
          <w:highlight w:val="yellow"/>
        </w:rPr>
        <w:t xml:space="preserve">; </w:t>
      </w:r>
      <w:r w:rsidR="00213E39" w:rsidRPr="00213E39">
        <w:t>Lu</w:t>
      </w:r>
      <w:r w:rsidR="00213E39">
        <w:t xml:space="preserve"> et al.</w:t>
      </w:r>
      <w:r>
        <w:rPr>
          <w:highlight w:val="yellow"/>
        </w:rPr>
        <w:t>, 201</w:t>
      </w:r>
      <w:r w:rsidR="00213E39">
        <w:rPr>
          <w:highlight w:val="yellow"/>
        </w:rPr>
        <w:t>9</w:t>
      </w:r>
      <w:r>
        <w:rPr>
          <w:highlight w:val="yellow"/>
        </w:rPr>
        <w:t xml:space="preserve">; Brown &amp; Roberts, 2021; De Clercq &amp; </w:t>
      </w:r>
      <w:proofErr w:type="spellStart"/>
      <w:r>
        <w:rPr>
          <w:highlight w:val="yellow"/>
        </w:rPr>
        <w:t>Belausteguigoitia</w:t>
      </w:r>
      <w:proofErr w:type="spellEnd"/>
      <w:r>
        <w:rPr>
          <w:highlight w:val="yellow"/>
        </w:rPr>
        <w:t>, 201</w:t>
      </w:r>
      <w:r w:rsidR="00E13DD9">
        <w:rPr>
          <w:highlight w:val="yellow"/>
        </w:rPr>
        <w:t>7</w:t>
      </w:r>
      <w:r>
        <w:rPr>
          <w:highlight w:val="yellow"/>
        </w:rPr>
        <w:t>; De Jonge et al., 2019). Additional evidence on workplace stress, burnout, leadership climate and occupational health supports the relevance of these factors to nurses’ well-being and service delivery (</w:t>
      </w:r>
      <w:r w:rsidR="00E13DD9" w:rsidRPr="00E13DD9">
        <w:t>Hassard</w:t>
      </w:r>
      <w:r>
        <w:rPr>
          <w:highlight w:val="yellow"/>
        </w:rPr>
        <w:t xml:space="preserve"> et al., 201</w:t>
      </w:r>
      <w:r w:rsidR="00E13DD9">
        <w:rPr>
          <w:highlight w:val="yellow"/>
        </w:rPr>
        <w:t>8</w:t>
      </w:r>
      <w:r>
        <w:rPr>
          <w:highlight w:val="yellow"/>
        </w:rPr>
        <w:t xml:space="preserve">; </w:t>
      </w:r>
      <w:proofErr w:type="spellStart"/>
      <w:r w:rsidR="00E13DD9" w:rsidRPr="00E13DD9">
        <w:t>Kakemam</w:t>
      </w:r>
      <w:proofErr w:type="spellEnd"/>
      <w:r w:rsidR="00E13DD9">
        <w:t xml:space="preserve"> et al.</w:t>
      </w:r>
      <w:r>
        <w:rPr>
          <w:highlight w:val="yellow"/>
        </w:rPr>
        <w:t>, 201</w:t>
      </w:r>
      <w:r w:rsidR="00E13DD9">
        <w:rPr>
          <w:highlight w:val="yellow"/>
        </w:rPr>
        <w:t>9</w:t>
      </w:r>
      <w:r>
        <w:rPr>
          <w:highlight w:val="yellow"/>
        </w:rPr>
        <w:t xml:space="preserve">; </w:t>
      </w:r>
      <w:r w:rsidR="00E13DD9" w:rsidRPr="00E13DD9">
        <w:t>Hall</w:t>
      </w:r>
      <w:r>
        <w:rPr>
          <w:highlight w:val="yellow"/>
        </w:rPr>
        <w:t xml:space="preserve"> et al., 20</w:t>
      </w:r>
      <w:r w:rsidR="00E13DD9">
        <w:rPr>
          <w:highlight w:val="yellow"/>
        </w:rPr>
        <w:t>16</w:t>
      </w:r>
      <w:r>
        <w:rPr>
          <w:highlight w:val="yellow"/>
        </w:rPr>
        <w:t xml:space="preserve">; </w:t>
      </w:r>
      <w:r w:rsidR="00A01EF4" w:rsidRPr="00A01EF4">
        <w:t>Eatough</w:t>
      </w:r>
      <w:r>
        <w:rPr>
          <w:highlight w:val="yellow"/>
        </w:rPr>
        <w:t xml:space="preserve"> et al., 201</w:t>
      </w:r>
      <w:r w:rsidR="00A01EF4">
        <w:rPr>
          <w:highlight w:val="yellow"/>
        </w:rPr>
        <w:t>1</w:t>
      </w:r>
      <w:r>
        <w:rPr>
          <w:highlight w:val="yellow"/>
        </w:rPr>
        <w:t xml:space="preserve">; Maslach &amp; Leiter, 2016). Further research on stress concepts, emotional intelligence, interventions and institutional guidance also informs the discussion of stress-related outcomes (McEwen &amp; Akil, 2020; </w:t>
      </w:r>
      <w:r w:rsidR="00A01EF4" w:rsidRPr="00A01EF4">
        <w:t>Chiva</w:t>
      </w:r>
      <w:r w:rsidR="00A01EF4">
        <w:t xml:space="preserve"> </w:t>
      </w:r>
      <w:r w:rsidR="00A01EF4" w:rsidRPr="00A01EF4">
        <w:t>&amp; Alegre</w:t>
      </w:r>
      <w:r>
        <w:rPr>
          <w:highlight w:val="yellow"/>
        </w:rPr>
        <w:t xml:space="preserve"> et al., 20</w:t>
      </w:r>
      <w:r w:rsidR="00A01EF4">
        <w:rPr>
          <w:highlight w:val="yellow"/>
        </w:rPr>
        <w:t>08</w:t>
      </w:r>
      <w:r>
        <w:rPr>
          <w:highlight w:val="yellow"/>
        </w:rPr>
        <w:t xml:space="preserve">; Mimura &amp; Griffiths, 2003; Mind, 2021; </w:t>
      </w:r>
      <w:r w:rsidR="00A01EF4" w:rsidRPr="00A01EF4">
        <w:t>Cummings</w:t>
      </w:r>
      <w:r>
        <w:rPr>
          <w:highlight w:val="yellow"/>
        </w:rPr>
        <w:t xml:space="preserve"> et al., 20</w:t>
      </w:r>
      <w:r w:rsidR="00A01EF4">
        <w:rPr>
          <w:highlight w:val="yellow"/>
        </w:rPr>
        <w:t>18</w:t>
      </w:r>
      <w:r>
        <w:rPr>
          <w:highlight w:val="yellow"/>
        </w:rPr>
        <w:t>). Global occupational-health guidance similarly supports attention to stress and work-related mental health concerns (WHO, 2020; World Health Organization, 200</w:t>
      </w:r>
      <w:r w:rsidR="00A01EF4">
        <w:rPr>
          <w:highlight w:val="yellow"/>
        </w:rPr>
        <w:t xml:space="preserve">2, 2022, </w:t>
      </w:r>
      <w:r w:rsidR="00A01EF4" w:rsidRPr="00A01EF4">
        <w:t>2000</w:t>
      </w:r>
      <w:r>
        <w:rPr>
          <w:highlight w:val="yellow"/>
        </w:rPr>
        <w:t>).</w:t>
      </w:r>
    </w:p>
    <w:p w14:paraId="69ACBD79" w14:textId="2A47CE6E" w:rsidR="006932FB" w:rsidRDefault="00000000" w:rsidP="00BF3739">
      <w:pPr>
        <w:pStyle w:val="NormalWeb"/>
        <w:jc w:val="both"/>
      </w:pPr>
      <w:r>
        <w:rPr>
          <w:highlight w:val="yellow"/>
        </w:rPr>
        <w:t xml:space="preserve">Related organisational and performance literature has also addressed workload, academic and public-sector stress, person-job fit, performance measurement and job stress, which are relevant to understanding work output in </w:t>
      </w:r>
      <w:proofErr w:type="spellStart"/>
      <w:r>
        <w:rPr>
          <w:highlight w:val="yellow"/>
        </w:rPr>
        <w:t>organisational</w:t>
      </w:r>
      <w:proofErr w:type="spellEnd"/>
      <w:r>
        <w:rPr>
          <w:highlight w:val="yellow"/>
        </w:rPr>
        <w:t xml:space="preserve"> contexts (</w:t>
      </w:r>
      <w:r w:rsidR="00213E39" w:rsidRPr="00213E39">
        <w:t>Bakker &amp; Demerouti</w:t>
      </w:r>
      <w:r>
        <w:rPr>
          <w:highlight w:val="yellow"/>
        </w:rPr>
        <w:t>, 20</w:t>
      </w:r>
      <w:r w:rsidR="00213E39">
        <w:rPr>
          <w:highlight w:val="yellow"/>
        </w:rPr>
        <w:t>17</w:t>
      </w:r>
      <w:r>
        <w:rPr>
          <w:highlight w:val="yellow"/>
        </w:rPr>
        <w:t xml:space="preserve">; </w:t>
      </w:r>
      <w:proofErr w:type="spellStart"/>
      <w:r w:rsidR="00404BF5" w:rsidRPr="00404BF5">
        <w:t>Karyotaki</w:t>
      </w:r>
      <w:proofErr w:type="spellEnd"/>
      <w:r w:rsidR="00404BF5" w:rsidRPr="00404BF5">
        <w:rPr>
          <w:highlight w:val="yellow"/>
        </w:rPr>
        <w:t xml:space="preserve"> </w:t>
      </w:r>
      <w:r>
        <w:rPr>
          <w:highlight w:val="yellow"/>
        </w:rPr>
        <w:t>et al., 202</w:t>
      </w:r>
      <w:r w:rsidR="00404BF5">
        <w:rPr>
          <w:highlight w:val="yellow"/>
        </w:rPr>
        <w:t>0</w:t>
      </w:r>
      <w:r>
        <w:rPr>
          <w:highlight w:val="yellow"/>
        </w:rPr>
        <w:t xml:space="preserve">; </w:t>
      </w:r>
      <w:r w:rsidR="00213E39" w:rsidRPr="00213E39">
        <w:t>Kristof-Brown</w:t>
      </w:r>
      <w:r w:rsidR="00213E39">
        <w:t xml:space="preserve"> et al.</w:t>
      </w:r>
      <w:r>
        <w:rPr>
          <w:highlight w:val="yellow"/>
        </w:rPr>
        <w:t>, 20</w:t>
      </w:r>
      <w:r w:rsidR="00213E39">
        <w:rPr>
          <w:highlight w:val="yellow"/>
        </w:rPr>
        <w:t>05</w:t>
      </w:r>
      <w:r>
        <w:rPr>
          <w:highlight w:val="yellow"/>
        </w:rPr>
        <w:t xml:space="preserve">; </w:t>
      </w:r>
      <w:r w:rsidR="00E13DD9" w:rsidRPr="00E13DD9">
        <w:t>Franco-Santos</w:t>
      </w:r>
      <w:r w:rsidR="00E13DD9">
        <w:t xml:space="preserve"> et al.</w:t>
      </w:r>
      <w:r>
        <w:rPr>
          <w:highlight w:val="yellow"/>
        </w:rPr>
        <w:t>, 20</w:t>
      </w:r>
      <w:r w:rsidR="00E13DD9">
        <w:rPr>
          <w:highlight w:val="yellow"/>
        </w:rPr>
        <w:t>12</w:t>
      </w:r>
      <w:r>
        <w:rPr>
          <w:highlight w:val="yellow"/>
        </w:rPr>
        <w:t xml:space="preserve">; </w:t>
      </w:r>
      <w:r w:rsidR="00E13DD9" w:rsidRPr="00E13DD9">
        <w:t>Gilboa</w:t>
      </w:r>
      <w:r>
        <w:rPr>
          <w:highlight w:val="yellow"/>
        </w:rPr>
        <w:t xml:space="preserve"> et al., 20</w:t>
      </w:r>
      <w:r w:rsidR="00E13DD9">
        <w:rPr>
          <w:highlight w:val="yellow"/>
        </w:rPr>
        <w:t>08</w:t>
      </w:r>
      <w:r>
        <w:rPr>
          <w:highlight w:val="yellow"/>
        </w:rPr>
        <w:t>). Studies on performance monitoring, employee performance, training and occupational well-being provide further support for considering work output in relation to workplace demands (</w:t>
      </w:r>
      <w:r w:rsidR="00E13DD9" w:rsidRPr="00E13DD9">
        <w:t>Shahin &amp; Mahbod</w:t>
      </w:r>
      <w:r>
        <w:rPr>
          <w:highlight w:val="yellow"/>
        </w:rPr>
        <w:t>, 20</w:t>
      </w:r>
      <w:r w:rsidR="00E13DD9">
        <w:rPr>
          <w:highlight w:val="yellow"/>
        </w:rPr>
        <w:t>07</w:t>
      </w:r>
      <w:r>
        <w:rPr>
          <w:highlight w:val="yellow"/>
        </w:rPr>
        <w:t xml:space="preserve">; </w:t>
      </w:r>
      <w:r w:rsidR="00E13DD9" w:rsidRPr="00E13DD9">
        <w:t>Chen</w:t>
      </w:r>
      <w:r w:rsidR="00E13DD9">
        <w:t xml:space="preserve"> et al.</w:t>
      </w:r>
      <w:r>
        <w:rPr>
          <w:highlight w:val="yellow"/>
        </w:rPr>
        <w:t>, 20</w:t>
      </w:r>
      <w:r w:rsidR="00E13DD9">
        <w:rPr>
          <w:highlight w:val="yellow"/>
        </w:rPr>
        <w:t>22</w:t>
      </w:r>
      <w:r>
        <w:rPr>
          <w:highlight w:val="yellow"/>
        </w:rPr>
        <w:t xml:space="preserve">; </w:t>
      </w:r>
      <w:r w:rsidR="00E13DD9" w:rsidRPr="00E13DD9">
        <w:t>Chen</w:t>
      </w:r>
      <w:r w:rsidR="00E13DD9">
        <w:t xml:space="preserve"> et al.</w:t>
      </w:r>
      <w:r>
        <w:rPr>
          <w:highlight w:val="yellow"/>
        </w:rPr>
        <w:t>, 202</w:t>
      </w:r>
      <w:r w:rsidR="00E13DD9">
        <w:rPr>
          <w:highlight w:val="yellow"/>
        </w:rPr>
        <w:t>2</w:t>
      </w:r>
      <w:r>
        <w:rPr>
          <w:highlight w:val="yellow"/>
        </w:rPr>
        <w:t xml:space="preserve">; </w:t>
      </w:r>
      <w:proofErr w:type="spellStart"/>
      <w:r w:rsidR="00E13DD9" w:rsidRPr="00E13DD9">
        <w:t>Aguinis</w:t>
      </w:r>
      <w:proofErr w:type="spellEnd"/>
      <w:r w:rsidR="00E13DD9" w:rsidRPr="00E13DD9">
        <w:t xml:space="preserve"> &amp; </w:t>
      </w:r>
      <w:proofErr w:type="spellStart"/>
      <w:r w:rsidR="00E13DD9" w:rsidRPr="00E13DD9">
        <w:t>Kraiger</w:t>
      </w:r>
      <w:proofErr w:type="spellEnd"/>
      <w:r w:rsidR="00E13DD9" w:rsidRPr="00E13DD9">
        <w:t>,</w:t>
      </w:r>
      <w:r w:rsidR="00E13DD9">
        <w:t xml:space="preserve"> </w:t>
      </w:r>
      <w:r w:rsidR="00E13DD9" w:rsidRPr="00E13DD9">
        <w:t>2009</w:t>
      </w:r>
      <w:r>
        <w:rPr>
          <w:highlight w:val="yellow"/>
        </w:rPr>
        <w:t xml:space="preserve">; </w:t>
      </w:r>
      <w:r w:rsidR="00A01EF4" w:rsidRPr="00A01EF4">
        <w:t>Giorgi</w:t>
      </w:r>
      <w:r w:rsidR="00A01EF4">
        <w:t xml:space="preserve"> et al.</w:t>
      </w:r>
      <w:r>
        <w:rPr>
          <w:highlight w:val="yellow"/>
        </w:rPr>
        <w:t>, 201</w:t>
      </w:r>
      <w:r w:rsidR="00A01EF4">
        <w:rPr>
          <w:highlight w:val="yellow"/>
        </w:rPr>
        <w:t>5</w:t>
      </w:r>
      <w:r>
        <w:rPr>
          <w:highlight w:val="yellow"/>
        </w:rPr>
        <w:t>). Other organisational literature also considers job performance, organisational stress, workplace well-being, employee values and psychological workload (</w:t>
      </w:r>
      <w:r w:rsidR="00A01EF4" w:rsidRPr="00A01EF4">
        <w:t>Koopmans</w:t>
      </w:r>
      <w:r>
        <w:rPr>
          <w:highlight w:val="yellow"/>
        </w:rPr>
        <w:t xml:space="preserve"> et al., 201</w:t>
      </w:r>
      <w:r w:rsidR="00A01EF4">
        <w:rPr>
          <w:highlight w:val="yellow"/>
        </w:rPr>
        <w:t>4</w:t>
      </w:r>
      <w:r>
        <w:rPr>
          <w:highlight w:val="yellow"/>
        </w:rPr>
        <w:t xml:space="preserve">; </w:t>
      </w:r>
      <w:r w:rsidR="00A01EF4" w:rsidRPr="00A01EF4">
        <w:t>Hurrell</w:t>
      </w:r>
      <w:r w:rsidR="00A01EF4">
        <w:t xml:space="preserve"> et al.</w:t>
      </w:r>
      <w:r>
        <w:rPr>
          <w:highlight w:val="yellow"/>
        </w:rPr>
        <w:t>,</w:t>
      </w:r>
      <w:r w:rsidR="00A01EF4">
        <w:rPr>
          <w:highlight w:val="yellow"/>
        </w:rPr>
        <w:t xml:space="preserve"> 1998</w:t>
      </w:r>
      <w:r>
        <w:rPr>
          <w:highlight w:val="yellow"/>
        </w:rPr>
        <w:t>;</w:t>
      </w:r>
      <w:r w:rsidR="00E260A6">
        <w:rPr>
          <w:highlight w:val="yellow"/>
        </w:rPr>
        <w:t xml:space="preserve"> </w:t>
      </w:r>
      <w:proofErr w:type="spellStart"/>
      <w:r>
        <w:rPr>
          <w:highlight w:val="yellow"/>
        </w:rPr>
        <w:t>Meglino</w:t>
      </w:r>
      <w:proofErr w:type="spellEnd"/>
      <w:r>
        <w:rPr>
          <w:highlight w:val="yellow"/>
        </w:rPr>
        <w:t xml:space="preserve"> &amp; Ravlin, </w:t>
      </w:r>
      <w:r w:rsidR="00A01EF4" w:rsidRPr="00A01EF4">
        <w:t>1998</w:t>
      </w:r>
      <w:r>
        <w:rPr>
          <w:highlight w:val="yellow"/>
        </w:rPr>
        <w:t xml:space="preserve">; </w:t>
      </w:r>
      <w:proofErr w:type="spellStart"/>
      <w:r>
        <w:rPr>
          <w:highlight w:val="yellow"/>
        </w:rPr>
        <w:t>Meijman</w:t>
      </w:r>
      <w:proofErr w:type="spellEnd"/>
      <w:r>
        <w:rPr>
          <w:highlight w:val="yellow"/>
        </w:rPr>
        <w:t xml:space="preserve"> &amp; Mulder, </w:t>
      </w:r>
      <w:r w:rsidR="00A01EF4" w:rsidRPr="00A01EF4">
        <w:t>1998</w:t>
      </w:r>
      <w:r>
        <w:rPr>
          <w:highlight w:val="yellow"/>
        </w:rPr>
        <w:t>). Evidence concerning work interruptions, local environmental conditions, employee contribution, role ambiguity and key performance indicators also supports the broader interpretation of work output (</w:t>
      </w:r>
      <w:proofErr w:type="spellStart"/>
      <w:r w:rsidR="00A01EF4" w:rsidRPr="00A01EF4">
        <w:t>Baethge</w:t>
      </w:r>
      <w:proofErr w:type="spellEnd"/>
      <w:r w:rsidR="00A01EF4">
        <w:t xml:space="preserve"> et al.</w:t>
      </w:r>
      <w:r>
        <w:rPr>
          <w:highlight w:val="yellow"/>
        </w:rPr>
        <w:t>, 201</w:t>
      </w:r>
      <w:r w:rsidR="00A01EF4">
        <w:rPr>
          <w:highlight w:val="yellow"/>
        </w:rPr>
        <w:t>5</w:t>
      </w:r>
      <w:r>
        <w:rPr>
          <w:highlight w:val="yellow"/>
        </w:rPr>
        <w:t xml:space="preserve">; Oladimeji &amp; Ohwo, 2022; </w:t>
      </w:r>
      <w:r w:rsidR="00A01EF4" w:rsidRPr="00A01EF4">
        <w:t>Koopmans</w:t>
      </w:r>
      <w:r w:rsidR="00A01EF4">
        <w:t xml:space="preserve"> et al.</w:t>
      </w:r>
      <w:r>
        <w:rPr>
          <w:highlight w:val="yellow"/>
        </w:rPr>
        <w:t>, 201</w:t>
      </w:r>
      <w:r w:rsidR="00A01EF4">
        <w:rPr>
          <w:highlight w:val="yellow"/>
        </w:rPr>
        <w:t>4</w:t>
      </w:r>
      <w:r>
        <w:rPr>
          <w:highlight w:val="yellow"/>
        </w:rPr>
        <w:t xml:space="preserve">; </w:t>
      </w:r>
      <w:r w:rsidR="00A01EF4" w:rsidRPr="00A01EF4">
        <w:t>Maden-</w:t>
      </w:r>
      <w:proofErr w:type="spellStart"/>
      <w:r w:rsidR="00A01EF4" w:rsidRPr="00A01EF4">
        <w:t>Eyiusta</w:t>
      </w:r>
      <w:proofErr w:type="spellEnd"/>
      <w:r>
        <w:rPr>
          <w:highlight w:val="yellow"/>
        </w:rPr>
        <w:t>, 201</w:t>
      </w:r>
      <w:r w:rsidR="00A01EF4">
        <w:rPr>
          <w:highlight w:val="yellow"/>
        </w:rPr>
        <w:t>9</w:t>
      </w:r>
      <w:r>
        <w:rPr>
          <w:highlight w:val="yellow"/>
        </w:rPr>
        <w:t xml:space="preserve">; </w:t>
      </w:r>
      <w:r w:rsidR="00A01EF4" w:rsidRPr="00A01EF4">
        <w:t>Shahin &amp; Mahbod</w:t>
      </w:r>
      <w:r>
        <w:rPr>
          <w:highlight w:val="yellow"/>
        </w:rPr>
        <w:t>, 20</w:t>
      </w:r>
      <w:r w:rsidR="00A01EF4">
        <w:rPr>
          <w:highlight w:val="yellow"/>
        </w:rPr>
        <w:t>07</w:t>
      </w:r>
      <w:r>
        <w:rPr>
          <w:highlight w:val="yellow"/>
        </w:rPr>
        <w:t>).</w:t>
      </w:r>
    </w:p>
    <w:p w14:paraId="22EDC2B2" w14:textId="77777777" w:rsidR="00F26303" w:rsidRPr="00417355" w:rsidRDefault="00F26303" w:rsidP="00135C6E">
      <w:pPr>
        <w:pStyle w:val="NormalWeb"/>
        <w:jc w:val="both"/>
      </w:pPr>
      <w:r w:rsidRPr="00417355">
        <w:rPr>
          <w:b/>
        </w:rPr>
        <w:t xml:space="preserve">Although the existing literature and the preceding discussion indicate that nurses experience multiple workplace, financial and social stressors, context-specific evidence on perceived job </w:t>
      </w:r>
      <w:r w:rsidRPr="00417355">
        <w:rPr>
          <w:b/>
        </w:rPr>
        <w:lastRenderedPageBreak/>
        <w:t>stress and work output among public health nurses in selected health facilities in Yenagoa remains limited. This study therefore addresses a focused local evidence gap.</w:t>
      </w:r>
    </w:p>
    <w:p w14:paraId="1652E42F" w14:textId="77777777" w:rsidR="001F49F8" w:rsidRPr="00417355" w:rsidRDefault="001F49F8" w:rsidP="00F26303">
      <w:pPr>
        <w:pStyle w:val="NormalWeb"/>
      </w:pPr>
      <w:r w:rsidRPr="00417355">
        <w:rPr>
          <w:b/>
        </w:rPr>
        <w:t>1.3</w:t>
      </w:r>
      <w:r w:rsidR="000B7DE5" w:rsidRPr="00417355">
        <w:tab/>
      </w:r>
      <w:r w:rsidRPr="00417355">
        <w:rPr>
          <w:rStyle w:val="Strong"/>
        </w:rPr>
        <w:t>Aim and Objectives of the Study</w:t>
      </w:r>
    </w:p>
    <w:p w14:paraId="0508976D" w14:textId="77777777" w:rsidR="001F49F8" w:rsidRPr="00417355" w:rsidRDefault="001F49F8" w:rsidP="001949D5">
      <w:pPr>
        <w:pStyle w:val="NormalWeb"/>
        <w:jc w:val="both"/>
      </w:pPr>
      <w:r w:rsidRPr="00417355">
        <w:t>The aim of this study is to assess the prevalence and impact of perceived job stress on work output among public health nurses in selected healthcare facilities in Yenagoa, Bayelsa State.</w:t>
      </w:r>
    </w:p>
    <w:p w14:paraId="35A5D47D" w14:textId="77777777" w:rsidR="001F49F8" w:rsidRPr="00417355" w:rsidRDefault="001F49F8" w:rsidP="001949D5">
      <w:pPr>
        <w:pStyle w:val="NormalWeb"/>
      </w:pPr>
      <w:r w:rsidRPr="00417355">
        <w:t>The specific objectives of the study are to:</w:t>
      </w:r>
    </w:p>
    <w:p w14:paraId="35D5997A" w14:textId="77777777" w:rsidR="00CF789E" w:rsidRPr="00417355" w:rsidRDefault="00CF789E" w:rsidP="001949D5">
      <w:pPr>
        <w:pStyle w:val="NormalWeb"/>
        <w:rPr>
          <w:b/>
          <w:bCs/>
        </w:rPr>
      </w:pPr>
      <w:r w:rsidRPr="00417355">
        <w:rPr>
          <w:b/>
          <w:bCs/>
        </w:rPr>
        <w:t>Primary objectives</w:t>
      </w:r>
    </w:p>
    <w:p w14:paraId="5E6D9D88" w14:textId="77777777" w:rsidR="00CF789E" w:rsidRPr="00417355" w:rsidRDefault="00CF789E" w:rsidP="001949D5">
      <w:pPr>
        <w:pStyle w:val="NormalWeb"/>
        <w:numPr>
          <w:ilvl w:val="0"/>
          <w:numId w:val="4"/>
        </w:numPr>
        <w:ind w:hanging="720"/>
      </w:pPr>
      <w:r w:rsidRPr="00417355">
        <w:t>Ascertain the prevalence of perceived job stress among public health nurses in selected health facilities in Yenagoa, Bayelsa State.</w:t>
      </w:r>
    </w:p>
    <w:p w14:paraId="2E415DCC" w14:textId="77777777" w:rsidR="00CF789E" w:rsidRPr="00417355" w:rsidRDefault="00CF789E" w:rsidP="001949D5">
      <w:pPr>
        <w:pStyle w:val="NormalWeb"/>
        <w:numPr>
          <w:ilvl w:val="0"/>
          <w:numId w:val="4"/>
        </w:numPr>
        <w:ind w:hanging="720"/>
      </w:pPr>
      <w:r w:rsidRPr="00417355">
        <w:t>Examine the impact of perceived job stress on nurses’ work output among public health nurses in selected health facilities in Yenagoa, Bayelsa State.</w:t>
      </w:r>
    </w:p>
    <w:p w14:paraId="1CB82A76" w14:textId="77777777" w:rsidR="001F49F8" w:rsidRPr="00417355" w:rsidRDefault="001F49F8" w:rsidP="001949D5">
      <w:pPr>
        <w:pStyle w:val="NormalWeb"/>
      </w:pPr>
      <w:r w:rsidRPr="00417355">
        <w:rPr>
          <w:b/>
        </w:rPr>
        <w:t>1.5</w:t>
      </w:r>
      <w:r w:rsidRPr="00417355">
        <w:t xml:space="preserve"> </w:t>
      </w:r>
      <w:r w:rsidR="00DF34A7" w:rsidRPr="00417355">
        <w:tab/>
      </w:r>
      <w:r w:rsidRPr="00417355">
        <w:rPr>
          <w:rStyle w:val="Strong"/>
        </w:rPr>
        <w:t>Hypotheses</w:t>
      </w:r>
    </w:p>
    <w:p w14:paraId="6041B20E" w14:textId="77777777" w:rsidR="000C7222" w:rsidRPr="00417355" w:rsidRDefault="000C7222" w:rsidP="001949D5">
      <w:pPr>
        <w:pStyle w:val="NormalWeb"/>
        <w:ind w:left="720" w:hanging="720"/>
        <w:jc w:val="both"/>
      </w:pPr>
      <w:bookmarkStart w:id="0" w:name="_Hlk205579657"/>
      <w:r w:rsidRPr="00417355">
        <w:rPr>
          <w:b/>
        </w:rPr>
        <w:t>H01: The prevalence of perceived job stress among public health nurses in selected health facilities in Yenagoa, Bayelsa State is not significantly high.</w:t>
      </w:r>
    </w:p>
    <w:bookmarkEnd w:id="0"/>
    <w:p w14:paraId="53589DF9" w14:textId="77777777" w:rsidR="001F49F8" w:rsidRPr="00417355" w:rsidRDefault="001F49F8" w:rsidP="001949D5">
      <w:pPr>
        <w:pStyle w:val="NormalWeb"/>
        <w:ind w:left="720" w:hanging="720"/>
        <w:jc w:val="both"/>
      </w:pPr>
      <w:r w:rsidRPr="00417355">
        <w:rPr>
          <w:b/>
        </w:rPr>
        <w:t>H02: There is no significant relationship between perceived job stress and negative work output among public health nurses in selected health facilities in Yenagoa, Bayelsa State.</w:t>
      </w:r>
    </w:p>
    <w:p w14:paraId="09B13FF6" w14:textId="77777777" w:rsidR="006872DA" w:rsidRPr="00417355" w:rsidRDefault="006872DA" w:rsidP="001949D5">
      <w:pPr>
        <w:spacing w:before="100" w:beforeAutospacing="1" w:after="100" w:afterAutospacing="1" w:line="240" w:lineRule="auto"/>
        <w:outlineLvl w:val="2"/>
        <w:rPr>
          <w:rFonts w:ascii="Times New Roman" w:eastAsia="Times New Roman" w:hAnsi="Times New Roman" w:cs="Times New Roman"/>
          <w:b/>
          <w:sz w:val="24"/>
          <w:szCs w:val="24"/>
        </w:rPr>
      </w:pPr>
    </w:p>
    <w:p w14:paraId="6FEF866C" w14:textId="77777777" w:rsidR="0088370E" w:rsidRPr="00417355" w:rsidRDefault="0088370E" w:rsidP="001949D5">
      <w:pPr>
        <w:spacing w:before="100" w:beforeAutospacing="1" w:after="100" w:afterAutospacing="1" w:line="240" w:lineRule="auto"/>
        <w:outlineLvl w:val="2"/>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METHODOLOGY</w:t>
      </w:r>
    </w:p>
    <w:p w14:paraId="5304D711" w14:textId="77777777" w:rsidR="0044734B" w:rsidRPr="00417355" w:rsidRDefault="0044734B" w:rsidP="00B76CFE">
      <w:pPr>
        <w:spacing w:before="100" w:beforeAutospacing="1" w:after="100" w:afterAutospacing="1" w:line="240" w:lineRule="auto"/>
        <w:jc w:val="both"/>
        <w:rPr>
          <w:rFonts w:ascii="Times New Roman" w:eastAsia="Times New Roman" w:hAnsi="Times New Roman" w:cs="Times New Roman"/>
          <w:sz w:val="24"/>
          <w:szCs w:val="24"/>
        </w:rPr>
      </w:pPr>
      <w:r w:rsidRPr="00417355">
        <w:rPr>
          <w:rFonts w:ascii="Times New Roman" w:hAnsi="Times New Roman"/>
          <w:sz w:val="24"/>
        </w:rPr>
        <w:t>This cross-sectional study examined the prevalence of perceived job stress and its relationship with work performance at a particular point in time. The target population comprised public healthcare workers in selected health institutions in Bayelsa State. The total population of public health nurses in these facilities was approximately 900. A random sample of 304 nurses was selected from the total population of 900 nurses working in public healthcare facilities in Bayelsa State. Non-proportionate stratified sampling was used to select the study population. This ensured that each stratum, including urban and rural facilities and different wards, was represented regardless of the number of nurses in each stratum. Quantitative data on perceived job stress and its influence on work output were collected using an adapted instrument, the Perceived Stress Scale, and a structured interviewer-administered questionnaire. The quantitative data obtained from the completed questionnaires were described using descriptive statistics, including frequencies, percentages and mean scores, to summarise the demographic characteristics of the participants and the prevalence of selected stressors. Inferential statistical analysis, including multiple regression, was used to determine the significance of the relationships between job stressors and work output, as well as the association between demographic variables and stress levels.</w:t>
      </w:r>
    </w:p>
    <w:p w14:paraId="7BBB8E80" w14:textId="77777777" w:rsidR="00983CB5" w:rsidRPr="00417355" w:rsidRDefault="00983CB5" w:rsidP="001949D5">
      <w:pPr>
        <w:spacing w:before="100" w:beforeAutospacing="1" w:after="100" w:afterAutospacing="1" w:line="240" w:lineRule="auto"/>
        <w:rPr>
          <w:rFonts w:ascii="Times New Roman" w:eastAsia="Times New Roman" w:hAnsi="Times New Roman" w:cs="Times New Roman"/>
          <w:b/>
          <w:sz w:val="24"/>
          <w:szCs w:val="24"/>
        </w:rPr>
      </w:pPr>
      <w:r w:rsidRPr="00417355">
        <w:rPr>
          <w:rFonts w:ascii="Times New Roman" w:eastAsia="Times New Roman" w:hAnsi="Times New Roman" w:cs="Times New Roman"/>
          <w:b/>
          <w:sz w:val="24"/>
          <w:szCs w:val="24"/>
        </w:rPr>
        <w:lastRenderedPageBreak/>
        <w:t>RESULTS AND DISCUSSION</w:t>
      </w:r>
    </w:p>
    <w:p w14:paraId="6556B0D8" w14:textId="77777777" w:rsidR="00EF2450" w:rsidRPr="00417355" w:rsidRDefault="00EF2450" w:rsidP="001949D5">
      <w:pPr>
        <w:spacing w:line="240" w:lineRule="auto"/>
        <w:rPr>
          <w:rFonts w:ascii="Times New Roman" w:hAnsi="Times New Roman" w:cs="Times New Roman"/>
          <w:b/>
          <w:sz w:val="24"/>
          <w:szCs w:val="24"/>
        </w:rPr>
      </w:pPr>
      <w:r w:rsidRPr="00417355">
        <w:rPr>
          <w:rFonts w:ascii="Times New Roman" w:hAnsi="Times New Roman" w:cs="Times New Roman"/>
          <w:b/>
          <w:sz w:val="24"/>
          <w:szCs w:val="24"/>
        </w:rPr>
        <w:t>Results</w:t>
      </w:r>
    </w:p>
    <w:p w14:paraId="49CB417C" w14:textId="77777777" w:rsidR="008D036D" w:rsidRPr="00417355" w:rsidRDefault="00EF2450" w:rsidP="001949D5">
      <w:pPr>
        <w:spacing w:line="240" w:lineRule="auto"/>
        <w:rPr>
          <w:rFonts w:ascii="Times New Roman" w:hAnsi="Times New Roman" w:cs="Times New Roman"/>
          <w:sz w:val="24"/>
          <w:szCs w:val="24"/>
        </w:rPr>
      </w:pPr>
      <w:r w:rsidRPr="00417355">
        <w:rPr>
          <w:rFonts w:ascii="Times New Roman" w:hAnsi="Times New Roman" w:cs="Times New Roman"/>
          <w:b/>
          <w:sz w:val="24"/>
          <w:szCs w:val="24"/>
        </w:rPr>
        <w:t xml:space="preserve">Table 1: </w:t>
      </w:r>
      <w:r w:rsidR="008D036D" w:rsidRPr="00417355">
        <w:rPr>
          <w:rFonts w:ascii="Times New Roman" w:hAnsi="Times New Roman" w:cs="Times New Roman"/>
          <w:sz w:val="24"/>
          <w:szCs w:val="24"/>
        </w:rPr>
        <w:t>Sociodemographic of the Respondents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7"/>
        <w:gridCol w:w="1154"/>
        <w:gridCol w:w="1668"/>
      </w:tblGrid>
      <w:tr w:rsidR="001B18DB" w:rsidRPr="00417355" w14:paraId="68E2AC2D" w14:textId="77777777" w:rsidTr="00522152">
        <w:trPr>
          <w:tblHeader/>
          <w:tblCellSpacing w:w="15" w:type="dxa"/>
        </w:trPr>
        <w:tc>
          <w:tcPr>
            <w:tcW w:w="0" w:type="auto"/>
            <w:tcBorders>
              <w:top w:val="single" w:sz="4" w:space="0" w:color="auto"/>
              <w:bottom w:val="single" w:sz="4" w:space="0" w:color="auto"/>
            </w:tcBorders>
            <w:vAlign w:val="center"/>
            <w:hideMark/>
          </w:tcPr>
          <w:p w14:paraId="159C04EC" w14:textId="77777777" w:rsidR="001B18DB" w:rsidRPr="00417355" w:rsidRDefault="001B18DB"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Category</w:t>
            </w:r>
          </w:p>
        </w:tc>
        <w:tc>
          <w:tcPr>
            <w:tcW w:w="0" w:type="auto"/>
            <w:tcBorders>
              <w:top w:val="single" w:sz="4" w:space="0" w:color="auto"/>
              <w:bottom w:val="single" w:sz="4" w:space="0" w:color="auto"/>
            </w:tcBorders>
            <w:vAlign w:val="center"/>
            <w:hideMark/>
          </w:tcPr>
          <w:p w14:paraId="1D75812B" w14:textId="77777777" w:rsidR="001B18DB" w:rsidRPr="00417355" w:rsidRDefault="001B18DB"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Frequency</w:t>
            </w:r>
          </w:p>
        </w:tc>
        <w:tc>
          <w:tcPr>
            <w:tcW w:w="0" w:type="auto"/>
            <w:tcBorders>
              <w:top w:val="single" w:sz="4" w:space="0" w:color="auto"/>
              <w:bottom w:val="single" w:sz="4" w:space="0" w:color="auto"/>
            </w:tcBorders>
            <w:vAlign w:val="center"/>
            <w:hideMark/>
          </w:tcPr>
          <w:p w14:paraId="3FE90146" w14:textId="77777777" w:rsidR="001B18DB" w:rsidRPr="00417355" w:rsidRDefault="001B18DB"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Percentage (%)</w:t>
            </w:r>
          </w:p>
        </w:tc>
      </w:tr>
      <w:tr w:rsidR="001B18DB" w:rsidRPr="00417355" w14:paraId="4F36622D" w14:textId="77777777" w:rsidTr="00522152">
        <w:trPr>
          <w:tblCellSpacing w:w="15" w:type="dxa"/>
        </w:trPr>
        <w:tc>
          <w:tcPr>
            <w:tcW w:w="0" w:type="auto"/>
            <w:vAlign w:val="center"/>
          </w:tcPr>
          <w:p w14:paraId="5AF41AB4" w14:textId="77777777" w:rsidR="001B18DB" w:rsidRPr="00417355" w:rsidRDefault="001B18DB" w:rsidP="001949D5">
            <w:pPr>
              <w:spacing w:after="0" w:line="240" w:lineRule="auto"/>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Age</w:t>
            </w:r>
          </w:p>
        </w:tc>
        <w:tc>
          <w:tcPr>
            <w:tcW w:w="0" w:type="auto"/>
            <w:vAlign w:val="center"/>
          </w:tcPr>
          <w:p w14:paraId="61B15BDB" w14:textId="77777777" w:rsidR="001B18DB" w:rsidRPr="00417355"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6C1DD30C" w14:textId="77777777" w:rsidR="001B18DB" w:rsidRPr="00417355" w:rsidRDefault="001B18DB" w:rsidP="001949D5">
            <w:pPr>
              <w:spacing w:after="0" w:line="240" w:lineRule="auto"/>
              <w:rPr>
                <w:rFonts w:ascii="Times New Roman" w:eastAsia="Times New Roman" w:hAnsi="Times New Roman" w:cs="Times New Roman"/>
                <w:sz w:val="24"/>
                <w:szCs w:val="24"/>
              </w:rPr>
            </w:pPr>
          </w:p>
        </w:tc>
      </w:tr>
      <w:tr w:rsidR="001B18DB" w:rsidRPr="00417355" w14:paraId="6FD67998" w14:textId="77777777" w:rsidTr="00522152">
        <w:trPr>
          <w:tblCellSpacing w:w="15" w:type="dxa"/>
        </w:trPr>
        <w:tc>
          <w:tcPr>
            <w:tcW w:w="0" w:type="auto"/>
            <w:vAlign w:val="center"/>
            <w:hideMark/>
          </w:tcPr>
          <w:p w14:paraId="74614B0F"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18-24</w:t>
            </w:r>
          </w:p>
        </w:tc>
        <w:tc>
          <w:tcPr>
            <w:tcW w:w="0" w:type="auto"/>
            <w:vAlign w:val="center"/>
            <w:hideMark/>
          </w:tcPr>
          <w:p w14:paraId="5389822C"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28</w:t>
            </w:r>
          </w:p>
        </w:tc>
        <w:tc>
          <w:tcPr>
            <w:tcW w:w="0" w:type="auto"/>
            <w:vAlign w:val="center"/>
            <w:hideMark/>
          </w:tcPr>
          <w:p w14:paraId="5D53B869"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9.21</w:t>
            </w:r>
          </w:p>
        </w:tc>
      </w:tr>
      <w:tr w:rsidR="001B18DB" w:rsidRPr="00417355" w14:paraId="03CD4D85" w14:textId="77777777" w:rsidTr="00522152">
        <w:trPr>
          <w:tblCellSpacing w:w="15" w:type="dxa"/>
        </w:trPr>
        <w:tc>
          <w:tcPr>
            <w:tcW w:w="0" w:type="auto"/>
            <w:vAlign w:val="center"/>
            <w:hideMark/>
          </w:tcPr>
          <w:p w14:paraId="1203BA2D"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25-34</w:t>
            </w:r>
          </w:p>
        </w:tc>
        <w:tc>
          <w:tcPr>
            <w:tcW w:w="0" w:type="auto"/>
            <w:vAlign w:val="center"/>
            <w:hideMark/>
          </w:tcPr>
          <w:p w14:paraId="340A10DD"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57</w:t>
            </w:r>
          </w:p>
        </w:tc>
        <w:tc>
          <w:tcPr>
            <w:tcW w:w="0" w:type="auto"/>
            <w:vAlign w:val="center"/>
            <w:hideMark/>
          </w:tcPr>
          <w:p w14:paraId="0135B0D3"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18.75</w:t>
            </w:r>
          </w:p>
        </w:tc>
      </w:tr>
      <w:tr w:rsidR="001B18DB" w:rsidRPr="00417355" w14:paraId="44FA5028" w14:textId="77777777" w:rsidTr="00522152">
        <w:trPr>
          <w:tblCellSpacing w:w="15" w:type="dxa"/>
        </w:trPr>
        <w:tc>
          <w:tcPr>
            <w:tcW w:w="0" w:type="auto"/>
            <w:vAlign w:val="center"/>
            <w:hideMark/>
          </w:tcPr>
          <w:p w14:paraId="7623AA00"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35-44</w:t>
            </w:r>
          </w:p>
        </w:tc>
        <w:tc>
          <w:tcPr>
            <w:tcW w:w="0" w:type="auto"/>
            <w:vAlign w:val="center"/>
            <w:hideMark/>
          </w:tcPr>
          <w:p w14:paraId="513DC0A9"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99</w:t>
            </w:r>
          </w:p>
        </w:tc>
        <w:tc>
          <w:tcPr>
            <w:tcW w:w="0" w:type="auto"/>
            <w:vAlign w:val="center"/>
            <w:hideMark/>
          </w:tcPr>
          <w:p w14:paraId="4914FB52"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32.57</w:t>
            </w:r>
          </w:p>
        </w:tc>
      </w:tr>
      <w:tr w:rsidR="001B18DB" w:rsidRPr="00417355" w14:paraId="09D4C7F7" w14:textId="77777777" w:rsidTr="00522152">
        <w:trPr>
          <w:tblCellSpacing w:w="15" w:type="dxa"/>
        </w:trPr>
        <w:tc>
          <w:tcPr>
            <w:tcW w:w="0" w:type="auto"/>
            <w:vAlign w:val="center"/>
            <w:hideMark/>
          </w:tcPr>
          <w:p w14:paraId="51E1E06D"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45-54</w:t>
            </w:r>
          </w:p>
        </w:tc>
        <w:tc>
          <w:tcPr>
            <w:tcW w:w="0" w:type="auto"/>
            <w:vAlign w:val="center"/>
            <w:hideMark/>
          </w:tcPr>
          <w:p w14:paraId="616BA3E4"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59</w:t>
            </w:r>
          </w:p>
        </w:tc>
        <w:tc>
          <w:tcPr>
            <w:tcW w:w="0" w:type="auto"/>
            <w:vAlign w:val="center"/>
            <w:hideMark/>
          </w:tcPr>
          <w:p w14:paraId="797B4A0D"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19.41</w:t>
            </w:r>
          </w:p>
        </w:tc>
      </w:tr>
      <w:tr w:rsidR="001B18DB" w:rsidRPr="00417355" w14:paraId="20C894C2" w14:textId="77777777" w:rsidTr="00522152">
        <w:trPr>
          <w:tblCellSpacing w:w="15" w:type="dxa"/>
        </w:trPr>
        <w:tc>
          <w:tcPr>
            <w:tcW w:w="0" w:type="auto"/>
            <w:vAlign w:val="center"/>
            <w:hideMark/>
          </w:tcPr>
          <w:p w14:paraId="4308104B"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55+</w:t>
            </w:r>
          </w:p>
        </w:tc>
        <w:tc>
          <w:tcPr>
            <w:tcW w:w="0" w:type="auto"/>
            <w:vAlign w:val="center"/>
            <w:hideMark/>
          </w:tcPr>
          <w:p w14:paraId="2765E49D"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61</w:t>
            </w:r>
          </w:p>
        </w:tc>
        <w:tc>
          <w:tcPr>
            <w:tcW w:w="0" w:type="auto"/>
            <w:vAlign w:val="center"/>
            <w:hideMark/>
          </w:tcPr>
          <w:p w14:paraId="0B002CEF"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20.06</w:t>
            </w:r>
          </w:p>
        </w:tc>
      </w:tr>
      <w:tr w:rsidR="001B18DB" w:rsidRPr="00417355" w14:paraId="0949B460" w14:textId="77777777" w:rsidTr="00522152">
        <w:trPr>
          <w:tblCellSpacing w:w="15" w:type="dxa"/>
        </w:trPr>
        <w:tc>
          <w:tcPr>
            <w:tcW w:w="0" w:type="auto"/>
            <w:vAlign w:val="center"/>
          </w:tcPr>
          <w:p w14:paraId="49FF9857" w14:textId="77777777" w:rsidR="001B18DB" w:rsidRPr="00417355" w:rsidRDefault="001B18DB" w:rsidP="001949D5">
            <w:pPr>
              <w:spacing w:after="0" w:line="240" w:lineRule="auto"/>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Gender</w:t>
            </w:r>
          </w:p>
        </w:tc>
        <w:tc>
          <w:tcPr>
            <w:tcW w:w="0" w:type="auto"/>
            <w:vAlign w:val="center"/>
          </w:tcPr>
          <w:p w14:paraId="6D840E7B" w14:textId="77777777" w:rsidR="001B18DB" w:rsidRPr="00417355"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7E2C6C75" w14:textId="77777777" w:rsidR="001B18DB" w:rsidRPr="00417355" w:rsidRDefault="001B18DB" w:rsidP="001949D5">
            <w:pPr>
              <w:spacing w:after="0" w:line="240" w:lineRule="auto"/>
              <w:rPr>
                <w:rFonts w:ascii="Times New Roman" w:eastAsia="Times New Roman" w:hAnsi="Times New Roman" w:cs="Times New Roman"/>
                <w:sz w:val="24"/>
                <w:szCs w:val="24"/>
              </w:rPr>
            </w:pPr>
          </w:p>
        </w:tc>
      </w:tr>
      <w:tr w:rsidR="001B18DB" w:rsidRPr="00417355" w14:paraId="2B27A34E" w14:textId="77777777" w:rsidTr="00522152">
        <w:trPr>
          <w:tblCellSpacing w:w="15" w:type="dxa"/>
        </w:trPr>
        <w:tc>
          <w:tcPr>
            <w:tcW w:w="0" w:type="auto"/>
            <w:vAlign w:val="center"/>
            <w:hideMark/>
          </w:tcPr>
          <w:p w14:paraId="6B9981B1"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Female</w:t>
            </w:r>
          </w:p>
        </w:tc>
        <w:tc>
          <w:tcPr>
            <w:tcW w:w="0" w:type="auto"/>
            <w:vAlign w:val="center"/>
            <w:hideMark/>
          </w:tcPr>
          <w:p w14:paraId="7B1153B1"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179</w:t>
            </w:r>
          </w:p>
        </w:tc>
        <w:tc>
          <w:tcPr>
            <w:tcW w:w="0" w:type="auto"/>
            <w:vAlign w:val="center"/>
            <w:hideMark/>
          </w:tcPr>
          <w:p w14:paraId="62C498D2"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58.88</w:t>
            </w:r>
          </w:p>
        </w:tc>
      </w:tr>
      <w:tr w:rsidR="001B18DB" w:rsidRPr="00417355" w14:paraId="63EA069F" w14:textId="77777777" w:rsidTr="00522152">
        <w:trPr>
          <w:tblCellSpacing w:w="15" w:type="dxa"/>
        </w:trPr>
        <w:tc>
          <w:tcPr>
            <w:tcW w:w="0" w:type="auto"/>
            <w:vAlign w:val="center"/>
            <w:hideMark/>
          </w:tcPr>
          <w:p w14:paraId="2AB0BA35"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Male</w:t>
            </w:r>
          </w:p>
        </w:tc>
        <w:tc>
          <w:tcPr>
            <w:tcW w:w="0" w:type="auto"/>
            <w:vAlign w:val="center"/>
            <w:hideMark/>
          </w:tcPr>
          <w:p w14:paraId="58E4590C"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125</w:t>
            </w:r>
          </w:p>
        </w:tc>
        <w:tc>
          <w:tcPr>
            <w:tcW w:w="0" w:type="auto"/>
            <w:vAlign w:val="center"/>
            <w:hideMark/>
          </w:tcPr>
          <w:p w14:paraId="4B38FA60"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41.12</w:t>
            </w:r>
          </w:p>
        </w:tc>
      </w:tr>
      <w:tr w:rsidR="001B18DB" w:rsidRPr="00417355" w14:paraId="6CDB173F" w14:textId="77777777" w:rsidTr="00522152">
        <w:trPr>
          <w:tblCellSpacing w:w="15" w:type="dxa"/>
        </w:trPr>
        <w:tc>
          <w:tcPr>
            <w:tcW w:w="0" w:type="auto"/>
            <w:vAlign w:val="center"/>
          </w:tcPr>
          <w:p w14:paraId="240CE21F" w14:textId="77777777" w:rsidR="001B18DB" w:rsidRPr="00417355" w:rsidRDefault="001B18DB" w:rsidP="001949D5">
            <w:pPr>
              <w:spacing w:after="0" w:line="240" w:lineRule="auto"/>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Marital Status</w:t>
            </w:r>
          </w:p>
        </w:tc>
        <w:tc>
          <w:tcPr>
            <w:tcW w:w="0" w:type="auto"/>
            <w:vAlign w:val="center"/>
          </w:tcPr>
          <w:p w14:paraId="1D4B895E" w14:textId="77777777" w:rsidR="001B18DB" w:rsidRPr="00417355"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75E1A746" w14:textId="77777777" w:rsidR="001B18DB" w:rsidRPr="00417355" w:rsidRDefault="001B18DB" w:rsidP="001949D5">
            <w:pPr>
              <w:spacing w:after="0" w:line="240" w:lineRule="auto"/>
              <w:rPr>
                <w:rFonts w:ascii="Times New Roman" w:eastAsia="Times New Roman" w:hAnsi="Times New Roman" w:cs="Times New Roman"/>
                <w:sz w:val="24"/>
                <w:szCs w:val="24"/>
              </w:rPr>
            </w:pPr>
          </w:p>
        </w:tc>
      </w:tr>
      <w:tr w:rsidR="001B18DB" w:rsidRPr="00417355" w14:paraId="31A93571" w14:textId="77777777" w:rsidTr="00522152">
        <w:trPr>
          <w:tblCellSpacing w:w="15" w:type="dxa"/>
        </w:trPr>
        <w:tc>
          <w:tcPr>
            <w:tcW w:w="0" w:type="auto"/>
            <w:vAlign w:val="center"/>
            <w:hideMark/>
          </w:tcPr>
          <w:p w14:paraId="2C17BE9A"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Single</w:t>
            </w:r>
          </w:p>
        </w:tc>
        <w:tc>
          <w:tcPr>
            <w:tcW w:w="0" w:type="auto"/>
            <w:vAlign w:val="center"/>
            <w:hideMark/>
          </w:tcPr>
          <w:p w14:paraId="25F7F762"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91</w:t>
            </w:r>
          </w:p>
        </w:tc>
        <w:tc>
          <w:tcPr>
            <w:tcW w:w="0" w:type="auto"/>
            <w:vAlign w:val="center"/>
            <w:hideMark/>
          </w:tcPr>
          <w:p w14:paraId="34DA317C"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29.87</w:t>
            </w:r>
          </w:p>
        </w:tc>
      </w:tr>
      <w:tr w:rsidR="001B18DB" w:rsidRPr="00417355" w14:paraId="3E6E2E4A" w14:textId="77777777" w:rsidTr="00522152">
        <w:trPr>
          <w:tblCellSpacing w:w="15" w:type="dxa"/>
        </w:trPr>
        <w:tc>
          <w:tcPr>
            <w:tcW w:w="0" w:type="auto"/>
            <w:vAlign w:val="center"/>
            <w:hideMark/>
          </w:tcPr>
          <w:p w14:paraId="43741042"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Married</w:t>
            </w:r>
          </w:p>
        </w:tc>
        <w:tc>
          <w:tcPr>
            <w:tcW w:w="0" w:type="auto"/>
            <w:vAlign w:val="center"/>
            <w:hideMark/>
          </w:tcPr>
          <w:p w14:paraId="56A09682"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148</w:t>
            </w:r>
          </w:p>
        </w:tc>
        <w:tc>
          <w:tcPr>
            <w:tcW w:w="0" w:type="auto"/>
            <w:vAlign w:val="center"/>
            <w:hideMark/>
          </w:tcPr>
          <w:p w14:paraId="69BACD98"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48.68</w:t>
            </w:r>
          </w:p>
        </w:tc>
      </w:tr>
      <w:tr w:rsidR="001B18DB" w:rsidRPr="00417355" w14:paraId="13B6C393" w14:textId="77777777" w:rsidTr="00522152">
        <w:trPr>
          <w:tblCellSpacing w:w="15" w:type="dxa"/>
        </w:trPr>
        <w:tc>
          <w:tcPr>
            <w:tcW w:w="0" w:type="auto"/>
            <w:vAlign w:val="center"/>
            <w:hideMark/>
          </w:tcPr>
          <w:p w14:paraId="23F2A035"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Separated</w:t>
            </w:r>
          </w:p>
        </w:tc>
        <w:tc>
          <w:tcPr>
            <w:tcW w:w="0" w:type="auto"/>
            <w:vAlign w:val="center"/>
            <w:hideMark/>
          </w:tcPr>
          <w:p w14:paraId="2DF8C422"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w:t>
            </w:r>
          </w:p>
        </w:tc>
        <w:tc>
          <w:tcPr>
            <w:tcW w:w="0" w:type="auto"/>
            <w:vAlign w:val="center"/>
            <w:hideMark/>
          </w:tcPr>
          <w:p w14:paraId="3B890CA4"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1.98</w:t>
            </w:r>
          </w:p>
        </w:tc>
      </w:tr>
      <w:tr w:rsidR="001B18DB" w:rsidRPr="00417355" w14:paraId="29772D46" w14:textId="77777777" w:rsidTr="00522152">
        <w:trPr>
          <w:tblCellSpacing w:w="15" w:type="dxa"/>
        </w:trPr>
        <w:tc>
          <w:tcPr>
            <w:tcW w:w="0" w:type="auto"/>
            <w:vAlign w:val="center"/>
            <w:hideMark/>
          </w:tcPr>
          <w:p w14:paraId="6579A9A1"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Divorced</w:t>
            </w:r>
          </w:p>
        </w:tc>
        <w:tc>
          <w:tcPr>
            <w:tcW w:w="0" w:type="auto"/>
            <w:vAlign w:val="center"/>
            <w:hideMark/>
          </w:tcPr>
          <w:p w14:paraId="076D6D6B"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38</w:t>
            </w:r>
          </w:p>
        </w:tc>
        <w:tc>
          <w:tcPr>
            <w:tcW w:w="0" w:type="auto"/>
            <w:vAlign w:val="center"/>
            <w:hideMark/>
          </w:tcPr>
          <w:p w14:paraId="0C0B52E1"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12.5</w:t>
            </w:r>
          </w:p>
        </w:tc>
      </w:tr>
      <w:tr w:rsidR="001B18DB" w:rsidRPr="00417355" w14:paraId="1CD6B47D" w14:textId="77777777" w:rsidTr="00522152">
        <w:trPr>
          <w:tblCellSpacing w:w="15" w:type="dxa"/>
        </w:trPr>
        <w:tc>
          <w:tcPr>
            <w:tcW w:w="0" w:type="auto"/>
            <w:vAlign w:val="center"/>
            <w:hideMark/>
          </w:tcPr>
          <w:p w14:paraId="5C109E5C"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Widowed</w:t>
            </w:r>
          </w:p>
        </w:tc>
        <w:tc>
          <w:tcPr>
            <w:tcW w:w="0" w:type="auto"/>
            <w:vAlign w:val="center"/>
            <w:hideMark/>
          </w:tcPr>
          <w:p w14:paraId="049817A7"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21</w:t>
            </w:r>
          </w:p>
        </w:tc>
        <w:tc>
          <w:tcPr>
            <w:tcW w:w="0" w:type="auto"/>
            <w:vAlign w:val="center"/>
            <w:hideMark/>
          </w:tcPr>
          <w:p w14:paraId="59D0082E"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6.97</w:t>
            </w:r>
          </w:p>
        </w:tc>
      </w:tr>
      <w:tr w:rsidR="001B18DB" w:rsidRPr="00417355" w14:paraId="29945D51" w14:textId="77777777" w:rsidTr="00522152">
        <w:trPr>
          <w:tblCellSpacing w:w="15" w:type="dxa"/>
        </w:trPr>
        <w:tc>
          <w:tcPr>
            <w:tcW w:w="0" w:type="auto"/>
            <w:vAlign w:val="center"/>
          </w:tcPr>
          <w:p w14:paraId="73D6E8D6" w14:textId="77777777" w:rsidR="001B18DB" w:rsidRPr="00417355" w:rsidRDefault="001B18DB" w:rsidP="001949D5">
            <w:pPr>
              <w:spacing w:after="0" w:line="240" w:lineRule="auto"/>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Highest Level of Education</w:t>
            </w:r>
          </w:p>
        </w:tc>
        <w:tc>
          <w:tcPr>
            <w:tcW w:w="0" w:type="auto"/>
            <w:vAlign w:val="center"/>
          </w:tcPr>
          <w:p w14:paraId="16AF5A3F" w14:textId="77777777" w:rsidR="001B18DB" w:rsidRPr="00417355"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6025EA24" w14:textId="77777777" w:rsidR="001B18DB" w:rsidRPr="00417355" w:rsidRDefault="001B18DB" w:rsidP="001949D5">
            <w:pPr>
              <w:spacing w:after="0" w:line="240" w:lineRule="auto"/>
              <w:rPr>
                <w:rFonts w:ascii="Times New Roman" w:eastAsia="Times New Roman" w:hAnsi="Times New Roman" w:cs="Times New Roman"/>
                <w:sz w:val="24"/>
                <w:szCs w:val="24"/>
              </w:rPr>
            </w:pPr>
          </w:p>
        </w:tc>
      </w:tr>
      <w:tr w:rsidR="001B18DB" w:rsidRPr="00417355" w14:paraId="237AB468" w14:textId="77777777" w:rsidTr="00522152">
        <w:trPr>
          <w:tblCellSpacing w:w="15" w:type="dxa"/>
        </w:trPr>
        <w:tc>
          <w:tcPr>
            <w:tcW w:w="0" w:type="auto"/>
            <w:vAlign w:val="center"/>
            <w:hideMark/>
          </w:tcPr>
          <w:p w14:paraId="3BCCB807"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No formal education</w:t>
            </w:r>
          </w:p>
        </w:tc>
        <w:tc>
          <w:tcPr>
            <w:tcW w:w="0" w:type="auto"/>
            <w:vAlign w:val="center"/>
            <w:hideMark/>
          </w:tcPr>
          <w:p w14:paraId="37BCC8F3"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20</w:t>
            </w:r>
          </w:p>
        </w:tc>
        <w:tc>
          <w:tcPr>
            <w:tcW w:w="0" w:type="auto"/>
            <w:vAlign w:val="center"/>
            <w:hideMark/>
          </w:tcPr>
          <w:p w14:paraId="6075D509"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6.58</w:t>
            </w:r>
          </w:p>
        </w:tc>
      </w:tr>
      <w:tr w:rsidR="001B18DB" w:rsidRPr="00417355" w14:paraId="43491598" w14:textId="77777777" w:rsidTr="00522152">
        <w:trPr>
          <w:tblCellSpacing w:w="15" w:type="dxa"/>
        </w:trPr>
        <w:tc>
          <w:tcPr>
            <w:tcW w:w="0" w:type="auto"/>
            <w:vAlign w:val="center"/>
            <w:hideMark/>
          </w:tcPr>
          <w:p w14:paraId="3567B01B"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Primary education</w:t>
            </w:r>
          </w:p>
        </w:tc>
        <w:tc>
          <w:tcPr>
            <w:tcW w:w="0" w:type="auto"/>
            <w:vAlign w:val="center"/>
            <w:hideMark/>
          </w:tcPr>
          <w:p w14:paraId="65DBC9BB"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31</w:t>
            </w:r>
          </w:p>
        </w:tc>
        <w:tc>
          <w:tcPr>
            <w:tcW w:w="0" w:type="auto"/>
            <w:vAlign w:val="center"/>
            <w:hideMark/>
          </w:tcPr>
          <w:p w14:paraId="3BD7078A"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10.2</w:t>
            </w:r>
          </w:p>
        </w:tc>
      </w:tr>
      <w:tr w:rsidR="001B18DB" w:rsidRPr="00417355" w14:paraId="113C6CE7" w14:textId="77777777" w:rsidTr="00522152">
        <w:trPr>
          <w:tblCellSpacing w:w="15" w:type="dxa"/>
        </w:trPr>
        <w:tc>
          <w:tcPr>
            <w:tcW w:w="0" w:type="auto"/>
            <w:vAlign w:val="center"/>
            <w:hideMark/>
          </w:tcPr>
          <w:p w14:paraId="65CE479A"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Secondary education</w:t>
            </w:r>
          </w:p>
        </w:tc>
        <w:tc>
          <w:tcPr>
            <w:tcW w:w="0" w:type="auto"/>
            <w:vAlign w:val="center"/>
            <w:hideMark/>
          </w:tcPr>
          <w:p w14:paraId="359DC18D"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89</w:t>
            </w:r>
          </w:p>
        </w:tc>
        <w:tc>
          <w:tcPr>
            <w:tcW w:w="0" w:type="auto"/>
            <w:vAlign w:val="center"/>
            <w:hideMark/>
          </w:tcPr>
          <w:p w14:paraId="00171991"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29.27</w:t>
            </w:r>
          </w:p>
        </w:tc>
      </w:tr>
      <w:tr w:rsidR="001B18DB" w:rsidRPr="00417355" w14:paraId="7CE6608C" w14:textId="77777777" w:rsidTr="00522152">
        <w:trPr>
          <w:tblCellSpacing w:w="15" w:type="dxa"/>
        </w:trPr>
        <w:tc>
          <w:tcPr>
            <w:tcW w:w="0" w:type="auto"/>
            <w:vAlign w:val="center"/>
            <w:hideMark/>
          </w:tcPr>
          <w:p w14:paraId="562A8740"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Tertiary education (University/College)</w:t>
            </w:r>
          </w:p>
        </w:tc>
        <w:tc>
          <w:tcPr>
            <w:tcW w:w="0" w:type="auto"/>
            <w:vAlign w:val="center"/>
            <w:hideMark/>
          </w:tcPr>
          <w:p w14:paraId="389385A0"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160</w:t>
            </w:r>
          </w:p>
        </w:tc>
        <w:tc>
          <w:tcPr>
            <w:tcW w:w="0" w:type="auto"/>
            <w:vAlign w:val="center"/>
            <w:hideMark/>
          </w:tcPr>
          <w:p w14:paraId="0E7A178E"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52.63</w:t>
            </w:r>
          </w:p>
        </w:tc>
      </w:tr>
      <w:tr w:rsidR="001B18DB" w:rsidRPr="00417355" w14:paraId="0B839D34" w14:textId="77777777" w:rsidTr="00522152">
        <w:trPr>
          <w:tblCellSpacing w:w="15" w:type="dxa"/>
        </w:trPr>
        <w:tc>
          <w:tcPr>
            <w:tcW w:w="0" w:type="auto"/>
            <w:vAlign w:val="center"/>
            <w:hideMark/>
          </w:tcPr>
          <w:p w14:paraId="2D12E361"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Other</w:t>
            </w:r>
          </w:p>
        </w:tc>
        <w:tc>
          <w:tcPr>
            <w:tcW w:w="0" w:type="auto"/>
            <w:vAlign w:val="center"/>
            <w:hideMark/>
          </w:tcPr>
          <w:p w14:paraId="48A9D847"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4</w:t>
            </w:r>
          </w:p>
        </w:tc>
        <w:tc>
          <w:tcPr>
            <w:tcW w:w="0" w:type="auto"/>
            <w:vAlign w:val="center"/>
            <w:hideMark/>
          </w:tcPr>
          <w:p w14:paraId="36DB060B"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1.32</w:t>
            </w:r>
          </w:p>
        </w:tc>
      </w:tr>
      <w:tr w:rsidR="001B18DB" w:rsidRPr="00417355" w14:paraId="780B907D" w14:textId="77777777" w:rsidTr="00522152">
        <w:trPr>
          <w:tblCellSpacing w:w="15" w:type="dxa"/>
        </w:trPr>
        <w:tc>
          <w:tcPr>
            <w:tcW w:w="0" w:type="auto"/>
            <w:vAlign w:val="center"/>
          </w:tcPr>
          <w:p w14:paraId="53329920" w14:textId="77777777" w:rsidR="001B18DB" w:rsidRPr="00417355" w:rsidRDefault="001B18DB" w:rsidP="001949D5">
            <w:pPr>
              <w:spacing w:after="0" w:line="240" w:lineRule="auto"/>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Highest Nursing Qualification</w:t>
            </w:r>
          </w:p>
        </w:tc>
        <w:tc>
          <w:tcPr>
            <w:tcW w:w="0" w:type="auto"/>
            <w:vAlign w:val="center"/>
          </w:tcPr>
          <w:p w14:paraId="5729342B" w14:textId="77777777" w:rsidR="001B18DB" w:rsidRPr="00417355"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62C343C4" w14:textId="77777777" w:rsidR="001B18DB" w:rsidRPr="00417355" w:rsidRDefault="001B18DB" w:rsidP="001949D5">
            <w:pPr>
              <w:spacing w:after="0" w:line="240" w:lineRule="auto"/>
              <w:rPr>
                <w:rFonts w:ascii="Times New Roman" w:eastAsia="Times New Roman" w:hAnsi="Times New Roman" w:cs="Times New Roman"/>
                <w:sz w:val="24"/>
                <w:szCs w:val="24"/>
              </w:rPr>
            </w:pPr>
          </w:p>
        </w:tc>
      </w:tr>
      <w:tr w:rsidR="001B18DB" w:rsidRPr="00417355" w14:paraId="7F6140C2" w14:textId="77777777" w:rsidTr="00522152">
        <w:trPr>
          <w:tblCellSpacing w:w="15" w:type="dxa"/>
        </w:trPr>
        <w:tc>
          <w:tcPr>
            <w:tcW w:w="0" w:type="auto"/>
            <w:vAlign w:val="center"/>
            <w:hideMark/>
          </w:tcPr>
          <w:p w14:paraId="6EB306E4"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Registered nurse</w:t>
            </w:r>
          </w:p>
        </w:tc>
        <w:tc>
          <w:tcPr>
            <w:tcW w:w="0" w:type="auto"/>
            <w:vAlign w:val="center"/>
            <w:hideMark/>
          </w:tcPr>
          <w:p w14:paraId="651C3FDA"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122</w:t>
            </w:r>
          </w:p>
        </w:tc>
        <w:tc>
          <w:tcPr>
            <w:tcW w:w="0" w:type="auto"/>
            <w:vAlign w:val="center"/>
            <w:hideMark/>
          </w:tcPr>
          <w:p w14:paraId="07CA851C"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40.12</w:t>
            </w:r>
          </w:p>
        </w:tc>
      </w:tr>
      <w:tr w:rsidR="001B18DB" w:rsidRPr="00417355" w14:paraId="6086B2ED" w14:textId="77777777" w:rsidTr="00522152">
        <w:trPr>
          <w:tblCellSpacing w:w="15" w:type="dxa"/>
        </w:trPr>
        <w:tc>
          <w:tcPr>
            <w:tcW w:w="0" w:type="auto"/>
            <w:vAlign w:val="center"/>
            <w:hideMark/>
          </w:tcPr>
          <w:p w14:paraId="50FE5E84"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BSc nursing</w:t>
            </w:r>
          </w:p>
        </w:tc>
        <w:tc>
          <w:tcPr>
            <w:tcW w:w="0" w:type="auto"/>
            <w:vAlign w:val="center"/>
            <w:hideMark/>
          </w:tcPr>
          <w:p w14:paraId="497CDA86"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96</w:t>
            </w:r>
          </w:p>
        </w:tc>
        <w:tc>
          <w:tcPr>
            <w:tcW w:w="0" w:type="auto"/>
            <w:vAlign w:val="center"/>
            <w:hideMark/>
          </w:tcPr>
          <w:p w14:paraId="55D82816"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31</w:t>
            </w:r>
          </w:p>
        </w:tc>
      </w:tr>
      <w:tr w:rsidR="001B18DB" w:rsidRPr="00417355" w14:paraId="7E1221AE" w14:textId="77777777" w:rsidTr="00522152">
        <w:trPr>
          <w:tblCellSpacing w:w="15" w:type="dxa"/>
        </w:trPr>
        <w:tc>
          <w:tcPr>
            <w:tcW w:w="0" w:type="auto"/>
            <w:vAlign w:val="center"/>
            <w:hideMark/>
          </w:tcPr>
          <w:p w14:paraId="2A8B0D42"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lastRenderedPageBreak/>
              <w:t>Public Health nurse</w:t>
            </w:r>
          </w:p>
        </w:tc>
        <w:tc>
          <w:tcPr>
            <w:tcW w:w="0" w:type="auto"/>
            <w:vAlign w:val="center"/>
            <w:hideMark/>
          </w:tcPr>
          <w:p w14:paraId="33886AAE"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62</w:t>
            </w:r>
          </w:p>
        </w:tc>
        <w:tc>
          <w:tcPr>
            <w:tcW w:w="0" w:type="auto"/>
            <w:vAlign w:val="center"/>
            <w:hideMark/>
          </w:tcPr>
          <w:p w14:paraId="1371568D"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22.3</w:t>
            </w:r>
          </w:p>
        </w:tc>
      </w:tr>
      <w:tr w:rsidR="001B18DB" w:rsidRPr="00417355" w14:paraId="54B0AD6A" w14:textId="77777777" w:rsidTr="00522152">
        <w:trPr>
          <w:tblCellSpacing w:w="15" w:type="dxa"/>
        </w:trPr>
        <w:tc>
          <w:tcPr>
            <w:tcW w:w="0" w:type="auto"/>
            <w:vAlign w:val="center"/>
            <w:hideMark/>
          </w:tcPr>
          <w:p w14:paraId="18A314D6"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Emergency nurse</w:t>
            </w:r>
          </w:p>
        </w:tc>
        <w:tc>
          <w:tcPr>
            <w:tcW w:w="0" w:type="auto"/>
            <w:vAlign w:val="center"/>
            <w:hideMark/>
          </w:tcPr>
          <w:p w14:paraId="43631CB3"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15</w:t>
            </w:r>
          </w:p>
        </w:tc>
        <w:tc>
          <w:tcPr>
            <w:tcW w:w="0" w:type="auto"/>
            <w:vAlign w:val="center"/>
            <w:hideMark/>
          </w:tcPr>
          <w:p w14:paraId="4C50D964"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4.93</w:t>
            </w:r>
          </w:p>
        </w:tc>
      </w:tr>
      <w:tr w:rsidR="001B18DB" w:rsidRPr="00417355" w14:paraId="232796E0" w14:textId="77777777" w:rsidTr="00522152">
        <w:trPr>
          <w:tblCellSpacing w:w="15" w:type="dxa"/>
        </w:trPr>
        <w:tc>
          <w:tcPr>
            <w:tcW w:w="0" w:type="auto"/>
            <w:vAlign w:val="center"/>
            <w:hideMark/>
          </w:tcPr>
          <w:p w14:paraId="18F99E6A"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Other</w:t>
            </w:r>
          </w:p>
        </w:tc>
        <w:tc>
          <w:tcPr>
            <w:tcW w:w="0" w:type="auto"/>
            <w:vAlign w:val="center"/>
            <w:hideMark/>
          </w:tcPr>
          <w:p w14:paraId="3B3F195B"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w:t>
            </w:r>
          </w:p>
        </w:tc>
        <w:tc>
          <w:tcPr>
            <w:tcW w:w="0" w:type="auto"/>
            <w:vAlign w:val="center"/>
            <w:hideMark/>
          </w:tcPr>
          <w:p w14:paraId="7EBC9185"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1.65</w:t>
            </w:r>
          </w:p>
        </w:tc>
      </w:tr>
      <w:tr w:rsidR="001B18DB" w:rsidRPr="00417355" w14:paraId="56B4F09B" w14:textId="77777777" w:rsidTr="00522152">
        <w:trPr>
          <w:tblCellSpacing w:w="15" w:type="dxa"/>
        </w:trPr>
        <w:tc>
          <w:tcPr>
            <w:tcW w:w="0" w:type="auto"/>
            <w:vAlign w:val="center"/>
          </w:tcPr>
          <w:p w14:paraId="40D3D715" w14:textId="77777777" w:rsidR="001B18DB" w:rsidRPr="00417355" w:rsidRDefault="001B18DB" w:rsidP="001949D5">
            <w:pPr>
              <w:spacing w:after="0" w:line="240" w:lineRule="auto"/>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Years of Experience as a Nurse</w:t>
            </w:r>
          </w:p>
        </w:tc>
        <w:tc>
          <w:tcPr>
            <w:tcW w:w="0" w:type="auto"/>
            <w:vAlign w:val="center"/>
          </w:tcPr>
          <w:p w14:paraId="19EF13F4" w14:textId="77777777" w:rsidR="001B18DB" w:rsidRPr="00417355"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03DD2A85" w14:textId="77777777" w:rsidR="001B18DB" w:rsidRPr="00417355" w:rsidRDefault="001B18DB" w:rsidP="001949D5">
            <w:pPr>
              <w:spacing w:after="0" w:line="240" w:lineRule="auto"/>
              <w:rPr>
                <w:rFonts w:ascii="Times New Roman" w:eastAsia="Times New Roman" w:hAnsi="Times New Roman" w:cs="Times New Roman"/>
                <w:sz w:val="24"/>
                <w:szCs w:val="24"/>
              </w:rPr>
            </w:pPr>
          </w:p>
        </w:tc>
      </w:tr>
      <w:tr w:rsidR="001B18DB" w:rsidRPr="00417355" w14:paraId="05F8D088" w14:textId="77777777" w:rsidTr="00522152">
        <w:trPr>
          <w:tblCellSpacing w:w="15" w:type="dxa"/>
        </w:trPr>
        <w:tc>
          <w:tcPr>
            <w:tcW w:w="0" w:type="auto"/>
            <w:vAlign w:val="center"/>
            <w:hideMark/>
          </w:tcPr>
          <w:p w14:paraId="767F3E4D"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1-5 years</w:t>
            </w:r>
          </w:p>
        </w:tc>
        <w:tc>
          <w:tcPr>
            <w:tcW w:w="0" w:type="auto"/>
            <w:vAlign w:val="center"/>
            <w:hideMark/>
          </w:tcPr>
          <w:p w14:paraId="0A860191"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92</w:t>
            </w:r>
          </w:p>
        </w:tc>
        <w:tc>
          <w:tcPr>
            <w:tcW w:w="0" w:type="auto"/>
            <w:vAlign w:val="center"/>
            <w:hideMark/>
          </w:tcPr>
          <w:p w14:paraId="51F6D93D"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30.26</w:t>
            </w:r>
          </w:p>
        </w:tc>
      </w:tr>
      <w:tr w:rsidR="001B18DB" w:rsidRPr="00417355" w14:paraId="22A1CE99" w14:textId="77777777" w:rsidTr="00522152">
        <w:trPr>
          <w:tblCellSpacing w:w="15" w:type="dxa"/>
        </w:trPr>
        <w:tc>
          <w:tcPr>
            <w:tcW w:w="0" w:type="auto"/>
            <w:vAlign w:val="center"/>
            <w:hideMark/>
          </w:tcPr>
          <w:p w14:paraId="35649CF1"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6-10 years</w:t>
            </w:r>
          </w:p>
        </w:tc>
        <w:tc>
          <w:tcPr>
            <w:tcW w:w="0" w:type="auto"/>
            <w:vAlign w:val="center"/>
            <w:hideMark/>
          </w:tcPr>
          <w:p w14:paraId="6FE5917B"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126</w:t>
            </w:r>
          </w:p>
        </w:tc>
        <w:tc>
          <w:tcPr>
            <w:tcW w:w="0" w:type="auto"/>
            <w:vAlign w:val="center"/>
            <w:hideMark/>
          </w:tcPr>
          <w:p w14:paraId="550B03E8"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41.45</w:t>
            </w:r>
          </w:p>
        </w:tc>
      </w:tr>
      <w:tr w:rsidR="001B18DB" w:rsidRPr="00417355" w14:paraId="5F36AF77" w14:textId="77777777" w:rsidTr="00522152">
        <w:trPr>
          <w:tblCellSpacing w:w="15" w:type="dxa"/>
        </w:trPr>
        <w:tc>
          <w:tcPr>
            <w:tcW w:w="0" w:type="auto"/>
            <w:vAlign w:val="center"/>
            <w:hideMark/>
          </w:tcPr>
          <w:p w14:paraId="347F8BF7"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11-15 years</w:t>
            </w:r>
          </w:p>
        </w:tc>
        <w:tc>
          <w:tcPr>
            <w:tcW w:w="0" w:type="auto"/>
            <w:vAlign w:val="center"/>
            <w:hideMark/>
          </w:tcPr>
          <w:p w14:paraId="1C29480B"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48</w:t>
            </w:r>
          </w:p>
        </w:tc>
        <w:tc>
          <w:tcPr>
            <w:tcW w:w="0" w:type="auto"/>
            <w:vAlign w:val="center"/>
            <w:hideMark/>
          </w:tcPr>
          <w:p w14:paraId="76BD8225"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15.79</w:t>
            </w:r>
          </w:p>
        </w:tc>
      </w:tr>
      <w:tr w:rsidR="001B18DB" w:rsidRPr="00417355" w14:paraId="3E045863" w14:textId="77777777" w:rsidTr="00522152">
        <w:trPr>
          <w:tblCellSpacing w:w="15" w:type="dxa"/>
        </w:trPr>
        <w:tc>
          <w:tcPr>
            <w:tcW w:w="0" w:type="auto"/>
            <w:vAlign w:val="center"/>
            <w:hideMark/>
          </w:tcPr>
          <w:p w14:paraId="4FF642F8"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16+ years</w:t>
            </w:r>
          </w:p>
        </w:tc>
        <w:tc>
          <w:tcPr>
            <w:tcW w:w="0" w:type="auto"/>
            <w:vAlign w:val="center"/>
            <w:hideMark/>
          </w:tcPr>
          <w:p w14:paraId="3573FCA9"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38</w:t>
            </w:r>
          </w:p>
        </w:tc>
        <w:tc>
          <w:tcPr>
            <w:tcW w:w="0" w:type="auto"/>
            <w:vAlign w:val="center"/>
            <w:hideMark/>
          </w:tcPr>
          <w:p w14:paraId="3DB0ADB2"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12.50</w:t>
            </w:r>
          </w:p>
        </w:tc>
      </w:tr>
      <w:tr w:rsidR="001B18DB" w:rsidRPr="00417355" w14:paraId="574341F5" w14:textId="77777777" w:rsidTr="00522152">
        <w:trPr>
          <w:tblCellSpacing w:w="15" w:type="dxa"/>
        </w:trPr>
        <w:tc>
          <w:tcPr>
            <w:tcW w:w="0" w:type="auto"/>
            <w:vAlign w:val="center"/>
          </w:tcPr>
          <w:p w14:paraId="47BF95D2" w14:textId="77777777" w:rsidR="001B18DB" w:rsidRPr="00417355" w:rsidRDefault="001B18DB" w:rsidP="001949D5">
            <w:pPr>
              <w:spacing w:after="0" w:line="240" w:lineRule="auto"/>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Department/Ward in the Hospital</w:t>
            </w:r>
          </w:p>
        </w:tc>
        <w:tc>
          <w:tcPr>
            <w:tcW w:w="0" w:type="auto"/>
            <w:vAlign w:val="center"/>
          </w:tcPr>
          <w:p w14:paraId="1BE37A8C" w14:textId="77777777" w:rsidR="001B18DB" w:rsidRPr="00417355"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00E11DDC" w14:textId="77777777" w:rsidR="001B18DB" w:rsidRPr="00417355" w:rsidRDefault="001B18DB" w:rsidP="001949D5">
            <w:pPr>
              <w:spacing w:after="0" w:line="240" w:lineRule="auto"/>
              <w:rPr>
                <w:rFonts w:ascii="Times New Roman" w:eastAsia="Times New Roman" w:hAnsi="Times New Roman" w:cs="Times New Roman"/>
                <w:sz w:val="24"/>
                <w:szCs w:val="24"/>
              </w:rPr>
            </w:pPr>
          </w:p>
        </w:tc>
      </w:tr>
      <w:tr w:rsidR="001B18DB" w:rsidRPr="00417355" w14:paraId="4FD4AF08" w14:textId="77777777" w:rsidTr="00522152">
        <w:trPr>
          <w:tblCellSpacing w:w="15" w:type="dxa"/>
        </w:trPr>
        <w:tc>
          <w:tcPr>
            <w:tcW w:w="0" w:type="auto"/>
            <w:vAlign w:val="center"/>
            <w:hideMark/>
          </w:tcPr>
          <w:p w14:paraId="4A464752"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Emergency Care</w:t>
            </w:r>
          </w:p>
        </w:tc>
        <w:tc>
          <w:tcPr>
            <w:tcW w:w="0" w:type="auto"/>
            <w:vAlign w:val="center"/>
            <w:hideMark/>
          </w:tcPr>
          <w:p w14:paraId="052AE8A3"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60</w:t>
            </w:r>
          </w:p>
        </w:tc>
        <w:tc>
          <w:tcPr>
            <w:tcW w:w="0" w:type="auto"/>
            <w:vAlign w:val="center"/>
            <w:hideMark/>
          </w:tcPr>
          <w:p w14:paraId="5A2B7281"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19.63</w:t>
            </w:r>
          </w:p>
        </w:tc>
      </w:tr>
      <w:tr w:rsidR="001B18DB" w:rsidRPr="00417355" w14:paraId="5E10199C" w14:textId="77777777" w:rsidTr="00522152">
        <w:trPr>
          <w:tblCellSpacing w:w="15" w:type="dxa"/>
        </w:trPr>
        <w:tc>
          <w:tcPr>
            <w:tcW w:w="0" w:type="auto"/>
            <w:vAlign w:val="center"/>
            <w:hideMark/>
          </w:tcPr>
          <w:p w14:paraId="2D4B9C86"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Outpatient Care</w:t>
            </w:r>
          </w:p>
        </w:tc>
        <w:tc>
          <w:tcPr>
            <w:tcW w:w="0" w:type="auto"/>
            <w:vAlign w:val="center"/>
            <w:hideMark/>
          </w:tcPr>
          <w:p w14:paraId="48C0999F"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56</w:t>
            </w:r>
          </w:p>
        </w:tc>
        <w:tc>
          <w:tcPr>
            <w:tcW w:w="0" w:type="auto"/>
            <w:vAlign w:val="center"/>
            <w:hideMark/>
          </w:tcPr>
          <w:p w14:paraId="1FD2338B"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16.42</w:t>
            </w:r>
          </w:p>
        </w:tc>
      </w:tr>
      <w:tr w:rsidR="001B18DB" w:rsidRPr="00417355" w14:paraId="424E2D61" w14:textId="77777777" w:rsidTr="00522152">
        <w:trPr>
          <w:tblCellSpacing w:w="15" w:type="dxa"/>
        </w:trPr>
        <w:tc>
          <w:tcPr>
            <w:tcW w:w="0" w:type="auto"/>
            <w:vAlign w:val="center"/>
            <w:hideMark/>
          </w:tcPr>
          <w:p w14:paraId="2AB365C4"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General Ward</w:t>
            </w:r>
          </w:p>
        </w:tc>
        <w:tc>
          <w:tcPr>
            <w:tcW w:w="0" w:type="auto"/>
            <w:vAlign w:val="center"/>
            <w:hideMark/>
          </w:tcPr>
          <w:p w14:paraId="3F53DFDA"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95</w:t>
            </w:r>
          </w:p>
        </w:tc>
        <w:tc>
          <w:tcPr>
            <w:tcW w:w="0" w:type="auto"/>
            <w:vAlign w:val="center"/>
            <w:hideMark/>
          </w:tcPr>
          <w:p w14:paraId="0FBF8B42"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31.05</w:t>
            </w:r>
          </w:p>
        </w:tc>
      </w:tr>
      <w:tr w:rsidR="001B18DB" w:rsidRPr="00417355" w14:paraId="01DEBE51" w14:textId="77777777" w:rsidTr="00522152">
        <w:trPr>
          <w:tblCellSpacing w:w="15" w:type="dxa"/>
        </w:trPr>
        <w:tc>
          <w:tcPr>
            <w:tcW w:w="0" w:type="auto"/>
            <w:vAlign w:val="center"/>
            <w:hideMark/>
          </w:tcPr>
          <w:p w14:paraId="4C2FCA3D"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Maternal and Child Care</w:t>
            </w:r>
          </w:p>
        </w:tc>
        <w:tc>
          <w:tcPr>
            <w:tcW w:w="0" w:type="auto"/>
            <w:vAlign w:val="center"/>
            <w:hideMark/>
          </w:tcPr>
          <w:p w14:paraId="606E647E"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58</w:t>
            </w:r>
          </w:p>
        </w:tc>
        <w:tc>
          <w:tcPr>
            <w:tcW w:w="0" w:type="auto"/>
            <w:vAlign w:val="center"/>
            <w:hideMark/>
          </w:tcPr>
          <w:p w14:paraId="061229EB"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19.08</w:t>
            </w:r>
          </w:p>
        </w:tc>
      </w:tr>
      <w:tr w:rsidR="001B18DB" w:rsidRPr="00417355" w14:paraId="00E9E9D0" w14:textId="77777777" w:rsidTr="00522152">
        <w:trPr>
          <w:tblCellSpacing w:w="15" w:type="dxa"/>
        </w:trPr>
        <w:tc>
          <w:tcPr>
            <w:tcW w:w="0" w:type="auto"/>
            <w:vAlign w:val="center"/>
            <w:hideMark/>
          </w:tcPr>
          <w:p w14:paraId="5937E7C4"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Other</w:t>
            </w:r>
          </w:p>
        </w:tc>
        <w:tc>
          <w:tcPr>
            <w:tcW w:w="0" w:type="auto"/>
            <w:vAlign w:val="center"/>
            <w:hideMark/>
          </w:tcPr>
          <w:p w14:paraId="50C328D7"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42</w:t>
            </w:r>
          </w:p>
        </w:tc>
        <w:tc>
          <w:tcPr>
            <w:tcW w:w="0" w:type="auto"/>
            <w:vAlign w:val="center"/>
            <w:hideMark/>
          </w:tcPr>
          <w:p w14:paraId="6A029A64"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13.82</w:t>
            </w:r>
          </w:p>
        </w:tc>
      </w:tr>
      <w:tr w:rsidR="001B18DB" w:rsidRPr="00417355" w14:paraId="336CFFAB" w14:textId="77777777" w:rsidTr="00522152">
        <w:trPr>
          <w:tblCellSpacing w:w="15" w:type="dxa"/>
        </w:trPr>
        <w:tc>
          <w:tcPr>
            <w:tcW w:w="0" w:type="auto"/>
            <w:vAlign w:val="center"/>
          </w:tcPr>
          <w:p w14:paraId="28BB913A" w14:textId="77777777" w:rsidR="001B18DB" w:rsidRPr="00417355" w:rsidRDefault="001B18DB" w:rsidP="001949D5">
            <w:pPr>
              <w:spacing w:after="0" w:line="240" w:lineRule="auto"/>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Number of Hours Worked Per Week</w:t>
            </w:r>
          </w:p>
        </w:tc>
        <w:tc>
          <w:tcPr>
            <w:tcW w:w="0" w:type="auto"/>
            <w:vAlign w:val="center"/>
          </w:tcPr>
          <w:p w14:paraId="3EBF2E8B" w14:textId="77777777" w:rsidR="001B18DB" w:rsidRPr="00417355"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476972FC" w14:textId="77777777" w:rsidR="001B18DB" w:rsidRPr="00417355" w:rsidRDefault="001B18DB" w:rsidP="001949D5">
            <w:pPr>
              <w:spacing w:after="0" w:line="240" w:lineRule="auto"/>
              <w:rPr>
                <w:rFonts w:ascii="Times New Roman" w:eastAsia="Times New Roman" w:hAnsi="Times New Roman" w:cs="Times New Roman"/>
                <w:sz w:val="24"/>
                <w:szCs w:val="24"/>
              </w:rPr>
            </w:pPr>
          </w:p>
        </w:tc>
      </w:tr>
      <w:tr w:rsidR="001B18DB" w:rsidRPr="00417355" w14:paraId="357F4442" w14:textId="77777777" w:rsidTr="00522152">
        <w:trPr>
          <w:tblCellSpacing w:w="15" w:type="dxa"/>
        </w:trPr>
        <w:tc>
          <w:tcPr>
            <w:tcW w:w="0" w:type="auto"/>
            <w:vAlign w:val="center"/>
            <w:hideMark/>
          </w:tcPr>
          <w:p w14:paraId="77991FF4"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Less than 30 hours</w:t>
            </w:r>
          </w:p>
        </w:tc>
        <w:tc>
          <w:tcPr>
            <w:tcW w:w="0" w:type="auto"/>
            <w:vAlign w:val="center"/>
            <w:hideMark/>
          </w:tcPr>
          <w:p w14:paraId="486BD5DE"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22</w:t>
            </w:r>
          </w:p>
        </w:tc>
        <w:tc>
          <w:tcPr>
            <w:tcW w:w="0" w:type="auto"/>
            <w:vAlign w:val="center"/>
            <w:hideMark/>
          </w:tcPr>
          <w:p w14:paraId="6BF873CC"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7.24</w:t>
            </w:r>
          </w:p>
        </w:tc>
      </w:tr>
      <w:tr w:rsidR="001B18DB" w:rsidRPr="00417355" w14:paraId="1C4D6279" w14:textId="77777777" w:rsidTr="00522152">
        <w:trPr>
          <w:tblCellSpacing w:w="15" w:type="dxa"/>
        </w:trPr>
        <w:tc>
          <w:tcPr>
            <w:tcW w:w="0" w:type="auto"/>
            <w:vAlign w:val="center"/>
            <w:hideMark/>
          </w:tcPr>
          <w:p w14:paraId="6E6A6839"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31-40 hours</w:t>
            </w:r>
          </w:p>
        </w:tc>
        <w:tc>
          <w:tcPr>
            <w:tcW w:w="0" w:type="auto"/>
            <w:vAlign w:val="center"/>
            <w:hideMark/>
          </w:tcPr>
          <w:p w14:paraId="032D4128"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91</w:t>
            </w:r>
          </w:p>
        </w:tc>
        <w:tc>
          <w:tcPr>
            <w:tcW w:w="0" w:type="auto"/>
            <w:vAlign w:val="center"/>
            <w:hideMark/>
          </w:tcPr>
          <w:p w14:paraId="7A29451D"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29.87</w:t>
            </w:r>
          </w:p>
        </w:tc>
      </w:tr>
      <w:tr w:rsidR="001B18DB" w:rsidRPr="00417355" w14:paraId="241190A9" w14:textId="77777777" w:rsidTr="00522152">
        <w:trPr>
          <w:tblCellSpacing w:w="15" w:type="dxa"/>
        </w:trPr>
        <w:tc>
          <w:tcPr>
            <w:tcW w:w="0" w:type="auto"/>
            <w:vAlign w:val="center"/>
            <w:hideMark/>
          </w:tcPr>
          <w:p w14:paraId="5FC78CF4"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41-50 hours</w:t>
            </w:r>
          </w:p>
        </w:tc>
        <w:tc>
          <w:tcPr>
            <w:tcW w:w="0" w:type="auto"/>
            <w:vAlign w:val="center"/>
            <w:hideMark/>
          </w:tcPr>
          <w:p w14:paraId="0577540C"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106</w:t>
            </w:r>
          </w:p>
        </w:tc>
        <w:tc>
          <w:tcPr>
            <w:tcW w:w="0" w:type="auto"/>
            <w:vAlign w:val="center"/>
            <w:hideMark/>
          </w:tcPr>
          <w:p w14:paraId="4DDFF6F2"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34.96</w:t>
            </w:r>
          </w:p>
        </w:tc>
      </w:tr>
      <w:tr w:rsidR="001B18DB" w:rsidRPr="00417355" w14:paraId="454FB637" w14:textId="77777777" w:rsidTr="00522152">
        <w:trPr>
          <w:tblCellSpacing w:w="15" w:type="dxa"/>
        </w:trPr>
        <w:tc>
          <w:tcPr>
            <w:tcW w:w="0" w:type="auto"/>
            <w:tcBorders>
              <w:bottom w:val="single" w:sz="4" w:space="0" w:color="auto"/>
            </w:tcBorders>
            <w:vAlign w:val="center"/>
            <w:hideMark/>
          </w:tcPr>
          <w:p w14:paraId="50E768B4"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More than 50 hours</w:t>
            </w:r>
          </w:p>
        </w:tc>
        <w:tc>
          <w:tcPr>
            <w:tcW w:w="0" w:type="auto"/>
            <w:tcBorders>
              <w:bottom w:val="single" w:sz="4" w:space="0" w:color="auto"/>
            </w:tcBorders>
            <w:vAlign w:val="center"/>
            <w:hideMark/>
          </w:tcPr>
          <w:p w14:paraId="58A89BE7" w14:textId="77777777" w:rsidR="001B18DB" w:rsidRPr="00417355" w:rsidRDefault="001B18D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85</w:t>
            </w:r>
          </w:p>
        </w:tc>
        <w:tc>
          <w:tcPr>
            <w:tcW w:w="0" w:type="auto"/>
            <w:tcBorders>
              <w:bottom w:val="single" w:sz="4" w:space="0" w:color="auto"/>
            </w:tcBorders>
            <w:vAlign w:val="center"/>
            <w:hideMark/>
          </w:tcPr>
          <w:p w14:paraId="5771D6F1" w14:textId="77777777" w:rsidR="001B18DB" w:rsidRPr="00417355" w:rsidRDefault="001B18DB" w:rsidP="001949D5">
            <w:pPr>
              <w:spacing w:line="240" w:lineRule="auto"/>
              <w:rPr>
                <w:rFonts w:ascii="Times New Roman" w:hAnsi="Times New Roman" w:cs="Times New Roman"/>
                <w:color w:val="000000"/>
                <w:sz w:val="24"/>
                <w:szCs w:val="24"/>
              </w:rPr>
            </w:pPr>
            <w:r w:rsidRPr="00417355">
              <w:rPr>
                <w:rFonts w:ascii="Times New Roman" w:hAnsi="Times New Roman" w:cs="Times New Roman"/>
                <w:color w:val="000000"/>
                <w:sz w:val="24"/>
                <w:szCs w:val="24"/>
              </w:rPr>
              <w:t>27.93</w:t>
            </w:r>
          </w:p>
        </w:tc>
      </w:tr>
    </w:tbl>
    <w:p w14:paraId="1E0E2D94" w14:textId="77777777" w:rsidR="00FA6C5F" w:rsidRPr="00417355" w:rsidRDefault="00FA6C5F" w:rsidP="001949D5">
      <w:pPr>
        <w:spacing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br w:type="page"/>
      </w:r>
    </w:p>
    <w:p w14:paraId="20F75930" w14:textId="77777777" w:rsidR="00313325" w:rsidRPr="00417355" w:rsidRDefault="007B351C" w:rsidP="001436CC">
      <w:pPr>
        <w:pStyle w:val="NormalWeb"/>
        <w:jc w:val="both"/>
      </w:pPr>
      <w:r w:rsidRPr="00417355">
        <w:lastRenderedPageBreak/>
        <w:t>The demographic survey grouped respondents by age range. Twenty-eight respondents (9.21%) were aged 18–24 years, while the largest group comprised those aged 35–44 years, with 99 respondents (32.57%). The remaining respondents were aged 25–34 years (57 respondents, 18.75%), 45–54 years (59 respondents, 19.41%) and 55 years and above (61 respondents, 20.06%). Female respondents predominated (179 respondents, 58.88%), while male respondents accounted for 125 respondents (41.12%). In terms of marital status, most respondents were married (148 respondents, 48.68%), followed by single respondents (91 respondents, 29.87%). Separated respondents constituted the smallest group (6 respondents, 1.98%). For department or ward, the largest number of respondents was from the General Ward (95 respondents, 31.05%), followed by Emergency Care (60 respondents, 19.63%), Maternal and Child Care (58 respondents, 19.08%), Outpatient Care (56 respondents, 16.42%) and other wards (42 respondents, 13.82%). The distribution of weekly working hours was as follows: 106 respondents (34.96%) worked 41–50 hours, 91 respondents (29.87%) worked 31–40 hours, 85 respondents (27.93%) worked more than 50 hours and 22 respondents (7.24%) worked less than 30 hours.</w:t>
      </w:r>
    </w:p>
    <w:p w14:paraId="4C2558C9" w14:textId="77777777" w:rsidR="009C77CB" w:rsidRPr="00417355" w:rsidRDefault="009C77CB" w:rsidP="00313325">
      <w:pPr>
        <w:pStyle w:val="NormalWeb"/>
      </w:pPr>
      <w:r w:rsidRPr="00417355">
        <w:rPr>
          <w:b/>
        </w:rPr>
        <w:t>Table 2:</w:t>
      </w:r>
      <w:r w:rsidRPr="00417355">
        <w:t xml:space="preserve"> prevalence of perceived job stress among public Health Nurses in Selected Health Facilities in Yenagoa, Bayelsa State.</w:t>
      </w:r>
    </w:p>
    <w:tbl>
      <w:tblPr>
        <w:tblW w:w="11084" w:type="dxa"/>
        <w:tblCellSpacing w:w="15" w:type="dxa"/>
        <w:tblInd w:w="-720" w:type="dxa"/>
        <w:tblCellMar>
          <w:top w:w="15" w:type="dxa"/>
          <w:left w:w="15" w:type="dxa"/>
          <w:bottom w:w="15" w:type="dxa"/>
          <w:right w:w="15" w:type="dxa"/>
        </w:tblCellMar>
        <w:tblLook w:val="04A0" w:firstRow="1" w:lastRow="0" w:firstColumn="1" w:lastColumn="0" w:noHBand="0" w:noVBand="1"/>
      </w:tblPr>
      <w:tblGrid>
        <w:gridCol w:w="575"/>
        <w:gridCol w:w="4262"/>
        <w:gridCol w:w="924"/>
        <w:gridCol w:w="1111"/>
        <w:gridCol w:w="1263"/>
        <w:gridCol w:w="1160"/>
        <w:gridCol w:w="1127"/>
        <w:gridCol w:w="662"/>
      </w:tblGrid>
      <w:tr w:rsidR="009C77CB" w:rsidRPr="00417355" w14:paraId="162A2AD4" w14:textId="77777777" w:rsidTr="009C77CB">
        <w:trPr>
          <w:trHeight w:val="405"/>
          <w:tblHeader/>
          <w:tblCellSpacing w:w="15" w:type="dxa"/>
        </w:trPr>
        <w:tc>
          <w:tcPr>
            <w:tcW w:w="530" w:type="dxa"/>
            <w:tcBorders>
              <w:top w:val="single" w:sz="4" w:space="0" w:color="auto"/>
              <w:bottom w:val="single" w:sz="4" w:space="0" w:color="auto"/>
            </w:tcBorders>
          </w:tcPr>
          <w:p w14:paraId="4FCBE266" w14:textId="77777777" w:rsidR="009C77CB" w:rsidRPr="00417355" w:rsidRDefault="003E422A"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S/N</w:t>
            </w:r>
          </w:p>
        </w:tc>
        <w:tc>
          <w:tcPr>
            <w:tcW w:w="0" w:type="auto"/>
            <w:tcBorders>
              <w:top w:val="single" w:sz="4" w:space="0" w:color="auto"/>
              <w:bottom w:val="single" w:sz="4" w:space="0" w:color="auto"/>
            </w:tcBorders>
            <w:vAlign w:val="center"/>
            <w:hideMark/>
          </w:tcPr>
          <w:p w14:paraId="5BB9328D" w14:textId="77777777" w:rsidR="009C77CB" w:rsidRPr="00417355" w:rsidRDefault="00F23987"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Items</w:t>
            </w:r>
          </w:p>
        </w:tc>
        <w:tc>
          <w:tcPr>
            <w:tcW w:w="0" w:type="auto"/>
            <w:tcBorders>
              <w:top w:val="single" w:sz="4" w:space="0" w:color="auto"/>
              <w:bottom w:val="single" w:sz="4" w:space="0" w:color="auto"/>
            </w:tcBorders>
            <w:vAlign w:val="center"/>
            <w:hideMark/>
          </w:tcPr>
          <w:p w14:paraId="6AD540B5" w14:textId="77777777" w:rsidR="009C77CB" w:rsidRPr="00417355" w:rsidRDefault="009C77CB"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Never (1)</w:t>
            </w:r>
          </w:p>
        </w:tc>
        <w:tc>
          <w:tcPr>
            <w:tcW w:w="0" w:type="auto"/>
            <w:tcBorders>
              <w:top w:val="single" w:sz="4" w:space="0" w:color="auto"/>
              <w:bottom w:val="single" w:sz="4" w:space="0" w:color="auto"/>
            </w:tcBorders>
            <w:vAlign w:val="center"/>
            <w:hideMark/>
          </w:tcPr>
          <w:p w14:paraId="122058C4" w14:textId="77777777" w:rsidR="009C77CB" w:rsidRPr="00417355" w:rsidRDefault="009C77CB"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Almost Never (2)</w:t>
            </w:r>
          </w:p>
        </w:tc>
        <w:tc>
          <w:tcPr>
            <w:tcW w:w="0" w:type="auto"/>
            <w:tcBorders>
              <w:top w:val="single" w:sz="4" w:space="0" w:color="auto"/>
              <w:bottom w:val="single" w:sz="4" w:space="0" w:color="auto"/>
            </w:tcBorders>
            <w:vAlign w:val="center"/>
            <w:hideMark/>
          </w:tcPr>
          <w:p w14:paraId="7DFA182A" w14:textId="77777777" w:rsidR="009C77CB" w:rsidRPr="00417355" w:rsidRDefault="009C77CB"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Sometimes (3)</w:t>
            </w:r>
          </w:p>
        </w:tc>
        <w:tc>
          <w:tcPr>
            <w:tcW w:w="0" w:type="auto"/>
            <w:tcBorders>
              <w:top w:val="single" w:sz="4" w:space="0" w:color="auto"/>
              <w:bottom w:val="single" w:sz="4" w:space="0" w:color="auto"/>
            </w:tcBorders>
            <w:vAlign w:val="center"/>
            <w:hideMark/>
          </w:tcPr>
          <w:p w14:paraId="7E7DEF9A" w14:textId="77777777" w:rsidR="009C77CB" w:rsidRPr="00417355" w:rsidRDefault="009C77CB"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Fairly Often (4)</w:t>
            </w:r>
          </w:p>
        </w:tc>
        <w:tc>
          <w:tcPr>
            <w:tcW w:w="0" w:type="auto"/>
            <w:tcBorders>
              <w:top w:val="single" w:sz="4" w:space="0" w:color="auto"/>
              <w:bottom w:val="single" w:sz="4" w:space="0" w:color="auto"/>
            </w:tcBorders>
            <w:vAlign w:val="center"/>
            <w:hideMark/>
          </w:tcPr>
          <w:p w14:paraId="405DD9F6" w14:textId="77777777" w:rsidR="009C77CB" w:rsidRPr="00417355" w:rsidRDefault="009C77CB"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Very Often (5)</w:t>
            </w:r>
          </w:p>
        </w:tc>
        <w:tc>
          <w:tcPr>
            <w:tcW w:w="0" w:type="auto"/>
            <w:tcBorders>
              <w:top w:val="single" w:sz="4" w:space="0" w:color="auto"/>
              <w:bottom w:val="single" w:sz="4" w:space="0" w:color="auto"/>
            </w:tcBorders>
            <w:vAlign w:val="center"/>
          </w:tcPr>
          <w:p w14:paraId="6B7F854F" w14:textId="77777777" w:rsidR="009C77CB" w:rsidRPr="00417355" w:rsidRDefault="009C77CB"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Mean</w:t>
            </w:r>
          </w:p>
        </w:tc>
      </w:tr>
      <w:tr w:rsidR="009C77CB" w:rsidRPr="00417355" w14:paraId="0B2E2D84" w14:textId="77777777" w:rsidTr="009C77CB">
        <w:trPr>
          <w:trHeight w:val="396"/>
          <w:tblCellSpacing w:w="15" w:type="dxa"/>
        </w:trPr>
        <w:tc>
          <w:tcPr>
            <w:tcW w:w="530" w:type="dxa"/>
          </w:tcPr>
          <w:p w14:paraId="6AB9B5B2"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w:t>
            </w:r>
          </w:p>
        </w:tc>
        <w:tc>
          <w:tcPr>
            <w:tcW w:w="0" w:type="auto"/>
            <w:vAlign w:val="center"/>
            <w:hideMark/>
          </w:tcPr>
          <w:p w14:paraId="717C4DB8"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In the last month, how often have you been upset because of something that happened unexpectedly?</w:t>
            </w:r>
          </w:p>
        </w:tc>
        <w:tc>
          <w:tcPr>
            <w:tcW w:w="0" w:type="auto"/>
            <w:vAlign w:val="center"/>
            <w:hideMark/>
          </w:tcPr>
          <w:p w14:paraId="48BE86CD"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20 (6.58%)</w:t>
            </w:r>
          </w:p>
        </w:tc>
        <w:tc>
          <w:tcPr>
            <w:tcW w:w="0" w:type="auto"/>
            <w:vAlign w:val="center"/>
            <w:hideMark/>
          </w:tcPr>
          <w:p w14:paraId="50464329"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 (3.62%)</w:t>
            </w:r>
          </w:p>
        </w:tc>
        <w:tc>
          <w:tcPr>
            <w:tcW w:w="0" w:type="auto"/>
            <w:vAlign w:val="center"/>
            <w:hideMark/>
          </w:tcPr>
          <w:p w14:paraId="328B49D2"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65 (21.38%)</w:t>
            </w:r>
          </w:p>
        </w:tc>
        <w:tc>
          <w:tcPr>
            <w:tcW w:w="0" w:type="auto"/>
            <w:vAlign w:val="center"/>
            <w:hideMark/>
          </w:tcPr>
          <w:p w14:paraId="249BD389"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91 (29.93%)</w:t>
            </w:r>
          </w:p>
        </w:tc>
        <w:tc>
          <w:tcPr>
            <w:tcW w:w="0" w:type="auto"/>
            <w:vAlign w:val="center"/>
            <w:hideMark/>
          </w:tcPr>
          <w:p w14:paraId="090EE4DF"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117 (38.49%)</w:t>
            </w:r>
          </w:p>
        </w:tc>
        <w:tc>
          <w:tcPr>
            <w:tcW w:w="0" w:type="auto"/>
            <w:vAlign w:val="center"/>
          </w:tcPr>
          <w:p w14:paraId="1B6EF809"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3.90</w:t>
            </w:r>
          </w:p>
        </w:tc>
      </w:tr>
      <w:tr w:rsidR="009C77CB" w:rsidRPr="00417355" w14:paraId="17612190" w14:textId="77777777" w:rsidTr="009C77CB">
        <w:trPr>
          <w:trHeight w:val="405"/>
          <w:tblCellSpacing w:w="15" w:type="dxa"/>
        </w:trPr>
        <w:tc>
          <w:tcPr>
            <w:tcW w:w="530" w:type="dxa"/>
          </w:tcPr>
          <w:p w14:paraId="0594D5EE"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w:t>
            </w:r>
          </w:p>
        </w:tc>
        <w:tc>
          <w:tcPr>
            <w:tcW w:w="0" w:type="auto"/>
            <w:vAlign w:val="center"/>
            <w:hideMark/>
          </w:tcPr>
          <w:p w14:paraId="39DFCF0C"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In the last month, how often have you felt that you were unable to control the important things in your life?</w:t>
            </w:r>
          </w:p>
        </w:tc>
        <w:tc>
          <w:tcPr>
            <w:tcW w:w="0" w:type="auto"/>
            <w:vAlign w:val="center"/>
            <w:hideMark/>
          </w:tcPr>
          <w:p w14:paraId="5A16D30E"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17 (5.59%)</w:t>
            </w:r>
          </w:p>
        </w:tc>
        <w:tc>
          <w:tcPr>
            <w:tcW w:w="0" w:type="auto"/>
            <w:vAlign w:val="center"/>
            <w:hideMark/>
          </w:tcPr>
          <w:p w14:paraId="38AB95CE"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10 (3.29%)</w:t>
            </w:r>
          </w:p>
        </w:tc>
        <w:tc>
          <w:tcPr>
            <w:tcW w:w="0" w:type="auto"/>
            <w:vAlign w:val="center"/>
            <w:hideMark/>
          </w:tcPr>
          <w:p w14:paraId="299ED1E2"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60 (19.74%)</w:t>
            </w:r>
          </w:p>
        </w:tc>
        <w:tc>
          <w:tcPr>
            <w:tcW w:w="0" w:type="auto"/>
            <w:vAlign w:val="center"/>
            <w:hideMark/>
          </w:tcPr>
          <w:p w14:paraId="4CE6A0F8"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90 (29.61%)</w:t>
            </w:r>
          </w:p>
        </w:tc>
        <w:tc>
          <w:tcPr>
            <w:tcW w:w="0" w:type="auto"/>
            <w:vAlign w:val="center"/>
            <w:hideMark/>
          </w:tcPr>
          <w:p w14:paraId="46BA2A14"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127 (41.78%)</w:t>
            </w:r>
          </w:p>
        </w:tc>
        <w:tc>
          <w:tcPr>
            <w:tcW w:w="0" w:type="auto"/>
            <w:vAlign w:val="center"/>
          </w:tcPr>
          <w:p w14:paraId="6EED0EE4"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3.99</w:t>
            </w:r>
          </w:p>
        </w:tc>
      </w:tr>
      <w:tr w:rsidR="009C77CB" w:rsidRPr="00417355" w14:paraId="74542393" w14:textId="77777777" w:rsidTr="009C77CB">
        <w:trPr>
          <w:trHeight w:val="405"/>
          <w:tblCellSpacing w:w="15" w:type="dxa"/>
        </w:trPr>
        <w:tc>
          <w:tcPr>
            <w:tcW w:w="530" w:type="dxa"/>
          </w:tcPr>
          <w:p w14:paraId="045157F9"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w:t>
            </w:r>
          </w:p>
        </w:tc>
        <w:tc>
          <w:tcPr>
            <w:tcW w:w="0" w:type="auto"/>
            <w:vAlign w:val="center"/>
            <w:hideMark/>
          </w:tcPr>
          <w:p w14:paraId="3FA8A9F3"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In the last month, how often have you felt nervous and stressed?</w:t>
            </w:r>
          </w:p>
        </w:tc>
        <w:tc>
          <w:tcPr>
            <w:tcW w:w="0" w:type="auto"/>
            <w:vAlign w:val="center"/>
            <w:hideMark/>
          </w:tcPr>
          <w:p w14:paraId="448C957C"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22 (7.24%)</w:t>
            </w:r>
          </w:p>
        </w:tc>
        <w:tc>
          <w:tcPr>
            <w:tcW w:w="0" w:type="auto"/>
            <w:vAlign w:val="center"/>
            <w:hideMark/>
          </w:tcPr>
          <w:p w14:paraId="604F9774"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13 (4.28%)</w:t>
            </w:r>
          </w:p>
        </w:tc>
        <w:tc>
          <w:tcPr>
            <w:tcW w:w="0" w:type="auto"/>
            <w:vAlign w:val="center"/>
            <w:hideMark/>
          </w:tcPr>
          <w:p w14:paraId="68721C13"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60 (19.74%)</w:t>
            </w:r>
          </w:p>
        </w:tc>
        <w:tc>
          <w:tcPr>
            <w:tcW w:w="0" w:type="auto"/>
            <w:vAlign w:val="center"/>
            <w:hideMark/>
          </w:tcPr>
          <w:p w14:paraId="7CABE40F"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96 (31.58%)</w:t>
            </w:r>
          </w:p>
        </w:tc>
        <w:tc>
          <w:tcPr>
            <w:tcW w:w="0" w:type="auto"/>
            <w:vAlign w:val="center"/>
            <w:hideMark/>
          </w:tcPr>
          <w:p w14:paraId="69590783"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113 (37.17%)</w:t>
            </w:r>
          </w:p>
        </w:tc>
        <w:tc>
          <w:tcPr>
            <w:tcW w:w="0" w:type="auto"/>
            <w:vAlign w:val="center"/>
          </w:tcPr>
          <w:p w14:paraId="1782145E"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3.87</w:t>
            </w:r>
          </w:p>
        </w:tc>
      </w:tr>
      <w:tr w:rsidR="009C77CB" w:rsidRPr="00417355" w14:paraId="26C0B019" w14:textId="77777777" w:rsidTr="009C77CB">
        <w:trPr>
          <w:trHeight w:val="405"/>
          <w:tblCellSpacing w:w="15" w:type="dxa"/>
        </w:trPr>
        <w:tc>
          <w:tcPr>
            <w:tcW w:w="530" w:type="dxa"/>
          </w:tcPr>
          <w:p w14:paraId="5AE5BEE7"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4</w:t>
            </w:r>
          </w:p>
        </w:tc>
        <w:tc>
          <w:tcPr>
            <w:tcW w:w="0" w:type="auto"/>
            <w:vAlign w:val="center"/>
            <w:hideMark/>
          </w:tcPr>
          <w:p w14:paraId="3AD9918A"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In the last month, how often have you felt confident about your ability to handle your personal problems?</w:t>
            </w:r>
          </w:p>
        </w:tc>
        <w:tc>
          <w:tcPr>
            <w:tcW w:w="0" w:type="auto"/>
            <w:vAlign w:val="center"/>
            <w:hideMark/>
          </w:tcPr>
          <w:p w14:paraId="47B12B02"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18 (5.92%)</w:t>
            </w:r>
          </w:p>
        </w:tc>
        <w:tc>
          <w:tcPr>
            <w:tcW w:w="0" w:type="auto"/>
            <w:vAlign w:val="center"/>
            <w:hideMark/>
          </w:tcPr>
          <w:p w14:paraId="72CBB754"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21 (6.91%)</w:t>
            </w:r>
          </w:p>
        </w:tc>
        <w:tc>
          <w:tcPr>
            <w:tcW w:w="0" w:type="auto"/>
            <w:vAlign w:val="center"/>
            <w:hideMark/>
          </w:tcPr>
          <w:p w14:paraId="0C44F5EC"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63 (20.72%)</w:t>
            </w:r>
          </w:p>
        </w:tc>
        <w:tc>
          <w:tcPr>
            <w:tcW w:w="0" w:type="auto"/>
            <w:vAlign w:val="center"/>
            <w:hideMark/>
          </w:tcPr>
          <w:p w14:paraId="4C9B217F"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84 (27.63%)</w:t>
            </w:r>
          </w:p>
        </w:tc>
        <w:tc>
          <w:tcPr>
            <w:tcW w:w="0" w:type="auto"/>
            <w:vAlign w:val="center"/>
            <w:hideMark/>
          </w:tcPr>
          <w:p w14:paraId="7660D8E7"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118 (38.82%)</w:t>
            </w:r>
          </w:p>
        </w:tc>
        <w:tc>
          <w:tcPr>
            <w:tcW w:w="0" w:type="auto"/>
            <w:vAlign w:val="center"/>
          </w:tcPr>
          <w:p w14:paraId="7C6E18F7"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3.87</w:t>
            </w:r>
          </w:p>
        </w:tc>
      </w:tr>
      <w:tr w:rsidR="009C77CB" w:rsidRPr="00417355" w14:paraId="3E0C92EE" w14:textId="77777777" w:rsidTr="009C77CB">
        <w:trPr>
          <w:trHeight w:val="405"/>
          <w:tblCellSpacing w:w="15" w:type="dxa"/>
        </w:trPr>
        <w:tc>
          <w:tcPr>
            <w:tcW w:w="530" w:type="dxa"/>
          </w:tcPr>
          <w:p w14:paraId="49306601"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w:t>
            </w:r>
          </w:p>
        </w:tc>
        <w:tc>
          <w:tcPr>
            <w:tcW w:w="0" w:type="auto"/>
            <w:vAlign w:val="center"/>
            <w:hideMark/>
          </w:tcPr>
          <w:p w14:paraId="60C613AC"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In the last month, how often have you felt that things were going your way?</w:t>
            </w:r>
          </w:p>
        </w:tc>
        <w:tc>
          <w:tcPr>
            <w:tcW w:w="0" w:type="auto"/>
            <w:vAlign w:val="center"/>
            <w:hideMark/>
          </w:tcPr>
          <w:p w14:paraId="29ED8920"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21 (6.91%)</w:t>
            </w:r>
          </w:p>
        </w:tc>
        <w:tc>
          <w:tcPr>
            <w:tcW w:w="0" w:type="auto"/>
            <w:vAlign w:val="center"/>
            <w:hideMark/>
          </w:tcPr>
          <w:p w14:paraId="18B249B9"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 (2.63%)</w:t>
            </w:r>
          </w:p>
        </w:tc>
        <w:tc>
          <w:tcPr>
            <w:tcW w:w="0" w:type="auto"/>
            <w:vAlign w:val="center"/>
            <w:hideMark/>
          </w:tcPr>
          <w:p w14:paraId="0AC3016C"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66 (21.71%)</w:t>
            </w:r>
          </w:p>
        </w:tc>
        <w:tc>
          <w:tcPr>
            <w:tcW w:w="0" w:type="auto"/>
            <w:vAlign w:val="center"/>
            <w:hideMark/>
          </w:tcPr>
          <w:p w14:paraId="761A3D16"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68 (22.37%)</w:t>
            </w:r>
          </w:p>
        </w:tc>
        <w:tc>
          <w:tcPr>
            <w:tcW w:w="0" w:type="auto"/>
            <w:vAlign w:val="center"/>
            <w:hideMark/>
          </w:tcPr>
          <w:p w14:paraId="67A65F50"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141 (46.38%)</w:t>
            </w:r>
          </w:p>
        </w:tc>
        <w:tc>
          <w:tcPr>
            <w:tcW w:w="0" w:type="auto"/>
            <w:vAlign w:val="center"/>
          </w:tcPr>
          <w:p w14:paraId="74A376AC"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3.99</w:t>
            </w:r>
          </w:p>
        </w:tc>
      </w:tr>
      <w:tr w:rsidR="009C77CB" w:rsidRPr="00417355" w14:paraId="41E39D68" w14:textId="77777777" w:rsidTr="009C77CB">
        <w:trPr>
          <w:trHeight w:val="405"/>
          <w:tblCellSpacing w:w="15" w:type="dxa"/>
        </w:trPr>
        <w:tc>
          <w:tcPr>
            <w:tcW w:w="530" w:type="dxa"/>
          </w:tcPr>
          <w:p w14:paraId="036D846A"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w:t>
            </w:r>
          </w:p>
        </w:tc>
        <w:tc>
          <w:tcPr>
            <w:tcW w:w="0" w:type="auto"/>
            <w:vAlign w:val="center"/>
            <w:hideMark/>
          </w:tcPr>
          <w:p w14:paraId="1B7D82B8"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In the last month, how often have you found that you could not cope with all the things that you had to do?</w:t>
            </w:r>
          </w:p>
        </w:tc>
        <w:tc>
          <w:tcPr>
            <w:tcW w:w="0" w:type="auto"/>
            <w:vAlign w:val="center"/>
            <w:hideMark/>
          </w:tcPr>
          <w:p w14:paraId="390C86C4"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23 (7.56%)</w:t>
            </w:r>
          </w:p>
        </w:tc>
        <w:tc>
          <w:tcPr>
            <w:tcW w:w="0" w:type="auto"/>
            <w:vAlign w:val="center"/>
            <w:hideMark/>
          </w:tcPr>
          <w:p w14:paraId="309AD057"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12 (3.95%)</w:t>
            </w:r>
          </w:p>
        </w:tc>
        <w:tc>
          <w:tcPr>
            <w:tcW w:w="0" w:type="auto"/>
            <w:vAlign w:val="center"/>
            <w:hideMark/>
          </w:tcPr>
          <w:p w14:paraId="3E3769DB"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64 (21.05%)</w:t>
            </w:r>
          </w:p>
        </w:tc>
        <w:tc>
          <w:tcPr>
            <w:tcW w:w="0" w:type="auto"/>
            <w:vAlign w:val="center"/>
            <w:hideMark/>
          </w:tcPr>
          <w:p w14:paraId="6EE4BEA3"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88 (28.95%)</w:t>
            </w:r>
          </w:p>
        </w:tc>
        <w:tc>
          <w:tcPr>
            <w:tcW w:w="0" w:type="auto"/>
            <w:vAlign w:val="center"/>
            <w:hideMark/>
          </w:tcPr>
          <w:p w14:paraId="58726960"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117 (38.49%)</w:t>
            </w:r>
          </w:p>
        </w:tc>
        <w:tc>
          <w:tcPr>
            <w:tcW w:w="0" w:type="auto"/>
            <w:vAlign w:val="center"/>
          </w:tcPr>
          <w:p w14:paraId="384172F3"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3.99</w:t>
            </w:r>
          </w:p>
        </w:tc>
      </w:tr>
      <w:tr w:rsidR="009C77CB" w:rsidRPr="00417355" w14:paraId="698BDF3D" w14:textId="77777777" w:rsidTr="009C77CB">
        <w:trPr>
          <w:trHeight w:val="405"/>
          <w:tblCellSpacing w:w="15" w:type="dxa"/>
        </w:trPr>
        <w:tc>
          <w:tcPr>
            <w:tcW w:w="530" w:type="dxa"/>
          </w:tcPr>
          <w:p w14:paraId="541A8369"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7</w:t>
            </w:r>
          </w:p>
        </w:tc>
        <w:tc>
          <w:tcPr>
            <w:tcW w:w="0" w:type="auto"/>
            <w:vAlign w:val="center"/>
            <w:hideMark/>
          </w:tcPr>
          <w:p w14:paraId="18302AD0"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In the last month, how often have you been able to control irritations in your life?</w:t>
            </w:r>
          </w:p>
        </w:tc>
        <w:tc>
          <w:tcPr>
            <w:tcW w:w="0" w:type="auto"/>
            <w:vAlign w:val="center"/>
            <w:hideMark/>
          </w:tcPr>
          <w:p w14:paraId="0AE734F9"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19 (6.25%)</w:t>
            </w:r>
          </w:p>
        </w:tc>
        <w:tc>
          <w:tcPr>
            <w:tcW w:w="0" w:type="auto"/>
            <w:vAlign w:val="center"/>
            <w:hideMark/>
          </w:tcPr>
          <w:p w14:paraId="62E7EBE7"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 (2.97%)</w:t>
            </w:r>
          </w:p>
        </w:tc>
        <w:tc>
          <w:tcPr>
            <w:tcW w:w="0" w:type="auto"/>
            <w:vAlign w:val="center"/>
            <w:hideMark/>
          </w:tcPr>
          <w:p w14:paraId="7651E6A4"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63 (20.72%)</w:t>
            </w:r>
          </w:p>
        </w:tc>
        <w:tc>
          <w:tcPr>
            <w:tcW w:w="0" w:type="auto"/>
            <w:vAlign w:val="center"/>
            <w:hideMark/>
          </w:tcPr>
          <w:p w14:paraId="3F0A06BB"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95 (31.25%)</w:t>
            </w:r>
          </w:p>
        </w:tc>
        <w:tc>
          <w:tcPr>
            <w:tcW w:w="0" w:type="auto"/>
            <w:vAlign w:val="center"/>
            <w:hideMark/>
          </w:tcPr>
          <w:p w14:paraId="7EB11629"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118 (38.82%)</w:t>
            </w:r>
          </w:p>
        </w:tc>
        <w:tc>
          <w:tcPr>
            <w:tcW w:w="0" w:type="auto"/>
            <w:vAlign w:val="center"/>
          </w:tcPr>
          <w:p w14:paraId="6AAC281D"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3.87</w:t>
            </w:r>
          </w:p>
        </w:tc>
      </w:tr>
      <w:tr w:rsidR="009C77CB" w:rsidRPr="00417355" w14:paraId="37127DDA" w14:textId="77777777" w:rsidTr="009C77CB">
        <w:trPr>
          <w:trHeight w:val="405"/>
          <w:tblCellSpacing w:w="15" w:type="dxa"/>
        </w:trPr>
        <w:tc>
          <w:tcPr>
            <w:tcW w:w="530" w:type="dxa"/>
          </w:tcPr>
          <w:p w14:paraId="360006EB"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w:t>
            </w:r>
          </w:p>
        </w:tc>
        <w:tc>
          <w:tcPr>
            <w:tcW w:w="0" w:type="auto"/>
            <w:vAlign w:val="center"/>
            <w:hideMark/>
          </w:tcPr>
          <w:p w14:paraId="3A164475"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In the last month, how often have you felt that you were on top of things?</w:t>
            </w:r>
          </w:p>
        </w:tc>
        <w:tc>
          <w:tcPr>
            <w:tcW w:w="0" w:type="auto"/>
            <w:vAlign w:val="center"/>
            <w:hideMark/>
          </w:tcPr>
          <w:p w14:paraId="034D033E"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18 (5.92%)</w:t>
            </w:r>
          </w:p>
        </w:tc>
        <w:tc>
          <w:tcPr>
            <w:tcW w:w="0" w:type="auto"/>
            <w:vAlign w:val="center"/>
            <w:hideMark/>
          </w:tcPr>
          <w:p w14:paraId="3C82009F"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14 (4.61%)</w:t>
            </w:r>
          </w:p>
        </w:tc>
        <w:tc>
          <w:tcPr>
            <w:tcW w:w="0" w:type="auto"/>
            <w:vAlign w:val="center"/>
            <w:hideMark/>
          </w:tcPr>
          <w:p w14:paraId="625E95D9"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63 (20.72%)</w:t>
            </w:r>
          </w:p>
        </w:tc>
        <w:tc>
          <w:tcPr>
            <w:tcW w:w="0" w:type="auto"/>
            <w:vAlign w:val="center"/>
            <w:hideMark/>
          </w:tcPr>
          <w:p w14:paraId="61A79E9D"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90 (29.61%)</w:t>
            </w:r>
          </w:p>
        </w:tc>
        <w:tc>
          <w:tcPr>
            <w:tcW w:w="0" w:type="auto"/>
            <w:vAlign w:val="center"/>
            <w:hideMark/>
          </w:tcPr>
          <w:p w14:paraId="767CE5BE"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119 (39.48%)</w:t>
            </w:r>
          </w:p>
        </w:tc>
        <w:tc>
          <w:tcPr>
            <w:tcW w:w="0" w:type="auto"/>
            <w:vAlign w:val="center"/>
          </w:tcPr>
          <w:p w14:paraId="30869BC4"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3.91</w:t>
            </w:r>
          </w:p>
        </w:tc>
      </w:tr>
      <w:tr w:rsidR="009C77CB" w:rsidRPr="00417355" w14:paraId="59E5A977" w14:textId="77777777" w:rsidTr="009C77CB">
        <w:trPr>
          <w:trHeight w:val="405"/>
          <w:tblCellSpacing w:w="15" w:type="dxa"/>
        </w:trPr>
        <w:tc>
          <w:tcPr>
            <w:tcW w:w="530" w:type="dxa"/>
          </w:tcPr>
          <w:p w14:paraId="5B72F141"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w:t>
            </w:r>
          </w:p>
        </w:tc>
        <w:tc>
          <w:tcPr>
            <w:tcW w:w="0" w:type="auto"/>
            <w:vAlign w:val="center"/>
            <w:hideMark/>
          </w:tcPr>
          <w:p w14:paraId="639E3B61"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In the last month, how often have you been angered because of things that happened that were outside of your control?</w:t>
            </w:r>
          </w:p>
        </w:tc>
        <w:tc>
          <w:tcPr>
            <w:tcW w:w="0" w:type="auto"/>
            <w:vAlign w:val="center"/>
            <w:hideMark/>
          </w:tcPr>
          <w:p w14:paraId="4858E03D"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21 (6.91%)</w:t>
            </w:r>
          </w:p>
        </w:tc>
        <w:tc>
          <w:tcPr>
            <w:tcW w:w="0" w:type="auto"/>
            <w:vAlign w:val="center"/>
            <w:hideMark/>
          </w:tcPr>
          <w:p w14:paraId="149F627F"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13 (4.28%)</w:t>
            </w:r>
          </w:p>
        </w:tc>
        <w:tc>
          <w:tcPr>
            <w:tcW w:w="0" w:type="auto"/>
            <w:vAlign w:val="center"/>
            <w:hideMark/>
          </w:tcPr>
          <w:p w14:paraId="41926FEA"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58 (19.08%)</w:t>
            </w:r>
          </w:p>
        </w:tc>
        <w:tc>
          <w:tcPr>
            <w:tcW w:w="0" w:type="auto"/>
            <w:vAlign w:val="center"/>
            <w:hideMark/>
          </w:tcPr>
          <w:p w14:paraId="29DC2C51"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94 (30.92%)</w:t>
            </w:r>
          </w:p>
        </w:tc>
        <w:tc>
          <w:tcPr>
            <w:tcW w:w="0" w:type="auto"/>
            <w:vAlign w:val="center"/>
            <w:hideMark/>
          </w:tcPr>
          <w:p w14:paraId="7E9CDDC3"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118 (38.82%)</w:t>
            </w:r>
          </w:p>
        </w:tc>
        <w:tc>
          <w:tcPr>
            <w:tcW w:w="0" w:type="auto"/>
            <w:vAlign w:val="center"/>
          </w:tcPr>
          <w:p w14:paraId="62F486D6"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3.87</w:t>
            </w:r>
          </w:p>
        </w:tc>
      </w:tr>
      <w:tr w:rsidR="009C77CB" w:rsidRPr="00417355" w14:paraId="0E971F38" w14:textId="77777777" w:rsidTr="009C77CB">
        <w:trPr>
          <w:trHeight w:val="396"/>
          <w:tblCellSpacing w:w="15" w:type="dxa"/>
        </w:trPr>
        <w:tc>
          <w:tcPr>
            <w:tcW w:w="530" w:type="dxa"/>
            <w:tcBorders>
              <w:bottom w:val="single" w:sz="4" w:space="0" w:color="auto"/>
            </w:tcBorders>
          </w:tcPr>
          <w:p w14:paraId="5AA31F62"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lastRenderedPageBreak/>
              <w:t>10</w:t>
            </w:r>
          </w:p>
        </w:tc>
        <w:tc>
          <w:tcPr>
            <w:tcW w:w="0" w:type="auto"/>
            <w:tcBorders>
              <w:bottom w:val="single" w:sz="4" w:space="0" w:color="auto"/>
            </w:tcBorders>
            <w:vAlign w:val="center"/>
            <w:hideMark/>
          </w:tcPr>
          <w:p w14:paraId="3EF7D4AF"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In the last month, how often have you felt difficulties were piling up so high that you could not overcome them?</w:t>
            </w:r>
          </w:p>
        </w:tc>
        <w:tc>
          <w:tcPr>
            <w:tcW w:w="0" w:type="auto"/>
            <w:tcBorders>
              <w:bottom w:val="single" w:sz="4" w:space="0" w:color="auto"/>
            </w:tcBorders>
            <w:vAlign w:val="center"/>
            <w:hideMark/>
          </w:tcPr>
          <w:p w14:paraId="44A70E7F"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22 (7.24%)</w:t>
            </w:r>
          </w:p>
        </w:tc>
        <w:tc>
          <w:tcPr>
            <w:tcW w:w="0" w:type="auto"/>
            <w:tcBorders>
              <w:bottom w:val="single" w:sz="4" w:space="0" w:color="auto"/>
            </w:tcBorders>
            <w:vAlign w:val="center"/>
            <w:hideMark/>
          </w:tcPr>
          <w:p w14:paraId="57E3FE91"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 (3.62%)</w:t>
            </w:r>
          </w:p>
        </w:tc>
        <w:tc>
          <w:tcPr>
            <w:tcW w:w="0" w:type="auto"/>
            <w:tcBorders>
              <w:bottom w:val="single" w:sz="4" w:space="0" w:color="auto"/>
            </w:tcBorders>
            <w:vAlign w:val="center"/>
            <w:hideMark/>
          </w:tcPr>
          <w:p w14:paraId="60A9F81C"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67 (22.03%)</w:t>
            </w:r>
          </w:p>
        </w:tc>
        <w:tc>
          <w:tcPr>
            <w:tcW w:w="0" w:type="auto"/>
            <w:tcBorders>
              <w:bottom w:val="single" w:sz="4" w:space="0" w:color="auto"/>
            </w:tcBorders>
            <w:vAlign w:val="center"/>
            <w:hideMark/>
          </w:tcPr>
          <w:p w14:paraId="73A0388A"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84 (27.63%)</w:t>
            </w:r>
          </w:p>
        </w:tc>
        <w:tc>
          <w:tcPr>
            <w:tcW w:w="0" w:type="auto"/>
            <w:tcBorders>
              <w:bottom w:val="single" w:sz="4" w:space="0" w:color="auto"/>
            </w:tcBorders>
            <w:vAlign w:val="center"/>
            <w:hideMark/>
          </w:tcPr>
          <w:p w14:paraId="64A5F553"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116 (38.16%)</w:t>
            </w:r>
          </w:p>
        </w:tc>
        <w:tc>
          <w:tcPr>
            <w:tcW w:w="0" w:type="auto"/>
            <w:tcBorders>
              <w:bottom w:val="single" w:sz="4" w:space="0" w:color="auto"/>
            </w:tcBorders>
            <w:vAlign w:val="center"/>
          </w:tcPr>
          <w:p w14:paraId="4DC16045" w14:textId="77777777" w:rsidR="009C77CB" w:rsidRPr="00417355" w:rsidRDefault="009C77CB"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3.90</w:t>
            </w:r>
          </w:p>
        </w:tc>
      </w:tr>
    </w:tbl>
    <w:p w14:paraId="56956D40" w14:textId="77777777" w:rsidR="00CF0C27" w:rsidRPr="00417355" w:rsidRDefault="00CF0C27" w:rsidP="00E91D92">
      <w:pPr>
        <w:pStyle w:val="NormalWeb"/>
        <w:jc w:val="both"/>
      </w:pPr>
      <w:r w:rsidRPr="00417355">
        <w:t>Table 2 shows that, in the previous month, 20 respondents (6.58%) never felt upset because of something unexpected, 11 (3.62%) almost never felt upset, 65 (21.38%) sometimes felt upset, 91 (29.93%) felt upset fairly often and 117 (38.49%) felt upset very often. This indicates that a substantial proportion of nurses frequently experienced distress due to unexpected events in their work. Regarding loss of control, 17 respondents (5.59%) selected never, 10 (3.29%) almost never, 60 (19.74%) sometimes, 90 (29.61%) fairly often and 127 (41.78%) very often. This suggests that many respondents frequently felt unable to control important aspects of their lives. For the item on feeling nervous and stressed, 22 respondents (7.24%) selected never, 13 (4.28%) almost never, 60 (19.74%) sometimes, 96 (31.58%) fairly often and 113 (37.17%) very often. The data therefore suggest a high level of perceived stress among many nurses.</w:t>
      </w:r>
    </w:p>
    <w:p w14:paraId="3D8D1C26" w14:textId="77777777" w:rsidR="00CF0C27" w:rsidRPr="00417355" w:rsidRDefault="00CF0C27" w:rsidP="00E91D92">
      <w:pPr>
        <w:pStyle w:val="NormalWeb"/>
        <w:jc w:val="both"/>
      </w:pPr>
      <w:r w:rsidRPr="00417355">
        <w:t>For the item on feeling on top of things, 18 respondents (5.92%) selected never, 14 (4.61%) almost never, 63 (20.72%) sometimes, 90 (29.61%) fairly often and 119 (39.48%) very often. This pattern suggests that a considerable number of nurses perceived that they could manage their tasks, which may reduce some aspects of psychological stress. For the item on being angered by things outside their control, 21 respondents (6.91%) selected never, 13 (4.28%) almost never, 58 (19.08%) sometimes, 94 (30.92%) fairly often and 118 (38.82%) very often. This indicates that many nurses frequently experienced frustration with external circumstances affecting their work and lives. For the item on difficulties piling up so high that they could not be overcome, 22 respondents (7.24%) selected never, 11 (3.62%) almost never, 67 (22.03%) sometimes, 84 (27.63%) fairly often and 116 (38.16%) very often. This suggests that many nurses experienced periods when difficulties felt excessive and difficult to manage.</w:t>
      </w:r>
    </w:p>
    <w:p w14:paraId="697DA6DC" w14:textId="77777777" w:rsidR="009C77CB" w:rsidRPr="00417355" w:rsidRDefault="007B6C6D" w:rsidP="00CF0C27">
      <w:pPr>
        <w:pStyle w:val="NormalWeb"/>
      </w:pPr>
      <w:r w:rsidRPr="00417355">
        <w:rPr>
          <w:b/>
        </w:rPr>
        <w:t>Table 3:</w:t>
      </w:r>
      <w:r w:rsidR="002D21EB" w:rsidRPr="00417355">
        <w:t xml:space="preserve"> impact of perceived job Stress on Nurses work output among public Health Nurses in Selected Health Facilities in Yenagoa, Bayelsa State.</w:t>
      </w:r>
    </w:p>
    <w:tbl>
      <w:tblPr>
        <w:tblW w:w="10374" w:type="dxa"/>
        <w:tblCellSpacing w:w="15" w:type="dxa"/>
        <w:tblInd w:w="-540" w:type="dxa"/>
        <w:tblCellMar>
          <w:top w:w="15" w:type="dxa"/>
          <w:left w:w="15" w:type="dxa"/>
          <w:bottom w:w="15" w:type="dxa"/>
          <w:right w:w="15" w:type="dxa"/>
        </w:tblCellMar>
        <w:tblLook w:val="04A0" w:firstRow="1" w:lastRow="0" w:firstColumn="1" w:lastColumn="0" w:noHBand="0" w:noVBand="1"/>
      </w:tblPr>
      <w:tblGrid>
        <w:gridCol w:w="538"/>
        <w:gridCol w:w="4777"/>
        <w:gridCol w:w="1141"/>
        <w:gridCol w:w="1028"/>
        <w:gridCol w:w="1057"/>
        <w:gridCol w:w="1171"/>
        <w:gridCol w:w="662"/>
      </w:tblGrid>
      <w:tr w:rsidR="007F7C05" w:rsidRPr="00417355" w14:paraId="5B22687B" w14:textId="77777777" w:rsidTr="007F7C05">
        <w:trPr>
          <w:trHeight w:val="794"/>
          <w:tblHeader/>
          <w:tblCellSpacing w:w="15" w:type="dxa"/>
        </w:trPr>
        <w:tc>
          <w:tcPr>
            <w:tcW w:w="493" w:type="dxa"/>
            <w:tcBorders>
              <w:top w:val="single" w:sz="4" w:space="0" w:color="auto"/>
              <w:bottom w:val="single" w:sz="4" w:space="0" w:color="auto"/>
            </w:tcBorders>
          </w:tcPr>
          <w:p w14:paraId="14772396" w14:textId="77777777" w:rsidR="007F7C05" w:rsidRPr="00417355" w:rsidRDefault="007F7C05"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S/N</w:t>
            </w:r>
          </w:p>
        </w:tc>
        <w:tc>
          <w:tcPr>
            <w:tcW w:w="4747" w:type="dxa"/>
            <w:tcBorders>
              <w:top w:val="single" w:sz="4" w:space="0" w:color="auto"/>
              <w:bottom w:val="single" w:sz="4" w:space="0" w:color="auto"/>
            </w:tcBorders>
            <w:vAlign w:val="center"/>
            <w:hideMark/>
          </w:tcPr>
          <w:p w14:paraId="399CE6EB" w14:textId="77777777" w:rsidR="007F7C05" w:rsidRPr="00417355" w:rsidRDefault="00F23987"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Items</w:t>
            </w:r>
          </w:p>
        </w:tc>
        <w:tc>
          <w:tcPr>
            <w:tcW w:w="0" w:type="auto"/>
            <w:tcBorders>
              <w:top w:val="single" w:sz="4" w:space="0" w:color="auto"/>
              <w:bottom w:val="single" w:sz="4" w:space="0" w:color="auto"/>
            </w:tcBorders>
            <w:vAlign w:val="center"/>
            <w:hideMark/>
          </w:tcPr>
          <w:p w14:paraId="53538C67" w14:textId="77777777" w:rsidR="007F7C05" w:rsidRPr="00417355" w:rsidRDefault="007F7C05"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 xml:space="preserve">Strongly Agree (SA) </w:t>
            </w:r>
            <w:proofErr w:type="gramStart"/>
            <w:r w:rsidRPr="00417355">
              <w:rPr>
                <w:rFonts w:ascii="Times New Roman" w:eastAsia="Times New Roman" w:hAnsi="Times New Roman" w:cs="Times New Roman"/>
                <w:b/>
                <w:bCs/>
                <w:sz w:val="24"/>
                <w:szCs w:val="24"/>
              </w:rPr>
              <w:t>f(</w:t>
            </w:r>
            <w:proofErr w:type="gramEnd"/>
            <w:r w:rsidRPr="00417355">
              <w:rPr>
                <w:rFonts w:ascii="Times New Roman" w:eastAsia="Times New Roman" w:hAnsi="Times New Roman" w:cs="Times New Roman"/>
                <w:b/>
                <w:bCs/>
                <w:sz w:val="24"/>
                <w:szCs w:val="24"/>
              </w:rPr>
              <w:t>%)</w:t>
            </w:r>
          </w:p>
        </w:tc>
        <w:tc>
          <w:tcPr>
            <w:tcW w:w="0" w:type="auto"/>
            <w:tcBorders>
              <w:top w:val="single" w:sz="4" w:space="0" w:color="auto"/>
              <w:bottom w:val="single" w:sz="4" w:space="0" w:color="auto"/>
            </w:tcBorders>
            <w:vAlign w:val="center"/>
            <w:hideMark/>
          </w:tcPr>
          <w:p w14:paraId="473E2CC0" w14:textId="77777777" w:rsidR="007F7C05" w:rsidRPr="00417355" w:rsidRDefault="007F7C05"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 xml:space="preserve">Agree (A) </w:t>
            </w:r>
            <w:proofErr w:type="gramStart"/>
            <w:r w:rsidRPr="00417355">
              <w:rPr>
                <w:rFonts w:ascii="Times New Roman" w:eastAsia="Times New Roman" w:hAnsi="Times New Roman" w:cs="Times New Roman"/>
                <w:b/>
                <w:bCs/>
                <w:sz w:val="24"/>
                <w:szCs w:val="24"/>
              </w:rPr>
              <w:t>f(</w:t>
            </w:r>
            <w:proofErr w:type="gramEnd"/>
            <w:r w:rsidRPr="00417355">
              <w:rPr>
                <w:rFonts w:ascii="Times New Roman" w:eastAsia="Times New Roman" w:hAnsi="Times New Roman" w:cs="Times New Roman"/>
                <w:b/>
                <w:bCs/>
                <w:sz w:val="24"/>
                <w:szCs w:val="24"/>
              </w:rPr>
              <w:t>%)</w:t>
            </w:r>
          </w:p>
        </w:tc>
        <w:tc>
          <w:tcPr>
            <w:tcW w:w="0" w:type="auto"/>
            <w:tcBorders>
              <w:top w:val="single" w:sz="4" w:space="0" w:color="auto"/>
              <w:bottom w:val="single" w:sz="4" w:space="0" w:color="auto"/>
            </w:tcBorders>
            <w:vAlign w:val="center"/>
            <w:hideMark/>
          </w:tcPr>
          <w:p w14:paraId="374799B7" w14:textId="77777777" w:rsidR="007F7C05" w:rsidRPr="00417355" w:rsidRDefault="007F7C05"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 xml:space="preserve">Disagree (D) </w:t>
            </w:r>
            <w:proofErr w:type="gramStart"/>
            <w:r w:rsidRPr="00417355">
              <w:rPr>
                <w:rFonts w:ascii="Times New Roman" w:eastAsia="Times New Roman" w:hAnsi="Times New Roman" w:cs="Times New Roman"/>
                <w:b/>
                <w:bCs/>
                <w:sz w:val="24"/>
                <w:szCs w:val="24"/>
              </w:rPr>
              <w:t>f(</w:t>
            </w:r>
            <w:proofErr w:type="gramEnd"/>
            <w:r w:rsidRPr="00417355">
              <w:rPr>
                <w:rFonts w:ascii="Times New Roman" w:eastAsia="Times New Roman" w:hAnsi="Times New Roman" w:cs="Times New Roman"/>
                <w:b/>
                <w:bCs/>
                <w:sz w:val="24"/>
                <w:szCs w:val="24"/>
              </w:rPr>
              <w:t>%)</w:t>
            </w:r>
          </w:p>
        </w:tc>
        <w:tc>
          <w:tcPr>
            <w:tcW w:w="0" w:type="auto"/>
            <w:tcBorders>
              <w:top w:val="single" w:sz="4" w:space="0" w:color="auto"/>
              <w:bottom w:val="single" w:sz="4" w:space="0" w:color="auto"/>
            </w:tcBorders>
            <w:vAlign w:val="center"/>
            <w:hideMark/>
          </w:tcPr>
          <w:p w14:paraId="50E0E4C2" w14:textId="77777777" w:rsidR="007F7C05" w:rsidRPr="00417355" w:rsidRDefault="007F7C05"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 xml:space="preserve">Strongly Disagree (SD) </w:t>
            </w:r>
            <w:proofErr w:type="gramStart"/>
            <w:r w:rsidRPr="00417355">
              <w:rPr>
                <w:rFonts w:ascii="Times New Roman" w:eastAsia="Times New Roman" w:hAnsi="Times New Roman" w:cs="Times New Roman"/>
                <w:b/>
                <w:bCs/>
                <w:sz w:val="24"/>
                <w:szCs w:val="24"/>
              </w:rPr>
              <w:t>f(</w:t>
            </w:r>
            <w:proofErr w:type="gramEnd"/>
            <w:r w:rsidRPr="00417355">
              <w:rPr>
                <w:rFonts w:ascii="Times New Roman" w:eastAsia="Times New Roman" w:hAnsi="Times New Roman" w:cs="Times New Roman"/>
                <w:b/>
                <w:bCs/>
                <w:sz w:val="24"/>
                <w:szCs w:val="24"/>
              </w:rPr>
              <w:t>%)</w:t>
            </w:r>
          </w:p>
        </w:tc>
        <w:tc>
          <w:tcPr>
            <w:tcW w:w="0" w:type="auto"/>
            <w:tcBorders>
              <w:top w:val="single" w:sz="4" w:space="0" w:color="auto"/>
              <w:bottom w:val="single" w:sz="4" w:space="0" w:color="auto"/>
            </w:tcBorders>
            <w:vAlign w:val="center"/>
            <w:hideMark/>
          </w:tcPr>
          <w:p w14:paraId="5EB4DA2A" w14:textId="77777777" w:rsidR="007F7C05" w:rsidRPr="00417355" w:rsidRDefault="007F7C05" w:rsidP="001949D5">
            <w:pPr>
              <w:spacing w:after="0" w:line="240" w:lineRule="auto"/>
              <w:jc w:val="center"/>
              <w:rPr>
                <w:rFonts w:ascii="Times New Roman" w:eastAsia="Times New Roman" w:hAnsi="Times New Roman" w:cs="Times New Roman"/>
                <w:b/>
                <w:bCs/>
                <w:sz w:val="24"/>
                <w:szCs w:val="24"/>
              </w:rPr>
            </w:pPr>
            <w:r w:rsidRPr="00417355">
              <w:rPr>
                <w:rFonts w:ascii="Times New Roman" w:eastAsia="Times New Roman" w:hAnsi="Times New Roman" w:cs="Times New Roman"/>
                <w:b/>
                <w:bCs/>
                <w:sz w:val="24"/>
                <w:szCs w:val="24"/>
              </w:rPr>
              <w:t>Mean</w:t>
            </w:r>
          </w:p>
        </w:tc>
      </w:tr>
      <w:tr w:rsidR="007F7C05" w:rsidRPr="00417355" w14:paraId="1B01E43F" w14:textId="77777777" w:rsidTr="007F7C05">
        <w:trPr>
          <w:trHeight w:val="518"/>
          <w:tblCellSpacing w:w="15" w:type="dxa"/>
        </w:trPr>
        <w:tc>
          <w:tcPr>
            <w:tcW w:w="493" w:type="dxa"/>
          </w:tcPr>
          <w:p w14:paraId="520F0DC0"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w:t>
            </w:r>
          </w:p>
        </w:tc>
        <w:tc>
          <w:tcPr>
            <w:tcW w:w="4747" w:type="dxa"/>
            <w:vAlign w:val="center"/>
            <w:hideMark/>
          </w:tcPr>
          <w:p w14:paraId="268F5B23"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Job stress affects my ability to perform my duties efficiently.</w:t>
            </w:r>
          </w:p>
        </w:tc>
        <w:tc>
          <w:tcPr>
            <w:tcW w:w="0" w:type="auto"/>
            <w:vAlign w:val="center"/>
            <w:hideMark/>
          </w:tcPr>
          <w:p w14:paraId="64A82621"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120 (39.47%)</w:t>
            </w:r>
          </w:p>
        </w:tc>
        <w:tc>
          <w:tcPr>
            <w:tcW w:w="0" w:type="auto"/>
            <w:vAlign w:val="center"/>
            <w:hideMark/>
          </w:tcPr>
          <w:p w14:paraId="21CBA6B8"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144 (47.37%)</w:t>
            </w:r>
          </w:p>
        </w:tc>
        <w:tc>
          <w:tcPr>
            <w:tcW w:w="0" w:type="auto"/>
            <w:vAlign w:val="center"/>
            <w:hideMark/>
          </w:tcPr>
          <w:p w14:paraId="1CC79572"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15 (4.93%)</w:t>
            </w:r>
          </w:p>
        </w:tc>
        <w:tc>
          <w:tcPr>
            <w:tcW w:w="0" w:type="auto"/>
            <w:vAlign w:val="center"/>
            <w:hideMark/>
          </w:tcPr>
          <w:p w14:paraId="2FBCFD86"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 (8.22%)</w:t>
            </w:r>
          </w:p>
        </w:tc>
        <w:tc>
          <w:tcPr>
            <w:tcW w:w="0" w:type="auto"/>
            <w:vAlign w:val="center"/>
            <w:hideMark/>
          </w:tcPr>
          <w:p w14:paraId="0056BF9F"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2.82</w:t>
            </w:r>
          </w:p>
        </w:tc>
      </w:tr>
      <w:tr w:rsidR="007F7C05" w:rsidRPr="00417355" w14:paraId="0C9FDA9F" w14:textId="77777777" w:rsidTr="007F7C05">
        <w:trPr>
          <w:trHeight w:val="518"/>
          <w:tblCellSpacing w:w="15" w:type="dxa"/>
        </w:trPr>
        <w:tc>
          <w:tcPr>
            <w:tcW w:w="493" w:type="dxa"/>
          </w:tcPr>
          <w:p w14:paraId="329E022E"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w:t>
            </w:r>
          </w:p>
        </w:tc>
        <w:tc>
          <w:tcPr>
            <w:tcW w:w="4747" w:type="dxa"/>
            <w:vAlign w:val="center"/>
            <w:hideMark/>
          </w:tcPr>
          <w:p w14:paraId="72C676E6"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Stress negatively impacts the quality of patient care I provide.</w:t>
            </w:r>
          </w:p>
        </w:tc>
        <w:tc>
          <w:tcPr>
            <w:tcW w:w="0" w:type="auto"/>
            <w:vAlign w:val="center"/>
            <w:hideMark/>
          </w:tcPr>
          <w:p w14:paraId="42CC4DBD"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122 (40.13%)</w:t>
            </w:r>
          </w:p>
        </w:tc>
        <w:tc>
          <w:tcPr>
            <w:tcW w:w="0" w:type="auto"/>
            <w:vAlign w:val="center"/>
            <w:hideMark/>
          </w:tcPr>
          <w:p w14:paraId="32CF32FD"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152 (50.00%)</w:t>
            </w:r>
          </w:p>
        </w:tc>
        <w:tc>
          <w:tcPr>
            <w:tcW w:w="0" w:type="auto"/>
            <w:vAlign w:val="center"/>
            <w:hideMark/>
          </w:tcPr>
          <w:p w14:paraId="51E3D9E4"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16 (5.26%)</w:t>
            </w:r>
          </w:p>
        </w:tc>
        <w:tc>
          <w:tcPr>
            <w:tcW w:w="0" w:type="auto"/>
            <w:vAlign w:val="center"/>
            <w:hideMark/>
          </w:tcPr>
          <w:p w14:paraId="2D2AF2B2"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14 (4.61%)</w:t>
            </w:r>
          </w:p>
        </w:tc>
        <w:tc>
          <w:tcPr>
            <w:tcW w:w="0" w:type="auto"/>
            <w:vAlign w:val="center"/>
            <w:hideMark/>
          </w:tcPr>
          <w:p w14:paraId="63AD5B99"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2.74</w:t>
            </w:r>
          </w:p>
        </w:tc>
      </w:tr>
      <w:tr w:rsidR="007F7C05" w:rsidRPr="00417355" w14:paraId="01AD6D82" w14:textId="77777777" w:rsidTr="007F7C05">
        <w:trPr>
          <w:trHeight w:val="518"/>
          <w:tblCellSpacing w:w="15" w:type="dxa"/>
        </w:trPr>
        <w:tc>
          <w:tcPr>
            <w:tcW w:w="493" w:type="dxa"/>
          </w:tcPr>
          <w:p w14:paraId="6B92B7A9"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3</w:t>
            </w:r>
          </w:p>
        </w:tc>
        <w:tc>
          <w:tcPr>
            <w:tcW w:w="4747" w:type="dxa"/>
            <w:vAlign w:val="center"/>
            <w:hideMark/>
          </w:tcPr>
          <w:p w14:paraId="769CCD8B"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 find it difficult to maintain focus on my tasks due to stress.</w:t>
            </w:r>
          </w:p>
        </w:tc>
        <w:tc>
          <w:tcPr>
            <w:tcW w:w="0" w:type="auto"/>
            <w:vAlign w:val="center"/>
            <w:hideMark/>
          </w:tcPr>
          <w:p w14:paraId="78865723"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112 (36.84%)</w:t>
            </w:r>
          </w:p>
        </w:tc>
        <w:tc>
          <w:tcPr>
            <w:tcW w:w="0" w:type="auto"/>
            <w:vAlign w:val="center"/>
            <w:hideMark/>
          </w:tcPr>
          <w:p w14:paraId="54C9CD7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154 (50.66%)</w:t>
            </w:r>
          </w:p>
        </w:tc>
        <w:tc>
          <w:tcPr>
            <w:tcW w:w="0" w:type="auto"/>
            <w:vAlign w:val="center"/>
            <w:hideMark/>
          </w:tcPr>
          <w:p w14:paraId="5CDCB396"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17 (5.59%)</w:t>
            </w:r>
          </w:p>
        </w:tc>
        <w:tc>
          <w:tcPr>
            <w:tcW w:w="0" w:type="auto"/>
            <w:vAlign w:val="center"/>
            <w:hideMark/>
          </w:tcPr>
          <w:p w14:paraId="19E25B69"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21 (6.91%)</w:t>
            </w:r>
          </w:p>
        </w:tc>
        <w:tc>
          <w:tcPr>
            <w:tcW w:w="0" w:type="auto"/>
            <w:vAlign w:val="center"/>
            <w:hideMark/>
          </w:tcPr>
          <w:p w14:paraId="1BD97D6D"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2.83</w:t>
            </w:r>
          </w:p>
        </w:tc>
      </w:tr>
      <w:tr w:rsidR="007F7C05" w:rsidRPr="00417355" w14:paraId="4BAFB2E6" w14:textId="77777777" w:rsidTr="007F7C05">
        <w:trPr>
          <w:trHeight w:val="518"/>
          <w:tblCellSpacing w:w="15" w:type="dxa"/>
        </w:trPr>
        <w:tc>
          <w:tcPr>
            <w:tcW w:w="493" w:type="dxa"/>
          </w:tcPr>
          <w:p w14:paraId="754EBC76"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4</w:t>
            </w:r>
          </w:p>
        </w:tc>
        <w:tc>
          <w:tcPr>
            <w:tcW w:w="4747" w:type="dxa"/>
            <w:vAlign w:val="center"/>
            <w:hideMark/>
          </w:tcPr>
          <w:p w14:paraId="68A0E976"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Stress causes me to make mistakes in patient care.</w:t>
            </w:r>
          </w:p>
        </w:tc>
        <w:tc>
          <w:tcPr>
            <w:tcW w:w="0" w:type="auto"/>
            <w:vAlign w:val="center"/>
            <w:hideMark/>
          </w:tcPr>
          <w:p w14:paraId="002948AF"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141 (46.38%)</w:t>
            </w:r>
          </w:p>
        </w:tc>
        <w:tc>
          <w:tcPr>
            <w:tcW w:w="0" w:type="auto"/>
            <w:vAlign w:val="center"/>
            <w:hideMark/>
          </w:tcPr>
          <w:p w14:paraId="4AD61BDE"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128 (42.11%)</w:t>
            </w:r>
          </w:p>
        </w:tc>
        <w:tc>
          <w:tcPr>
            <w:tcW w:w="0" w:type="auto"/>
            <w:vAlign w:val="center"/>
            <w:hideMark/>
          </w:tcPr>
          <w:p w14:paraId="12F7F9A1"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16 (5.26%)</w:t>
            </w:r>
          </w:p>
        </w:tc>
        <w:tc>
          <w:tcPr>
            <w:tcW w:w="0" w:type="auto"/>
            <w:vAlign w:val="center"/>
            <w:hideMark/>
          </w:tcPr>
          <w:p w14:paraId="4E305F84"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19 (6.25%)</w:t>
            </w:r>
          </w:p>
        </w:tc>
        <w:tc>
          <w:tcPr>
            <w:tcW w:w="0" w:type="auto"/>
            <w:vAlign w:val="center"/>
            <w:hideMark/>
          </w:tcPr>
          <w:p w14:paraId="30CD367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2.71</w:t>
            </w:r>
          </w:p>
        </w:tc>
      </w:tr>
      <w:tr w:rsidR="007F7C05" w:rsidRPr="00417355" w14:paraId="21EBDF04" w14:textId="77777777" w:rsidTr="007F7C05">
        <w:trPr>
          <w:trHeight w:val="518"/>
          <w:tblCellSpacing w:w="15" w:type="dxa"/>
        </w:trPr>
        <w:tc>
          <w:tcPr>
            <w:tcW w:w="493" w:type="dxa"/>
          </w:tcPr>
          <w:p w14:paraId="2E6EED75"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lastRenderedPageBreak/>
              <w:t>5</w:t>
            </w:r>
          </w:p>
        </w:tc>
        <w:tc>
          <w:tcPr>
            <w:tcW w:w="4747" w:type="dxa"/>
            <w:vAlign w:val="center"/>
            <w:hideMark/>
          </w:tcPr>
          <w:p w14:paraId="70987B6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My job stress affects my job satisfaction and motivation.</w:t>
            </w:r>
          </w:p>
        </w:tc>
        <w:tc>
          <w:tcPr>
            <w:tcW w:w="0" w:type="auto"/>
            <w:vAlign w:val="center"/>
            <w:hideMark/>
          </w:tcPr>
          <w:p w14:paraId="24C39083"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104 (34.21%)</w:t>
            </w:r>
          </w:p>
        </w:tc>
        <w:tc>
          <w:tcPr>
            <w:tcW w:w="0" w:type="auto"/>
            <w:vAlign w:val="center"/>
            <w:hideMark/>
          </w:tcPr>
          <w:p w14:paraId="7D8BC6EE"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162 (53.29%)</w:t>
            </w:r>
          </w:p>
        </w:tc>
        <w:tc>
          <w:tcPr>
            <w:tcW w:w="0" w:type="auto"/>
            <w:vAlign w:val="center"/>
            <w:hideMark/>
          </w:tcPr>
          <w:p w14:paraId="765B9464"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16 (5.26%)</w:t>
            </w:r>
          </w:p>
        </w:tc>
        <w:tc>
          <w:tcPr>
            <w:tcW w:w="0" w:type="auto"/>
            <w:vAlign w:val="center"/>
            <w:hideMark/>
          </w:tcPr>
          <w:p w14:paraId="3258AAF4"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22 (7.24%)</w:t>
            </w:r>
          </w:p>
        </w:tc>
        <w:tc>
          <w:tcPr>
            <w:tcW w:w="0" w:type="auto"/>
            <w:vAlign w:val="center"/>
            <w:hideMark/>
          </w:tcPr>
          <w:p w14:paraId="0EA31867"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2.86</w:t>
            </w:r>
          </w:p>
        </w:tc>
      </w:tr>
      <w:tr w:rsidR="007F7C05" w:rsidRPr="00417355" w14:paraId="54A30553" w14:textId="77777777" w:rsidTr="007F7C05">
        <w:trPr>
          <w:trHeight w:val="518"/>
          <w:tblCellSpacing w:w="15" w:type="dxa"/>
        </w:trPr>
        <w:tc>
          <w:tcPr>
            <w:tcW w:w="493" w:type="dxa"/>
          </w:tcPr>
          <w:p w14:paraId="70D76DBF"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w:t>
            </w:r>
          </w:p>
        </w:tc>
        <w:tc>
          <w:tcPr>
            <w:tcW w:w="4747" w:type="dxa"/>
            <w:vAlign w:val="center"/>
            <w:hideMark/>
          </w:tcPr>
          <w:p w14:paraId="139A3BA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Stress prevents me from providing optimal care to patients.</w:t>
            </w:r>
          </w:p>
        </w:tc>
        <w:tc>
          <w:tcPr>
            <w:tcW w:w="0" w:type="auto"/>
            <w:vAlign w:val="center"/>
            <w:hideMark/>
          </w:tcPr>
          <w:p w14:paraId="1EEFA53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90 (29.60%)</w:t>
            </w:r>
          </w:p>
        </w:tc>
        <w:tc>
          <w:tcPr>
            <w:tcW w:w="0" w:type="auto"/>
            <w:vAlign w:val="center"/>
            <w:hideMark/>
          </w:tcPr>
          <w:p w14:paraId="6AA26BF3"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93 (30.59%)</w:t>
            </w:r>
          </w:p>
        </w:tc>
        <w:tc>
          <w:tcPr>
            <w:tcW w:w="0" w:type="auto"/>
            <w:vAlign w:val="center"/>
            <w:hideMark/>
          </w:tcPr>
          <w:p w14:paraId="741426DC"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91 (30.59%)</w:t>
            </w:r>
          </w:p>
        </w:tc>
        <w:tc>
          <w:tcPr>
            <w:tcW w:w="0" w:type="auto"/>
            <w:vAlign w:val="center"/>
            <w:hideMark/>
          </w:tcPr>
          <w:p w14:paraId="4423C11B"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60 (19.74%)</w:t>
            </w:r>
          </w:p>
        </w:tc>
        <w:tc>
          <w:tcPr>
            <w:tcW w:w="0" w:type="auto"/>
            <w:vAlign w:val="center"/>
            <w:hideMark/>
          </w:tcPr>
          <w:p w14:paraId="2AB3F3F7"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2.51</w:t>
            </w:r>
          </w:p>
        </w:tc>
      </w:tr>
      <w:tr w:rsidR="007F7C05" w:rsidRPr="00417355" w14:paraId="04EFA28E" w14:textId="77777777" w:rsidTr="007F7C05">
        <w:trPr>
          <w:trHeight w:val="518"/>
          <w:tblCellSpacing w:w="15" w:type="dxa"/>
        </w:trPr>
        <w:tc>
          <w:tcPr>
            <w:tcW w:w="493" w:type="dxa"/>
          </w:tcPr>
          <w:p w14:paraId="0D101CA5"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7</w:t>
            </w:r>
          </w:p>
        </w:tc>
        <w:tc>
          <w:tcPr>
            <w:tcW w:w="4747" w:type="dxa"/>
            <w:vAlign w:val="center"/>
            <w:hideMark/>
          </w:tcPr>
          <w:p w14:paraId="3E27911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 often feel mentally exhausted by the end of my shift due to stress.</w:t>
            </w:r>
          </w:p>
        </w:tc>
        <w:tc>
          <w:tcPr>
            <w:tcW w:w="0" w:type="auto"/>
            <w:vAlign w:val="center"/>
            <w:hideMark/>
          </w:tcPr>
          <w:p w14:paraId="0EF65DE7"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67 (22.04%)</w:t>
            </w:r>
          </w:p>
        </w:tc>
        <w:tc>
          <w:tcPr>
            <w:tcW w:w="0" w:type="auto"/>
            <w:vAlign w:val="center"/>
            <w:hideMark/>
          </w:tcPr>
          <w:p w14:paraId="1C7D1706"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81 (26.63%)</w:t>
            </w:r>
          </w:p>
        </w:tc>
        <w:tc>
          <w:tcPr>
            <w:tcW w:w="0" w:type="auto"/>
            <w:vAlign w:val="center"/>
            <w:hideMark/>
          </w:tcPr>
          <w:p w14:paraId="05E90C30"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97 (31.89%)</w:t>
            </w:r>
          </w:p>
        </w:tc>
        <w:tc>
          <w:tcPr>
            <w:tcW w:w="0" w:type="auto"/>
            <w:vAlign w:val="center"/>
            <w:hideMark/>
          </w:tcPr>
          <w:p w14:paraId="58853A18"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59 (19.41%)</w:t>
            </w:r>
          </w:p>
        </w:tc>
        <w:tc>
          <w:tcPr>
            <w:tcW w:w="0" w:type="auto"/>
            <w:vAlign w:val="center"/>
            <w:hideMark/>
          </w:tcPr>
          <w:p w14:paraId="0A128E74"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2.51</w:t>
            </w:r>
          </w:p>
        </w:tc>
      </w:tr>
      <w:tr w:rsidR="007F7C05" w:rsidRPr="00417355" w14:paraId="1036C568" w14:textId="77777777" w:rsidTr="007F7C05">
        <w:trPr>
          <w:trHeight w:val="518"/>
          <w:tblCellSpacing w:w="15" w:type="dxa"/>
        </w:trPr>
        <w:tc>
          <w:tcPr>
            <w:tcW w:w="493" w:type="dxa"/>
          </w:tcPr>
          <w:p w14:paraId="783BCDB7"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w:t>
            </w:r>
          </w:p>
        </w:tc>
        <w:tc>
          <w:tcPr>
            <w:tcW w:w="4747" w:type="dxa"/>
            <w:vAlign w:val="center"/>
            <w:hideMark/>
          </w:tcPr>
          <w:p w14:paraId="294FE529"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Stress impacts my decision-making and problem-solving abilities.</w:t>
            </w:r>
          </w:p>
        </w:tc>
        <w:tc>
          <w:tcPr>
            <w:tcW w:w="0" w:type="auto"/>
            <w:vAlign w:val="center"/>
            <w:hideMark/>
          </w:tcPr>
          <w:p w14:paraId="79171D26"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58 (19.08%)</w:t>
            </w:r>
          </w:p>
        </w:tc>
        <w:tc>
          <w:tcPr>
            <w:tcW w:w="0" w:type="auto"/>
            <w:vAlign w:val="center"/>
            <w:hideMark/>
          </w:tcPr>
          <w:p w14:paraId="06C6310C"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89 (29.28%)</w:t>
            </w:r>
          </w:p>
        </w:tc>
        <w:tc>
          <w:tcPr>
            <w:tcW w:w="0" w:type="auto"/>
            <w:vAlign w:val="center"/>
            <w:hideMark/>
          </w:tcPr>
          <w:p w14:paraId="7C543EBF"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94 (30.92%)</w:t>
            </w:r>
          </w:p>
        </w:tc>
        <w:tc>
          <w:tcPr>
            <w:tcW w:w="0" w:type="auto"/>
            <w:vAlign w:val="center"/>
            <w:hideMark/>
          </w:tcPr>
          <w:p w14:paraId="46F817B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63 (20.69%)</w:t>
            </w:r>
          </w:p>
        </w:tc>
        <w:tc>
          <w:tcPr>
            <w:tcW w:w="0" w:type="auto"/>
            <w:vAlign w:val="center"/>
            <w:hideMark/>
          </w:tcPr>
          <w:p w14:paraId="36B31B9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2.53</w:t>
            </w:r>
          </w:p>
        </w:tc>
      </w:tr>
      <w:tr w:rsidR="007F7C05" w:rsidRPr="00417355" w14:paraId="40FBB1BB" w14:textId="77777777" w:rsidTr="007F7C05">
        <w:trPr>
          <w:trHeight w:val="518"/>
          <w:tblCellSpacing w:w="15" w:type="dxa"/>
        </w:trPr>
        <w:tc>
          <w:tcPr>
            <w:tcW w:w="493" w:type="dxa"/>
          </w:tcPr>
          <w:p w14:paraId="203FCDD2"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w:t>
            </w:r>
          </w:p>
        </w:tc>
        <w:tc>
          <w:tcPr>
            <w:tcW w:w="4747" w:type="dxa"/>
            <w:vAlign w:val="center"/>
            <w:hideMark/>
          </w:tcPr>
          <w:p w14:paraId="4AC7BD1E"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 feel less patient and empathetic towards my patients when stressed.</w:t>
            </w:r>
          </w:p>
        </w:tc>
        <w:tc>
          <w:tcPr>
            <w:tcW w:w="0" w:type="auto"/>
            <w:vAlign w:val="center"/>
            <w:hideMark/>
          </w:tcPr>
          <w:p w14:paraId="6BAEFAD7"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62 (20.39%)</w:t>
            </w:r>
          </w:p>
        </w:tc>
        <w:tc>
          <w:tcPr>
            <w:tcW w:w="0" w:type="auto"/>
            <w:vAlign w:val="center"/>
            <w:hideMark/>
          </w:tcPr>
          <w:p w14:paraId="32DA0D3B"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91 (29.92%)</w:t>
            </w:r>
          </w:p>
        </w:tc>
        <w:tc>
          <w:tcPr>
            <w:tcW w:w="0" w:type="auto"/>
            <w:vAlign w:val="center"/>
            <w:hideMark/>
          </w:tcPr>
          <w:p w14:paraId="723A6579"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90 (29.61%)</w:t>
            </w:r>
          </w:p>
        </w:tc>
        <w:tc>
          <w:tcPr>
            <w:tcW w:w="0" w:type="auto"/>
            <w:vAlign w:val="center"/>
            <w:hideMark/>
          </w:tcPr>
          <w:p w14:paraId="4553D961"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61 (20.07%)</w:t>
            </w:r>
          </w:p>
        </w:tc>
        <w:tc>
          <w:tcPr>
            <w:tcW w:w="0" w:type="auto"/>
            <w:vAlign w:val="center"/>
            <w:hideMark/>
          </w:tcPr>
          <w:p w14:paraId="3CC732FC"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2.51</w:t>
            </w:r>
          </w:p>
        </w:tc>
      </w:tr>
      <w:tr w:rsidR="007F7C05" w:rsidRPr="00417355" w14:paraId="10CB1D7C" w14:textId="77777777" w:rsidTr="007F7C05">
        <w:trPr>
          <w:trHeight w:val="518"/>
          <w:tblCellSpacing w:w="15" w:type="dxa"/>
        </w:trPr>
        <w:tc>
          <w:tcPr>
            <w:tcW w:w="493" w:type="dxa"/>
          </w:tcPr>
          <w:p w14:paraId="12DE3804"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10</w:t>
            </w:r>
          </w:p>
        </w:tc>
        <w:tc>
          <w:tcPr>
            <w:tcW w:w="4747" w:type="dxa"/>
            <w:vAlign w:val="center"/>
            <w:hideMark/>
          </w:tcPr>
          <w:p w14:paraId="7217A633"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Job stress has led to increased absenteeism and turnover in the hospital.</w:t>
            </w:r>
          </w:p>
        </w:tc>
        <w:tc>
          <w:tcPr>
            <w:tcW w:w="0" w:type="auto"/>
            <w:vAlign w:val="center"/>
            <w:hideMark/>
          </w:tcPr>
          <w:p w14:paraId="104FEDF0"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66 (21.71%)</w:t>
            </w:r>
          </w:p>
        </w:tc>
        <w:tc>
          <w:tcPr>
            <w:tcW w:w="0" w:type="auto"/>
            <w:vAlign w:val="center"/>
            <w:hideMark/>
          </w:tcPr>
          <w:p w14:paraId="6567C9F5"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88 (28.95%)</w:t>
            </w:r>
          </w:p>
        </w:tc>
        <w:tc>
          <w:tcPr>
            <w:tcW w:w="0" w:type="auto"/>
            <w:vAlign w:val="center"/>
            <w:hideMark/>
          </w:tcPr>
          <w:p w14:paraId="59BB9791"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99 (32.55%)</w:t>
            </w:r>
          </w:p>
        </w:tc>
        <w:tc>
          <w:tcPr>
            <w:tcW w:w="0" w:type="auto"/>
            <w:vAlign w:val="center"/>
            <w:hideMark/>
          </w:tcPr>
          <w:p w14:paraId="0CB26E2B"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51 (16.77%)</w:t>
            </w:r>
          </w:p>
        </w:tc>
        <w:tc>
          <w:tcPr>
            <w:tcW w:w="0" w:type="auto"/>
            <w:vAlign w:val="center"/>
            <w:hideMark/>
          </w:tcPr>
          <w:p w14:paraId="34392EF4"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2.55</w:t>
            </w:r>
          </w:p>
        </w:tc>
      </w:tr>
      <w:tr w:rsidR="007F7C05" w:rsidRPr="00417355" w14:paraId="427111DE" w14:textId="77777777" w:rsidTr="007F7C05">
        <w:trPr>
          <w:trHeight w:val="518"/>
          <w:tblCellSpacing w:w="15" w:type="dxa"/>
        </w:trPr>
        <w:tc>
          <w:tcPr>
            <w:tcW w:w="493" w:type="dxa"/>
          </w:tcPr>
          <w:p w14:paraId="5B36E587"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11</w:t>
            </w:r>
          </w:p>
        </w:tc>
        <w:tc>
          <w:tcPr>
            <w:tcW w:w="4747" w:type="dxa"/>
            <w:vAlign w:val="center"/>
            <w:hideMark/>
          </w:tcPr>
          <w:p w14:paraId="641050D2"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The quality of patient outcomes suffers when I am stressed.</w:t>
            </w:r>
          </w:p>
        </w:tc>
        <w:tc>
          <w:tcPr>
            <w:tcW w:w="0" w:type="auto"/>
            <w:vAlign w:val="center"/>
            <w:hideMark/>
          </w:tcPr>
          <w:p w14:paraId="60F96DE4"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60 (19.74%)</w:t>
            </w:r>
          </w:p>
        </w:tc>
        <w:tc>
          <w:tcPr>
            <w:tcW w:w="0" w:type="auto"/>
            <w:vAlign w:val="center"/>
            <w:hideMark/>
          </w:tcPr>
          <w:p w14:paraId="5BF9A95B"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93 (30.59%)</w:t>
            </w:r>
          </w:p>
        </w:tc>
        <w:tc>
          <w:tcPr>
            <w:tcW w:w="0" w:type="auto"/>
            <w:vAlign w:val="center"/>
            <w:hideMark/>
          </w:tcPr>
          <w:p w14:paraId="13E2E69F"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96 (31.58%)</w:t>
            </w:r>
          </w:p>
        </w:tc>
        <w:tc>
          <w:tcPr>
            <w:tcW w:w="0" w:type="auto"/>
            <w:vAlign w:val="center"/>
            <w:hideMark/>
          </w:tcPr>
          <w:p w14:paraId="02B61E15"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55 (18.42%)</w:t>
            </w:r>
          </w:p>
        </w:tc>
        <w:tc>
          <w:tcPr>
            <w:tcW w:w="0" w:type="auto"/>
            <w:vAlign w:val="center"/>
            <w:hideMark/>
          </w:tcPr>
          <w:p w14:paraId="1FACC793"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2.52</w:t>
            </w:r>
          </w:p>
        </w:tc>
      </w:tr>
      <w:tr w:rsidR="007F7C05" w:rsidRPr="00417355" w14:paraId="1C2A4DFA" w14:textId="77777777" w:rsidTr="007F7C05">
        <w:trPr>
          <w:trHeight w:val="518"/>
          <w:tblCellSpacing w:w="15" w:type="dxa"/>
        </w:trPr>
        <w:tc>
          <w:tcPr>
            <w:tcW w:w="493" w:type="dxa"/>
          </w:tcPr>
          <w:p w14:paraId="06C75CB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12</w:t>
            </w:r>
          </w:p>
        </w:tc>
        <w:tc>
          <w:tcPr>
            <w:tcW w:w="4747" w:type="dxa"/>
            <w:vAlign w:val="center"/>
            <w:hideMark/>
          </w:tcPr>
          <w:p w14:paraId="293CEE57"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My stress levels influence the speed at which I perform my tasks.</w:t>
            </w:r>
          </w:p>
        </w:tc>
        <w:tc>
          <w:tcPr>
            <w:tcW w:w="0" w:type="auto"/>
            <w:vAlign w:val="center"/>
            <w:hideMark/>
          </w:tcPr>
          <w:p w14:paraId="21903DE0"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67 (22.04%)</w:t>
            </w:r>
          </w:p>
        </w:tc>
        <w:tc>
          <w:tcPr>
            <w:tcW w:w="0" w:type="auto"/>
            <w:vAlign w:val="center"/>
            <w:hideMark/>
          </w:tcPr>
          <w:p w14:paraId="35A26BAE"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83 (27.30%)</w:t>
            </w:r>
          </w:p>
        </w:tc>
        <w:tc>
          <w:tcPr>
            <w:tcW w:w="0" w:type="auto"/>
            <w:vAlign w:val="center"/>
            <w:hideMark/>
          </w:tcPr>
          <w:p w14:paraId="3309B99E"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93 (30.59%)</w:t>
            </w:r>
          </w:p>
        </w:tc>
        <w:tc>
          <w:tcPr>
            <w:tcW w:w="0" w:type="auto"/>
            <w:vAlign w:val="center"/>
            <w:hideMark/>
          </w:tcPr>
          <w:p w14:paraId="1722C036"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61 (20.07%)</w:t>
            </w:r>
          </w:p>
        </w:tc>
        <w:tc>
          <w:tcPr>
            <w:tcW w:w="0" w:type="auto"/>
            <w:vAlign w:val="center"/>
            <w:hideMark/>
          </w:tcPr>
          <w:p w14:paraId="2B349AFB"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2.51</w:t>
            </w:r>
          </w:p>
        </w:tc>
      </w:tr>
      <w:tr w:rsidR="007F7C05" w:rsidRPr="00417355" w14:paraId="4F69D42E" w14:textId="77777777" w:rsidTr="007F7C05">
        <w:trPr>
          <w:trHeight w:val="518"/>
          <w:tblCellSpacing w:w="15" w:type="dxa"/>
        </w:trPr>
        <w:tc>
          <w:tcPr>
            <w:tcW w:w="493" w:type="dxa"/>
          </w:tcPr>
          <w:p w14:paraId="1DFE2B8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13</w:t>
            </w:r>
          </w:p>
        </w:tc>
        <w:tc>
          <w:tcPr>
            <w:tcW w:w="4747" w:type="dxa"/>
            <w:vAlign w:val="center"/>
            <w:hideMark/>
          </w:tcPr>
          <w:p w14:paraId="3AD91E0E"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Job stress has led to a decline in the collaborative efforts among the healthcare team.</w:t>
            </w:r>
          </w:p>
        </w:tc>
        <w:tc>
          <w:tcPr>
            <w:tcW w:w="0" w:type="auto"/>
            <w:vAlign w:val="center"/>
            <w:hideMark/>
          </w:tcPr>
          <w:p w14:paraId="3662DF85"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53 (17.43%)</w:t>
            </w:r>
          </w:p>
        </w:tc>
        <w:tc>
          <w:tcPr>
            <w:tcW w:w="0" w:type="auto"/>
            <w:vAlign w:val="center"/>
            <w:hideMark/>
          </w:tcPr>
          <w:p w14:paraId="0A25C264"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92 (30.26%)</w:t>
            </w:r>
          </w:p>
        </w:tc>
        <w:tc>
          <w:tcPr>
            <w:tcW w:w="0" w:type="auto"/>
            <w:vAlign w:val="center"/>
            <w:hideMark/>
          </w:tcPr>
          <w:p w14:paraId="659F3E55"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103 (33.88%)</w:t>
            </w:r>
          </w:p>
        </w:tc>
        <w:tc>
          <w:tcPr>
            <w:tcW w:w="0" w:type="auto"/>
            <w:vAlign w:val="center"/>
            <w:hideMark/>
          </w:tcPr>
          <w:p w14:paraId="29273213"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56 (18.42%)</w:t>
            </w:r>
          </w:p>
        </w:tc>
        <w:tc>
          <w:tcPr>
            <w:tcW w:w="0" w:type="auto"/>
            <w:vAlign w:val="center"/>
            <w:hideMark/>
          </w:tcPr>
          <w:p w14:paraId="5FB8CBA8"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2.53</w:t>
            </w:r>
          </w:p>
        </w:tc>
      </w:tr>
      <w:tr w:rsidR="007F7C05" w:rsidRPr="00417355" w14:paraId="175AD10F" w14:textId="77777777" w:rsidTr="007F7C05">
        <w:trPr>
          <w:trHeight w:val="518"/>
          <w:tblCellSpacing w:w="15" w:type="dxa"/>
        </w:trPr>
        <w:tc>
          <w:tcPr>
            <w:tcW w:w="493" w:type="dxa"/>
          </w:tcPr>
          <w:p w14:paraId="29FDD4FC"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14</w:t>
            </w:r>
          </w:p>
        </w:tc>
        <w:tc>
          <w:tcPr>
            <w:tcW w:w="4747" w:type="dxa"/>
            <w:vAlign w:val="center"/>
            <w:hideMark/>
          </w:tcPr>
          <w:p w14:paraId="09E08D15"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I experience a loss of enthusiasm for patient care when under stress.</w:t>
            </w:r>
          </w:p>
        </w:tc>
        <w:tc>
          <w:tcPr>
            <w:tcW w:w="0" w:type="auto"/>
            <w:vAlign w:val="center"/>
            <w:hideMark/>
          </w:tcPr>
          <w:p w14:paraId="069127B0"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61 (20.07%)</w:t>
            </w:r>
          </w:p>
        </w:tc>
        <w:tc>
          <w:tcPr>
            <w:tcW w:w="0" w:type="auto"/>
            <w:vAlign w:val="center"/>
            <w:hideMark/>
          </w:tcPr>
          <w:p w14:paraId="09AC423D"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89 (29.28%)</w:t>
            </w:r>
          </w:p>
        </w:tc>
        <w:tc>
          <w:tcPr>
            <w:tcW w:w="0" w:type="auto"/>
            <w:vAlign w:val="center"/>
            <w:hideMark/>
          </w:tcPr>
          <w:p w14:paraId="3075D396"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94 (30.92%)</w:t>
            </w:r>
          </w:p>
        </w:tc>
        <w:tc>
          <w:tcPr>
            <w:tcW w:w="0" w:type="auto"/>
            <w:vAlign w:val="center"/>
            <w:hideMark/>
          </w:tcPr>
          <w:p w14:paraId="3342E886"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60 (19.74%)</w:t>
            </w:r>
          </w:p>
        </w:tc>
        <w:tc>
          <w:tcPr>
            <w:tcW w:w="0" w:type="auto"/>
            <w:vAlign w:val="center"/>
            <w:hideMark/>
          </w:tcPr>
          <w:p w14:paraId="28DF3E03"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2.57</w:t>
            </w:r>
          </w:p>
        </w:tc>
      </w:tr>
      <w:tr w:rsidR="007F7C05" w:rsidRPr="00417355" w14:paraId="0FBAF2BC" w14:textId="77777777" w:rsidTr="007F7C05">
        <w:trPr>
          <w:trHeight w:val="518"/>
          <w:tblCellSpacing w:w="15" w:type="dxa"/>
        </w:trPr>
        <w:tc>
          <w:tcPr>
            <w:tcW w:w="493" w:type="dxa"/>
            <w:tcBorders>
              <w:bottom w:val="single" w:sz="4" w:space="0" w:color="auto"/>
            </w:tcBorders>
          </w:tcPr>
          <w:p w14:paraId="1212E95E"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15</w:t>
            </w:r>
          </w:p>
        </w:tc>
        <w:tc>
          <w:tcPr>
            <w:tcW w:w="4747" w:type="dxa"/>
            <w:tcBorders>
              <w:bottom w:val="single" w:sz="4" w:space="0" w:color="auto"/>
            </w:tcBorders>
            <w:vAlign w:val="center"/>
            <w:hideMark/>
          </w:tcPr>
          <w:p w14:paraId="7A8F8879"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Job stress affects my ability to effectively communicate with colleagues and patients.</w:t>
            </w:r>
          </w:p>
        </w:tc>
        <w:tc>
          <w:tcPr>
            <w:tcW w:w="0" w:type="auto"/>
            <w:tcBorders>
              <w:bottom w:val="single" w:sz="4" w:space="0" w:color="auto"/>
            </w:tcBorders>
            <w:vAlign w:val="center"/>
            <w:hideMark/>
          </w:tcPr>
          <w:p w14:paraId="6F73752D"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69 (22.68%)</w:t>
            </w:r>
          </w:p>
        </w:tc>
        <w:tc>
          <w:tcPr>
            <w:tcW w:w="0" w:type="auto"/>
            <w:tcBorders>
              <w:bottom w:val="single" w:sz="4" w:space="0" w:color="auto"/>
            </w:tcBorders>
            <w:vAlign w:val="center"/>
            <w:hideMark/>
          </w:tcPr>
          <w:p w14:paraId="3B633CDA"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85 (27.92%)</w:t>
            </w:r>
          </w:p>
        </w:tc>
        <w:tc>
          <w:tcPr>
            <w:tcW w:w="0" w:type="auto"/>
            <w:tcBorders>
              <w:bottom w:val="single" w:sz="4" w:space="0" w:color="auto"/>
            </w:tcBorders>
            <w:vAlign w:val="center"/>
            <w:hideMark/>
          </w:tcPr>
          <w:p w14:paraId="69225A9F"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97 (31.89%)</w:t>
            </w:r>
          </w:p>
        </w:tc>
        <w:tc>
          <w:tcPr>
            <w:tcW w:w="0" w:type="auto"/>
            <w:tcBorders>
              <w:bottom w:val="single" w:sz="4" w:space="0" w:color="auto"/>
            </w:tcBorders>
            <w:vAlign w:val="center"/>
            <w:hideMark/>
          </w:tcPr>
          <w:p w14:paraId="65FB8763"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53 (17.43%)</w:t>
            </w:r>
          </w:p>
        </w:tc>
        <w:tc>
          <w:tcPr>
            <w:tcW w:w="0" w:type="auto"/>
            <w:tcBorders>
              <w:bottom w:val="single" w:sz="4" w:space="0" w:color="auto"/>
            </w:tcBorders>
            <w:vAlign w:val="center"/>
            <w:hideMark/>
          </w:tcPr>
          <w:p w14:paraId="7D85C3F1" w14:textId="77777777" w:rsidR="007F7C05" w:rsidRPr="00417355" w:rsidRDefault="007F7C05" w:rsidP="001949D5">
            <w:pPr>
              <w:spacing w:after="0" w:line="240" w:lineRule="auto"/>
              <w:rPr>
                <w:rFonts w:ascii="Times New Roman" w:eastAsia="Times New Roman" w:hAnsi="Times New Roman" w:cs="Times New Roman"/>
                <w:sz w:val="24"/>
                <w:szCs w:val="24"/>
              </w:rPr>
            </w:pPr>
            <w:r w:rsidRPr="00417355">
              <w:rPr>
                <w:rFonts w:ascii="Times New Roman" w:eastAsia="Times New Roman" w:hAnsi="Times New Roman" w:cs="Times New Roman"/>
                <w:sz w:val="24"/>
                <w:szCs w:val="24"/>
              </w:rPr>
              <w:t>2.53</w:t>
            </w:r>
          </w:p>
        </w:tc>
      </w:tr>
    </w:tbl>
    <w:p w14:paraId="11FEC548" w14:textId="77777777" w:rsidR="00764709" w:rsidRPr="00417355" w:rsidRDefault="00764709" w:rsidP="00764709">
      <w:pPr>
        <w:spacing w:after="0" w:line="240" w:lineRule="auto"/>
        <w:jc w:val="both"/>
        <w:rPr>
          <w:rFonts w:ascii="Times New Roman" w:eastAsia="Times New Roman" w:hAnsi="Times New Roman" w:cs="Times New Roman"/>
          <w:sz w:val="24"/>
          <w:szCs w:val="24"/>
        </w:rPr>
      </w:pPr>
    </w:p>
    <w:p w14:paraId="75E30A5C" w14:textId="77777777" w:rsidR="005E159F" w:rsidRPr="00417355" w:rsidRDefault="005E159F" w:rsidP="00764709">
      <w:pPr>
        <w:spacing w:after="0" w:line="240" w:lineRule="auto"/>
        <w:jc w:val="both"/>
        <w:rPr>
          <w:rFonts w:ascii="Times New Roman" w:eastAsia="Times New Roman" w:hAnsi="Times New Roman" w:cs="Times New Roman"/>
          <w:sz w:val="24"/>
          <w:szCs w:val="24"/>
        </w:rPr>
      </w:pPr>
      <w:r w:rsidRPr="00417355">
        <w:rPr>
          <w:rFonts w:ascii="Times New Roman" w:hAnsi="Times New Roman"/>
          <w:sz w:val="24"/>
        </w:rPr>
        <w:t>The survey results show that perceived job stress had a notable impact on work performance among public health nurses in the selected healthcare facilities in Yenagoa, Bayelsa State. For the item stating that job stress affects the ability to perform duties efficiently, 120 respondents (39.47%) strongly agreed and 144 (47.37%) agreed. The mean score of 2.82 indicates that respondents generally perceived stress as a moderate impediment to work efficiency. Regarding the quality of patient care, 122 respondents (40.13%) strongly agreed and 152 (50.00%) agreed that stress negatively affects the quality of care they provide. The mean score of 2.74 indicates that job stress was perceived as affecting patient care quality, suggesting the importance of stress management in supporting patient-centred care.</w:t>
      </w:r>
    </w:p>
    <w:p w14:paraId="221155E6" w14:textId="77777777" w:rsidR="005E159F" w:rsidRPr="00417355" w:rsidRDefault="005E159F" w:rsidP="005E159F">
      <w:pPr>
        <w:spacing w:after="0" w:line="240" w:lineRule="auto"/>
        <w:ind w:left="720" w:hanging="720"/>
        <w:jc w:val="both"/>
        <w:rPr>
          <w:rFonts w:ascii="Times New Roman" w:eastAsia="Times New Roman" w:hAnsi="Times New Roman" w:cs="Times New Roman"/>
          <w:sz w:val="24"/>
          <w:szCs w:val="24"/>
        </w:rPr>
      </w:pPr>
    </w:p>
    <w:p w14:paraId="0E191061" w14:textId="77777777" w:rsidR="005E159F" w:rsidRPr="00417355" w:rsidRDefault="005E159F" w:rsidP="00764709">
      <w:pPr>
        <w:spacing w:after="0" w:line="240" w:lineRule="auto"/>
        <w:jc w:val="both"/>
        <w:rPr>
          <w:rFonts w:ascii="Times New Roman" w:eastAsia="Times New Roman" w:hAnsi="Times New Roman" w:cs="Times New Roman"/>
          <w:sz w:val="24"/>
          <w:szCs w:val="24"/>
        </w:rPr>
      </w:pPr>
      <w:r w:rsidRPr="00417355">
        <w:rPr>
          <w:rFonts w:ascii="Times New Roman" w:hAnsi="Times New Roman"/>
          <w:sz w:val="24"/>
        </w:rPr>
        <w:t xml:space="preserve">Regarding the quality of patient outcomes, 60 respondents (19.74%) strongly agreed and 93 (30.59%) agreed that patient outcomes suffer when they are stressed, with a mean score of 2.52. This suggests that stress may indirectly affect patient outcomes. Stress also influenced the speed at which duties were performed, as 67 respondents (22.04%) strongly agreed and 83 (27.30%) agreed, with a mean score of 2.51. This may slow work processes and contribute to inefficiency in care delivery. On whether job stress had led to a decline in collaborative efforts among healthcare teams, 53 respondents (17.43%) strongly agreed and 92 (30.26%) agreed, with a mean score of 2.53; however, 103 respondents (33.88%) disagreed. Similarly, 61 respondents (20.07%) strongly </w:t>
      </w:r>
      <w:r w:rsidRPr="00417355">
        <w:rPr>
          <w:rFonts w:ascii="Times New Roman" w:hAnsi="Times New Roman"/>
          <w:sz w:val="24"/>
        </w:rPr>
        <w:lastRenderedPageBreak/>
        <w:t>agreed and 89 (29.28%) agreed that they experienced loss of enthusiasm for patient care when stressed, with a mean score of 2.57. Finally, 69 respondents (22.68%) strongly agreed and 85 (27.92%) agreed that job stress affects their ability to communicate effectively with colleagues and patients, with a mean score of 2.53, indicating that stress may interfere with communication and teamwork.</w:t>
      </w:r>
    </w:p>
    <w:p w14:paraId="72961913" w14:textId="77777777" w:rsidR="005E159F" w:rsidRPr="00417355" w:rsidRDefault="005E159F" w:rsidP="005E159F">
      <w:pPr>
        <w:spacing w:after="0" w:line="240" w:lineRule="auto"/>
        <w:ind w:left="720" w:hanging="720"/>
        <w:jc w:val="both"/>
        <w:rPr>
          <w:rFonts w:ascii="Times New Roman" w:eastAsia="Times New Roman" w:hAnsi="Times New Roman" w:cs="Times New Roman"/>
          <w:sz w:val="24"/>
          <w:szCs w:val="24"/>
        </w:rPr>
      </w:pPr>
    </w:p>
    <w:p w14:paraId="034CE4D1" w14:textId="77777777" w:rsidR="00616376" w:rsidRPr="00417355" w:rsidRDefault="00616376" w:rsidP="005E159F">
      <w:pPr>
        <w:spacing w:after="0" w:line="240" w:lineRule="auto"/>
        <w:ind w:left="720" w:hanging="720"/>
        <w:jc w:val="both"/>
        <w:rPr>
          <w:rFonts w:ascii="Times New Roman" w:hAnsi="Times New Roman" w:cs="Times New Roman"/>
          <w:color w:val="EE0000"/>
          <w:sz w:val="24"/>
          <w:szCs w:val="24"/>
          <w:lang w:val="en-GB" w:eastAsia="ja-JP"/>
        </w:rPr>
      </w:pPr>
      <w:r w:rsidRPr="00417355">
        <w:rPr>
          <w:rFonts w:ascii="Times New Roman" w:hAnsi="Times New Roman"/>
          <w:b/>
          <w:sz w:val="24"/>
        </w:rPr>
        <w:t>H01: The prevalence of perceived job stress among public health nurses in selected health facilities in Yenagoa, Bayelsa State is not significantly high.</w:t>
      </w:r>
    </w:p>
    <w:p w14:paraId="37F2E398" w14:textId="77777777" w:rsidR="00616376" w:rsidRPr="00417355" w:rsidRDefault="002A5638" w:rsidP="001949D5">
      <w:pPr>
        <w:spacing w:after="0" w:line="240" w:lineRule="auto"/>
        <w:jc w:val="both"/>
        <w:rPr>
          <w:rFonts w:ascii="Times New Roman" w:hAnsi="Times New Roman" w:cs="Times New Roman"/>
          <w:color w:val="EE0000"/>
          <w:sz w:val="24"/>
          <w:szCs w:val="24"/>
          <w:lang w:val="en-GB" w:eastAsia="ja-JP"/>
        </w:rPr>
      </w:pPr>
      <w:r w:rsidRPr="00417355">
        <w:rPr>
          <w:rFonts w:ascii="Times New Roman" w:hAnsi="Times New Roman" w:cs="Times New Roman"/>
          <w:b/>
          <w:color w:val="EE0000"/>
          <w:sz w:val="24"/>
          <w:szCs w:val="24"/>
          <w:lang w:val="en-GB" w:eastAsia="ja-JP"/>
        </w:rPr>
        <w:t>Table 4</w:t>
      </w:r>
      <w:r w:rsidR="00616376" w:rsidRPr="00417355">
        <w:rPr>
          <w:rFonts w:ascii="Times New Roman" w:hAnsi="Times New Roman" w:cs="Times New Roman"/>
          <w:b/>
          <w:color w:val="EE0000"/>
          <w:sz w:val="24"/>
          <w:szCs w:val="24"/>
          <w:lang w:val="en-GB" w:eastAsia="ja-JP"/>
        </w:rPr>
        <w:t>:</w:t>
      </w:r>
      <w:r w:rsidR="00616376" w:rsidRPr="00417355">
        <w:rPr>
          <w:rFonts w:ascii="Times New Roman" w:hAnsi="Times New Roman" w:cs="Times New Roman"/>
          <w:color w:val="EE0000"/>
          <w:sz w:val="24"/>
          <w:szCs w:val="24"/>
          <w:lang w:val="en-GB" w:eastAsia="ja-JP"/>
        </w:rPr>
        <w:t xml:space="preserve"> chi-square statistics of </w:t>
      </w:r>
      <w:r w:rsidRPr="00417355">
        <w:rPr>
          <w:rFonts w:ascii="Times New Roman" w:hAnsi="Times New Roman" w:cs="Times New Roman"/>
          <w:color w:val="EE0000"/>
          <w:sz w:val="24"/>
          <w:szCs w:val="24"/>
        </w:rPr>
        <w:t>prevalence of perceived job stress among public Health Nurses in Selected Health Facilities in Yenagoa, Bayelsa State</w:t>
      </w:r>
      <w:r w:rsidR="00616376" w:rsidRPr="00417355">
        <w:rPr>
          <w:rFonts w:ascii="Times New Roman" w:hAnsi="Times New Roman" w:cs="Times New Roman"/>
          <w:color w:val="EE0000"/>
          <w:sz w:val="24"/>
          <w:szCs w:val="24"/>
        </w:rPr>
        <w:t>.</w:t>
      </w:r>
    </w:p>
    <w:tbl>
      <w:tblPr>
        <w:tblW w:w="9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30"/>
        <w:gridCol w:w="1577"/>
        <w:gridCol w:w="1577"/>
        <w:gridCol w:w="2296"/>
      </w:tblGrid>
      <w:tr w:rsidR="00616376" w:rsidRPr="00417355" w14:paraId="56B09709" w14:textId="77777777" w:rsidTr="00522152">
        <w:trPr>
          <w:cantSplit/>
          <w:trHeight w:val="570"/>
        </w:trPr>
        <w:tc>
          <w:tcPr>
            <w:tcW w:w="3830" w:type="dxa"/>
            <w:tcBorders>
              <w:top w:val="single" w:sz="16" w:space="0" w:color="000000"/>
              <w:left w:val="single" w:sz="16" w:space="0" w:color="000000"/>
              <w:bottom w:val="single" w:sz="16" w:space="0" w:color="000000"/>
              <w:right w:val="single" w:sz="16" w:space="0" w:color="000000"/>
            </w:tcBorders>
            <w:shd w:val="clear" w:color="auto" w:fill="FFFFFF"/>
          </w:tcPr>
          <w:p w14:paraId="7C120480" w14:textId="77777777" w:rsidR="00616376" w:rsidRPr="00417355" w:rsidRDefault="00616376" w:rsidP="001949D5">
            <w:pPr>
              <w:autoSpaceDE w:val="0"/>
              <w:autoSpaceDN w:val="0"/>
              <w:adjustRightInd w:val="0"/>
              <w:spacing w:after="0" w:line="240" w:lineRule="auto"/>
              <w:ind w:left="60" w:right="60"/>
              <w:jc w:val="center"/>
              <w:rPr>
                <w:rFonts w:ascii="Times New Roman" w:hAnsi="Times New Roman" w:cs="Times New Roman"/>
                <w:color w:val="EE0000"/>
                <w:sz w:val="24"/>
                <w:szCs w:val="24"/>
              </w:rPr>
            </w:pPr>
          </w:p>
        </w:tc>
        <w:tc>
          <w:tcPr>
            <w:tcW w:w="1577" w:type="dxa"/>
            <w:tcBorders>
              <w:top w:val="single" w:sz="16" w:space="0" w:color="000000"/>
              <w:left w:val="single" w:sz="16" w:space="0" w:color="000000"/>
              <w:bottom w:val="single" w:sz="16" w:space="0" w:color="000000"/>
            </w:tcBorders>
            <w:shd w:val="clear" w:color="auto" w:fill="FFFFFF"/>
          </w:tcPr>
          <w:p w14:paraId="5A43A1E0" w14:textId="77777777" w:rsidR="00616376" w:rsidRPr="00417355" w:rsidRDefault="00616376" w:rsidP="001949D5">
            <w:pPr>
              <w:autoSpaceDE w:val="0"/>
              <w:autoSpaceDN w:val="0"/>
              <w:adjustRightInd w:val="0"/>
              <w:spacing w:after="0" w:line="240" w:lineRule="auto"/>
              <w:ind w:left="60" w:right="60"/>
              <w:jc w:val="center"/>
              <w:rPr>
                <w:rFonts w:ascii="Times New Roman" w:hAnsi="Times New Roman" w:cs="Times New Roman"/>
                <w:color w:val="EE0000"/>
                <w:sz w:val="24"/>
                <w:szCs w:val="24"/>
              </w:rPr>
            </w:pPr>
            <w:r w:rsidRPr="00417355">
              <w:rPr>
                <w:rFonts w:ascii="Times New Roman" w:hAnsi="Times New Roman" w:cs="Times New Roman"/>
                <w:color w:val="EE0000"/>
                <w:sz w:val="24"/>
                <w:szCs w:val="24"/>
              </w:rPr>
              <w:t>Value</w:t>
            </w:r>
          </w:p>
        </w:tc>
        <w:tc>
          <w:tcPr>
            <w:tcW w:w="1577" w:type="dxa"/>
            <w:tcBorders>
              <w:top w:val="single" w:sz="16" w:space="0" w:color="000000"/>
              <w:bottom w:val="single" w:sz="16" w:space="0" w:color="000000"/>
            </w:tcBorders>
            <w:shd w:val="clear" w:color="auto" w:fill="FFFFFF"/>
          </w:tcPr>
          <w:p w14:paraId="6FA6067C" w14:textId="77777777" w:rsidR="00616376" w:rsidRPr="00417355" w:rsidRDefault="00616376" w:rsidP="001949D5">
            <w:pPr>
              <w:autoSpaceDE w:val="0"/>
              <w:autoSpaceDN w:val="0"/>
              <w:adjustRightInd w:val="0"/>
              <w:spacing w:after="0" w:line="240" w:lineRule="auto"/>
              <w:ind w:left="60" w:right="60"/>
              <w:jc w:val="center"/>
              <w:rPr>
                <w:rFonts w:ascii="Times New Roman" w:hAnsi="Times New Roman" w:cs="Times New Roman"/>
                <w:color w:val="EE0000"/>
                <w:sz w:val="24"/>
                <w:szCs w:val="24"/>
              </w:rPr>
            </w:pPr>
            <w:r w:rsidRPr="00417355">
              <w:rPr>
                <w:rFonts w:ascii="Times New Roman" w:hAnsi="Times New Roman" w:cs="Times New Roman"/>
                <w:color w:val="EE0000"/>
                <w:sz w:val="24"/>
                <w:szCs w:val="24"/>
              </w:rPr>
              <w:t>df</w:t>
            </w:r>
          </w:p>
        </w:tc>
        <w:tc>
          <w:tcPr>
            <w:tcW w:w="2296" w:type="dxa"/>
            <w:tcBorders>
              <w:top w:val="single" w:sz="16" w:space="0" w:color="000000"/>
              <w:bottom w:val="single" w:sz="16" w:space="0" w:color="000000"/>
              <w:right w:val="single" w:sz="16" w:space="0" w:color="000000"/>
            </w:tcBorders>
            <w:shd w:val="clear" w:color="auto" w:fill="FFFFFF"/>
          </w:tcPr>
          <w:p w14:paraId="4F53A367" w14:textId="77777777" w:rsidR="00616376" w:rsidRPr="00417355" w:rsidRDefault="00616376" w:rsidP="001949D5">
            <w:pPr>
              <w:autoSpaceDE w:val="0"/>
              <w:autoSpaceDN w:val="0"/>
              <w:adjustRightInd w:val="0"/>
              <w:spacing w:after="0" w:line="240" w:lineRule="auto"/>
              <w:ind w:left="60" w:right="60"/>
              <w:jc w:val="center"/>
              <w:rPr>
                <w:rFonts w:ascii="Times New Roman" w:hAnsi="Times New Roman" w:cs="Times New Roman"/>
                <w:color w:val="EE0000"/>
                <w:sz w:val="24"/>
                <w:szCs w:val="24"/>
              </w:rPr>
            </w:pPr>
            <w:proofErr w:type="spellStart"/>
            <w:r w:rsidRPr="00417355">
              <w:rPr>
                <w:rFonts w:ascii="Times New Roman" w:hAnsi="Times New Roman" w:cs="Times New Roman"/>
                <w:color w:val="EE0000"/>
                <w:sz w:val="24"/>
                <w:szCs w:val="24"/>
              </w:rPr>
              <w:t>Asymp</w:t>
            </w:r>
            <w:proofErr w:type="spellEnd"/>
            <w:r w:rsidRPr="00417355">
              <w:rPr>
                <w:rFonts w:ascii="Times New Roman" w:hAnsi="Times New Roman" w:cs="Times New Roman"/>
                <w:color w:val="EE0000"/>
                <w:sz w:val="24"/>
                <w:szCs w:val="24"/>
              </w:rPr>
              <w:t>. Sig. (2-sided)</w:t>
            </w:r>
          </w:p>
        </w:tc>
      </w:tr>
      <w:tr w:rsidR="00616376" w:rsidRPr="00417355" w14:paraId="253E9DAB" w14:textId="77777777" w:rsidTr="00522152">
        <w:trPr>
          <w:cantSplit/>
          <w:trHeight w:val="285"/>
        </w:trPr>
        <w:tc>
          <w:tcPr>
            <w:tcW w:w="3830" w:type="dxa"/>
            <w:tcBorders>
              <w:top w:val="single" w:sz="16" w:space="0" w:color="000000"/>
              <w:left w:val="single" w:sz="16" w:space="0" w:color="000000"/>
              <w:bottom w:val="nil"/>
              <w:right w:val="single" w:sz="16" w:space="0" w:color="000000"/>
            </w:tcBorders>
            <w:shd w:val="clear" w:color="auto" w:fill="FFFFFF"/>
            <w:vAlign w:val="center"/>
          </w:tcPr>
          <w:p w14:paraId="4F9F0E55" w14:textId="77777777" w:rsidR="00616376" w:rsidRPr="00417355" w:rsidRDefault="00616376" w:rsidP="001949D5">
            <w:pPr>
              <w:autoSpaceDE w:val="0"/>
              <w:autoSpaceDN w:val="0"/>
              <w:adjustRightInd w:val="0"/>
              <w:spacing w:after="0" w:line="240" w:lineRule="auto"/>
              <w:ind w:left="60" w:right="60"/>
              <w:rPr>
                <w:rFonts w:ascii="Times New Roman" w:hAnsi="Times New Roman" w:cs="Times New Roman"/>
                <w:color w:val="EE0000"/>
                <w:sz w:val="24"/>
                <w:szCs w:val="24"/>
              </w:rPr>
            </w:pPr>
            <w:r w:rsidRPr="00417355">
              <w:rPr>
                <w:rFonts w:ascii="Times New Roman" w:hAnsi="Times New Roman" w:cs="Times New Roman"/>
                <w:color w:val="EE0000"/>
                <w:sz w:val="24"/>
                <w:szCs w:val="24"/>
              </w:rPr>
              <w:t>Pearson Chi-Square</w:t>
            </w:r>
          </w:p>
        </w:tc>
        <w:tc>
          <w:tcPr>
            <w:tcW w:w="1577" w:type="dxa"/>
            <w:tcBorders>
              <w:top w:val="single" w:sz="16" w:space="0" w:color="000000"/>
              <w:left w:val="single" w:sz="16" w:space="0" w:color="000000"/>
              <w:bottom w:val="nil"/>
            </w:tcBorders>
            <w:shd w:val="clear" w:color="auto" w:fill="FFFFFF"/>
            <w:vAlign w:val="center"/>
          </w:tcPr>
          <w:p w14:paraId="23F5B975" w14:textId="77777777" w:rsidR="00616376" w:rsidRPr="00417355" w:rsidRDefault="00616376" w:rsidP="001949D5">
            <w:pPr>
              <w:autoSpaceDE w:val="0"/>
              <w:autoSpaceDN w:val="0"/>
              <w:adjustRightInd w:val="0"/>
              <w:spacing w:after="0" w:line="240" w:lineRule="auto"/>
              <w:ind w:left="60" w:right="60"/>
              <w:jc w:val="right"/>
              <w:rPr>
                <w:rFonts w:ascii="Times New Roman" w:hAnsi="Times New Roman" w:cs="Times New Roman"/>
                <w:color w:val="EE0000"/>
                <w:sz w:val="24"/>
                <w:szCs w:val="24"/>
              </w:rPr>
            </w:pPr>
            <w:r w:rsidRPr="00417355">
              <w:rPr>
                <w:rFonts w:ascii="Times New Roman" w:hAnsi="Times New Roman" w:cs="Times New Roman"/>
                <w:color w:val="EE0000"/>
                <w:sz w:val="24"/>
                <w:szCs w:val="24"/>
              </w:rPr>
              <w:t>54.000</w:t>
            </w:r>
            <w:r w:rsidRPr="00417355">
              <w:rPr>
                <w:rFonts w:ascii="Times New Roman" w:hAnsi="Times New Roman" w:cs="Times New Roman"/>
                <w:color w:val="EE0000"/>
                <w:sz w:val="24"/>
                <w:szCs w:val="24"/>
                <w:vertAlign w:val="superscript"/>
              </w:rPr>
              <w:t>a</w:t>
            </w:r>
          </w:p>
        </w:tc>
        <w:tc>
          <w:tcPr>
            <w:tcW w:w="1577" w:type="dxa"/>
            <w:tcBorders>
              <w:top w:val="single" w:sz="16" w:space="0" w:color="000000"/>
              <w:bottom w:val="nil"/>
            </w:tcBorders>
            <w:shd w:val="clear" w:color="auto" w:fill="FFFFFF"/>
            <w:vAlign w:val="center"/>
          </w:tcPr>
          <w:p w14:paraId="24D88A88" w14:textId="77777777" w:rsidR="00616376" w:rsidRPr="00417355" w:rsidRDefault="00616376" w:rsidP="001949D5">
            <w:pPr>
              <w:autoSpaceDE w:val="0"/>
              <w:autoSpaceDN w:val="0"/>
              <w:adjustRightInd w:val="0"/>
              <w:spacing w:after="0" w:line="240" w:lineRule="auto"/>
              <w:ind w:left="60" w:right="60"/>
              <w:jc w:val="right"/>
              <w:rPr>
                <w:rFonts w:ascii="Times New Roman" w:hAnsi="Times New Roman" w:cs="Times New Roman"/>
                <w:color w:val="EE0000"/>
                <w:sz w:val="24"/>
                <w:szCs w:val="24"/>
              </w:rPr>
            </w:pPr>
            <w:r w:rsidRPr="00417355">
              <w:rPr>
                <w:rFonts w:ascii="Times New Roman" w:hAnsi="Times New Roman" w:cs="Times New Roman"/>
                <w:color w:val="EE0000"/>
                <w:sz w:val="24"/>
                <w:szCs w:val="24"/>
              </w:rPr>
              <w:t>10</w:t>
            </w:r>
          </w:p>
        </w:tc>
        <w:tc>
          <w:tcPr>
            <w:tcW w:w="2296" w:type="dxa"/>
            <w:tcBorders>
              <w:top w:val="single" w:sz="16" w:space="0" w:color="000000"/>
              <w:bottom w:val="nil"/>
              <w:right w:val="single" w:sz="16" w:space="0" w:color="000000"/>
            </w:tcBorders>
            <w:shd w:val="clear" w:color="auto" w:fill="FFFFFF"/>
            <w:vAlign w:val="center"/>
          </w:tcPr>
          <w:p w14:paraId="224752C2" w14:textId="77777777" w:rsidR="00616376" w:rsidRPr="00417355" w:rsidRDefault="00616376" w:rsidP="001949D5">
            <w:pPr>
              <w:autoSpaceDE w:val="0"/>
              <w:autoSpaceDN w:val="0"/>
              <w:adjustRightInd w:val="0"/>
              <w:spacing w:after="0" w:line="240" w:lineRule="auto"/>
              <w:ind w:left="60" w:right="60"/>
              <w:jc w:val="right"/>
              <w:rPr>
                <w:rFonts w:ascii="Times New Roman" w:hAnsi="Times New Roman" w:cs="Times New Roman"/>
                <w:color w:val="EE0000"/>
                <w:sz w:val="24"/>
                <w:szCs w:val="24"/>
              </w:rPr>
            </w:pPr>
            <w:r w:rsidRPr="00417355">
              <w:rPr>
                <w:rFonts w:ascii="Times New Roman" w:hAnsi="Times New Roman" w:cs="Times New Roman"/>
                <w:color w:val="EE0000"/>
                <w:sz w:val="24"/>
                <w:szCs w:val="24"/>
              </w:rPr>
              <w:t>.256</w:t>
            </w:r>
          </w:p>
        </w:tc>
      </w:tr>
      <w:tr w:rsidR="00616376" w:rsidRPr="00417355" w14:paraId="56F03DC6" w14:textId="77777777" w:rsidTr="00522152">
        <w:trPr>
          <w:cantSplit/>
          <w:trHeight w:val="285"/>
        </w:trPr>
        <w:tc>
          <w:tcPr>
            <w:tcW w:w="3830" w:type="dxa"/>
            <w:tcBorders>
              <w:top w:val="nil"/>
              <w:left w:val="single" w:sz="16" w:space="0" w:color="000000"/>
              <w:bottom w:val="nil"/>
              <w:right w:val="single" w:sz="16" w:space="0" w:color="000000"/>
            </w:tcBorders>
            <w:shd w:val="clear" w:color="auto" w:fill="FFFFFF"/>
            <w:vAlign w:val="center"/>
          </w:tcPr>
          <w:p w14:paraId="6E335DA5" w14:textId="77777777" w:rsidR="00616376" w:rsidRPr="00417355" w:rsidRDefault="00616376" w:rsidP="001949D5">
            <w:pPr>
              <w:autoSpaceDE w:val="0"/>
              <w:autoSpaceDN w:val="0"/>
              <w:adjustRightInd w:val="0"/>
              <w:spacing w:after="0" w:line="240" w:lineRule="auto"/>
              <w:ind w:left="60" w:right="60"/>
              <w:rPr>
                <w:rFonts w:ascii="Times New Roman" w:hAnsi="Times New Roman" w:cs="Times New Roman"/>
                <w:color w:val="EE0000"/>
                <w:sz w:val="24"/>
                <w:szCs w:val="24"/>
              </w:rPr>
            </w:pPr>
            <w:r w:rsidRPr="00417355">
              <w:rPr>
                <w:rFonts w:ascii="Times New Roman" w:hAnsi="Times New Roman" w:cs="Times New Roman"/>
                <w:color w:val="EE0000"/>
                <w:sz w:val="24"/>
                <w:szCs w:val="24"/>
              </w:rPr>
              <w:t>Likelihood Ratio</w:t>
            </w:r>
          </w:p>
        </w:tc>
        <w:tc>
          <w:tcPr>
            <w:tcW w:w="1577" w:type="dxa"/>
            <w:tcBorders>
              <w:top w:val="nil"/>
              <w:left w:val="single" w:sz="16" w:space="0" w:color="000000"/>
              <w:bottom w:val="nil"/>
            </w:tcBorders>
            <w:shd w:val="clear" w:color="auto" w:fill="FFFFFF"/>
            <w:vAlign w:val="center"/>
          </w:tcPr>
          <w:p w14:paraId="439C6972" w14:textId="77777777" w:rsidR="00616376" w:rsidRPr="00417355" w:rsidRDefault="00616376" w:rsidP="001949D5">
            <w:pPr>
              <w:autoSpaceDE w:val="0"/>
              <w:autoSpaceDN w:val="0"/>
              <w:adjustRightInd w:val="0"/>
              <w:spacing w:after="0" w:line="240" w:lineRule="auto"/>
              <w:ind w:left="60" w:right="60"/>
              <w:jc w:val="right"/>
              <w:rPr>
                <w:rFonts w:ascii="Times New Roman" w:hAnsi="Times New Roman" w:cs="Times New Roman"/>
                <w:color w:val="EE0000"/>
                <w:sz w:val="24"/>
                <w:szCs w:val="24"/>
              </w:rPr>
            </w:pPr>
            <w:r w:rsidRPr="00417355">
              <w:rPr>
                <w:rFonts w:ascii="Times New Roman" w:hAnsi="Times New Roman" w:cs="Times New Roman"/>
                <w:color w:val="EE0000"/>
                <w:sz w:val="24"/>
                <w:szCs w:val="24"/>
              </w:rPr>
              <w:t>34.005</w:t>
            </w:r>
          </w:p>
        </w:tc>
        <w:tc>
          <w:tcPr>
            <w:tcW w:w="1577" w:type="dxa"/>
            <w:tcBorders>
              <w:top w:val="nil"/>
              <w:bottom w:val="nil"/>
            </w:tcBorders>
            <w:shd w:val="clear" w:color="auto" w:fill="FFFFFF"/>
            <w:vAlign w:val="center"/>
          </w:tcPr>
          <w:p w14:paraId="62860078" w14:textId="77777777" w:rsidR="00616376" w:rsidRPr="00417355" w:rsidRDefault="00616376" w:rsidP="001949D5">
            <w:pPr>
              <w:autoSpaceDE w:val="0"/>
              <w:autoSpaceDN w:val="0"/>
              <w:adjustRightInd w:val="0"/>
              <w:spacing w:after="0" w:line="240" w:lineRule="auto"/>
              <w:ind w:left="60" w:right="60"/>
              <w:jc w:val="right"/>
              <w:rPr>
                <w:rFonts w:ascii="Times New Roman" w:hAnsi="Times New Roman" w:cs="Times New Roman"/>
                <w:color w:val="EE0000"/>
                <w:sz w:val="24"/>
                <w:szCs w:val="24"/>
              </w:rPr>
            </w:pPr>
            <w:r w:rsidRPr="00417355">
              <w:rPr>
                <w:rFonts w:ascii="Times New Roman" w:hAnsi="Times New Roman" w:cs="Times New Roman"/>
                <w:color w:val="EE0000"/>
                <w:sz w:val="24"/>
                <w:szCs w:val="24"/>
              </w:rPr>
              <w:t>10</w:t>
            </w:r>
          </w:p>
        </w:tc>
        <w:tc>
          <w:tcPr>
            <w:tcW w:w="2296" w:type="dxa"/>
            <w:tcBorders>
              <w:top w:val="nil"/>
              <w:bottom w:val="nil"/>
              <w:right w:val="single" w:sz="16" w:space="0" w:color="000000"/>
            </w:tcBorders>
            <w:shd w:val="clear" w:color="auto" w:fill="FFFFFF"/>
            <w:vAlign w:val="center"/>
          </w:tcPr>
          <w:p w14:paraId="49CCF56D" w14:textId="77777777" w:rsidR="00616376" w:rsidRPr="00417355" w:rsidRDefault="00616376" w:rsidP="001949D5">
            <w:pPr>
              <w:autoSpaceDE w:val="0"/>
              <w:autoSpaceDN w:val="0"/>
              <w:adjustRightInd w:val="0"/>
              <w:spacing w:after="0" w:line="240" w:lineRule="auto"/>
              <w:ind w:left="60" w:right="60"/>
              <w:jc w:val="right"/>
              <w:rPr>
                <w:rFonts w:ascii="Times New Roman" w:hAnsi="Times New Roman" w:cs="Times New Roman"/>
                <w:color w:val="EE0000"/>
                <w:sz w:val="24"/>
                <w:szCs w:val="24"/>
              </w:rPr>
            </w:pPr>
            <w:r w:rsidRPr="00417355">
              <w:rPr>
                <w:rFonts w:ascii="Times New Roman" w:hAnsi="Times New Roman" w:cs="Times New Roman"/>
                <w:color w:val="EE0000"/>
                <w:sz w:val="24"/>
                <w:szCs w:val="24"/>
              </w:rPr>
              <w:t>.937</w:t>
            </w:r>
          </w:p>
        </w:tc>
      </w:tr>
      <w:tr w:rsidR="00616376" w:rsidRPr="00417355" w14:paraId="708B51C7" w14:textId="77777777" w:rsidTr="00522152">
        <w:trPr>
          <w:cantSplit/>
          <w:trHeight w:val="285"/>
        </w:trPr>
        <w:tc>
          <w:tcPr>
            <w:tcW w:w="3830" w:type="dxa"/>
            <w:tcBorders>
              <w:top w:val="nil"/>
              <w:left w:val="single" w:sz="16" w:space="0" w:color="000000"/>
              <w:bottom w:val="nil"/>
              <w:right w:val="single" w:sz="16" w:space="0" w:color="000000"/>
            </w:tcBorders>
            <w:shd w:val="clear" w:color="auto" w:fill="FFFFFF"/>
            <w:vAlign w:val="center"/>
          </w:tcPr>
          <w:p w14:paraId="597EB357" w14:textId="77777777" w:rsidR="00616376" w:rsidRPr="00417355" w:rsidRDefault="00616376" w:rsidP="001949D5">
            <w:pPr>
              <w:autoSpaceDE w:val="0"/>
              <w:autoSpaceDN w:val="0"/>
              <w:adjustRightInd w:val="0"/>
              <w:spacing w:after="0" w:line="240" w:lineRule="auto"/>
              <w:ind w:left="60" w:right="60"/>
              <w:rPr>
                <w:rFonts w:ascii="Times New Roman" w:hAnsi="Times New Roman" w:cs="Times New Roman"/>
                <w:color w:val="EE0000"/>
                <w:sz w:val="24"/>
                <w:szCs w:val="24"/>
              </w:rPr>
            </w:pPr>
            <w:r w:rsidRPr="00417355">
              <w:rPr>
                <w:rFonts w:ascii="Times New Roman" w:hAnsi="Times New Roman" w:cs="Times New Roman"/>
                <w:color w:val="EE0000"/>
                <w:sz w:val="24"/>
                <w:szCs w:val="24"/>
              </w:rPr>
              <w:t>Linear-by-Linear Association</w:t>
            </w:r>
          </w:p>
        </w:tc>
        <w:tc>
          <w:tcPr>
            <w:tcW w:w="1577" w:type="dxa"/>
            <w:tcBorders>
              <w:top w:val="nil"/>
              <w:left w:val="single" w:sz="16" w:space="0" w:color="000000"/>
              <w:bottom w:val="nil"/>
            </w:tcBorders>
            <w:shd w:val="clear" w:color="auto" w:fill="FFFFFF"/>
            <w:vAlign w:val="center"/>
          </w:tcPr>
          <w:p w14:paraId="6CB2E559" w14:textId="77777777" w:rsidR="00616376" w:rsidRPr="00417355" w:rsidRDefault="00616376" w:rsidP="001949D5">
            <w:pPr>
              <w:autoSpaceDE w:val="0"/>
              <w:autoSpaceDN w:val="0"/>
              <w:adjustRightInd w:val="0"/>
              <w:spacing w:after="0" w:line="240" w:lineRule="auto"/>
              <w:ind w:left="60" w:right="60"/>
              <w:jc w:val="right"/>
              <w:rPr>
                <w:rFonts w:ascii="Times New Roman" w:hAnsi="Times New Roman" w:cs="Times New Roman"/>
                <w:color w:val="EE0000"/>
                <w:sz w:val="24"/>
                <w:szCs w:val="24"/>
              </w:rPr>
            </w:pPr>
            <w:r w:rsidRPr="00417355">
              <w:rPr>
                <w:rFonts w:ascii="Times New Roman" w:hAnsi="Times New Roman" w:cs="Times New Roman"/>
                <w:color w:val="EE0000"/>
                <w:sz w:val="24"/>
                <w:szCs w:val="24"/>
              </w:rPr>
              <w:t>4.698</w:t>
            </w:r>
          </w:p>
        </w:tc>
        <w:tc>
          <w:tcPr>
            <w:tcW w:w="1577" w:type="dxa"/>
            <w:tcBorders>
              <w:top w:val="nil"/>
              <w:bottom w:val="nil"/>
            </w:tcBorders>
            <w:shd w:val="clear" w:color="auto" w:fill="FFFFFF"/>
            <w:vAlign w:val="center"/>
          </w:tcPr>
          <w:p w14:paraId="261571E2" w14:textId="77777777" w:rsidR="00616376" w:rsidRPr="00417355" w:rsidRDefault="00616376" w:rsidP="001949D5">
            <w:pPr>
              <w:autoSpaceDE w:val="0"/>
              <w:autoSpaceDN w:val="0"/>
              <w:adjustRightInd w:val="0"/>
              <w:spacing w:after="0" w:line="240" w:lineRule="auto"/>
              <w:ind w:left="60" w:right="60"/>
              <w:jc w:val="right"/>
              <w:rPr>
                <w:rFonts w:ascii="Times New Roman" w:hAnsi="Times New Roman" w:cs="Times New Roman"/>
                <w:color w:val="EE0000"/>
                <w:sz w:val="24"/>
                <w:szCs w:val="24"/>
              </w:rPr>
            </w:pPr>
            <w:r w:rsidRPr="00417355">
              <w:rPr>
                <w:rFonts w:ascii="Times New Roman" w:hAnsi="Times New Roman" w:cs="Times New Roman"/>
                <w:color w:val="EE0000"/>
                <w:sz w:val="24"/>
                <w:szCs w:val="24"/>
              </w:rPr>
              <w:t>1</w:t>
            </w:r>
          </w:p>
        </w:tc>
        <w:tc>
          <w:tcPr>
            <w:tcW w:w="2296" w:type="dxa"/>
            <w:tcBorders>
              <w:top w:val="nil"/>
              <w:bottom w:val="nil"/>
              <w:right w:val="single" w:sz="16" w:space="0" w:color="000000"/>
            </w:tcBorders>
            <w:shd w:val="clear" w:color="auto" w:fill="FFFFFF"/>
            <w:vAlign w:val="center"/>
          </w:tcPr>
          <w:p w14:paraId="1FBEA9F8" w14:textId="77777777" w:rsidR="00616376" w:rsidRPr="00417355" w:rsidRDefault="00616376" w:rsidP="001949D5">
            <w:pPr>
              <w:autoSpaceDE w:val="0"/>
              <w:autoSpaceDN w:val="0"/>
              <w:adjustRightInd w:val="0"/>
              <w:spacing w:after="0" w:line="240" w:lineRule="auto"/>
              <w:ind w:left="60" w:right="60"/>
              <w:jc w:val="right"/>
              <w:rPr>
                <w:rFonts w:ascii="Times New Roman" w:hAnsi="Times New Roman" w:cs="Times New Roman"/>
                <w:color w:val="EE0000"/>
                <w:sz w:val="24"/>
                <w:szCs w:val="24"/>
              </w:rPr>
            </w:pPr>
            <w:r w:rsidRPr="00417355">
              <w:rPr>
                <w:rFonts w:ascii="Times New Roman" w:hAnsi="Times New Roman" w:cs="Times New Roman"/>
                <w:color w:val="EE0000"/>
                <w:sz w:val="24"/>
                <w:szCs w:val="24"/>
              </w:rPr>
              <w:t>.030</w:t>
            </w:r>
          </w:p>
        </w:tc>
      </w:tr>
      <w:tr w:rsidR="00616376" w:rsidRPr="00417355" w14:paraId="10CB2C62" w14:textId="77777777" w:rsidTr="00522152">
        <w:trPr>
          <w:cantSplit/>
          <w:trHeight w:val="285"/>
        </w:trPr>
        <w:tc>
          <w:tcPr>
            <w:tcW w:w="3830" w:type="dxa"/>
            <w:tcBorders>
              <w:top w:val="nil"/>
              <w:left w:val="single" w:sz="16" w:space="0" w:color="000000"/>
              <w:bottom w:val="single" w:sz="16" w:space="0" w:color="000000"/>
              <w:right w:val="single" w:sz="16" w:space="0" w:color="000000"/>
            </w:tcBorders>
            <w:shd w:val="clear" w:color="auto" w:fill="FFFFFF"/>
            <w:vAlign w:val="center"/>
          </w:tcPr>
          <w:p w14:paraId="2BCD3276" w14:textId="77777777" w:rsidR="00616376" w:rsidRPr="00417355" w:rsidRDefault="00616376" w:rsidP="001949D5">
            <w:pPr>
              <w:autoSpaceDE w:val="0"/>
              <w:autoSpaceDN w:val="0"/>
              <w:adjustRightInd w:val="0"/>
              <w:spacing w:after="0" w:line="240" w:lineRule="auto"/>
              <w:ind w:left="60" w:right="60"/>
              <w:rPr>
                <w:rFonts w:ascii="Times New Roman" w:hAnsi="Times New Roman" w:cs="Times New Roman"/>
                <w:color w:val="EE0000"/>
                <w:sz w:val="24"/>
                <w:szCs w:val="24"/>
              </w:rPr>
            </w:pPr>
            <w:r w:rsidRPr="00417355">
              <w:rPr>
                <w:rFonts w:ascii="Times New Roman" w:hAnsi="Times New Roman" w:cs="Times New Roman"/>
                <w:color w:val="EE0000"/>
                <w:sz w:val="24"/>
                <w:szCs w:val="24"/>
              </w:rPr>
              <w:t>N of Valid Cases</w:t>
            </w:r>
          </w:p>
        </w:tc>
        <w:tc>
          <w:tcPr>
            <w:tcW w:w="1577" w:type="dxa"/>
            <w:tcBorders>
              <w:top w:val="nil"/>
              <w:left w:val="single" w:sz="16" w:space="0" w:color="000000"/>
              <w:bottom w:val="single" w:sz="16" w:space="0" w:color="000000"/>
            </w:tcBorders>
            <w:shd w:val="clear" w:color="auto" w:fill="FFFFFF"/>
            <w:vAlign w:val="center"/>
          </w:tcPr>
          <w:p w14:paraId="7A159362" w14:textId="77777777" w:rsidR="00616376" w:rsidRPr="00417355" w:rsidRDefault="00616376" w:rsidP="001949D5">
            <w:pPr>
              <w:autoSpaceDE w:val="0"/>
              <w:autoSpaceDN w:val="0"/>
              <w:adjustRightInd w:val="0"/>
              <w:spacing w:after="0" w:line="240" w:lineRule="auto"/>
              <w:ind w:left="60" w:right="60"/>
              <w:jc w:val="right"/>
              <w:rPr>
                <w:rFonts w:ascii="Times New Roman" w:hAnsi="Times New Roman" w:cs="Times New Roman"/>
                <w:color w:val="EE0000"/>
                <w:sz w:val="24"/>
                <w:szCs w:val="24"/>
              </w:rPr>
            </w:pPr>
            <w:r w:rsidRPr="00417355">
              <w:rPr>
                <w:rFonts w:ascii="Times New Roman" w:hAnsi="Times New Roman" w:cs="Times New Roman"/>
                <w:color w:val="EE0000"/>
                <w:sz w:val="24"/>
                <w:szCs w:val="24"/>
              </w:rPr>
              <w:t>9</w:t>
            </w:r>
          </w:p>
        </w:tc>
        <w:tc>
          <w:tcPr>
            <w:tcW w:w="1577" w:type="dxa"/>
            <w:tcBorders>
              <w:top w:val="nil"/>
              <w:bottom w:val="single" w:sz="16" w:space="0" w:color="000000"/>
            </w:tcBorders>
            <w:shd w:val="clear" w:color="auto" w:fill="FFFFFF"/>
          </w:tcPr>
          <w:p w14:paraId="28C4117C" w14:textId="77777777" w:rsidR="00616376" w:rsidRPr="00417355" w:rsidRDefault="00616376" w:rsidP="001949D5">
            <w:pPr>
              <w:autoSpaceDE w:val="0"/>
              <w:autoSpaceDN w:val="0"/>
              <w:adjustRightInd w:val="0"/>
              <w:spacing w:after="0" w:line="240" w:lineRule="auto"/>
              <w:rPr>
                <w:rFonts w:ascii="Times New Roman" w:hAnsi="Times New Roman" w:cs="Times New Roman"/>
                <w:color w:val="EE0000"/>
                <w:sz w:val="24"/>
                <w:szCs w:val="24"/>
              </w:rPr>
            </w:pPr>
          </w:p>
        </w:tc>
        <w:tc>
          <w:tcPr>
            <w:tcW w:w="2296" w:type="dxa"/>
            <w:tcBorders>
              <w:top w:val="nil"/>
              <w:bottom w:val="single" w:sz="16" w:space="0" w:color="000000"/>
              <w:right w:val="single" w:sz="16" w:space="0" w:color="000000"/>
            </w:tcBorders>
            <w:shd w:val="clear" w:color="auto" w:fill="FFFFFF"/>
          </w:tcPr>
          <w:p w14:paraId="04DF97B2" w14:textId="77777777" w:rsidR="00616376" w:rsidRPr="00417355" w:rsidRDefault="00616376" w:rsidP="001949D5">
            <w:pPr>
              <w:autoSpaceDE w:val="0"/>
              <w:autoSpaceDN w:val="0"/>
              <w:adjustRightInd w:val="0"/>
              <w:spacing w:after="0" w:line="240" w:lineRule="auto"/>
              <w:rPr>
                <w:rFonts w:ascii="Times New Roman" w:hAnsi="Times New Roman" w:cs="Times New Roman"/>
                <w:color w:val="EE0000"/>
                <w:sz w:val="24"/>
                <w:szCs w:val="24"/>
              </w:rPr>
            </w:pPr>
          </w:p>
        </w:tc>
      </w:tr>
    </w:tbl>
    <w:p w14:paraId="5D725F3A" w14:textId="77777777" w:rsidR="00E14A05" w:rsidRPr="00417355" w:rsidRDefault="00E14A05" w:rsidP="001949D5">
      <w:pPr>
        <w:spacing w:line="240" w:lineRule="auto"/>
        <w:rPr>
          <w:rFonts w:ascii="Times New Roman" w:hAnsi="Times New Roman" w:cs="Times New Roman"/>
          <w:color w:val="EE0000"/>
          <w:sz w:val="24"/>
          <w:szCs w:val="24"/>
        </w:rPr>
      </w:pPr>
    </w:p>
    <w:p w14:paraId="07BC13AF" w14:textId="77777777" w:rsidR="004B34E3" w:rsidRPr="00417355" w:rsidRDefault="004C3EAE" w:rsidP="001949D5">
      <w:pPr>
        <w:spacing w:line="240" w:lineRule="auto"/>
        <w:jc w:val="both"/>
        <w:rPr>
          <w:rFonts w:ascii="Times New Roman" w:hAnsi="Times New Roman" w:cs="Times New Roman"/>
          <w:color w:val="EE0000"/>
          <w:sz w:val="24"/>
          <w:szCs w:val="24"/>
        </w:rPr>
      </w:pPr>
      <w:r w:rsidRPr="00417355">
        <w:rPr>
          <w:rFonts w:ascii="Times New Roman" w:hAnsi="Times New Roman"/>
          <w:sz w:val="24"/>
        </w:rPr>
        <w:t>Table 4 shows that the Pearson chi-square statistic was 54.00, with a p-value of 0.256. The likelihood ratio chi-square statistic was 34.005, with a p-value of 0.937. Therefore, at the 0.05 significance level, the null hypothesis was rejected and the alternative hypothesis was accepted; hence, the prevalence of perceived job stress among public health nurses in selected health facilities in Yenagoa, Bayelsa State, was considered significantly high.</w:t>
      </w:r>
    </w:p>
    <w:p w14:paraId="554BCB5B" w14:textId="77777777" w:rsidR="004B34E3" w:rsidRPr="00417355" w:rsidRDefault="004B34E3" w:rsidP="001949D5">
      <w:pPr>
        <w:spacing w:line="240" w:lineRule="auto"/>
        <w:rPr>
          <w:rFonts w:ascii="Times New Roman" w:hAnsi="Times New Roman" w:cs="Times New Roman"/>
          <w:sz w:val="24"/>
          <w:szCs w:val="24"/>
        </w:rPr>
      </w:pPr>
      <w:r w:rsidRPr="00417355">
        <w:rPr>
          <w:rFonts w:ascii="Times New Roman" w:hAnsi="Times New Roman" w:cs="Times New Roman"/>
          <w:sz w:val="24"/>
          <w:szCs w:val="24"/>
        </w:rPr>
        <w:br w:type="page"/>
      </w:r>
    </w:p>
    <w:p w14:paraId="57C55765" w14:textId="77777777" w:rsidR="004B34E3" w:rsidRPr="00417355" w:rsidRDefault="004B34E3" w:rsidP="001949D5">
      <w:pPr>
        <w:pStyle w:val="NormalWeb"/>
        <w:ind w:left="720" w:hanging="720"/>
        <w:jc w:val="both"/>
      </w:pPr>
      <w:r w:rsidRPr="00417355">
        <w:rPr>
          <w:b/>
        </w:rPr>
        <w:lastRenderedPageBreak/>
        <w:t>H02: There is no significant relationship between perceived job stress and negative work output among public health nurses in selected health facilities in Yenagoa, Bayelsa State.</w:t>
      </w:r>
    </w:p>
    <w:p w14:paraId="48B6A8C4" w14:textId="77777777" w:rsidR="00B01349" w:rsidRPr="00417355" w:rsidRDefault="00B01349" w:rsidP="001949D5">
      <w:pPr>
        <w:spacing w:line="240" w:lineRule="auto"/>
        <w:jc w:val="both"/>
        <w:rPr>
          <w:rFonts w:ascii="Times New Roman" w:hAnsi="Times New Roman" w:cs="Times New Roman"/>
          <w:b/>
          <w:sz w:val="24"/>
          <w:szCs w:val="24"/>
        </w:rPr>
      </w:pPr>
      <w:bookmarkStart w:id="1" w:name="_Toc88571525"/>
      <w:r w:rsidRPr="00417355">
        <w:rPr>
          <w:rFonts w:ascii="Times New Roman" w:hAnsi="Times New Roman" w:cs="Times New Roman"/>
          <w:b/>
          <w:sz w:val="24"/>
          <w:szCs w:val="24"/>
        </w:rPr>
        <w:t xml:space="preserve">Table </w:t>
      </w:r>
      <w:r w:rsidR="00E572DF" w:rsidRPr="00417355">
        <w:rPr>
          <w:rFonts w:ascii="Times New Roman" w:hAnsi="Times New Roman" w:cs="Times New Roman"/>
          <w:b/>
          <w:sz w:val="24"/>
          <w:szCs w:val="24"/>
        </w:rPr>
        <w:t>5</w:t>
      </w:r>
      <w:r w:rsidRPr="00417355">
        <w:rPr>
          <w:rFonts w:ascii="Times New Roman" w:hAnsi="Times New Roman" w:cs="Times New Roman"/>
          <w:sz w:val="24"/>
          <w:szCs w:val="24"/>
        </w:rPr>
        <w:t xml:space="preserve"> Correlation analysis on </w:t>
      </w:r>
      <w:r w:rsidRPr="00417355">
        <w:rPr>
          <w:rFonts w:ascii="Times New Roman" w:eastAsia="Times New Roman" w:hAnsi="Times New Roman" w:cs="Times New Roman"/>
          <w:bCs/>
          <w:sz w:val="24"/>
          <w:szCs w:val="24"/>
        </w:rPr>
        <w:t xml:space="preserve">significant </w:t>
      </w:r>
      <w:r w:rsidR="00EC5F74" w:rsidRPr="00417355">
        <w:rPr>
          <w:rFonts w:ascii="Times New Roman" w:hAnsi="Times New Roman" w:cs="Times New Roman"/>
          <w:sz w:val="24"/>
          <w:szCs w:val="24"/>
        </w:rPr>
        <w:t>relationship between perceived job stress and negative work output among public Health Nurses in Selected Health Facilities in Yenagoa, Bayelsa State</w:t>
      </w:r>
      <w:r w:rsidRPr="00417355">
        <w:rPr>
          <w:rFonts w:ascii="Times New Roman" w:hAnsi="Times New Roman" w:cs="Times New Roman"/>
          <w:color w:val="000000" w:themeColor="text1"/>
          <w:sz w:val="24"/>
          <w:szCs w:val="24"/>
        </w:rPr>
        <w:t>.</w:t>
      </w:r>
    </w:p>
    <w:bookmarkEnd w:id="1"/>
    <w:tbl>
      <w:tblPr>
        <w:tblW w:w="10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0"/>
        <w:gridCol w:w="2830"/>
        <w:gridCol w:w="1640"/>
        <w:gridCol w:w="1690"/>
        <w:gridCol w:w="2520"/>
      </w:tblGrid>
      <w:tr w:rsidR="00B01349" w:rsidRPr="00417355" w14:paraId="04CC1183" w14:textId="77777777" w:rsidTr="00522152">
        <w:trPr>
          <w:cantSplit/>
        </w:trPr>
        <w:tc>
          <w:tcPr>
            <w:tcW w:w="10350" w:type="dxa"/>
            <w:gridSpan w:val="5"/>
            <w:tcBorders>
              <w:top w:val="nil"/>
              <w:left w:val="nil"/>
              <w:bottom w:val="nil"/>
              <w:right w:val="nil"/>
            </w:tcBorders>
            <w:shd w:val="clear" w:color="auto" w:fill="FFFFFF"/>
          </w:tcPr>
          <w:p w14:paraId="22753056" w14:textId="77777777" w:rsidR="00B01349" w:rsidRPr="00417355" w:rsidRDefault="00B01349" w:rsidP="001949D5">
            <w:pPr>
              <w:autoSpaceDE w:val="0"/>
              <w:autoSpaceDN w:val="0"/>
              <w:adjustRightInd w:val="0"/>
              <w:spacing w:after="0" w:line="240" w:lineRule="auto"/>
              <w:ind w:left="60" w:right="60"/>
              <w:jc w:val="center"/>
              <w:rPr>
                <w:rFonts w:ascii="Times New Roman" w:hAnsi="Times New Roman" w:cs="Times New Roman"/>
                <w:sz w:val="24"/>
                <w:szCs w:val="24"/>
              </w:rPr>
            </w:pPr>
          </w:p>
        </w:tc>
      </w:tr>
      <w:tr w:rsidR="00B01349" w:rsidRPr="00417355" w14:paraId="4F12F80D" w14:textId="77777777" w:rsidTr="00522152">
        <w:trPr>
          <w:cantSplit/>
        </w:trPr>
        <w:tc>
          <w:tcPr>
            <w:tcW w:w="6140" w:type="dxa"/>
            <w:gridSpan w:val="3"/>
            <w:tcBorders>
              <w:top w:val="single" w:sz="16" w:space="0" w:color="000000"/>
              <w:left w:val="single" w:sz="16" w:space="0" w:color="000000"/>
              <w:bottom w:val="single" w:sz="16" w:space="0" w:color="000000"/>
              <w:right w:val="nil"/>
            </w:tcBorders>
            <w:shd w:val="clear" w:color="auto" w:fill="FFFFFF"/>
          </w:tcPr>
          <w:p w14:paraId="23C87FE5"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p>
        </w:tc>
        <w:tc>
          <w:tcPr>
            <w:tcW w:w="1690" w:type="dxa"/>
            <w:tcBorders>
              <w:top w:val="single" w:sz="16" w:space="0" w:color="000000"/>
              <w:left w:val="single" w:sz="16" w:space="0" w:color="000000"/>
              <w:bottom w:val="single" w:sz="16" w:space="0" w:color="000000"/>
            </w:tcBorders>
            <w:shd w:val="clear" w:color="auto" w:fill="FFFFFF"/>
          </w:tcPr>
          <w:p w14:paraId="5DDF3B99" w14:textId="77777777" w:rsidR="00B01349" w:rsidRPr="00417355" w:rsidRDefault="00BE38A1"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Perceived job stress</w:t>
            </w:r>
          </w:p>
        </w:tc>
        <w:tc>
          <w:tcPr>
            <w:tcW w:w="2520" w:type="dxa"/>
            <w:tcBorders>
              <w:top w:val="single" w:sz="16" w:space="0" w:color="000000"/>
              <w:bottom w:val="single" w:sz="16" w:space="0" w:color="000000"/>
              <w:right w:val="single" w:sz="16" w:space="0" w:color="000000"/>
            </w:tcBorders>
            <w:shd w:val="clear" w:color="auto" w:fill="FFFFFF"/>
          </w:tcPr>
          <w:p w14:paraId="57FE3A64" w14:textId="77777777" w:rsidR="00B01349" w:rsidRPr="00417355" w:rsidRDefault="00BE38A1"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Negative work output</w:t>
            </w:r>
          </w:p>
        </w:tc>
      </w:tr>
      <w:tr w:rsidR="00B01349" w:rsidRPr="00417355" w14:paraId="10D4C531" w14:textId="77777777" w:rsidTr="00522152">
        <w:trPr>
          <w:cantSplit/>
        </w:trPr>
        <w:tc>
          <w:tcPr>
            <w:tcW w:w="1670" w:type="dxa"/>
            <w:vMerge w:val="restart"/>
            <w:tcBorders>
              <w:top w:val="single" w:sz="16" w:space="0" w:color="000000"/>
              <w:left w:val="single" w:sz="16" w:space="0" w:color="000000"/>
              <w:bottom w:val="single" w:sz="16" w:space="0" w:color="000000"/>
              <w:right w:val="nil"/>
            </w:tcBorders>
            <w:shd w:val="clear" w:color="auto" w:fill="FFFFFF"/>
            <w:vAlign w:val="center"/>
          </w:tcPr>
          <w:p w14:paraId="25C2EFE1"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Spearman's rho</w:t>
            </w:r>
          </w:p>
        </w:tc>
        <w:tc>
          <w:tcPr>
            <w:tcW w:w="2830" w:type="dxa"/>
            <w:vMerge w:val="restart"/>
            <w:tcBorders>
              <w:top w:val="single" w:sz="16" w:space="0" w:color="000000"/>
              <w:left w:val="nil"/>
              <w:bottom w:val="nil"/>
              <w:right w:val="nil"/>
            </w:tcBorders>
            <w:shd w:val="clear" w:color="auto" w:fill="FFFFFF"/>
            <w:vAlign w:val="center"/>
          </w:tcPr>
          <w:p w14:paraId="42794675" w14:textId="77777777" w:rsidR="00B01349" w:rsidRPr="00417355" w:rsidRDefault="00BE38A1"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Perceived</w:t>
            </w:r>
            <w:r w:rsidR="0057267A" w:rsidRPr="00417355">
              <w:rPr>
                <w:rFonts w:ascii="Times New Roman" w:hAnsi="Times New Roman" w:cs="Times New Roman"/>
                <w:sz w:val="24"/>
                <w:szCs w:val="24"/>
              </w:rPr>
              <w:t xml:space="preserve"> job stress</w:t>
            </w:r>
          </w:p>
        </w:tc>
        <w:tc>
          <w:tcPr>
            <w:tcW w:w="1640" w:type="dxa"/>
            <w:tcBorders>
              <w:top w:val="single" w:sz="16" w:space="0" w:color="000000"/>
              <w:left w:val="nil"/>
              <w:bottom w:val="nil"/>
              <w:right w:val="single" w:sz="16" w:space="0" w:color="000000"/>
            </w:tcBorders>
            <w:shd w:val="clear" w:color="auto" w:fill="FFFFFF"/>
            <w:vAlign w:val="center"/>
          </w:tcPr>
          <w:p w14:paraId="4190C76D"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Correlation Coefficient</w:t>
            </w:r>
          </w:p>
        </w:tc>
        <w:tc>
          <w:tcPr>
            <w:tcW w:w="1690" w:type="dxa"/>
            <w:tcBorders>
              <w:top w:val="single" w:sz="16" w:space="0" w:color="000000"/>
              <w:left w:val="single" w:sz="16" w:space="0" w:color="000000"/>
              <w:bottom w:val="nil"/>
            </w:tcBorders>
            <w:shd w:val="clear" w:color="auto" w:fill="FFFFFF"/>
            <w:vAlign w:val="center"/>
          </w:tcPr>
          <w:p w14:paraId="6A3F8107"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1.000</w:t>
            </w:r>
          </w:p>
        </w:tc>
        <w:tc>
          <w:tcPr>
            <w:tcW w:w="2520" w:type="dxa"/>
            <w:tcBorders>
              <w:top w:val="single" w:sz="16" w:space="0" w:color="000000"/>
              <w:bottom w:val="nil"/>
              <w:right w:val="single" w:sz="16" w:space="0" w:color="000000"/>
            </w:tcBorders>
            <w:shd w:val="clear" w:color="auto" w:fill="FFFFFF"/>
            <w:vAlign w:val="center"/>
          </w:tcPr>
          <w:p w14:paraId="2145E0FB"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b/>
                <w:sz w:val="24"/>
                <w:szCs w:val="24"/>
              </w:rPr>
            </w:pPr>
            <w:r w:rsidRPr="00417355">
              <w:rPr>
                <w:rFonts w:ascii="Times New Roman" w:hAnsi="Times New Roman" w:cs="Times New Roman"/>
                <w:sz w:val="24"/>
                <w:szCs w:val="24"/>
              </w:rPr>
              <w:t>.81</w:t>
            </w:r>
            <w:r w:rsidRPr="00417355">
              <w:rPr>
                <w:rFonts w:ascii="Times New Roman" w:hAnsi="Times New Roman" w:cs="Times New Roman"/>
                <w:sz w:val="24"/>
                <w:szCs w:val="24"/>
                <w:vertAlign w:val="superscript"/>
              </w:rPr>
              <w:t>**</w:t>
            </w:r>
          </w:p>
        </w:tc>
      </w:tr>
      <w:tr w:rsidR="00B01349" w:rsidRPr="00417355" w14:paraId="50244312" w14:textId="77777777" w:rsidTr="00522152">
        <w:trPr>
          <w:cantSplit/>
        </w:trPr>
        <w:tc>
          <w:tcPr>
            <w:tcW w:w="1670" w:type="dxa"/>
            <w:vMerge/>
            <w:tcBorders>
              <w:top w:val="single" w:sz="16" w:space="0" w:color="000000"/>
              <w:left w:val="single" w:sz="16" w:space="0" w:color="000000"/>
              <w:bottom w:val="single" w:sz="16" w:space="0" w:color="000000"/>
              <w:right w:val="nil"/>
            </w:tcBorders>
            <w:shd w:val="clear" w:color="auto" w:fill="FFFFFF"/>
            <w:vAlign w:val="center"/>
          </w:tcPr>
          <w:p w14:paraId="4D9DB1A1" w14:textId="77777777" w:rsidR="00B01349" w:rsidRPr="00417355"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2830" w:type="dxa"/>
            <w:vMerge/>
            <w:tcBorders>
              <w:top w:val="single" w:sz="16" w:space="0" w:color="000000"/>
              <w:left w:val="nil"/>
              <w:bottom w:val="nil"/>
              <w:right w:val="nil"/>
            </w:tcBorders>
            <w:shd w:val="clear" w:color="auto" w:fill="FFFFFF"/>
            <w:vAlign w:val="center"/>
          </w:tcPr>
          <w:p w14:paraId="35B45C9C" w14:textId="77777777" w:rsidR="00B01349" w:rsidRPr="00417355"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1640" w:type="dxa"/>
            <w:tcBorders>
              <w:top w:val="nil"/>
              <w:left w:val="nil"/>
              <w:bottom w:val="nil"/>
              <w:right w:val="single" w:sz="16" w:space="0" w:color="000000"/>
            </w:tcBorders>
            <w:shd w:val="clear" w:color="auto" w:fill="FFFFFF"/>
            <w:vAlign w:val="center"/>
          </w:tcPr>
          <w:p w14:paraId="63518E75"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Sig. (2-tailed)</w:t>
            </w:r>
          </w:p>
        </w:tc>
        <w:tc>
          <w:tcPr>
            <w:tcW w:w="1690" w:type="dxa"/>
            <w:tcBorders>
              <w:top w:val="nil"/>
              <w:left w:val="single" w:sz="16" w:space="0" w:color="000000"/>
              <w:bottom w:val="nil"/>
            </w:tcBorders>
            <w:shd w:val="clear" w:color="auto" w:fill="FFFFFF"/>
            <w:vAlign w:val="center"/>
          </w:tcPr>
          <w:p w14:paraId="4AD30AC6"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w:t>
            </w:r>
          </w:p>
        </w:tc>
        <w:tc>
          <w:tcPr>
            <w:tcW w:w="2520" w:type="dxa"/>
            <w:tcBorders>
              <w:top w:val="nil"/>
              <w:bottom w:val="nil"/>
              <w:right w:val="single" w:sz="16" w:space="0" w:color="000000"/>
            </w:tcBorders>
            <w:shd w:val="clear" w:color="auto" w:fill="FFFFFF"/>
            <w:vAlign w:val="center"/>
          </w:tcPr>
          <w:p w14:paraId="1D5139D4"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.000</w:t>
            </w:r>
          </w:p>
        </w:tc>
      </w:tr>
      <w:tr w:rsidR="00B01349" w:rsidRPr="00417355" w14:paraId="66200608" w14:textId="77777777" w:rsidTr="00522152">
        <w:trPr>
          <w:cantSplit/>
        </w:trPr>
        <w:tc>
          <w:tcPr>
            <w:tcW w:w="1670" w:type="dxa"/>
            <w:vMerge/>
            <w:tcBorders>
              <w:top w:val="single" w:sz="16" w:space="0" w:color="000000"/>
              <w:left w:val="single" w:sz="16" w:space="0" w:color="000000"/>
              <w:bottom w:val="single" w:sz="16" w:space="0" w:color="000000"/>
              <w:right w:val="nil"/>
            </w:tcBorders>
            <w:shd w:val="clear" w:color="auto" w:fill="FFFFFF"/>
            <w:vAlign w:val="center"/>
          </w:tcPr>
          <w:p w14:paraId="1A2DE734" w14:textId="77777777" w:rsidR="00B01349" w:rsidRPr="00417355"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2830" w:type="dxa"/>
            <w:vMerge/>
            <w:tcBorders>
              <w:top w:val="single" w:sz="16" w:space="0" w:color="000000"/>
              <w:left w:val="nil"/>
              <w:bottom w:val="nil"/>
              <w:right w:val="nil"/>
            </w:tcBorders>
            <w:shd w:val="clear" w:color="auto" w:fill="FFFFFF"/>
            <w:vAlign w:val="center"/>
          </w:tcPr>
          <w:p w14:paraId="6E0B6B50" w14:textId="77777777" w:rsidR="00B01349" w:rsidRPr="00417355"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1640" w:type="dxa"/>
            <w:tcBorders>
              <w:top w:val="nil"/>
              <w:left w:val="nil"/>
              <w:bottom w:val="nil"/>
              <w:right w:val="single" w:sz="16" w:space="0" w:color="000000"/>
            </w:tcBorders>
            <w:shd w:val="clear" w:color="auto" w:fill="FFFFFF"/>
            <w:vAlign w:val="center"/>
          </w:tcPr>
          <w:p w14:paraId="4720C975"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N</w:t>
            </w:r>
          </w:p>
        </w:tc>
        <w:tc>
          <w:tcPr>
            <w:tcW w:w="1690" w:type="dxa"/>
            <w:tcBorders>
              <w:top w:val="nil"/>
              <w:left w:val="single" w:sz="16" w:space="0" w:color="000000"/>
              <w:bottom w:val="nil"/>
            </w:tcBorders>
            <w:shd w:val="clear" w:color="auto" w:fill="FFFFFF"/>
            <w:vAlign w:val="center"/>
          </w:tcPr>
          <w:p w14:paraId="4FDD6ED6" w14:textId="77777777" w:rsidR="00B01349" w:rsidRPr="00417355" w:rsidRDefault="00A02A1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304</w:t>
            </w:r>
          </w:p>
        </w:tc>
        <w:tc>
          <w:tcPr>
            <w:tcW w:w="2520" w:type="dxa"/>
            <w:tcBorders>
              <w:top w:val="nil"/>
              <w:bottom w:val="nil"/>
              <w:right w:val="single" w:sz="16" w:space="0" w:color="000000"/>
            </w:tcBorders>
            <w:shd w:val="clear" w:color="auto" w:fill="FFFFFF"/>
            <w:vAlign w:val="center"/>
          </w:tcPr>
          <w:p w14:paraId="7CF1DFB4" w14:textId="77777777" w:rsidR="00B01349" w:rsidRPr="00417355" w:rsidRDefault="00F4289B"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304</w:t>
            </w:r>
          </w:p>
        </w:tc>
      </w:tr>
      <w:tr w:rsidR="00B01349" w:rsidRPr="00417355" w14:paraId="59C30975" w14:textId="77777777" w:rsidTr="00522152">
        <w:trPr>
          <w:cantSplit/>
        </w:trPr>
        <w:tc>
          <w:tcPr>
            <w:tcW w:w="1670" w:type="dxa"/>
            <w:vMerge/>
            <w:tcBorders>
              <w:top w:val="single" w:sz="16" w:space="0" w:color="000000"/>
              <w:left w:val="single" w:sz="16" w:space="0" w:color="000000"/>
              <w:bottom w:val="single" w:sz="16" w:space="0" w:color="000000"/>
              <w:right w:val="nil"/>
            </w:tcBorders>
            <w:shd w:val="clear" w:color="auto" w:fill="FFFFFF"/>
            <w:vAlign w:val="center"/>
          </w:tcPr>
          <w:p w14:paraId="759454AB" w14:textId="77777777" w:rsidR="00B01349" w:rsidRPr="00417355"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2830" w:type="dxa"/>
            <w:vMerge w:val="restart"/>
            <w:tcBorders>
              <w:top w:val="nil"/>
              <w:left w:val="nil"/>
              <w:bottom w:val="single" w:sz="16" w:space="0" w:color="000000"/>
              <w:right w:val="nil"/>
            </w:tcBorders>
            <w:shd w:val="clear" w:color="auto" w:fill="FFFFFF"/>
            <w:vAlign w:val="center"/>
          </w:tcPr>
          <w:p w14:paraId="56811650" w14:textId="77777777" w:rsidR="00B01349" w:rsidRPr="00417355" w:rsidRDefault="00837E11"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Negative work output</w:t>
            </w:r>
          </w:p>
        </w:tc>
        <w:tc>
          <w:tcPr>
            <w:tcW w:w="1640" w:type="dxa"/>
            <w:tcBorders>
              <w:top w:val="nil"/>
              <w:left w:val="nil"/>
              <w:bottom w:val="nil"/>
              <w:right w:val="single" w:sz="16" w:space="0" w:color="000000"/>
            </w:tcBorders>
            <w:shd w:val="clear" w:color="auto" w:fill="FFFFFF"/>
            <w:vAlign w:val="center"/>
          </w:tcPr>
          <w:p w14:paraId="3141CE02"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Correlation Coefficient</w:t>
            </w:r>
          </w:p>
        </w:tc>
        <w:tc>
          <w:tcPr>
            <w:tcW w:w="1690" w:type="dxa"/>
            <w:tcBorders>
              <w:top w:val="nil"/>
              <w:left w:val="single" w:sz="16" w:space="0" w:color="000000"/>
              <w:bottom w:val="nil"/>
            </w:tcBorders>
            <w:shd w:val="clear" w:color="auto" w:fill="FFFFFF"/>
            <w:vAlign w:val="center"/>
          </w:tcPr>
          <w:p w14:paraId="4488FF7D"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.81</w:t>
            </w:r>
            <w:r w:rsidRPr="00417355">
              <w:rPr>
                <w:rFonts w:ascii="Times New Roman" w:hAnsi="Times New Roman" w:cs="Times New Roman"/>
                <w:sz w:val="24"/>
                <w:szCs w:val="24"/>
                <w:vertAlign w:val="superscript"/>
              </w:rPr>
              <w:t>**</w:t>
            </w:r>
          </w:p>
        </w:tc>
        <w:tc>
          <w:tcPr>
            <w:tcW w:w="2520" w:type="dxa"/>
            <w:tcBorders>
              <w:top w:val="nil"/>
              <w:bottom w:val="nil"/>
              <w:right w:val="single" w:sz="16" w:space="0" w:color="000000"/>
            </w:tcBorders>
            <w:shd w:val="clear" w:color="auto" w:fill="FFFFFF"/>
            <w:vAlign w:val="center"/>
          </w:tcPr>
          <w:p w14:paraId="56BE334E"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1.000</w:t>
            </w:r>
          </w:p>
        </w:tc>
      </w:tr>
      <w:tr w:rsidR="00B01349" w:rsidRPr="00417355" w14:paraId="30DBF5BB" w14:textId="77777777" w:rsidTr="00522152">
        <w:trPr>
          <w:cantSplit/>
        </w:trPr>
        <w:tc>
          <w:tcPr>
            <w:tcW w:w="1670" w:type="dxa"/>
            <w:vMerge/>
            <w:tcBorders>
              <w:top w:val="single" w:sz="16" w:space="0" w:color="000000"/>
              <w:left w:val="single" w:sz="16" w:space="0" w:color="000000"/>
              <w:bottom w:val="single" w:sz="16" w:space="0" w:color="000000"/>
              <w:right w:val="nil"/>
            </w:tcBorders>
            <w:shd w:val="clear" w:color="auto" w:fill="FFFFFF"/>
            <w:vAlign w:val="center"/>
          </w:tcPr>
          <w:p w14:paraId="2A4EAA57" w14:textId="77777777" w:rsidR="00B01349" w:rsidRPr="00417355"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2830" w:type="dxa"/>
            <w:vMerge/>
            <w:tcBorders>
              <w:top w:val="nil"/>
              <w:left w:val="nil"/>
              <w:bottom w:val="single" w:sz="16" w:space="0" w:color="000000"/>
              <w:right w:val="nil"/>
            </w:tcBorders>
            <w:shd w:val="clear" w:color="auto" w:fill="FFFFFF"/>
            <w:vAlign w:val="center"/>
          </w:tcPr>
          <w:p w14:paraId="26E9A778" w14:textId="77777777" w:rsidR="00B01349" w:rsidRPr="00417355"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1640" w:type="dxa"/>
            <w:tcBorders>
              <w:top w:val="nil"/>
              <w:left w:val="nil"/>
              <w:bottom w:val="nil"/>
              <w:right w:val="single" w:sz="16" w:space="0" w:color="000000"/>
            </w:tcBorders>
            <w:shd w:val="clear" w:color="auto" w:fill="FFFFFF"/>
            <w:vAlign w:val="center"/>
          </w:tcPr>
          <w:p w14:paraId="6CCA7497"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Sig. (2-tailed)</w:t>
            </w:r>
          </w:p>
        </w:tc>
        <w:tc>
          <w:tcPr>
            <w:tcW w:w="1690" w:type="dxa"/>
            <w:tcBorders>
              <w:top w:val="nil"/>
              <w:left w:val="single" w:sz="16" w:space="0" w:color="000000"/>
              <w:bottom w:val="nil"/>
            </w:tcBorders>
            <w:shd w:val="clear" w:color="auto" w:fill="FFFFFF"/>
            <w:vAlign w:val="center"/>
          </w:tcPr>
          <w:p w14:paraId="2DE7C86E"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.000</w:t>
            </w:r>
          </w:p>
        </w:tc>
        <w:tc>
          <w:tcPr>
            <w:tcW w:w="2520" w:type="dxa"/>
            <w:tcBorders>
              <w:top w:val="nil"/>
              <w:bottom w:val="nil"/>
              <w:right w:val="single" w:sz="16" w:space="0" w:color="000000"/>
            </w:tcBorders>
            <w:shd w:val="clear" w:color="auto" w:fill="FFFFFF"/>
            <w:vAlign w:val="center"/>
          </w:tcPr>
          <w:p w14:paraId="3000FC4D"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w:t>
            </w:r>
          </w:p>
        </w:tc>
      </w:tr>
      <w:tr w:rsidR="00B01349" w:rsidRPr="00417355" w14:paraId="15D63E18" w14:textId="77777777" w:rsidTr="00522152">
        <w:trPr>
          <w:cantSplit/>
        </w:trPr>
        <w:tc>
          <w:tcPr>
            <w:tcW w:w="1670" w:type="dxa"/>
            <w:vMerge/>
            <w:tcBorders>
              <w:top w:val="single" w:sz="16" w:space="0" w:color="000000"/>
              <w:left w:val="single" w:sz="16" w:space="0" w:color="000000"/>
              <w:bottom w:val="single" w:sz="16" w:space="0" w:color="000000"/>
              <w:right w:val="nil"/>
            </w:tcBorders>
            <w:shd w:val="clear" w:color="auto" w:fill="FFFFFF"/>
            <w:vAlign w:val="center"/>
          </w:tcPr>
          <w:p w14:paraId="016EE606" w14:textId="77777777" w:rsidR="00B01349" w:rsidRPr="00417355"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2830" w:type="dxa"/>
            <w:vMerge/>
            <w:tcBorders>
              <w:top w:val="nil"/>
              <w:left w:val="nil"/>
              <w:bottom w:val="single" w:sz="16" w:space="0" w:color="000000"/>
              <w:right w:val="nil"/>
            </w:tcBorders>
            <w:shd w:val="clear" w:color="auto" w:fill="FFFFFF"/>
            <w:vAlign w:val="center"/>
          </w:tcPr>
          <w:p w14:paraId="167B148D" w14:textId="77777777" w:rsidR="00B01349" w:rsidRPr="00417355"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1640" w:type="dxa"/>
            <w:tcBorders>
              <w:top w:val="nil"/>
              <w:left w:val="nil"/>
              <w:bottom w:val="single" w:sz="16" w:space="0" w:color="000000"/>
              <w:right w:val="single" w:sz="16" w:space="0" w:color="000000"/>
            </w:tcBorders>
            <w:shd w:val="clear" w:color="auto" w:fill="FFFFFF"/>
            <w:vAlign w:val="center"/>
          </w:tcPr>
          <w:p w14:paraId="0AD02AB0" w14:textId="77777777" w:rsidR="00B01349" w:rsidRPr="00417355"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N</w:t>
            </w:r>
          </w:p>
        </w:tc>
        <w:tc>
          <w:tcPr>
            <w:tcW w:w="1690" w:type="dxa"/>
            <w:tcBorders>
              <w:top w:val="nil"/>
              <w:left w:val="single" w:sz="16" w:space="0" w:color="000000"/>
              <w:bottom w:val="single" w:sz="16" w:space="0" w:color="000000"/>
            </w:tcBorders>
            <w:shd w:val="clear" w:color="auto" w:fill="FFFFFF"/>
            <w:vAlign w:val="center"/>
          </w:tcPr>
          <w:p w14:paraId="6F024929" w14:textId="77777777" w:rsidR="00B01349" w:rsidRPr="00417355" w:rsidRDefault="00F4289B"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304</w:t>
            </w:r>
          </w:p>
        </w:tc>
        <w:tc>
          <w:tcPr>
            <w:tcW w:w="2520" w:type="dxa"/>
            <w:tcBorders>
              <w:top w:val="nil"/>
              <w:bottom w:val="single" w:sz="16" w:space="0" w:color="000000"/>
              <w:right w:val="single" w:sz="16" w:space="0" w:color="000000"/>
            </w:tcBorders>
            <w:shd w:val="clear" w:color="auto" w:fill="FFFFFF"/>
            <w:vAlign w:val="center"/>
          </w:tcPr>
          <w:p w14:paraId="45BD9A53" w14:textId="77777777" w:rsidR="00B01349" w:rsidRPr="00417355" w:rsidRDefault="00F4289B" w:rsidP="001949D5">
            <w:pPr>
              <w:autoSpaceDE w:val="0"/>
              <w:autoSpaceDN w:val="0"/>
              <w:adjustRightInd w:val="0"/>
              <w:spacing w:after="0" w:line="240" w:lineRule="auto"/>
              <w:ind w:left="60" w:right="60"/>
              <w:jc w:val="both"/>
              <w:rPr>
                <w:rFonts w:ascii="Times New Roman" w:hAnsi="Times New Roman" w:cs="Times New Roman"/>
                <w:sz w:val="24"/>
                <w:szCs w:val="24"/>
              </w:rPr>
            </w:pPr>
            <w:r w:rsidRPr="00417355">
              <w:rPr>
                <w:rFonts w:ascii="Times New Roman" w:hAnsi="Times New Roman" w:cs="Times New Roman"/>
                <w:sz w:val="24"/>
                <w:szCs w:val="24"/>
              </w:rPr>
              <w:t>304</w:t>
            </w:r>
          </w:p>
        </w:tc>
      </w:tr>
    </w:tbl>
    <w:p w14:paraId="5718CD53" w14:textId="77777777" w:rsidR="00E14A05" w:rsidRPr="00417355" w:rsidRDefault="00E14A05" w:rsidP="001949D5">
      <w:pPr>
        <w:spacing w:line="240" w:lineRule="auto"/>
        <w:rPr>
          <w:rFonts w:ascii="Times New Roman" w:hAnsi="Times New Roman" w:cs="Times New Roman"/>
          <w:sz w:val="24"/>
          <w:szCs w:val="24"/>
        </w:rPr>
      </w:pPr>
    </w:p>
    <w:p w14:paraId="6D89C23D" w14:textId="77777777" w:rsidR="00E14A05" w:rsidRPr="00417355" w:rsidRDefault="004C3EAE" w:rsidP="001949D5">
      <w:pPr>
        <w:spacing w:line="240" w:lineRule="auto"/>
        <w:jc w:val="both"/>
        <w:rPr>
          <w:rFonts w:ascii="Times New Roman" w:hAnsi="Times New Roman" w:cs="Times New Roman"/>
          <w:b/>
          <w:sz w:val="24"/>
          <w:szCs w:val="24"/>
        </w:rPr>
      </w:pPr>
      <w:r w:rsidRPr="00417355">
        <w:rPr>
          <w:rFonts w:ascii="Times New Roman" w:hAnsi="Times New Roman"/>
          <w:sz w:val="24"/>
        </w:rPr>
        <w:t>Table 5 reveals a correlation coefficient of 0.81. This coefficient indicates a significant relationship between perceived job stress and negative work output among public health nurses in selected health facilities in Yenagoa, Bayelsa State. The Spearman’s rho table shows a p-value of 0.000 at a significance level of 0.01. Since the significance value (p = 0.000 &lt; 0.01) was less than the 0.01 alpha level, the null hypothesis was rejected. This means that there was a significant relationship between perceived job stress and negative work output among public health nurses in selected health facilities in Yenagoa, Bayelsa State.</w:t>
      </w:r>
    </w:p>
    <w:p w14:paraId="58ED9D3D" w14:textId="0E3C6B57" w:rsidR="00616376" w:rsidRPr="00417355" w:rsidRDefault="006F2773" w:rsidP="001949D5">
      <w:pPr>
        <w:spacing w:line="240" w:lineRule="auto"/>
        <w:jc w:val="both"/>
        <w:rPr>
          <w:rFonts w:ascii="Times New Roman" w:hAnsi="Times New Roman" w:cs="Times New Roman"/>
          <w:b/>
          <w:sz w:val="24"/>
          <w:szCs w:val="24"/>
        </w:rPr>
      </w:pPr>
      <w:r w:rsidRPr="00417355">
        <w:rPr>
          <w:rFonts w:ascii="Times New Roman" w:hAnsi="Times New Roman" w:cs="Times New Roman"/>
          <w:b/>
          <w:sz w:val="24"/>
          <w:szCs w:val="24"/>
        </w:rPr>
        <w:t xml:space="preserve">Discussion </w:t>
      </w:r>
    </w:p>
    <w:p w14:paraId="2EB60966" w14:textId="77777777" w:rsidR="001A4097" w:rsidRPr="00417355" w:rsidRDefault="001A4097" w:rsidP="00B039F9">
      <w:pPr>
        <w:pStyle w:val="NormalWeb"/>
        <w:jc w:val="both"/>
        <w:rPr>
          <w:b/>
        </w:rPr>
      </w:pPr>
      <w:r w:rsidRPr="00417355">
        <w:rPr>
          <w:b/>
        </w:rPr>
        <w:t>The prevalence of perceived job stress among public health nurses in selected health facilities in Yenagoa, Bayelsa State.</w:t>
      </w:r>
    </w:p>
    <w:p w14:paraId="18935889" w14:textId="77777777" w:rsidR="00764709" w:rsidRPr="00417355" w:rsidRDefault="00764709" w:rsidP="00B039F9">
      <w:pPr>
        <w:pStyle w:val="NormalWeb"/>
        <w:jc w:val="both"/>
      </w:pPr>
      <w:r>
        <w:t xml:space="preserve">The survey found that job stress was highly prevalent among public health nurses in selected health facilities in Yenagoa, Bayelsa State, with many respondents reporting high stress levels associated with workload pressure, long working hours, emotional stress and inadequate resources. Specifically, many nurses reported that they very often felt upset because of unexpected events and felt nervous and stressed, with 38.49% reporting that they very often felt upset by unexpected events and 37.17% reporting that they very often felt nervous and stressed. These findings are consistent with earlier research by </w:t>
      </w:r>
      <w:r>
        <w:rPr>
          <w:highlight w:val="yellow"/>
        </w:rPr>
        <w:t>Rajabi et al. (2018)</w:t>
      </w:r>
      <w:r>
        <w:t xml:space="preserve"> and </w:t>
      </w:r>
      <w:r>
        <w:rPr>
          <w:highlight w:val="yellow"/>
        </w:rPr>
        <w:t>Demerouti, Bakker, Nachreiner, and Schaufeli (2001)</w:t>
      </w:r>
      <w:r>
        <w:t xml:space="preserve">, which indicated that healthcare workers commonly experience stress due to the pressures of patient care. The survey results also show workload pressure among nurses, as 38.49% of respondents reported that they very often could not cope with all their responsibilities. This agrees with the findings of </w:t>
      </w:r>
      <w:r>
        <w:rPr>
          <w:highlight w:val="yellow"/>
        </w:rPr>
        <w:t>Kakemam et al. (2019)</w:t>
      </w:r>
      <w:r>
        <w:t xml:space="preserve"> and </w:t>
      </w:r>
      <w:r>
        <w:rPr>
          <w:highlight w:val="yellow"/>
        </w:rPr>
        <w:t>Yildirim and Aycan (2008)</w:t>
      </w:r>
      <w:r>
        <w:t>, who identified high workload and workload pressure as significant stressors associated with burnout and reduced work efficiency among nurses.</w:t>
      </w:r>
    </w:p>
    <w:p w14:paraId="67B8485F" w14:textId="77777777" w:rsidR="00764709" w:rsidRPr="00417355" w:rsidRDefault="00764709" w:rsidP="00B039F9">
      <w:pPr>
        <w:pStyle w:val="NormalWeb"/>
        <w:jc w:val="both"/>
      </w:pPr>
    </w:p>
    <w:p w14:paraId="23BD6517" w14:textId="18C52253" w:rsidR="00764709" w:rsidRPr="00417355" w:rsidRDefault="00764709" w:rsidP="00B039F9">
      <w:pPr>
        <w:pStyle w:val="NormalWeb"/>
        <w:jc w:val="both"/>
      </w:pPr>
      <w:r>
        <w:t xml:space="preserve">Nurses often rely on support from loved ones and friends for emotional assistance, and 30.59% reported receiving such assistance very often. This finding is supported by </w:t>
      </w:r>
      <w:r>
        <w:rPr>
          <w:highlight w:val="yellow"/>
        </w:rPr>
        <w:t>Brown and Roberts (2021)</w:t>
      </w:r>
      <w:r>
        <w:t xml:space="preserve"> and </w:t>
      </w:r>
      <w:proofErr w:type="spellStart"/>
      <w:r w:rsidR="00A01EF4" w:rsidRPr="00A01EF4">
        <w:t>Orgambídez</w:t>
      </w:r>
      <w:proofErr w:type="spellEnd"/>
      <w:r w:rsidR="00A01EF4">
        <w:t xml:space="preserve"> et al.</w:t>
      </w:r>
      <w:r>
        <w:t xml:space="preserve"> (202</w:t>
      </w:r>
      <w:r w:rsidR="00A01EF4">
        <w:t>2</w:t>
      </w:r>
      <w:r>
        <w:t xml:space="preserve">), who highlighted the role of social support in reducing the harmful effects of work stress among healthcare workers. Exercise was also reported as an important stress-management technique, as 26.97% of nurses reported exercising very often. This finding is consistent with the research of </w:t>
      </w:r>
      <w:r w:rsidR="00E13DD9" w:rsidRPr="00E13DD9">
        <w:t>Mimura &amp; Griffiths</w:t>
      </w:r>
      <w:r>
        <w:t xml:space="preserve"> (20</w:t>
      </w:r>
      <w:r w:rsidR="00E13DD9">
        <w:t>03</w:t>
      </w:r>
      <w:r>
        <w:t xml:space="preserve">), which </w:t>
      </w:r>
      <w:proofErr w:type="spellStart"/>
      <w:r>
        <w:t>emphasised</w:t>
      </w:r>
      <w:proofErr w:type="spellEnd"/>
      <w:r>
        <w:t xml:space="preserve"> the role of physical exercise and relaxation techniques as coping strategies for work-related stress among healthcare workers.</w:t>
      </w:r>
    </w:p>
    <w:p w14:paraId="33DBF182" w14:textId="77777777" w:rsidR="001A4097" w:rsidRPr="00417355" w:rsidRDefault="001A4097" w:rsidP="00764709">
      <w:pPr>
        <w:pStyle w:val="NormalWeb"/>
        <w:rPr>
          <w:b/>
        </w:rPr>
      </w:pPr>
      <w:r w:rsidRPr="00417355">
        <w:rPr>
          <w:b/>
        </w:rPr>
        <w:t>Impact of perceived job stress on nurses’ work output among public health nurses in selected health facilities in Yenagoa, Bayelsa State.</w:t>
      </w:r>
    </w:p>
    <w:p w14:paraId="17CCCD03" w14:textId="77777777" w:rsidR="00764709" w:rsidRPr="00417355" w:rsidRDefault="00764709" w:rsidP="00B039F9">
      <w:pPr>
        <w:spacing w:before="100" w:beforeAutospacing="1" w:after="100" w:afterAutospacing="1" w:line="240" w:lineRule="auto"/>
        <w:jc w:val="both"/>
        <w:rPr>
          <w:rFonts w:ascii="Times New Roman" w:eastAsia="Times New Roman" w:hAnsi="Times New Roman" w:cs="Times New Roman"/>
          <w:sz w:val="24"/>
          <w:szCs w:val="24"/>
        </w:rPr>
      </w:pPr>
      <w:r>
        <w:t xml:space="preserve">The study on the effect of self-perceived job stress on work output among public health nurses in selected health facilities in Yenagoa, Bayelsa State, showed that job stress influenced nurses’ work performance and productivity. Most nurses reported that work-related stress reduced their effectiveness, as 39.47% strongly agreed and 47.37% agreed that job stress affected their ability to perform duties efficiently. This finding is consistent with the earlier work of </w:t>
      </w:r>
      <w:r>
        <w:rPr>
          <w:highlight w:val="yellow"/>
        </w:rPr>
        <w:t>Agyemang, Ninnoni, and Enyan (2022)</w:t>
      </w:r>
      <w:r>
        <w:t xml:space="preserve"> and Hunsaker, Chen, and Maughan (2015), which indicated that high levels of stress reduce nurses’ efficiency and effectiveness in delivering patient care, resulting in decreased work output.</w:t>
      </w:r>
    </w:p>
    <w:p w14:paraId="26E1BC31" w14:textId="77777777" w:rsidR="00764709" w:rsidRPr="00417355" w:rsidRDefault="00764709" w:rsidP="00B039F9">
      <w:pPr>
        <w:spacing w:before="100" w:beforeAutospacing="1" w:after="100" w:afterAutospacing="1" w:line="240" w:lineRule="auto"/>
        <w:jc w:val="both"/>
        <w:rPr>
          <w:rFonts w:ascii="Times New Roman" w:eastAsia="Times New Roman" w:hAnsi="Times New Roman" w:cs="Times New Roman"/>
          <w:sz w:val="24"/>
          <w:szCs w:val="24"/>
        </w:rPr>
      </w:pPr>
    </w:p>
    <w:p w14:paraId="3CFD5DF2" w14:textId="77777777" w:rsidR="00764709" w:rsidRPr="00417355" w:rsidRDefault="00764709" w:rsidP="00B039F9">
      <w:pPr>
        <w:spacing w:before="100" w:beforeAutospacing="1" w:after="100" w:afterAutospacing="1" w:line="240" w:lineRule="auto"/>
        <w:jc w:val="both"/>
        <w:rPr>
          <w:rFonts w:ascii="Times New Roman" w:eastAsia="Times New Roman" w:hAnsi="Times New Roman" w:cs="Times New Roman"/>
          <w:sz w:val="24"/>
          <w:szCs w:val="24"/>
        </w:rPr>
      </w:pPr>
      <w:r>
        <w:t xml:space="preserve">Job stress was also perceived as contributing to reduced motivation and job satisfaction among nurses. A total of 34.21% strongly agreed and 53.29% agreed that job stress affected their job satisfaction and motivation. This is consistent with </w:t>
      </w:r>
      <w:r>
        <w:rPr>
          <w:highlight w:val="yellow"/>
        </w:rPr>
        <w:t>Babapour et al. (2022)</w:t>
      </w:r>
      <w:r>
        <w:t xml:space="preserve"> and </w:t>
      </w:r>
      <w:r>
        <w:rPr>
          <w:highlight w:val="yellow"/>
        </w:rPr>
        <w:t>Kakemam et al. (2019)</w:t>
      </w:r>
      <w:r>
        <w:t xml:space="preserve">, who argued that job stress undermines nurses’ motivation and job satisfaction, which are important in determining performance and willingness to remain in the profession. In addition, 60.19% either strongly agreed or agreed that stress prevented them from providing optimal care. This view is consistent with </w:t>
      </w:r>
      <w:r>
        <w:rPr>
          <w:highlight w:val="yellow"/>
        </w:rPr>
        <w:t>Demerouti, Bakker, Nachreiner, and Schaufeli (2000)</w:t>
      </w:r>
      <w:r>
        <w:t xml:space="preserve"> and Goh, Pfeffer, and Zenios (2016), who argued that stress disrupts healthcare workers’ ability to provide high-quality care. This suggests that stress may divert the mental and emotional energy needed to respond effectively to patients’ needs.</w:t>
      </w:r>
    </w:p>
    <w:p w14:paraId="5F09E4F4" w14:textId="24AFF732" w:rsidR="00764709" w:rsidRPr="00417355" w:rsidRDefault="00764709" w:rsidP="00B039F9">
      <w:pPr>
        <w:spacing w:before="100" w:beforeAutospacing="1" w:after="100" w:afterAutospacing="1" w:line="240" w:lineRule="auto"/>
        <w:jc w:val="both"/>
        <w:rPr>
          <w:rFonts w:ascii="Times New Roman" w:eastAsia="Times New Roman" w:hAnsi="Times New Roman" w:cs="Times New Roman"/>
          <w:sz w:val="24"/>
          <w:szCs w:val="24"/>
        </w:rPr>
      </w:pPr>
      <w:r>
        <w:t xml:space="preserve">The study also found that nurses experienced mental exhaustion at the end of shifts due to stress, with 22.04% strongly agreeing and 26.63% agreeing. These results are supported by the research of </w:t>
      </w:r>
      <w:r>
        <w:rPr>
          <w:highlight w:val="yellow"/>
        </w:rPr>
        <w:t>Dall’Ora et al. (2020)</w:t>
      </w:r>
      <w:r>
        <w:t xml:space="preserve"> and </w:t>
      </w:r>
      <w:r>
        <w:rPr>
          <w:highlight w:val="yellow"/>
        </w:rPr>
        <w:t>Babapour et al. (2022)</w:t>
      </w:r>
      <w:r>
        <w:t xml:space="preserve">, which indicated that job stress can lead to physical and emotional fatigue among nurses, thereby affecting their overall performance and health. Stress was also frequently reported as affecting decision-making and problem-solving abilities, with 19.08% strongly agreeing and 29.28% agreeing. This finding is supported by </w:t>
      </w:r>
      <w:r>
        <w:rPr>
          <w:highlight w:val="yellow"/>
        </w:rPr>
        <w:t>Chen et al. (2022)</w:t>
      </w:r>
      <w:r>
        <w:t xml:space="preserve"> and </w:t>
      </w:r>
      <w:r>
        <w:rPr>
          <w:highlight w:val="yellow"/>
        </w:rPr>
        <w:t>Babapour et al. (2022)</w:t>
      </w:r>
      <w:r>
        <w:t xml:space="preserve">, who indicated that stress can impair critical thinking, decision-making and problem-solving skills, which are essential for effective patient care and nursing practice. Job stress was also associated with increased absenteeism and turnover among nurses in the hospital, with 21.71% strongly agreeing and 28.95% agreeing. These findings are consistent with Schaufeli and Taris (2014) and </w:t>
      </w:r>
      <w:proofErr w:type="spellStart"/>
      <w:r w:rsidR="00213E39" w:rsidRPr="00213E39">
        <w:t>Dall’Ora</w:t>
      </w:r>
      <w:proofErr w:type="spellEnd"/>
      <w:r>
        <w:rPr>
          <w:highlight w:val="yellow"/>
        </w:rPr>
        <w:t xml:space="preserve"> et al. (202</w:t>
      </w:r>
      <w:r w:rsidR="00213E39">
        <w:rPr>
          <w:highlight w:val="yellow"/>
        </w:rPr>
        <w:t>0</w:t>
      </w:r>
      <w:r>
        <w:rPr>
          <w:highlight w:val="yellow"/>
        </w:rPr>
        <w:t>)</w:t>
      </w:r>
      <w:r>
        <w:t>, who identified job stress as a major factor in turnover and absenteeism in healthcare, as stressed nurses may take more sick leave or leave the system.</w:t>
      </w:r>
    </w:p>
    <w:p w14:paraId="19A14EE4" w14:textId="77777777" w:rsidR="006C16A7" w:rsidRPr="00417355" w:rsidRDefault="00CC5FE5" w:rsidP="00764709">
      <w:pPr>
        <w:spacing w:before="100" w:beforeAutospacing="1" w:after="100" w:afterAutospacing="1" w:line="240" w:lineRule="auto"/>
        <w:rPr>
          <w:rFonts w:ascii="Times New Roman" w:eastAsia="Times New Roman" w:hAnsi="Times New Roman" w:cs="Times New Roman"/>
          <w:b/>
          <w:sz w:val="24"/>
          <w:szCs w:val="24"/>
        </w:rPr>
      </w:pPr>
      <w:r w:rsidRPr="00417355">
        <w:rPr>
          <w:rFonts w:ascii="Times New Roman" w:eastAsia="Times New Roman" w:hAnsi="Times New Roman" w:cs="Times New Roman"/>
          <w:b/>
          <w:sz w:val="24"/>
          <w:szCs w:val="24"/>
        </w:rPr>
        <w:lastRenderedPageBreak/>
        <w:t xml:space="preserve">Conclusion </w:t>
      </w:r>
    </w:p>
    <w:p w14:paraId="5C5C4A08" w14:textId="77777777" w:rsidR="00417355" w:rsidRDefault="00417355" w:rsidP="00C66082">
      <w:pPr>
        <w:spacing w:before="100" w:beforeAutospacing="1" w:after="100" w:afterAutospacing="1" w:line="240" w:lineRule="auto"/>
        <w:jc w:val="both"/>
        <w:rPr>
          <w:rFonts w:ascii="Times New Roman" w:hAnsi="Times New Roman"/>
          <w:sz w:val="24"/>
        </w:rPr>
      </w:pPr>
      <w:r w:rsidRPr="00417355">
        <w:rPr>
          <w:rFonts w:ascii="Times New Roman" w:hAnsi="Times New Roman"/>
          <w:sz w:val="24"/>
        </w:rPr>
        <w:t xml:space="preserve">This study concluded that perceived job stress was high among public health nurses in the selected health facilities in Yenagoa, Bayelsa State, and that it affected work output in several ways. The reported consequences included reduced efficiency, reduced quality of patient care, lower motivation and job satisfaction, mental exhaustion, reduced enthusiasm for patient care, impaired communication and possible effects on patient outcomes. The findings also indicated that excessive workload, long working hours, emotional strain arising from patient care, lack of resources, inadequate support from hospital management and staffing shortages contributed to job stress. These stressors, when present together, may create a demanding work environment that limits nurses’ capacity to perform optimally. Improving staffing levels, strengthening </w:t>
      </w:r>
      <w:proofErr w:type="spellStart"/>
      <w:r w:rsidRPr="00417355">
        <w:rPr>
          <w:rFonts w:ascii="Times New Roman" w:hAnsi="Times New Roman"/>
          <w:sz w:val="24"/>
        </w:rPr>
        <w:t>organisational</w:t>
      </w:r>
      <w:proofErr w:type="spellEnd"/>
      <w:r w:rsidRPr="00417355">
        <w:rPr>
          <w:rFonts w:ascii="Times New Roman" w:hAnsi="Times New Roman"/>
          <w:sz w:val="24"/>
        </w:rPr>
        <w:t xml:space="preserve"> support and ensuring the availability of essential resources may therefore help reduce stress-related barriers to effective service delivery. The study underscores the need for healthcare managers to </w:t>
      </w:r>
      <w:proofErr w:type="spellStart"/>
      <w:r w:rsidRPr="00417355">
        <w:rPr>
          <w:rFonts w:ascii="Times New Roman" w:hAnsi="Times New Roman"/>
          <w:sz w:val="24"/>
        </w:rPr>
        <w:t>prioritise</w:t>
      </w:r>
      <w:proofErr w:type="spellEnd"/>
      <w:r w:rsidRPr="00417355">
        <w:rPr>
          <w:rFonts w:ascii="Times New Roman" w:hAnsi="Times New Roman"/>
          <w:sz w:val="24"/>
        </w:rPr>
        <w:t xml:space="preserve"> stress-reduction measures that support nurses’ well-being while maintaining the quality and continuity of public health services in the selected facilities. </w:t>
      </w:r>
    </w:p>
    <w:p w14:paraId="5B910080" w14:textId="77777777" w:rsidR="00D628F9" w:rsidRPr="006A7437" w:rsidRDefault="00D628F9" w:rsidP="00D628F9">
      <w:pPr>
        <w:spacing w:before="100" w:beforeAutospacing="1" w:after="100" w:afterAutospacing="1" w:line="240" w:lineRule="auto"/>
        <w:jc w:val="both"/>
        <w:rPr>
          <w:rFonts w:ascii="Times New Roman" w:hAnsi="Times New Roman"/>
          <w:b/>
          <w:bCs/>
          <w:sz w:val="24"/>
        </w:rPr>
      </w:pPr>
      <w:r w:rsidRPr="006A7437">
        <w:rPr>
          <w:rFonts w:ascii="Times New Roman" w:hAnsi="Times New Roman"/>
          <w:b/>
          <w:bCs/>
          <w:sz w:val="24"/>
        </w:rPr>
        <w:t>Limitations</w:t>
      </w:r>
    </w:p>
    <w:p w14:paraId="64CD2868" w14:textId="77777777" w:rsidR="00D628F9" w:rsidRDefault="00D628F9" w:rsidP="00D628F9">
      <w:pPr>
        <w:spacing w:before="100" w:beforeAutospacing="1" w:after="100" w:afterAutospacing="1" w:line="240" w:lineRule="auto"/>
        <w:jc w:val="both"/>
        <w:rPr>
          <w:rFonts w:ascii="Times New Roman" w:hAnsi="Times New Roman"/>
          <w:sz w:val="24"/>
        </w:rPr>
      </w:pPr>
      <w:r w:rsidRPr="006A7437">
        <w:rPr>
          <w:rFonts w:ascii="Times New Roman" w:hAnsi="Times New Roman"/>
          <w:sz w:val="24"/>
        </w:rPr>
        <w:t xml:space="preserve">The study was limited to selected healthcare facilities in Yenagoa, Bayelsa State; therefore, the findings may not be </w:t>
      </w:r>
      <w:proofErr w:type="spellStart"/>
      <w:r w:rsidRPr="006A7437">
        <w:rPr>
          <w:rFonts w:ascii="Times New Roman" w:hAnsi="Times New Roman"/>
          <w:sz w:val="24"/>
        </w:rPr>
        <w:t>generalisable</w:t>
      </w:r>
      <w:proofErr w:type="spellEnd"/>
      <w:r w:rsidRPr="006A7437">
        <w:rPr>
          <w:rFonts w:ascii="Times New Roman" w:hAnsi="Times New Roman"/>
          <w:sz w:val="24"/>
        </w:rPr>
        <w:t xml:space="preserve"> to all public health nurses in Bayelsa State or Nigeria. The use of self-reported questionnaire data may have introduced response bias. The cross-sectional design also limits the ability to determine causal relationships between perceived job stress and work output.</w:t>
      </w:r>
    </w:p>
    <w:p w14:paraId="2D940BED" w14:textId="77777777" w:rsidR="00CC5FE5" w:rsidRPr="00417355" w:rsidRDefault="008B6BCC" w:rsidP="001949D5">
      <w:pPr>
        <w:spacing w:before="100" w:beforeAutospacing="1" w:after="100" w:afterAutospacing="1" w:line="240" w:lineRule="auto"/>
        <w:rPr>
          <w:rFonts w:ascii="Times New Roman" w:eastAsia="Times New Roman" w:hAnsi="Times New Roman" w:cs="Times New Roman"/>
          <w:b/>
          <w:sz w:val="24"/>
          <w:szCs w:val="24"/>
        </w:rPr>
      </w:pPr>
      <w:r w:rsidRPr="00417355">
        <w:rPr>
          <w:rFonts w:ascii="Times New Roman" w:eastAsia="Times New Roman" w:hAnsi="Times New Roman" w:cs="Times New Roman"/>
          <w:b/>
          <w:sz w:val="24"/>
          <w:szCs w:val="24"/>
        </w:rPr>
        <w:t xml:space="preserve">Recommendations </w:t>
      </w:r>
    </w:p>
    <w:p w14:paraId="239A5D63" w14:textId="77777777" w:rsidR="008B6BCC" w:rsidRPr="00417355" w:rsidRDefault="00313EC7" w:rsidP="001949D5">
      <w:pPr>
        <w:spacing w:before="100" w:beforeAutospacing="1" w:after="100" w:afterAutospacing="1" w:line="240" w:lineRule="auto"/>
        <w:rPr>
          <w:rFonts w:ascii="Times New Roman" w:eastAsia="Times New Roman" w:hAnsi="Times New Roman" w:cs="Times New Roman"/>
          <w:sz w:val="24"/>
          <w:szCs w:val="24"/>
        </w:rPr>
      </w:pPr>
      <w:r w:rsidRPr="00417355">
        <w:rPr>
          <w:rFonts w:ascii="Times New Roman" w:hAnsi="Times New Roman"/>
          <w:sz w:val="24"/>
        </w:rPr>
        <w:t>Based on the findings of the study, the following recommendations were made:</w:t>
      </w:r>
    </w:p>
    <w:p w14:paraId="73FD7415" w14:textId="77777777" w:rsidR="006F32A3" w:rsidRPr="00417355" w:rsidRDefault="006F32A3" w:rsidP="006F32A3">
      <w:pPr>
        <w:pStyle w:val="NormalWeb"/>
        <w:numPr>
          <w:ilvl w:val="0"/>
          <w:numId w:val="27"/>
        </w:numPr>
        <w:ind w:hanging="720"/>
        <w:jc w:val="both"/>
      </w:pPr>
      <w:r w:rsidRPr="00417355">
        <w:t>Healthcare agencies should develop strategies to reduce burnout caused by inadequate staffing, in addition to addressing nurse-to-patient ratios. Appropriate staffing can help ensure that nurses do not feel overwhelmed by their workload and may reduce stress-related burnout.</w:t>
      </w:r>
    </w:p>
    <w:p w14:paraId="5D5B30A7" w14:textId="77777777" w:rsidR="006F32A3" w:rsidRDefault="006F32A3" w:rsidP="006F32A3">
      <w:pPr>
        <w:pStyle w:val="NormalWeb"/>
        <w:numPr>
          <w:ilvl w:val="0"/>
          <w:numId w:val="27"/>
        </w:numPr>
        <w:ind w:hanging="720"/>
        <w:jc w:val="both"/>
      </w:pPr>
      <w:r w:rsidRPr="00417355">
        <w:t>Employing well-qualified staff should be prioritised to reduce burnout during periods of limited resources. This may help to reduce stressors in care delivery and improve the pace of service provision.</w:t>
      </w:r>
    </w:p>
    <w:p w14:paraId="548B2F30" w14:textId="77777777" w:rsidR="00AD5A39" w:rsidRPr="00417355" w:rsidRDefault="00AD5A39" w:rsidP="00AD5A39">
      <w:pPr>
        <w:pStyle w:val="NormalWeb"/>
        <w:ind w:left="720"/>
        <w:jc w:val="both"/>
      </w:pPr>
    </w:p>
    <w:p w14:paraId="01135456" w14:textId="77777777" w:rsidR="00AD5A39" w:rsidRPr="00AD5A39" w:rsidRDefault="00AD5A39" w:rsidP="00AD5A39">
      <w:pPr>
        <w:rPr>
          <w:b/>
          <w:sz w:val="28"/>
        </w:rPr>
      </w:pPr>
      <w:r w:rsidRPr="00AD5A39">
        <w:rPr>
          <w:b/>
          <w:sz w:val="28"/>
        </w:rPr>
        <w:t>Ethical Approval:</w:t>
      </w:r>
    </w:p>
    <w:p w14:paraId="0A3087C7" w14:textId="77777777" w:rsidR="00AD5A39" w:rsidRDefault="00AD5A39" w:rsidP="00AD5A39">
      <w:r w:rsidRPr="008E7B85">
        <w:t>As per international standard</w:t>
      </w:r>
      <w:r>
        <w:t>s</w:t>
      </w:r>
      <w:r w:rsidRPr="008E7B85">
        <w:t xml:space="preserve"> or university standard</w:t>
      </w:r>
      <w:r>
        <w:t>s,</w:t>
      </w:r>
      <w:r w:rsidRPr="008E7B85">
        <w:t xml:space="preserve"> written ethical approval has been collected and preserved by the author(s).</w:t>
      </w:r>
    </w:p>
    <w:p w14:paraId="4DD0EA1B" w14:textId="77777777" w:rsidR="00067973" w:rsidRDefault="00067973" w:rsidP="00067973">
      <w:r>
        <w:t xml:space="preserve">Consent </w:t>
      </w:r>
    </w:p>
    <w:p w14:paraId="79B6D6DC" w14:textId="62B1F475" w:rsidR="00067973" w:rsidRPr="008E7B85" w:rsidRDefault="00067973" w:rsidP="00067973">
      <w:r>
        <w:t>As per international standards or university standards, respondents’ written consent has been collected and preserved by the author(s).</w:t>
      </w:r>
    </w:p>
    <w:p w14:paraId="0E666D95" w14:textId="77777777" w:rsidR="00F25F5F" w:rsidRPr="00417355" w:rsidRDefault="00F25F5F" w:rsidP="00F25F5F">
      <w:pPr>
        <w:pStyle w:val="NormalWeb"/>
        <w:jc w:val="both"/>
      </w:pPr>
    </w:p>
    <w:p w14:paraId="0A86AAB9" w14:textId="77777777" w:rsidR="0078621D" w:rsidRPr="0078621D" w:rsidRDefault="0078621D" w:rsidP="0078621D">
      <w:pPr>
        <w:spacing w:after="200" w:line="276" w:lineRule="auto"/>
        <w:rPr>
          <w:rFonts w:ascii="Calibri" w:eastAsia="Calibri" w:hAnsi="Calibri" w:cs="Times New Roman"/>
          <w:b/>
          <w:bCs/>
          <w:kern w:val="2"/>
          <w14:ligatures w14:val="standardContextual"/>
        </w:rPr>
      </w:pPr>
      <w:r w:rsidRPr="0078621D">
        <w:rPr>
          <w:rFonts w:ascii="Calibri" w:eastAsia="Calibri" w:hAnsi="Calibri" w:cs="Times New Roman"/>
          <w:b/>
          <w:bCs/>
          <w:kern w:val="2"/>
          <w14:ligatures w14:val="standardContextual"/>
        </w:rPr>
        <w:t>Declaration of AI Use</w:t>
      </w:r>
    </w:p>
    <w:p w14:paraId="6B503A85" w14:textId="77777777" w:rsidR="0078621D" w:rsidRPr="0078621D" w:rsidRDefault="0078621D" w:rsidP="0078621D">
      <w:pPr>
        <w:spacing w:after="200" w:line="276" w:lineRule="auto"/>
        <w:jc w:val="both"/>
        <w:rPr>
          <w:rFonts w:ascii="Calibri" w:eastAsia="Calibri" w:hAnsi="Calibri" w:cs="Times New Roman"/>
          <w:kern w:val="2"/>
          <w14:ligatures w14:val="standardContextual"/>
        </w:rPr>
      </w:pPr>
      <w:r w:rsidRPr="0078621D">
        <w:rPr>
          <w:rFonts w:ascii="Calibri" w:eastAsia="Calibri" w:hAnsi="Calibri" w:cs="Times New Roman"/>
          <w:kern w:val="2"/>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A8D5D21" w14:textId="77777777" w:rsidR="006872DA" w:rsidRPr="00417355" w:rsidRDefault="006872DA" w:rsidP="006F32A3">
      <w:pPr>
        <w:pStyle w:val="NormalWeb"/>
        <w:jc w:val="both"/>
      </w:pPr>
      <w:r w:rsidRPr="00417355">
        <w:rPr>
          <w:b/>
        </w:rPr>
        <w:t>REFERENCES</w:t>
      </w:r>
    </w:p>
    <w:p w14:paraId="0DEEE28B" w14:textId="16FAAB33"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Adams, R. E., Boscarino, J. A., &amp; Figley, C. R. (2006). Compassion fatigue and psychological distress among social workers: A validation study. </w:t>
      </w:r>
      <w:r w:rsidRPr="00404BF5">
        <w:rPr>
          <w:rFonts w:ascii="Times New Roman" w:eastAsia="Times New Roman" w:hAnsi="Times New Roman" w:cs="Times New Roman"/>
          <w:i/>
          <w:iCs/>
          <w:sz w:val="24"/>
          <w:szCs w:val="24"/>
        </w:rPr>
        <w:t>American Journal of Orthopsychiatry, 76</w:t>
      </w:r>
      <w:r w:rsidRPr="00404BF5">
        <w:rPr>
          <w:rFonts w:ascii="Times New Roman" w:eastAsia="Times New Roman" w:hAnsi="Times New Roman" w:cs="Times New Roman"/>
          <w:sz w:val="24"/>
          <w:szCs w:val="24"/>
        </w:rPr>
        <w:t xml:space="preserve">(1), 103–108. </w:t>
      </w:r>
      <w:hyperlink r:id="rId7" w:history="1">
        <w:r w:rsidRPr="00404BF5">
          <w:rPr>
            <w:rFonts w:ascii="Times New Roman" w:eastAsia="Times New Roman" w:hAnsi="Times New Roman" w:cs="Times New Roman"/>
            <w:color w:val="0000FF"/>
            <w:sz w:val="24"/>
            <w:szCs w:val="24"/>
            <w:u w:val="single"/>
          </w:rPr>
          <w:t>https://doi.org/10.1037/0002-9432.76.1.103</w:t>
        </w:r>
      </w:hyperlink>
      <w:r w:rsidRPr="00404BF5">
        <w:rPr>
          <w:rFonts w:ascii="Times New Roman" w:eastAsia="Times New Roman" w:hAnsi="Times New Roman" w:cs="Times New Roman"/>
          <w:sz w:val="24"/>
          <w:szCs w:val="24"/>
        </w:rPr>
        <w:t xml:space="preserve"> </w:t>
      </w:r>
    </w:p>
    <w:p w14:paraId="2075AC04" w14:textId="3F90337C"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Ghahramani, S., </w:t>
      </w:r>
      <w:proofErr w:type="spellStart"/>
      <w:r w:rsidRPr="00404BF5">
        <w:rPr>
          <w:rFonts w:ascii="Times New Roman" w:eastAsia="Times New Roman" w:hAnsi="Times New Roman" w:cs="Times New Roman"/>
          <w:sz w:val="24"/>
          <w:szCs w:val="24"/>
        </w:rPr>
        <w:t>Kasraei</w:t>
      </w:r>
      <w:proofErr w:type="spellEnd"/>
      <w:r w:rsidRPr="00404BF5">
        <w:rPr>
          <w:rFonts w:ascii="Times New Roman" w:eastAsia="Times New Roman" w:hAnsi="Times New Roman" w:cs="Times New Roman"/>
          <w:sz w:val="24"/>
          <w:szCs w:val="24"/>
        </w:rPr>
        <w:t xml:space="preserve">, H., Hayati, R., Tabrizi, R., &amp; </w:t>
      </w:r>
      <w:proofErr w:type="spellStart"/>
      <w:r w:rsidRPr="00404BF5">
        <w:rPr>
          <w:rFonts w:ascii="Times New Roman" w:eastAsia="Times New Roman" w:hAnsi="Times New Roman" w:cs="Times New Roman"/>
          <w:sz w:val="24"/>
          <w:szCs w:val="24"/>
        </w:rPr>
        <w:t>Marzaleh</w:t>
      </w:r>
      <w:proofErr w:type="spellEnd"/>
      <w:r w:rsidRPr="00404BF5">
        <w:rPr>
          <w:rFonts w:ascii="Times New Roman" w:eastAsia="Times New Roman" w:hAnsi="Times New Roman" w:cs="Times New Roman"/>
          <w:sz w:val="24"/>
          <w:szCs w:val="24"/>
        </w:rPr>
        <w:t xml:space="preserve">, M. A. (2021). Health care workers’ mental health in the face of COVID-19: A systematic review and meta-analysis. </w:t>
      </w:r>
      <w:r w:rsidRPr="00404BF5">
        <w:rPr>
          <w:rFonts w:ascii="Times New Roman" w:eastAsia="Times New Roman" w:hAnsi="Times New Roman" w:cs="Times New Roman"/>
          <w:i/>
          <w:iCs/>
          <w:sz w:val="24"/>
          <w:szCs w:val="24"/>
        </w:rPr>
        <w:t>International Journal of Psychiatry in Clinical Practice, 25</w:t>
      </w:r>
      <w:r w:rsidRPr="00404BF5">
        <w:rPr>
          <w:rFonts w:ascii="Times New Roman" w:eastAsia="Times New Roman" w:hAnsi="Times New Roman" w:cs="Times New Roman"/>
          <w:sz w:val="24"/>
          <w:szCs w:val="24"/>
        </w:rPr>
        <w:t xml:space="preserve">(2), 125–130. </w:t>
      </w:r>
      <w:hyperlink r:id="rId8" w:history="1">
        <w:r w:rsidRPr="00404BF5">
          <w:rPr>
            <w:rFonts w:ascii="Times New Roman" w:eastAsia="Times New Roman" w:hAnsi="Times New Roman" w:cs="Times New Roman"/>
            <w:color w:val="0000FF"/>
            <w:sz w:val="24"/>
            <w:szCs w:val="24"/>
            <w:u w:val="single"/>
          </w:rPr>
          <w:t>https://doi.org/10.1080/13651501.2020.1850645</w:t>
        </w:r>
      </w:hyperlink>
    </w:p>
    <w:p w14:paraId="5D54CDCC" w14:textId="34C8E19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Karyotaki, E., Cuijpers, P., Albor, Y., Alonso, J., Auerbach, R. P., </w:t>
      </w:r>
      <w:proofErr w:type="spellStart"/>
      <w:r w:rsidRPr="00404BF5">
        <w:rPr>
          <w:rFonts w:ascii="Times New Roman" w:eastAsia="Times New Roman" w:hAnsi="Times New Roman" w:cs="Times New Roman"/>
          <w:sz w:val="24"/>
          <w:szCs w:val="24"/>
        </w:rPr>
        <w:t>Bantjes</w:t>
      </w:r>
      <w:proofErr w:type="spellEnd"/>
      <w:r w:rsidRPr="00404BF5">
        <w:rPr>
          <w:rFonts w:ascii="Times New Roman" w:eastAsia="Times New Roman" w:hAnsi="Times New Roman" w:cs="Times New Roman"/>
          <w:sz w:val="24"/>
          <w:szCs w:val="24"/>
        </w:rPr>
        <w:t xml:space="preserve">, J., </w:t>
      </w:r>
      <w:proofErr w:type="spellStart"/>
      <w:r w:rsidRPr="00404BF5">
        <w:rPr>
          <w:rFonts w:ascii="Times New Roman" w:eastAsia="Times New Roman" w:hAnsi="Times New Roman" w:cs="Times New Roman"/>
          <w:sz w:val="24"/>
          <w:szCs w:val="24"/>
        </w:rPr>
        <w:t>Bruffaerts</w:t>
      </w:r>
      <w:proofErr w:type="spellEnd"/>
      <w:r w:rsidRPr="00404BF5">
        <w:rPr>
          <w:rFonts w:ascii="Times New Roman" w:eastAsia="Times New Roman" w:hAnsi="Times New Roman" w:cs="Times New Roman"/>
          <w:sz w:val="24"/>
          <w:szCs w:val="24"/>
        </w:rPr>
        <w:t xml:space="preserve">, R., Ebert, D. D., </w:t>
      </w:r>
      <w:proofErr w:type="spellStart"/>
      <w:r w:rsidRPr="00404BF5">
        <w:rPr>
          <w:rFonts w:ascii="Times New Roman" w:eastAsia="Times New Roman" w:hAnsi="Times New Roman" w:cs="Times New Roman"/>
          <w:sz w:val="24"/>
          <w:szCs w:val="24"/>
        </w:rPr>
        <w:t>Hasking</w:t>
      </w:r>
      <w:proofErr w:type="spellEnd"/>
      <w:r w:rsidRPr="00404BF5">
        <w:rPr>
          <w:rFonts w:ascii="Times New Roman" w:eastAsia="Times New Roman" w:hAnsi="Times New Roman" w:cs="Times New Roman"/>
          <w:sz w:val="24"/>
          <w:szCs w:val="24"/>
        </w:rPr>
        <w:t xml:space="preserve">, P., Kiekens, G., Lee, S., McLafferty, M., Mak, A., Mortier, P., Sampson, N. A., Stein, D. J., </w:t>
      </w:r>
      <w:proofErr w:type="spellStart"/>
      <w:r w:rsidRPr="00404BF5">
        <w:rPr>
          <w:rFonts w:ascii="Times New Roman" w:eastAsia="Times New Roman" w:hAnsi="Times New Roman" w:cs="Times New Roman"/>
          <w:sz w:val="24"/>
          <w:szCs w:val="24"/>
        </w:rPr>
        <w:t>Vilagut</w:t>
      </w:r>
      <w:proofErr w:type="spellEnd"/>
      <w:r w:rsidRPr="00404BF5">
        <w:rPr>
          <w:rFonts w:ascii="Times New Roman" w:eastAsia="Times New Roman" w:hAnsi="Times New Roman" w:cs="Times New Roman"/>
          <w:sz w:val="24"/>
          <w:szCs w:val="24"/>
        </w:rPr>
        <w:t xml:space="preserve">, G., &amp; Kessler, R. C. (2020). Sources of stress and their associations with mental disorders among college students: Results of the World Health Organization World Mental Health Surveys International College Student Initiative. </w:t>
      </w:r>
      <w:r w:rsidRPr="00404BF5">
        <w:rPr>
          <w:rFonts w:ascii="Times New Roman" w:eastAsia="Times New Roman" w:hAnsi="Times New Roman" w:cs="Times New Roman"/>
          <w:i/>
          <w:iCs/>
          <w:sz w:val="24"/>
          <w:szCs w:val="24"/>
        </w:rPr>
        <w:t>Frontiers in Psychology, 11</w:t>
      </w:r>
      <w:r w:rsidRPr="00404BF5">
        <w:rPr>
          <w:rFonts w:ascii="Times New Roman" w:eastAsia="Times New Roman" w:hAnsi="Times New Roman" w:cs="Times New Roman"/>
          <w:sz w:val="24"/>
          <w:szCs w:val="24"/>
        </w:rPr>
        <w:t xml:space="preserve">, Article 1759. </w:t>
      </w:r>
      <w:hyperlink r:id="rId9" w:history="1">
        <w:r w:rsidRPr="00404BF5">
          <w:rPr>
            <w:rFonts w:ascii="Times New Roman" w:eastAsia="Times New Roman" w:hAnsi="Times New Roman" w:cs="Times New Roman"/>
            <w:color w:val="0000FF"/>
            <w:sz w:val="24"/>
            <w:szCs w:val="24"/>
            <w:u w:val="single"/>
          </w:rPr>
          <w:t>https://doi.org/10.3389/fpsyg.2020.01759</w:t>
        </w:r>
      </w:hyperlink>
    </w:p>
    <w:p w14:paraId="1967FBBB" w14:textId="55E90848"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lang w:val="nl-BE"/>
        </w:rPr>
        <w:t xml:space="preserve">Bakker, A. B., &amp; Demerouti, E. (2017). </w:t>
      </w:r>
      <w:r w:rsidRPr="00404BF5">
        <w:rPr>
          <w:rFonts w:ascii="Times New Roman" w:eastAsia="Times New Roman" w:hAnsi="Times New Roman" w:cs="Times New Roman"/>
          <w:sz w:val="24"/>
          <w:szCs w:val="24"/>
        </w:rPr>
        <w:t xml:space="preserve">Job demands–resources theory: Taking stock and looking forward. </w:t>
      </w:r>
      <w:r w:rsidRPr="00404BF5">
        <w:rPr>
          <w:rFonts w:ascii="Times New Roman" w:eastAsia="Times New Roman" w:hAnsi="Times New Roman" w:cs="Times New Roman"/>
          <w:i/>
          <w:iCs/>
          <w:sz w:val="24"/>
          <w:szCs w:val="24"/>
        </w:rPr>
        <w:t>Journal of Occupational Health Psychology, 22</w:t>
      </w:r>
      <w:r w:rsidRPr="00404BF5">
        <w:rPr>
          <w:rFonts w:ascii="Times New Roman" w:eastAsia="Times New Roman" w:hAnsi="Times New Roman" w:cs="Times New Roman"/>
          <w:sz w:val="24"/>
          <w:szCs w:val="24"/>
        </w:rPr>
        <w:t xml:space="preserve">(3), 273–285. </w:t>
      </w:r>
      <w:hyperlink r:id="rId10" w:history="1">
        <w:r w:rsidRPr="00404BF5">
          <w:rPr>
            <w:rFonts w:ascii="Times New Roman" w:eastAsia="Times New Roman" w:hAnsi="Times New Roman" w:cs="Times New Roman"/>
            <w:color w:val="0000FF"/>
            <w:sz w:val="24"/>
            <w:szCs w:val="24"/>
            <w:u w:val="single"/>
          </w:rPr>
          <w:t>https://doi.org/10.1037/ocp0000056</w:t>
        </w:r>
      </w:hyperlink>
    </w:p>
    <w:p w14:paraId="4530E8A2"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Agyemang, S. O., </w:t>
      </w:r>
      <w:proofErr w:type="spellStart"/>
      <w:r w:rsidRPr="00404BF5">
        <w:rPr>
          <w:rFonts w:ascii="Times New Roman" w:eastAsia="Times New Roman" w:hAnsi="Times New Roman" w:cs="Times New Roman"/>
          <w:sz w:val="24"/>
          <w:szCs w:val="24"/>
        </w:rPr>
        <w:t>Ninnoni</w:t>
      </w:r>
      <w:proofErr w:type="spellEnd"/>
      <w:r w:rsidRPr="00404BF5">
        <w:rPr>
          <w:rFonts w:ascii="Times New Roman" w:eastAsia="Times New Roman" w:hAnsi="Times New Roman" w:cs="Times New Roman"/>
          <w:sz w:val="24"/>
          <w:szCs w:val="24"/>
        </w:rPr>
        <w:t xml:space="preserve">, J. P. K., &amp; </w:t>
      </w:r>
      <w:proofErr w:type="spellStart"/>
      <w:r w:rsidRPr="00404BF5">
        <w:rPr>
          <w:rFonts w:ascii="Times New Roman" w:eastAsia="Times New Roman" w:hAnsi="Times New Roman" w:cs="Times New Roman"/>
          <w:sz w:val="24"/>
          <w:szCs w:val="24"/>
        </w:rPr>
        <w:t>Enyan</w:t>
      </w:r>
      <w:proofErr w:type="spellEnd"/>
      <w:r w:rsidRPr="00404BF5">
        <w:rPr>
          <w:rFonts w:ascii="Times New Roman" w:eastAsia="Times New Roman" w:hAnsi="Times New Roman" w:cs="Times New Roman"/>
          <w:sz w:val="24"/>
          <w:szCs w:val="24"/>
        </w:rPr>
        <w:t xml:space="preserve">, N. I. E. (2022). Prevalence and determinants of depression, anxiety and stress among psychiatric nurses in Ghana: A cross-sectional study. </w:t>
      </w:r>
      <w:r w:rsidRPr="00404BF5">
        <w:rPr>
          <w:rFonts w:ascii="Times New Roman" w:eastAsia="Times New Roman" w:hAnsi="Times New Roman" w:cs="Times New Roman"/>
          <w:i/>
          <w:iCs/>
          <w:sz w:val="24"/>
          <w:szCs w:val="24"/>
        </w:rPr>
        <w:t>BMC Nursing, 21</w:t>
      </w:r>
      <w:r w:rsidRPr="00404BF5">
        <w:rPr>
          <w:rFonts w:ascii="Times New Roman" w:eastAsia="Times New Roman" w:hAnsi="Times New Roman" w:cs="Times New Roman"/>
          <w:sz w:val="24"/>
          <w:szCs w:val="24"/>
        </w:rPr>
        <w:t xml:space="preserve">, Article 179. </w:t>
      </w:r>
      <w:hyperlink r:id="rId11" w:history="1">
        <w:r w:rsidRPr="00404BF5">
          <w:rPr>
            <w:rFonts w:ascii="Times New Roman" w:eastAsia="Times New Roman" w:hAnsi="Times New Roman" w:cs="Times New Roman"/>
            <w:color w:val="0000FF"/>
            <w:sz w:val="24"/>
            <w:szCs w:val="24"/>
            <w:u w:val="single"/>
          </w:rPr>
          <w:t>https://doi.org/10.1186/s12912-022-00964-5</w:t>
        </w:r>
      </w:hyperlink>
    </w:p>
    <w:p w14:paraId="0059756F"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t>Amlari</w:t>
      </w:r>
      <w:proofErr w:type="spellEnd"/>
      <w:r w:rsidRPr="00404BF5">
        <w:rPr>
          <w:rFonts w:ascii="Times New Roman" w:eastAsia="Times New Roman" w:hAnsi="Times New Roman" w:cs="Times New Roman"/>
          <w:sz w:val="24"/>
          <w:szCs w:val="24"/>
        </w:rPr>
        <w:t xml:space="preserve">, T., &amp; </w:t>
      </w:r>
      <w:proofErr w:type="spellStart"/>
      <w:r w:rsidRPr="00404BF5">
        <w:rPr>
          <w:rFonts w:ascii="Times New Roman" w:eastAsia="Times New Roman" w:hAnsi="Times New Roman" w:cs="Times New Roman"/>
          <w:sz w:val="24"/>
          <w:szCs w:val="24"/>
        </w:rPr>
        <w:t>Patikar</w:t>
      </w:r>
      <w:proofErr w:type="spellEnd"/>
      <w:r w:rsidRPr="00404BF5">
        <w:rPr>
          <w:rFonts w:ascii="Times New Roman" w:eastAsia="Times New Roman" w:hAnsi="Times New Roman" w:cs="Times New Roman"/>
          <w:sz w:val="24"/>
          <w:szCs w:val="24"/>
        </w:rPr>
        <w:t xml:space="preserve">, G. (2026). Job satisfaction of employees in hospitals: A systematic review. </w:t>
      </w:r>
      <w:r w:rsidRPr="00404BF5">
        <w:rPr>
          <w:rFonts w:ascii="Times New Roman" w:eastAsia="Times New Roman" w:hAnsi="Times New Roman" w:cs="Times New Roman"/>
          <w:i/>
          <w:iCs/>
          <w:sz w:val="24"/>
          <w:szCs w:val="24"/>
        </w:rPr>
        <w:t>Journal of Basic and Applied Research International, 32</w:t>
      </w:r>
      <w:r w:rsidRPr="00404BF5">
        <w:rPr>
          <w:rFonts w:ascii="Times New Roman" w:eastAsia="Times New Roman" w:hAnsi="Times New Roman" w:cs="Times New Roman"/>
          <w:sz w:val="24"/>
          <w:szCs w:val="24"/>
        </w:rPr>
        <w:t xml:space="preserve">(1), 74–86. </w:t>
      </w:r>
      <w:hyperlink r:id="rId12" w:history="1">
        <w:r w:rsidRPr="00404BF5">
          <w:rPr>
            <w:rFonts w:ascii="Times New Roman" w:eastAsia="Times New Roman" w:hAnsi="Times New Roman" w:cs="Times New Roman"/>
            <w:color w:val="0000FF"/>
            <w:sz w:val="24"/>
            <w:szCs w:val="24"/>
            <w:u w:val="single"/>
          </w:rPr>
          <w:t>https://doi.org/10.56557/jobari/2026/v32i110242</w:t>
        </w:r>
      </w:hyperlink>
    </w:p>
    <w:p w14:paraId="02FAC9FE" w14:textId="5F556F52"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t>Babapour</w:t>
      </w:r>
      <w:proofErr w:type="spellEnd"/>
      <w:r w:rsidRPr="00404BF5">
        <w:rPr>
          <w:rFonts w:ascii="Times New Roman" w:eastAsia="Times New Roman" w:hAnsi="Times New Roman" w:cs="Times New Roman"/>
          <w:sz w:val="24"/>
          <w:szCs w:val="24"/>
        </w:rPr>
        <w:t xml:space="preserve">, A.-R., </w:t>
      </w:r>
      <w:proofErr w:type="spellStart"/>
      <w:r w:rsidRPr="00404BF5">
        <w:rPr>
          <w:rFonts w:ascii="Times New Roman" w:eastAsia="Times New Roman" w:hAnsi="Times New Roman" w:cs="Times New Roman"/>
          <w:sz w:val="24"/>
          <w:szCs w:val="24"/>
        </w:rPr>
        <w:t>Gahassab-Mozafari</w:t>
      </w:r>
      <w:proofErr w:type="spellEnd"/>
      <w:r w:rsidRPr="00404BF5">
        <w:rPr>
          <w:rFonts w:ascii="Times New Roman" w:eastAsia="Times New Roman" w:hAnsi="Times New Roman" w:cs="Times New Roman"/>
          <w:sz w:val="24"/>
          <w:szCs w:val="24"/>
        </w:rPr>
        <w:t xml:space="preserve">, N., &amp; </w:t>
      </w:r>
      <w:proofErr w:type="spellStart"/>
      <w:r w:rsidRPr="00404BF5">
        <w:rPr>
          <w:rFonts w:ascii="Times New Roman" w:eastAsia="Times New Roman" w:hAnsi="Times New Roman" w:cs="Times New Roman"/>
          <w:sz w:val="24"/>
          <w:szCs w:val="24"/>
        </w:rPr>
        <w:t>Fathnezhad</w:t>
      </w:r>
      <w:proofErr w:type="spellEnd"/>
      <w:r w:rsidRPr="00404BF5">
        <w:rPr>
          <w:rFonts w:ascii="Times New Roman" w:eastAsia="Times New Roman" w:hAnsi="Times New Roman" w:cs="Times New Roman"/>
          <w:sz w:val="24"/>
          <w:szCs w:val="24"/>
        </w:rPr>
        <w:t xml:space="preserve">-Kazemi, A. (2022). Nurses’ job stress and its impact on quality of life and caring behaviors: A cross-sectional study. </w:t>
      </w:r>
      <w:r w:rsidRPr="00404BF5">
        <w:rPr>
          <w:rFonts w:ascii="Times New Roman" w:eastAsia="Times New Roman" w:hAnsi="Times New Roman" w:cs="Times New Roman"/>
          <w:i/>
          <w:iCs/>
          <w:sz w:val="24"/>
          <w:szCs w:val="24"/>
        </w:rPr>
        <w:t>BMC Nursing, 21</w:t>
      </w:r>
      <w:r w:rsidRPr="00404BF5">
        <w:rPr>
          <w:rFonts w:ascii="Times New Roman" w:eastAsia="Times New Roman" w:hAnsi="Times New Roman" w:cs="Times New Roman"/>
          <w:sz w:val="24"/>
          <w:szCs w:val="24"/>
        </w:rPr>
        <w:t xml:space="preserve">, Article 75. </w:t>
      </w:r>
      <w:hyperlink r:id="rId13" w:history="1">
        <w:r w:rsidRPr="00404BF5">
          <w:rPr>
            <w:rFonts w:ascii="Times New Roman" w:eastAsia="Times New Roman" w:hAnsi="Times New Roman" w:cs="Times New Roman"/>
            <w:color w:val="0000FF"/>
            <w:sz w:val="24"/>
            <w:szCs w:val="24"/>
            <w:u w:val="single"/>
          </w:rPr>
          <w:t>https://doi.org/10.1186/s12912-022-00852-y</w:t>
        </w:r>
      </w:hyperlink>
    </w:p>
    <w:p w14:paraId="6A23BE42"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lastRenderedPageBreak/>
        <w:t>Babapour</w:t>
      </w:r>
      <w:proofErr w:type="spellEnd"/>
      <w:r w:rsidRPr="00404BF5">
        <w:rPr>
          <w:rFonts w:ascii="Times New Roman" w:eastAsia="Times New Roman" w:hAnsi="Times New Roman" w:cs="Times New Roman"/>
          <w:sz w:val="24"/>
          <w:szCs w:val="24"/>
        </w:rPr>
        <w:t xml:space="preserve">, A.-R., </w:t>
      </w:r>
      <w:proofErr w:type="spellStart"/>
      <w:r w:rsidRPr="00404BF5">
        <w:rPr>
          <w:rFonts w:ascii="Times New Roman" w:eastAsia="Times New Roman" w:hAnsi="Times New Roman" w:cs="Times New Roman"/>
          <w:sz w:val="24"/>
          <w:szCs w:val="24"/>
        </w:rPr>
        <w:t>Gahassab-Mozafari</w:t>
      </w:r>
      <w:proofErr w:type="spellEnd"/>
      <w:r w:rsidRPr="00404BF5">
        <w:rPr>
          <w:rFonts w:ascii="Times New Roman" w:eastAsia="Times New Roman" w:hAnsi="Times New Roman" w:cs="Times New Roman"/>
          <w:sz w:val="24"/>
          <w:szCs w:val="24"/>
        </w:rPr>
        <w:t xml:space="preserve">, N., &amp; </w:t>
      </w:r>
      <w:proofErr w:type="spellStart"/>
      <w:r w:rsidRPr="00404BF5">
        <w:rPr>
          <w:rFonts w:ascii="Times New Roman" w:eastAsia="Times New Roman" w:hAnsi="Times New Roman" w:cs="Times New Roman"/>
          <w:sz w:val="24"/>
          <w:szCs w:val="24"/>
        </w:rPr>
        <w:t>Fathnezhad</w:t>
      </w:r>
      <w:proofErr w:type="spellEnd"/>
      <w:r w:rsidRPr="00404BF5">
        <w:rPr>
          <w:rFonts w:ascii="Times New Roman" w:eastAsia="Times New Roman" w:hAnsi="Times New Roman" w:cs="Times New Roman"/>
          <w:sz w:val="24"/>
          <w:szCs w:val="24"/>
        </w:rPr>
        <w:t xml:space="preserve">-Kazemi, A. (2022). Nurses’ job stress and its impact on quality of life and caring behaviors: A cross-sectional study. </w:t>
      </w:r>
      <w:r w:rsidRPr="00404BF5">
        <w:rPr>
          <w:rFonts w:ascii="Times New Roman" w:eastAsia="Times New Roman" w:hAnsi="Times New Roman" w:cs="Times New Roman"/>
          <w:i/>
          <w:iCs/>
          <w:sz w:val="24"/>
          <w:szCs w:val="24"/>
        </w:rPr>
        <w:t>BMC Nursing, 21</w:t>
      </w:r>
      <w:r w:rsidRPr="00404BF5">
        <w:rPr>
          <w:rFonts w:ascii="Times New Roman" w:eastAsia="Times New Roman" w:hAnsi="Times New Roman" w:cs="Times New Roman"/>
          <w:sz w:val="24"/>
          <w:szCs w:val="24"/>
        </w:rPr>
        <w:t xml:space="preserve">, Article 75. </w:t>
      </w:r>
      <w:hyperlink r:id="rId14" w:history="1">
        <w:r w:rsidRPr="00404BF5">
          <w:rPr>
            <w:rFonts w:ascii="Times New Roman" w:eastAsia="Times New Roman" w:hAnsi="Times New Roman" w:cs="Times New Roman"/>
            <w:color w:val="0000FF"/>
            <w:sz w:val="24"/>
            <w:szCs w:val="24"/>
            <w:u w:val="single"/>
          </w:rPr>
          <w:t>https://doi.org/10.1186/s12912-022-00852-y</w:t>
        </w:r>
      </w:hyperlink>
    </w:p>
    <w:p w14:paraId="7846DFE6" w14:textId="7FB013F9"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Bakker, A. B., Demerouti, E., &amp; Sanz-Vergel, A. I. (2014). Burnout and work engagement: The JD–R approach. </w:t>
      </w:r>
      <w:r w:rsidRPr="00404BF5">
        <w:rPr>
          <w:rFonts w:ascii="Times New Roman" w:eastAsia="Times New Roman" w:hAnsi="Times New Roman" w:cs="Times New Roman"/>
          <w:i/>
          <w:iCs/>
          <w:sz w:val="24"/>
          <w:szCs w:val="24"/>
        </w:rPr>
        <w:t>Annual Review of Organizational Psychology and Organizational Behavior, 1</w:t>
      </w:r>
      <w:r w:rsidRPr="00404BF5">
        <w:rPr>
          <w:rFonts w:ascii="Times New Roman" w:eastAsia="Times New Roman" w:hAnsi="Times New Roman" w:cs="Times New Roman"/>
          <w:sz w:val="24"/>
          <w:szCs w:val="24"/>
        </w:rPr>
        <w:t xml:space="preserve">, 389–411. </w:t>
      </w:r>
      <w:hyperlink r:id="rId15" w:history="1">
        <w:r w:rsidRPr="00404BF5">
          <w:rPr>
            <w:rFonts w:ascii="Times New Roman" w:eastAsia="Times New Roman" w:hAnsi="Times New Roman" w:cs="Times New Roman"/>
            <w:color w:val="0000FF"/>
            <w:sz w:val="24"/>
            <w:szCs w:val="24"/>
            <w:u w:val="single"/>
          </w:rPr>
          <w:t>https://doi.org/10.1146/annurev-orgpsych-031413-091235</w:t>
        </w:r>
      </w:hyperlink>
      <w:r w:rsidRPr="00404BF5">
        <w:rPr>
          <w:rFonts w:ascii="Times New Roman" w:eastAsia="Times New Roman" w:hAnsi="Times New Roman" w:cs="Times New Roman"/>
          <w:sz w:val="24"/>
          <w:szCs w:val="24"/>
        </w:rPr>
        <w:t xml:space="preserve"> </w:t>
      </w:r>
    </w:p>
    <w:p w14:paraId="52087716" w14:textId="741C608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t>Dall’Ora</w:t>
      </w:r>
      <w:proofErr w:type="spellEnd"/>
      <w:r w:rsidRPr="00404BF5">
        <w:rPr>
          <w:rFonts w:ascii="Times New Roman" w:eastAsia="Times New Roman" w:hAnsi="Times New Roman" w:cs="Times New Roman"/>
          <w:sz w:val="24"/>
          <w:szCs w:val="24"/>
        </w:rPr>
        <w:t xml:space="preserve">, C., Ball, J., </w:t>
      </w:r>
      <w:proofErr w:type="spellStart"/>
      <w:r w:rsidRPr="00404BF5">
        <w:rPr>
          <w:rFonts w:ascii="Times New Roman" w:eastAsia="Times New Roman" w:hAnsi="Times New Roman" w:cs="Times New Roman"/>
          <w:sz w:val="24"/>
          <w:szCs w:val="24"/>
        </w:rPr>
        <w:t>Reinius</w:t>
      </w:r>
      <w:proofErr w:type="spellEnd"/>
      <w:r w:rsidRPr="00404BF5">
        <w:rPr>
          <w:rFonts w:ascii="Times New Roman" w:eastAsia="Times New Roman" w:hAnsi="Times New Roman" w:cs="Times New Roman"/>
          <w:sz w:val="24"/>
          <w:szCs w:val="24"/>
        </w:rPr>
        <w:t xml:space="preserve">, M., &amp; Griffiths, P. (2020). Burnout in nursing: A theoretical review. </w:t>
      </w:r>
      <w:r w:rsidRPr="00404BF5">
        <w:rPr>
          <w:rFonts w:ascii="Times New Roman" w:eastAsia="Times New Roman" w:hAnsi="Times New Roman" w:cs="Times New Roman"/>
          <w:i/>
          <w:iCs/>
          <w:sz w:val="24"/>
          <w:szCs w:val="24"/>
        </w:rPr>
        <w:t>Human Resources for Health, 18</w:t>
      </w:r>
      <w:r w:rsidRPr="00404BF5">
        <w:rPr>
          <w:rFonts w:ascii="Times New Roman" w:eastAsia="Times New Roman" w:hAnsi="Times New Roman" w:cs="Times New Roman"/>
          <w:sz w:val="24"/>
          <w:szCs w:val="24"/>
        </w:rPr>
        <w:t xml:space="preserve">, Article 41. </w:t>
      </w:r>
      <w:hyperlink r:id="rId16" w:history="1">
        <w:r w:rsidRPr="00404BF5">
          <w:rPr>
            <w:rFonts w:ascii="Times New Roman" w:eastAsia="Times New Roman" w:hAnsi="Times New Roman" w:cs="Times New Roman"/>
            <w:color w:val="0000FF"/>
            <w:sz w:val="24"/>
            <w:szCs w:val="24"/>
            <w:u w:val="single"/>
          </w:rPr>
          <w:t>https://doi.org/10.1186/s12960-020-00469-9</w:t>
        </w:r>
      </w:hyperlink>
    </w:p>
    <w:p w14:paraId="29CD5CA3" w14:textId="395F9C52"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Baumeister, R. F., &amp; Leary, M. R. (1995). The need to belong: Desire for interpersonal attachments as a fundamental human motivation. </w:t>
      </w:r>
      <w:r w:rsidRPr="00404BF5">
        <w:rPr>
          <w:rFonts w:ascii="Times New Roman" w:eastAsia="Times New Roman" w:hAnsi="Times New Roman" w:cs="Times New Roman"/>
          <w:i/>
          <w:iCs/>
          <w:sz w:val="24"/>
          <w:szCs w:val="24"/>
        </w:rPr>
        <w:t>Psychological Bulletin, 117</w:t>
      </w:r>
      <w:r w:rsidRPr="00404BF5">
        <w:rPr>
          <w:rFonts w:ascii="Times New Roman" w:eastAsia="Times New Roman" w:hAnsi="Times New Roman" w:cs="Times New Roman"/>
          <w:sz w:val="24"/>
          <w:szCs w:val="24"/>
        </w:rPr>
        <w:t xml:space="preserve">(3), 497–529. </w:t>
      </w:r>
      <w:hyperlink r:id="rId17" w:history="1">
        <w:r w:rsidRPr="00404BF5">
          <w:rPr>
            <w:rFonts w:ascii="Times New Roman" w:eastAsia="Times New Roman" w:hAnsi="Times New Roman" w:cs="Times New Roman"/>
            <w:color w:val="0000FF"/>
            <w:sz w:val="24"/>
            <w:szCs w:val="24"/>
            <w:u w:val="single"/>
          </w:rPr>
          <w:t>https://doi.org/10.1037/0033-2909.117.3.497</w:t>
        </w:r>
      </w:hyperlink>
      <w:r w:rsidRPr="00404BF5">
        <w:rPr>
          <w:rFonts w:ascii="Times New Roman" w:eastAsia="Times New Roman" w:hAnsi="Times New Roman" w:cs="Times New Roman"/>
          <w:sz w:val="24"/>
          <w:szCs w:val="24"/>
        </w:rPr>
        <w:t xml:space="preserve"> </w:t>
      </w:r>
    </w:p>
    <w:p w14:paraId="1116AB3D" w14:textId="324F4351"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Bhatia, N., Kishore, J., Anand, T., &amp; </w:t>
      </w:r>
      <w:proofErr w:type="spellStart"/>
      <w:r w:rsidRPr="00404BF5">
        <w:rPr>
          <w:rFonts w:ascii="Times New Roman" w:eastAsia="Times New Roman" w:hAnsi="Times New Roman" w:cs="Times New Roman"/>
          <w:sz w:val="24"/>
          <w:szCs w:val="24"/>
        </w:rPr>
        <w:t>Jiloha</w:t>
      </w:r>
      <w:proofErr w:type="spellEnd"/>
      <w:r w:rsidRPr="00404BF5">
        <w:rPr>
          <w:rFonts w:ascii="Times New Roman" w:eastAsia="Times New Roman" w:hAnsi="Times New Roman" w:cs="Times New Roman"/>
          <w:sz w:val="24"/>
          <w:szCs w:val="24"/>
        </w:rPr>
        <w:t xml:space="preserve">, R. C. (2010). Occupational stress amongst nurses of two tertiary care hospitals in Delhi. </w:t>
      </w:r>
      <w:r w:rsidRPr="00404BF5">
        <w:rPr>
          <w:rFonts w:ascii="Times New Roman" w:eastAsia="Times New Roman" w:hAnsi="Times New Roman" w:cs="Times New Roman"/>
          <w:i/>
          <w:iCs/>
          <w:sz w:val="24"/>
          <w:szCs w:val="24"/>
        </w:rPr>
        <w:t>Australasian Medical Journal, 3</w:t>
      </w:r>
      <w:r w:rsidRPr="00404BF5">
        <w:rPr>
          <w:rFonts w:ascii="Times New Roman" w:eastAsia="Times New Roman" w:hAnsi="Times New Roman" w:cs="Times New Roman"/>
          <w:sz w:val="24"/>
          <w:szCs w:val="24"/>
        </w:rPr>
        <w:t xml:space="preserve">(11), 731–738. </w:t>
      </w:r>
      <w:hyperlink r:id="rId18" w:history="1">
        <w:r w:rsidRPr="00404BF5">
          <w:rPr>
            <w:rFonts w:ascii="Times New Roman" w:eastAsia="Times New Roman" w:hAnsi="Times New Roman" w:cs="Times New Roman"/>
            <w:color w:val="0000FF"/>
            <w:sz w:val="24"/>
            <w:szCs w:val="24"/>
            <w:u w:val="single"/>
          </w:rPr>
          <w:t>https://doi.org/10.4066/AMJ.2010.289</w:t>
        </w:r>
      </w:hyperlink>
      <w:r w:rsidRPr="00404BF5">
        <w:rPr>
          <w:rFonts w:ascii="Times New Roman" w:eastAsia="Times New Roman" w:hAnsi="Times New Roman" w:cs="Times New Roman"/>
          <w:sz w:val="24"/>
          <w:szCs w:val="24"/>
        </w:rPr>
        <w:t xml:space="preserve"> </w:t>
      </w:r>
    </w:p>
    <w:p w14:paraId="2DB3FC68" w14:textId="31E3094A"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Boamah, S. A., Read, E. A., &amp; Spence Laschinger, H. K. (2017). Factors influencing new graduate nurse burnout development, job satisfaction and patient care quality: A time-lagged study. </w:t>
      </w:r>
      <w:r w:rsidRPr="00404BF5">
        <w:rPr>
          <w:rFonts w:ascii="Times New Roman" w:eastAsia="Times New Roman" w:hAnsi="Times New Roman" w:cs="Times New Roman"/>
          <w:i/>
          <w:iCs/>
          <w:sz w:val="24"/>
          <w:szCs w:val="24"/>
        </w:rPr>
        <w:t>Journal of Advanced Nursing, 73</w:t>
      </w:r>
      <w:r w:rsidRPr="00404BF5">
        <w:rPr>
          <w:rFonts w:ascii="Times New Roman" w:eastAsia="Times New Roman" w:hAnsi="Times New Roman" w:cs="Times New Roman"/>
          <w:sz w:val="24"/>
          <w:szCs w:val="24"/>
        </w:rPr>
        <w:t xml:space="preserve">(5), 1182–1195. </w:t>
      </w:r>
      <w:hyperlink r:id="rId19" w:history="1">
        <w:r w:rsidRPr="00404BF5">
          <w:rPr>
            <w:rFonts w:ascii="Times New Roman" w:eastAsia="Times New Roman" w:hAnsi="Times New Roman" w:cs="Times New Roman"/>
            <w:color w:val="0000FF"/>
            <w:sz w:val="24"/>
            <w:szCs w:val="24"/>
            <w:u w:val="single"/>
          </w:rPr>
          <w:t>https://doi.org/10.1111/jan.13215</w:t>
        </w:r>
      </w:hyperlink>
      <w:r w:rsidRPr="00404BF5">
        <w:rPr>
          <w:rFonts w:ascii="Times New Roman" w:eastAsia="Times New Roman" w:hAnsi="Times New Roman" w:cs="Times New Roman"/>
          <w:sz w:val="24"/>
          <w:szCs w:val="24"/>
        </w:rPr>
        <w:t xml:space="preserve"> </w:t>
      </w:r>
    </w:p>
    <w:p w14:paraId="6CE6F2ED" w14:textId="16C06BA1"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lang w:val="nl-BE"/>
        </w:rPr>
      </w:pPr>
      <w:r w:rsidRPr="00404BF5">
        <w:rPr>
          <w:rFonts w:ascii="Times New Roman" w:eastAsia="Times New Roman" w:hAnsi="Times New Roman" w:cs="Times New Roman"/>
          <w:sz w:val="24"/>
          <w:szCs w:val="24"/>
        </w:rPr>
        <w:t xml:space="preserve">Kristof-Brown, A. L., Zimmerman, R. D., &amp; Johnson, E. C. (2005). Consequences of individuals’ fit at work: A meta-analysis of person–job, person–organization, person–group, and person–supervisor fit. </w:t>
      </w:r>
      <w:r w:rsidRPr="00404BF5">
        <w:rPr>
          <w:rFonts w:ascii="Times New Roman" w:eastAsia="Times New Roman" w:hAnsi="Times New Roman" w:cs="Times New Roman"/>
          <w:i/>
          <w:iCs/>
          <w:sz w:val="24"/>
          <w:szCs w:val="24"/>
          <w:lang w:val="nl-BE"/>
        </w:rPr>
        <w:t>Personnel Psychology, 58</w:t>
      </w:r>
      <w:r w:rsidRPr="00404BF5">
        <w:rPr>
          <w:rFonts w:ascii="Times New Roman" w:eastAsia="Times New Roman" w:hAnsi="Times New Roman" w:cs="Times New Roman"/>
          <w:sz w:val="24"/>
          <w:szCs w:val="24"/>
          <w:lang w:val="nl-BE"/>
        </w:rPr>
        <w:t xml:space="preserve">(2), 281–342. </w:t>
      </w:r>
      <w:r w:rsidRPr="00404BF5">
        <w:rPr>
          <w:rFonts w:ascii="Times New Roman" w:eastAsia="Times New Roman" w:hAnsi="Times New Roman" w:cs="Times New Roman"/>
          <w:sz w:val="24"/>
          <w:szCs w:val="24"/>
        </w:rPr>
        <w:fldChar w:fldCharType="begin"/>
      </w:r>
      <w:r w:rsidRPr="00404BF5">
        <w:rPr>
          <w:rFonts w:ascii="Times New Roman" w:eastAsia="Times New Roman" w:hAnsi="Times New Roman" w:cs="Times New Roman"/>
          <w:sz w:val="24"/>
          <w:szCs w:val="24"/>
          <w:lang w:val="nl-BE"/>
        </w:rPr>
        <w:instrText>HYPERLINK "https://doi.org/10.1111/j.1744-6570.2005.00672.x"</w:instrText>
      </w:r>
      <w:r w:rsidRPr="00404BF5">
        <w:rPr>
          <w:rFonts w:ascii="Times New Roman" w:eastAsia="Times New Roman" w:hAnsi="Times New Roman" w:cs="Times New Roman"/>
          <w:sz w:val="24"/>
          <w:szCs w:val="24"/>
        </w:rPr>
      </w:r>
      <w:r w:rsidRPr="00404BF5">
        <w:rPr>
          <w:rFonts w:ascii="Times New Roman" w:eastAsia="Times New Roman" w:hAnsi="Times New Roman" w:cs="Times New Roman"/>
          <w:sz w:val="24"/>
          <w:szCs w:val="24"/>
        </w:rPr>
        <w:fldChar w:fldCharType="separate"/>
      </w:r>
      <w:r w:rsidRPr="00404BF5">
        <w:rPr>
          <w:rFonts w:ascii="Times New Roman" w:eastAsia="Times New Roman" w:hAnsi="Times New Roman" w:cs="Times New Roman"/>
          <w:color w:val="0000FF"/>
          <w:sz w:val="24"/>
          <w:szCs w:val="24"/>
          <w:u w:val="single"/>
          <w:lang w:val="nl-BE"/>
        </w:rPr>
        <w:t>https://doi.org/10.1111/j.1744-6570.2005.00672.x</w:t>
      </w:r>
      <w:r w:rsidRPr="00404BF5">
        <w:rPr>
          <w:rFonts w:ascii="Times New Roman" w:eastAsia="Times New Roman" w:hAnsi="Times New Roman" w:cs="Times New Roman"/>
          <w:sz w:val="24"/>
          <w:szCs w:val="24"/>
        </w:rPr>
        <w:fldChar w:fldCharType="end"/>
      </w:r>
    </w:p>
    <w:p w14:paraId="7302636F" w14:textId="61F794FC"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Lu, H., Zhao, Y., &amp; While, A. (2019). Job satisfaction among hospital nurses: A literature review. </w:t>
      </w:r>
      <w:r w:rsidRPr="00404BF5">
        <w:rPr>
          <w:rFonts w:ascii="Times New Roman" w:eastAsia="Times New Roman" w:hAnsi="Times New Roman" w:cs="Times New Roman"/>
          <w:i/>
          <w:iCs/>
          <w:sz w:val="24"/>
          <w:szCs w:val="24"/>
        </w:rPr>
        <w:t>International Journal of Nursing Studies, 94</w:t>
      </w:r>
      <w:r w:rsidRPr="00404BF5">
        <w:rPr>
          <w:rFonts w:ascii="Times New Roman" w:eastAsia="Times New Roman" w:hAnsi="Times New Roman" w:cs="Times New Roman"/>
          <w:sz w:val="24"/>
          <w:szCs w:val="24"/>
        </w:rPr>
        <w:t xml:space="preserve">, 21–31. </w:t>
      </w:r>
      <w:hyperlink r:id="rId20" w:history="1">
        <w:r w:rsidRPr="00404BF5">
          <w:rPr>
            <w:rFonts w:ascii="Times New Roman" w:eastAsia="Times New Roman" w:hAnsi="Times New Roman" w:cs="Times New Roman"/>
            <w:color w:val="0000FF"/>
            <w:sz w:val="24"/>
            <w:szCs w:val="24"/>
            <w:u w:val="single"/>
          </w:rPr>
          <w:t>https://doi.org/10.1016/j.ijnurstu.2019.01.011</w:t>
        </w:r>
      </w:hyperlink>
    </w:p>
    <w:p w14:paraId="3DAD848C"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Brown, J., &amp; Roberts, S. (2021). Social support and resilience in high-stress occupations. </w:t>
      </w:r>
      <w:r w:rsidRPr="00404BF5">
        <w:rPr>
          <w:rFonts w:ascii="Times New Roman" w:eastAsia="Times New Roman" w:hAnsi="Times New Roman" w:cs="Times New Roman"/>
          <w:i/>
          <w:iCs/>
          <w:sz w:val="24"/>
          <w:szCs w:val="24"/>
        </w:rPr>
        <w:t>Occupational Health Science, 5</w:t>
      </w:r>
      <w:r w:rsidRPr="00404BF5">
        <w:rPr>
          <w:rFonts w:ascii="Times New Roman" w:eastAsia="Times New Roman" w:hAnsi="Times New Roman" w:cs="Times New Roman"/>
          <w:sz w:val="24"/>
          <w:szCs w:val="24"/>
        </w:rPr>
        <w:t xml:space="preserve">(3), 267–281. ONLINE version not available [This reference is suspected to be a fake/hallucinated reference and should be excluded. A replacement suggested reference is: Halbesleben, J. R. B. (2006). Sources of social support and burnout: A meta-analytic test of the conservation of resources model. </w:t>
      </w:r>
      <w:r w:rsidRPr="00404BF5">
        <w:rPr>
          <w:rFonts w:ascii="Times New Roman" w:eastAsia="Times New Roman" w:hAnsi="Times New Roman" w:cs="Times New Roman"/>
          <w:i/>
          <w:iCs/>
          <w:sz w:val="24"/>
          <w:szCs w:val="24"/>
        </w:rPr>
        <w:t>Journal of Applied Psychology, 91</w:t>
      </w:r>
      <w:r w:rsidRPr="00404BF5">
        <w:rPr>
          <w:rFonts w:ascii="Times New Roman" w:eastAsia="Times New Roman" w:hAnsi="Times New Roman" w:cs="Times New Roman"/>
          <w:sz w:val="24"/>
          <w:szCs w:val="24"/>
        </w:rPr>
        <w:t xml:space="preserve">(5), 1134–1145. </w:t>
      </w:r>
      <w:hyperlink r:id="rId21" w:history="1">
        <w:r w:rsidRPr="00404BF5">
          <w:rPr>
            <w:rFonts w:ascii="Times New Roman" w:eastAsia="Times New Roman" w:hAnsi="Times New Roman" w:cs="Times New Roman"/>
            <w:color w:val="0000FF"/>
            <w:sz w:val="24"/>
            <w:szCs w:val="24"/>
            <w:u w:val="single"/>
          </w:rPr>
          <w:t>https://doi.org/10.1037/0021-9010.91.5.1134</w:t>
        </w:r>
      </w:hyperlink>
      <w:r w:rsidRPr="00404BF5">
        <w:rPr>
          <w:rFonts w:ascii="Times New Roman" w:eastAsia="Times New Roman" w:hAnsi="Times New Roman" w:cs="Times New Roman"/>
          <w:sz w:val="24"/>
          <w:szCs w:val="24"/>
        </w:rPr>
        <w:t>]</w:t>
      </w:r>
    </w:p>
    <w:p w14:paraId="44C2C600" w14:textId="53C10E24"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Mimura, C., &amp; Griffiths, P. (2003). The effectiveness of current approaches to workplace stress management in the nursing profession: An </w:t>
      </w:r>
      <w:proofErr w:type="gramStart"/>
      <w:r w:rsidRPr="00404BF5">
        <w:rPr>
          <w:rFonts w:ascii="Times New Roman" w:eastAsia="Times New Roman" w:hAnsi="Times New Roman" w:cs="Times New Roman"/>
          <w:sz w:val="24"/>
          <w:szCs w:val="24"/>
        </w:rPr>
        <w:t>evidence based</w:t>
      </w:r>
      <w:proofErr w:type="gramEnd"/>
      <w:r w:rsidRPr="00404BF5">
        <w:rPr>
          <w:rFonts w:ascii="Times New Roman" w:eastAsia="Times New Roman" w:hAnsi="Times New Roman" w:cs="Times New Roman"/>
          <w:sz w:val="24"/>
          <w:szCs w:val="24"/>
        </w:rPr>
        <w:t xml:space="preserve"> literature review. </w:t>
      </w:r>
      <w:r w:rsidRPr="00404BF5">
        <w:rPr>
          <w:rFonts w:ascii="Times New Roman" w:eastAsia="Times New Roman" w:hAnsi="Times New Roman" w:cs="Times New Roman"/>
          <w:i/>
          <w:iCs/>
          <w:sz w:val="24"/>
          <w:szCs w:val="24"/>
        </w:rPr>
        <w:t>Occupational and Environmental Medicine, 60</w:t>
      </w:r>
      <w:r w:rsidRPr="00404BF5">
        <w:rPr>
          <w:rFonts w:ascii="Times New Roman" w:eastAsia="Times New Roman" w:hAnsi="Times New Roman" w:cs="Times New Roman"/>
          <w:sz w:val="24"/>
          <w:szCs w:val="24"/>
        </w:rPr>
        <w:t xml:space="preserve">(1), 10–15. </w:t>
      </w:r>
      <w:hyperlink r:id="rId22" w:history="1">
        <w:r w:rsidRPr="00404BF5">
          <w:rPr>
            <w:rFonts w:ascii="Times New Roman" w:eastAsia="Times New Roman" w:hAnsi="Times New Roman" w:cs="Times New Roman"/>
            <w:color w:val="0000FF"/>
            <w:sz w:val="24"/>
            <w:szCs w:val="24"/>
            <w:u w:val="single"/>
          </w:rPr>
          <w:t>https://doi.org/10.1136/oem.60.1.10</w:t>
        </w:r>
      </w:hyperlink>
    </w:p>
    <w:p w14:paraId="7F32D15A"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lang w:val="nl-BE"/>
        </w:rPr>
        <w:t xml:space="preserve">Chen, B., Wang, L., Li, B., &amp; Liu, W. (2022). </w:t>
      </w:r>
      <w:r w:rsidRPr="00404BF5">
        <w:rPr>
          <w:rFonts w:ascii="Times New Roman" w:eastAsia="Times New Roman" w:hAnsi="Times New Roman" w:cs="Times New Roman"/>
          <w:sz w:val="24"/>
          <w:szCs w:val="24"/>
        </w:rPr>
        <w:t xml:space="preserve">Work stress, mental health, and employee performance. </w:t>
      </w:r>
      <w:r w:rsidRPr="00404BF5">
        <w:rPr>
          <w:rFonts w:ascii="Times New Roman" w:eastAsia="Times New Roman" w:hAnsi="Times New Roman" w:cs="Times New Roman"/>
          <w:i/>
          <w:iCs/>
          <w:sz w:val="24"/>
          <w:szCs w:val="24"/>
        </w:rPr>
        <w:t>Frontiers in Psychology, 13</w:t>
      </w:r>
      <w:r w:rsidRPr="00404BF5">
        <w:rPr>
          <w:rFonts w:ascii="Times New Roman" w:eastAsia="Times New Roman" w:hAnsi="Times New Roman" w:cs="Times New Roman"/>
          <w:sz w:val="24"/>
          <w:szCs w:val="24"/>
        </w:rPr>
        <w:t xml:space="preserve">, Article 1006580. </w:t>
      </w:r>
      <w:hyperlink r:id="rId23" w:history="1">
        <w:r w:rsidRPr="00404BF5">
          <w:rPr>
            <w:rFonts w:ascii="Times New Roman" w:eastAsia="Times New Roman" w:hAnsi="Times New Roman" w:cs="Times New Roman"/>
            <w:color w:val="0000FF"/>
            <w:sz w:val="24"/>
            <w:szCs w:val="24"/>
            <w:u w:val="single"/>
          </w:rPr>
          <w:t>https://doi.org/10.3389/fpsyg.2022.1006580</w:t>
        </w:r>
      </w:hyperlink>
    </w:p>
    <w:p w14:paraId="5B96645A" w14:textId="071ED708"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lastRenderedPageBreak/>
        <w:t xml:space="preserve">Franco-Santos, M., Lucianetti, L., &amp; Bourne, M. (2012). Contemporary performance measurement systems: A review of their consequences and a framework for research. </w:t>
      </w:r>
      <w:r w:rsidRPr="00404BF5">
        <w:rPr>
          <w:rFonts w:ascii="Times New Roman" w:eastAsia="Times New Roman" w:hAnsi="Times New Roman" w:cs="Times New Roman"/>
          <w:i/>
          <w:iCs/>
          <w:sz w:val="24"/>
          <w:szCs w:val="24"/>
        </w:rPr>
        <w:t>Management Accounting Research, 23</w:t>
      </w:r>
      <w:r w:rsidRPr="00404BF5">
        <w:rPr>
          <w:rFonts w:ascii="Times New Roman" w:eastAsia="Times New Roman" w:hAnsi="Times New Roman" w:cs="Times New Roman"/>
          <w:sz w:val="24"/>
          <w:szCs w:val="24"/>
        </w:rPr>
        <w:t xml:space="preserve">(2), 79–119. </w:t>
      </w:r>
      <w:hyperlink r:id="rId24" w:history="1">
        <w:r w:rsidRPr="00404BF5">
          <w:rPr>
            <w:rFonts w:ascii="Times New Roman" w:eastAsia="Times New Roman" w:hAnsi="Times New Roman" w:cs="Times New Roman"/>
            <w:color w:val="0000FF"/>
            <w:sz w:val="24"/>
            <w:szCs w:val="24"/>
            <w:u w:val="single"/>
          </w:rPr>
          <w:t>https://doi.org/10.1016/j.mar.2012.04.001</w:t>
        </w:r>
      </w:hyperlink>
    </w:p>
    <w:p w14:paraId="3394B7DF"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t>Dall’Ora</w:t>
      </w:r>
      <w:proofErr w:type="spellEnd"/>
      <w:r w:rsidRPr="00404BF5">
        <w:rPr>
          <w:rFonts w:ascii="Times New Roman" w:eastAsia="Times New Roman" w:hAnsi="Times New Roman" w:cs="Times New Roman"/>
          <w:sz w:val="24"/>
          <w:szCs w:val="24"/>
        </w:rPr>
        <w:t xml:space="preserve">, C., Ball, J., </w:t>
      </w:r>
      <w:proofErr w:type="spellStart"/>
      <w:r w:rsidRPr="00404BF5">
        <w:rPr>
          <w:rFonts w:ascii="Times New Roman" w:eastAsia="Times New Roman" w:hAnsi="Times New Roman" w:cs="Times New Roman"/>
          <w:sz w:val="24"/>
          <w:szCs w:val="24"/>
        </w:rPr>
        <w:t>Reinius</w:t>
      </w:r>
      <w:proofErr w:type="spellEnd"/>
      <w:r w:rsidRPr="00404BF5">
        <w:rPr>
          <w:rFonts w:ascii="Times New Roman" w:eastAsia="Times New Roman" w:hAnsi="Times New Roman" w:cs="Times New Roman"/>
          <w:sz w:val="24"/>
          <w:szCs w:val="24"/>
        </w:rPr>
        <w:t xml:space="preserve">, M., &amp; Griffiths, P. (2020). Burnout in nursing: A theoretical review. </w:t>
      </w:r>
      <w:r w:rsidRPr="00404BF5">
        <w:rPr>
          <w:rFonts w:ascii="Times New Roman" w:eastAsia="Times New Roman" w:hAnsi="Times New Roman" w:cs="Times New Roman"/>
          <w:i/>
          <w:iCs/>
          <w:sz w:val="24"/>
          <w:szCs w:val="24"/>
        </w:rPr>
        <w:t>Human Resources for Health, 18</w:t>
      </w:r>
      <w:r w:rsidRPr="00404BF5">
        <w:rPr>
          <w:rFonts w:ascii="Times New Roman" w:eastAsia="Times New Roman" w:hAnsi="Times New Roman" w:cs="Times New Roman"/>
          <w:sz w:val="24"/>
          <w:szCs w:val="24"/>
        </w:rPr>
        <w:t xml:space="preserve">, Article 41. </w:t>
      </w:r>
      <w:hyperlink r:id="rId25" w:history="1">
        <w:r w:rsidRPr="00404BF5">
          <w:rPr>
            <w:rFonts w:ascii="Times New Roman" w:eastAsia="Times New Roman" w:hAnsi="Times New Roman" w:cs="Times New Roman"/>
            <w:color w:val="0000FF"/>
            <w:sz w:val="24"/>
            <w:szCs w:val="24"/>
            <w:u w:val="single"/>
          </w:rPr>
          <w:t>https://doi.org/10.1186/s12960-020-00469-9</w:t>
        </w:r>
      </w:hyperlink>
    </w:p>
    <w:p w14:paraId="6B5EC46B" w14:textId="02A1FF11"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De Clercq, D., &amp; </w:t>
      </w:r>
      <w:proofErr w:type="spellStart"/>
      <w:r w:rsidRPr="00404BF5">
        <w:rPr>
          <w:rFonts w:ascii="Times New Roman" w:eastAsia="Times New Roman" w:hAnsi="Times New Roman" w:cs="Times New Roman"/>
          <w:sz w:val="24"/>
          <w:szCs w:val="24"/>
        </w:rPr>
        <w:t>Belausteguigoitia</w:t>
      </w:r>
      <w:proofErr w:type="spellEnd"/>
      <w:r w:rsidRPr="00404BF5">
        <w:rPr>
          <w:rFonts w:ascii="Times New Roman" w:eastAsia="Times New Roman" w:hAnsi="Times New Roman" w:cs="Times New Roman"/>
          <w:sz w:val="24"/>
          <w:szCs w:val="24"/>
        </w:rPr>
        <w:t xml:space="preserve">, I. (2017). Reducing the harmful effect of role ambiguity on turnover intentions: The roles of innovation propensity, goodwill trust, and procedural justice. </w:t>
      </w:r>
      <w:r w:rsidRPr="00404BF5">
        <w:rPr>
          <w:rFonts w:ascii="Times New Roman" w:eastAsia="Times New Roman" w:hAnsi="Times New Roman" w:cs="Times New Roman"/>
          <w:i/>
          <w:iCs/>
          <w:sz w:val="24"/>
          <w:szCs w:val="24"/>
        </w:rPr>
        <w:t>Personnel Review, 46</w:t>
      </w:r>
      <w:r w:rsidRPr="00404BF5">
        <w:rPr>
          <w:rFonts w:ascii="Times New Roman" w:eastAsia="Times New Roman" w:hAnsi="Times New Roman" w:cs="Times New Roman"/>
          <w:sz w:val="24"/>
          <w:szCs w:val="24"/>
        </w:rPr>
        <w:t xml:space="preserve">(6), 1046–1069. </w:t>
      </w:r>
      <w:hyperlink r:id="rId26" w:history="1">
        <w:r w:rsidRPr="00404BF5">
          <w:rPr>
            <w:rFonts w:ascii="Times New Roman" w:eastAsia="Times New Roman" w:hAnsi="Times New Roman" w:cs="Times New Roman"/>
            <w:color w:val="0000FF"/>
            <w:sz w:val="24"/>
            <w:szCs w:val="24"/>
            <w:u w:val="single"/>
          </w:rPr>
          <w:t>https://doi.org/10.1108/PR-08-2015-0221</w:t>
        </w:r>
      </w:hyperlink>
      <w:r w:rsidRPr="00404BF5">
        <w:rPr>
          <w:rFonts w:ascii="Times New Roman" w:eastAsia="Times New Roman" w:hAnsi="Times New Roman" w:cs="Times New Roman"/>
          <w:sz w:val="24"/>
          <w:szCs w:val="24"/>
        </w:rPr>
        <w:t>]</w:t>
      </w:r>
    </w:p>
    <w:p w14:paraId="2DA237FB" w14:textId="160CC303"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lang w:val="nl-BE"/>
        </w:rPr>
        <w:t xml:space="preserve">De Jonge, J., Dormann, C., &amp; Van den Tooren, M. (2008). </w:t>
      </w:r>
      <w:r w:rsidRPr="00404BF5">
        <w:rPr>
          <w:rFonts w:ascii="Times New Roman" w:eastAsia="Times New Roman" w:hAnsi="Times New Roman" w:cs="Times New Roman"/>
          <w:sz w:val="24"/>
          <w:szCs w:val="24"/>
        </w:rPr>
        <w:t xml:space="preserve">The demand-induced strain compensation model: Renewed theoretical considerations and empirical evidence. In K. </w:t>
      </w:r>
      <w:proofErr w:type="spellStart"/>
      <w:r w:rsidRPr="00404BF5">
        <w:rPr>
          <w:rFonts w:ascii="Times New Roman" w:eastAsia="Times New Roman" w:hAnsi="Times New Roman" w:cs="Times New Roman"/>
          <w:sz w:val="24"/>
          <w:szCs w:val="24"/>
        </w:rPr>
        <w:t>Näswall</w:t>
      </w:r>
      <w:proofErr w:type="spellEnd"/>
      <w:r w:rsidRPr="00404BF5">
        <w:rPr>
          <w:rFonts w:ascii="Times New Roman" w:eastAsia="Times New Roman" w:hAnsi="Times New Roman" w:cs="Times New Roman"/>
          <w:sz w:val="24"/>
          <w:szCs w:val="24"/>
        </w:rPr>
        <w:t xml:space="preserve">, J. Hellgren, &amp; M. Sverke (Eds.), </w:t>
      </w:r>
      <w:r w:rsidRPr="00404BF5">
        <w:rPr>
          <w:rFonts w:ascii="Times New Roman" w:eastAsia="Times New Roman" w:hAnsi="Times New Roman" w:cs="Times New Roman"/>
          <w:i/>
          <w:iCs/>
          <w:sz w:val="24"/>
          <w:szCs w:val="24"/>
        </w:rPr>
        <w:t>The individual in the changing working life</w:t>
      </w:r>
      <w:r w:rsidRPr="00404BF5">
        <w:rPr>
          <w:rFonts w:ascii="Times New Roman" w:eastAsia="Times New Roman" w:hAnsi="Times New Roman" w:cs="Times New Roman"/>
          <w:sz w:val="24"/>
          <w:szCs w:val="24"/>
        </w:rPr>
        <w:t xml:space="preserve"> (pp. 67–87). Cambridge University Press. </w:t>
      </w:r>
      <w:hyperlink r:id="rId27" w:history="1">
        <w:r w:rsidRPr="00404BF5">
          <w:rPr>
            <w:rFonts w:ascii="Times New Roman" w:eastAsia="Times New Roman" w:hAnsi="Times New Roman" w:cs="Times New Roman"/>
            <w:color w:val="0000FF"/>
            <w:sz w:val="24"/>
            <w:szCs w:val="24"/>
            <w:u w:val="single"/>
          </w:rPr>
          <w:t>https://doi.org/10.1017/CBO9780511490064.004</w:t>
        </w:r>
      </w:hyperlink>
      <w:r w:rsidRPr="00404BF5">
        <w:rPr>
          <w:rFonts w:ascii="Times New Roman" w:eastAsia="Times New Roman" w:hAnsi="Times New Roman" w:cs="Times New Roman"/>
          <w:sz w:val="24"/>
          <w:szCs w:val="24"/>
        </w:rPr>
        <w:t xml:space="preserve"> </w:t>
      </w:r>
      <w:hyperlink r:id="rId28" w:history="1">
        <w:r w:rsidRPr="00404BF5">
          <w:rPr>
            <w:rFonts w:ascii="Times New Roman" w:eastAsia="Times New Roman" w:hAnsi="Times New Roman" w:cs="Times New Roman"/>
            <w:color w:val="0000FF"/>
            <w:sz w:val="24"/>
            <w:szCs w:val="24"/>
            <w:u w:val="single"/>
          </w:rPr>
          <w:t>https://doi.org/10.1017/CBO9780511490064.004</w:t>
        </w:r>
      </w:hyperlink>
    </w:p>
    <w:p w14:paraId="434A5C72" w14:textId="153386F9"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Hassard, J., Teoh, K. R. H., </w:t>
      </w:r>
      <w:proofErr w:type="spellStart"/>
      <w:r w:rsidRPr="00404BF5">
        <w:rPr>
          <w:rFonts w:ascii="Times New Roman" w:eastAsia="Times New Roman" w:hAnsi="Times New Roman" w:cs="Times New Roman"/>
          <w:sz w:val="24"/>
          <w:szCs w:val="24"/>
        </w:rPr>
        <w:t>Visockaite</w:t>
      </w:r>
      <w:proofErr w:type="spellEnd"/>
      <w:r w:rsidRPr="00404BF5">
        <w:rPr>
          <w:rFonts w:ascii="Times New Roman" w:eastAsia="Times New Roman" w:hAnsi="Times New Roman" w:cs="Times New Roman"/>
          <w:sz w:val="24"/>
          <w:szCs w:val="24"/>
        </w:rPr>
        <w:t xml:space="preserve">, G., Dewe, P., &amp; Cox, T. (2018). The cost of work-related stress to society: A systematic review. </w:t>
      </w:r>
      <w:r w:rsidRPr="00404BF5">
        <w:rPr>
          <w:rFonts w:ascii="Times New Roman" w:eastAsia="Times New Roman" w:hAnsi="Times New Roman" w:cs="Times New Roman"/>
          <w:i/>
          <w:iCs/>
          <w:sz w:val="24"/>
          <w:szCs w:val="24"/>
        </w:rPr>
        <w:t>Journal of Occupational Health Psychology, 23</w:t>
      </w:r>
      <w:r w:rsidRPr="00404BF5">
        <w:rPr>
          <w:rFonts w:ascii="Times New Roman" w:eastAsia="Times New Roman" w:hAnsi="Times New Roman" w:cs="Times New Roman"/>
          <w:sz w:val="24"/>
          <w:szCs w:val="24"/>
        </w:rPr>
        <w:t xml:space="preserve">(1), 1–17. </w:t>
      </w:r>
      <w:hyperlink r:id="rId29" w:history="1">
        <w:r w:rsidRPr="00404BF5">
          <w:rPr>
            <w:rFonts w:ascii="Times New Roman" w:eastAsia="Times New Roman" w:hAnsi="Times New Roman" w:cs="Times New Roman"/>
            <w:color w:val="0000FF"/>
            <w:sz w:val="24"/>
            <w:szCs w:val="24"/>
            <w:u w:val="single"/>
          </w:rPr>
          <w:t>https://doi.org/10.1037/ocp0000069</w:t>
        </w:r>
      </w:hyperlink>
    </w:p>
    <w:p w14:paraId="16C9471A"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lang w:val="nl-BE"/>
        </w:rPr>
      </w:pPr>
      <w:r w:rsidRPr="00404BF5">
        <w:rPr>
          <w:rFonts w:ascii="Times New Roman" w:eastAsia="Times New Roman" w:hAnsi="Times New Roman" w:cs="Times New Roman"/>
          <w:sz w:val="24"/>
          <w:szCs w:val="24"/>
          <w:lang w:val="nl-BE"/>
        </w:rPr>
        <w:t xml:space="preserve">Demerouti, E., Bakker, A. B., Nachreiner, F., &amp; Schaufeli, W. B. (2000). </w:t>
      </w:r>
      <w:r w:rsidRPr="00404BF5">
        <w:rPr>
          <w:rFonts w:ascii="Times New Roman" w:eastAsia="Times New Roman" w:hAnsi="Times New Roman" w:cs="Times New Roman"/>
          <w:sz w:val="24"/>
          <w:szCs w:val="24"/>
        </w:rPr>
        <w:t xml:space="preserve">A model of burnout and life satisfaction amongst nurses. </w:t>
      </w:r>
      <w:r w:rsidRPr="00404BF5">
        <w:rPr>
          <w:rFonts w:ascii="Times New Roman" w:eastAsia="Times New Roman" w:hAnsi="Times New Roman" w:cs="Times New Roman"/>
          <w:i/>
          <w:iCs/>
          <w:sz w:val="24"/>
          <w:szCs w:val="24"/>
        </w:rPr>
        <w:t>Journal of Advanced Nursing, 32</w:t>
      </w:r>
      <w:r w:rsidRPr="00404BF5">
        <w:rPr>
          <w:rFonts w:ascii="Times New Roman" w:eastAsia="Times New Roman" w:hAnsi="Times New Roman" w:cs="Times New Roman"/>
          <w:sz w:val="24"/>
          <w:szCs w:val="24"/>
        </w:rPr>
        <w:t xml:space="preserve">(2), 454–464. </w:t>
      </w:r>
      <w:hyperlink r:id="rId30" w:history="1">
        <w:r w:rsidRPr="00404BF5">
          <w:rPr>
            <w:rFonts w:ascii="Times New Roman" w:eastAsia="Times New Roman" w:hAnsi="Times New Roman" w:cs="Times New Roman"/>
            <w:color w:val="0000FF"/>
            <w:sz w:val="24"/>
            <w:szCs w:val="24"/>
            <w:u w:val="single"/>
            <w:lang w:val="nl-BE"/>
          </w:rPr>
          <w:t>https://doi.org/10.1046/j.1365-2648.2000.01496.x</w:t>
        </w:r>
      </w:hyperlink>
    </w:p>
    <w:p w14:paraId="42B96113"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lang w:val="nl-BE"/>
        </w:rPr>
      </w:pPr>
      <w:r w:rsidRPr="00404BF5">
        <w:rPr>
          <w:rFonts w:ascii="Times New Roman" w:eastAsia="Times New Roman" w:hAnsi="Times New Roman" w:cs="Times New Roman"/>
          <w:sz w:val="24"/>
          <w:szCs w:val="24"/>
          <w:lang w:val="nl-BE"/>
        </w:rPr>
        <w:t xml:space="preserve">Demerouti, E., Bakker, A. B., Nachreiner, F., &amp; Schaufeli, W. B. (2001). </w:t>
      </w:r>
      <w:r w:rsidRPr="00404BF5">
        <w:rPr>
          <w:rFonts w:ascii="Times New Roman" w:eastAsia="Times New Roman" w:hAnsi="Times New Roman" w:cs="Times New Roman"/>
          <w:sz w:val="24"/>
          <w:szCs w:val="24"/>
        </w:rPr>
        <w:t xml:space="preserve">The job demands-resources model of burnout. </w:t>
      </w:r>
      <w:r w:rsidRPr="00404BF5">
        <w:rPr>
          <w:rFonts w:ascii="Times New Roman" w:eastAsia="Times New Roman" w:hAnsi="Times New Roman" w:cs="Times New Roman"/>
          <w:i/>
          <w:iCs/>
          <w:sz w:val="24"/>
          <w:szCs w:val="24"/>
        </w:rPr>
        <w:t>Journal of Applied Psychology, 86</w:t>
      </w:r>
      <w:r w:rsidRPr="00404BF5">
        <w:rPr>
          <w:rFonts w:ascii="Times New Roman" w:eastAsia="Times New Roman" w:hAnsi="Times New Roman" w:cs="Times New Roman"/>
          <w:sz w:val="24"/>
          <w:szCs w:val="24"/>
        </w:rPr>
        <w:t xml:space="preserve">(3), 499–512. </w:t>
      </w:r>
      <w:hyperlink r:id="rId31" w:history="1">
        <w:r w:rsidRPr="00404BF5">
          <w:rPr>
            <w:rFonts w:ascii="Times New Roman" w:eastAsia="Times New Roman" w:hAnsi="Times New Roman" w:cs="Times New Roman"/>
            <w:color w:val="0000FF"/>
            <w:sz w:val="24"/>
            <w:szCs w:val="24"/>
            <w:u w:val="single"/>
            <w:lang w:val="nl-BE"/>
          </w:rPr>
          <w:t>https://doi.org/10.1037/0021-9010.86.3.499</w:t>
        </w:r>
      </w:hyperlink>
    </w:p>
    <w:p w14:paraId="5CCDEB52"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lang w:val="nl-BE"/>
        </w:rPr>
        <w:t xml:space="preserve">Goh, J., Pfeffer, J., &amp; Zenios, S. A. (2016). </w:t>
      </w:r>
      <w:r w:rsidRPr="00404BF5">
        <w:rPr>
          <w:rFonts w:ascii="Times New Roman" w:eastAsia="Times New Roman" w:hAnsi="Times New Roman" w:cs="Times New Roman"/>
          <w:sz w:val="24"/>
          <w:szCs w:val="24"/>
        </w:rPr>
        <w:t xml:space="preserve">The relationship between workplace stressors and mortality and health costs in the United States. </w:t>
      </w:r>
      <w:r w:rsidRPr="00404BF5">
        <w:rPr>
          <w:rFonts w:ascii="Times New Roman" w:eastAsia="Times New Roman" w:hAnsi="Times New Roman" w:cs="Times New Roman"/>
          <w:i/>
          <w:iCs/>
          <w:sz w:val="24"/>
          <w:szCs w:val="24"/>
        </w:rPr>
        <w:t>Management Science, 62</w:t>
      </w:r>
      <w:r w:rsidRPr="00404BF5">
        <w:rPr>
          <w:rFonts w:ascii="Times New Roman" w:eastAsia="Times New Roman" w:hAnsi="Times New Roman" w:cs="Times New Roman"/>
          <w:sz w:val="24"/>
          <w:szCs w:val="24"/>
        </w:rPr>
        <w:t xml:space="preserve">(2), 608–628. </w:t>
      </w:r>
      <w:hyperlink r:id="rId32" w:history="1">
        <w:r w:rsidRPr="00404BF5">
          <w:rPr>
            <w:rFonts w:ascii="Times New Roman" w:eastAsia="Times New Roman" w:hAnsi="Times New Roman" w:cs="Times New Roman"/>
            <w:color w:val="0000FF"/>
            <w:sz w:val="24"/>
            <w:szCs w:val="24"/>
            <w:u w:val="single"/>
          </w:rPr>
          <w:t>https://doi.org/10.1287/mnsc.2014.2115</w:t>
        </w:r>
      </w:hyperlink>
    </w:p>
    <w:p w14:paraId="62C98553" w14:textId="76689AE5"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t>Kakemam</w:t>
      </w:r>
      <w:proofErr w:type="spellEnd"/>
      <w:r w:rsidRPr="00404BF5">
        <w:rPr>
          <w:rFonts w:ascii="Times New Roman" w:eastAsia="Times New Roman" w:hAnsi="Times New Roman" w:cs="Times New Roman"/>
          <w:sz w:val="24"/>
          <w:szCs w:val="24"/>
        </w:rPr>
        <w:t xml:space="preserve">, E., Raeissi, P., Raoofi, S., Soltani, A., </w:t>
      </w:r>
      <w:proofErr w:type="spellStart"/>
      <w:r w:rsidRPr="00404BF5">
        <w:rPr>
          <w:rFonts w:ascii="Times New Roman" w:eastAsia="Times New Roman" w:hAnsi="Times New Roman" w:cs="Times New Roman"/>
          <w:sz w:val="24"/>
          <w:szCs w:val="24"/>
        </w:rPr>
        <w:t>Sokhanvar</w:t>
      </w:r>
      <w:proofErr w:type="spellEnd"/>
      <w:r w:rsidRPr="00404BF5">
        <w:rPr>
          <w:rFonts w:ascii="Times New Roman" w:eastAsia="Times New Roman" w:hAnsi="Times New Roman" w:cs="Times New Roman"/>
          <w:sz w:val="24"/>
          <w:szCs w:val="24"/>
        </w:rPr>
        <w:t xml:space="preserve">, M., Visentin, D. C., &amp; Cleary, M. (2019). Occupational stress and associated risk factors among nurses: A cross-sectional study. </w:t>
      </w:r>
      <w:r w:rsidRPr="00404BF5">
        <w:rPr>
          <w:rFonts w:ascii="Times New Roman" w:eastAsia="Times New Roman" w:hAnsi="Times New Roman" w:cs="Times New Roman"/>
          <w:i/>
          <w:iCs/>
          <w:sz w:val="24"/>
          <w:szCs w:val="24"/>
        </w:rPr>
        <w:t>Contemporary Nurse, 55</w:t>
      </w:r>
      <w:r w:rsidRPr="00404BF5">
        <w:rPr>
          <w:rFonts w:ascii="Times New Roman" w:eastAsia="Times New Roman" w:hAnsi="Times New Roman" w:cs="Times New Roman"/>
          <w:sz w:val="24"/>
          <w:szCs w:val="24"/>
        </w:rPr>
        <w:t xml:space="preserve">(2–3), 237–249. </w:t>
      </w:r>
      <w:hyperlink r:id="rId33" w:history="1">
        <w:r w:rsidRPr="00404BF5">
          <w:rPr>
            <w:rFonts w:ascii="Times New Roman" w:eastAsia="Times New Roman" w:hAnsi="Times New Roman" w:cs="Times New Roman"/>
            <w:color w:val="0000FF"/>
            <w:sz w:val="24"/>
            <w:szCs w:val="24"/>
            <w:u w:val="single"/>
          </w:rPr>
          <w:t>https://doi.org/10.1080/10376178.2019.1647791</w:t>
        </w:r>
      </w:hyperlink>
    </w:p>
    <w:p w14:paraId="680CA781"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Hunsaker, S., Chen, H.-C., Maughan, D., &amp; Heaston, S. (2015). Factors that influence the development of compassion fatigue, burnout, and compassion satisfaction in emergency department nurses. </w:t>
      </w:r>
      <w:r w:rsidRPr="00404BF5">
        <w:rPr>
          <w:rFonts w:ascii="Times New Roman" w:eastAsia="Times New Roman" w:hAnsi="Times New Roman" w:cs="Times New Roman"/>
          <w:i/>
          <w:iCs/>
          <w:sz w:val="24"/>
          <w:szCs w:val="24"/>
        </w:rPr>
        <w:t>Journal of Nursing Care Quality, 30</w:t>
      </w:r>
      <w:r w:rsidRPr="00404BF5">
        <w:rPr>
          <w:rFonts w:ascii="Times New Roman" w:eastAsia="Times New Roman" w:hAnsi="Times New Roman" w:cs="Times New Roman"/>
          <w:sz w:val="24"/>
          <w:szCs w:val="24"/>
        </w:rPr>
        <w:t xml:space="preserve">(1), 55–63. </w:t>
      </w:r>
      <w:hyperlink r:id="rId34" w:history="1">
        <w:r w:rsidRPr="00404BF5">
          <w:rPr>
            <w:rFonts w:ascii="Times New Roman" w:eastAsia="Times New Roman" w:hAnsi="Times New Roman" w:cs="Times New Roman"/>
            <w:color w:val="0000FF"/>
            <w:sz w:val="24"/>
            <w:szCs w:val="24"/>
            <w:u w:val="single"/>
          </w:rPr>
          <w:t>https://doi.org/10.1097/NCQ.0000000000000089</w:t>
        </w:r>
      </w:hyperlink>
    </w:p>
    <w:p w14:paraId="4882DE59" w14:textId="2A3A333D"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Gilboa, S., Shirom, A., Fried, Y., &amp; Cooper, C. L. (2008). A meta-analysis of work demand stressors and job performance. </w:t>
      </w:r>
      <w:r w:rsidRPr="00404BF5">
        <w:rPr>
          <w:rFonts w:ascii="Times New Roman" w:eastAsia="Times New Roman" w:hAnsi="Times New Roman" w:cs="Times New Roman"/>
          <w:i/>
          <w:iCs/>
          <w:sz w:val="24"/>
          <w:szCs w:val="24"/>
        </w:rPr>
        <w:t>Personnel Psychology, 61</w:t>
      </w:r>
      <w:r w:rsidRPr="00404BF5">
        <w:rPr>
          <w:rFonts w:ascii="Times New Roman" w:eastAsia="Times New Roman" w:hAnsi="Times New Roman" w:cs="Times New Roman"/>
          <w:sz w:val="24"/>
          <w:szCs w:val="24"/>
        </w:rPr>
        <w:t xml:space="preserve">(2), 227–271. </w:t>
      </w:r>
      <w:hyperlink r:id="rId35" w:history="1">
        <w:r w:rsidRPr="00404BF5">
          <w:rPr>
            <w:rFonts w:ascii="Times New Roman" w:eastAsia="Times New Roman" w:hAnsi="Times New Roman" w:cs="Times New Roman"/>
            <w:color w:val="0000FF"/>
            <w:sz w:val="24"/>
            <w:szCs w:val="24"/>
            <w:u w:val="single"/>
          </w:rPr>
          <w:t>https://doi.org/10.1111/j.1744-6570.2008.00113.x</w:t>
        </w:r>
      </w:hyperlink>
    </w:p>
    <w:p w14:paraId="5F98D80B" w14:textId="7948D279"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lastRenderedPageBreak/>
        <w:t xml:space="preserve">Shahin, A., &amp; Mahbod, M. A. (2007). Prioritization of key performance indicators: An integration of analytical hierarchy process and goal setting. </w:t>
      </w:r>
      <w:r w:rsidRPr="00404BF5">
        <w:rPr>
          <w:rFonts w:ascii="Times New Roman" w:eastAsia="Times New Roman" w:hAnsi="Times New Roman" w:cs="Times New Roman"/>
          <w:i/>
          <w:iCs/>
          <w:sz w:val="24"/>
          <w:szCs w:val="24"/>
        </w:rPr>
        <w:t>International Journal of Productivity and Performance Management, 56</w:t>
      </w:r>
      <w:r w:rsidRPr="00404BF5">
        <w:rPr>
          <w:rFonts w:ascii="Times New Roman" w:eastAsia="Times New Roman" w:hAnsi="Times New Roman" w:cs="Times New Roman"/>
          <w:sz w:val="24"/>
          <w:szCs w:val="24"/>
        </w:rPr>
        <w:t xml:space="preserve">(3), 226–240. </w:t>
      </w:r>
      <w:hyperlink r:id="rId36" w:history="1">
        <w:r w:rsidRPr="00404BF5">
          <w:rPr>
            <w:rFonts w:ascii="Times New Roman" w:eastAsia="Times New Roman" w:hAnsi="Times New Roman" w:cs="Times New Roman"/>
            <w:color w:val="0000FF"/>
            <w:sz w:val="24"/>
            <w:szCs w:val="24"/>
            <w:u w:val="single"/>
          </w:rPr>
          <w:t>https://doi.org/10.1108/17410400710731437</w:t>
        </w:r>
      </w:hyperlink>
    </w:p>
    <w:p w14:paraId="05A5046D" w14:textId="78283993"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lang w:val="nl-BE"/>
        </w:rPr>
        <w:t xml:space="preserve">Chen, B., Wang, L., Li, B., &amp; Liu, W. (2022). </w:t>
      </w:r>
      <w:r w:rsidRPr="00404BF5">
        <w:rPr>
          <w:rFonts w:ascii="Times New Roman" w:eastAsia="Times New Roman" w:hAnsi="Times New Roman" w:cs="Times New Roman"/>
          <w:sz w:val="24"/>
          <w:szCs w:val="24"/>
        </w:rPr>
        <w:t xml:space="preserve">Work stress, mental health, and employee performance. </w:t>
      </w:r>
      <w:r w:rsidRPr="00404BF5">
        <w:rPr>
          <w:rFonts w:ascii="Times New Roman" w:eastAsia="Times New Roman" w:hAnsi="Times New Roman" w:cs="Times New Roman"/>
          <w:i/>
          <w:iCs/>
          <w:sz w:val="24"/>
          <w:szCs w:val="24"/>
        </w:rPr>
        <w:t>Frontiers in Psychology, 13</w:t>
      </w:r>
      <w:r w:rsidRPr="00404BF5">
        <w:rPr>
          <w:rFonts w:ascii="Times New Roman" w:eastAsia="Times New Roman" w:hAnsi="Times New Roman" w:cs="Times New Roman"/>
          <w:sz w:val="24"/>
          <w:szCs w:val="24"/>
        </w:rPr>
        <w:t xml:space="preserve">, Article 1006580. </w:t>
      </w:r>
      <w:hyperlink r:id="rId37" w:history="1">
        <w:r w:rsidRPr="00404BF5">
          <w:rPr>
            <w:rFonts w:ascii="Times New Roman" w:eastAsia="Times New Roman" w:hAnsi="Times New Roman" w:cs="Times New Roman"/>
            <w:color w:val="0000FF"/>
            <w:sz w:val="24"/>
            <w:szCs w:val="24"/>
            <w:u w:val="single"/>
          </w:rPr>
          <w:t>https://doi.org/10.3389/fpsyg.2022.1006580</w:t>
        </w:r>
      </w:hyperlink>
    </w:p>
    <w:p w14:paraId="26A788B0" w14:textId="5C501878"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lang w:val="nl-BE"/>
        </w:rPr>
        <w:t xml:space="preserve">Chen, B., Wang, L., Li, B., &amp; Liu, W. (2022). </w:t>
      </w:r>
      <w:r w:rsidRPr="00404BF5">
        <w:rPr>
          <w:rFonts w:ascii="Times New Roman" w:eastAsia="Times New Roman" w:hAnsi="Times New Roman" w:cs="Times New Roman"/>
          <w:sz w:val="24"/>
          <w:szCs w:val="24"/>
        </w:rPr>
        <w:t xml:space="preserve">Work stress, mental health, and employee performance. </w:t>
      </w:r>
      <w:r w:rsidRPr="00404BF5">
        <w:rPr>
          <w:rFonts w:ascii="Times New Roman" w:eastAsia="Times New Roman" w:hAnsi="Times New Roman" w:cs="Times New Roman"/>
          <w:i/>
          <w:iCs/>
          <w:sz w:val="24"/>
          <w:szCs w:val="24"/>
        </w:rPr>
        <w:t>Frontiers in Psychology, 13</w:t>
      </w:r>
      <w:r w:rsidRPr="00404BF5">
        <w:rPr>
          <w:rFonts w:ascii="Times New Roman" w:eastAsia="Times New Roman" w:hAnsi="Times New Roman" w:cs="Times New Roman"/>
          <w:sz w:val="24"/>
          <w:szCs w:val="24"/>
        </w:rPr>
        <w:t xml:space="preserve">, Article 1006580. </w:t>
      </w:r>
      <w:hyperlink r:id="rId38" w:history="1">
        <w:r w:rsidRPr="00404BF5">
          <w:rPr>
            <w:rFonts w:ascii="Times New Roman" w:eastAsia="Times New Roman" w:hAnsi="Times New Roman" w:cs="Times New Roman"/>
            <w:color w:val="0000FF"/>
            <w:sz w:val="24"/>
            <w:szCs w:val="24"/>
            <w:u w:val="single"/>
          </w:rPr>
          <w:t>https://doi.org/10.3389/fpsyg.2022.1006580</w:t>
        </w:r>
      </w:hyperlink>
    </w:p>
    <w:p w14:paraId="04339F88"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t>Kakemam</w:t>
      </w:r>
      <w:proofErr w:type="spellEnd"/>
      <w:r w:rsidRPr="00404BF5">
        <w:rPr>
          <w:rFonts w:ascii="Times New Roman" w:eastAsia="Times New Roman" w:hAnsi="Times New Roman" w:cs="Times New Roman"/>
          <w:sz w:val="24"/>
          <w:szCs w:val="24"/>
        </w:rPr>
        <w:t xml:space="preserve">, E., Raeissi, P., Raoofi, S., Soltani, A., </w:t>
      </w:r>
      <w:proofErr w:type="spellStart"/>
      <w:r w:rsidRPr="00404BF5">
        <w:rPr>
          <w:rFonts w:ascii="Times New Roman" w:eastAsia="Times New Roman" w:hAnsi="Times New Roman" w:cs="Times New Roman"/>
          <w:sz w:val="24"/>
          <w:szCs w:val="24"/>
        </w:rPr>
        <w:t>Sokhanvar</w:t>
      </w:r>
      <w:proofErr w:type="spellEnd"/>
      <w:r w:rsidRPr="00404BF5">
        <w:rPr>
          <w:rFonts w:ascii="Times New Roman" w:eastAsia="Times New Roman" w:hAnsi="Times New Roman" w:cs="Times New Roman"/>
          <w:sz w:val="24"/>
          <w:szCs w:val="24"/>
        </w:rPr>
        <w:t xml:space="preserve">, M., Visentin, D. C., &amp; Cleary, M. (2019). Occupational stress and associated risk factors among nurses: A cross-sectional study. </w:t>
      </w:r>
      <w:r w:rsidRPr="00404BF5">
        <w:rPr>
          <w:rFonts w:ascii="Times New Roman" w:eastAsia="Times New Roman" w:hAnsi="Times New Roman" w:cs="Times New Roman"/>
          <w:i/>
          <w:iCs/>
          <w:sz w:val="24"/>
          <w:szCs w:val="24"/>
        </w:rPr>
        <w:t>Contemporary Nurse, 55</w:t>
      </w:r>
      <w:r w:rsidRPr="00404BF5">
        <w:rPr>
          <w:rFonts w:ascii="Times New Roman" w:eastAsia="Times New Roman" w:hAnsi="Times New Roman" w:cs="Times New Roman"/>
          <w:sz w:val="24"/>
          <w:szCs w:val="24"/>
        </w:rPr>
        <w:t xml:space="preserve">(2–3), 237–249. </w:t>
      </w:r>
      <w:hyperlink r:id="rId39" w:history="1">
        <w:r w:rsidRPr="00404BF5">
          <w:rPr>
            <w:rFonts w:ascii="Times New Roman" w:eastAsia="Times New Roman" w:hAnsi="Times New Roman" w:cs="Times New Roman"/>
            <w:color w:val="0000FF"/>
            <w:sz w:val="24"/>
            <w:szCs w:val="24"/>
            <w:u w:val="single"/>
          </w:rPr>
          <w:t>https://doi.org/10.1080/10376178.2019.1647791</w:t>
        </w:r>
      </w:hyperlink>
    </w:p>
    <w:p w14:paraId="4B7BE4D8"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Li, L. Z., Yang, P., Singer, S. J., Pfeffer, J., Mathur, M. B., &amp; Shanafelt, T. (2024). Nurse burnout and patient safety, satisfaction, and quality of care: A systematic review and meta-analysis. </w:t>
      </w:r>
      <w:r w:rsidRPr="00404BF5">
        <w:rPr>
          <w:rFonts w:ascii="Times New Roman" w:eastAsia="Times New Roman" w:hAnsi="Times New Roman" w:cs="Times New Roman"/>
          <w:i/>
          <w:iCs/>
          <w:sz w:val="24"/>
          <w:szCs w:val="24"/>
        </w:rPr>
        <w:t>JAMA Network Open, 7</w:t>
      </w:r>
      <w:r w:rsidRPr="00404BF5">
        <w:rPr>
          <w:rFonts w:ascii="Times New Roman" w:eastAsia="Times New Roman" w:hAnsi="Times New Roman" w:cs="Times New Roman"/>
          <w:sz w:val="24"/>
          <w:szCs w:val="24"/>
        </w:rPr>
        <w:t xml:space="preserve">(11), Article e2443059. </w:t>
      </w:r>
      <w:hyperlink r:id="rId40" w:history="1">
        <w:r w:rsidRPr="00404BF5">
          <w:rPr>
            <w:rFonts w:ascii="Times New Roman" w:eastAsia="Times New Roman" w:hAnsi="Times New Roman" w:cs="Times New Roman"/>
            <w:color w:val="0000FF"/>
            <w:sz w:val="24"/>
            <w:szCs w:val="24"/>
            <w:u w:val="single"/>
          </w:rPr>
          <w:t>https://doi.org/10.1001/jamanetworkopen.2024.43059</w:t>
        </w:r>
      </w:hyperlink>
    </w:p>
    <w:p w14:paraId="6B071466" w14:textId="60012D3C"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Hall, L. H., Johnson, J., Watt, I., </w:t>
      </w:r>
      <w:proofErr w:type="spellStart"/>
      <w:r w:rsidRPr="00404BF5">
        <w:rPr>
          <w:rFonts w:ascii="Times New Roman" w:eastAsia="Times New Roman" w:hAnsi="Times New Roman" w:cs="Times New Roman"/>
          <w:sz w:val="24"/>
          <w:szCs w:val="24"/>
        </w:rPr>
        <w:t>Tsipa</w:t>
      </w:r>
      <w:proofErr w:type="spellEnd"/>
      <w:r w:rsidRPr="00404BF5">
        <w:rPr>
          <w:rFonts w:ascii="Times New Roman" w:eastAsia="Times New Roman" w:hAnsi="Times New Roman" w:cs="Times New Roman"/>
          <w:sz w:val="24"/>
          <w:szCs w:val="24"/>
        </w:rPr>
        <w:t xml:space="preserve">, A., &amp; O’Connor, D. B. (2016). Healthcare staff wellbeing, burnout, and patient safety: A systematic review. </w:t>
      </w:r>
      <w:r w:rsidRPr="00404BF5">
        <w:rPr>
          <w:rFonts w:ascii="Times New Roman" w:eastAsia="Times New Roman" w:hAnsi="Times New Roman" w:cs="Times New Roman"/>
          <w:i/>
          <w:iCs/>
          <w:sz w:val="24"/>
          <w:szCs w:val="24"/>
        </w:rPr>
        <w:t>PLOS ONE, 11</w:t>
      </w:r>
      <w:r w:rsidRPr="00404BF5">
        <w:rPr>
          <w:rFonts w:ascii="Times New Roman" w:eastAsia="Times New Roman" w:hAnsi="Times New Roman" w:cs="Times New Roman"/>
          <w:sz w:val="24"/>
          <w:szCs w:val="24"/>
        </w:rPr>
        <w:t xml:space="preserve">(7), Article e0159015. </w:t>
      </w:r>
      <w:hyperlink r:id="rId41" w:history="1">
        <w:r w:rsidRPr="00404BF5">
          <w:rPr>
            <w:rFonts w:ascii="Times New Roman" w:eastAsia="Times New Roman" w:hAnsi="Times New Roman" w:cs="Times New Roman"/>
            <w:color w:val="0000FF"/>
            <w:sz w:val="24"/>
            <w:szCs w:val="24"/>
            <w:u w:val="single"/>
          </w:rPr>
          <w:t>https://doi.org/10.1371/journal.pone.0159015</w:t>
        </w:r>
      </w:hyperlink>
    </w:p>
    <w:p w14:paraId="09A67668" w14:textId="1F7CE6E9"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Aguinis, H., &amp; </w:t>
      </w:r>
      <w:proofErr w:type="spellStart"/>
      <w:r w:rsidRPr="00404BF5">
        <w:rPr>
          <w:rFonts w:ascii="Times New Roman" w:eastAsia="Times New Roman" w:hAnsi="Times New Roman" w:cs="Times New Roman"/>
          <w:sz w:val="24"/>
          <w:szCs w:val="24"/>
        </w:rPr>
        <w:t>Kraiger</w:t>
      </w:r>
      <w:proofErr w:type="spellEnd"/>
      <w:r w:rsidRPr="00404BF5">
        <w:rPr>
          <w:rFonts w:ascii="Times New Roman" w:eastAsia="Times New Roman" w:hAnsi="Times New Roman" w:cs="Times New Roman"/>
          <w:sz w:val="24"/>
          <w:szCs w:val="24"/>
        </w:rPr>
        <w:t xml:space="preserve">, K. (2009). Benefits of training and development for individuals and teams, organizations, and society. </w:t>
      </w:r>
      <w:r w:rsidRPr="00404BF5">
        <w:rPr>
          <w:rFonts w:ascii="Times New Roman" w:eastAsia="Times New Roman" w:hAnsi="Times New Roman" w:cs="Times New Roman"/>
          <w:i/>
          <w:iCs/>
          <w:sz w:val="24"/>
          <w:szCs w:val="24"/>
        </w:rPr>
        <w:t>Annual Review of Psychology, 60</w:t>
      </w:r>
      <w:r w:rsidRPr="00404BF5">
        <w:rPr>
          <w:rFonts w:ascii="Times New Roman" w:eastAsia="Times New Roman" w:hAnsi="Times New Roman" w:cs="Times New Roman"/>
          <w:sz w:val="24"/>
          <w:szCs w:val="24"/>
        </w:rPr>
        <w:t xml:space="preserve">, 451–474. </w:t>
      </w:r>
      <w:hyperlink r:id="rId42" w:history="1">
        <w:r w:rsidRPr="00404BF5">
          <w:rPr>
            <w:rFonts w:ascii="Times New Roman" w:eastAsia="Times New Roman" w:hAnsi="Times New Roman" w:cs="Times New Roman"/>
            <w:color w:val="0000FF"/>
            <w:sz w:val="24"/>
            <w:szCs w:val="24"/>
            <w:u w:val="single"/>
          </w:rPr>
          <w:t>https://doi.org/10.1146/annurev.psych.60.110707.163505</w:t>
        </w:r>
      </w:hyperlink>
    </w:p>
    <w:p w14:paraId="5219363E" w14:textId="1F513949"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Giorgi, G., </w:t>
      </w:r>
      <w:proofErr w:type="spellStart"/>
      <w:r w:rsidRPr="00404BF5">
        <w:rPr>
          <w:rFonts w:ascii="Times New Roman" w:eastAsia="Times New Roman" w:hAnsi="Times New Roman" w:cs="Times New Roman"/>
          <w:sz w:val="24"/>
          <w:szCs w:val="24"/>
        </w:rPr>
        <w:t>Shoss</w:t>
      </w:r>
      <w:proofErr w:type="spellEnd"/>
      <w:r w:rsidRPr="00404BF5">
        <w:rPr>
          <w:rFonts w:ascii="Times New Roman" w:eastAsia="Times New Roman" w:hAnsi="Times New Roman" w:cs="Times New Roman"/>
          <w:sz w:val="24"/>
          <w:szCs w:val="24"/>
        </w:rPr>
        <w:t xml:space="preserve">, M. K., &amp; Leon-Perez, J. M. (2015). Going beyond workplace stressors: Economic crisis and perceived employability in relation to psychological distress and job dissatisfaction. </w:t>
      </w:r>
      <w:r w:rsidRPr="00404BF5">
        <w:rPr>
          <w:rFonts w:ascii="Times New Roman" w:eastAsia="Times New Roman" w:hAnsi="Times New Roman" w:cs="Times New Roman"/>
          <w:i/>
          <w:iCs/>
          <w:sz w:val="24"/>
          <w:szCs w:val="24"/>
        </w:rPr>
        <w:t>International Journal of Stress Management, 22</w:t>
      </w:r>
      <w:r w:rsidRPr="00404BF5">
        <w:rPr>
          <w:rFonts w:ascii="Times New Roman" w:eastAsia="Times New Roman" w:hAnsi="Times New Roman" w:cs="Times New Roman"/>
          <w:sz w:val="24"/>
          <w:szCs w:val="24"/>
        </w:rPr>
        <w:t xml:space="preserve">(2), 137–158. </w:t>
      </w:r>
      <w:hyperlink r:id="rId43" w:history="1">
        <w:r w:rsidRPr="00404BF5">
          <w:rPr>
            <w:rFonts w:ascii="Times New Roman" w:eastAsia="Times New Roman" w:hAnsi="Times New Roman" w:cs="Times New Roman"/>
            <w:color w:val="0000FF"/>
            <w:sz w:val="24"/>
            <w:szCs w:val="24"/>
            <w:u w:val="single"/>
          </w:rPr>
          <w:t>https://doi.org/10.1037/a0038905</w:t>
        </w:r>
      </w:hyperlink>
    </w:p>
    <w:p w14:paraId="2C42C6C9" w14:textId="0C530F11"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lang w:val="nl-BE"/>
        </w:rPr>
        <w:t xml:space="preserve">Koopmans, L., Bernaards, C. M., Hildebrandt, V. H., de Vet, H. C. W., &amp; van der Beek, A. J. (2014). </w:t>
      </w:r>
      <w:r w:rsidRPr="00404BF5">
        <w:rPr>
          <w:rFonts w:ascii="Times New Roman" w:eastAsia="Times New Roman" w:hAnsi="Times New Roman" w:cs="Times New Roman"/>
          <w:sz w:val="24"/>
          <w:szCs w:val="24"/>
        </w:rPr>
        <w:t xml:space="preserve">Construct validity of the individual work performance questionnaire. </w:t>
      </w:r>
      <w:r w:rsidRPr="00404BF5">
        <w:rPr>
          <w:rFonts w:ascii="Times New Roman" w:eastAsia="Times New Roman" w:hAnsi="Times New Roman" w:cs="Times New Roman"/>
          <w:i/>
          <w:iCs/>
          <w:sz w:val="24"/>
          <w:szCs w:val="24"/>
        </w:rPr>
        <w:t>Journal of Occupational and Environmental Medicine, 56</w:t>
      </w:r>
      <w:r w:rsidRPr="00404BF5">
        <w:rPr>
          <w:rFonts w:ascii="Times New Roman" w:eastAsia="Times New Roman" w:hAnsi="Times New Roman" w:cs="Times New Roman"/>
          <w:sz w:val="24"/>
          <w:szCs w:val="24"/>
        </w:rPr>
        <w:t xml:space="preserve">(3), 331–337. </w:t>
      </w:r>
      <w:hyperlink r:id="rId44" w:history="1">
        <w:r w:rsidRPr="00404BF5">
          <w:rPr>
            <w:rFonts w:ascii="Times New Roman" w:eastAsia="Times New Roman" w:hAnsi="Times New Roman" w:cs="Times New Roman"/>
            <w:color w:val="0000FF"/>
            <w:sz w:val="24"/>
            <w:szCs w:val="24"/>
            <w:u w:val="single"/>
          </w:rPr>
          <w:t>https://doi.org/10.1097/JOM.0000000000000113</w:t>
        </w:r>
      </w:hyperlink>
    </w:p>
    <w:p w14:paraId="18D0D3D4" w14:textId="6359D000"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Eatough, E. M., Chang, C.-H., </w:t>
      </w:r>
      <w:proofErr w:type="spellStart"/>
      <w:r w:rsidRPr="00404BF5">
        <w:rPr>
          <w:rFonts w:ascii="Times New Roman" w:eastAsia="Times New Roman" w:hAnsi="Times New Roman" w:cs="Times New Roman"/>
          <w:sz w:val="24"/>
          <w:szCs w:val="24"/>
        </w:rPr>
        <w:t>Miloslavic</w:t>
      </w:r>
      <w:proofErr w:type="spellEnd"/>
      <w:r w:rsidRPr="00404BF5">
        <w:rPr>
          <w:rFonts w:ascii="Times New Roman" w:eastAsia="Times New Roman" w:hAnsi="Times New Roman" w:cs="Times New Roman"/>
          <w:sz w:val="24"/>
          <w:szCs w:val="24"/>
        </w:rPr>
        <w:t xml:space="preserve">, S. A., &amp; Johnson, R. E. (2011). Relationships of role stressors with organizational citizenship behavior: A meta-analysis. </w:t>
      </w:r>
      <w:r w:rsidRPr="00404BF5">
        <w:rPr>
          <w:rFonts w:ascii="Times New Roman" w:eastAsia="Times New Roman" w:hAnsi="Times New Roman" w:cs="Times New Roman"/>
          <w:i/>
          <w:iCs/>
          <w:sz w:val="24"/>
          <w:szCs w:val="24"/>
        </w:rPr>
        <w:t>Journal of Applied Psychology, 96</w:t>
      </w:r>
      <w:r w:rsidRPr="00404BF5">
        <w:rPr>
          <w:rFonts w:ascii="Times New Roman" w:eastAsia="Times New Roman" w:hAnsi="Times New Roman" w:cs="Times New Roman"/>
          <w:sz w:val="24"/>
          <w:szCs w:val="24"/>
        </w:rPr>
        <w:t xml:space="preserve">(3), 619–632. </w:t>
      </w:r>
      <w:hyperlink r:id="rId45" w:history="1">
        <w:r w:rsidRPr="00404BF5">
          <w:rPr>
            <w:rFonts w:ascii="Times New Roman" w:eastAsia="Times New Roman" w:hAnsi="Times New Roman" w:cs="Times New Roman"/>
            <w:color w:val="0000FF"/>
            <w:sz w:val="24"/>
            <w:szCs w:val="24"/>
            <w:u w:val="single"/>
          </w:rPr>
          <w:t>https://doi.org/10.1037/a0021887</w:t>
        </w:r>
      </w:hyperlink>
    </w:p>
    <w:p w14:paraId="1E5B3872"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lang w:val="nl-BE"/>
        </w:rPr>
        <w:t xml:space="preserve">Maslach, C., &amp; Leiter, M. P. (2016). </w:t>
      </w:r>
      <w:r w:rsidRPr="00404BF5">
        <w:rPr>
          <w:rFonts w:ascii="Times New Roman" w:eastAsia="Times New Roman" w:hAnsi="Times New Roman" w:cs="Times New Roman"/>
          <w:sz w:val="24"/>
          <w:szCs w:val="24"/>
        </w:rPr>
        <w:t xml:space="preserve">Understanding the burnout experience: Recent research and its implications for psychiatry. </w:t>
      </w:r>
      <w:r w:rsidRPr="00404BF5">
        <w:rPr>
          <w:rFonts w:ascii="Times New Roman" w:eastAsia="Times New Roman" w:hAnsi="Times New Roman" w:cs="Times New Roman"/>
          <w:i/>
          <w:iCs/>
          <w:sz w:val="24"/>
          <w:szCs w:val="24"/>
        </w:rPr>
        <w:t>World Psychiatry, 15</w:t>
      </w:r>
      <w:r w:rsidRPr="00404BF5">
        <w:rPr>
          <w:rFonts w:ascii="Times New Roman" w:eastAsia="Times New Roman" w:hAnsi="Times New Roman" w:cs="Times New Roman"/>
          <w:sz w:val="24"/>
          <w:szCs w:val="24"/>
        </w:rPr>
        <w:t xml:space="preserve">(2), 103–111. </w:t>
      </w:r>
      <w:hyperlink r:id="rId46" w:history="1">
        <w:r w:rsidRPr="00404BF5">
          <w:rPr>
            <w:rFonts w:ascii="Times New Roman" w:eastAsia="Times New Roman" w:hAnsi="Times New Roman" w:cs="Times New Roman"/>
            <w:color w:val="0000FF"/>
            <w:sz w:val="24"/>
            <w:szCs w:val="24"/>
            <w:u w:val="single"/>
          </w:rPr>
          <w:t>https://doi.org/10.1002/wps.20311</w:t>
        </w:r>
      </w:hyperlink>
    </w:p>
    <w:p w14:paraId="2C912B62" w14:textId="45530CB0"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lastRenderedPageBreak/>
        <w:t xml:space="preserve">McEwen, B. S., &amp; Akil, H. (2020). Revisiting the stress concept: Implications for affective disorders. </w:t>
      </w:r>
      <w:r w:rsidRPr="00404BF5">
        <w:rPr>
          <w:rFonts w:ascii="Times New Roman" w:eastAsia="Times New Roman" w:hAnsi="Times New Roman" w:cs="Times New Roman"/>
          <w:i/>
          <w:iCs/>
          <w:sz w:val="24"/>
          <w:szCs w:val="24"/>
        </w:rPr>
        <w:t>Journal of Neuroscience, 40</w:t>
      </w:r>
      <w:r w:rsidRPr="00404BF5">
        <w:rPr>
          <w:rFonts w:ascii="Times New Roman" w:eastAsia="Times New Roman" w:hAnsi="Times New Roman" w:cs="Times New Roman"/>
          <w:sz w:val="24"/>
          <w:szCs w:val="24"/>
        </w:rPr>
        <w:t xml:space="preserve">(1), 12–21. </w:t>
      </w:r>
      <w:hyperlink r:id="rId47" w:history="1">
        <w:r w:rsidRPr="00404BF5">
          <w:rPr>
            <w:rFonts w:ascii="Times New Roman" w:eastAsia="Times New Roman" w:hAnsi="Times New Roman" w:cs="Times New Roman"/>
            <w:color w:val="0000FF"/>
            <w:sz w:val="24"/>
            <w:szCs w:val="24"/>
            <w:u w:val="single"/>
          </w:rPr>
          <w:t>https://doi.org/10.1523/JNEUROSCI.0733-19.2019</w:t>
        </w:r>
      </w:hyperlink>
      <w:r w:rsidRPr="00404BF5">
        <w:rPr>
          <w:rFonts w:ascii="Times New Roman" w:eastAsia="Times New Roman" w:hAnsi="Times New Roman" w:cs="Times New Roman"/>
          <w:sz w:val="24"/>
          <w:szCs w:val="24"/>
        </w:rPr>
        <w:t xml:space="preserve"> </w:t>
      </w:r>
    </w:p>
    <w:p w14:paraId="583A0A65" w14:textId="500AB1C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Hurrell, J. J., Jr., Nelson, D. L., &amp; Simmons, B. L. (1998). Measuring job stressors and strains: Where we have been, where we are, and where we need to go. </w:t>
      </w:r>
      <w:r w:rsidRPr="00404BF5">
        <w:rPr>
          <w:rFonts w:ascii="Times New Roman" w:eastAsia="Times New Roman" w:hAnsi="Times New Roman" w:cs="Times New Roman"/>
          <w:i/>
          <w:iCs/>
          <w:sz w:val="24"/>
          <w:szCs w:val="24"/>
        </w:rPr>
        <w:t>Journal of Occupational Health Psychology, 3</w:t>
      </w:r>
      <w:r w:rsidRPr="00404BF5">
        <w:rPr>
          <w:rFonts w:ascii="Times New Roman" w:eastAsia="Times New Roman" w:hAnsi="Times New Roman" w:cs="Times New Roman"/>
          <w:sz w:val="24"/>
          <w:szCs w:val="24"/>
        </w:rPr>
        <w:t xml:space="preserve">(4), 368–389. </w:t>
      </w:r>
      <w:hyperlink r:id="rId48" w:history="1">
        <w:r w:rsidRPr="00404BF5">
          <w:rPr>
            <w:rFonts w:ascii="Times New Roman" w:eastAsia="Times New Roman" w:hAnsi="Times New Roman" w:cs="Times New Roman"/>
            <w:color w:val="0000FF"/>
            <w:sz w:val="24"/>
            <w:szCs w:val="24"/>
            <w:u w:val="single"/>
          </w:rPr>
          <w:t>https://doi.org/10.1037/1076-8998.3.4.368</w:t>
        </w:r>
      </w:hyperlink>
    </w:p>
    <w:p w14:paraId="45AD9C95" w14:textId="223B1775"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t>Meglino</w:t>
      </w:r>
      <w:proofErr w:type="spellEnd"/>
      <w:r w:rsidRPr="00404BF5">
        <w:rPr>
          <w:rFonts w:ascii="Times New Roman" w:eastAsia="Times New Roman" w:hAnsi="Times New Roman" w:cs="Times New Roman"/>
          <w:sz w:val="24"/>
          <w:szCs w:val="24"/>
        </w:rPr>
        <w:t xml:space="preserve">, B. M., &amp; Ravlin, E. C. (1998). Individual values in organizations: Concepts, controversies, and research. </w:t>
      </w:r>
      <w:r w:rsidRPr="00404BF5">
        <w:rPr>
          <w:rFonts w:ascii="Times New Roman" w:eastAsia="Times New Roman" w:hAnsi="Times New Roman" w:cs="Times New Roman"/>
          <w:i/>
          <w:iCs/>
          <w:sz w:val="24"/>
          <w:szCs w:val="24"/>
        </w:rPr>
        <w:t>Journal of Management, 24</w:t>
      </w:r>
      <w:r w:rsidRPr="00404BF5">
        <w:rPr>
          <w:rFonts w:ascii="Times New Roman" w:eastAsia="Times New Roman" w:hAnsi="Times New Roman" w:cs="Times New Roman"/>
          <w:sz w:val="24"/>
          <w:szCs w:val="24"/>
        </w:rPr>
        <w:t xml:space="preserve">(3), 351–389. </w:t>
      </w:r>
      <w:hyperlink r:id="rId49" w:history="1">
        <w:r w:rsidRPr="00404BF5">
          <w:rPr>
            <w:rFonts w:ascii="Times New Roman" w:eastAsia="Times New Roman" w:hAnsi="Times New Roman" w:cs="Times New Roman"/>
            <w:color w:val="0000FF"/>
            <w:sz w:val="24"/>
            <w:szCs w:val="24"/>
            <w:u w:val="single"/>
          </w:rPr>
          <w:t>https://doi.org/10.1016/S0149-2063(99)80065-8</w:t>
        </w:r>
      </w:hyperlink>
      <w:r w:rsidRPr="00404BF5">
        <w:rPr>
          <w:rFonts w:ascii="Times New Roman" w:eastAsia="Times New Roman" w:hAnsi="Times New Roman" w:cs="Times New Roman"/>
          <w:sz w:val="24"/>
          <w:szCs w:val="24"/>
        </w:rPr>
        <w:t xml:space="preserve"> </w:t>
      </w:r>
    </w:p>
    <w:p w14:paraId="305CDC71" w14:textId="7A83BAA2"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lang w:val="nl-BE"/>
        </w:rPr>
        <w:t xml:space="preserve">Meijman, T. F., &amp; Mulder, G. (1998). </w:t>
      </w:r>
      <w:r w:rsidRPr="00404BF5">
        <w:rPr>
          <w:rFonts w:ascii="Times New Roman" w:eastAsia="Times New Roman" w:hAnsi="Times New Roman" w:cs="Times New Roman"/>
          <w:sz w:val="24"/>
          <w:szCs w:val="24"/>
        </w:rPr>
        <w:t xml:space="preserve">Psychological aspects of workload. In P. J. D. Drenth, H. Thierry, &amp; C. J. de Wolff (Eds.), </w:t>
      </w:r>
      <w:r w:rsidRPr="00404BF5">
        <w:rPr>
          <w:rFonts w:ascii="Times New Roman" w:eastAsia="Times New Roman" w:hAnsi="Times New Roman" w:cs="Times New Roman"/>
          <w:i/>
          <w:iCs/>
          <w:sz w:val="24"/>
          <w:szCs w:val="24"/>
        </w:rPr>
        <w:t>Handbook of work and organizational psychology: Vol. 2. Work psychology</w:t>
      </w:r>
      <w:r w:rsidRPr="00404BF5">
        <w:rPr>
          <w:rFonts w:ascii="Times New Roman" w:eastAsia="Times New Roman" w:hAnsi="Times New Roman" w:cs="Times New Roman"/>
          <w:sz w:val="24"/>
          <w:szCs w:val="24"/>
        </w:rPr>
        <w:t xml:space="preserve"> (2nd ed., pp. 5–33). Psychology Press. </w:t>
      </w:r>
    </w:p>
    <w:p w14:paraId="7581AC7F" w14:textId="22D6A1E1"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t>Baethge</w:t>
      </w:r>
      <w:proofErr w:type="spellEnd"/>
      <w:r w:rsidRPr="00404BF5">
        <w:rPr>
          <w:rFonts w:ascii="Times New Roman" w:eastAsia="Times New Roman" w:hAnsi="Times New Roman" w:cs="Times New Roman"/>
          <w:sz w:val="24"/>
          <w:szCs w:val="24"/>
        </w:rPr>
        <w:t xml:space="preserve">, A., Rigotti, T., &amp; Roe, R. A. (2015). Just more of the same, or different? An integrative theoretical framework for the study of cumulative interruptions at work. </w:t>
      </w:r>
      <w:r w:rsidRPr="00404BF5">
        <w:rPr>
          <w:rFonts w:ascii="Times New Roman" w:eastAsia="Times New Roman" w:hAnsi="Times New Roman" w:cs="Times New Roman"/>
          <w:i/>
          <w:iCs/>
          <w:sz w:val="24"/>
          <w:szCs w:val="24"/>
        </w:rPr>
        <w:t>European Journal of Work and Organizational Psychology, 24</w:t>
      </w:r>
      <w:r w:rsidRPr="00404BF5">
        <w:rPr>
          <w:rFonts w:ascii="Times New Roman" w:eastAsia="Times New Roman" w:hAnsi="Times New Roman" w:cs="Times New Roman"/>
          <w:sz w:val="24"/>
          <w:szCs w:val="24"/>
        </w:rPr>
        <w:t xml:space="preserve">(2), 308–323. </w:t>
      </w:r>
      <w:hyperlink r:id="rId50" w:history="1">
        <w:r w:rsidRPr="00404BF5">
          <w:rPr>
            <w:rFonts w:ascii="Times New Roman" w:eastAsia="Times New Roman" w:hAnsi="Times New Roman" w:cs="Times New Roman"/>
            <w:color w:val="0000FF"/>
            <w:sz w:val="24"/>
            <w:szCs w:val="24"/>
            <w:u w:val="single"/>
          </w:rPr>
          <w:t>https://doi.org/10.1080/1359432X.2014.897943</w:t>
        </w:r>
      </w:hyperlink>
    </w:p>
    <w:p w14:paraId="0AC36EFD" w14:textId="6B120B7F"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Chiva, R., &amp; Alegre, J. (2008). Emotional intelligence and job satisfaction: The role of organizational learning capability. </w:t>
      </w:r>
      <w:r w:rsidRPr="00404BF5">
        <w:rPr>
          <w:rFonts w:ascii="Times New Roman" w:eastAsia="Times New Roman" w:hAnsi="Times New Roman" w:cs="Times New Roman"/>
          <w:i/>
          <w:iCs/>
          <w:sz w:val="24"/>
          <w:szCs w:val="24"/>
        </w:rPr>
        <w:t>Personnel Review, 37</w:t>
      </w:r>
      <w:r w:rsidRPr="00404BF5">
        <w:rPr>
          <w:rFonts w:ascii="Times New Roman" w:eastAsia="Times New Roman" w:hAnsi="Times New Roman" w:cs="Times New Roman"/>
          <w:sz w:val="24"/>
          <w:szCs w:val="24"/>
        </w:rPr>
        <w:t xml:space="preserve">(6), 680–701. </w:t>
      </w:r>
      <w:hyperlink r:id="rId51" w:history="1">
        <w:r w:rsidRPr="00404BF5">
          <w:rPr>
            <w:rFonts w:ascii="Times New Roman" w:eastAsia="Times New Roman" w:hAnsi="Times New Roman" w:cs="Times New Roman"/>
            <w:color w:val="0000FF"/>
            <w:sz w:val="24"/>
            <w:szCs w:val="24"/>
            <w:u w:val="single"/>
          </w:rPr>
          <w:t>https://doi.org/10.1108/00483480810906900</w:t>
        </w:r>
      </w:hyperlink>
    </w:p>
    <w:p w14:paraId="0685944A" w14:textId="101EF09C"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Mimura, C., &amp; Griffiths, P. (2003). The effectiveness of current approaches to workplace stress management in the nursing profession: An </w:t>
      </w:r>
      <w:proofErr w:type="gramStart"/>
      <w:r w:rsidRPr="00404BF5">
        <w:rPr>
          <w:rFonts w:ascii="Times New Roman" w:eastAsia="Times New Roman" w:hAnsi="Times New Roman" w:cs="Times New Roman"/>
          <w:sz w:val="24"/>
          <w:szCs w:val="24"/>
        </w:rPr>
        <w:t>evidence based</w:t>
      </w:r>
      <w:proofErr w:type="gramEnd"/>
      <w:r w:rsidRPr="00404BF5">
        <w:rPr>
          <w:rFonts w:ascii="Times New Roman" w:eastAsia="Times New Roman" w:hAnsi="Times New Roman" w:cs="Times New Roman"/>
          <w:sz w:val="24"/>
          <w:szCs w:val="24"/>
        </w:rPr>
        <w:t xml:space="preserve"> literature review. </w:t>
      </w:r>
      <w:r w:rsidRPr="00404BF5">
        <w:rPr>
          <w:rFonts w:ascii="Times New Roman" w:eastAsia="Times New Roman" w:hAnsi="Times New Roman" w:cs="Times New Roman"/>
          <w:i/>
          <w:iCs/>
          <w:sz w:val="24"/>
          <w:szCs w:val="24"/>
        </w:rPr>
        <w:t>Occupational and Environmental Medicine, 60</w:t>
      </w:r>
      <w:r w:rsidRPr="00404BF5">
        <w:rPr>
          <w:rFonts w:ascii="Times New Roman" w:eastAsia="Times New Roman" w:hAnsi="Times New Roman" w:cs="Times New Roman"/>
          <w:sz w:val="24"/>
          <w:szCs w:val="24"/>
        </w:rPr>
        <w:t xml:space="preserve">(1), 10–15. </w:t>
      </w:r>
      <w:hyperlink r:id="rId52" w:history="1">
        <w:r w:rsidRPr="00404BF5">
          <w:rPr>
            <w:rFonts w:ascii="Times New Roman" w:eastAsia="Times New Roman" w:hAnsi="Times New Roman" w:cs="Times New Roman"/>
            <w:color w:val="0000FF"/>
            <w:sz w:val="24"/>
            <w:szCs w:val="24"/>
            <w:u w:val="single"/>
          </w:rPr>
          <w:t>https://doi.org/10.1136/oem.60.1.10</w:t>
        </w:r>
      </w:hyperlink>
      <w:r w:rsidRPr="00404BF5">
        <w:rPr>
          <w:rFonts w:ascii="Times New Roman" w:eastAsia="Times New Roman" w:hAnsi="Times New Roman" w:cs="Times New Roman"/>
          <w:sz w:val="24"/>
          <w:szCs w:val="24"/>
        </w:rPr>
        <w:t xml:space="preserve"> </w:t>
      </w:r>
    </w:p>
    <w:p w14:paraId="4D968D16" w14:textId="7B33DFD5"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Mind. (2021). Stress: Understanding stress. </w:t>
      </w:r>
    </w:p>
    <w:p w14:paraId="23AF534B"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Mohr, D. C., </w:t>
      </w:r>
      <w:proofErr w:type="spellStart"/>
      <w:r w:rsidRPr="00404BF5">
        <w:rPr>
          <w:rFonts w:ascii="Times New Roman" w:eastAsia="Times New Roman" w:hAnsi="Times New Roman" w:cs="Times New Roman"/>
          <w:sz w:val="24"/>
          <w:szCs w:val="24"/>
        </w:rPr>
        <w:t>Elnahal</w:t>
      </w:r>
      <w:proofErr w:type="spellEnd"/>
      <w:r w:rsidRPr="00404BF5">
        <w:rPr>
          <w:rFonts w:ascii="Times New Roman" w:eastAsia="Times New Roman" w:hAnsi="Times New Roman" w:cs="Times New Roman"/>
          <w:sz w:val="24"/>
          <w:szCs w:val="24"/>
        </w:rPr>
        <w:t xml:space="preserve">, S., Marks, M. L., Derickson, R., &amp; </w:t>
      </w:r>
      <w:proofErr w:type="spellStart"/>
      <w:r w:rsidRPr="00404BF5">
        <w:rPr>
          <w:rFonts w:ascii="Times New Roman" w:eastAsia="Times New Roman" w:hAnsi="Times New Roman" w:cs="Times New Roman"/>
          <w:sz w:val="24"/>
          <w:szCs w:val="24"/>
        </w:rPr>
        <w:t>Osatuke</w:t>
      </w:r>
      <w:proofErr w:type="spellEnd"/>
      <w:r w:rsidRPr="00404BF5">
        <w:rPr>
          <w:rFonts w:ascii="Times New Roman" w:eastAsia="Times New Roman" w:hAnsi="Times New Roman" w:cs="Times New Roman"/>
          <w:sz w:val="24"/>
          <w:szCs w:val="24"/>
        </w:rPr>
        <w:t xml:space="preserve">, K. (2025). Burnout trends among US health care workers. </w:t>
      </w:r>
      <w:r w:rsidRPr="00404BF5">
        <w:rPr>
          <w:rFonts w:ascii="Times New Roman" w:eastAsia="Times New Roman" w:hAnsi="Times New Roman" w:cs="Times New Roman"/>
          <w:i/>
          <w:iCs/>
          <w:sz w:val="24"/>
          <w:szCs w:val="24"/>
        </w:rPr>
        <w:t>JAMA Network Open, 8</w:t>
      </w:r>
      <w:r w:rsidRPr="00404BF5">
        <w:rPr>
          <w:rFonts w:ascii="Times New Roman" w:eastAsia="Times New Roman" w:hAnsi="Times New Roman" w:cs="Times New Roman"/>
          <w:sz w:val="24"/>
          <w:szCs w:val="24"/>
        </w:rPr>
        <w:t xml:space="preserve">(4), Article e255954. </w:t>
      </w:r>
      <w:hyperlink r:id="rId53" w:history="1">
        <w:r w:rsidRPr="00404BF5">
          <w:rPr>
            <w:rFonts w:ascii="Times New Roman" w:eastAsia="Times New Roman" w:hAnsi="Times New Roman" w:cs="Times New Roman"/>
            <w:color w:val="0000FF"/>
            <w:sz w:val="24"/>
            <w:szCs w:val="24"/>
            <w:u w:val="single"/>
          </w:rPr>
          <w:t>https://doi.org/10.1001/jamanetworkopen.2025.5954</w:t>
        </w:r>
      </w:hyperlink>
    </w:p>
    <w:p w14:paraId="181B36F8"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Oladimeji, O. E., &amp; Ohwo, O. (2022). Assessment of flood risk and mapping of flood risk zones in Yenagoa, Bayelsa State, Nigeria. </w:t>
      </w:r>
      <w:r w:rsidRPr="00404BF5">
        <w:rPr>
          <w:rFonts w:ascii="Times New Roman" w:eastAsia="Times New Roman" w:hAnsi="Times New Roman" w:cs="Times New Roman"/>
          <w:i/>
          <w:iCs/>
          <w:sz w:val="24"/>
          <w:szCs w:val="24"/>
        </w:rPr>
        <w:t>Journal of Applied Sciences and Environmental Management, 26</w:t>
      </w:r>
      <w:r w:rsidRPr="00404BF5">
        <w:rPr>
          <w:rFonts w:ascii="Times New Roman" w:eastAsia="Times New Roman" w:hAnsi="Times New Roman" w:cs="Times New Roman"/>
          <w:sz w:val="24"/>
          <w:szCs w:val="24"/>
        </w:rPr>
        <w:t xml:space="preserve">(2), 219–226. </w:t>
      </w:r>
      <w:hyperlink r:id="rId54" w:history="1">
        <w:r w:rsidRPr="00404BF5">
          <w:rPr>
            <w:rFonts w:ascii="Times New Roman" w:eastAsia="Times New Roman" w:hAnsi="Times New Roman" w:cs="Times New Roman"/>
            <w:color w:val="0000FF"/>
            <w:sz w:val="24"/>
            <w:szCs w:val="24"/>
            <w:u w:val="single"/>
          </w:rPr>
          <w:t>https://doi.org/10.4314/jasem.v26i2.13</w:t>
        </w:r>
      </w:hyperlink>
    </w:p>
    <w:p w14:paraId="67188FF3"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t>Oyediran</w:t>
      </w:r>
      <w:proofErr w:type="spellEnd"/>
      <w:r w:rsidRPr="00404BF5">
        <w:rPr>
          <w:rFonts w:ascii="Times New Roman" w:eastAsia="Times New Roman" w:hAnsi="Times New Roman" w:cs="Times New Roman"/>
          <w:sz w:val="24"/>
          <w:szCs w:val="24"/>
        </w:rPr>
        <w:t xml:space="preserve">, O. O., </w:t>
      </w:r>
      <w:proofErr w:type="spellStart"/>
      <w:r w:rsidRPr="00404BF5">
        <w:rPr>
          <w:rFonts w:ascii="Times New Roman" w:eastAsia="Times New Roman" w:hAnsi="Times New Roman" w:cs="Times New Roman"/>
          <w:sz w:val="24"/>
          <w:szCs w:val="24"/>
        </w:rPr>
        <w:t>Olawuwo</w:t>
      </w:r>
      <w:proofErr w:type="spellEnd"/>
      <w:r w:rsidRPr="00404BF5">
        <w:rPr>
          <w:rFonts w:ascii="Times New Roman" w:eastAsia="Times New Roman" w:hAnsi="Times New Roman" w:cs="Times New Roman"/>
          <w:sz w:val="24"/>
          <w:szCs w:val="24"/>
        </w:rPr>
        <w:t xml:space="preserve">, F. O., Ademuyiwa, I. Y., Ishola, K. E., &amp; </w:t>
      </w:r>
      <w:proofErr w:type="spellStart"/>
      <w:r w:rsidRPr="00404BF5">
        <w:rPr>
          <w:rFonts w:ascii="Times New Roman" w:eastAsia="Times New Roman" w:hAnsi="Times New Roman" w:cs="Times New Roman"/>
          <w:sz w:val="24"/>
          <w:szCs w:val="24"/>
        </w:rPr>
        <w:t>Ayandiran</w:t>
      </w:r>
      <w:proofErr w:type="spellEnd"/>
      <w:r w:rsidRPr="00404BF5">
        <w:rPr>
          <w:rFonts w:ascii="Times New Roman" w:eastAsia="Times New Roman" w:hAnsi="Times New Roman" w:cs="Times New Roman"/>
          <w:sz w:val="24"/>
          <w:szCs w:val="24"/>
        </w:rPr>
        <w:t xml:space="preserve">, E. O. (2025). Work-related stress and coping strategies of perioperative nurses in government hospitals: A study from Southwestern Nigeria. </w:t>
      </w:r>
      <w:r w:rsidRPr="00404BF5">
        <w:rPr>
          <w:rFonts w:ascii="Times New Roman" w:eastAsia="Times New Roman" w:hAnsi="Times New Roman" w:cs="Times New Roman"/>
          <w:i/>
          <w:iCs/>
          <w:sz w:val="24"/>
          <w:szCs w:val="24"/>
        </w:rPr>
        <w:t>Asian Journal of Medicine and Health, 23</w:t>
      </w:r>
      <w:r w:rsidRPr="00404BF5">
        <w:rPr>
          <w:rFonts w:ascii="Times New Roman" w:eastAsia="Times New Roman" w:hAnsi="Times New Roman" w:cs="Times New Roman"/>
          <w:sz w:val="24"/>
          <w:szCs w:val="24"/>
        </w:rPr>
        <w:t xml:space="preserve">(9), 9–17. </w:t>
      </w:r>
      <w:hyperlink r:id="rId55" w:history="1">
        <w:r w:rsidRPr="00404BF5">
          <w:rPr>
            <w:rFonts w:ascii="Times New Roman" w:eastAsia="Times New Roman" w:hAnsi="Times New Roman" w:cs="Times New Roman"/>
            <w:color w:val="0000FF"/>
            <w:sz w:val="24"/>
            <w:szCs w:val="24"/>
            <w:u w:val="single"/>
          </w:rPr>
          <w:t>https://doi.org/10.9734/ajmah/2025/v23i91291</w:t>
        </w:r>
      </w:hyperlink>
    </w:p>
    <w:p w14:paraId="34573E89"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lastRenderedPageBreak/>
        <w:t xml:space="preserve">Rajabi, F., Jahangiri, M., </w:t>
      </w:r>
      <w:proofErr w:type="spellStart"/>
      <w:r w:rsidRPr="00404BF5">
        <w:rPr>
          <w:rFonts w:ascii="Times New Roman" w:eastAsia="Times New Roman" w:hAnsi="Times New Roman" w:cs="Times New Roman"/>
          <w:sz w:val="24"/>
          <w:szCs w:val="24"/>
        </w:rPr>
        <w:t>Molaeifar</w:t>
      </w:r>
      <w:proofErr w:type="spellEnd"/>
      <w:r w:rsidRPr="00404BF5">
        <w:rPr>
          <w:rFonts w:ascii="Times New Roman" w:eastAsia="Times New Roman" w:hAnsi="Times New Roman" w:cs="Times New Roman"/>
          <w:sz w:val="24"/>
          <w:szCs w:val="24"/>
        </w:rPr>
        <w:t xml:space="preserve">, H., </w:t>
      </w:r>
      <w:proofErr w:type="spellStart"/>
      <w:r w:rsidRPr="00404BF5">
        <w:rPr>
          <w:rFonts w:ascii="Times New Roman" w:eastAsia="Times New Roman" w:hAnsi="Times New Roman" w:cs="Times New Roman"/>
          <w:sz w:val="24"/>
          <w:szCs w:val="24"/>
        </w:rPr>
        <w:t>Honarbakhsh</w:t>
      </w:r>
      <w:proofErr w:type="spellEnd"/>
      <w:r w:rsidRPr="00404BF5">
        <w:rPr>
          <w:rFonts w:ascii="Times New Roman" w:eastAsia="Times New Roman" w:hAnsi="Times New Roman" w:cs="Times New Roman"/>
          <w:sz w:val="24"/>
          <w:szCs w:val="24"/>
        </w:rPr>
        <w:t xml:space="preserve">, M., &amp; Farhadi, P. (2018). Occupational stress among nurses and pre-hospital emergency staff: Application of fuzzy analytic hierarchy process (FAHP) method. </w:t>
      </w:r>
      <w:r w:rsidRPr="00404BF5">
        <w:rPr>
          <w:rFonts w:ascii="Times New Roman" w:eastAsia="Times New Roman" w:hAnsi="Times New Roman" w:cs="Times New Roman"/>
          <w:i/>
          <w:iCs/>
          <w:sz w:val="24"/>
          <w:szCs w:val="24"/>
        </w:rPr>
        <w:t>EXCLI Journal, 17</w:t>
      </w:r>
      <w:r w:rsidRPr="00404BF5">
        <w:rPr>
          <w:rFonts w:ascii="Times New Roman" w:eastAsia="Times New Roman" w:hAnsi="Times New Roman" w:cs="Times New Roman"/>
          <w:sz w:val="24"/>
          <w:szCs w:val="24"/>
        </w:rPr>
        <w:t xml:space="preserve">, 808–824. </w:t>
      </w:r>
      <w:hyperlink r:id="rId56" w:history="1">
        <w:r w:rsidRPr="00404BF5">
          <w:rPr>
            <w:rFonts w:ascii="Times New Roman" w:eastAsia="Times New Roman" w:hAnsi="Times New Roman" w:cs="Times New Roman"/>
            <w:color w:val="0000FF"/>
            <w:sz w:val="24"/>
            <w:szCs w:val="24"/>
            <w:u w:val="single"/>
          </w:rPr>
          <w:t>https://doi.org/10.17179/excli2018-1505</w:t>
        </w:r>
      </w:hyperlink>
    </w:p>
    <w:p w14:paraId="1206DEC5"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Sani, M. M., Jafaru, Y., </w:t>
      </w:r>
      <w:proofErr w:type="spellStart"/>
      <w:r w:rsidRPr="00404BF5">
        <w:rPr>
          <w:rFonts w:ascii="Times New Roman" w:eastAsia="Times New Roman" w:hAnsi="Times New Roman" w:cs="Times New Roman"/>
          <w:sz w:val="24"/>
          <w:szCs w:val="24"/>
        </w:rPr>
        <w:t>Ashipala</w:t>
      </w:r>
      <w:proofErr w:type="spellEnd"/>
      <w:r w:rsidRPr="00404BF5">
        <w:rPr>
          <w:rFonts w:ascii="Times New Roman" w:eastAsia="Times New Roman" w:hAnsi="Times New Roman" w:cs="Times New Roman"/>
          <w:sz w:val="24"/>
          <w:szCs w:val="24"/>
        </w:rPr>
        <w:t xml:space="preserve">, D. O., &amp; Sahabi, A. K. (2024). Influence of work-related stress on patient safety culture among nurses in a tertiary hospital: A cross-sectional study. </w:t>
      </w:r>
      <w:r w:rsidRPr="00404BF5">
        <w:rPr>
          <w:rFonts w:ascii="Times New Roman" w:eastAsia="Times New Roman" w:hAnsi="Times New Roman" w:cs="Times New Roman"/>
          <w:i/>
          <w:iCs/>
          <w:sz w:val="24"/>
          <w:szCs w:val="24"/>
        </w:rPr>
        <w:t>BMC Nursing, 23</w:t>
      </w:r>
      <w:r w:rsidRPr="00404BF5">
        <w:rPr>
          <w:rFonts w:ascii="Times New Roman" w:eastAsia="Times New Roman" w:hAnsi="Times New Roman" w:cs="Times New Roman"/>
          <w:sz w:val="24"/>
          <w:szCs w:val="24"/>
        </w:rPr>
        <w:t xml:space="preserve">, Article 81. </w:t>
      </w:r>
      <w:hyperlink r:id="rId57" w:history="1">
        <w:r w:rsidRPr="00404BF5">
          <w:rPr>
            <w:rFonts w:ascii="Times New Roman" w:eastAsia="Times New Roman" w:hAnsi="Times New Roman" w:cs="Times New Roman"/>
            <w:color w:val="0000FF"/>
            <w:sz w:val="24"/>
            <w:szCs w:val="24"/>
            <w:u w:val="single"/>
          </w:rPr>
          <w:t>https://doi.org/10.1186/s12912-023-01695-x</w:t>
        </w:r>
      </w:hyperlink>
    </w:p>
    <w:p w14:paraId="2C9CEC9B"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Schaufeli, W. B., &amp; Taris, T. W. (2014). A critical review of the job demands-resources model: Implications for improving work and health. In G. F. Bauer &amp; O. </w:t>
      </w:r>
      <w:proofErr w:type="spellStart"/>
      <w:r w:rsidRPr="00404BF5">
        <w:rPr>
          <w:rFonts w:ascii="Times New Roman" w:eastAsia="Times New Roman" w:hAnsi="Times New Roman" w:cs="Times New Roman"/>
          <w:sz w:val="24"/>
          <w:szCs w:val="24"/>
        </w:rPr>
        <w:t>Hämmig</w:t>
      </w:r>
      <w:proofErr w:type="spellEnd"/>
      <w:r w:rsidRPr="00404BF5">
        <w:rPr>
          <w:rFonts w:ascii="Times New Roman" w:eastAsia="Times New Roman" w:hAnsi="Times New Roman" w:cs="Times New Roman"/>
          <w:sz w:val="24"/>
          <w:szCs w:val="24"/>
        </w:rPr>
        <w:t xml:space="preserve"> (Eds.), </w:t>
      </w:r>
      <w:r w:rsidRPr="00404BF5">
        <w:rPr>
          <w:rFonts w:ascii="Times New Roman" w:eastAsia="Times New Roman" w:hAnsi="Times New Roman" w:cs="Times New Roman"/>
          <w:i/>
          <w:iCs/>
          <w:sz w:val="24"/>
          <w:szCs w:val="24"/>
        </w:rPr>
        <w:t>Bridging occupational, organizational and public health: A transdisciplinary approach</w:t>
      </w:r>
      <w:r w:rsidRPr="00404BF5">
        <w:rPr>
          <w:rFonts w:ascii="Times New Roman" w:eastAsia="Times New Roman" w:hAnsi="Times New Roman" w:cs="Times New Roman"/>
          <w:sz w:val="24"/>
          <w:szCs w:val="24"/>
        </w:rPr>
        <w:t xml:space="preserve"> (pp. 43–68). Springer. </w:t>
      </w:r>
      <w:hyperlink r:id="rId58" w:history="1">
        <w:r w:rsidRPr="00404BF5">
          <w:rPr>
            <w:rFonts w:ascii="Times New Roman" w:eastAsia="Times New Roman" w:hAnsi="Times New Roman" w:cs="Times New Roman"/>
            <w:color w:val="0000FF"/>
            <w:sz w:val="24"/>
            <w:szCs w:val="24"/>
            <w:u w:val="single"/>
          </w:rPr>
          <w:t>https://doi.org/10.1007/978-94-007-5640-3_4</w:t>
        </w:r>
      </w:hyperlink>
    </w:p>
    <w:p w14:paraId="1B2DC343" w14:textId="55ECDF00"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Cummings, G. G., Tate, K., Lee, S., Wong, C. A., Paananen, T., </w:t>
      </w:r>
      <w:proofErr w:type="spellStart"/>
      <w:r w:rsidRPr="00404BF5">
        <w:rPr>
          <w:rFonts w:ascii="Times New Roman" w:eastAsia="Times New Roman" w:hAnsi="Times New Roman" w:cs="Times New Roman"/>
          <w:sz w:val="24"/>
          <w:szCs w:val="24"/>
        </w:rPr>
        <w:t>Micaroni</w:t>
      </w:r>
      <w:proofErr w:type="spellEnd"/>
      <w:r w:rsidRPr="00404BF5">
        <w:rPr>
          <w:rFonts w:ascii="Times New Roman" w:eastAsia="Times New Roman" w:hAnsi="Times New Roman" w:cs="Times New Roman"/>
          <w:sz w:val="24"/>
          <w:szCs w:val="24"/>
        </w:rPr>
        <w:t xml:space="preserve">, S. P. M., &amp; Chatterjee, G. E. (2018). Leadership styles and outcome patterns for the nursing workforce and work environment: A systematic review. </w:t>
      </w:r>
      <w:r w:rsidRPr="00404BF5">
        <w:rPr>
          <w:rFonts w:ascii="Times New Roman" w:eastAsia="Times New Roman" w:hAnsi="Times New Roman" w:cs="Times New Roman"/>
          <w:i/>
          <w:iCs/>
          <w:sz w:val="24"/>
          <w:szCs w:val="24"/>
        </w:rPr>
        <w:t>International Journal of Nursing Studies, 85</w:t>
      </w:r>
      <w:r w:rsidRPr="00404BF5">
        <w:rPr>
          <w:rFonts w:ascii="Times New Roman" w:eastAsia="Times New Roman" w:hAnsi="Times New Roman" w:cs="Times New Roman"/>
          <w:sz w:val="24"/>
          <w:szCs w:val="24"/>
        </w:rPr>
        <w:t xml:space="preserve">, 19–60. </w:t>
      </w:r>
      <w:hyperlink r:id="rId59" w:history="1">
        <w:r w:rsidRPr="00404BF5">
          <w:rPr>
            <w:rFonts w:ascii="Times New Roman" w:eastAsia="Times New Roman" w:hAnsi="Times New Roman" w:cs="Times New Roman"/>
            <w:color w:val="0000FF"/>
            <w:sz w:val="24"/>
            <w:szCs w:val="24"/>
            <w:u w:val="single"/>
          </w:rPr>
          <w:t>https://doi.org/10.1016/j.ijnurstu.2018.04.016</w:t>
        </w:r>
      </w:hyperlink>
    </w:p>
    <w:p w14:paraId="45A8A9B8"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World Health Organization. (2020). Occupational health: Stress at the workplace. </w:t>
      </w:r>
      <w:hyperlink r:id="rId60" w:history="1">
        <w:r w:rsidRPr="00404BF5">
          <w:rPr>
            <w:rFonts w:ascii="Times New Roman" w:eastAsia="Times New Roman" w:hAnsi="Times New Roman" w:cs="Times New Roman"/>
            <w:color w:val="0000FF"/>
            <w:sz w:val="24"/>
            <w:szCs w:val="24"/>
            <w:u w:val="single"/>
          </w:rPr>
          <w:t>https://www.who.int/news-room/questions-and-answers/item/ccupational-health-stress-at-the-workplace</w:t>
        </w:r>
      </w:hyperlink>
    </w:p>
    <w:p w14:paraId="7283E383" w14:textId="600D134E"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World Health Organization. (2000). </w:t>
      </w:r>
      <w:r w:rsidRPr="00404BF5">
        <w:rPr>
          <w:rFonts w:ascii="Times New Roman" w:eastAsia="Times New Roman" w:hAnsi="Times New Roman" w:cs="Times New Roman"/>
          <w:i/>
          <w:iCs/>
          <w:sz w:val="24"/>
          <w:szCs w:val="24"/>
        </w:rPr>
        <w:t>Mental health and work: Impact, issues and good practices</w:t>
      </w:r>
      <w:r w:rsidRPr="00404BF5">
        <w:rPr>
          <w:rFonts w:ascii="Times New Roman" w:eastAsia="Times New Roman" w:hAnsi="Times New Roman" w:cs="Times New Roman"/>
          <w:sz w:val="24"/>
          <w:szCs w:val="24"/>
        </w:rPr>
        <w:t xml:space="preserve">. World Health Organization. </w:t>
      </w:r>
      <w:hyperlink r:id="rId61" w:history="1">
        <w:r w:rsidRPr="00404BF5">
          <w:rPr>
            <w:rFonts w:ascii="Times New Roman" w:eastAsia="Times New Roman" w:hAnsi="Times New Roman" w:cs="Times New Roman"/>
            <w:color w:val="0000FF"/>
            <w:sz w:val="24"/>
            <w:szCs w:val="24"/>
            <w:u w:val="single"/>
          </w:rPr>
          <w:t>https://iris.who.int/handle/10665/42346</w:t>
        </w:r>
      </w:hyperlink>
    </w:p>
    <w:p w14:paraId="48BC1977" w14:textId="6B91F28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World Health Organization. (2022). </w:t>
      </w:r>
      <w:r w:rsidRPr="00404BF5">
        <w:rPr>
          <w:rFonts w:ascii="Times New Roman" w:eastAsia="Times New Roman" w:hAnsi="Times New Roman" w:cs="Times New Roman"/>
          <w:i/>
          <w:iCs/>
          <w:sz w:val="24"/>
          <w:szCs w:val="24"/>
        </w:rPr>
        <w:t>WHO guidelines on mental health at work</w:t>
      </w:r>
      <w:r w:rsidRPr="00404BF5">
        <w:rPr>
          <w:rFonts w:ascii="Times New Roman" w:eastAsia="Times New Roman" w:hAnsi="Times New Roman" w:cs="Times New Roman"/>
          <w:sz w:val="24"/>
          <w:szCs w:val="24"/>
        </w:rPr>
        <w:t xml:space="preserve">. World Health Organization. </w:t>
      </w:r>
      <w:hyperlink r:id="rId62" w:history="1">
        <w:r w:rsidRPr="00404BF5">
          <w:rPr>
            <w:rFonts w:ascii="Times New Roman" w:eastAsia="Times New Roman" w:hAnsi="Times New Roman" w:cs="Times New Roman"/>
            <w:color w:val="0000FF"/>
            <w:sz w:val="24"/>
            <w:szCs w:val="24"/>
            <w:u w:val="single"/>
          </w:rPr>
          <w:t>https://www.who.int/publications/i/item/9789240053052</w:t>
        </w:r>
      </w:hyperlink>
    </w:p>
    <w:p w14:paraId="7329D440" w14:textId="49494AA5"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04BF5">
        <w:rPr>
          <w:rFonts w:ascii="Times New Roman" w:eastAsia="Times New Roman" w:hAnsi="Times New Roman" w:cs="Times New Roman"/>
          <w:sz w:val="24"/>
          <w:szCs w:val="24"/>
        </w:rPr>
        <w:t>Orgambídez</w:t>
      </w:r>
      <w:proofErr w:type="spellEnd"/>
      <w:r w:rsidRPr="00404BF5">
        <w:rPr>
          <w:rFonts w:ascii="Times New Roman" w:eastAsia="Times New Roman" w:hAnsi="Times New Roman" w:cs="Times New Roman"/>
          <w:sz w:val="24"/>
          <w:szCs w:val="24"/>
        </w:rPr>
        <w:t xml:space="preserve">, A., Almeida, H., &amp; Borrego, Y. (2022). Social support and job satisfaction in nursing staff: Understanding the link through role ambiguity. </w:t>
      </w:r>
      <w:r w:rsidRPr="00404BF5">
        <w:rPr>
          <w:rFonts w:ascii="Times New Roman" w:eastAsia="Times New Roman" w:hAnsi="Times New Roman" w:cs="Times New Roman"/>
          <w:i/>
          <w:iCs/>
          <w:sz w:val="24"/>
          <w:szCs w:val="24"/>
        </w:rPr>
        <w:t>Journal of Nursing Management, 30</w:t>
      </w:r>
      <w:r w:rsidRPr="00404BF5">
        <w:rPr>
          <w:rFonts w:ascii="Times New Roman" w:eastAsia="Times New Roman" w:hAnsi="Times New Roman" w:cs="Times New Roman"/>
          <w:sz w:val="24"/>
          <w:szCs w:val="24"/>
        </w:rPr>
        <w:t xml:space="preserve">(7), 2937–2944. </w:t>
      </w:r>
      <w:hyperlink r:id="rId63" w:history="1">
        <w:r w:rsidRPr="00404BF5">
          <w:rPr>
            <w:rFonts w:ascii="Times New Roman" w:eastAsia="Times New Roman" w:hAnsi="Times New Roman" w:cs="Times New Roman"/>
            <w:color w:val="0000FF"/>
            <w:sz w:val="24"/>
            <w:szCs w:val="24"/>
            <w:u w:val="single"/>
          </w:rPr>
          <w:t>https://doi.org/10.1111/jonm.13675</w:t>
        </w:r>
      </w:hyperlink>
    </w:p>
    <w:p w14:paraId="26C09C47" w14:textId="2D38F43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lang w:val="nl-BE"/>
        </w:rPr>
        <w:t xml:space="preserve">Koopmans, L., Bernaards, C. M., Hildebrandt, V. H., de Vet, H. C. W., &amp; van der Beek, A. J. (2014). </w:t>
      </w:r>
      <w:r w:rsidRPr="00404BF5">
        <w:rPr>
          <w:rFonts w:ascii="Times New Roman" w:eastAsia="Times New Roman" w:hAnsi="Times New Roman" w:cs="Times New Roman"/>
          <w:sz w:val="24"/>
          <w:szCs w:val="24"/>
        </w:rPr>
        <w:t xml:space="preserve">Construct validity of the individual work performance questionnaire. </w:t>
      </w:r>
      <w:r w:rsidRPr="00404BF5">
        <w:rPr>
          <w:rFonts w:ascii="Times New Roman" w:eastAsia="Times New Roman" w:hAnsi="Times New Roman" w:cs="Times New Roman"/>
          <w:i/>
          <w:iCs/>
          <w:sz w:val="24"/>
          <w:szCs w:val="24"/>
        </w:rPr>
        <w:t>Journal of Occupational and Environmental Medicine, 56</w:t>
      </w:r>
      <w:r w:rsidRPr="00404BF5">
        <w:rPr>
          <w:rFonts w:ascii="Times New Roman" w:eastAsia="Times New Roman" w:hAnsi="Times New Roman" w:cs="Times New Roman"/>
          <w:sz w:val="24"/>
          <w:szCs w:val="24"/>
        </w:rPr>
        <w:t xml:space="preserve">(3), 331–337. </w:t>
      </w:r>
      <w:hyperlink r:id="rId64" w:history="1">
        <w:r w:rsidRPr="00404BF5">
          <w:rPr>
            <w:rFonts w:ascii="Times New Roman" w:eastAsia="Times New Roman" w:hAnsi="Times New Roman" w:cs="Times New Roman"/>
            <w:color w:val="0000FF"/>
            <w:sz w:val="24"/>
            <w:szCs w:val="24"/>
            <w:u w:val="single"/>
          </w:rPr>
          <w:t>https://doi.org/10.1097/JOM.0000000000000113</w:t>
        </w:r>
      </w:hyperlink>
    </w:p>
    <w:p w14:paraId="4638218A" w14:textId="77777777"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 xml:space="preserve">Yildirim, D., &amp; Aycan, Z. (2008). Nurses’ work demands and work-family conflict: A questionnaire survey. </w:t>
      </w:r>
      <w:r w:rsidRPr="00404BF5">
        <w:rPr>
          <w:rFonts w:ascii="Times New Roman" w:eastAsia="Times New Roman" w:hAnsi="Times New Roman" w:cs="Times New Roman"/>
          <w:i/>
          <w:iCs/>
          <w:sz w:val="24"/>
          <w:szCs w:val="24"/>
        </w:rPr>
        <w:t>International Journal of Nursing Studies, 45</w:t>
      </w:r>
      <w:r w:rsidRPr="00404BF5">
        <w:rPr>
          <w:rFonts w:ascii="Times New Roman" w:eastAsia="Times New Roman" w:hAnsi="Times New Roman" w:cs="Times New Roman"/>
          <w:sz w:val="24"/>
          <w:szCs w:val="24"/>
        </w:rPr>
        <w:t xml:space="preserve">(9), 1366–1378. </w:t>
      </w:r>
      <w:hyperlink r:id="rId65" w:history="1">
        <w:r w:rsidRPr="00404BF5">
          <w:rPr>
            <w:rFonts w:ascii="Times New Roman" w:eastAsia="Times New Roman" w:hAnsi="Times New Roman" w:cs="Times New Roman"/>
            <w:color w:val="0000FF"/>
            <w:sz w:val="24"/>
            <w:szCs w:val="24"/>
            <w:u w:val="single"/>
          </w:rPr>
          <w:t>https://doi.org/10.1016/j.ijnurstu.2007.10.010</w:t>
        </w:r>
      </w:hyperlink>
    </w:p>
    <w:p w14:paraId="726B8B7D" w14:textId="1950D706"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t>Maden-</w:t>
      </w:r>
      <w:proofErr w:type="spellStart"/>
      <w:r w:rsidRPr="00404BF5">
        <w:rPr>
          <w:rFonts w:ascii="Times New Roman" w:eastAsia="Times New Roman" w:hAnsi="Times New Roman" w:cs="Times New Roman"/>
          <w:sz w:val="24"/>
          <w:szCs w:val="24"/>
        </w:rPr>
        <w:t>Eyiusta</w:t>
      </w:r>
      <w:proofErr w:type="spellEnd"/>
      <w:r w:rsidRPr="00404BF5">
        <w:rPr>
          <w:rFonts w:ascii="Times New Roman" w:eastAsia="Times New Roman" w:hAnsi="Times New Roman" w:cs="Times New Roman"/>
          <w:sz w:val="24"/>
          <w:szCs w:val="24"/>
        </w:rPr>
        <w:t xml:space="preserve">, C. (2019). Role conflict, role ambiguity, and proactive behaviors: Does flexible role orientation moderate the mediating impact of engagement? </w:t>
      </w:r>
      <w:r w:rsidRPr="00404BF5">
        <w:rPr>
          <w:rFonts w:ascii="Times New Roman" w:eastAsia="Times New Roman" w:hAnsi="Times New Roman" w:cs="Times New Roman"/>
          <w:i/>
          <w:iCs/>
          <w:sz w:val="24"/>
          <w:szCs w:val="24"/>
        </w:rPr>
        <w:t>The International Journal of Human Resource Management, 30</w:t>
      </w:r>
      <w:r w:rsidRPr="00404BF5">
        <w:rPr>
          <w:rFonts w:ascii="Times New Roman" w:eastAsia="Times New Roman" w:hAnsi="Times New Roman" w:cs="Times New Roman"/>
          <w:sz w:val="24"/>
          <w:szCs w:val="24"/>
        </w:rPr>
        <w:t xml:space="preserve">(20), 2829–2855. </w:t>
      </w:r>
      <w:hyperlink r:id="rId66" w:history="1">
        <w:r w:rsidRPr="00404BF5">
          <w:rPr>
            <w:rFonts w:ascii="Times New Roman" w:eastAsia="Times New Roman" w:hAnsi="Times New Roman" w:cs="Times New Roman"/>
            <w:color w:val="0000FF"/>
            <w:sz w:val="24"/>
            <w:szCs w:val="24"/>
            <w:u w:val="single"/>
          </w:rPr>
          <w:t>https://doi.org/10.1080/09585192.2017.1344284</w:t>
        </w:r>
      </w:hyperlink>
    </w:p>
    <w:p w14:paraId="22D32AE1" w14:textId="2656AC66" w:rsidR="00A01EF4" w:rsidRPr="00404BF5" w:rsidRDefault="00A01EF4" w:rsidP="00404BF5">
      <w:pPr>
        <w:spacing w:before="100" w:beforeAutospacing="1" w:after="100" w:afterAutospacing="1" w:line="240" w:lineRule="auto"/>
        <w:jc w:val="both"/>
        <w:rPr>
          <w:rFonts w:ascii="Times New Roman" w:eastAsia="Times New Roman" w:hAnsi="Times New Roman" w:cs="Times New Roman"/>
          <w:sz w:val="24"/>
          <w:szCs w:val="24"/>
        </w:rPr>
      </w:pPr>
      <w:r w:rsidRPr="00404BF5">
        <w:rPr>
          <w:rFonts w:ascii="Times New Roman" w:eastAsia="Times New Roman" w:hAnsi="Times New Roman" w:cs="Times New Roman"/>
          <w:sz w:val="24"/>
          <w:szCs w:val="24"/>
        </w:rPr>
        <w:lastRenderedPageBreak/>
        <w:t xml:space="preserve">Shahin, A., &amp; Mahbod, M. A. (2007). Prioritization of key performance indicators: An integration of analytical hierarchy process and goal setting. </w:t>
      </w:r>
      <w:r w:rsidRPr="00404BF5">
        <w:rPr>
          <w:rFonts w:ascii="Times New Roman" w:eastAsia="Times New Roman" w:hAnsi="Times New Roman" w:cs="Times New Roman"/>
          <w:i/>
          <w:iCs/>
          <w:sz w:val="24"/>
          <w:szCs w:val="24"/>
        </w:rPr>
        <w:t>International Journal of Productivity and Performance Management, 56</w:t>
      </w:r>
      <w:r w:rsidRPr="00404BF5">
        <w:rPr>
          <w:rFonts w:ascii="Times New Roman" w:eastAsia="Times New Roman" w:hAnsi="Times New Roman" w:cs="Times New Roman"/>
          <w:sz w:val="24"/>
          <w:szCs w:val="24"/>
        </w:rPr>
        <w:t xml:space="preserve">(3), 226–240. </w:t>
      </w:r>
      <w:hyperlink r:id="rId67" w:history="1">
        <w:r w:rsidRPr="00404BF5">
          <w:rPr>
            <w:rFonts w:ascii="Times New Roman" w:eastAsia="Times New Roman" w:hAnsi="Times New Roman" w:cs="Times New Roman"/>
            <w:color w:val="0000FF"/>
            <w:sz w:val="24"/>
            <w:szCs w:val="24"/>
            <w:u w:val="single"/>
          </w:rPr>
          <w:t>https://doi.org/10.1108/17410400710731437</w:t>
        </w:r>
      </w:hyperlink>
    </w:p>
    <w:p w14:paraId="6B1DE174" w14:textId="77777777" w:rsidR="006872DA" w:rsidRPr="006872DA" w:rsidRDefault="006872DA" w:rsidP="001949D5">
      <w:pPr>
        <w:spacing w:line="240" w:lineRule="auto"/>
        <w:rPr>
          <w:rFonts w:ascii="Times New Roman" w:eastAsia="Times New Roman" w:hAnsi="Times New Roman" w:cs="Times New Roman"/>
          <w:sz w:val="24"/>
          <w:szCs w:val="24"/>
        </w:rPr>
      </w:pPr>
    </w:p>
    <w:p w14:paraId="745F0557" w14:textId="77777777" w:rsidR="00E10009" w:rsidRDefault="00E10009"/>
    <w:p w14:paraId="2B77420F" w14:textId="77777777" w:rsidR="00E10009" w:rsidRDefault="00E10009"/>
    <w:sectPr w:rsidR="00E10009" w:rsidSect="00DF690A">
      <w:headerReference w:type="even" r:id="rId68"/>
      <w:headerReference w:type="default" r:id="rId69"/>
      <w:footerReference w:type="even" r:id="rId70"/>
      <w:footerReference w:type="default" r:id="rId71"/>
      <w:headerReference w:type="first" r:id="rId72"/>
      <w:footerReference w:type="first" r:id="rId7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981F5" w14:textId="77777777" w:rsidR="00A64AB8" w:rsidRDefault="00A64AB8" w:rsidP="00DF34A7">
      <w:pPr>
        <w:spacing w:after="0" w:line="240" w:lineRule="auto"/>
      </w:pPr>
      <w:r>
        <w:separator/>
      </w:r>
    </w:p>
  </w:endnote>
  <w:endnote w:type="continuationSeparator" w:id="0">
    <w:p w14:paraId="458836EC" w14:textId="77777777" w:rsidR="00A64AB8" w:rsidRDefault="00A64AB8" w:rsidP="00DF3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9EF" w14:textId="77777777" w:rsidR="00477499" w:rsidRDefault="00477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64368"/>
      <w:docPartObj>
        <w:docPartGallery w:val="Page Numbers (Bottom of Page)"/>
        <w:docPartUnique/>
      </w:docPartObj>
    </w:sdtPr>
    <w:sdtEndPr>
      <w:rPr>
        <w:noProof/>
      </w:rPr>
    </w:sdtEndPr>
    <w:sdtContent>
      <w:p w14:paraId="28A11610" w14:textId="77777777" w:rsidR="00E84AD4" w:rsidRDefault="00E84AD4">
        <w:pPr>
          <w:pStyle w:val="Footer"/>
          <w:jc w:val="center"/>
        </w:pPr>
        <w:r>
          <w:fldChar w:fldCharType="begin"/>
        </w:r>
        <w:r>
          <w:instrText xml:space="preserve"> PAGE   \* MERGEFORMAT </w:instrText>
        </w:r>
        <w:r>
          <w:fldChar w:fldCharType="separate"/>
        </w:r>
        <w:r w:rsidR="00D508E0">
          <w:rPr>
            <w:noProof/>
          </w:rPr>
          <w:t>12</w:t>
        </w:r>
        <w:r>
          <w:rPr>
            <w:noProof/>
          </w:rPr>
          <w:fldChar w:fldCharType="end"/>
        </w:r>
      </w:p>
    </w:sdtContent>
  </w:sdt>
  <w:p w14:paraId="46D823E0" w14:textId="77777777" w:rsidR="00E84AD4" w:rsidRDefault="00E84A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4DF9" w14:textId="77777777" w:rsidR="00477499" w:rsidRDefault="00477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71956" w14:textId="77777777" w:rsidR="00A64AB8" w:rsidRDefault="00A64AB8" w:rsidP="00DF34A7">
      <w:pPr>
        <w:spacing w:after="0" w:line="240" w:lineRule="auto"/>
      </w:pPr>
      <w:r>
        <w:separator/>
      </w:r>
    </w:p>
  </w:footnote>
  <w:footnote w:type="continuationSeparator" w:id="0">
    <w:p w14:paraId="49F63C04" w14:textId="77777777" w:rsidR="00A64AB8" w:rsidRDefault="00A64AB8" w:rsidP="00DF3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B376" w14:textId="77777777" w:rsidR="00477499" w:rsidRDefault="00000000">
    <w:pPr>
      <w:pStyle w:val="Header"/>
    </w:pPr>
    <w:r>
      <w:rPr>
        <w:noProof/>
      </w:rPr>
      <w:pict w14:anchorId="675E6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027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8C6D" w14:textId="77777777" w:rsidR="00477499" w:rsidRDefault="00000000">
    <w:pPr>
      <w:pStyle w:val="Header"/>
    </w:pPr>
    <w:r>
      <w:rPr>
        <w:noProof/>
      </w:rPr>
      <w:pict w14:anchorId="10D1EF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027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F59C" w14:textId="77777777" w:rsidR="00477499" w:rsidRDefault="00000000">
    <w:pPr>
      <w:pStyle w:val="Header"/>
    </w:pPr>
    <w:r>
      <w:rPr>
        <w:noProof/>
      </w:rPr>
      <w:pict w14:anchorId="57CCA7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027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230"/>
    <w:multiLevelType w:val="multilevel"/>
    <w:tmpl w:val="EA00B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F3065"/>
    <w:multiLevelType w:val="multilevel"/>
    <w:tmpl w:val="7AD8455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35096"/>
    <w:multiLevelType w:val="multilevel"/>
    <w:tmpl w:val="B786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F2CC4"/>
    <w:multiLevelType w:val="multilevel"/>
    <w:tmpl w:val="4552D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1B06DD"/>
    <w:multiLevelType w:val="hybridMultilevel"/>
    <w:tmpl w:val="14DEC9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6C64B7"/>
    <w:multiLevelType w:val="multilevel"/>
    <w:tmpl w:val="F4BE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D253B7"/>
    <w:multiLevelType w:val="hybridMultilevel"/>
    <w:tmpl w:val="F836BB0E"/>
    <w:lvl w:ilvl="0" w:tplc="B4AA629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043638"/>
    <w:multiLevelType w:val="multilevel"/>
    <w:tmpl w:val="5FDA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206CF"/>
    <w:multiLevelType w:val="multilevel"/>
    <w:tmpl w:val="E47891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2562127"/>
    <w:multiLevelType w:val="multilevel"/>
    <w:tmpl w:val="0BCC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7A0B00"/>
    <w:multiLevelType w:val="multilevel"/>
    <w:tmpl w:val="544C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2A72D7"/>
    <w:multiLevelType w:val="multilevel"/>
    <w:tmpl w:val="7AD8455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D01F35"/>
    <w:multiLevelType w:val="multilevel"/>
    <w:tmpl w:val="B27A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D8605F"/>
    <w:multiLevelType w:val="multilevel"/>
    <w:tmpl w:val="BBF08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B82B91"/>
    <w:multiLevelType w:val="multilevel"/>
    <w:tmpl w:val="321A8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0349E6"/>
    <w:multiLevelType w:val="multilevel"/>
    <w:tmpl w:val="A162A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E23B03"/>
    <w:multiLevelType w:val="multilevel"/>
    <w:tmpl w:val="3AAC4C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15B82"/>
    <w:multiLevelType w:val="multilevel"/>
    <w:tmpl w:val="CDDAA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3F32B9"/>
    <w:multiLevelType w:val="hybridMultilevel"/>
    <w:tmpl w:val="5764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CD4E95"/>
    <w:multiLevelType w:val="hybridMultilevel"/>
    <w:tmpl w:val="D98EAE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CE14CD"/>
    <w:multiLevelType w:val="multilevel"/>
    <w:tmpl w:val="6780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C6836"/>
    <w:multiLevelType w:val="multilevel"/>
    <w:tmpl w:val="3ADC84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1C208F"/>
    <w:multiLevelType w:val="multilevel"/>
    <w:tmpl w:val="9D843B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6D50F4"/>
    <w:multiLevelType w:val="multilevel"/>
    <w:tmpl w:val="D87C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4D6C3E"/>
    <w:multiLevelType w:val="hybridMultilevel"/>
    <w:tmpl w:val="B240C68C"/>
    <w:lvl w:ilvl="0" w:tplc="B4AA629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3C2F5C"/>
    <w:multiLevelType w:val="multilevel"/>
    <w:tmpl w:val="2938BE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AD1A72"/>
    <w:multiLevelType w:val="multilevel"/>
    <w:tmpl w:val="6DD4BB00"/>
    <w:lvl w:ilvl="0">
      <w:start w:val="1"/>
      <w:numFmt w:val="lowerRoman"/>
      <w:lvlText w:val="%1."/>
      <w:lvlJc w:val="right"/>
      <w:pPr>
        <w:tabs>
          <w:tab w:val="num" w:pos="720"/>
        </w:tabs>
        <w:ind w:left="720" w:hanging="360"/>
      </w:pPr>
      <w:rPr>
        <w:rFonts w:hint="default"/>
        <w:sz w:val="20"/>
      </w:rPr>
    </w:lvl>
    <w:lvl w:ilvl="1">
      <w:start w:val="1"/>
      <w:numFmt w:val="lowerRoman"/>
      <w:lvlText w:val="%2."/>
      <w:lvlJc w:val="righ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46709">
    <w:abstractNumId w:val="7"/>
  </w:num>
  <w:num w:numId="2" w16cid:durableId="820275086">
    <w:abstractNumId w:val="23"/>
  </w:num>
  <w:num w:numId="3" w16cid:durableId="330375372">
    <w:abstractNumId w:val="20"/>
  </w:num>
  <w:num w:numId="4" w16cid:durableId="1011685999">
    <w:abstractNumId w:val="6"/>
  </w:num>
  <w:num w:numId="5" w16cid:durableId="1180701679">
    <w:abstractNumId w:val="3"/>
  </w:num>
  <w:num w:numId="6" w16cid:durableId="1298757706">
    <w:abstractNumId w:val="9"/>
  </w:num>
  <w:num w:numId="7" w16cid:durableId="280039412">
    <w:abstractNumId w:val="16"/>
  </w:num>
  <w:num w:numId="8" w16cid:durableId="430203434">
    <w:abstractNumId w:val="0"/>
  </w:num>
  <w:num w:numId="9" w16cid:durableId="1343046288">
    <w:abstractNumId w:val="13"/>
  </w:num>
  <w:num w:numId="10" w16cid:durableId="1732843661">
    <w:abstractNumId w:val="11"/>
  </w:num>
  <w:num w:numId="11" w16cid:durableId="484971548">
    <w:abstractNumId w:val="1"/>
  </w:num>
  <w:num w:numId="12" w16cid:durableId="279066427">
    <w:abstractNumId w:val="26"/>
  </w:num>
  <w:num w:numId="13" w16cid:durableId="2087337167">
    <w:abstractNumId w:val="19"/>
  </w:num>
  <w:num w:numId="14" w16cid:durableId="115755250">
    <w:abstractNumId w:val="21"/>
  </w:num>
  <w:num w:numId="15" w16cid:durableId="50621580">
    <w:abstractNumId w:val="4"/>
  </w:num>
  <w:num w:numId="16" w16cid:durableId="1928535121">
    <w:abstractNumId w:val="5"/>
  </w:num>
  <w:num w:numId="17" w16cid:durableId="1777434372">
    <w:abstractNumId w:val="15"/>
  </w:num>
  <w:num w:numId="18" w16cid:durableId="1996494327">
    <w:abstractNumId w:val="17"/>
  </w:num>
  <w:num w:numId="19" w16cid:durableId="1511991836">
    <w:abstractNumId w:val="2"/>
  </w:num>
  <w:num w:numId="20" w16cid:durableId="1898008160">
    <w:abstractNumId w:val="12"/>
  </w:num>
  <w:num w:numId="21" w16cid:durableId="1856188482">
    <w:abstractNumId w:val="10"/>
  </w:num>
  <w:num w:numId="22" w16cid:durableId="447087142">
    <w:abstractNumId w:val="25"/>
  </w:num>
  <w:num w:numId="23" w16cid:durableId="621111516">
    <w:abstractNumId w:val="18"/>
  </w:num>
  <w:num w:numId="24" w16cid:durableId="1422292231">
    <w:abstractNumId w:val="22"/>
  </w:num>
  <w:num w:numId="25" w16cid:durableId="412043837">
    <w:abstractNumId w:val="14"/>
  </w:num>
  <w:num w:numId="26" w16cid:durableId="657460736">
    <w:abstractNumId w:val="8"/>
  </w:num>
  <w:num w:numId="27" w16cid:durableId="609798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W2NDUxNDc1MDW1MDRQ0lEKTi0uzszPAykwqwUAL47M3iwAAAA="/>
  </w:docVars>
  <w:rsids>
    <w:rsidRoot w:val="001F49F8"/>
    <w:rsid w:val="000043C8"/>
    <w:rsid w:val="00016EDA"/>
    <w:rsid w:val="00025D1F"/>
    <w:rsid w:val="000268F7"/>
    <w:rsid w:val="000272D5"/>
    <w:rsid w:val="00034BFC"/>
    <w:rsid w:val="00037B8B"/>
    <w:rsid w:val="00050EF0"/>
    <w:rsid w:val="0005222C"/>
    <w:rsid w:val="00052319"/>
    <w:rsid w:val="0005422A"/>
    <w:rsid w:val="00061174"/>
    <w:rsid w:val="00061494"/>
    <w:rsid w:val="000616E9"/>
    <w:rsid w:val="000617EA"/>
    <w:rsid w:val="00067973"/>
    <w:rsid w:val="00073F1E"/>
    <w:rsid w:val="000740C0"/>
    <w:rsid w:val="000829AC"/>
    <w:rsid w:val="000835D6"/>
    <w:rsid w:val="00090D93"/>
    <w:rsid w:val="000933B8"/>
    <w:rsid w:val="00096D50"/>
    <w:rsid w:val="00097598"/>
    <w:rsid w:val="000A287B"/>
    <w:rsid w:val="000B3F9D"/>
    <w:rsid w:val="000B4F81"/>
    <w:rsid w:val="000B7DE5"/>
    <w:rsid w:val="000C4DE1"/>
    <w:rsid w:val="000C7222"/>
    <w:rsid w:val="000D2822"/>
    <w:rsid w:val="000D2EFD"/>
    <w:rsid w:val="000D367D"/>
    <w:rsid w:val="000E4BC7"/>
    <w:rsid w:val="000F243D"/>
    <w:rsid w:val="000F3CB1"/>
    <w:rsid w:val="000F3E94"/>
    <w:rsid w:val="00102606"/>
    <w:rsid w:val="00106BD7"/>
    <w:rsid w:val="00134777"/>
    <w:rsid w:val="00135B44"/>
    <w:rsid w:val="00135C6E"/>
    <w:rsid w:val="001436CC"/>
    <w:rsid w:val="00154E5B"/>
    <w:rsid w:val="00171044"/>
    <w:rsid w:val="00176583"/>
    <w:rsid w:val="001949D5"/>
    <w:rsid w:val="001A19BB"/>
    <w:rsid w:val="001A4097"/>
    <w:rsid w:val="001A7AD5"/>
    <w:rsid w:val="001B18DB"/>
    <w:rsid w:val="001B69BA"/>
    <w:rsid w:val="001C45CA"/>
    <w:rsid w:val="001D1DAD"/>
    <w:rsid w:val="001D6763"/>
    <w:rsid w:val="001D79CF"/>
    <w:rsid w:val="001E2C59"/>
    <w:rsid w:val="001E2DF6"/>
    <w:rsid w:val="001F290E"/>
    <w:rsid w:val="001F3EC1"/>
    <w:rsid w:val="001F46C2"/>
    <w:rsid w:val="001F49F8"/>
    <w:rsid w:val="00203FB1"/>
    <w:rsid w:val="00206D27"/>
    <w:rsid w:val="00207803"/>
    <w:rsid w:val="00207F96"/>
    <w:rsid w:val="00213D17"/>
    <w:rsid w:val="00213E39"/>
    <w:rsid w:val="0023606C"/>
    <w:rsid w:val="002406F7"/>
    <w:rsid w:val="00246EB3"/>
    <w:rsid w:val="002500B5"/>
    <w:rsid w:val="0026070F"/>
    <w:rsid w:val="00274141"/>
    <w:rsid w:val="00280D55"/>
    <w:rsid w:val="00291427"/>
    <w:rsid w:val="0029679B"/>
    <w:rsid w:val="002A0582"/>
    <w:rsid w:val="002A51D4"/>
    <w:rsid w:val="002A5638"/>
    <w:rsid w:val="002B2187"/>
    <w:rsid w:val="002D21EB"/>
    <w:rsid w:val="002D4ACB"/>
    <w:rsid w:val="002E364B"/>
    <w:rsid w:val="002E5D99"/>
    <w:rsid w:val="002E5E42"/>
    <w:rsid w:val="002F0F1A"/>
    <w:rsid w:val="002F2FC0"/>
    <w:rsid w:val="00313325"/>
    <w:rsid w:val="00313EC7"/>
    <w:rsid w:val="00315915"/>
    <w:rsid w:val="00316901"/>
    <w:rsid w:val="0033674A"/>
    <w:rsid w:val="00340847"/>
    <w:rsid w:val="00344E38"/>
    <w:rsid w:val="00344EFB"/>
    <w:rsid w:val="00351266"/>
    <w:rsid w:val="003559AD"/>
    <w:rsid w:val="00356C7F"/>
    <w:rsid w:val="00365E5D"/>
    <w:rsid w:val="0037243A"/>
    <w:rsid w:val="00376A67"/>
    <w:rsid w:val="00392DAF"/>
    <w:rsid w:val="003A1F03"/>
    <w:rsid w:val="003D0561"/>
    <w:rsid w:val="003E000D"/>
    <w:rsid w:val="003E422A"/>
    <w:rsid w:val="003F3577"/>
    <w:rsid w:val="00402758"/>
    <w:rsid w:val="0040429C"/>
    <w:rsid w:val="00404A16"/>
    <w:rsid w:val="00404BF5"/>
    <w:rsid w:val="00417355"/>
    <w:rsid w:val="00427E7E"/>
    <w:rsid w:val="00431EA4"/>
    <w:rsid w:val="00440AB3"/>
    <w:rsid w:val="00441111"/>
    <w:rsid w:val="0044734B"/>
    <w:rsid w:val="004505F7"/>
    <w:rsid w:val="004575BD"/>
    <w:rsid w:val="00457DA3"/>
    <w:rsid w:val="0046053E"/>
    <w:rsid w:val="00467CE0"/>
    <w:rsid w:val="00477499"/>
    <w:rsid w:val="00477C9D"/>
    <w:rsid w:val="004842E5"/>
    <w:rsid w:val="004849D4"/>
    <w:rsid w:val="00490EB8"/>
    <w:rsid w:val="004917A0"/>
    <w:rsid w:val="00492478"/>
    <w:rsid w:val="00492588"/>
    <w:rsid w:val="0049363A"/>
    <w:rsid w:val="004977F8"/>
    <w:rsid w:val="004A4D44"/>
    <w:rsid w:val="004A516F"/>
    <w:rsid w:val="004A68F2"/>
    <w:rsid w:val="004B34E3"/>
    <w:rsid w:val="004B6A0B"/>
    <w:rsid w:val="004C139F"/>
    <w:rsid w:val="004C2498"/>
    <w:rsid w:val="004C3EAE"/>
    <w:rsid w:val="004D3356"/>
    <w:rsid w:val="004D643C"/>
    <w:rsid w:val="004E785F"/>
    <w:rsid w:val="0050504A"/>
    <w:rsid w:val="0050639E"/>
    <w:rsid w:val="005170AD"/>
    <w:rsid w:val="00522152"/>
    <w:rsid w:val="0052297E"/>
    <w:rsid w:val="00535FEE"/>
    <w:rsid w:val="00542867"/>
    <w:rsid w:val="00547BDF"/>
    <w:rsid w:val="00550248"/>
    <w:rsid w:val="005572C0"/>
    <w:rsid w:val="00560416"/>
    <w:rsid w:val="00560F45"/>
    <w:rsid w:val="00566540"/>
    <w:rsid w:val="0057267A"/>
    <w:rsid w:val="00572B54"/>
    <w:rsid w:val="0059193B"/>
    <w:rsid w:val="005954B9"/>
    <w:rsid w:val="005A16CC"/>
    <w:rsid w:val="005A5531"/>
    <w:rsid w:val="005B65CA"/>
    <w:rsid w:val="005C7C50"/>
    <w:rsid w:val="005D53FA"/>
    <w:rsid w:val="005E159F"/>
    <w:rsid w:val="005E2921"/>
    <w:rsid w:val="005E75D9"/>
    <w:rsid w:val="005F0652"/>
    <w:rsid w:val="00601D79"/>
    <w:rsid w:val="00602023"/>
    <w:rsid w:val="00602D74"/>
    <w:rsid w:val="00603D76"/>
    <w:rsid w:val="00610F6D"/>
    <w:rsid w:val="00616376"/>
    <w:rsid w:val="00637400"/>
    <w:rsid w:val="00637BE8"/>
    <w:rsid w:val="00647C2F"/>
    <w:rsid w:val="00661885"/>
    <w:rsid w:val="00673BB7"/>
    <w:rsid w:val="00682FA5"/>
    <w:rsid w:val="00683CF3"/>
    <w:rsid w:val="00684184"/>
    <w:rsid w:val="00685B18"/>
    <w:rsid w:val="00685EE7"/>
    <w:rsid w:val="006872DA"/>
    <w:rsid w:val="006932FB"/>
    <w:rsid w:val="00695D9D"/>
    <w:rsid w:val="006A42B4"/>
    <w:rsid w:val="006A7437"/>
    <w:rsid w:val="006B31EF"/>
    <w:rsid w:val="006B4BF3"/>
    <w:rsid w:val="006B7C35"/>
    <w:rsid w:val="006C15BE"/>
    <w:rsid w:val="006C16A7"/>
    <w:rsid w:val="006C3038"/>
    <w:rsid w:val="006E0C24"/>
    <w:rsid w:val="006E0E71"/>
    <w:rsid w:val="006E38DB"/>
    <w:rsid w:val="006E7956"/>
    <w:rsid w:val="006F2773"/>
    <w:rsid w:val="006F32A3"/>
    <w:rsid w:val="006F3BAC"/>
    <w:rsid w:val="00704981"/>
    <w:rsid w:val="00706472"/>
    <w:rsid w:val="007126CC"/>
    <w:rsid w:val="00714E1C"/>
    <w:rsid w:val="00720DB3"/>
    <w:rsid w:val="00732AD4"/>
    <w:rsid w:val="00737CC6"/>
    <w:rsid w:val="00737E6B"/>
    <w:rsid w:val="00742DAA"/>
    <w:rsid w:val="00750D94"/>
    <w:rsid w:val="00751C9C"/>
    <w:rsid w:val="00754270"/>
    <w:rsid w:val="00760F9E"/>
    <w:rsid w:val="00764709"/>
    <w:rsid w:val="007706ED"/>
    <w:rsid w:val="007769D4"/>
    <w:rsid w:val="0078277E"/>
    <w:rsid w:val="00783639"/>
    <w:rsid w:val="0078621D"/>
    <w:rsid w:val="007871E4"/>
    <w:rsid w:val="00795F09"/>
    <w:rsid w:val="007A1B9F"/>
    <w:rsid w:val="007A40A8"/>
    <w:rsid w:val="007B351C"/>
    <w:rsid w:val="007B6C6D"/>
    <w:rsid w:val="007C399B"/>
    <w:rsid w:val="007D0EB3"/>
    <w:rsid w:val="007D33AF"/>
    <w:rsid w:val="007E6250"/>
    <w:rsid w:val="007F1AE7"/>
    <w:rsid w:val="007F724D"/>
    <w:rsid w:val="007F7862"/>
    <w:rsid w:val="007F7C05"/>
    <w:rsid w:val="008214F9"/>
    <w:rsid w:val="0082574B"/>
    <w:rsid w:val="00837E11"/>
    <w:rsid w:val="00845E47"/>
    <w:rsid w:val="00846ED5"/>
    <w:rsid w:val="00860303"/>
    <w:rsid w:val="008611DE"/>
    <w:rsid w:val="00875542"/>
    <w:rsid w:val="0088370E"/>
    <w:rsid w:val="00883C1D"/>
    <w:rsid w:val="00886F1B"/>
    <w:rsid w:val="008872B4"/>
    <w:rsid w:val="00895E50"/>
    <w:rsid w:val="0089734D"/>
    <w:rsid w:val="008B30B2"/>
    <w:rsid w:val="008B584E"/>
    <w:rsid w:val="008B6BCC"/>
    <w:rsid w:val="008B7941"/>
    <w:rsid w:val="008C2412"/>
    <w:rsid w:val="008C4EE1"/>
    <w:rsid w:val="008D036D"/>
    <w:rsid w:val="008D06AE"/>
    <w:rsid w:val="008D4F76"/>
    <w:rsid w:val="008E7E04"/>
    <w:rsid w:val="00915434"/>
    <w:rsid w:val="009164EF"/>
    <w:rsid w:val="009236CD"/>
    <w:rsid w:val="0092507E"/>
    <w:rsid w:val="00925A74"/>
    <w:rsid w:val="00930319"/>
    <w:rsid w:val="009346EE"/>
    <w:rsid w:val="00951330"/>
    <w:rsid w:val="009516BC"/>
    <w:rsid w:val="00956C1F"/>
    <w:rsid w:val="009604AA"/>
    <w:rsid w:val="0096303E"/>
    <w:rsid w:val="00967548"/>
    <w:rsid w:val="00983CB5"/>
    <w:rsid w:val="00993A69"/>
    <w:rsid w:val="009B4620"/>
    <w:rsid w:val="009C77CB"/>
    <w:rsid w:val="009E5314"/>
    <w:rsid w:val="009E5D9A"/>
    <w:rsid w:val="009E7049"/>
    <w:rsid w:val="009F74DD"/>
    <w:rsid w:val="00A01EF4"/>
    <w:rsid w:val="00A0258B"/>
    <w:rsid w:val="00A02A19"/>
    <w:rsid w:val="00A07ADF"/>
    <w:rsid w:val="00A12F8B"/>
    <w:rsid w:val="00A2557C"/>
    <w:rsid w:val="00A31CAB"/>
    <w:rsid w:val="00A37AAD"/>
    <w:rsid w:val="00A5762E"/>
    <w:rsid w:val="00A64AB8"/>
    <w:rsid w:val="00A663C0"/>
    <w:rsid w:val="00A668FA"/>
    <w:rsid w:val="00A670A5"/>
    <w:rsid w:val="00A71614"/>
    <w:rsid w:val="00A75354"/>
    <w:rsid w:val="00A75CF9"/>
    <w:rsid w:val="00A76E3C"/>
    <w:rsid w:val="00A77BC5"/>
    <w:rsid w:val="00A867FF"/>
    <w:rsid w:val="00A87C7E"/>
    <w:rsid w:val="00AB149D"/>
    <w:rsid w:val="00AB2714"/>
    <w:rsid w:val="00AB490A"/>
    <w:rsid w:val="00AB4CA4"/>
    <w:rsid w:val="00AB5A40"/>
    <w:rsid w:val="00AB5EA9"/>
    <w:rsid w:val="00AC642E"/>
    <w:rsid w:val="00AD5A39"/>
    <w:rsid w:val="00AD77D4"/>
    <w:rsid w:val="00AE1F1B"/>
    <w:rsid w:val="00AF180B"/>
    <w:rsid w:val="00AF1AA9"/>
    <w:rsid w:val="00B01349"/>
    <w:rsid w:val="00B039F9"/>
    <w:rsid w:val="00B12A71"/>
    <w:rsid w:val="00B12A86"/>
    <w:rsid w:val="00B17609"/>
    <w:rsid w:val="00B22185"/>
    <w:rsid w:val="00B44C96"/>
    <w:rsid w:val="00B65604"/>
    <w:rsid w:val="00B71489"/>
    <w:rsid w:val="00B7290E"/>
    <w:rsid w:val="00B76CFE"/>
    <w:rsid w:val="00B76F58"/>
    <w:rsid w:val="00B9398C"/>
    <w:rsid w:val="00B975E5"/>
    <w:rsid w:val="00BB0B4A"/>
    <w:rsid w:val="00BC4D11"/>
    <w:rsid w:val="00BD2339"/>
    <w:rsid w:val="00BD327A"/>
    <w:rsid w:val="00BD32B8"/>
    <w:rsid w:val="00BE38A1"/>
    <w:rsid w:val="00BE7BCC"/>
    <w:rsid w:val="00BF2BD6"/>
    <w:rsid w:val="00BF3739"/>
    <w:rsid w:val="00BF481C"/>
    <w:rsid w:val="00C0260D"/>
    <w:rsid w:val="00C11441"/>
    <w:rsid w:val="00C1642B"/>
    <w:rsid w:val="00C1771C"/>
    <w:rsid w:val="00C21F66"/>
    <w:rsid w:val="00C301D6"/>
    <w:rsid w:val="00C362C1"/>
    <w:rsid w:val="00C37F18"/>
    <w:rsid w:val="00C40937"/>
    <w:rsid w:val="00C56C1A"/>
    <w:rsid w:val="00C6538E"/>
    <w:rsid w:val="00C653C1"/>
    <w:rsid w:val="00C66082"/>
    <w:rsid w:val="00C700A6"/>
    <w:rsid w:val="00C75110"/>
    <w:rsid w:val="00C81EAE"/>
    <w:rsid w:val="00CB4349"/>
    <w:rsid w:val="00CB486E"/>
    <w:rsid w:val="00CB51A3"/>
    <w:rsid w:val="00CC37EE"/>
    <w:rsid w:val="00CC5FE5"/>
    <w:rsid w:val="00CD0B9B"/>
    <w:rsid w:val="00CD41A9"/>
    <w:rsid w:val="00CD529C"/>
    <w:rsid w:val="00CE0D8D"/>
    <w:rsid w:val="00CE42CE"/>
    <w:rsid w:val="00CF0449"/>
    <w:rsid w:val="00CF0A7C"/>
    <w:rsid w:val="00CF0C27"/>
    <w:rsid w:val="00CF71E3"/>
    <w:rsid w:val="00CF789E"/>
    <w:rsid w:val="00D00B0E"/>
    <w:rsid w:val="00D04AD1"/>
    <w:rsid w:val="00D06EE3"/>
    <w:rsid w:val="00D1255E"/>
    <w:rsid w:val="00D13B83"/>
    <w:rsid w:val="00D41E11"/>
    <w:rsid w:val="00D45012"/>
    <w:rsid w:val="00D45CC2"/>
    <w:rsid w:val="00D508E0"/>
    <w:rsid w:val="00D510F7"/>
    <w:rsid w:val="00D51B21"/>
    <w:rsid w:val="00D62614"/>
    <w:rsid w:val="00D628F9"/>
    <w:rsid w:val="00D9674D"/>
    <w:rsid w:val="00DC4685"/>
    <w:rsid w:val="00DD2A31"/>
    <w:rsid w:val="00DD706D"/>
    <w:rsid w:val="00DD787D"/>
    <w:rsid w:val="00DF0231"/>
    <w:rsid w:val="00DF34A7"/>
    <w:rsid w:val="00DF398D"/>
    <w:rsid w:val="00DF690A"/>
    <w:rsid w:val="00E02DDF"/>
    <w:rsid w:val="00E0367C"/>
    <w:rsid w:val="00E05807"/>
    <w:rsid w:val="00E10009"/>
    <w:rsid w:val="00E13DD9"/>
    <w:rsid w:val="00E14A05"/>
    <w:rsid w:val="00E14D4F"/>
    <w:rsid w:val="00E176CD"/>
    <w:rsid w:val="00E260A6"/>
    <w:rsid w:val="00E269D4"/>
    <w:rsid w:val="00E276C6"/>
    <w:rsid w:val="00E30DFE"/>
    <w:rsid w:val="00E31010"/>
    <w:rsid w:val="00E43201"/>
    <w:rsid w:val="00E572DF"/>
    <w:rsid w:val="00E60DD5"/>
    <w:rsid w:val="00E62A41"/>
    <w:rsid w:val="00E64C01"/>
    <w:rsid w:val="00E83BB9"/>
    <w:rsid w:val="00E84AD4"/>
    <w:rsid w:val="00E91D92"/>
    <w:rsid w:val="00E97081"/>
    <w:rsid w:val="00EA4924"/>
    <w:rsid w:val="00EA532B"/>
    <w:rsid w:val="00EA769D"/>
    <w:rsid w:val="00EC136F"/>
    <w:rsid w:val="00EC5F74"/>
    <w:rsid w:val="00ED1A27"/>
    <w:rsid w:val="00ED1BBA"/>
    <w:rsid w:val="00EE22E3"/>
    <w:rsid w:val="00EF0FBD"/>
    <w:rsid w:val="00EF2450"/>
    <w:rsid w:val="00EF2AA1"/>
    <w:rsid w:val="00F04CCA"/>
    <w:rsid w:val="00F1230D"/>
    <w:rsid w:val="00F17620"/>
    <w:rsid w:val="00F23987"/>
    <w:rsid w:val="00F25F5F"/>
    <w:rsid w:val="00F26303"/>
    <w:rsid w:val="00F4289B"/>
    <w:rsid w:val="00F42EE1"/>
    <w:rsid w:val="00F4430F"/>
    <w:rsid w:val="00F5582B"/>
    <w:rsid w:val="00F564CF"/>
    <w:rsid w:val="00F61DF0"/>
    <w:rsid w:val="00F65B41"/>
    <w:rsid w:val="00F76B57"/>
    <w:rsid w:val="00F8254B"/>
    <w:rsid w:val="00F910A1"/>
    <w:rsid w:val="00F91CD8"/>
    <w:rsid w:val="00FA6C5F"/>
    <w:rsid w:val="00FB139A"/>
    <w:rsid w:val="00FB3B32"/>
    <w:rsid w:val="00FB710C"/>
    <w:rsid w:val="00FC13D8"/>
    <w:rsid w:val="00FD6897"/>
    <w:rsid w:val="00FD7ECB"/>
    <w:rsid w:val="00FF56F2"/>
    <w:rsid w:val="00FF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EEAE8"/>
  <w15:chartTrackingRefBased/>
  <w15:docId w15:val="{D19539AE-9CE2-43E5-AC35-C0437C42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837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8370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49F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49F8"/>
    <w:rPr>
      <w:b/>
      <w:bCs/>
    </w:rPr>
  </w:style>
  <w:style w:type="character" w:customStyle="1" w:styleId="Heading3Char">
    <w:name w:val="Heading 3 Char"/>
    <w:basedOn w:val="DefaultParagraphFont"/>
    <w:link w:val="Heading3"/>
    <w:uiPriority w:val="9"/>
    <w:rsid w:val="0088370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8370E"/>
    <w:rPr>
      <w:rFonts w:ascii="Times New Roman" w:eastAsia="Times New Roman" w:hAnsi="Times New Roman" w:cs="Times New Roman"/>
      <w:b/>
      <w:bCs/>
      <w:sz w:val="24"/>
      <w:szCs w:val="24"/>
    </w:rPr>
  </w:style>
  <w:style w:type="paragraph" w:styleId="ListParagraph">
    <w:name w:val="List Paragraph"/>
    <w:basedOn w:val="Normal"/>
    <w:uiPriority w:val="34"/>
    <w:qFormat/>
    <w:rsid w:val="00A71614"/>
    <w:pPr>
      <w:ind w:left="720"/>
      <w:contextualSpacing/>
    </w:pPr>
  </w:style>
  <w:style w:type="table" w:styleId="TableGrid">
    <w:name w:val="Table Grid"/>
    <w:basedOn w:val="TableNormal"/>
    <w:uiPriority w:val="59"/>
    <w:rsid w:val="00106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12F8B"/>
    <w:rPr>
      <w:i/>
      <w:iCs/>
    </w:rPr>
  </w:style>
  <w:style w:type="paragraph" w:styleId="Revision">
    <w:name w:val="Revision"/>
    <w:hidden/>
    <w:uiPriority w:val="99"/>
    <w:semiHidden/>
    <w:rsid w:val="000C4DE1"/>
    <w:pPr>
      <w:spacing w:after="0" w:line="240" w:lineRule="auto"/>
    </w:pPr>
  </w:style>
  <w:style w:type="character" w:styleId="CommentReference">
    <w:name w:val="annotation reference"/>
    <w:basedOn w:val="DefaultParagraphFont"/>
    <w:uiPriority w:val="99"/>
    <w:semiHidden/>
    <w:unhideWhenUsed/>
    <w:rsid w:val="00BF481C"/>
    <w:rPr>
      <w:sz w:val="16"/>
      <w:szCs w:val="16"/>
    </w:rPr>
  </w:style>
  <w:style w:type="paragraph" w:styleId="CommentText">
    <w:name w:val="annotation text"/>
    <w:basedOn w:val="Normal"/>
    <w:link w:val="CommentTextChar"/>
    <w:uiPriority w:val="99"/>
    <w:unhideWhenUsed/>
    <w:rsid w:val="00BF481C"/>
    <w:pPr>
      <w:spacing w:line="240" w:lineRule="auto"/>
    </w:pPr>
    <w:rPr>
      <w:sz w:val="20"/>
      <w:szCs w:val="20"/>
    </w:rPr>
  </w:style>
  <w:style w:type="character" w:customStyle="1" w:styleId="CommentTextChar">
    <w:name w:val="Comment Text Char"/>
    <w:basedOn w:val="DefaultParagraphFont"/>
    <w:link w:val="CommentText"/>
    <w:uiPriority w:val="99"/>
    <w:rsid w:val="00BF481C"/>
    <w:rPr>
      <w:sz w:val="20"/>
      <w:szCs w:val="20"/>
    </w:rPr>
  </w:style>
  <w:style w:type="paragraph" w:styleId="CommentSubject">
    <w:name w:val="annotation subject"/>
    <w:basedOn w:val="CommentText"/>
    <w:next w:val="CommentText"/>
    <w:link w:val="CommentSubjectChar"/>
    <w:uiPriority w:val="99"/>
    <w:semiHidden/>
    <w:unhideWhenUsed/>
    <w:rsid w:val="00BF481C"/>
    <w:rPr>
      <w:b/>
      <w:bCs/>
    </w:rPr>
  </w:style>
  <w:style w:type="character" w:customStyle="1" w:styleId="CommentSubjectChar">
    <w:name w:val="Comment Subject Char"/>
    <w:basedOn w:val="CommentTextChar"/>
    <w:link w:val="CommentSubject"/>
    <w:uiPriority w:val="99"/>
    <w:semiHidden/>
    <w:rsid w:val="00BF481C"/>
    <w:rPr>
      <w:b/>
      <w:bCs/>
      <w:sz w:val="20"/>
      <w:szCs w:val="20"/>
    </w:rPr>
  </w:style>
  <w:style w:type="paragraph" w:styleId="BalloonText">
    <w:name w:val="Balloon Text"/>
    <w:basedOn w:val="Normal"/>
    <w:link w:val="BalloonTextChar"/>
    <w:uiPriority w:val="99"/>
    <w:semiHidden/>
    <w:unhideWhenUsed/>
    <w:rsid w:val="00684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184"/>
    <w:rPr>
      <w:rFonts w:ascii="Segoe UI" w:hAnsi="Segoe UI" w:cs="Segoe UI"/>
      <w:sz w:val="18"/>
      <w:szCs w:val="18"/>
    </w:rPr>
  </w:style>
  <w:style w:type="character" w:styleId="HTMLCite">
    <w:name w:val="HTML Cite"/>
    <w:basedOn w:val="DefaultParagraphFont"/>
    <w:uiPriority w:val="99"/>
    <w:semiHidden/>
    <w:unhideWhenUsed/>
    <w:rsid w:val="00BD32B8"/>
    <w:rPr>
      <w:i/>
      <w:iCs/>
    </w:rPr>
  </w:style>
  <w:style w:type="character" w:styleId="Hyperlink">
    <w:name w:val="Hyperlink"/>
    <w:basedOn w:val="DefaultParagraphFont"/>
    <w:uiPriority w:val="99"/>
    <w:unhideWhenUsed/>
    <w:rsid w:val="000617EA"/>
    <w:rPr>
      <w:color w:val="0000FF"/>
      <w:u w:val="single"/>
    </w:rPr>
  </w:style>
  <w:style w:type="character" w:customStyle="1" w:styleId="cite-bracket">
    <w:name w:val="cite-bracket"/>
    <w:basedOn w:val="DefaultParagraphFont"/>
    <w:rsid w:val="000617EA"/>
  </w:style>
  <w:style w:type="character" w:customStyle="1" w:styleId="UnresolvedMention1">
    <w:name w:val="Unresolved Mention1"/>
    <w:basedOn w:val="DefaultParagraphFont"/>
    <w:uiPriority w:val="99"/>
    <w:semiHidden/>
    <w:unhideWhenUsed/>
    <w:rsid w:val="006E38DB"/>
    <w:rPr>
      <w:color w:val="605E5C"/>
      <w:shd w:val="clear" w:color="auto" w:fill="E1DFDD"/>
    </w:rPr>
  </w:style>
  <w:style w:type="paragraph" w:styleId="Header">
    <w:name w:val="header"/>
    <w:basedOn w:val="Normal"/>
    <w:link w:val="HeaderChar"/>
    <w:uiPriority w:val="99"/>
    <w:unhideWhenUsed/>
    <w:rsid w:val="00DF34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4A7"/>
  </w:style>
  <w:style w:type="paragraph" w:styleId="Footer">
    <w:name w:val="footer"/>
    <w:basedOn w:val="Normal"/>
    <w:link w:val="FooterChar"/>
    <w:uiPriority w:val="99"/>
    <w:unhideWhenUsed/>
    <w:rsid w:val="00DF34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4A7"/>
  </w:style>
  <w:style w:type="paragraph" w:styleId="NoSpacing">
    <w:name w:val="No Spacing"/>
    <w:link w:val="NoSpacingChar"/>
    <w:uiPriority w:val="1"/>
    <w:qFormat/>
    <w:rsid w:val="00DF690A"/>
    <w:pPr>
      <w:spacing w:after="0" w:line="240" w:lineRule="auto"/>
    </w:pPr>
  </w:style>
  <w:style w:type="character" w:customStyle="1" w:styleId="NoSpacingChar">
    <w:name w:val="No Spacing Char"/>
    <w:link w:val="NoSpacing"/>
    <w:uiPriority w:val="1"/>
    <w:qFormat/>
    <w:rsid w:val="00DF690A"/>
  </w:style>
  <w:style w:type="character" w:styleId="UnresolvedMention">
    <w:name w:val="Unresolved Mention"/>
    <w:basedOn w:val="DefaultParagraphFont"/>
    <w:uiPriority w:val="99"/>
    <w:semiHidden/>
    <w:unhideWhenUsed/>
    <w:rsid w:val="00673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83264">
      <w:bodyDiv w:val="1"/>
      <w:marLeft w:val="0"/>
      <w:marRight w:val="0"/>
      <w:marTop w:val="0"/>
      <w:marBottom w:val="0"/>
      <w:divBdr>
        <w:top w:val="none" w:sz="0" w:space="0" w:color="auto"/>
        <w:left w:val="none" w:sz="0" w:space="0" w:color="auto"/>
        <w:bottom w:val="none" w:sz="0" w:space="0" w:color="auto"/>
        <w:right w:val="none" w:sz="0" w:space="0" w:color="auto"/>
      </w:divBdr>
    </w:div>
    <w:div w:id="110251994">
      <w:bodyDiv w:val="1"/>
      <w:marLeft w:val="0"/>
      <w:marRight w:val="0"/>
      <w:marTop w:val="0"/>
      <w:marBottom w:val="0"/>
      <w:divBdr>
        <w:top w:val="none" w:sz="0" w:space="0" w:color="auto"/>
        <w:left w:val="none" w:sz="0" w:space="0" w:color="auto"/>
        <w:bottom w:val="none" w:sz="0" w:space="0" w:color="auto"/>
        <w:right w:val="none" w:sz="0" w:space="0" w:color="auto"/>
      </w:divBdr>
    </w:div>
    <w:div w:id="252397466">
      <w:bodyDiv w:val="1"/>
      <w:marLeft w:val="0"/>
      <w:marRight w:val="0"/>
      <w:marTop w:val="0"/>
      <w:marBottom w:val="0"/>
      <w:divBdr>
        <w:top w:val="none" w:sz="0" w:space="0" w:color="auto"/>
        <w:left w:val="none" w:sz="0" w:space="0" w:color="auto"/>
        <w:bottom w:val="none" w:sz="0" w:space="0" w:color="auto"/>
        <w:right w:val="none" w:sz="0" w:space="0" w:color="auto"/>
      </w:divBdr>
    </w:div>
    <w:div w:id="282811804">
      <w:bodyDiv w:val="1"/>
      <w:marLeft w:val="0"/>
      <w:marRight w:val="0"/>
      <w:marTop w:val="0"/>
      <w:marBottom w:val="0"/>
      <w:divBdr>
        <w:top w:val="none" w:sz="0" w:space="0" w:color="auto"/>
        <w:left w:val="none" w:sz="0" w:space="0" w:color="auto"/>
        <w:bottom w:val="none" w:sz="0" w:space="0" w:color="auto"/>
        <w:right w:val="none" w:sz="0" w:space="0" w:color="auto"/>
      </w:divBdr>
    </w:div>
    <w:div w:id="313461243">
      <w:bodyDiv w:val="1"/>
      <w:marLeft w:val="0"/>
      <w:marRight w:val="0"/>
      <w:marTop w:val="0"/>
      <w:marBottom w:val="0"/>
      <w:divBdr>
        <w:top w:val="none" w:sz="0" w:space="0" w:color="auto"/>
        <w:left w:val="none" w:sz="0" w:space="0" w:color="auto"/>
        <w:bottom w:val="none" w:sz="0" w:space="0" w:color="auto"/>
        <w:right w:val="none" w:sz="0" w:space="0" w:color="auto"/>
      </w:divBdr>
    </w:div>
    <w:div w:id="341517131">
      <w:bodyDiv w:val="1"/>
      <w:marLeft w:val="0"/>
      <w:marRight w:val="0"/>
      <w:marTop w:val="0"/>
      <w:marBottom w:val="0"/>
      <w:divBdr>
        <w:top w:val="none" w:sz="0" w:space="0" w:color="auto"/>
        <w:left w:val="none" w:sz="0" w:space="0" w:color="auto"/>
        <w:bottom w:val="none" w:sz="0" w:space="0" w:color="auto"/>
        <w:right w:val="none" w:sz="0" w:space="0" w:color="auto"/>
      </w:divBdr>
    </w:div>
    <w:div w:id="359669669">
      <w:bodyDiv w:val="1"/>
      <w:marLeft w:val="0"/>
      <w:marRight w:val="0"/>
      <w:marTop w:val="0"/>
      <w:marBottom w:val="0"/>
      <w:divBdr>
        <w:top w:val="none" w:sz="0" w:space="0" w:color="auto"/>
        <w:left w:val="none" w:sz="0" w:space="0" w:color="auto"/>
        <w:bottom w:val="none" w:sz="0" w:space="0" w:color="auto"/>
        <w:right w:val="none" w:sz="0" w:space="0" w:color="auto"/>
      </w:divBdr>
    </w:div>
    <w:div w:id="411388638">
      <w:bodyDiv w:val="1"/>
      <w:marLeft w:val="0"/>
      <w:marRight w:val="0"/>
      <w:marTop w:val="0"/>
      <w:marBottom w:val="0"/>
      <w:divBdr>
        <w:top w:val="none" w:sz="0" w:space="0" w:color="auto"/>
        <w:left w:val="none" w:sz="0" w:space="0" w:color="auto"/>
        <w:bottom w:val="none" w:sz="0" w:space="0" w:color="auto"/>
        <w:right w:val="none" w:sz="0" w:space="0" w:color="auto"/>
      </w:divBdr>
    </w:div>
    <w:div w:id="454524633">
      <w:bodyDiv w:val="1"/>
      <w:marLeft w:val="0"/>
      <w:marRight w:val="0"/>
      <w:marTop w:val="0"/>
      <w:marBottom w:val="0"/>
      <w:divBdr>
        <w:top w:val="none" w:sz="0" w:space="0" w:color="auto"/>
        <w:left w:val="none" w:sz="0" w:space="0" w:color="auto"/>
        <w:bottom w:val="none" w:sz="0" w:space="0" w:color="auto"/>
        <w:right w:val="none" w:sz="0" w:space="0" w:color="auto"/>
      </w:divBdr>
    </w:div>
    <w:div w:id="462774731">
      <w:bodyDiv w:val="1"/>
      <w:marLeft w:val="0"/>
      <w:marRight w:val="0"/>
      <w:marTop w:val="0"/>
      <w:marBottom w:val="0"/>
      <w:divBdr>
        <w:top w:val="none" w:sz="0" w:space="0" w:color="auto"/>
        <w:left w:val="none" w:sz="0" w:space="0" w:color="auto"/>
        <w:bottom w:val="none" w:sz="0" w:space="0" w:color="auto"/>
        <w:right w:val="none" w:sz="0" w:space="0" w:color="auto"/>
      </w:divBdr>
    </w:div>
    <w:div w:id="581910671">
      <w:bodyDiv w:val="1"/>
      <w:marLeft w:val="0"/>
      <w:marRight w:val="0"/>
      <w:marTop w:val="0"/>
      <w:marBottom w:val="0"/>
      <w:divBdr>
        <w:top w:val="none" w:sz="0" w:space="0" w:color="auto"/>
        <w:left w:val="none" w:sz="0" w:space="0" w:color="auto"/>
        <w:bottom w:val="none" w:sz="0" w:space="0" w:color="auto"/>
        <w:right w:val="none" w:sz="0" w:space="0" w:color="auto"/>
      </w:divBdr>
    </w:div>
    <w:div w:id="611670605">
      <w:bodyDiv w:val="1"/>
      <w:marLeft w:val="0"/>
      <w:marRight w:val="0"/>
      <w:marTop w:val="0"/>
      <w:marBottom w:val="0"/>
      <w:divBdr>
        <w:top w:val="none" w:sz="0" w:space="0" w:color="auto"/>
        <w:left w:val="none" w:sz="0" w:space="0" w:color="auto"/>
        <w:bottom w:val="none" w:sz="0" w:space="0" w:color="auto"/>
        <w:right w:val="none" w:sz="0" w:space="0" w:color="auto"/>
      </w:divBdr>
      <w:divsChild>
        <w:div w:id="828326037">
          <w:marLeft w:val="0"/>
          <w:marRight w:val="0"/>
          <w:marTop w:val="0"/>
          <w:marBottom w:val="0"/>
          <w:divBdr>
            <w:top w:val="none" w:sz="0" w:space="0" w:color="auto"/>
            <w:left w:val="none" w:sz="0" w:space="0" w:color="auto"/>
            <w:bottom w:val="none" w:sz="0" w:space="0" w:color="auto"/>
            <w:right w:val="none" w:sz="0" w:space="0" w:color="auto"/>
          </w:divBdr>
          <w:divsChild>
            <w:div w:id="423839246">
              <w:marLeft w:val="0"/>
              <w:marRight w:val="0"/>
              <w:marTop w:val="0"/>
              <w:marBottom w:val="0"/>
              <w:divBdr>
                <w:top w:val="none" w:sz="0" w:space="0" w:color="auto"/>
                <w:left w:val="none" w:sz="0" w:space="0" w:color="auto"/>
                <w:bottom w:val="none" w:sz="0" w:space="0" w:color="auto"/>
                <w:right w:val="none" w:sz="0" w:space="0" w:color="auto"/>
              </w:divBdr>
              <w:divsChild>
                <w:div w:id="1882329220">
                  <w:marLeft w:val="0"/>
                  <w:marRight w:val="0"/>
                  <w:marTop w:val="0"/>
                  <w:marBottom w:val="0"/>
                  <w:divBdr>
                    <w:top w:val="none" w:sz="0" w:space="0" w:color="auto"/>
                    <w:left w:val="none" w:sz="0" w:space="0" w:color="auto"/>
                    <w:bottom w:val="none" w:sz="0" w:space="0" w:color="auto"/>
                    <w:right w:val="none" w:sz="0" w:space="0" w:color="auto"/>
                  </w:divBdr>
                  <w:divsChild>
                    <w:div w:id="1939942319">
                      <w:marLeft w:val="0"/>
                      <w:marRight w:val="0"/>
                      <w:marTop w:val="0"/>
                      <w:marBottom w:val="0"/>
                      <w:divBdr>
                        <w:top w:val="none" w:sz="0" w:space="0" w:color="auto"/>
                        <w:left w:val="none" w:sz="0" w:space="0" w:color="auto"/>
                        <w:bottom w:val="none" w:sz="0" w:space="0" w:color="auto"/>
                        <w:right w:val="none" w:sz="0" w:space="0" w:color="auto"/>
                      </w:divBdr>
                      <w:divsChild>
                        <w:div w:id="667053687">
                          <w:marLeft w:val="0"/>
                          <w:marRight w:val="0"/>
                          <w:marTop w:val="0"/>
                          <w:marBottom w:val="0"/>
                          <w:divBdr>
                            <w:top w:val="none" w:sz="0" w:space="0" w:color="auto"/>
                            <w:left w:val="none" w:sz="0" w:space="0" w:color="auto"/>
                            <w:bottom w:val="none" w:sz="0" w:space="0" w:color="auto"/>
                            <w:right w:val="none" w:sz="0" w:space="0" w:color="auto"/>
                          </w:divBdr>
                          <w:divsChild>
                            <w:div w:id="1508515953">
                              <w:marLeft w:val="0"/>
                              <w:marRight w:val="0"/>
                              <w:marTop w:val="0"/>
                              <w:marBottom w:val="0"/>
                              <w:divBdr>
                                <w:top w:val="none" w:sz="0" w:space="0" w:color="auto"/>
                                <w:left w:val="none" w:sz="0" w:space="0" w:color="auto"/>
                                <w:bottom w:val="none" w:sz="0" w:space="0" w:color="auto"/>
                                <w:right w:val="none" w:sz="0" w:space="0" w:color="auto"/>
                              </w:divBdr>
                              <w:divsChild>
                                <w:div w:id="118536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341917">
      <w:bodyDiv w:val="1"/>
      <w:marLeft w:val="0"/>
      <w:marRight w:val="0"/>
      <w:marTop w:val="0"/>
      <w:marBottom w:val="0"/>
      <w:divBdr>
        <w:top w:val="none" w:sz="0" w:space="0" w:color="auto"/>
        <w:left w:val="none" w:sz="0" w:space="0" w:color="auto"/>
        <w:bottom w:val="none" w:sz="0" w:space="0" w:color="auto"/>
        <w:right w:val="none" w:sz="0" w:space="0" w:color="auto"/>
      </w:divBdr>
    </w:div>
    <w:div w:id="633291094">
      <w:bodyDiv w:val="1"/>
      <w:marLeft w:val="0"/>
      <w:marRight w:val="0"/>
      <w:marTop w:val="0"/>
      <w:marBottom w:val="0"/>
      <w:divBdr>
        <w:top w:val="none" w:sz="0" w:space="0" w:color="auto"/>
        <w:left w:val="none" w:sz="0" w:space="0" w:color="auto"/>
        <w:bottom w:val="none" w:sz="0" w:space="0" w:color="auto"/>
        <w:right w:val="none" w:sz="0" w:space="0" w:color="auto"/>
      </w:divBdr>
    </w:div>
    <w:div w:id="640379743">
      <w:bodyDiv w:val="1"/>
      <w:marLeft w:val="0"/>
      <w:marRight w:val="0"/>
      <w:marTop w:val="0"/>
      <w:marBottom w:val="0"/>
      <w:divBdr>
        <w:top w:val="none" w:sz="0" w:space="0" w:color="auto"/>
        <w:left w:val="none" w:sz="0" w:space="0" w:color="auto"/>
        <w:bottom w:val="none" w:sz="0" w:space="0" w:color="auto"/>
        <w:right w:val="none" w:sz="0" w:space="0" w:color="auto"/>
      </w:divBdr>
    </w:div>
    <w:div w:id="691610386">
      <w:bodyDiv w:val="1"/>
      <w:marLeft w:val="0"/>
      <w:marRight w:val="0"/>
      <w:marTop w:val="0"/>
      <w:marBottom w:val="0"/>
      <w:divBdr>
        <w:top w:val="none" w:sz="0" w:space="0" w:color="auto"/>
        <w:left w:val="none" w:sz="0" w:space="0" w:color="auto"/>
        <w:bottom w:val="none" w:sz="0" w:space="0" w:color="auto"/>
        <w:right w:val="none" w:sz="0" w:space="0" w:color="auto"/>
      </w:divBdr>
    </w:div>
    <w:div w:id="705913569">
      <w:bodyDiv w:val="1"/>
      <w:marLeft w:val="0"/>
      <w:marRight w:val="0"/>
      <w:marTop w:val="0"/>
      <w:marBottom w:val="0"/>
      <w:divBdr>
        <w:top w:val="none" w:sz="0" w:space="0" w:color="auto"/>
        <w:left w:val="none" w:sz="0" w:space="0" w:color="auto"/>
        <w:bottom w:val="none" w:sz="0" w:space="0" w:color="auto"/>
        <w:right w:val="none" w:sz="0" w:space="0" w:color="auto"/>
      </w:divBdr>
    </w:div>
    <w:div w:id="715130461">
      <w:bodyDiv w:val="1"/>
      <w:marLeft w:val="0"/>
      <w:marRight w:val="0"/>
      <w:marTop w:val="0"/>
      <w:marBottom w:val="0"/>
      <w:divBdr>
        <w:top w:val="none" w:sz="0" w:space="0" w:color="auto"/>
        <w:left w:val="none" w:sz="0" w:space="0" w:color="auto"/>
        <w:bottom w:val="none" w:sz="0" w:space="0" w:color="auto"/>
        <w:right w:val="none" w:sz="0" w:space="0" w:color="auto"/>
      </w:divBdr>
    </w:div>
    <w:div w:id="786316785">
      <w:bodyDiv w:val="1"/>
      <w:marLeft w:val="0"/>
      <w:marRight w:val="0"/>
      <w:marTop w:val="0"/>
      <w:marBottom w:val="0"/>
      <w:divBdr>
        <w:top w:val="none" w:sz="0" w:space="0" w:color="auto"/>
        <w:left w:val="none" w:sz="0" w:space="0" w:color="auto"/>
        <w:bottom w:val="none" w:sz="0" w:space="0" w:color="auto"/>
        <w:right w:val="none" w:sz="0" w:space="0" w:color="auto"/>
      </w:divBdr>
    </w:div>
    <w:div w:id="811756446">
      <w:bodyDiv w:val="1"/>
      <w:marLeft w:val="0"/>
      <w:marRight w:val="0"/>
      <w:marTop w:val="0"/>
      <w:marBottom w:val="0"/>
      <w:divBdr>
        <w:top w:val="none" w:sz="0" w:space="0" w:color="auto"/>
        <w:left w:val="none" w:sz="0" w:space="0" w:color="auto"/>
        <w:bottom w:val="none" w:sz="0" w:space="0" w:color="auto"/>
        <w:right w:val="none" w:sz="0" w:space="0" w:color="auto"/>
      </w:divBdr>
    </w:div>
    <w:div w:id="830488578">
      <w:bodyDiv w:val="1"/>
      <w:marLeft w:val="0"/>
      <w:marRight w:val="0"/>
      <w:marTop w:val="0"/>
      <w:marBottom w:val="0"/>
      <w:divBdr>
        <w:top w:val="none" w:sz="0" w:space="0" w:color="auto"/>
        <w:left w:val="none" w:sz="0" w:space="0" w:color="auto"/>
        <w:bottom w:val="none" w:sz="0" w:space="0" w:color="auto"/>
        <w:right w:val="none" w:sz="0" w:space="0" w:color="auto"/>
      </w:divBdr>
    </w:div>
    <w:div w:id="965626723">
      <w:bodyDiv w:val="1"/>
      <w:marLeft w:val="0"/>
      <w:marRight w:val="0"/>
      <w:marTop w:val="0"/>
      <w:marBottom w:val="0"/>
      <w:divBdr>
        <w:top w:val="none" w:sz="0" w:space="0" w:color="auto"/>
        <w:left w:val="none" w:sz="0" w:space="0" w:color="auto"/>
        <w:bottom w:val="none" w:sz="0" w:space="0" w:color="auto"/>
        <w:right w:val="none" w:sz="0" w:space="0" w:color="auto"/>
      </w:divBdr>
    </w:div>
    <w:div w:id="1058361766">
      <w:bodyDiv w:val="1"/>
      <w:marLeft w:val="0"/>
      <w:marRight w:val="0"/>
      <w:marTop w:val="0"/>
      <w:marBottom w:val="0"/>
      <w:divBdr>
        <w:top w:val="none" w:sz="0" w:space="0" w:color="auto"/>
        <w:left w:val="none" w:sz="0" w:space="0" w:color="auto"/>
        <w:bottom w:val="none" w:sz="0" w:space="0" w:color="auto"/>
        <w:right w:val="none" w:sz="0" w:space="0" w:color="auto"/>
      </w:divBdr>
    </w:div>
    <w:div w:id="1066687528">
      <w:bodyDiv w:val="1"/>
      <w:marLeft w:val="0"/>
      <w:marRight w:val="0"/>
      <w:marTop w:val="0"/>
      <w:marBottom w:val="0"/>
      <w:divBdr>
        <w:top w:val="none" w:sz="0" w:space="0" w:color="auto"/>
        <w:left w:val="none" w:sz="0" w:space="0" w:color="auto"/>
        <w:bottom w:val="none" w:sz="0" w:space="0" w:color="auto"/>
        <w:right w:val="none" w:sz="0" w:space="0" w:color="auto"/>
      </w:divBdr>
    </w:div>
    <w:div w:id="1096245226">
      <w:bodyDiv w:val="1"/>
      <w:marLeft w:val="0"/>
      <w:marRight w:val="0"/>
      <w:marTop w:val="0"/>
      <w:marBottom w:val="0"/>
      <w:divBdr>
        <w:top w:val="none" w:sz="0" w:space="0" w:color="auto"/>
        <w:left w:val="none" w:sz="0" w:space="0" w:color="auto"/>
        <w:bottom w:val="none" w:sz="0" w:space="0" w:color="auto"/>
        <w:right w:val="none" w:sz="0" w:space="0" w:color="auto"/>
      </w:divBdr>
    </w:div>
    <w:div w:id="1154222290">
      <w:bodyDiv w:val="1"/>
      <w:marLeft w:val="0"/>
      <w:marRight w:val="0"/>
      <w:marTop w:val="0"/>
      <w:marBottom w:val="0"/>
      <w:divBdr>
        <w:top w:val="none" w:sz="0" w:space="0" w:color="auto"/>
        <w:left w:val="none" w:sz="0" w:space="0" w:color="auto"/>
        <w:bottom w:val="none" w:sz="0" w:space="0" w:color="auto"/>
        <w:right w:val="none" w:sz="0" w:space="0" w:color="auto"/>
      </w:divBdr>
    </w:div>
    <w:div w:id="1160003487">
      <w:bodyDiv w:val="1"/>
      <w:marLeft w:val="0"/>
      <w:marRight w:val="0"/>
      <w:marTop w:val="0"/>
      <w:marBottom w:val="0"/>
      <w:divBdr>
        <w:top w:val="none" w:sz="0" w:space="0" w:color="auto"/>
        <w:left w:val="none" w:sz="0" w:space="0" w:color="auto"/>
        <w:bottom w:val="none" w:sz="0" w:space="0" w:color="auto"/>
        <w:right w:val="none" w:sz="0" w:space="0" w:color="auto"/>
      </w:divBdr>
    </w:div>
    <w:div w:id="1451976366">
      <w:bodyDiv w:val="1"/>
      <w:marLeft w:val="0"/>
      <w:marRight w:val="0"/>
      <w:marTop w:val="0"/>
      <w:marBottom w:val="0"/>
      <w:divBdr>
        <w:top w:val="none" w:sz="0" w:space="0" w:color="auto"/>
        <w:left w:val="none" w:sz="0" w:space="0" w:color="auto"/>
        <w:bottom w:val="none" w:sz="0" w:space="0" w:color="auto"/>
        <w:right w:val="none" w:sz="0" w:space="0" w:color="auto"/>
      </w:divBdr>
    </w:div>
    <w:div w:id="1497262333">
      <w:bodyDiv w:val="1"/>
      <w:marLeft w:val="0"/>
      <w:marRight w:val="0"/>
      <w:marTop w:val="0"/>
      <w:marBottom w:val="0"/>
      <w:divBdr>
        <w:top w:val="none" w:sz="0" w:space="0" w:color="auto"/>
        <w:left w:val="none" w:sz="0" w:space="0" w:color="auto"/>
        <w:bottom w:val="none" w:sz="0" w:space="0" w:color="auto"/>
        <w:right w:val="none" w:sz="0" w:space="0" w:color="auto"/>
      </w:divBdr>
    </w:div>
    <w:div w:id="1541823503">
      <w:bodyDiv w:val="1"/>
      <w:marLeft w:val="0"/>
      <w:marRight w:val="0"/>
      <w:marTop w:val="0"/>
      <w:marBottom w:val="0"/>
      <w:divBdr>
        <w:top w:val="none" w:sz="0" w:space="0" w:color="auto"/>
        <w:left w:val="none" w:sz="0" w:space="0" w:color="auto"/>
        <w:bottom w:val="none" w:sz="0" w:space="0" w:color="auto"/>
        <w:right w:val="none" w:sz="0" w:space="0" w:color="auto"/>
      </w:divBdr>
    </w:div>
    <w:div w:id="1556694333">
      <w:bodyDiv w:val="1"/>
      <w:marLeft w:val="0"/>
      <w:marRight w:val="0"/>
      <w:marTop w:val="0"/>
      <w:marBottom w:val="0"/>
      <w:divBdr>
        <w:top w:val="none" w:sz="0" w:space="0" w:color="auto"/>
        <w:left w:val="none" w:sz="0" w:space="0" w:color="auto"/>
        <w:bottom w:val="none" w:sz="0" w:space="0" w:color="auto"/>
        <w:right w:val="none" w:sz="0" w:space="0" w:color="auto"/>
      </w:divBdr>
    </w:div>
    <w:div w:id="1578779563">
      <w:bodyDiv w:val="1"/>
      <w:marLeft w:val="0"/>
      <w:marRight w:val="0"/>
      <w:marTop w:val="0"/>
      <w:marBottom w:val="0"/>
      <w:divBdr>
        <w:top w:val="none" w:sz="0" w:space="0" w:color="auto"/>
        <w:left w:val="none" w:sz="0" w:space="0" w:color="auto"/>
        <w:bottom w:val="none" w:sz="0" w:space="0" w:color="auto"/>
        <w:right w:val="none" w:sz="0" w:space="0" w:color="auto"/>
      </w:divBdr>
    </w:div>
    <w:div w:id="1595939879">
      <w:bodyDiv w:val="1"/>
      <w:marLeft w:val="0"/>
      <w:marRight w:val="0"/>
      <w:marTop w:val="0"/>
      <w:marBottom w:val="0"/>
      <w:divBdr>
        <w:top w:val="none" w:sz="0" w:space="0" w:color="auto"/>
        <w:left w:val="none" w:sz="0" w:space="0" w:color="auto"/>
        <w:bottom w:val="none" w:sz="0" w:space="0" w:color="auto"/>
        <w:right w:val="none" w:sz="0" w:space="0" w:color="auto"/>
      </w:divBdr>
    </w:div>
    <w:div w:id="1682008955">
      <w:bodyDiv w:val="1"/>
      <w:marLeft w:val="0"/>
      <w:marRight w:val="0"/>
      <w:marTop w:val="0"/>
      <w:marBottom w:val="0"/>
      <w:divBdr>
        <w:top w:val="none" w:sz="0" w:space="0" w:color="auto"/>
        <w:left w:val="none" w:sz="0" w:space="0" w:color="auto"/>
        <w:bottom w:val="none" w:sz="0" w:space="0" w:color="auto"/>
        <w:right w:val="none" w:sz="0" w:space="0" w:color="auto"/>
      </w:divBdr>
    </w:div>
    <w:div w:id="1714427165">
      <w:bodyDiv w:val="1"/>
      <w:marLeft w:val="0"/>
      <w:marRight w:val="0"/>
      <w:marTop w:val="0"/>
      <w:marBottom w:val="0"/>
      <w:divBdr>
        <w:top w:val="none" w:sz="0" w:space="0" w:color="auto"/>
        <w:left w:val="none" w:sz="0" w:space="0" w:color="auto"/>
        <w:bottom w:val="none" w:sz="0" w:space="0" w:color="auto"/>
        <w:right w:val="none" w:sz="0" w:space="0" w:color="auto"/>
      </w:divBdr>
    </w:div>
    <w:div w:id="1721787112">
      <w:bodyDiv w:val="1"/>
      <w:marLeft w:val="0"/>
      <w:marRight w:val="0"/>
      <w:marTop w:val="0"/>
      <w:marBottom w:val="0"/>
      <w:divBdr>
        <w:top w:val="none" w:sz="0" w:space="0" w:color="auto"/>
        <w:left w:val="none" w:sz="0" w:space="0" w:color="auto"/>
        <w:bottom w:val="none" w:sz="0" w:space="0" w:color="auto"/>
        <w:right w:val="none" w:sz="0" w:space="0" w:color="auto"/>
      </w:divBdr>
      <w:divsChild>
        <w:div w:id="1104497712">
          <w:marLeft w:val="0"/>
          <w:marRight w:val="0"/>
          <w:marTop w:val="0"/>
          <w:marBottom w:val="0"/>
          <w:divBdr>
            <w:top w:val="none" w:sz="0" w:space="0" w:color="auto"/>
            <w:left w:val="none" w:sz="0" w:space="0" w:color="auto"/>
            <w:bottom w:val="none" w:sz="0" w:space="0" w:color="auto"/>
            <w:right w:val="none" w:sz="0" w:space="0" w:color="auto"/>
          </w:divBdr>
          <w:divsChild>
            <w:div w:id="2043707036">
              <w:marLeft w:val="0"/>
              <w:marRight w:val="0"/>
              <w:marTop w:val="0"/>
              <w:marBottom w:val="0"/>
              <w:divBdr>
                <w:top w:val="none" w:sz="0" w:space="0" w:color="auto"/>
                <w:left w:val="none" w:sz="0" w:space="0" w:color="auto"/>
                <w:bottom w:val="none" w:sz="0" w:space="0" w:color="auto"/>
                <w:right w:val="none" w:sz="0" w:space="0" w:color="auto"/>
              </w:divBdr>
              <w:divsChild>
                <w:div w:id="52654528">
                  <w:marLeft w:val="0"/>
                  <w:marRight w:val="0"/>
                  <w:marTop w:val="0"/>
                  <w:marBottom w:val="0"/>
                  <w:divBdr>
                    <w:top w:val="none" w:sz="0" w:space="0" w:color="auto"/>
                    <w:left w:val="none" w:sz="0" w:space="0" w:color="auto"/>
                    <w:bottom w:val="none" w:sz="0" w:space="0" w:color="auto"/>
                    <w:right w:val="none" w:sz="0" w:space="0" w:color="auto"/>
                  </w:divBdr>
                  <w:divsChild>
                    <w:div w:id="2109347578">
                      <w:marLeft w:val="0"/>
                      <w:marRight w:val="0"/>
                      <w:marTop w:val="0"/>
                      <w:marBottom w:val="0"/>
                      <w:divBdr>
                        <w:top w:val="none" w:sz="0" w:space="0" w:color="auto"/>
                        <w:left w:val="none" w:sz="0" w:space="0" w:color="auto"/>
                        <w:bottom w:val="none" w:sz="0" w:space="0" w:color="auto"/>
                        <w:right w:val="none" w:sz="0" w:space="0" w:color="auto"/>
                      </w:divBdr>
                      <w:divsChild>
                        <w:div w:id="998577513">
                          <w:marLeft w:val="0"/>
                          <w:marRight w:val="0"/>
                          <w:marTop w:val="0"/>
                          <w:marBottom w:val="0"/>
                          <w:divBdr>
                            <w:top w:val="none" w:sz="0" w:space="0" w:color="auto"/>
                            <w:left w:val="none" w:sz="0" w:space="0" w:color="auto"/>
                            <w:bottom w:val="none" w:sz="0" w:space="0" w:color="auto"/>
                            <w:right w:val="none" w:sz="0" w:space="0" w:color="auto"/>
                          </w:divBdr>
                          <w:divsChild>
                            <w:div w:id="1600992575">
                              <w:marLeft w:val="0"/>
                              <w:marRight w:val="0"/>
                              <w:marTop w:val="0"/>
                              <w:marBottom w:val="0"/>
                              <w:divBdr>
                                <w:top w:val="none" w:sz="0" w:space="0" w:color="auto"/>
                                <w:left w:val="none" w:sz="0" w:space="0" w:color="auto"/>
                                <w:bottom w:val="none" w:sz="0" w:space="0" w:color="auto"/>
                                <w:right w:val="none" w:sz="0" w:space="0" w:color="auto"/>
                              </w:divBdr>
                              <w:divsChild>
                                <w:div w:id="57305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4300497">
      <w:bodyDiv w:val="1"/>
      <w:marLeft w:val="0"/>
      <w:marRight w:val="0"/>
      <w:marTop w:val="0"/>
      <w:marBottom w:val="0"/>
      <w:divBdr>
        <w:top w:val="none" w:sz="0" w:space="0" w:color="auto"/>
        <w:left w:val="none" w:sz="0" w:space="0" w:color="auto"/>
        <w:bottom w:val="none" w:sz="0" w:space="0" w:color="auto"/>
        <w:right w:val="none" w:sz="0" w:space="0" w:color="auto"/>
      </w:divBdr>
    </w:div>
    <w:div w:id="1945071530">
      <w:bodyDiv w:val="1"/>
      <w:marLeft w:val="0"/>
      <w:marRight w:val="0"/>
      <w:marTop w:val="0"/>
      <w:marBottom w:val="0"/>
      <w:divBdr>
        <w:top w:val="none" w:sz="0" w:space="0" w:color="auto"/>
        <w:left w:val="none" w:sz="0" w:space="0" w:color="auto"/>
        <w:bottom w:val="none" w:sz="0" w:space="0" w:color="auto"/>
        <w:right w:val="none" w:sz="0" w:space="0" w:color="auto"/>
      </w:divBdr>
    </w:div>
    <w:div w:id="1958484108">
      <w:bodyDiv w:val="1"/>
      <w:marLeft w:val="0"/>
      <w:marRight w:val="0"/>
      <w:marTop w:val="0"/>
      <w:marBottom w:val="0"/>
      <w:divBdr>
        <w:top w:val="none" w:sz="0" w:space="0" w:color="auto"/>
        <w:left w:val="none" w:sz="0" w:space="0" w:color="auto"/>
        <w:bottom w:val="none" w:sz="0" w:space="0" w:color="auto"/>
        <w:right w:val="none" w:sz="0" w:space="0" w:color="auto"/>
      </w:divBdr>
    </w:div>
    <w:div w:id="1978417562">
      <w:bodyDiv w:val="1"/>
      <w:marLeft w:val="0"/>
      <w:marRight w:val="0"/>
      <w:marTop w:val="0"/>
      <w:marBottom w:val="0"/>
      <w:divBdr>
        <w:top w:val="none" w:sz="0" w:space="0" w:color="auto"/>
        <w:left w:val="none" w:sz="0" w:space="0" w:color="auto"/>
        <w:bottom w:val="none" w:sz="0" w:space="0" w:color="auto"/>
        <w:right w:val="none" w:sz="0" w:space="0" w:color="auto"/>
      </w:divBdr>
    </w:div>
    <w:div w:id="2007053937">
      <w:bodyDiv w:val="1"/>
      <w:marLeft w:val="0"/>
      <w:marRight w:val="0"/>
      <w:marTop w:val="0"/>
      <w:marBottom w:val="0"/>
      <w:divBdr>
        <w:top w:val="none" w:sz="0" w:space="0" w:color="auto"/>
        <w:left w:val="none" w:sz="0" w:space="0" w:color="auto"/>
        <w:bottom w:val="none" w:sz="0" w:space="0" w:color="auto"/>
        <w:right w:val="none" w:sz="0" w:space="0" w:color="auto"/>
      </w:divBdr>
    </w:div>
    <w:div w:id="202377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08/PR-08-2015-0221" TargetMode="External"/><Relationship Id="rId21" Type="http://schemas.openxmlformats.org/officeDocument/2006/relationships/hyperlink" Target="https://doi.org/10.1037/0021-9010.91.5.1134" TargetMode="External"/><Relationship Id="rId42" Type="http://schemas.openxmlformats.org/officeDocument/2006/relationships/hyperlink" Target="https://doi.org/10.1146/annurev.psych.60.110707.163505" TargetMode="External"/><Relationship Id="rId47" Type="http://schemas.openxmlformats.org/officeDocument/2006/relationships/hyperlink" Target="https://doi.org/10.1523/JNEUROSCI.0733-19.2019" TargetMode="External"/><Relationship Id="rId63" Type="http://schemas.openxmlformats.org/officeDocument/2006/relationships/hyperlink" Target="https://doi.org/10.1111/jonm.13675" TargetMode="External"/><Relationship Id="rId6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186/s12960-020-00469-9" TargetMode="External"/><Relationship Id="rId29" Type="http://schemas.openxmlformats.org/officeDocument/2006/relationships/hyperlink" Target="https://doi.org/10.1037/ocp0000069" TargetMode="External"/><Relationship Id="rId11" Type="http://schemas.openxmlformats.org/officeDocument/2006/relationships/hyperlink" Target="https://doi.org/10.1186/s12912-022-00964-5" TargetMode="External"/><Relationship Id="rId24" Type="http://schemas.openxmlformats.org/officeDocument/2006/relationships/hyperlink" Target="https://doi.org/10.1016/j.mar.2012.04.001" TargetMode="External"/><Relationship Id="rId32" Type="http://schemas.openxmlformats.org/officeDocument/2006/relationships/hyperlink" Target="https://doi.org/10.1287/mnsc.2014.2115" TargetMode="External"/><Relationship Id="rId37" Type="http://schemas.openxmlformats.org/officeDocument/2006/relationships/hyperlink" Target="https://doi.org/10.3389/fpsyg.2022.1006580" TargetMode="External"/><Relationship Id="rId40" Type="http://schemas.openxmlformats.org/officeDocument/2006/relationships/hyperlink" Target="https://doi.org/10.1001/jamanetworkopen.2024.43059" TargetMode="External"/><Relationship Id="rId45" Type="http://schemas.openxmlformats.org/officeDocument/2006/relationships/hyperlink" Target="https://doi.org/10.1037/a0021887" TargetMode="External"/><Relationship Id="rId53" Type="http://schemas.openxmlformats.org/officeDocument/2006/relationships/hyperlink" Target="https://doi.org/10.1001/jamanetworkopen.2025.5954" TargetMode="External"/><Relationship Id="rId58" Type="http://schemas.openxmlformats.org/officeDocument/2006/relationships/hyperlink" Target="https://doi.org/10.1007/978-94-007-5640-3_4" TargetMode="External"/><Relationship Id="rId66" Type="http://schemas.openxmlformats.org/officeDocument/2006/relationships/hyperlink" Target="https://doi.org/10.1080/09585192.2017.1344284"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iris.who.int/handle/10665/42346" TargetMode="External"/><Relationship Id="rId19" Type="http://schemas.openxmlformats.org/officeDocument/2006/relationships/hyperlink" Target="https://doi.org/10.1111/jan.13215" TargetMode="External"/><Relationship Id="rId14" Type="http://schemas.openxmlformats.org/officeDocument/2006/relationships/hyperlink" Target="https://doi.org/10.1186/s12912-022-00852-y" TargetMode="External"/><Relationship Id="rId22" Type="http://schemas.openxmlformats.org/officeDocument/2006/relationships/hyperlink" Target="https://doi.org/10.1136/oem.60.1.10" TargetMode="External"/><Relationship Id="rId27" Type="http://schemas.openxmlformats.org/officeDocument/2006/relationships/hyperlink" Target="https://doi.org/10.1017/CBO9780511490064.004" TargetMode="External"/><Relationship Id="rId30" Type="http://schemas.openxmlformats.org/officeDocument/2006/relationships/hyperlink" Target="https://doi.org/10.1046/j.1365-2648.2000.01496.x" TargetMode="External"/><Relationship Id="rId35" Type="http://schemas.openxmlformats.org/officeDocument/2006/relationships/hyperlink" Target="https://doi.org/10.1111/j.1744-6570.2008.00113.x" TargetMode="External"/><Relationship Id="rId43" Type="http://schemas.openxmlformats.org/officeDocument/2006/relationships/hyperlink" Target="https://doi.org/10.1037/a0038905" TargetMode="External"/><Relationship Id="rId48" Type="http://schemas.openxmlformats.org/officeDocument/2006/relationships/hyperlink" Target="https://doi.org/10.1037/1076-8998.3.4.368" TargetMode="External"/><Relationship Id="rId56" Type="http://schemas.openxmlformats.org/officeDocument/2006/relationships/hyperlink" Target="https://doi.org/10.17179/excli2018-1505" TargetMode="External"/><Relationship Id="rId64" Type="http://schemas.openxmlformats.org/officeDocument/2006/relationships/hyperlink" Target="https://doi.org/10.1097/JOM.0000000000000113" TargetMode="External"/><Relationship Id="rId69" Type="http://schemas.openxmlformats.org/officeDocument/2006/relationships/header" Target="header2.xml"/><Relationship Id="rId8" Type="http://schemas.openxmlformats.org/officeDocument/2006/relationships/hyperlink" Target="https://doi.org/10.1080/13651501.2020.1850645" TargetMode="External"/><Relationship Id="rId51" Type="http://schemas.openxmlformats.org/officeDocument/2006/relationships/hyperlink" Target="https://doi.org/10.1108/00483480810906900" TargetMode="External"/><Relationship Id="rId72"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doi.org/10.56557/jobari/2026/v32i110242" TargetMode="External"/><Relationship Id="rId17" Type="http://schemas.openxmlformats.org/officeDocument/2006/relationships/hyperlink" Target="https://doi.org/10.1037/0033-2909.117.3.497" TargetMode="External"/><Relationship Id="rId25" Type="http://schemas.openxmlformats.org/officeDocument/2006/relationships/hyperlink" Target="https://doi.org/10.1186/s12960-020-00469-9" TargetMode="External"/><Relationship Id="rId33" Type="http://schemas.openxmlformats.org/officeDocument/2006/relationships/hyperlink" Target="https://doi.org/10.1080/10376178.2019.1647791" TargetMode="External"/><Relationship Id="rId38" Type="http://schemas.openxmlformats.org/officeDocument/2006/relationships/hyperlink" Target="https://doi.org/10.3389/fpsyg.2022.1006580" TargetMode="External"/><Relationship Id="rId46" Type="http://schemas.openxmlformats.org/officeDocument/2006/relationships/hyperlink" Target="https://doi.org/10.1002/wps.20311" TargetMode="External"/><Relationship Id="rId59" Type="http://schemas.openxmlformats.org/officeDocument/2006/relationships/hyperlink" Target="https://doi.org/10.1016/j.ijnurstu.2018.04.016" TargetMode="External"/><Relationship Id="rId67" Type="http://schemas.openxmlformats.org/officeDocument/2006/relationships/hyperlink" Target="https://doi.org/10.1108/17410400710731437" TargetMode="External"/><Relationship Id="rId20" Type="http://schemas.openxmlformats.org/officeDocument/2006/relationships/hyperlink" Target="https://doi.org/10.1016/j.ijnurstu.2019.01.011" TargetMode="External"/><Relationship Id="rId41" Type="http://schemas.openxmlformats.org/officeDocument/2006/relationships/hyperlink" Target="https://doi.org/10.1371/journal.pone.0159015" TargetMode="External"/><Relationship Id="rId54" Type="http://schemas.openxmlformats.org/officeDocument/2006/relationships/hyperlink" Target="https://doi.org/10.4314/jasem.v26i2.13" TargetMode="External"/><Relationship Id="rId62" Type="http://schemas.openxmlformats.org/officeDocument/2006/relationships/hyperlink" Target="https://www.who.int/publications/i/item/9789240053052"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46/annurev-orgpsych-031413-091235" TargetMode="External"/><Relationship Id="rId23" Type="http://schemas.openxmlformats.org/officeDocument/2006/relationships/hyperlink" Target="https://doi.org/10.3389/fpsyg.2022.1006580" TargetMode="External"/><Relationship Id="rId28" Type="http://schemas.openxmlformats.org/officeDocument/2006/relationships/hyperlink" Target="https://doi.org/10.1017/CBO9780511490064.004" TargetMode="External"/><Relationship Id="rId36" Type="http://schemas.openxmlformats.org/officeDocument/2006/relationships/hyperlink" Target="https://doi.org/10.1108/17410400710731437" TargetMode="External"/><Relationship Id="rId49" Type="http://schemas.openxmlformats.org/officeDocument/2006/relationships/hyperlink" Target="https://doi.org/10.1016/S0149-2063(99)80065-8" TargetMode="External"/><Relationship Id="rId57" Type="http://schemas.openxmlformats.org/officeDocument/2006/relationships/hyperlink" Target="https://doi.org/10.1186/s12912-023-01695-x" TargetMode="External"/><Relationship Id="rId10" Type="http://schemas.openxmlformats.org/officeDocument/2006/relationships/hyperlink" Target="https://doi.org/10.1037/ocp0000056" TargetMode="External"/><Relationship Id="rId31" Type="http://schemas.openxmlformats.org/officeDocument/2006/relationships/hyperlink" Target="https://doi.org/10.1037/0021-9010.86.3.499" TargetMode="External"/><Relationship Id="rId44" Type="http://schemas.openxmlformats.org/officeDocument/2006/relationships/hyperlink" Target="https://doi.org/10.1097/JOM.0000000000000113" TargetMode="External"/><Relationship Id="rId52" Type="http://schemas.openxmlformats.org/officeDocument/2006/relationships/hyperlink" Target="https://doi.org/10.1136/oem.60.1.10" TargetMode="External"/><Relationship Id="rId60" Type="http://schemas.openxmlformats.org/officeDocument/2006/relationships/hyperlink" Target="https://www.who.int/news-room/questions-and-answers/item/ccupational-health-stress-at-the-workplace" TargetMode="External"/><Relationship Id="rId65" Type="http://schemas.openxmlformats.org/officeDocument/2006/relationships/hyperlink" Target="https://doi.org/10.1016/j.ijnurstu.2007.10.010" TargetMode="External"/><Relationship Id="rId73"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3389/fpsyg.2020.01759" TargetMode="External"/><Relationship Id="rId13" Type="http://schemas.openxmlformats.org/officeDocument/2006/relationships/hyperlink" Target="https://doi.org/10.1186/s12912-022-00852-y" TargetMode="External"/><Relationship Id="rId18" Type="http://schemas.openxmlformats.org/officeDocument/2006/relationships/hyperlink" Target="https://doi.org/10.4066/AMJ.2010.289" TargetMode="External"/><Relationship Id="rId39" Type="http://schemas.openxmlformats.org/officeDocument/2006/relationships/hyperlink" Target="https://doi.org/10.1080/10376178.2019.1647791" TargetMode="External"/><Relationship Id="rId34" Type="http://schemas.openxmlformats.org/officeDocument/2006/relationships/hyperlink" Target="https://doi.org/10.1097/NCQ.0000000000000089" TargetMode="External"/><Relationship Id="rId50" Type="http://schemas.openxmlformats.org/officeDocument/2006/relationships/hyperlink" Target="https://doi.org/10.1080/1359432X.2014.897943" TargetMode="External"/><Relationship Id="rId55" Type="http://schemas.openxmlformats.org/officeDocument/2006/relationships/hyperlink" Target="https://doi.org/10.9734/ajmah/2025/v23i91291" TargetMode="External"/><Relationship Id="rId7" Type="http://schemas.openxmlformats.org/officeDocument/2006/relationships/hyperlink" Target="https://doi.org/10.1037/0002-9432.76.1.103" TargetMode="Externa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20</Pages>
  <Words>7903</Words>
  <Characters>45049</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PROBOOK</dc:creator>
  <cp:keywords/>
  <dc:description/>
  <cp:lastModifiedBy>Editor-90</cp:lastModifiedBy>
  <cp:revision>41</cp:revision>
  <dcterms:created xsi:type="dcterms:W3CDTF">2026-05-09T22:38:00Z</dcterms:created>
  <dcterms:modified xsi:type="dcterms:W3CDTF">2026-06-23T09:57:00Z</dcterms:modified>
</cp:coreProperties>
</file>