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16EEE" w14:textId="77777777" w:rsidR="003E5525" w:rsidRPr="00AE30B2" w:rsidRDefault="003E5525" w:rsidP="00D5102C">
      <w:pPr>
        <w:spacing w:before="100" w:beforeAutospacing="1" w:after="100" w:afterAutospacing="1" w:line="240" w:lineRule="auto"/>
        <w:jc w:val="both"/>
        <w:outlineLvl w:val="0"/>
        <w:rPr>
          <w:rFonts w:ascii="Arial" w:eastAsia="Times New Roman" w:hAnsi="Arial" w:cs="Arial"/>
          <w:b/>
          <w:bCs/>
          <w:kern w:val="36"/>
          <w:sz w:val="36"/>
          <w:szCs w:val="36"/>
          <w14:ligatures w14:val="none"/>
        </w:rPr>
      </w:pPr>
      <w:bookmarkStart w:id="0" w:name="_Hlk235611801"/>
      <w:r w:rsidRPr="00AE30B2">
        <w:rPr>
          <w:rFonts w:ascii="Arial" w:eastAsia="Times New Roman" w:hAnsi="Arial" w:cs="Arial"/>
          <w:b/>
          <w:bCs/>
          <w:kern w:val="36"/>
          <w:sz w:val="36"/>
          <w:szCs w:val="36"/>
          <w14:ligatures w14:val="none"/>
        </w:rPr>
        <w:t>Original Research Article</w:t>
      </w:r>
    </w:p>
    <w:p w14:paraId="32996805" w14:textId="77777777" w:rsidR="00D66D32" w:rsidRPr="00AE30B2" w:rsidRDefault="00D66D32" w:rsidP="00D5102C">
      <w:pPr>
        <w:spacing w:before="100" w:beforeAutospacing="1" w:after="100" w:afterAutospacing="1" w:line="240" w:lineRule="auto"/>
        <w:jc w:val="both"/>
        <w:outlineLvl w:val="0"/>
        <w:rPr>
          <w:rFonts w:ascii="Arial" w:eastAsia="Times New Roman" w:hAnsi="Arial" w:cs="Arial"/>
          <w:b/>
          <w:bCs/>
          <w:kern w:val="36"/>
          <w:sz w:val="36"/>
          <w:szCs w:val="36"/>
          <w14:ligatures w14:val="none"/>
        </w:rPr>
      </w:pPr>
      <w:r w:rsidRPr="00AE30B2">
        <w:rPr>
          <w:rFonts w:ascii="Arial" w:eastAsia="Times New Roman" w:hAnsi="Arial" w:cs="Arial"/>
          <w:b/>
          <w:bCs/>
          <w:kern w:val="36"/>
          <w:sz w:val="36"/>
          <w:szCs w:val="36"/>
          <w14:ligatures w14:val="none"/>
        </w:rPr>
        <w:t xml:space="preserve">Assessment of </w:t>
      </w:r>
      <w:r w:rsidR="00CA1038" w:rsidRPr="00AE30B2">
        <w:rPr>
          <w:rFonts w:ascii="Arial" w:eastAsia="Times New Roman" w:hAnsi="Arial" w:cs="Arial"/>
          <w:b/>
          <w:bCs/>
          <w:kern w:val="36"/>
          <w:sz w:val="36"/>
          <w:szCs w:val="36"/>
          <w14:ligatures w14:val="none"/>
        </w:rPr>
        <w:t xml:space="preserve">Enteropathogenic </w:t>
      </w:r>
      <w:r w:rsidR="009B44D1" w:rsidRPr="00AE30B2">
        <w:rPr>
          <w:rFonts w:ascii="Arial" w:eastAsia="Times New Roman" w:hAnsi="Arial" w:cs="Arial"/>
          <w:b/>
          <w:bCs/>
          <w:kern w:val="36"/>
          <w:sz w:val="36"/>
          <w:szCs w:val="36"/>
          <w14:ligatures w14:val="none"/>
        </w:rPr>
        <w:t>Load</w:t>
      </w:r>
      <w:r w:rsidR="00CD21AA" w:rsidRPr="00AE30B2">
        <w:rPr>
          <w:rFonts w:ascii="Arial" w:eastAsia="Times New Roman" w:hAnsi="Arial" w:cs="Arial"/>
          <w:b/>
          <w:bCs/>
          <w:kern w:val="36"/>
          <w:sz w:val="36"/>
          <w:szCs w:val="36"/>
          <w14:ligatures w14:val="none"/>
        </w:rPr>
        <w:t xml:space="preserve"> </w:t>
      </w:r>
      <w:r w:rsidRPr="00AE30B2">
        <w:rPr>
          <w:rFonts w:ascii="Arial" w:eastAsia="Times New Roman" w:hAnsi="Arial" w:cs="Arial"/>
          <w:b/>
          <w:bCs/>
          <w:kern w:val="36"/>
          <w:sz w:val="36"/>
          <w:szCs w:val="36"/>
          <w14:ligatures w14:val="none"/>
        </w:rPr>
        <w:t xml:space="preserve">and Biochemical Alterations in </w:t>
      </w:r>
      <w:r w:rsidR="009D62BF" w:rsidRPr="00AE30B2">
        <w:rPr>
          <w:rFonts w:ascii="Arial" w:eastAsia="Times New Roman" w:hAnsi="Arial" w:cs="Arial"/>
          <w:b/>
          <w:bCs/>
          <w:kern w:val="36"/>
          <w:sz w:val="36"/>
          <w:szCs w:val="36"/>
          <w14:ligatures w14:val="none"/>
        </w:rPr>
        <w:t xml:space="preserve">Early </w:t>
      </w:r>
      <w:r w:rsidRPr="00AE30B2">
        <w:rPr>
          <w:rFonts w:ascii="Arial" w:eastAsia="Times New Roman" w:hAnsi="Arial" w:cs="Arial"/>
          <w:b/>
          <w:bCs/>
          <w:kern w:val="36"/>
          <w:sz w:val="36"/>
          <w:szCs w:val="36"/>
          <w14:ligatures w14:val="none"/>
        </w:rPr>
        <w:t>Childhood Diarrhoea in Andoni Local Government Area of Rivers State, Nigeria</w:t>
      </w:r>
      <w:r w:rsidR="0025337B" w:rsidRPr="00AE30B2">
        <w:rPr>
          <w:rFonts w:ascii="Arial" w:eastAsia="Times New Roman" w:hAnsi="Arial" w:cs="Arial"/>
          <w:b/>
          <w:bCs/>
          <w:kern w:val="36"/>
          <w:sz w:val="36"/>
          <w:szCs w:val="36"/>
          <w14:ligatures w14:val="none"/>
        </w:rPr>
        <w:t xml:space="preserve">: Implications </w:t>
      </w:r>
      <w:r w:rsidR="00C34E56" w:rsidRPr="00AE30B2">
        <w:rPr>
          <w:rFonts w:ascii="Arial" w:eastAsia="Times New Roman" w:hAnsi="Arial" w:cs="Arial"/>
          <w:b/>
          <w:bCs/>
          <w:kern w:val="36"/>
          <w:sz w:val="36"/>
          <w:szCs w:val="36"/>
          <w14:ligatures w14:val="none"/>
        </w:rPr>
        <w:t>for</w:t>
      </w:r>
      <w:r w:rsidR="0025337B" w:rsidRPr="00AE30B2">
        <w:rPr>
          <w:rFonts w:ascii="Arial" w:eastAsia="Times New Roman" w:hAnsi="Arial" w:cs="Arial"/>
          <w:b/>
          <w:bCs/>
          <w:kern w:val="36"/>
          <w:sz w:val="36"/>
          <w:szCs w:val="36"/>
          <w14:ligatures w14:val="none"/>
        </w:rPr>
        <w:t xml:space="preserve"> Public Health</w:t>
      </w:r>
    </w:p>
    <w:p w14:paraId="42384D33" w14:textId="77777777" w:rsidR="006F73F7" w:rsidRPr="00AE30B2" w:rsidRDefault="006F73F7" w:rsidP="00D5102C">
      <w:pPr>
        <w:spacing w:before="100" w:beforeAutospacing="1" w:after="100" w:afterAutospacing="1" w:line="240" w:lineRule="auto"/>
        <w:jc w:val="both"/>
        <w:outlineLvl w:val="0"/>
        <w:rPr>
          <w:rFonts w:ascii="Arial" w:eastAsia="Times New Roman" w:hAnsi="Arial" w:cs="Arial"/>
          <w:b/>
          <w:bCs/>
          <w:kern w:val="36"/>
          <w:sz w:val="36"/>
          <w:szCs w:val="36"/>
          <w14:ligatures w14:val="none"/>
        </w:rPr>
      </w:pPr>
    </w:p>
    <w:bookmarkEnd w:id="0"/>
    <w:p w14:paraId="04F67F03" w14:textId="77777777" w:rsidR="005B3B04" w:rsidRPr="00AE30B2" w:rsidRDefault="005B3B04" w:rsidP="00D5102C">
      <w:pPr>
        <w:pStyle w:val="Affiliation"/>
        <w:spacing w:after="0" w:line="240" w:lineRule="auto"/>
        <w:rPr>
          <w:rFonts w:ascii="Arial" w:hAnsi="Arial" w:cs="Arial"/>
          <w:i/>
          <w:sz w:val="22"/>
          <w:szCs w:val="22"/>
        </w:rPr>
      </w:pPr>
    </w:p>
    <w:p w14:paraId="7F7355A0" w14:textId="77777777" w:rsidR="00C10C58" w:rsidRPr="00AE30B2" w:rsidRDefault="00941F9F" w:rsidP="00D5102C">
      <w:pPr>
        <w:spacing w:before="100" w:beforeAutospacing="1" w:after="100" w:afterAutospacing="1" w:line="240" w:lineRule="auto"/>
        <w:jc w:val="both"/>
        <w:rPr>
          <w:rFonts w:ascii="Arial" w:eastAsia="Times New Roman" w:hAnsi="Arial" w:cs="Arial"/>
          <w:b/>
          <w:bCs/>
          <w:kern w:val="0"/>
          <w:sz w:val="22"/>
          <w:szCs w:val="22"/>
          <w:lang w:val="en-US"/>
          <w14:ligatures w14:val="none"/>
        </w:rPr>
      </w:pPr>
      <w:r w:rsidRPr="00AE30B2">
        <w:rPr>
          <w:rFonts w:ascii="Arial" w:eastAsia="Times New Roman" w:hAnsi="Arial" w:cs="Arial"/>
          <w:b/>
          <w:bCs/>
          <w:kern w:val="0"/>
          <w:sz w:val="22"/>
          <w:szCs w:val="22"/>
          <w:lang w:val="en-US"/>
          <w14:ligatures w14:val="none"/>
        </w:rPr>
        <w:t>ABSTRACT</w:t>
      </w:r>
    </w:p>
    <w:p w14:paraId="06A8DC88" w14:textId="77777777" w:rsidR="003E5525" w:rsidRPr="00AE30B2" w:rsidRDefault="003E5525" w:rsidP="003E5525">
      <w:pPr>
        <w:spacing w:after="0" w:line="240" w:lineRule="auto"/>
        <w:jc w:val="both"/>
        <w:rPr>
          <w:rFonts w:ascii="Arial" w:eastAsia="Times New Roman" w:hAnsi="Arial" w:cs="Arial"/>
          <w:kern w:val="0"/>
          <w:sz w:val="20"/>
          <w:szCs w:val="20"/>
          <w:lang w:val="en-US"/>
          <w14:ligatures w14:val="none"/>
        </w:rPr>
      </w:pPr>
      <w:r w:rsidRPr="00AE30B2">
        <w:rPr>
          <w:rFonts w:ascii="Arial" w:eastAsia="Times New Roman" w:hAnsi="Arial" w:cs="Arial"/>
          <w:b/>
          <w:bCs/>
          <w:kern w:val="0"/>
          <w:sz w:val="20"/>
          <w:szCs w:val="20"/>
          <w:lang w:val="en-US"/>
          <w14:ligatures w14:val="none"/>
        </w:rPr>
        <w:t xml:space="preserve">Background: </w:t>
      </w:r>
      <w:r w:rsidRPr="00AE30B2">
        <w:rPr>
          <w:rFonts w:ascii="Arial" w:eastAsia="Times New Roman" w:hAnsi="Arial" w:cs="Arial"/>
          <w:kern w:val="0"/>
          <w:sz w:val="20"/>
          <w:szCs w:val="20"/>
          <w:lang w:val="en-US"/>
          <w14:ligatures w14:val="none"/>
        </w:rPr>
        <w:t xml:space="preserve">Childhood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remains a significant public health challenge, particularly in riverine communities where limited access to safe water, inadequate sanitation, and poor hygiene practices increase exposure to enteric pathogens and associated complications.</w:t>
      </w:r>
    </w:p>
    <w:p w14:paraId="1720F532" w14:textId="77777777" w:rsidR="003E5525" w:rsidRPr="00AE30B2" w:rsidRDefault="003E5525" w:rsidP="003E5525">
      <w:pPr>
        <w:spacing w:after="0" w:line="240" w:lineRule="auto"/>
        <w:jc w:val="both"/>
        <w:rPr>
          <w:rFonts w:ascii="Arial" w:eastAsia="Times New Roman" w:hAnsi="Arial" w:cs="Arial"/>
          <w:kern w:val="0"/>
          <w:sz w:val="20"/>
          <w:szCs w:val="20"/>
          <w:lang w:val="en-US"/>
          <w14:ligatures w14:val="none"/>
        </w:rPr>
      </w:pPr>
      <w:r w:rsidRPr="00AE30B2">
        <w:rPr>
          <w:rFonts w:ascii="Arial" w:eastAsia="Times New Roman" w:hAnsi="Arial" w:cs="Arial"/>
          <w:b/>
          <w:bCs/>
          <w:kern w:val="0"/>
          <w:sz w:val="20"/>
          <w:szCs w:val="20"/>
          <w:lang w:val="en-US"/>
          <w14:ligatures w14:val="none"/>
        </w:rPr>
        <w:t xml:space="preserve">Aim: </w:t>
      </w:r>
      <w:r w:rsidRPr="00AE30B2">
        <w:rPr>
          <w:rFonts w:ascii="Arial" w:eastAsia="Times New Roman" w:hAnsi="Arial" w:cs="Arial"/>
          <w:kern w:val="0"/>
          <w:sz w:val="20"/>
          <w:szCs w:val="20"/>
          <w:lang w:val="en-US"/>
          <w14:ligatures w14:val="none"/>
        </w:rPr>
        <w:t xml:space="preserve">This study assessed the enteric bacterial pathogen burden and biochemical alterations associated with childhood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in Andoni Local Government Area of Rivers State, Nigeria, and evaluated their public health implications.</w:t>
      </w:r>
    </w:p>
    <w:p w14:paraId="666B43F2" w14:textId="77777777" w:rsidR="003E5525" w:rsidRPr="00AE30B2" w:rsidRDefault="003E5525" w:rsidP="003E5525">
      <w:pPr>
        <w:spacing w:after="0" w:line="240" w:lineRule="auto"/>
        <w:jc w:val="both"/>
        <w:rPr>
          <w:rFonts w:ascii="Arial" w:eastAsia="Times New Roman" w:hAnsi="Arial" w:cs="Arial"/>
          <w:kern w:val="0"/>
          <w:sz w:val="20"/>
          <w:szCs w:val="20"/>
          <w:lang w:val="en-US"/>
          <w14:ligatures w14:val="none"/>
        </w:rPr>
      </w:pPr>
      <w:r w:rsidRPr="00AE30B2">
        <w:rPr>
          <w:rFonts w:ascii="Arial" w:eastAsia="Times New Roman" w:hAnsi="Arial" w:cs="Arial"/>
          <w:b/>
          <w:bCs/>
          <w:kern w:val="0"/>
          <w:sz w:val="20"/>
          <w:szCs w:val="20"/>
          <w:lang w:val="en-US"/>
          <w14:ligatures w14:val="none"/>
        </w:rPr>
        <w:t xml:space="preserve">Methodology: </w:t>
      </w:r>
      <w:r w:rsidRPr="00AE30B2">
        <w:rPr>
          <w:rFonts w:ascii="Arial" w:eastAsia="Times New Roman" w:hAnsi="Arial" w:cs="Arial"/>
          <w:kern w:val="0"/>
          <w:sz w:val="20"/>
          <w:szCs w:val="20"/>
          <w:lang w:val="en-US"/>
          <w14:ligatures w14:val="none"/>
        </w:rPr>
        <w:t xml:space="preserve">A cross-sectional study was conducted among 250 </w:t>
      </w:r>
      <w:r w:rsidRPr="00AE30B2">
        <w:rPr>
          <w:rFonts w:ascii="Arial" w:eastAsia="Times New Roman" w:hAnsi="Arial" w:cs="Arial"/>
          <w:kern w:val="0"/>
          <w:sz w:val="20"/>
          <w:szCs w:val="20"/>
          <w:highlight w:val="yellow"/>
          <w:lang w:val="en-US"/>
          <w14:ligatures w14:val="none"/>
        </w:rPr>
        <w:t>children under five years of age attending</w:t>
      </w:r>
      <w:r w:rsidRPr="00AE30B2">
        <w:rPr>
          <w:rFonts w:ascii="Arial" w:eastAsia="Times New Roman" w:hAnsi="Arial" w:cs="Arial"/>
          <w:kern w:val="0"/>
          <w:sz w:val="20"/>
          <w:szCs w:val="20"/>
          <w:lang w:val="en-US"/>
          <w14:ligatures w14:val="none"/>
        </w:rPr>
        <w:t xml:space="preserve"> selected community health </w:t>
      </w:r>
      <w:proofErr w:type="spellStart"/>
      <w:r w:rsidRPr="00AE30B2">
        <w:rPr>
          <w:rFonts w:ascii="Arial" w:eastAsia="Times New Roman" w:hAnsi="Arial" w:cs="Arial"/>
          <w:kern w:val="0"/>
          <w:sz w:val="20"/>
          <w:szCs w:val="20"/>
          <w:lang w:val="en-US"/>
          <w14:ligatures w14:val="none"/>
        </w:rPr>
        <w:t>centres</w:t>
      </w:r>
      <w:proofErr w:type="spellEnd"/>
      <w:r w:rsidRPr="00AE30B2">
        <w:rPr>
          <w:rFonts w:ascii="Arial" w:eastAsia="Times New Roman" w:hAnsi="Arial" w:cs="Arial"/>
          <w:kern w:val="0"/>
          <w:sz w:val="20"/>
          <w:szCs w:val="20"/>
          <w:lang w:val="en-US"/>
          <w14:ligatures w14:val="none"/>
        </w:rPr>
        <w:t xml:space="preserve"> in Andoni Local Government Area, Rivers State, Nigeria. Stool samples from children with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were examined using standard microbiological procedures to isolate and identify enteric bacterial pathogens, while serum samples were </w:t>
      </w:r>
      <w:proofErr w:type="spellStart"/>
      <w:r w:rsidRPr="00AE30B2">
        <w:rPr>
          <w:rFonts w:ascii="Arial" w:eastAsia="Times New Roman" w:hAnsi="Arial" w:cs="Arial"/>
          <w:kern w:val="0"/>
          <w:sz w:val="20"/>
          <w:szCs w:val="20"/>
          <w:lang w:val="en-US"/>
          <w14:ligatures w14:val="none"/>
        </w:rPr>
        <w:t>analysed</w:t>
      </w:r>
      <w:proofErr w:type="spellEnd"/>
      <w:r w:rsidRPr="00AE30B2">
        <w:rPr>
          <w:rFonts w:ascii="Arial" w:eastAsia="Times New Roman" w:hAnsi="Arial" w:cs="Arial"/>
          <w:kern w:val="0"/>
          <w:sz w:val="20"/>
          <w:szCs w:val="20"/>
          <w:lang w:val="en-US"/>
          <w14:ligatures w14:val="none"/>
        </w:rPr>
        <w:t xml:space="preserve"> for electrolyte (sodium, potassium, chloride, and bicarbonate) and zinc concentrations using established biochemical methods. Biochemical parameters were compared between 29 children with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and 30 apparently healthy children who served as the control group. Data were </w:t>
      </w:r>
      <w:proofErr w:type="spellStart"/>
      <w:r w:rsidRPr="00AE30B2">
        <w:rPr>
          <w:rFonts w:ascii="Arial" w:eastAsia="Times New Roman" w:hAnsi="Arial" w:cs="Arial"/>
          <w:kern w:val="0"/>
          <w:sz w:val="20"/>
          <w:szCs w:val="20"/>
          <w:lang w:val="en-US"/>
          <w14:ligatures w14:val="none"/>
        </w:rPr>
        <w:t>analysed</w:t>
      </w:r>
      <w:proofErr w:type="spellEnd"/>
      <w:r w:rsidRPr="00AE30B2">
        <w:rPr>
          <w:rFonts w:ascii="Arial" w:eastAsia="Times New Roman" w:hAnsi="Arial" w:cs="Arial"/>
          <w:kern w:val="0"/>
          <w:sz w:val="20"/>
          <w:szCs w:val="20"/>
          <w:lang w:val="en-US"/>
          <w14:ligatures w14:val="none"/>
        </w:rPr>
        <w:t xml:space="preserve"> using the Statistical Package for the Social Sciences (SPSS), version 25.0, and statistical significance was set at </w:t>
      </w:r>
      <w:r w:rsidRPr="00AE30B2">
        <w:rPr>
          <w:rFonts w:ascii="Arial" w:eastAsia="Times New Roman" w:hAnsi="Arial" w:cs="Arial"/>
          <w:i/>
          <w:iCs/>
          <w:kern w:val="0"/>
          <w:sz w:val="20"/>
          <w:szCs w:val="20"/>
          <w:lang w:val="en-US"/>
          <w14:ligatures w14:val="none"/>
        </w:rPr>
        <w:t>p</w:t>
      </w:r>
      <w:r w:rsidRPr="00AE30B2">
        <w:rPr>
          <w:rFonts w:ascii="Arial" w:eastAsia="Times New Roman" w:hAnsi="Arial" w:cs="Arial"/>
          <w:kern w:val="0"/>
          <w:sz w:val="20"/>
          <w:szCs w:val="20"/>
          <w:lang w:val="en-US"/>
          <w14:ligatures w14:val="none"/>
        </w:rPr>
        <w:t xml:space="preserve"> &lt; 0.05.</w:t>
      </w:r>
    </w:p>
    <w:p w14:paraId="3C1A9160" w14:textId="77777777" w:rsidR="003E5525" w:rsidRPr="00AE30B2" w:rsidRDefault="003E5525" w:rsidP="003E5525">
      <w:pPr>
        <w:spacing w:after="0" w:line="240" w:lineRule="auto"/>
        <w:jc w:val="both"/>
        <w:rPr>
          <w:rFonts w:ascii="Arial" w:eastAsia="Times New Roman" w:hAnsi="Arial" w:cs="Arial"/>
          <w:b/>
          <w:bCs/>
          <w:kern w:val="0"/>
          <w:sz w:val="20"/>
          <w:szCs w:val="20"/>
          <w:lang w:val="en-US"/>
          <w14:ligatures w14:val="none"/>
        </w:rPr>
      </w:pPr>
      <w:r w:rsidRPr="00AE30B2">
        <w:rPr>
          <w:rFonts w:ascii="Arial" w:eastAsia="Times New Roman" w:hAnsi="Arial" w:cs="Arial"/>
          <w:b/>
          <w:bCs/>
          <w:kern w:val="0"/>
          <w:sz w:val="20"/>
          <w:szCs w:val="20"/>
          <w:lang w:val="en-US"/>
          <w14:ligatures w14:val="none"/>
        </w:rPr>
        <w:t xml:space="preserve">Results: </w:t>
      </w:r>
      <w:r w:rsidRPr="00AE30B2">
        <w:rPr>
          <w:rFonts w:ascii="Arial" w:eastAsia="Times New Roman" w:hAnsi="Arial" w:cs="Arial"/>
          <w:kern w:val="0"/>
          <w:sz w:val="20"/>
          <w:szCs w:val="20"/>
          <w:lang w:val="en-US"/>
          <w14:ligatures w14:val="none"/>
        </w:rPr>
        <w:t xml:space="preserve">Among the 250 children assessed, 29 presented with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giving a prevalence of 11.6%. Four major enteric bacterial pathogens were isolated from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stool samples, including </w:t>
      </w:r>
      <w:r w:rsidRPr="00AE30B2">
        <w:rPr>
          <w:rFonts w:ascii="Arial" w:eastAsia="Times New Roman" w:hAnsi="Arial" w:cs="Arial"/>
          <w:i/>
          <w:iCs/>
          <w:kern w:val="0"/>
          <w:sz w:val="20"/>
          <w:szCs w:val="20"/>
          <w:lang w:val="en-US"/>
          <w14:ligatures w14:val="none"/>
        </w:rPr>
        <w:t>Escherichia coli</w:t>
      </w:r>
      <w:r w:rsidRPr="00AE30B2">
        <w:rPr>
          <w:rFonts w:ascii="Arial" w:eastAsia="Times New Roman" w:hAnsi="Arial" w:cs="Arial"/>
          <w:kern w:val="0"/>
          <w:sz w:val="20"/>
          <w:szCs w:val="20"/>
          <w:lang w:val="en-US"/>
          <w14:ligatures w14:val="none"/>
        </w:rPr>
        <w:t xml:space="preserve"> (44.8%), </w:t>
      </w:r>
      <w:r w:rsidRPr="00AE30B2">
        <w:rPr>
          <w:rFonts w:ascii="Arial" w:eastAsia="Times New Roman" w:hAnsi="Arial" w:cs="Arial"/>
          <w:i/>
          <w:iCs/>
          <w:kern w:val="0"/>
          <w:sz w:val="20"/>
          <w:szCs w:val="20"/>
          <w:lang w:val="en-US"/>
          <w14:ligatures w14:val="none"/>
        </w:rPr>
        <w:t>Shigella</w:t>
      </w:r>
      <w:r w:rsidRPr="00AE30B2">
        <w:rPr>
          <w:rFonts w:ascii="Arial" w:eastAsia="Times New Roman" w:hAnsi="Arial" w:cs="Arial"/>
          <w:kern w:val="0"/>
          <w:sz w:val="20"/>
          <w:szCs w:val="20"/>
          <w:lang w:val="en-US"/>
          <w14:ligatures w14:val="none"/>
        </w:rPr>
        <w:t xml:space="preserve"> spp. (23.1%), </w:t>
      </w:r>
      <w:r w:rsidRPr="00AE30B2">
        <w:rPr>
          <w:rFonts w:ascii="Arial" w:eastAsia="Times New Roman" w:hAnsi="Arial" w:cs="Arial"/>
          <w:i/>
          <w:iCs/>
          <w:kern w:val="0"/>
          <w:sz w:val="20"/>
          <w:szCs w:val="20"/>
          <w:lang w:val="en-US"/>
          <w14:ligatures w14:val="none"/>
        </w:rPr>
        <w:t>Salmonella</w:t>
      </w:r>
      <w:r w:rsidRPr="00AE30B2">
        <w:rPr>
          <w:rFonts w:ascii="Arial" w:eastAsia="Times New Roman" w:hAnsi="Arial" w:cs="Arial"/>
          <w:kern w:val="0"/>
          <w:sz w:val="20"/>
          <w:szCs w:val="20"/>
          <w:lang w:val="en-US"/>
          <w14:ligatures w14:val="none"/>
        </w:rPr>
        <w:t xml:space="preserve"> spp. (20.7%), and </w:t>
      </w:r>
      <w:r w:rsidRPr="00AE30B2">
        <w:rPr>
          <w:rFonts w:ascii="Arial" w:eastAsia="Times New Roman" w:hAnsi="Arial" w:cs="Arial"/>
          <w:i/>
          <w:iCs/>
          <w:kern w:val="0"/>
          <w:sz w:val="20"/>
          <w:szCs w:val="20"/>
          <w:lang w:val="en-US"/>
          <w14:ligatures w14:val="none"/>
        </w:rPr>
        <w:t>Vibrio cholerae</w:t>
      </w:r>
      <w:r w:rsidRPr="00AE30B2">
        <w:rPr>
          <w:rFonts w:ascii="Arial" w:eastAsia="Times New Roman" w:hAnsi="Arial" w:cs="Arial"/>
          <w:kern w:val="0"/>
          <w:sz w:val="20"/>
          <w:szCs w:val="20"/>
          <w:lang w:val="en-US"/>
          <w14:ligatures w14:val="none"/>
        </w:rPr>
        <w:t xml:space="preserve"> (10.4%). The highest mean bacterial load was observed in </w:t>
      </w:r>
      <w:r w:rsidRPr="00AE30B2">
        <w:rPr>
          <w:rFonts w:ascii="Arial" w:eastAsia="Times New Roman" w:hAnsi="Arial" w:cs="Arial"/>
          <w:i/>
          <w:iCs/>
          <w:kern w:val="0"/>
          <w:sz w:val="20"/>
          <w:szCs w:val="20"/>
          <w:lang w:val="en-US"/>
          <w14:ligatures w14:val="none"/>
        </w:rPr>
        <w:t>E. coli</w:t>
      </w:r>
      <w:r w:rsidRPr="00AE30B2">
        <w:rPr>
          <w:rFonts w:ascii="Arial" w:eastAsia="Times New Roman" w:hAnsi="Arial" w:cs="Arial"/>
          <w:kern w:val="0"/>
          <w:sz w:val="20"/>
          <w:szCs w:val="20"/>
          <w:lang w:val="en-US"/>
          <w14:ligatures w14:val="none"/>
        </w:rPr>
        <w:t xml:space="preserve"> (4.9 × 10⁶ ± 0.6 × 10⁶ CFU/g), followed by </w:t>
      </w:r>
      <w:r w:rsidRPr="00AE30B2">
        <w:rPr>
          <w:rFonts w:ascii="Arial" w:eastAsia="Times New Roman" w:hAnsi="Arial" w:cs="Arial"/>
          <w:i/>
          <w:iCs/>
          <w:kern w:val="0"/>
          <w:sz w:val="20"/>
          <w:szCs w:val="20"/>
          <w:lang w:val="en-US"/>
          <w14:ligatures w14:val="none"/>
        </w:rPr>
        <w:t>Salmonella</w:t>
      </w:r>
      <w:r w:rsidRPr="00AE30B2">
        <w:rPr>
          <w:rFonts w:ascii="Arial" w:eastAsia="Times New Roman" w:hAnsi="Arial" w:cs="Arial"/>
          <w:kern w:val="0"/>
          <w:sz w:val="20"/>
          <w:szCs w:val="20"/>
          <w:lang w:val="en-US"/>
          <w14:ligatures w14:val="none"/>
        </w:rPr>
        <w:t xml:space="preserve"> spp. (3.9 × 10⁶ ± 0.4 × 10⁶ CFU/g), </w:t>
      </w:r>
      <w:r w:rsidRPr="00AE30B2">
        <w:rPr>
          <w:rFonts w:ascii="Arial" w:eastAsia="Times New Roman" w:hAnsi="Arial" w:cs="Arial"/>
          <w:i/>
          <w:iCs/>
          <w:kern w:val="0"/>
          <w:sz w:val="20"/>
          <w:szCs w:val="20"/>
          <w:lang w:val="en-US"/>
          <w14:ligatures w14:val="none"/>
        </w:rPr>
        <w:t>V. cholerae</w:t>
      </w:r>
      <w:r w:rsidRPr="00AE30B2">
        <w:rPr>
          <w:rFonts w:ascii="Arial" w:eastAsia="Times New Roman" w:hAnsi="Arial" w:cs="Arial"/>
          <w:kern w:val="0"/>
          <w:sz w:val="20"/>
          <w:szCs w:val="20"/>
          <w:lang w:val="en-US"/>
          <w14:ligatures w14:val="none"/>
        </w:rPr>
        <w:t xml:space="preserve"> (3.4 × 10⁶ ± 0.3 × 10⁶ CFU/g), and </w:t>
      </w:r>
      <w:r w:rsidRPr="00AE30B2">
        <w:rPr>
          <w:rFonts w:ascii="Arial" w:eastAsia="Times New Roman" w:hAnsi="Arial" w:cs="Arial"/>
          <w:i/>
          <w:iCs/>
          <w:kern w:val="0"/>
          <w:sz w:val="20"/>
          <w:szCs w:val="20"/>
          <w:lang w:val="en-US"/>
          <w14:ligatures w14:val="none"/>
        </w:rPr>
        <w:t>Shigella</w:t>
      </w:r>
      <w:r w:rsidRPr="00AE30B2">
        <w:rPr>
          <w:rFonts w:ascii="Arial" w:eastAsia="Times New Roman" w:hAnsi="Arial" w:cs="Arial"/>
          <w:kern w:val="0"/>
          <w:sz w:val="20"/>
          <w:szCs w:val="20"/>
          <w:lang w:val="en-US"/>
          <w14:ligatures w14:val="none"/>
        </w:rPr>
        <w:t xml:space="preserve"> spp. (3.1 × 10⁶ ± 0.5 × 10⁶ CFU/g). Children with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had significantly lower serum sodium, chloride, bicarbonate, and zinc concentrations than controls (</w:t>
      </w:r>
      <w:r w:rsidRPr="00AE30B2">
        <w:rPr>
          <w:rFonts w:ascii="Arial" w:eastAsia="Times New Roman" w:hAnsi="Arial" w:cs="Arial"/>
          <w:i/>
          <w:iCs/>
          <w:kern w:val="0"/>
          <w:sz w:val="20"/>
          <w:szCs w:val="20"/>
          <w:lang w:val="en-US"/>
          <w14:ligatures w14:val="none"/>
        </w:rPr>
        <w:t>p</w:t>
      </w:r>
      <w:r w:rsidRPr="00AE30B2">
        <w:rPr>
          <w:rFonts w:ascii="Arial" w:eastAsia="Times New Roman" w:hAnsi="Arial" w:cs="Arial"/>
          <w:kern w:val="0"/>
          <w:sz w:val="20"/>
          <w:szCs w:val="20"/>
          <w:lang w:val="en-US"/>
          <w14:ligatures w14:val="none"/>
        </w:rPr>
        <w:t xml:space="preserve"> &lt; 0.05). Serum potassium was also significantly lower in children with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than in controls (</w:t>
      </w:r>
      <w:r w:rsidRPr="00AE30B2">
        <w:rPr>
          <w:rFonts w:ascii="Arial" w:eastAsia="Times New Roman" w:hAnsi="Arial" w:cs="Arial"/>
          <w:i/>
          <w:iCs/>
          <w:kern w:val="0"/>
          <w:sz w:val="20"/>
          <w:szCs w:val="20"/>
          <w:lang w:val="en-US"/>
          <w14:ligatures w14:val="none"/>
        </w:rPr>
        <w:t>p</w:t>
      </w:r>
      <w:r w:rsidRPr="00AE30B2">
        <w:rPr>
          <w:rFonts w:ascii="Arial" w:eastAsia="Times New Roman" w:hAnsi="Arial" w:cs="Arial"/>
          <w:kern w:val="0"/>
          <w:sz w:val="20"/>
          <w:szCs w:val="20"/>
          <w:lang w:val="en-US"/>
          <w14:ligatures w14:val="none"/>
        </w:rPr>
        <w:t xml:space="preserve"> = 0.002).</w:t>
      </w:r>
    </w:p>
    <w:p w14:paraId="6247F062" w14:textId="77777777" w:rsidR="003E5525" w:rsidRPr="00AE30B2" w:rsidRDefault="003E5525" w:rsidP="003E5525">
      <w:pPr>
        <w:spacing w:after="0" w:line="240" w:lineRule="auto"/>
        <w:jc w:val="both"/>
        <w:rPr>
          <w:rFonts w:ascii="Arial" w:eastAsia="Times New Roman" w:hAnsi="Arial" w:cs="Arial"/>
          <w:kern w:val="0"/>
          <w:sz w:val="20"/>
          <w:szCs w:val="20"/>
          <w:lang w:val="en-US"/>
          <w14:ligatures w14:val="none"/>
        </w:rPr>
      </w:pPr>
      <w:r w:rsidRPr="00AE30B2">
        <w:rPr>
          <w:rFonts w:ascii="Arial" w:eastAsia="Times New Roman" w:hAnsi="Arial" w:cs="Arial"/>
          <w:b/>
          <w:bCs/>
          <w:kern w:val="0"/>
          <w:sz w:val="20"/>
          <w:szCs w:val="20"/>
          <w:lang w:val="en-US"/>
          <w14:ligatures w14:val="none"/>
        </w:rPr>
        <w:t xml:space="preserve">Conclusion: </w:t>
      </w:r>
      <w:r w:rsidRPr="00AE30B2">
        <w:rPr>
          <w:rFonts w:ascii="Arial" w:eastAsia="Times New Roman" w:hAnsi="Arial" w:cs="Arial"/>
          <w:kern w:val="0"/>
          <w:sz w:val="20"/>
          <w:szCs w:val="20"/>
          <w:lang w:val="en-US"/>
          <w14:ligatures w14:val="none"/>
        </w:rPr>
        <w:t xml:space="preserve">Childhood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in Andoni Local Government Area was associated with substantial enteric bacterial burden and significant alterations in serum biochemical parameters among under-five-year-old children. These findings highlight the need for improved water quality, sanitation, hygiene practices, and timely clinical management to reduce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morbidity and associated biochemical disturbances.</w:t>
      </w:r>
    </w:p>
    <w:p w14:paraId="7CDDB7A4" w14:textId="77777777" w:rsidR="0028018D" w:rsidRPr="00AE30B2" w:rsidRDefault="0028018D" w:rsidP="0028018D">
      <w:pPr>
        <w:spacing w:after="0" w:line="240" w:lineRule="auto"/>
        <w:jc w:val="both"/>
        <w:rPr>
          <w:rFonts w:ascii="Arial" w:eastAsia="Times New Roman" w:hAnsi="Arial" w:cs="Arial"/>
          <w:kern w:val="0"/>
          <w:sz w:val="20"/>
          <w:szCs w:val="20"/>
          <w14:ligatures w14:val="none"/>
        </w:rPr>
      </w:pPr>
    </w:p>
    <w:p w14:paraId="60DAF8D3" w14:textId="3CE8740D" w:rsidR="00C10C58" w:rsidRPr="00AE30B2" w:rsidRDefault="00C10C58" w:rsidP="0028018D">
      <w:pPr>
        <w:spacing w:after="0" w:line="240" w:lineRule="auto"/>
        <w:jc w:val="both"/>
        <w:rPr>
          <w:rFonts w:ascii="Arial" w:eastAsia="Times New Roman" w:hAnsi="Arial" w:cs="Arial"/>
          <w:kern w:val="0"/>
          <w:sz w:val="20"/>
          <w:szCs w:val="20"/>
          <w14:ligatures w14:val="none"/>
        </w:rPr>
      </w:pPr>
      <w:r w:rsidRPr="00AE30B2">
        <w:rPr>
          <w:rFonts w:ascii="Arial" w:eastAsia="Times New Roman" w:hAnsi="Arial" w:cs="Arial"/>
          <w:b/>
          <w:bCs/>
          <w:kern w:val="0"/>
          <w:sz w:val="20"/>
          <w:szCs w:val="20"/>
          <w:lang w:val="en-US"/>
          <w14:ligatures w14:val="none"/>
        </w:rPr>
        <w:t>Keywords:</w:t>
      </w:r>
      <w:r w:rsidRPr="00AE30B2">
        <w:rPr>
          <w:rFonts w:ascii="Arial" w:eastAsia="Times New Roman" w:hAnsi="Arial" w:cs="Arial"/>
          <w:kern w:val="0"/>
          <w:sz w:val="20"/>
          <w:szCs w:val="20"/>
          <w:lang w:val="en-US"/>
          <w14:ligatures w14:val="none"/>
        </w:rPr>
        <w:t xml:space="preserve"> </w:t>
      </w:r>
      <w:r w:rsidR="00735E1D">
        <w:t>Childhood diarrhoea; Enteric bacterial pathogens; Enteropathogenic load; Serum electrolytes; Zinc status; Under-five children; Water, sanitation and hygiene</w:t>
      </w:r>
    </w:p>
    <w:p w14:paraId="4B88A65F" w14:textId="77777777" w:rsidR="00D66D32" w:rsidRPr="00AE30B2" w:rsidRDefault="00941F9F" w:rsidP="00D5102C">
      <w:pPr>
        <w:spacing w:before="100" w:beforeAutospacing="1" w:after="100" w:afterAutospacing="1" w:line="240" w:lineRule="auto"/>
        <w:jc w:val="both"/>
        <w:outlineLvl w:val="0"/>
        <w:rPr>
          <w:rFonts w:ascii="Arial" w:eastAsia="Times New Roman" w:hAnsi="Arial" w:cs="Arial"/>
          <w:b/>
          <w:bCs/>
          <w:kern w:val="36"/>
          <w:sz w:val="22"/>
          <w:szCs w:val="22"/>
          <w14:ligatures w14:val="none"/>
        </w:rPr>
      </w:pPr>
      <w:r w:rsidRPr="00AE30B2">
        <w:rPr>
          <w:rFonts w:ascii="Arial" w:eastAsia="Times New Roman" w:hAnsi="Arial" w:cs="Arial"/>
          <w:b/>
          <w:bCs/>
          <w:kern w:val="36"/>
          <w:sz w:val="22"/>
          <w:szCs w:val="22"/>
          <w14:ligatures w14:val="none"/>
        </w:rPr>
        <w:t>1. INTRODUCTION</w:t>
      </w:r>
    </w:p>
    <w:p w14:paraId="54635DAE" w14:textId="204831B0" w:rsidR="00D66D32" w:rsidRPr="00AE30B2" w:rsidRDefault="00077658" w:rsidP="00D5102C">
      <w:pPr>
        <w:spacing w:before="100" w:beforeAutospacing="1" w:after="100" w:afterAutospacing="1" w:line="240" w:lineRule="auto"/>
        <w:jc w:val="both"/>
        <w:rPr>
          <w:rFonts w:ascii="Arial" w:hAnsi="Arial" w:cs="Arial"/>
          <w:kern w:val="0"/>
          <w:sz w:val="20"/>
          <w:szCs w:val="20"/>
          <w14:ligatures w14:val="none"/>
        </w:rPr>
      </w:pPr>
      <w:r w:rsidRPr="00AE30B2">
        <w:rPr>
          <w:rFonts w:ascii="Arial" w:hAnsi="Arial" w:cs="Arial"/>
          <w:kern w:val="0"/>
          <w:sz w:val="20"/>
          <w:szCs w:val="20"/>
          <w14:ligatures w14:val="none"/>
        </w:rPr>
        <w:t>Infectious diseases continue to pose significant challenges to the survival and health of children under five years of age (</w:t>
      </w:r>
      <w:r w:rsidRPr="00AE30B2">
        <w:rPr>
          <w:rFonts w:ascii="Arial" w:hAnsi="Arial" w:cs="Arial"/>
          <w:sz w:val="20"/>
          <w:szCs w:val="20"/>
        </w:rPr>
        <w:t>Singh et al., 2022)</w:t>
      </w:r>
      <w:r w:rsidRPr="00AE30B2">
        <w:rPr>
          <w:rFonts w:ascii="Arial" w:hAnsi="Arial" w:cs="Arial"/>
          <w:kern w:val="0"/>
          <w:sz w:val="20"/>
          <w:szCs w:val="20"/>
          <w14:ligatures w14:val="none"/>
        </w:rPr>
        <w:t xml:space="preserve">. Among these diseases, childhood diarrhoeal disease remains a major global public health problem and a leading cause of morbidity and mortality among children under five years </w:t>
      </w:r>
      <w:r w:rsidRPr="00AE30B2">
        <w:rPr>
          <w:rFonts w:ascii="Arial" w:hAnsi="Arial" w:cs="Arial"/>
          <w:kern w:val="0"/>
          <w:sz w:val="20"/>
          <w:szCs w:val="20"/>
          <w14:ligatures w14:val="none"/>
        </w:rPr>
        <w:lastRenderedPageBreak/>
        <w:t>of age (</w:t>
      </w:r>
      <w:r w:rsidRPr="00AE30B2">
        <w:rPr>
          <w:rFonts w:ascii="Arial" w:hAnsi="Arial" w:cs="Arial"/>
          <w:sz w:val="20"/>
          <w:szCs w:val="20"/>
        </w:rPr>
        <w:t>UNICEF, 202</w:t>
      </w:r>
      <w:r w:rsidR="000A47A5">
        <w:rPr>
          <w:rFonts w:ascii="Arial" w:hAnsi="Arial" w:cs="Arial"/>
          <w:sz w:val="20"/>
          <w:szCs w:val="20"/>
        </w:rPr>
        <w:t>5</w:t>
      </w:r>
      <w:r w:rsidRPr="00AE30B2">
        <w:rPr>
          <w:rFonts w:ascii="Arial" w:hAnsi="Arial" w:cs="Arial"/>
          <w:sz w:val="20"/>
          <w:szCs w:val="20"/>
        </w:rPr>
        <w:t>; Das et al., 2024; Manetu et al., 2021; Ugboko et al., 2020)</w:t>
      </w:r>
      <w:r w:rsidRPr="00AE30B2">
        <w:rPr>
          <w:rFonts w:ascii="Arial" w:hAnsi="Arial" w:cs="Arial"/>
          <w:kern w:val="0"/>
          <w:sz w:val="20"/>
          <w:szCs w:val="20"/>
          <w14:ligatures w14:val="none"/>
        </w:rPr>
        <w:t>. Despite substantial advances in preventive and therapeutic strategies, including oral rehydration therapy (ORT), zinc supplementation, vaccination, and water, sanitation, and hygiene (WASH) interventions, diarrhoea still accounts for a notable proportion of childhood illness and preventable deaths in Africa (</w:t>
      </w:r>
      <w:r w:rsidRPr="00AE30B2">
        <w:rPr>
          <w:rFonts w:ascii="Arial" w:hAnsi="Arial" w:cs="Arial"/>
          <w:sz w:val="20"/>
          <w:szCs w:val="20"/>
        </w:rPr>
        <w:t>George et al., 2025; Ahinkorah et al., 2022; Baral et al., 2020)</w:t>
      </w:r>
      <w:r w:rsidRPr="00AE30B2">
        <w:rPr>
          <w:rFonts w:ascii="Arial" w:hAnsi="Arial" w:cs="Arial"/>
          <w:kern w:val="0"/>
          <w:sz w:val="20"/>
          <w:szCs w:val="20"/>
          <w14:ligatures w14:val="none"/>
        </w:rPr>
        <w:t>.</w:t>
      </w:r>
    </w:p>
    <w:p w14:paraId="030DCDE2" w14:textId="77777777" w:rsidR="0026148A" w:rsidRPr="00BB19F0" w:rsidRDefault="00000000">
      <w:pPr>
        <w:spacing w:before="100" w:beforeAutospacing="1" w:after="100" w:afterAutospacing="1" w:line="240" w:lineRule="auto"/>
        <w:jc w:val="both"/>
        <w:rPr>
          <w:rFonts w:ascii="Arial" w:hAnsi="Arial" w:cs="Arial"/>
          <w:bCs/>
          <w:kern w:val="0"/>
          <w:sz w:val="20"/>
          <w:szCs w:val="20"/>
          <w14:ligatures w14:val="none"/>
        </w:rPr>
      </w:pPr>
      <w:r w:rsidRPr="00BB19F0">
        <w:rPr>
          <w:rFonts w:ascii="Arial" w:eastAsia="Arial" w:hAnsi="Arial" w:cs="Arial"/>
          <w:bCs/>
          <w:sz w:val="20"/>
        </w:rPr>
        <w:t>Recent global evidence further indicates that the burden remains concentrated among young children and is influenced by preventable risks, including unsafe water and poor sanitation (GBD 2021 Diarrhoeal Diseases Collaborators, 2025).</w:t>
      </w:r>
    </w:p>
    <w:p w14:paraId="439FF945" w14:textId="77777777" w:rsidR="00D66D32" w:rsidRPr="00AE30B2" w:rsidRDefault="00530A6A" w:rsidP="00D5102C">
      <w:pPr>
        <w:spacing w:before="100" w:beforeAutospacing="1" w:after="100" w:afterAutospacing="1" w:line="240" w:lineRule="auto"/>
        <w:jc w:val="both"/>
        <w:rPr>
          <w:rFonts w:ascii="Arial" w:hAnsi="Arial" w:cs="Arial"/>
          <w:kern w:val="0"/>
          <w:sz w:val="20"/>
          <w:szCs w:val="20"/>
          <w14:ligatures w14:val="none"/>
        </w:rPr>
      </w:pPr>
      <w:r w:rsidRPr="00AE30B2">
        <w:rPr>
          <w:rFonts w:ascii="Arial" w:hAnsi="Arial" w:cs="Arial"/>
          <w:kern w:val="0"/>
          <w:sz w:val="20"/>
          <w:szCs w:val="20"/>
          <w:highlight w:val="yellow"/>
          <w14:ligatures w14:val="none"/>
        </w:rPr>
        <w:t>In Africa, particularly in Nigeria,</w:t>
      </w:r>
      <w:r w:rsidRPr="00AE30B2">
        <w:rPr>
          <w:rFonts w:ascii="Arial" w:hAnsi="Arial" w:cs="Arial"/>
          <w:kern w:val="0"/>
          <w:sz w:val="20"/>
          <w:szCs w:val="20"/>
          <w14:ligatures w14:val="none"/>
        </w:rPr>
        <w:t xml:space="preserve"> diarrhoeal disease remains a major health issue, leading to regular healthcare visits, hospitalisations, childhood malnutrition, stunted growth, and preventable deaths (Choi, 2025; Amuche et al., 2022). The problem is more severe in rural and riverine areas, where access to safe drinking water, proper sanitation, and quality healthcare is often limited (Nwokoro et al., 2020). Poor environmental conditions, contaminated water sources, and substandard hygiene practices facilitate the spread of diarrhoeal enteropathogens (Pilipus et al., 2026; Namusisi, 2025).</w:t>
      </w:r>
    </w:p>
    <w:p w14:paraId="6B2A9F50" w14:textId="77777777" w:rsidR="00D66D32" w:rsidRPr="00AE30B2" w:rsidRDefault="00821933" w:rsidP="00D5102C">
      <w:pPr>
        <w:spacing w:before="100" w:beforeAutospacing="1" w:after="100" w:afterAutospacing="1" w:line="240" w:lineRule="auto"/>
        <w:jc w:val="both"/>
        <w:rPr>
          <w:rFonts w:ascii="Arial" w:hAnsi="Arial" w:cs="Arial"/>
          <w:kern w:val="0"/>
          <w:sz w:val="20"/>
          <w:szCs w:val="20"/>
          <w14:ligatures w14:val="none"/>
        </w:rPr>
      </w:pPr>
      <w:r w:rsidRPr="00AE30B2">
        <w:rPr>
          <w:rFonts w:ascii="Arial" w:hAnsi="Arial" w:cs="Arial"/>
          <w:kern w:val="0"/>
          <w:sz w:val="20"/>
          <w:szCs w:val="20"/>
          <w14:ligatures w14:val="none"/>
        </w:rPr>
        <w:t>Andoni Local Government Area of Rivers State is predominantly a riverine community characterised by extensive river networks, fishing activities, and reliance on seafood. Many households obtain drinking water from rivers and other untreated sources, such as dug-out wells, for domestic use (Tasie &amp; Wilcox, 2018). These water sources are susceptible to contamination through sewage discharge, improper waste disposal, flooding, and other environmental factors, thereby increasing the risk of enteropathogenic infections among children. The area's geographical features and challenges related to healthcare accessibility may further increase the vulnerability of children under five years of age to diarrhoeal diseases (Yeboah et al., 2024; Kanu et al., 2018).</w:t>
      </w:r>
    </w:p>
    <w:p w14:paraId="5D2EA956" w14:textId="77777777" w:rsidR="0026148A" w:rsidRPr="00BB19F0" w:rsidRDefault="00000000">
      <w:pPr>
        <w:spacing w:before="100" w:beforeAutospacing="1" w:after="100" w:afterAutospacing="1" w:line="240" w:lineRule="auto"/>
        <w:jc w:val="both"/>
        <w:rPr>
          <w:rFonts w:ascii="Arial" w:hAnsi="Arial" w:cs="Arial"/>
          <w:bCs/>
          <w:kern w:val="0"/>
          <w:sz w:val="20"/>
          <w:szCs w:val="20"/>
          <w14:ligatures w14:val="none"/>
        </w:rPr>
      </w:pPr>
      <w:r w:rsidRPr="00BB19F0">
        <w:rPr>
          <w:rFonts w:ascii="Arial" w:eastAsia="Arial" w:hAnsi="Arial" w:cs="Arial"/>
          <w:bCs/>
          <w:sz w:val="20"/>
        </w:rPr>
        <w:t>A recent study in south-eastern Nigeria further linked household water-storage practices with microbial contamination and reported diarrhoeal disease burden, underscoring the relevance of domestic water handling (Diala et al., 2025).</w:t>
      </w:r>
    </w:p>
    <w:p w14:paraId="62232A06" w14:textId="77777777" w:rsidR="00616404" w:rsidRPr="00AE30B2" w:rsidRDefault="00616404" w:rsidP="00616404">
      <w:pPr>
        <w:spacing w:before="100" w:beforeAutospacing="1" w:after="100" w:afterAutospacing="1" w:line="240" w:lineRule="auto"/>
        <w:jc w:val="both"/>
        <w:rPr>
          <w:rFonts w:ascii="Arial" w:hAnsi="Arial" w:cs="Arial"/>
          <w:kern w:val="0"/>
          <w:sz w:val="20"/>
          <w:szCs w:val="20"/>
          <w:lang w:val="en-US"/>
          <w14:ligatures w14:val="none"/>
        </w:rPr>
      </w:pPr>
      <w:bookmarkStart w:id="1" w:name="_Hlk235608400"/>
      <w:r w:rsidRPr="00AE30B2">
        <w:rPr>
          <w:rFonts w:ascii="Arial" w:hAnsi="Arial" w:cs="Arial"/>
          <w:kern w:val="0"/>
          <w:sz w:val="20"/>
          <w:szCs w:val="20"/>
          <w:lang w:val="en-US"/>
          <w14:ligatures w14:val="none"/>
        </w:rPr>
        <w:t xml:space="preserve">Children under five years of age are particularly susceptible to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infections because of their immature immune systems, frequent exposure to contaminated environments, and increased risk of rapid fluid loss (</w:t>
      </w:r>
      <w:proofErr w:type="spellStart"/>
      <w:r w:rsidRPr="00AE30B2">
        <w:rPr>
          <w:rFonts w:ascii="Arial" w:hAnsi="Arial" w:cs="Arial"/>
          <w:kern w:val="0"/>
          <w:sz w:val="20"/>
          <w:szCs w:val="20"/>
          <w:lang w:val="en-US"/>
          <w14:ligatures w14:val="none"/>
        </w:rPr>
        <w:t>Manetu</w:t>
      </w:r>
      <w:proofErr w:type="spellEnd"/>
      <w:r w:rsidRPr="00AE30B2">
        <w:rPr>
          <w:rFonts w:ascii="Arial" w:hAnsi="Arial" w:cs="Arial"/>
          <w:kern w:val="0"/>
          <w:sz w:val="20"/>
          <w:szCs w:val="20"/>
          <w:lang w:val="en-US"/>
          <w14:ligatures w14:val="none"/>
        </w:rPr>
        <w:t xml:space="preserve"> et al., 2021; </w:t>
      </w:r>
      <w:proofErr w:type="spellStart"/>
      <w:r w:rsidRPr="00AE30B2">
        <w:rPr>
          <w:rFonts w:ascii="Arial" w:hAnsi="Arial" w:cs="Arial"/>
          <w:kern w:val="0"/>
          <w:sz w:val="20"/>
          <w:szCs w:val="20"/>
          <w:lang w:val="en-US"/>
          <w14:ligatures w14:val="none"/>
        </w:rPr>
        <w:t>Ugboko</w:t>
      </w:r>
      <w:proofErr w:type="spellEnd"/>
      <w:r w:rsidRPr="00AE30B2">
        <w:rPr>
          <w:rFonts w:ascii="Arial" w:hAnsi="Arial" w:cs="Arial"/>
          <w:kern w:val="0"/>
          <w:sz w:val="20"/>
          <w:szCs w:val="20"/>
          <w:lang w:val="en-US"/>
          <w14:ligatures w14:val="none"/>
        </w:rPr>
        <w:t xml:space="preserve"> et al., 2020). Beyond acute gastrointestinal symptoms,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episodes may result in dehydration, electrolyte imbalances, nutritional deficiencies, impaired growth and development, and increased susceptibility to other infections (</w:t>
      </w:r>
      <w:proofErr w:type="spellStart"/>
      <w:r w:rsidRPr="00AE30B2">
        <w:rPr>
          <w:rFonts w:ascii="Arial" w:hAnsi="Arial" w:cs="Arial"/>
          <w:kern w:val="0"/>
          <w:sz w:val="20"/>
          <w:szCs w:val="20"/>
          <w:lang w:val="en-US"/>
          <w14:ligatures w14:val="none"/>
        </w:rPr>
        <w:t>Ahinkorah</w:t>
      </w:r>
      <w:proofErr w:type="spellEnd"/>
      <w:r w:rsidRPr="00AE30B2">
        <w:rPr>
          <w:rFonts w:ascii="Arial" w:hAnsi="Arial" w:cs="Arial"/>
          <w:kern w:val="0"/>
          <w:sz w:val="20"/>
          <w:szCs w:val="20"/>
          <w:lang w:val="en-US"/>
          <w14:ligatures w14:val="none"/>
        </w:rPr>
        <w:t xml:space="preserve"> et al., 2022). Zinc deficiency is an important consequence of childhood </w:t>
      </w:r>
      <w:proofErr w:type="spellStart"/>
      <w:r w:rsidRPr="00AE30B2">
        <w:rPr>
          <w:rFonts w:ascii="Arial" w:hAnsi="Arial" w:cs="Arial"/>
          <w:kern w:val="0"/>
          <w:sz w:val="20"/>
          <w:szCs w:val="20"/>
          <w:lang w:val="en-US"/>
          <w14:ligatures w14:val="none"/>
        </w:rPr>
        <w:t>diarrhoea</w:t>
      </w:r>
      <w:proofErr w:type="spellEnd"/>
      <w:r w:rsidRPr="00AE30B2">
        <w:rPr>
          <w:rFonts w:ascii="Arial" w:hAnsi="Arial" w:cs="Arial"/>
          <w:kern w:val="0"/>
          <w:sz w:val="20"/>
          <w:szCs w:val="20"/>
          <w:lang w:val="en-US"/>
          <w14:ligatures w14:val="none"/>
        </w:rPr>
        <w:t xml:space="preserve"> because zinc plays essential roles in immune function, maintenance of intestinal mucosal integrity, and recovery from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illness (George et al., 2025; Chao, 2023; </w:t>
      </w:r>
      <w:proofErr w:type="spellStart"/>
      <w:r w:rsidRPr="00AE30B2">
        <w:rPr>
          <w:rFonts w:ascii="Arial" w:hAnsi="Arial" w:cs="Arial"/>
          <w:kern w:val="0"/>
          <w:sz w:val="20"/>
          <w:szCs w:val="20"/>
          <w:lang w:val="en-US"/>
          <w14:ligatures w14:val="none"/>
        </w:rPr>
        <w:t>Ahinkorah</w:t>
      </w:r>
      <w:proofErr w:type="spellEnd"/>
      <w:r w:rsidRPr="00AE30B2">
        <w:rPr>
          <w:rFonts w:ascii="Arial" w:hAnsi="Arial" w:cs="Arial"/>
          <w:kern w:val="0"/>
          <w:sz w:val="20"/>
          <w:szCs w:val="20"/>
          <w:lang w:val="en-US"/>
          <w14:ligatures w14:val="none"/>
        </w:rPr>
        <w:t xml:space="preserve"> et al., 2022).</w:t>
      </w:r>
    </w:p>
    <w:p w14:paraId="7A100397" w14:textId="77777777" w:rsidR="00707C56" w:rsidRPr="00BB19F0" w:rsidRDefault="00000000">
      <w:pPr>
        <w:spacing w:before="100" w:beforeAutospacing="1" w:after="100" w:afterAutospacing="1" w:line="240" w:lineRule="auto"/>
        <w:jc w:val="both"/>
        <w:rPr>
          <w:rFonts w:ascii="Arial" w:hAnsi="Arial" w:cs="Arial"/>
          <w:bCs/>
          <w:kern w:val="0"/>
          <w:sz w:val="20"/>
          <w:szCs w:val="20"/>
          <w:lang w:val="en-US"/>
          <w14:ligatures w14:val="none"/>
        </w:rPr>
      </w:pPr>
      <w:r w:rsidRPr="00BB19F0">
        <w:rPr>
          <w:rFonts w:ascii="Times New Roman" w:eastAsia="Times New Roman" w:hAnsi="Times New Roman"/>
          <w:bCs/>
          <w:sz w:val="20"/>
          <w:highlight w:val="yellow"/>
        </w:rPr>
        <w:t>Recent clinical evidence from paediatric acute gastroenteritis settings indicates that electrolyte abnormalities may accompany diarrhoeal illness, while systematic review evidence supports zinc supplementation as part of childhood diarrhoea management (Kinasha et al., 2025; Ali et al., 2024).</w:t>
      </w:r>
    </w:p>
    <w:p w14:paraId="5366A8C6" w14:textId="77777777" w:rsidR="00616404" w:rsidRPr="00AE30B2" w:rsidRDefault="00616404" w:rsidP="00616404">
      <w:pPr>
        <w:spacing w:before="100" w:beforeAutospacing="1" w:after="100" w:afterAutospacing="1" w:line="240" w:lineRule="auto"/>
        <w:jc w:val="both"/>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Enteric bacterial pathogens are major contributors to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w:t>
      </w:r>
      <w:r w:rsidRPr="00AE30B2">
        <w:rPr>
          <w:rFonts w:ascii="Arial" w:hAnsi="Arial" w:cs="Arial"/>
          <w:kern w:val="0"/>
          <w:sz w:val="20"/>
          <w:szCs w:val="20"/>
          <w:highlight w:val="yellow"/>
          <w:lang w:val="en-US"/>
          <w14:ligatures w14:val="none"/>
        </w:rPr>
        <w:t>Sayeed et al., 2025</w:t>
      </w:r>
      <w:r w:rsidRPr="00AE30B2">
        <w:rPr>
          <w:rFonts w:ascii="Arial" w:hAnsi="Arial" w:cs="Arial"/>
          <w:kern w:val="0"/>
          <w:sz w:val="20"/>
          <w:szCs w:val="20"/>
          <w:lang w:val="en-US"/>
          <w14:ligatures w14:val="none"/>
        </w:rPr>
        <w:t xml:space="preserve">). They cause disease through multiple pathogenic mechanisms, including intestinal </w:t>
      </w:r>
      <w:proofErr w:type="spellStart"/>
      <w:r w:rsidRPr="00AE30B2">
        <w:rPr>
          <w:rFonts w:ascii="Arial" w:hAnsi="Arial" w:cs="Arial"/>
          <w:kern w:val="0"/>
          <w:sz w:val="20"/>
          <w:szCs w:val="20"/>
          <w:lang w:val="en-US"/>
          <w14:ligatures w14:val="none"/>
        </w:rPr>
        <w:t>colonisation</w:t>
      </w:r>
      <w:proofErr w:type="spellEnd"/>
      <w:r w:rsidRPr="00AE30B2">
        <w:rPr>
          <w:rFonts w:ascii="Arial" w:hAnsi="Arial" w:cs="Arial"/>
          <w:kern w:val="0"/>
          <w:sz w:val="20"/>
          <w:szCs w:val="20"/>
          <w:lang w:val="en-US"/>
          <w14:ligatures w14:val="none"/>
        </w:rPr>
        <w:t xml:space="preserve"> (Rosay et al., 2024), toxin production (Popoff, 2024), mucosal injury (Du et al., 2025), and disruption of normal epithelial function (Awad et al., 2017). Bacterial pathogens such as diarrhoeagenic </w:t>
      </w:r>
      <w:r w:rsidRPr="00AE30B2">
        <w:rPr>
          <w:rFonts w:ascii="Arial" w:hAnsi="Arial" w:cs="Arial"/>
          <w:i/>
          <w:iCs/>
          <w:kern w:val="0"/>
          <w:sz w:val="20"/>
          <w:szCs w:val="20"/>
          <w:lang w:val="en-US"/>
          <w14:ligatures w14:val="none"/>
        </w:rPr>
        <w:t>Escherichia coli</w:t>
      </w:r>
      <w:r w:rsidRPr="00AE30B2">
        <w:rPr>
          <w:rFonts w:ascii="Arial" w:hAnsi="Arial" w:cs="Arial"/>
          <w:kern w:val="0"/>
          <w:sz w:val="20"/>
          <w:szCs w:val="20"/>
          <w:lang w:val="en-US"/>
          <w14:ligatures w14:val="none"/>
        </w:rPr>
        <w:t xml:space="preserve">, </w:t>
      </w:r>
      <w:r w:rsidRPr="00AE30B2">
        <w:rPr>
          <w:rFonts w:ascii="Arial" w:hAnsi="Arial" w:cs="Arial"/>
          <w:i/>
          <w:iCs/>
          <w:kern w:val="0"/>
          <w:sz w:val="20"/>
          <w:szCs w:val="20"/>
          <w:lang w:val="en-US"/>
          <w14:ligatures w14:val="none"/>
        </w:rPr>
        <w:t>Shigella</w:t>
      </w:r>
      <w:r w:rsidRPr="00AE30B2">
        <w:rPr>
          <w:rFonts w:ascii="Arial" w:hAnsi="Arial" w:cs="Arial"/>
          <w:kern w:val="0"/>
          <w:sz w:val="20"/>
          <w:szCs w:val="20"/>
          <w:lang w:val="en-US"/>
          <w14:ligatures w14:val="none"/>
        </w:rPr>
        <w:t xml:space="preserve"> spp., </w:t>
      </w:r>
      <w:r w:rsidRPr="00AE30B2">
        <w:rPr>
          <w:rFonts w:ascii="Arial" w:hAnsi="Arial" w:cs="Arial"/>
          <w:i/>
          <w:iCs/>
          <w:kern w:val="0"/>
          <w:sz w:val="20"/>
          <w:szCs w:val="20"/>
          <w:lang w:val="en-US"/>
          <w14:ligatures w14:val="none"/>
        </w:rPr>
        <w:t>Salmonella</w:t>
      </w:r>
      <w:r w:rsidRPr="00AE30B2">
        <w:rPr>
          <w:rFonts w:ascii="Arial" w:hAnsi="Arial" w:cs="Arial"/>
          <w:kern w:val="0"/>
          <w:sz w:val="20"/>
          <w:szCs w:val="20"/>
          <w:lang w:val="en-US"/>
          <w14:ligatures w14:val="none"/>
        </w:rPr>
        <w:t xml:space="preserve"> spp., and </w:t>
      </w:r>
      <w:r w:rsidRPr="00AE30B2">
        <w:rPr>
          <w:rFonts w:ascii="Arial" w:hAnsi="Arial" w:cs="Arial"/>
          <w:i/>
          <w:iCs/>
          <w:kern w:val="0"/>
          <w:sz w:val="20"/>
          <w:szCs w:val="20"/>
          <w:lang w:val="en-US"/>
          <w14:ligatures w14:val="none"/>
        </w:rPr>
        <w:t>Vibrio cholerae</w:t>
      </w:r>
      <w:r w:rsidRPr="00AE30B2">
        <w:rPr>
          <w:rFonts w:ascii="Arial" w:hAnsi="Arial" w:cs="Arial"/>
          <w:kern w:val="0"/>
          <w:sz w:val="20"/>
          <w:szCs w:val="20"/>
          <w:lang w:val="en-US"/>
          <w14:ligatures w14:val="none"/>
        </w:rPr>
        <w:t xml:space="preserve"> are frequently implicated in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(Ismaila et al., 2026). These organisms are commonly transmitted through contaminated food and water and may produce varying degrees of intestinal damage depending on their virulence characteristics and bacterial load (Hilarion et al., 2024; Okafor, 2024).</w:t>
      </w:r>
    </w:p>
    <w:p w14:paraId="24658395" w14:textId="77777777" w:rsidR="00616404" w:rsidRPr="00AE30B2" w:rsidRDefault="00616404" w:rsidP="00616404">
      <w:pPr>
        <w:spacing w:before="100" w:beforeAutospacing="1" w:after="100" w:afterAutospacing="1" w:line="240" w:lineRule="auto"/>
        <w:jc w:val="both"/>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Diarrhoeagenic </w:t>
      </w:r>
      <w:r w:rsidRPr="00AE30B2">
        <w:rPr>
          <w:rFonts w:ascii="Arial" w:hAnsi="Arial" w:cs="Arial"/>
          <w:i/>
          <w:iCs/>
          <w:kern w:val="0"/>
          <w:sz w:val="20"/>
          <w:szCs w:val="20"/>
          <w:lang w:val="en-US"/>
          <w14:ligatures w14:val="none"/>
        </w:rPr>
        <w:t>Escherichia coli</w:t>
      </w:r>
      <w:r w:rsidRPr="00AE30B2">
        <w:rPr>
          <w:rFonts w:ascii="Arial" w:hAnsi="Arial" w:cs="Arial"/>
          <w:kern w:val="0"/>
          <w:sz w:val="20"/>
          <w:szCs w:val="20"/>
          <w:lang w:val="en-US"/>
          <w14:ligatures w14:val="none"/>
        </w:rPr>
        <w:t xml:space="preserve"> causes </w:t>
      </w:r>
      <w:proofErr w:type="spellStart"/>
      <w:r w:rsidRPr="00AE30B2">
        <w:rPr>
          <w:rFonts w:ascii="Arial" w:hAnsi="Arial" w:cs="Arial"/>
          <w:kern w:val="0"/>
          <w:sz w:val="20"/>
          <w:szCs w:val="20"/>
          <w:lang w:val="en-US"/>
          <w14:ligatures w14:val="none"/>
        </w:rPr>
        <w:t>diarrhoea</w:t>
      </w:r>
      <w:proofErr w:type="spellEnd"/>
      <w:r w:rsidRPr="00AE30B2">
        <w:rPr>
          <w:rFonts w:ascii="Arial" w:hAnsi="Arial" w:cs="Arial"/>
          <w:kern w:val="0"/>
          <w:sz w:val="20"/>
          <w:szCs w:val="20"/>
          <w:lang w:val="en-US"/>
          <w14:ligatures w14:val="none"/>
        </w:rPr>
        <w:t xml:space="preserve"> through several pathogenic mechanisms, including the production of enterotoxins that stimulate the secretion of chloride ions and water into the intestinal lumen, </w:t>
      </w:r>
      <w:r w:rsidRPr="00AE30B2">
        <w:rPr>
          <w:rFonts w:ascii="Arial" w:hAnsi="Arial" w:cs="Arial"/>
          <w:kern w:val="0"/>
          <w:sz w:val="20"/>
          <w:szCs w:val="20"/>
          <w:lang w:val="en-US"/>
          <w14:ligatures w14:val="none"/>
        </w:rPr>
        <w:lastRenderedPageBreak/>
        <w:t>leading to excessive fluid accumulation. Some strains also produce characteristic attaching-and-effacing lesions on intestinal epithelial cells, resulting in impaired absorptive capacity and disruption of mucosal integrity (Ahmad et al., 2025; Suleiman et al., 2022; Keely &amp; Barrett, 2022).</w:t>
      </w:r>
    </w:p>
    <w:p w14:paraId="6575A1D3" w14:textId="77777777" w:rsidR="00707C56" w:rsidRPr="00BB19F0" w:rsidRDefault="00000000">
      <w:pPr>
        <w:spacing w:before="100" w:beforeAutospacing="1" w:after="100" w:afterAutospacing="1" w:line="240" w:lineRule="auto"/>
        <w:jc w:val="both"/>
        <w:rPr>
          <w:rFonts w:ascii="Arial" w:hAnsi="Arial" w:cs="Arial"/>
          <w:bCs/>
          <w:kern w:val="0"/>
          <w:sz w:val="20"/>
          <w:szCs w:val="20"/>
          <w:lang w:val="en-US"/>
          <w14:ligatures w14:val="none"/>
        </w:rPr>
      </w:pPr>
      <w:r w:rsidRPr="00BB19F0">
        <w:rPr>
          <w:rFonts w:ascii="Times New Roman" w:eastAsia="Times New Roman" w:hAnsi="Times New Roman"/>
          <w:bCs/>
          <w:sz w:val="20"/>
          <w:highlight w:val="yellow"/>
        </w:rPr>
        <w:t xml:space="preserve">A molecular investigation in southern Benin also identified enteropathogenic </w:t>
      </w:r>
      <w:r w:rsidRPr="00BB19F0">
        <w:rPr>
          <w:rFonts w:ascii="Times New Roman" w:eastAsia="Times New Roman" w:hAnsi="Times New Roman"/>
          <w:bCs/>
          <w:i/>
          <w:sz w:val="20"/>
          <w:highlight w:val="yellow"/>
        </w:rPr>
        <w:t>E. coli</w:t>
      </w:r>
      <w:r w:rsidRPr="00BB19F0">
        <w:rPr>
          <w:rFonts w:ascii="Times New Roman" w:eastAsia="Times New Roman" w:hAnsi="Times New Roman"/>
          <w:bCs/>
          <w:sz w:val="20"/>
          <w:highlight w:val="yellow"/>
        </w:rPr>
        <w:t xml:space="preserve"> among children with diarrhoea, supporting the relevance of virulence-associated </w:t>
      </w:r>
      <w:r w:rsidRPr="00BB19F0">
        <w:rPr>
          <w:rFonts w:ascii="Times New Roman" w:eastAsia="Times New Roman" w:hAnsi="Times New Roman"/>
          <w:bCs/>
          <w:i/>
          <w:sz w:val="20"/>
          <w:highlight w:val="yellow"/>
        </w:rPr>
        <w:t>E. coli</w:t>
      </w:r>
      <w:r w:rsidRPr="00BB19F0">
        <w:rPr>
          <w:rFonts w:ascii="Times New Roman" w:eastAsia="Times New Roman" w:hAnsi="Times New Roman"/>
          <w:bCs/>
          <w:sz w:val="20"/>
          <w:highlight w:val="yellow"/>
        </w:rPr>
        <w:t xml:space="preserve"> in childhood enteric disease (Dah-Nouvlessounon et al., 2023).</w:t>
      </w:r>
    </w:p>
    <w:p w14:paraId="6CCE0C6B" w14:textId="77777777" w:rsidR="00C002E9" w:rsidRPr="00AE30B2" w:rsidRDefault="00C002E9" w:rsidP="00D5102C">
      <w:pPr>
        <w:spacing w:before="100" w:beforeAutospacing="1" w:after="100" w:afterAutospacing="1" w:line="240" w:lineRule="auto"/>
        <w:jc w:val="both"/>
        <w:rPr>
          <w:rFonts w:ascii="Arial" w:hAnsi="Arial" w:cs="Arial"/>
          <w:kern w:val="0"/>
          <w:sz w:val="20"/>
          <w:szCs w:val="20"/>
          <w:lang w:val="en-US"/>
          <w14:ligatures w14:val="none"/>
        </w:rPr>
      </w:pPr>
      <w:r w:rsidRPr="00AE30B2">
        <w:rPr>
          <w:rFonts w:ascii="Arial" w:hAnsi="Arial" w:cs="Arial"/>
          <w:i/>
          <w:iCs/>
          <w:kern w:val="0"/>
          <w:sz w:val="20"/>
          <w:szCs w:val="20"/>
          <w:lang w:val="en-US"/>
          <w14:ligatures w14:val="none"/>
        </w:rPr>
        <w:t>Vibrio cholerae</w:t>
      </w:r>
      <w:r w:rsidRPr="00AE30B2">
        <w:rPr>
          <w:rFonts w:ascii="Arial" w:hAnsi="Arial" w:cs="Arial"/>
          <w:kern w:val="0"/>
          <w:sz w:val="20"/>
          <w:szCs w:val="20"/>
          <w:lang w:val="en-US"/>
          <w14:ligatures w14:val="none"/>
        </w:rPr>
        <w:t xml:space="preserve"> produces cholera toxin, which activates adenylate cyclase and increases intracellular cyclic adenosine monophosphate (cAMP), promoting excessive secretion of chloride and water into the intestinal lumen and resulting in profuse watery </w:t>
      </w:r>
      <w:proofErr w:type="spellStart"/>
      <w:r w:rsidRPr="00AE30B2">
        <w:rPr>
          <w:rFonts w:ascii="Arial" w:hAnsi="Arial" w:cs="Arial"/>
          <w:kern w:val="0"/>
          <w:sz w:val="20"/>
          <w:szCs w:val="20"/>
          <w:lang w:val="en-US"/>
          <w14:ligatures w14:val="none"/>
        </w:rPr>
        <w:t>diarrhoea</w:t>
      </w:r>
      <w:proofErr w:type="spellEnd"/>
      <w:r w:rsidRPr="00AE30B2">
        <w:rPr>
          <w:rFonts w:ascii="Arial" w:hAnsi="Arial" w:cs="Arial"/>
          <w:kern w:val="0"/>
          <w:sz w:val="20"/>
          <w:szCs w:val="20"/>
          <w:lang w:val="en-US"/>
          <w14:ligatures w14:val="none"/>
        </w:rPr>
        <w:t xml:space="preserve"> with rapid electrolyte loss (</w:t>
      </w:r>
      <w:r w:rsidRPr="00AE30B2">
        <w:rPr>
          <w:rFonts w:ascii="Arial" w:hAnsi="Arial" w:cs="Arial"/>
          <w:sz w:val="20"/>
          <w:szCs w:val="20"/>
        </w:rPr>
        <w:t>Montero et al., 2023; Keely &amp; Barrett, 2022)</w:t>
      </w:r>
      <w:r w:rsidRPr="00AE30B2">
        <w:rPr>
          <w:rFonts w:ascii="Arial" w:hAnsi="Arial" w:cs="Arial"/>
          <w:kern w:val="0"/>
          <w:sz w:val="20"/>
          <w:szCs w:val="20"/>
          <w:lang w:val="en-US"/>
          <w14:ligatures w14:val="none"/>
        </w:rPr>
        <w:t xml:space="preserve">. In addition, </w:t>
      </w:r>
      <w:r w:rsidRPr="00AE30B2">
        <w:rPr>
          <w:rFonts w:ascii="Arial" w:hAnsi="Arial" w:cs="Arial"/>
          <w:i/>
          <w:iCs/>
          <w:kern w:val="0"/>
          <w:sz w:val="20"/>
          <w:szCs w:val="20"/>
          <w:lang w:val="en-US"/>
          <w14:ligatures w14:val="none"/>
        </w:rPr>
        <w:t>Shigella</w:t>
      </w:r>
      <w:r w:rsidRPr="00AE30B2">
        <w:rPr>
          <w:rFonts w:ascii="Arial" w:hAnsi="Arial" w:cs="Arial"/>
          <w:kern w:val="0"/>
          <w:sz w:val="20"/>
          <w:szCs w:val="20"/>
          <w:lang w:val="en-US"/>
          <w14:ligatures w14:val="none"/>
        </w:rPr>
        <w:t xml:space="preserve"> species invade colonic epithelial cells and induce inflammatory destruction of the intestinal mucosa through bacterial invasion and toxin production, particularly Shiga toxin, which contributes to epithelial damage and impaired intestinal absorption (</w:t>
      </w:r>
      <w:r w:rsidRPr="00AE30B2">
        <w:rPr>
          <w:rFonts w:ascii="Arial" w:hAnsi="Arial" w:cs="Arial"/>
          <w:sz w:val="20"/>
          <w:szCs w:val="20"/>
        </w:rPr>
        <w:t>Pakbin et al., 2023; Schnupf &amp; Sansonetti, 2019)</w:t>
      </w:r>
      <w:r w:rsidRPr="00AE30B2">
        <w:rPr>
          <w:rFonts w:ascii="Arial" w:hAnsi="Arial" w:cs="Arial"/>
          <w:kern w:val="0"/>
          <w:sz w:val="20"/>
          <w:szCs w:val="20"/>
          <w:lang w:val="en-US"/>
          <w14:ligatures w14:val="none"/>
        </w:rPr>
        <w:t xml:space="preserve">. Finally, </w:t>
      </w:r>
      <w:r w:rsidRPr="00AE30B2">
        <w:rPr>
          <w:rFonts w:ascii="Arial" w:hAnsi="Arial" w:cs="Arial"/>
          <w:i/>
          <w:iCs/>
          <w:kern w:val="0"/>
          <w:sz w:val="20"/>
          <w:szCs w:val="20"/>
          <w:lang w:val="en-US"/>
          <w14:ligatures w14:val="none"/>
        </w:rPr>
        <w:t>Salmonella</w:t>
      </w:r>
      <w:r w:rsidRPr="00AE30B2">
        <w:rPr>
          <w:rFonts w:ascii="Arial" w:hAnsi="Arial" w:cs="Arial"/>
          <w:kern w:val="0"/>
          <w:sz w:val="20"/>
          <w:szCs w:val="20"/>
          <w:lang w:val="en-US"/>
          <w14:ligatures w14:val="none"/>
        </w:rPr>
        <w:t xml:space="preserve"> species cause </w:t>
      </w:r>
      <w:proofErr w:type="spellStart"/>
      <w:r w:rsidRPr="00AE30B2">
        <w:rPr>
          <w:rFonts w:ascii="Arial" w:hAnsi="Arial" w:cs="Arial"/>
          <w:kern w:val="0"/>
          <w:sz w:val="20"/>
          <w:szCs w:val="20"/>
          <w:lang w:val="en-US"/>
          <w14:ligatures w14:val="none"/>
        </w:rPr>
        <w:t>diarrhoea</w:t>
      </w:r>
      <w:proofErr w:type="spellEnd"/>
      <w:r w:rsidRPr="00AE30B2">
        <w:rPr>
          <w:rFonts w:ascii="Arial" w:hAnsi="Arial" w:cs="Arial"/>
          <w:kern w:val="0"/>
          <w:sz w:val="20"/>
          <w:szCs w:val="20"/>
          <w:lang w:val="en-US"/>
          <w14:ligatures w14:val="none"/>
        </w:rPr>
        <w:t xml:space="preserve"> through invasion of intestinal epithelial cells, activation of inflammatory pathways, and stimulation of cytokine release, leading to increased intestinal secretion and mucosal injury (</w:t>
      </w:r>
      <w:r w:rsidRPr="00AE30B2">
        <w:rPr>
          <w:rFonts w:ascii="Arial" w:hAnsi="Arial" w:cs="Arial"/>
          <w:sz w:val="20"/>
          <w:szCs w:val="20"/>
        </w:rPr>
        <w:t>Han et al., 2024; Keely &amp; Barrett, 2022; Li, 2022)</w:t>
      </w:r>
      <w:r w:rsidRPr="00AE30B2">
        <w:rPr>
          <w:rFonts w:ascii="Arial" w:hAnsi="Arial" w:cs="Arial"/>
          <w:kern w:val="0"/>
          <w:sz w:val="20"/>
          <w:szCs w:val="20"/>
          <w:lang w:val="en-US"/>
          <w14:ligatures w14:val="none"/>
        </w:rPr>
        <w:t>. These pathological processes contribute to fluid loss, electrolyte imbalance, and systemic inflammatory responses commonly observed in affected children.</w:t>
      </w:r>
    </w:p>
    <w:bookmarkEnd w:id="1"/>
    <w:p w14:paraId="37BF4CDF" w14:textId="77777777" w:rsidR="00C002E9" w:rsidRPr="00AE30B2" w:rsidRDefault="00C002E9" w:rsidP="00D5102C">
      <w:pPr>
        <w:spacing w:before="100" w:beforeAutospacing="1" w:after="100" w:afterAutospacing="1" w:line="240" w:lineRule="auto"/>
        <w:jc w:val="both"/>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Assessing enteropathogenic load provides essential insights into microbial exposure, intestinal damage, and disease severity. Higher microbial loads correlate with increased toxin production, stronger inflammatory responses, compromised intestinal barrier integrity, and notable biochemical alterations, such as serum zinc and electrolyte imbalances </w:t>
      </w:r>
      <w:r w:rsidRPr="00AE30B2">
        <w:rPr>
          <w:rFonts w:ascii="Arial" w:hAnsi="Arial" w:cs="Arial"/>
          <w:kern w:val="0"/>
          <w:sz w:val="20"/>
          <w:szCs w:val="20"/>
          <w14:ligatures w14:val="none"/>
        </w:rPr>
        <w:t>(Guerrant et al., 2021</w:t>
      </w:r>
      <w:r w:rsidRPr="00AE30B2">
        <w:rPr>
          <w:rFonts w:ascii="Arial" w:hAnsi="Arial" w:cs="Arial"/>
          <w:kern w:val="0"/>
          <w:sz w:val="20"/>
          <w:szCs w:val="20"/>
          <w:lang w:val="en-US"/>
          <w14:ligatures w14:val="none"/>
        </w:rPr>
        <w:t xml:space="preserve">; </w:t>
      </w:r>
      <w:r w:rsidRPr="00AE30B2">
        <w:rPr>
          <w:rFonts w:ascii="Arial" w:hAnsi="Arial" w:cs="Arial"/>
          <w:kern w:val="0"/>
          <w:sz w:val="20"/>
          <w:szCs w:val="20"/>
          <w14:ligatures w14:val="none"/>
        </w:rPr>
        <w:t>Bolick et al., 2018; Vancamelbeke &amp; Vermeire, 2017).</w:t>
      </w:r>
    </w:p>
    <w:p w14:paraId="40F4E559" w14:textId="77777777" w:rsidR="00D66D32" w:rsidRPr="00AE30B2" w:rsidRDefault="00C002E9" w:rsidP="00D5102C">
      <w:pPr>
        <w:spacing w:before="100" w:beforeAutospacing="1" w:after="100" w:afterAutospacing="1" w:line="240" w:lineRule="auto"/>
        <w:jc w:val="both"/>
        <w:rPr>
          <w:rFonts w:ascii="Arial" w:hAnsi="Arial" w:cs="Arial"/>
          <w:kern w:val="0"/>
          <w:sz w:val="20"/>
          <w:szCs w:val="20"/>
          <w14:ligatures w14:val="none"/>
        </w:rPr>
      </w:pPr>
      <w:r w:rsidRPr="00AE30B2">
        <w:rPr>
          <w:rFonts w:ascii="Arial" w:hAnsi="Arial" w:cs="Arial"/>
          <w:kern w:val="0"/>
          <w:sz w:val="20"/>
          <w:szCs w:val="20"/>
          <w14:ligatures w14:val="none"/>
        </w:rPr>
        <w:t xml:space="preserve">Several studies have investigated childhood diarrhoea in Nigeria, demonstrating the ongoing importance of enteropathogens and public health risk factors in disease occurrence. Moro et al. (2021) reported a 92.1% bacterial isolation rate among diarrhoeic infants in Lagos, dominated by polymicrobial infections and 100% multidrug-resistant isolates, with 79% of cases occurring in </w:t>
      </w:r>
      <w:r w:rsidRPr="00AE30B2">
        <w:rPr>
          <w:rFonts w:ascii="Arial" w:hAnsi="Arial" w:cs="Arial"/>
          <w:kern w:val="0"/>
          <w:sz w:val="20"/>
          <w:szCs w:val="20"/>
          <w:highlight w:val="yellow"/>
          <w14:ligatures w14:val="none"/>
        </w:rPr>
        <w:t>infants under 3 months of age.</w:t>
      </w:r>
      <w:r w:rsidRPr="00AE30B2">
        <w:rPr>
          <w:rFonts w:ascii="Arial" w:hAnsi="Arial" w:cs="Arial"/>
          <w:kern w:val="0"/>
          <w:sz w:val="20"/>
          <w:szCs w:val="20"/>
          <w14:ligatures w14:val="none"/>
        </w:rPr>
        <w:t xml:space="preserve"> Bacterial, viral, and parasitic agents remain the primary causes of childhood diarrhoea in Lagos, with enteric bacteria, most notably </w:t>
      </w:r>
      <w:r w:rsidRPr="00AE30B2">
        <w:rPr>
          <w:rFonts w:ascii="Arial" w:hAnsi="Arial" w:cs="Arial"/>
          <w:i/>
          <w:iCs/>
          <w:kern w:val="0"/>
          <w:sz w:val="20"/>
          <w:szCs w:val="20"/>
          <w14:ligatures w14:val="none"/>
        </w:rPr>
        <w:t>Escherichia coli</w:t>
      </w:r>
      <w:r w:rsidRPr="00AE30B2">
        <w:rPr>
          <w:rFonts w:ascii="Arial" w:hAnsi="Arial" w:cs="Arial"/>
          <w:kern w:val="0"/>
          <w:sz w:val="20"/>
          <w:szCs w:val="20"/>
          <w14:ligatures w14:val="none"/>
        </w:rPr>
        <w:t xml:space="preserve">, </w:t>
      </w:r>
      <w:r w:rsidRPr="00AE30B2">
        <w:rPr>
          <w:rFonts w:ascii="Arial" w:hAnsi="Arial" w:cs="Arial"/>
          <w:i/>
          <w:iCs/>
          <w:kern w:val="0"/>
          <w:sz w:val="20"/>
          <w:szCs w:val="20"/>
          <w14:ligatures w14:val="none"/>
        </w:rPr>
        <w:t>Salmonella</w:t>
      </w:r>
      <w:r w:rsidRPr="00AE30B2">
        <w:rPr>
          <w:rFonts w:ascii="Arial" w:hAnsi="Arial" w:cs="Arial"/>
          <w:kern w:val="0"/>
          <w:sz w:val="20"/>
          <w:szCs w:val="20"/>
          <w14:ligatures w14:val="none"/>
        </w:rPr>
        <w:t xml:space="preserve"> species, and </w:t>
      </w:r>
      <w:r w:rsidRPr="00AE30B2">
        <w:rPr>
          <w:rFonts w:ascii="Arial" w:hAnsi="Arial" w:cs="Arial"/>
          <w:i/>
          <w:iCs/>
          <w:kern w:val="0"/>
          <w:sz w:val="20"/>
          <w:szCs w:val="20"/>
          <w14:ligatures w14:val="none"/>
        </w:rPr>
        <w:t>Shigella</w:t>
      </w:r>
      <w:r w:rsidRPr="00AE30B2">
        <w:rPr>
          <w:rFonts w:ascii="Arial" w:hAnsi="Arial" w:cs="Arial"/>
          <w:kern w:val="0"/>
          <w:sz w:val="20"/>
          <w:szCs w:val="20"/>
          <w14:ligatures w14:val="none"/>
        </w:rPr>
        <w:t xml:space="preserve"> species, being the leading identifiable organisms. According to </w:t>
      </w:r>
      <w:r w:rsidRPr="00AE30B2">
        <w:rPr>
          <w:rFonts w:ascii="Arial" w:hAnsi="Arial" w:cs="Arial"/>
          <w:sz w:val="20"/>
          <w:szCs w:val="20"/>
        </w:rPr>
        <w:t>Tariah et al. (2025), most cases of childhood diarrhoea in the Niger Delta region of Nigeria are</w:t>
      </w:r>
      <w:r w:rsidRPr="00AE30B2">
        <w:rPr>
          <w:rFonts w:ascii="Arial" w:hAnsi="Arial" w:cs="Arial"/>
          <w:kern w:val="0"/>
          <w:sz w:val="20"/>
          <w:szCs w:val="20"/>
          <w14:ligatures w14:val="none"/>
        </w:rPr>
        <w:t xml:space="preserve"> associated with unsafe water sources, poor sanitation, inadequate hygiene practices, rural residence, and socioeconomic factors.</w:t>
      </w:r>
    </w:p>
    <w:p w14:paraId="0E0F551C" w14:textId="77777777" w:rsidR="00707C56" w:rsidRPr="00BB19F0" w:rsidRDefault="00000000">
      <w:pPr>
        <w:spacing w:before="100" w:beforeAutospacing="1" w:after="100" w:afterAutospacing="1" w:line="240" w:lineRule="auto"/>
        <w:jc w:val="both"/>
        <w:rPr>
          <w:rFonts w:ascii="Arial" w:hAnsi="Arial" w:cs="Arial"/>
          <w:bCs/>
          <w:kern w:val="0"/>
          <w:sz w:val="20"/>
          <w:szCs w:val="20"/>
          <w14:ligatures w14:val="none"/>
        </w:rPr>
      </w:pPr>
      <w:r w:rsidRPr="00BB19F0">
        <w:rPr>
          <w:rFonts w:ascii="Times New Roman" w:eastAsia="Times New Roman" w:hAnsi="Times New Roman"/>
          <w:bCs/>
          <w:sz w:val="20"/>
          <w:highlight w:val="yellow"/>
        </w:rPr>
        <w:t xml:space="preserve">A hospital-based study in Enugu State likewise detected diarrhoeagenic </w:t>
      </w:r>
      <w:r w:rsidRPr="00BB19F0">
        <w:rPr>
          <w:rFonts w:ascii="Times New Roman" w:eastAsia="Times New Roman" w:hAnsi="Times New Roman"/>
          <w:bCs/>
          <w:i/>
          <w:sz w:val="20"/>
          <w:highlight w:val="yellow"/>
        </w:rPr>
        <w:t>E. coli</w:t>
      </w:r>
      <w:r w:rsidRPr="00BB19F0">
        <w:rPr>
          <w:rFonts w:ascii="Times New Roman" w:eastAsia="Times New Roman" w:hAnsi="Times New Roman"/>
          <w:bCs/>
          <w:sz w:val="20"/>
          <w:highlight w:val="yellow"/>
        </w:rPr>
        <w:t xml:space="preserve"> among children under five years of age with diarrhoea and identified water- and sanitation-related household factors as relevant epidemiological considerations (Nwobodo &amp; Ugwuoke, 2025).</w:t>
      </w:r>
    </w:p>
    <w:p w14:paraId="7D40DB79" w14:textId="77777777" w:rsidR="0026148A" w:rsidRPr="00BB19F0" w:rsidRDefault="00000000">
      <w:pPr>
        <w:spacing w:before="100" w:beforeAutospacing="1" w:after="100" w:afterAutospacing="1" w:line="240" w:lineRule="auto"/>
        <w:jc w:val="both"/>
        <w:rPr>
          <w:rFonts w:ascii="Arial" w:hAnsi="Arial" w:cs="Arial"/>
          <w:bCs/>
          <w:kern w:val="0"/>
          <w:sz w:val="20"/>
          <w:szCs w:val="20"/>
          <w14:ligatures w14:val="none"/>
        </w:rPr>
      </w:pPr>
      <w:r w:rsidRPr="00BB19F0">
        <w:rPr>
          <w:rFonts w:ascii="Arial" w:eastAsia="Arial" w:hAnsi="Arial" w:cs="Arial"/>
          <w:bCs/>
          <w:sz w:val="20"/>
          <w:highlight w:val="yellow"/>
        </w:rPr>
        <w:t>A molecular characterisation study of diarrhoeic stool samples from children under five years of age in Port Harcourt likewise documented</w:t>
      </w:r>
      <w:r w:rsidRPr="00BB19F0">
        <w:rPr>
          <w:rFonts w:ascii="Arial" w:eastAsia="Arial" w:hAnsi="Arial" w:cs="Arial"/>
          <w:bCs/>
          <w:sz w:val="20"/>
        </w:rPr>
        <w:t xml:space="preserve"> multiple enteric bacterial pathogens, supporting the continued epidemiological relevance of bacterial aetiologies in Rivers State (Agi &amp; Mbata, 2025).</w:t>
      </w:r>
    </w:p>
    <w:p w14:paraId="3C30BC06" w14:textId="77777777" w:rsidR="0026148A" w:rsidRPr="00BB19F0" w:rsidRDefault="00000000">
      <w:pPr>
        <w:spacing w:before="100" w:beforeAutospacing="1" w:after="100" w:afterAutospacing="1" w:line="240" w:lineRule="auto"/>
        <w:jc w:val="both"/>
        <w:rPr>
          <w:rFonts w:ascii="Arial" w:hAnsi="Arial" w:cs="Arial"/>
          <w:bCs/>
          <w:kern w:val="0"/>
          <w:sz w:val="20"/>
          <w:szCs w:val="20"/>
          <w14:ligatures w14:val="none"/>
        </w:rPr>
      </w:pPr>
      <w:r w:rsidRPr="00BB19F0">
        <w:rPr>
          <w:rFonts w:ascii="Arial" w:eastAsia="Arial" w:hAnsi="Arial" w:cs="Arial"/>
          <w:bCs/>
          <w:sz w:val="20"/>
        </w:rPr>
        <w:t>Similarly, a recent Nigerian study identified multiple bacterial pathogens in acute childhood gastroenteritis and emphasised the value of context-specific bacteriological surveillance (David et al., 2025).</w:t>
      </w:r>
    </w:p>
    <w:p w14:paraId="34AA10D1" w14:textId="77777777" w:rsidR="00D66D32" w:rsidRPr="00AE30B2" w:rsidRDefault="008734D9" w:rsidP="00D5102C">
      <w:pPr>
        <w:spacing w:before="100" w:beforeAutospacing="1" w:after="100" w:afterAutospacing="1" w:line="240" w:lineRule="auto"/>
        <w:jc w:val="both"/>
        <w:rPr>
          <w:rFonts w:ascii="Arial" w:hAnsi="Arial" w:cs="Arial"/>
          <w:kern w:val="0"/>
          <w:sz w:val="20"/>
          <w:szCs w:val="20"/>
          <w14:ligatures w14:val="none"/>
        </w:rPr>
      </w:pPr>
      <w:r w:rsidRPr="00AE30B2">
        <w:rPr>
          <w:rFonts w:ascii="Arial" w:hAnsi="Arial" w:cs="Arial"/>
          <w:kern w:val="0"/>
          <w:sz w:val="20"/>
          <w:szCs w:val="20"/>
          <w14:ligatures w14:val="none"/>
        </w:rPr>
        <w:t>Most previous studies in Nigeria have focused on prevalence, risk factors, or the identification of causative organisms, with less emphasis on how enteropathogenic load relates to biochemical changes in childhood diarrhoea. Specifically, data on electrolyte imbalances and zinc levels in children from riverine communities are limited. Given the environmental context of Andoni Local Government Area, a comprehensive evaluation of microbial load and biochemical effects is important.</w:t>
      </w:r>
    </w:p>
    <w:p w14:paraId="7B53E535" w14:textId="77777777" w:rsidR="0026148A" w:rsidRPr="00BB19F0" w:rsidRDefault="00000000">
      <w:pPr>
        <w:spacing w:before="100" w:beforeAutospacing="1" w:after="100" w:afterAutospacing="1" w:line="240" w:lineRule="auto"/>
        <w:jc w:val="both"/>
        <w:rPr>
          <w:rFonts w:ascii="Arial" w:hAnsi="Arial" w:cs="Arial"/>
          <w:bCs/>
          <w:kern w:val="0"/>
          <w:sz w:val="20"/>
          <w:szCs w:val="20"/>
          <w14:ligatures w14:val="none"/>
        </w:rPr>
      </w:pPr>
      <w:r w:rsidRPr="00BB19F0">
        <w:rPr>
          <w:rFonts w:ascii="Arial" w:eastAsia="Arial" w:hAnsi="Arial" w:cs="Arial"/>
          <w:bCs/>
          <w:sz w:val="20"/>
        </w:rPr>
        <w:lastRenderedPageBreak/>
        <w:t xml:space="preserve">However, </w:t>
      </w:r>
      <w:r w:rsidRPr="00BB19F0">
        <w:rPr>
          <w:rFonts w:ascii="Arial" w:eastAsia="Arial" w:hAnsi="Arial" w:cs="Arial"/>
          <w:bCs/>
          <w:sz w:val="20"/>
          <w:highlight w:val="yellow"/>
        </w:rPr>
        <w:t>local evidence that integrates quantified enteropathogenic load with concurrent serum electrolyte and zinc measurements remains limited for children under five years of age</w:t>
      </w:r>
      <w:r w:rsidRPr="00BB19F0">
        <w:rPr>
          <w:rFonts w:ascii="Arial" w:eastAsia="Arial" w:hAnsi="Arial" w:cs="Arial"/>
          <w:bCs/>
          <w:sz w:val="20"/>
        </w:rPr>
        <w:t xml:space="preserve"> in a riverine setting such as Andoni.</w:t>
      </w:r>
    </w:p>
    <w:p w14:paraId="5C8D26CD" w14:textId="77777777" w:rsidR="00D66D32" w:rsidRPr="00AE30B2" w:rsidRDefault="00D66D32" w:rsidP="00D5102C">
      <w:pPr>
        <w:spacing w:before="100" w:beforeAutospacing="1" w:after="100" w:afterAutospacing="1" w:line="240" w:lineRule="auto"/>
        <w:jc w:val="both"/>
        <w:rPr>
          <w:rFonts w:ascii="Arial" w:hAnsi="Arial" w:cs="Arial"/>
          <w:kern w:val="0"/>
          <w:sz w:val="20"/>
          <w:szCs w:val="20"/>
          <w14:ligatures w14:val="none"/>
        </w:rPr>
      </w:pPr>
      <w:r w:rsidRPr="00AE30B2">
        <w:rPr>
          <w:rFonts w:ascii="Arial" w:hAnsi="Arial" w:cs="Arial"/>
          <w:kern w:val="0"/>
          <w:sz w:val="20"/>
          <w:szCs w:val="20"/>
          <w14:ligatures w14:val="none"/>
        </w:rPr>
        <w:t>Therefore, this study assessed the public health burden, enteropathogenic load, and biochemical alterations associated with childhood diarrhoea among children under five years of age in Andoni Local Government Area of Rivers State, Nigeria. Specifically, this study sought to:</w:t>
      </w:r>
    </w:p>
    <w:p w14:paraId="2E166CC0" w14:textId="77777777" w:rsidR="003826B3" w:rsidRPr="00AE30B2"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Determine the prevalence of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among </w:t>
      </w:r>
      <w:r w:rsidR="000E650C" w:rsidRPr="00AE30B2">
        <w:rPr>
          <w:rFonts w:ascii="Arial" w:hAnsi="Arial" w:cs="Arial"/>
          <w:kern w:val="0"/>
          <w:sz w:val="20"/>
          <w:szCs w:val="20"/>
          <w:lang w:val="en-US"/>
          <w14:ligatures w14:val="none"/>
        </w:rPr>
        <w:t xml:space="preserve">under-five-year-old </w:t>
      </w:r>
      <w:r w:rsidRPr="00AE30B2">
        <w:rPr>
          <w:rFonts w:ascii="Arial" w:hAnsi="Arial" w:cs="Arial"/>
          <w:kern w:val="0"/>
          <w:sz w:val="20"/>
          <w:szCs w:val="20"/>
          <w:lang w:val="en-US"/>
          <w14:ligatures w14:val="none"/>
        </w:rPr>
        <w:t xml:space="preserve">children in Andoni Local Government Area of Rivers State. </w:t>
      </w:r>
    </w:p>
    <w:p w14:paraId="2D56D945" w14:textId="77777777" w:rsidR="003826B3" w:rsidRPr="00AE30B2"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Identify and determine the distribution of enteric bacterial pathogens associated with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among </w:t>
      </w:r>
      <w:r w:rsidR="000E650C" w:rsidRPr="00AE30B2">
        <w:rPr>
          <w:rFonts w:ascii="Arial" w:hAnsi="Arial" w:cs="Arial"/>
          <w:kern w:val="0"/>
          <w:sz w:val="20"/>
          <w:szCs w:val="20"/>
          <w:lang w:val="en-US"/>
          <w14:ligatures w14:val="none"/>
        </w:rPr>
        <w:t xml:space="preserve">under-five-year-old </w:t>
      </w:r>
      <w:r w:rsidRPr="00AE30B2">
        <w:rPr>
          <w:rFonts w:ascii="Arial" w:hAnsi="Arial" w:cs="Arial"/>
          <w:kern w:val="0"/>
          <w:sz w:val="20"/>
          <w:szCs w:val="20"/>
          <w:lang w:val="en-US"/>
          <w14:ligatures w14:val="none"/>
        </w:rPr>
        <w:t xml:space="preserve">children in Andoni Local Government Area. </w:t>
      </w:r>
    </w:p>
    <w:p w14:paraId="77D9E589" w14:textId="77777777" w:rsidR="003826B3" w:rsidRPr="00AE30B2"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Determine the enteropathogenic load of bacterial isolates recovered from children with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w:t>
      </w:r>
    </w:p>
    <w:p w14:paraId="7D479ED2" w14:textId="77777777" w:rsidR="003826B3" w:rsidRPr="00AE30B2"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Compare serum sodium, potassium, chloride, bicarbonate, and zinc concentrations between children with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and </w:t>
      </w:r>
      <w:r w:rsidR="009B44D1" w:rsidRPr="00AE30B2">
        <w:rPr>
          <w:rFonts w:ascii="Arial" w:hAnsi="Arial" w:cs="Arial"/>
          <w:kern w:val="0"/>
          <w:sz w:val="20"/>
          <w:szCs w:val="20"/>
          <w:lang w:val="en-US"/>
          <w14:ligatures w14:val="none"/>
        </w:rPr>
        <w:t xml:space="preserve">an </w:t>
      </w:r>
      <w:r w:rsidRPr="00AE30B2">
        <w:rPr>
          <w:rFonts w:ascii="Arial" w:hAnsi="Arial" w:cs="Arial"/>
          <w:kern w:val="0"/>
          <w:sz w:val="20"/>
          <w:szCs w:val="20"/>
          <w:lang w:val="en-US"/>
          <w14:ligatures w14:val="none"/>
        </w:rPr>
        <w:t xml:space="preserve">apparently healthy </w:t>
      </w:r>
      <w:r w:rsidR="00CD21AA" w:rsidRPr="00AE30B2">
        <w:rPr>
          <w:rFonts w:ascii="Arial" w:hAnsi="Arial" w:cs="Arial"/>
          <w:kern w:val="0"/>
          <w:sz w:val="20"/>
          <w:szCs w:val="20"/>
          <w:lang w:val="en-US"/>
          <w14:ligatures w14:val="none"/>
        </w:rPr>
        <w:t>control group</w:t>
      </w:r>
      <w:r w:rsidRPr="00AE30B2">
        <w:rPr>
          <w:rFonts w:ascii="Arial" w:hAnsi="Arial" w:cs="Arial"/>
          <w:kern w:val="0"/>
          <w:sz w:val="20"/>
          <w:szCs w:val="20"/>
          <w:lang w:val="en-US"/>
          <w14:ligatures w14:val="none"/>
        </w:rPr>
        <w:t xml:space="preserve">. </w:t>
      </w:r>
    </w:p>
    <w:p w14:paraId="3FA4C76A" w14:textId="77777777" w:rsidR="00486603" w:rsidRPr="00AE30B2" w:rsidRDefault="00941F9F" w:rsidP="00D5102C">
      <w:pPr>
        <w:spacing w:before="100" w:beforeAutospacing="1" w:after="100" w:afterAutospacing="1" w:line="240" w:lineRule="auto"/>
        <w:jc w:val="both"/>
        <w:outlineLvl w:val="0"/>
        <w:divId w:val="1130903119"/>
        <w:rPr>
          <w:rFonts w:ascii="Arial" w:eastAsia="Times New Roman" w:hAnsi="Arial" w:cs="Arial"/>
          <w:b/>
          <w:bCs/>
          <w:kern w:val="36"/>
          <w:sz w:val="22"/>
          <w:szCs w:val="22"/>
          <w14:ligatures w14:val="none"/>
        </w:rPr>
      </w:pPr>
      <w:r w:rsidRPr="00AE30B2">
        <w:rPr>
          <w:rFonts w:ascii="Arial" w:eastAsia="Times New Roman" w:hAnsi="Arial" w:cs="Arial"/>
          <w:b/>
          <w:bCs/>
          <w:kern w:val="36"/>
          <w:sz w:val="22"/>
          <w:szCs w:val="22"/>
          <w14:ligatures w14:val="none"/>
        </w:rPr>
        <w:t>2. MATERIALS AND METHODS</w:t>
      </w:r>
    </w:p>
    <w:p w14:paraId="2F83015B"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AE30B2">
        <w:rPr>
          <w:rFonts w:ascii="Arial" w:eastAsia="Times New Roman" w:hAnsi="Arial" w:cs="Arial"/>
          <w:b/>
          <w:bCs/>
          <w:kern w:val="0"/>
          <w:sz w:val="22"/>
          <w:szCs w:val="22"/>
          <w:lang w:val="en-US"/>
          <w14:ligatures w14:val="none"/>
        </w:rPr>
        <w:t>2.1 Study Area</w:t>
      </w:r>
    </w:p>
    <w:p w14:paraId="4FD7BD59" w14:textId="77777777" w:rsidR="006F7FEB" w:rsidRPr="00AE30B2" w:rsidRDefault="006F7FEB" w:rsidP="006F7FEB">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study was conducted in Andoni Local Government Area of Rivers State, Nigeria, a predominantly riverine community located within the Niger Delta region. The area is </w:t>
      </w:r>
      <w:proofErr w:type="spellStart"/>
      <w:r w:rsidRPr="00AE30B2">
        <w:rPr>
          <w:rFonts w:ascii="Arial" w:eastAsia="Times New Roman" w:hAnsi="Arial" w:cs="Arial"/>
          <w:kern w:val="0"/>
          <w:sz w:val="20"/>
          <w:szCs w:val="20"/>
          <w:lang w:val="en-US"/>
          <w14:ligatures w14:val="none"/>
        </w:rPr>
        <w:t>characterised</w:t>
      </w:r>
      <w:proofErr w:type="spellEnd"/>
      <w:r w:rsidRPr="00AE30B2">
        <w:rPr>
          <w:rFonts w:ascii="Arial" w:eastAsia="Times New Roman" w:hAnsi="Arial" w:cs="Arial"/>
          <w:kern w:val="0"/>
          <w:sz w:val="20"/>
          <w:szCs w:val="20"/>
          <w:lang w:val="en-US"/>
          <w14:ligatures w14:val="none"/>
        </w:rPr>
        <w:t xml:space="preserve"> by extensive rivers, creeks, mangrove ecosystems, and coastal settlements, with fishing, trading, and subsistence farming as major occupations. Residents obtain drinking water mainly from sources such as hand-dug wells, rivers, and creeks </w:t>
      </w:r>
      <w:r w:rsidRPr="00AE30B2">
        <w:rPr>
          <w:rFonts w:ascii="Arial" w:hAnsi="Arial" w:cs="Arial"/>
          <w:kern w:val="0"/>
          <w:sz w:val="20"/>
          <w:szCs w:val="20"/>
          <w14:ligatures w14:val="none"/>
        </w:rPr>
        <w:t>(Tasie &amp; Wilcox, 2018)</w:t>
      </w:r>
      <w:r w:rsidRPr="00AE30B2">
        <w:rPr>
          <w:rFonts w:ascii="Arial" w:eastAsia="Times New Roman" w:hAnsi="Arial" w:cs="Arial"/>
          <w:kern w:val="0"/>
          <w:sz w:val="20"/>
          <w:szCs w:val="20"/>
          <w:lang w:val="en-US"/>
          <w14:ligatures w14:val="none"/>
        </w:rPr>
        <w:t>. However, inadequate sanitation infrastructure, flooding, and possible contamination of water sources may increase exposure to enteric pathogens.</w:t>
      </w:r>
    </w:p>
    <w:p w14:paraId="2287EF80" w14:textId="77777777" w:rsidR="006F7FEB" w:rsidRPr="00AE30B2" w:rsidRDefault="006F7FEB" w:rsidP="006F7FEB">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study was carried out over a period of six months (January–June 2025). Participants were recruited from selected community health </w:t>
      </w:r>
      <w:proofErr w:type="spellStart"/>
      <w:r w:rsidRPr="00AE30B2">
        <w:rPr>
          <w:rFonts w:ascii="Arial" w:eastAsia="Times New Roman" w:hAnsi="Arial" w:cs="Arial"/>
          <w:kern w:val="0"/>
          <w:sz w:val="20"/>
          <w:szCs w:val="20"/>
          <w:lang w:val="en-US"/>
          <w14:ligatures w14:val="none"/>
        </w:rPr>
        <w:t>centres</w:t>
      </w:r>
      <w:proofErr w:type="spellEnd"/>
      <w:r w:rsidRPr="00AE30B2">
        <w:rPr>
          <w:rFonts w:ascii="Arial" w:eastAsia="Times New Roman" w:hAnsi="Arial" w:cs="Arial"/>
          <w:kern w:val="0"/>
          <w:sz w:val="20"/>
          <w:szCs w:val="20"/>
          <w:lang w:val="en-US"/>
          <w14:ligatures w14:val="none"/>
        </w:rPr>
        <w:t xml:space="preserve"> in Andoni Local Government Area, including Ngo Community Health Centre, </w:t>
      </w:r>
      <w:proofErr w:type="spellStart"/>
      <w:r w:rsidRPr="00AE30B2">
        <w:rPr>
          <w:rFonts w:ascii="Arial" w:eastAsia="Times New Roman" w:hAnsi="Arial" w:cs="Arial"/>
          <w:kern w:val="0"/>
          <w:sz w:val="20"/>
          <w:szCs w:val="20"/>
          <w:lang w:val="en-US"/>
          <w14:ligatures w14:val="none"/>
        </w:rPr>
        <w:t>Unyeada</w:t>
      </w:r>
      <w:proofErr w:type="spellEnd"/>
      <w:r w:rsidRPr="00AE30B2">
        <w:rPr>
          <w:rFonts w:ascii="Arial" w:eastAsia="Times New Roman" w:hAnsi="Arial" w:cs="Arial"/>
          <w:kern w:val="0"/>
          <w:sz w:val="20"/>
          <w:szCs w:val="20"/>
          <w:lang w:val="en-US"/>
          <w14:ligatures w14:val="none"/>
        </w:rPr>
        <w:t xml:space="preserve"> Community Health Centre, and </w:t>
      </w:r>
      <w:proofErr w:type="spellStart"/>
      <w:r w:rsidRPr="00AE30B2">
        <w:rPr>
          <w:rFonts w:ascii="Arial" w:eastAsia="Times New Roman" w:hAnsi="Arial" w:cs="Arial"/>
          <w:kern w:val="0"/>
          <w:sz w:val="20"/>
          <w:szCs w:val="20"/>
          <w:lang w:val="en-US"/>
          <w14:ligatures w14:val="none"/>
        </w:rPr>
        <w:t>Ebukuma</w:t>
      </w:r>
      <w:proofErr w:type="spellEnd"/>
      <w:r w:rsidRPr="00AE30B2">
        <w:rPr>
          <w:rFonts w:ascii="Arial" w:eastAsia="Times New Roman" w:hAnsi="Arial" w:cs="Arial"/>
          <w:kern w:val="0"/>
          <w:sz w:val="20"/>
          <w:szCs w:val="20"/>
          <w:lang w:val="en-US"/>
          <w14:ligatures w14:val="none"/>
        </w:rPr>
        <w:t xml:space="preserve"> Community Health Centre. These health facilities were selected because they serve as major primary healthcare points for children within their respective communities and </w:t>
      </w:r>
      <w:r w:rsidRPr="00AE30B2">
        <w:rPr>
          <w:rFonts w:ascii="Arial" w:eastAsia="Times New Roman" w:hAnsi="Arial" w:cs="Arial"/>
          <w:kern w:val="0"/>
          <w:sz w:val="20"/>
          <w:szCs w:val="20"/>
          <w:highlight w:val="yellow"/>
          <w:lang w:val="en-US"/>
          <w14:ligatures w14:val="none"/>
        </w:rPr>
        <w:t xml:space="preserve">provide access to children under five years of age presenting with </w:t>
      </w:r>
      <w:proofErr w:type="spellStart"/>
      <w:r w:rsidRPr="00AE30B2">
        <w:rPr>
          <w:rFonts w:ascii="Arial" w:eastAsia="Times New Roman" w:hAnsi="Arial" w:cs="Arial"/>
          <w:kern w:val="0"/>
          <w:sz w:val="20"/>
          <w:szCs w:val="20"/>
          <w:highlight w:val="yellow"/>
          <w:lang w:val="en-US"/>
          <w14:ligatures w14:val="none"/>
        </w:rPr>
        <w:t>diarrhoeal</w:t>
      </w:r>
      <w:proofErr w:type="spellEnd"/>
      <w:r w:rsidRPr="00AE30B2">
        <w:rPr>
          <w:rFonts w:ascii="Arial" w:eastAsia="Times New Roman" w:hAnsi="Arial" w:cs="Arial"/>
          <w:kern w:val="0"/>
          <w:sz w:val="20"/>
          <w:szCs w:val="20"/>
          <w:highlight w:val="yellow"/>
          <w:lang w:val="en-US"/>
          <w14:ligatures w14:val="none"/>
        </w:rPr>
        <w:t xml:space="preserve"> symptoms</w:t>
      </w:r>
      <w:r w:rsidRPr="00AE30B2">
        <w:rPr>
          <w:rFonts w:ascii="Arial" w:eastAsia="Times New Roman" w:hAnsi="Arial" w:cs="Arial"/>
          <w:kern w:val="0"/>
          <w:sz w:val="20"/>
          <w:szCs w:val="20"/>
          <w:lang w:val="en-US"/>
          <w14:ligatures w14:val="none"/>
        </w:rPr>
        <w:t>.</w:t>
      </w:r>
    </w:p>
    <w:p w14:paraId="53FBD81E"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AE30B2">
        <w:rPr>
          <w:rFonts w:ascii="Arial" w:eastAsia="Times New Roman" w:hAnsi="Arial" w:cs="Arial"/>
          <w:b/>
          <w:bCs/>
          <w:kern w:val="0"/>
          <w:sz w:val="22"/>
          <w:szCs w:val="22"/>
          <w:lang w:val="en-US"/>
          <w14:ligatures w14:val="none"/>
        </w:rPr>
        <w:t>2.2 Study Design</w:t>
      </w:r>
    </w:p>
    <w:p w14:paraId="7F9ECFD6" w14:textId="77777777" w:rsidR="00F61DBC" w:rsidRPr="00AE30B2" w:rsidRDefault="00F61DBC" w:rsidP="00D5102C">
      <w:pPr>
        <w:spacing w:before="100" w:beforeAutospacing="1" w:after="100" w:afterAutospacing="1" w:line="240" w:lineRule="auto"/>
        <w:jc w:val="both"/>
        <w:outlineLvl w:val="1"/>
        <w:divId w:val="1130903119"/>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A community health centre-based cross-sectional analytical study design was adopted to assess the prevalence of childhood diarrhoeal disease, distribution of enteric bacterial pathogens, bacterial load, and associated biochemical alterations among under-five-year-old children in Andoni Local Government Area of Rivers State.</w:t>
      </w:r>
    </w:p>
    <w:p w14:paraId="0A9835E3"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AE30B2">
        <w:rPr>
          <w:rFonts w:ascii="Arial" w:eastAsia="Times New Roman" w:hAnsi="Arial" w:cs="Arial"/>
          <w:b/>
          <w:bCs/>
          <w:kern w:val="0"/>
          <w:sz w:val="22"/>
          <w:szCs w:val="22"/>
          <w:lang w:val="en-US"/>
          <w14:ligatures w14:val="none"/>
        </w:rPr>
        <w:t>2.3 Study Population</w:t>
      </w:r>
    </w:p>
    <w:p w14:paraId="0C5803BC"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study population comprised </w:t>
      </w:r>
      <w:r w:rsidR="000E650C" w:rsidRPr="00AE30B2">
        <w:rPr>
          <w:rFonts w:ascii="Arial" w:eastAsia="Times New Roman" w:hAnsi="Arial" w:cs="Arial"/>
          <w:kern w:val="0"/>
          <w:sz w:val="20"/>
          <w:szCs w:val="20"/>
          <w:lang w:val="en-US"/>
          <w14:ligatures w14:val="none"/>
        </w:rPr>
        <w:t xml:space="preserve">under-five-year-old </w:t>
      </w:r>
      <w:r w:rsidRPr="00AE30B2">
        <w:rPr>
          <w:rFonts w:ascii="Arial" w:eastAsia="Times New Roman" w:hAnsi="Arial" w:cs="Arial"/>
          <w:kern w:val="0"/>
          <w:sz w:val="20"/>
          <w:szCs w:val="20"/>
          <w:lang w:val="en-US"/>
          <w14:ligatures w14:val="none"/>
        </w:rPr>
        <w:t xml:space="preserve">children (0–59 months) who presented at selected community health </w:t>
      </w:r>
      <w:proofErr w:type="spellStart"/>
      <w:r w:rsidRPr="00AE30B2">
        <w:rPr>
          <w:rFonts w:ascii="Arial" w:eastAsia="Times New Roman" w:hAnsi="Arial" w:cs="Arial"/>
          <w:kern w:val="0"/>
          <w:sz w:val="20"/>
          <w:szCs w:val="20"/>
          <w:lang w:val="en-US"/>
          <w14:ligatures w14:val="none"/>
        </w:rPr>
        <w:t>centres</w:t>
      </w:r>
      <w:proofErr w:type="spellEnd"/>
      <w:r w:rsidRPr="00AE30B2">
        <w:rPr>
          <w:rFonts w:ascii="Arial" w:eastAsia="Times New Roman" w:hAnsi="Arial" w:cs="Arial"/>
          <w:kern w:val="0"/>
          <w:sz w:val="20"/>
          <w:szCs w:val="20"/>
          <w:lang w:val="en-US"/>
          <w14:ligatures w14:val="none"/>
        </w:rPr>
        <w:t xml:space="preserve"> in Andoni Local Government Area of Rivers State during the study period. </w:t>
      </w:r>
    </w:p>
    <w:p w14:paraId="2793F49A"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AE30B2">
        <w:rPr>
          <w:rFonts w:ascii="Arial" w:eastAsia="Times New Roman" w:hAnsi="Arial" w:cs="Arial"/>
          <w:b/>
          <w:bCs/>
          <w:kern w:val="0"/>
          <w:sz w:val="22"/>
          <w:szCs w:val="22"/>
          <w:lang w:val="en-US"/>
          <w14:ligatures w14:val="none"/>
        </w:rPr>
        <w:t>2.4 Inclusion and Exclusion Criteria</w:t>
      </w:r>
    </w:p>
    <w:p w14:paraId="721B7F59"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b/>
          <w:bCs/>
          <w:i/>
          <w:iCs/>
          <w:kern w:val="0"/>
          <w:sz w:val="20"/>
          <w:szCs w:val="20"/>
          <w:lang w:val="en-US"/>
          <w14:ligatures w14:val="none"/>
        </w:rPr>
      </w:pPr>
      <w:r w:rsidRPr="00AE30B2">
        <w:rPr>
          <w:rFonts w:ascii="Arial" w:eastAsia="Times New Roman" w:hAnsi="Arial" w:cs="Arial"/>
          <w:b/>
          <w:bCs/>
          <w:i/>
          <w:iCs/>
          <w:kern w:val="0"/>
          <w:sz w:val="20"/>
          <w:szCs w:val="20"/>
          <w:lang w:val="en-US"/>
          <w14:ligatures w14:val="none"/>
        </w:rPr>
        <w:t>2.4.1 Inclusion Criteria</w:t>
      </w:r>
    </w:p>
    <w:p w14:paraId="23F17D82"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Children were included in the study if they met the following criteria:</w:t>
      </w:r>
    </w:p>
    <w:p w14:paraId="0268A797" w14:textId="77777777" w:rsidR="00270D6F" w:rsidRPr="00AE30B2"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lastRenderedPageBreak/>
        <w:t xml:space="preserve">Children aged 0–59 months who presented at selected community health </w:t>
      </w:r>
      <w:proofErr w:type="spellStart"/>
      <w:r w:rsidRPr="00AE30B2">
        <w:rPr>
          <w:rFonts w:ascii="Arial" w:eastAsia="Times New Roman" w:hAnsi="Arial" w:cs="Arial"/>
          <w:kern w:val="0"/>
          <w:sz w:val="20"/>
          <w:szCs w:val="20"/>
          <w:lang w:val="en-US"/>
          <w14:ligatures w14:val="none"/>
        </w:rPr>
        <w:t>centres</w:t>
      </w:r>
      <w:proofErr w:type="spellEnd"/>
      <w:r w:rsidRPr="00AE30B2">
        <w:rPr>
          <w:rFonts w:ascii="Arial" w:eastAsia="Times New Roman" w:hAnsi="Arial" w:cs="Arial"/>
          <w:kern w:val="0"/>
          <w:sz w:val="20"/>
          <w:szCs w:val="20"/>
          <w:lang w:val="en-US"/>
          <w14:ligatures w14:val="none"/>
        </w:rPr>
        <w:t xml:space="preserve"> in Andoni Local Government Area during the study period.</w:t>
      </w:r>
    </w:p>
    <w:p w14:paraId="03F20AA6" w14:textId="77777777" w:rsidR="00270D6F" w:rsidRPr="00AE30B2"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Children with clinically diagnosed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defined as the passage of three or more loose or watery stools within 24 hours.</w:t>
      </w:r>
    </w:p>
    <w:p w14:paraId="778F3E06" w14:textId="77777777" w:rsidR="00270D6F" w:rsidRPr="00AE30B2"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Apparently healthy children aged 0–59 months without current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symptoms were included as the control group for biochemical comparisons.</w:t>
      </w:r>
    </w:p>
    <w:p w14:paraId="4D4B5418" w14:textId="77777777" w:rsidR="00270D6F" w:rsidRPr="00AE30B2"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Children whose parents or caregivers provided informed consent for participation.</w:t>
      </w:r>
    </w:p>
    <w:p w14:paraId="5DE60B3D"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b/>
          <w:bCs/>
          <w:i/>
          <w:iCs/>
          <w:kern w:val="0"/>
          <w:sz w:val="20"/>
          <w:szCs w:val="20"/>
          <w:lang w:val="en-US"/>
          <w14:ligatures w14:val="none"/>
        </w:rPr>
      </w:pPr>
      <w:r w:rsidRPr="00AE30B2">
        <w:rPr>
          <w:rFonts w:ascii="Arial" w:eastAsia="Times New Roman" w:hAnsi="Arial" w:cs="Arial"/>
          <w:b/>
          <w:bCs/>
          <w:i/>
          <w:iCs/>
          <w:kern w:val="0"/>
          <w:sz w:val="20"/>
          <w:szCs w:val="20"/>
          <w:lang w:val="en-US"/>
          <w14:ligatures w14:val="none"/>
        </w:rPr>
        <w:t>2.4.2 Exclusion Criteria</w:t>
      </w:r>
    </w:p>
    <w:p w14:paraId="5D49F9ED" w14:textId="77777777" w:rsidR="00270D6F" w:rsidRPr="00AE30B2"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Children were excluded from the study if they met </w:t>
      </w:r>
      <w:r w:rsidR="002452B7" w:rsidRPr="00AE30B2">
        <w:rPr>
          <w:rFonts w:ascii="Arial" w:eastAsia="Times New Roman" w:hAnsi="Arial" w:cs="Arial"/>
          <w:kern w:val="0"/>
          <w:sz w:val="20"/>
          <w:szCs w:val="20"/>
          <w:lang w:val="en-US"/>
          <w14:ligatures w14:val="none"/>
        </w:rPr>
        <w:t>any of</w:t>
      </w:r>
      <w:r w:rsidRPr="00AE30B2">
        <w:rPr>
          <w:rFonts w:ascii="Arial" w:eastAsia="Times New Roman" w:hAnsi="Arial" w:cs="Arial"/>
          <w:kern w:val="0"/>
          <w:sz w:val="20"/>
          <w:szCs w:val="20"/>
          <w:lang w:val="en-US"/>
          <w14:ligatures w14:val="none"/>
        </w:rPr>
        <w:t xml:space="preserve"> the following criteria:</w:t>
      </w:r>
    </w:p>
    <w:p w14:paraId="7A05DFF9" w14:textId="77777777" w:rsidR="00270D6F" w:rsidRPr="00AE30B2"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Children aged 60 months or older.</w:t>
      </w:r>
    </w:p>
    <w:p w14:paraId="4E6E3C5B" w14:textId="77777777" w:rsidR="00270D6F" w:rsidRPr="00AE30B2"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Children receiving antibiotic or zinc therapy before sample collection.</w:t>
      </w:r>
    </w:p>
    <w:p w14:paraId="760E5449" w14:textId="77777777" w:rsidR="00270D6F" w:rsidRPr="00AE30B2"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Children with chronic illnesses or underlying medical conditions that could influence biochemical parameters.</w:t>
      </w:r>
    </w:p>
    <w:p w14:paraId="1EC45D92" w14:textId="77777777" w:rsidR="00270D6F" w:rsidRPr="00AE30B2"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Children whose parents or caregivers declined consent for participation.</w:t>
      </w:r>
    </w:p>
    <w:p w14:paraId="6E4676FD" w14:textId="77777777" w:rsidR="00270D6F" w:rsidRPr="00AE30B2"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Samples that were improperly collected, contaminated, or unsuitable for laboratory analysis.</w:t>
      </w:r>
    </w:p>
    <w:p w14:paraId="204FB6A8" w14:textId="77777777" w:rsidR="00486603" w:rsidRPr="00AE30B2" w:rsidRDefault="00270D6F" w:rsidP="00F02EA5">
      <w:pPr>
        <w:spacing w:before="100" w:beforeAutospacing="1" w:after="100" w:afterAutospacing="1" w:line="240" w:lineRule="auto"/>
        <w:jc w:val="both"/>
        <w:outlineLvl w:val="1"/>
        <w:divId w:val="1130903119"/>
        <w:rPr>
          <w:rFonts w:ascii="Arial" w:eastAsia="Times New Roman" w:hAnsi="Arial" w:cs="Arial"/>
          <w:b/>
          <w:bCs/>
          <w:kern w:val="0"/>
          <w:sz w:val="22"/>
          <w:szCs w:val="22"/>
          <w14:ligatures w14:val="none"/>
        </w:rPr>
      </w:pPr>
      <w:r w:rsidRPr="00AE30B2">
        <w:rPr>
          <w:rFonts w:ascii="Arial" w:eastAsia="Times New Roman" w:hAnsi="Arial" w:cs="Arial"/>
          <w:b/>
          <w:bCs/>
          <w:kern w:val="0"/>
          <w:sz w:val="22"/>
          <w:szCs w:val="22"/>
          <w14:ligatures w14:val="none"/>
        </w:rPr>
        <w:t>2.</w:t>
      </w:r>
      <w:r w:rsidR="00486603" w:rsidRPr="00AE30B2">
        <w:rPr>
          <w:rFonts w:ascii="Arial" w:eastAsia="Times New Roman" w:hAnsi="Arial" w:cs="Arial"/>
          <w:b/>
          <w:bCs/>
          <w:kern w:val="0"/>
          <w:sz w:val="22"/>
          <w:szCs w:val="22"/>
          <w14:ligatures w14:val="none"/>
        </w:rPr>
        <w:t>5 Sample Size and Sampling Technique</w:t>
      </w:r>
    </w:p>
    <w:p w14:paraId="2D1F107E" w14:textId="77777777" w:rsidR="00F02EA5" w:rsidRPr="00AE30B2" w:rsidRDefault="00F61DBC" w:rsidP="00F02EA5">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A total of 250 children under five years of age were enrolled in the study using a convenience sampling technique based on predefined eligibility criteria. Among these participants, 29 children with clinically diagnosed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were included for microbiological assessment, while 30 apparently healthy children without current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symptoms served as the control group for biochemical comparison. Participants in the control group </w:t>
      </w:r>
      <w:r w:rsidRPr="00AE30B2">
        <w:rPr>
          <w:rFonts w:ascii="Arial" w:hAnsi="Arial" w:cs="Arial"/>
          <w:kern w:val="0"/>
          <w:sz w:val="20"/>
          <w:szCs w:val="20"/>
          <w14:ligatures w14:val="none"/>
        </w:rPr>
        <w:t xml:space="preserve">were selected during the study period based on eligibility criteria, including the absence of diarrhoeal symptoms at recruitment, no history of diarrhoea within the preceding two weeks, no known chronic illness or underlying medical condition, and no prior use of antibiotics or zinc supplementation before sample collection. </w:t>
      </w:r>
      <w:r w:rsidRPr="00AE30B2">
        <w:rPr>
          <w:rFonts w:ascii="Arial" w:hAnsi="Arial" w:cs="Arial"/>
          <w:kern w:val="0"/>
          <w:sz w:val="20"/>
          <w:szCs w:val="20"/>
          <w:lang w:val="en-US"/>
          <w14:ligatures w14:val="none"/>
        </w:rPr>
        <w:t xml:space="preserve">Information on demographic characteristics, clinical history, environmental conditions, water sources, sanitation practices, hygiene </w:t>
      </w:r>
      <w:proofErr w:type="spellStart"/>
      <w:r w:rsidRPr="00AE30B2">
        <w:rPr>
          <w:rFonts w:ascii="Arial" w:hAnsi="Arial" w:cs="Arial"/>
          <w:kern w:val="0"/>
          <w:sz w:val="20"/>
          <w:szCs w:val="20"/>
          <w:lang w:val="en-US"/>
          <w14:ligatures w14:val="none"/>
        </w:rPr>
        <w:t>behaviours</w:t>
      </w:r>
      <w:proofErr w:type="spellEnd"/>
      <w:r w:rsidRPr="00AE30B2">
        <w:rPr>
          <w:rFonts w:ascii="Arial" w:hAnsi="Arial" w:cs="Arial"/>
          <w:kern w:val="0"/>
          <w:sz w:val="20"/>
          <w:szCs w:val="20"/>
          <w:lang w:val="en-US"/>
          <w14:ligatures w14:val="none"/>
        </w:rPr>
        <w:t>, and</w:t>
      </w:r>
      <w:r w:rsidRPr="00AE30B2">
        <w:rPr>
          <w:rFonts w:ascii="Arial" w:hAnsi="Arial" w:cs="Arial"/>
          <w:kern w:val="0"/>
          <w:sz w:val="20"/>
          <w:szCs w:val="20"/>
          <w14:ligatures w14:val="none"/>
        </w:rPr>
        <w:t xml:space="preserve"> previous use of antibiotics and zinc supplements was obtained from caregivers using a structured questionnaire administered by trained research personnel. The reported treatment history was further verified, where available, using health facility records, prescription information, or medication containers provided by caregivers.</w:t>
      </w:r>
    </w:p>
    <w:p w14:paraId="1BC873DD" w14:textId="77777777" w:rsidR="00C6534E" w:rsidRPr="00AE30B2" w:rsidRDefault="00C6534E" w:rsidP="00D5102C">
      <w:pPr>
        <w:spacing w:before="100" w:beforeAutospacing="1" w:after="100" w:afterAutospacing="1" w:line="240" w:lineRule="auto"/>
        <w:jc w:val="both"/>
        <w:divId w:val="1130903119"/>
        <w:rPr>
          <w:rFonts w:ascii="Arial" w:hAnsi="Arial" w:cs="Arial"/>
          <w:b/>
          <w:bCs/>
          <w:kern w:val="0"/>
          <w:sz w:val="22"/>
          <w:szCs w:val="22"/>
          <w14:ligatures w14:val="none"/>
        </w:rPr>
      </w:pPr>
      <w:r w:rsidRPr="00AE30B2">
        <w:rPr>
          <w:rFonts w:ascii="Arial" w:hAnsi="Arial" w:cs="Arial"/>
          <w:b/>
          <w:bCs/>
          <w:kern w:val="0"/>
          <w:sz w:val="22"/>
          <w:szCs w:val="22"/>
          <w14:ligatures w14:val="none"/>
        </w:rPr>
        <w:t>2.</w:t>
      </w:r>
      <w:r w:rsidR="004078E4" w:rsidRPr="00AE30B2">
        <w:rPr>
          <w:rFonts w:ascii="Arial" w:hAnsi="Arial" w:cs="Arial"/>
          <w:b/>
          <w:bCs/>
          <w:kern w:val="0"/>
          <w:sz w:val="22"/>
          <w:szCs w:val="22"/>
          <w14:ligatures w14:val="none"/>
        </w:rPr>
        <w:t>6</w:t>
      </w:r>
      <w:r w:rsidRPr="00AE30B2">
        <w:rPr>
          <w:rFonts w:ascii="Arial" w:hAnsi="Arial" w:cs="Arial"/>
          <w:b/>
          <w:bCs/>
          <w:kern w:val="0"/>
          <w:sz w:val="22"/>
          <w:szCs w:val="22"/>
          <w14:ligatures w14:val="none"/>
        </w:rPr>
        <w:t xml:space="preserve"> Sample Collection and Preparation</w:t>
      </w:r>
    </w:p>
    <w:p w14:paraId="7411A0B3" w14:textId="77777777" w:rsidR="00C6534E" w:rsidRPr="00AE30B2"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AE30B2">
        <w:rPr>
          <w:rFonts w:ascii="Arial" w:hAnsi="Arial" w:cs="Arial"/>
          <w:b/>
          <w:bCs/>
          <w:i/>
          <w:iCs/>
          <w:kern w:val="0"/>
          <w:sz w:val="20"/>
          <w:szCs w:val="20"/>
          <w:lang w:val="en-US"/>
          <w14:ligatures w14:val="none"/>
        </w:rPr>
        <w:t>2.</w:t>
      </w:r>
      <w:r w:rsidR="004078E4" w:rsidRPr="00AE30B2">
        <w:rPr>
          <w:rFonts w:ascii="Arial" w:hAnsi="Arial" w:cs="Arial"/>
          <w:b/>
          <w:bCs/>
          <w:i/>
          <w:iCs/>
          <w:kern w:val="0"/>
          <w:sz w:val="20"/>
          <w:szCs w:val="20"/>
          <w:lang w:val="en-US"/>
          <w14:ligatures w14:val="none"/>
        </w:rPr>
        <w:t>6</w:t>
      </w:r>
      <w:r w:rsidRPr="00AE30B2">
        <w:rPr>
          <w:rFonts w:ascii="Arial" w:hAnsi="Arial" w:cs="Arial"/>
          <w:b/>
          <w:bCs/>
          <w:i/>
          <w:iCs/>
          <w:kern w:val="0"/>
          <w:sz w:val="20"/>
          <w:szCs w:val="20"/>
          <w:lang w:val="en-US"/>
          <w14:ligatures w14:val="none"/>
        </w:rPr>
        <w:t>.1 Stool Sample Collection</w:t>
      </w:r>
    </w:p>
    <w:p w14:paraId="634EF4CD" w14:textId="77777777" w:rsidR="00C6534E" w:rsidRPr="00AE30B2" w:rsidRDefault="00C6534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Fresh stool samples were collected from children with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into sterile, leak-proof, labelled universal containers using standard aseptic procedures. Caregivers were instructed on appropriate sample collection to prevent contamination. Each sample was properly identified with the participant’s code, date, and time of collection.</w:t>
      </w:r>
    </w:p>
    <w:p w14:paraId="67124D63" w14:textId="77777777" w:rsidR="00C6534E" w:rsidRPr="00AE30B2"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AE30B2">
        <w:rPr>
          <w:rFonts w:ascii="Arial" w:hAnsi="Arial" w:cs="Arial"/>
          <w:b/>
          <w:bCs/>
          <w:i/>
          <w:iCs/>
          <w:kern w:val="0"/>
          <w:sz w:val="20"/>
          <w:szCs w:val="20"/>
          <w:lang w:val="en-US"/>
          <w14:ligatures w14:val="none"/>
        </w:rPr>
        <w:t>2.</w:t>
      </w:r>
      <w:r w:rsidR="004078E4" w:rsidRPr="00AE30B2">
        <w:rPr>
          <w:rFonts w:ascii="Arial" w:hAnsi="Arial" w:cs="Arial"/>
          <w:b/>
          <w:bCs/>
          <w:i/>
          <w:iCs/>
          <w:kern w:val="0"/>
          <w:sz w:val="20"/>
          <w:szCs w:val="20"/>
          <w:lang w:val="en-US"/>
          <w14:ligatures w14:val="none"/>
        </w:rPr>
        <w:t>6</w:t>
      </w:r>
      <w:r w:rsidRPr="00AE30B2">
        <w:rPr>
          <w:rFonts w:ascii="Arial" w:hAnsi="Arial" w:cs="Arial"/>
          <w:b/>
          <w:bCs/>
          <w:i/>
          <w:iCs/>
          <w:kern w:val="0"/>
          <w:sz w:val="20"/>
          <w:szCs w:val="20"/>
          <w:lang w:val="en-US"/>
          <w14:ligatures w14:val="none"/>
        </w:rPr>
        <w:t>.2 Blood Sample Collection</w:t>
      </w:r>
    </w:p>
    <w:p w14:paraId="442FC4E7" w14:textId="77777777" w:rsidR="00C6534E" w:rsidRPr="00AE30B2" w:rsidRDefault="00C6534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Venous blood samples were collected from participating children using standard aseptic techniques. Approximately 3–5 mL of blood was </w:t>
      </w:r>
      <w:r w:rsidRPr="00AE30B2">
        <w:rPr>
          <w:rFonts w:ascii="Arial" w:hAnsi="Arial" w:cs="Arial"/>
          <w:kern w:val="0"/>
          <w:sz w:val="20"/>
          <w:szCs w:val="20"/>
          <w:highlight w:val="yellow"/>
          <w:lang w:val="en-US"/>
          <w14:ligatures w14:val="none"/>
        </w:rPr>
        <w:t>collected in sterile plain sample containers</w:t>
      </w:r>
      <w:r w:rsidRPr="00AE30B2">
        <w:rPr>
          <w:rFonts w:ascii="Arial" w:hAnsi="Arial" w:cs="Arial"/>
          <w:kern w:val="0"/>
          <w:sz w:val="20"/>
          <w:szCs w:val="20"/>
          <w:lang w:val="en-US"/>
          <w14:ligatures w14:val="none"/>
        </w:rPr>
        <w:t xml:space="preserve"> and allowed to clot at room temperature. </w:t>
      </w:r>
    </w:p>
    <w:p w14:paraId="77A1A802" w14:textId="77777777" w:rsidR="00C6534E" w:rsidRPr="00AE30B2" w:rsidRDefault="00C6534E" w:rsidP="00D5102C">
      <w:pPr>
        <w:spacing w:before="100" w:beforeAutospacing="1" w:after="100" w:afterAutospacing="1" w:line="240" w:lineRule="auto"/>
        <w:jc w:val="both"/>
        <w:divId w:val="1130903119"/>
        <w:rPr>
          <w:rFonts w:ascii="Arial" w:hAnsi="Arial" w:cs="Arial"/>
          <w:b/>
          <w:bCs/>
          <w:kern w:val="0"/>
          <w:sz w:val="22"/>
          <w:szCs w:val="22"/>
          <w:lang w:val="en-US"/>
          <w14:ligatures w14:val="none"/>
        </w:rPr>
      </w:pPr>
      <w:r w:rsidRPr="00AE30B2">
        <w:rPr>
          <w:rFonts w:ascii="Arial" w:hAnsi="Arial" w:cs="Arial"/>
          <w:b/>
          <w:bCs/>
          <w:kern w:val="0"/>
          <w:sz w:val="22"/>
          <w:szCs w:val="22"/>
          <w:lang w:val="en-US"/>
          <w14:ligatures w14:val="none"/>
        </w:rPr>
        <w:t>2.7 Microbiological Analyses</w:t>
      </w:r>
    </w:p>
    <w:p w14:paraId="0FB7499E" w14:textId="77777777" w:rsidR="00C6534E" w:rsidRPr="00AE30B2"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AE30B2">
        <w:rPr>
          <w:rFonts w:ascii="Arial" w:hAnsi="Arial" w:cs="Arial"/>
          <w:b/>
          <w:bCs/>
          <w:i/>
          <w:iCs/>
          <w:kern w:val="0"/>
          <w:sz w:val="20"/>
          <w:szCs w:val="20"/>
          <w:lang w:val="en-US"/>
          <w14:ligatures w14:val="none"/>
        </w:rPr>
        <w:lastRenderedPageBreak/>
        <w:t>2.</w:t>
      </w:r>
      <w:r w:rsidR="004078E4" w:rsidRPr="00AE30B2">
        <w:rPr>
          <w:rFonts w:ascii="Arial" w:hAnsi="Arial" w:cs="Arial"/>
          <w:b/>
          <w:bCs/>
          <w:i/>
          <w:iCs/>
          <w:kern w:val="0"/>
          <w:sz w:val="20"/>
          <w:szCs w:val="20"/>
          <w:lang w:val="en-US"/>
          <w14:ligatures w14:val="none"/>
        </w:rPr>
        <w:t>7</w:t>
      </w:r>
      <w:r w:rsidRPr="00AE30B2">
        <w:rPr>
          <w:rFonts w:ascii="Arial" w:hAnsi="Arial" w:cs="Arial"/>
          <w:b/>
          <w:bCs/>
          <w:i/>
          <w:iCs/>
          <w:kern w:val="0"/>
          <w:sz w:val="20"/>
          <w:szCs w:val="20"/>
          <w:lang w:val="en-US"/>
          <w14:ligatures w14:val="none"/>
        </w:rPr>
        <w:t>.1 Stool Sample Processing</w:t>
      </w:r>
    </w:p>
    <w:p w14:paraId="058FF3AA" w14:textId="77777777" w:rsidR="00C6534E" w:rsidRPr="00AE30B2" w:rsidRDefault="0053396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Collected stool samples were transported to the microbiology laboratory under appropriate conditions and processed using standard microbiological procedures. Each sample was examined to isolate and identify enteric bacterial pathogens associated with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All procedures were performed using aseptic techniques to </w:t>
      </w:r>
      <w:proofErr w:type="spellStart"/>
      <w:r w:rsidRPr="00AE30B2">
        <w:rPr>
          <w:rFonts w:ascii="Arial" w:hAnsi="Arial" w:cs="Arial"/>
          <w:kern w:val="0"/>
          <w:sz w:val="20"/>
          <w:szCs w:val="20"/>
          <w:lang w:val="en-US"/>
          <w14:ligatures w14:val="none"/>
        </w:rPr>
        <w:t>minimise</w:t>
      </w:r>
      <w:proofErr w:type="spellEnd"/>
      <w:r w:rsidRPr="00AE30B2">
        <w:rPr>
          <w:rFonts w:ascii="Arial" w:hAnsi="Arial" w:cs="Arial"/>
          <w:kern w:val="0"/>
          <w:sz w:val="20"/>
          <w:szCs w:val="20"/>
          <w:lang w:val="en-US"/>
          <w14:ligatures w14:val="none"/>
        </w:rPr>
        <w:t xml:space="preserve"> contamination and ensure accurate results.</w:t>
      </w:r>
    </w:p>
    <w:p w14:paraId="7E837C3F" w14:textId="77777777" w:rsidR="00C6534E" w:rsidRPr="00AE30B2"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AE30B2">
        <w:rPr>
          <w:rFonts w:ascii="Arial" w:hAnsi="Arial" w:cs="Arial"/>
          <w:b/>
          <w:bCs/>
          <w:i/>
          <w:iCs/>
          <w:kern w:val="0"/>
          <w:sz w:val="20"/>
          <w:szCs w:val="20"/>
          <w:lang w:val="en-US"/>
          <w14:ligatures w14:val="none"/>
        </w:rPr>
        <w:t>2.</w:t>
      </w:r>
      <w:r w:rsidR="004078E4" w:rsidRPr="00AE30B2">
        <w:rPr>
          <w:rFonts w:ascii="Arial" w:hAnsi="Arial" w:cs="Arial"/>
          <w:b/>
          <w:bCs/>
          <w:i/>
          <w:iCs/>
          <w:kern w:val="0"/>
          <w:sz w:val="20"/>
          <w:szCs w:val="20"/>
          <w:lang w:val="en-US"/>
          <w14:ligatures w14:val="none"/>
        </w:rPr>
        <w:t>7</w:t>
      </w:r>
      <w:r w:rsidRPr="00AE30B2">
        <w:rPr>
          <w:rFonts w:ascii="Arial" w:hAnsi="Arial" w:cs="Arial"/>
          <w:b/>
          <w:bCs/>
          <w:i/>
          <w:iCs/>
          <w:kern w:val="0"/>
          <w:sz w:val="20"/>
          <w:szCs w:val="20"/>
          <w:lang w:val="en-US"/>
          <w14:ligatures w14:val="none"/>
        </w:rPr>
        <w:t>.2 Isolation and Identification of Enteric Pathogens</w:t>
      </w:r>
    </w:p>
    <w:p w14:paraId="154285A2" w14:textId="77777777" w:rsidR="00F61DBC" w:rsidRPr="00AE30B2" w:rsidRDefault="00F61DBC" w:rsidP="00D5102C">
      <w:pPr>
        <w:spacing w:before="100" w:beforeAutospacing="1" w:after="100" w:afterAutospacing="1" w:line="240" w:lineRule="auto"/>
        <w:jc w:val="both"/>
        <w:divId w:val="1130903119"/>
        <w:rPr>
          <w:rFonts w:ascii="Arial" w:hAnsi="Arial" w:cs="Arial"/>
          <w:kern w:val="0"/>
          <w:sz w:val="20"/>
          <w:szCs w:val="20"/>
          <w14:ligatures w14:val="none"/>
        </w:rPr>
      </w:pPr>
      <w:r w:rsidRPr="00AE30B2">
        <w:rPr>
          <w:rFonts w:ascii="Arial" w:hAnsi="Arial" w:cs="Arial"/>
          <w:kern w:val="0"/>
          <w:sz w:val="20"/>
          <w:szCs w:val="20"/>
          <w14:ligatures w14:val="none"/>
        </w:rPr>
        <w:t>Stool samples were inoculated onto selective and differential culture media, including MacConkey agar, Salmonella-Shigella agar, and Thiosulphate Citrate Bile Salt Sucrose (TCBS) agar. The inoculated plates were incubated at 37°C for 18–24 hours under aerobic conditions. TCBS agar plates were examined after incubation for the characteristic growth of Vibrio species, while other media were assessed for typical colony morphology suggestive of enteric bacterial pathogens. Presumptive identification was performed using Gram staining and standard biochemical tests.</w:t>
      </w:r>
    </w:p>
    <w:p w14:paraId="340D5E5C" w14:textId="77777777" w:rsidR="00C6534E" w:rsidRPr="00AE30B2"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AE30B2">
        <w:rPr>
          <w:rFonts w:ascii="Arial" w:hAnsi="Arial" w:cs="Arial"/>
          <w:b/>
          <w:bCs/>
          <w:i/>
          <w:iCs/>
          <w:kern w:val="0"/>
          <w:sz w:val="20"/>
          <w:szCs w:val="20"/>
          <w:lang w:val="en-US"/>
          <w14:ligatures w14:val="none"/>
        </w:rPr>
        <w:t>2.</w:t>
      </w:r>
      <w:r w:rsidR="004078E4" w:rsidRPr="00AE30B2">
        <w:rPr>
          <w:rFonts w:ascii="Arial" w:hAnsi="Arial" w:cs="Arial"/>
          <w:b/>
          <w:bCs/>
          <w:i/>
          <w:iCs/>
          <w:kern w:val="0"/>
          <w:sz w:val="20"/>
          <w:szCs w:val="20"/>
          <w:lang w:val="en-US"/>
          <w14:ligatures w14:val="none"/>
        </w:rPr>
        <w:t>7</w:t>
      </w:r>
      <w:r w:rsidRPr="00AE30B2">
        <w:rPr>
          <w:rFonts w:ascii="Arial" w:hAnsi="Arial" w:cs="Arial"/>
          <w:b/>
          <w:bCs/>
          <w:i/>
          <w:iCs/>
          <w:kern w:val="0"/>
          <w:sz w:val="20"/>
          <w:szCs w:val="20"/>
          <w:lang w:val="en-US"/>
          <w14:ligatures w14:val="none"/>
        </w:rPr>
        <w:t>.3 Determination of Enteric Pathogenic Load</w:t>
      </w:r>
    </w:p>
    <w:p w14:paraId="7FE9C656" w14:textId="77777777" w:rsidR="00F61DBC" w:rsidRPr="00AE30B2" w:rsidRDefault="00F61DBC" w:rsidP="00F61DB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The bacterial load of isolated enteric pathogens was determined using a standard quantitative culture technique. Briefly, approximately 1 g of </w:t>
      </w:r>
      <w:proofErr w:type="spellStart"/>
      <w:r w:rsidRPr="00AE30B2">
        <w:rPr>
          <w:rFonts w:ascii="Arial" w:hAnsi="Arial" w:cs="Arial"/>
          <w:kern w:val="0"/>
          <w:sz w:val="20"/>
          <w:szCs w:val="20"/>
          <w:lang w:val="en-US"/>
          <w14:ligatures w14:val="none"/>
        </w:rPr>
        <w:t>homogenised</w:t>
      </w:r>
      <w:proofErr w:type="spellEnd"/>
      <w:r w:rsidRPr="00AE30B2">
        <w:rPr>
          <w:rFonts w:ascii="Arial" w:hAnsi="Arial" w:cs="Arial"/>
          <w:kern w:val="0"/>
          <w:sz w:val="20"/>
          <w:szCs w:val="20"/>
          <w:lang w:val="en-US"/>
          <w14:ligatures w14:val="none"/>
        </w:rPr>
        <w:t xml:space="preserve"> stool sample was aseptically weighed and suspended in 9 mL of sterile normal saline (0.85% NaCl) to obtain the initial 10</w:t>
      </w:r>
      <w:r w:rsidRPr="00AE30B2">
        <w:rPr>
          <w:rFonts w:ascii="Cambria Math" w:hAnsi="Cambria Math" w:cs="Cambria Math"/>
          <w:kern w:val="0"/>
          <w:sz w:val="20"/>
          <w:szCs w:val="20"/>
          <w:lang w:val="en-US"/>
          <w14:ligatures w14:val="none"/>
        </w:rPr>
        <w:t>⁻</w:t>
      </w:r>
      <w:r w:rsidRPr="00AE30B2">
        <w:rPr>
          <w:rFonts w:ascii="Arial" w:hAnsi="Arial" w:cs="Arial"/>
          <w:kern w:val="0"/>
          <w:sz w:val="20"/>
          <w:szCs w:val="20"/>
          <w:lang w:val="en-US"/>
          <w14:ligatures w14:val="none"/>
        </w:rPr>
        <w:t xml:space="preserve">¹ dilution. </w:t>
      </w:r>
      <w:r w:rsidRPr="00AE30B2">
        <w:rPr>
          <w:rFonts w:ascii="Arial" w:hAnsi="Arial" w:cs="Arial"/>
          <w:kern w:val="0"/>
          <w:sz w:val="20"/>
          <w:szCs w:val="20"/>
          <w:highlight w:val="yellow"/>
          <w:lang w:val="en-US"/>
          <w14:ligatures w14:val="none"/>
        </w:rPr>
        <w:t>Serial tenfold dilutions</w:t>
      </w:r>
      <w:r w:rsidRPr="00AE30B2">
        <w:rPr>
          <w:rFonts w:ascii="Arial" w:hAnsi="Arial" w:cs="Arial"/>
          <w:kern w:val="0"/>
          <w:sz w:val="20"/>
          <w:szCs w:val="20"/>
          <w:lang w:val="en-US"/>
          <w14:ligatures w14:val="none"/>
        </w:rPr>
        <w:t xml:space="preserve"> were subsequently prepared by transferring 1 mL of the previous dilution into 9 mL of sterile diluent to obtain appropriate dilution levels for bacterial enumeration.</w:t>
      </w:r>
    </w:p>
    <w:p w14:paraId="466AC60E" w14:textId="77777777" w:rsidR="00F61DBC" w:rsidRPr="00AE30B2" w:rsidRDefault="00F61DBC" w:rsidP="00F61DB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Aliquots (0.1 mL) of suitable dilutions were inoculated onto appropriate selective and differential culture media using the spread plate technique. The inoculated plates were incubated at 37°C for 18–24 hours under aerobic conditions. After incubation, </w:t>
      </w:r>
      <w:r w:rsidRPr="00AE30B2">
        <w:rPr>
          <w:rFonts w:ascii="Arial" w:hAnsi="Arial" w:cs="Arial"/>
          <w:kern w:val="0"/>
          <w:sz w:val="20"/>
          <w:szCs w:val="20"/>
          <w:highlight w:val="yellow"/>
          <w:lang w:val="en-US"/>
          <w14:ligatures w14:val="none"/>
        </w:rPr>
        <w:t>colonies with the characteristic morphology of the identified enteric pathogens</w:t>
      </w:r>
      <w:r w:rsidRPr="00AE30B2">
        <w:rPr>
          <w:rFonts w:ascii="Arial" w:hAnsi="Arial" w:cs="Arial"/>
          <w:kern w:val="0"/>
          <w:sz w:val="20"/>
          <w:szCs w:val="20"/>
          <w:lang w:val="en-US"/>
          <w14:ligatures w14:val="none"/>
        </w:rPr>
        <w:t xml:space="preserve"> were counted using a colony counter (Scan® 100 Colony Counter, </w:t>
      </w:r>
      <w:proofErr w:type="spellStart"/>
      <w:r w:rsidRPr="00AE30B2">
        <w:rPr>
          <w:rFonts w:ascii="Arial" w:hAnsi="Arial" w:cs="Arial"/>
          <w:kern w:val="0"/>
          <w:sz w:val="20"/>
          <w:szCs w:val="20"/>
          <w:lang w:val="en-US"/>
          <w14:ligatures w14:val="none"/>
        </w:rPr>
        <w:t>Interscience</w:t>
      </w:r>
      <w:proofErr w:type="spellEnd"/>
      <w:r w:rsidRPr="00AE30B2">
        <w:rPr>
          <w:rFonts w:ascii="Arial" w:hAnsi="Arial" w:cs="Arial"/>
          <w:kern w:val="0"/>
          <w:sz w:val="20"/>
          <w:szCs w:val="20"/>
          <w:lang w:val="en-US"/>
          <w14:ligatures w14:val="none"/>
        </w:rPr>
        <w:t>, Saint Nom-la-</w:t>
      </w:r>
      <w:proofErr w:type="spellStart"/>
      <w:r w:rsidRPr="00AE30B2">
        <w:rPr>
          <w:rFonts w:ascii="Arial" w:hAnsi="Arial" w:cs="Arial"/>
          <w:kern w:val="0"/>
          <w:sz w:val="20"/>
          <w:szCs w:val="20"/>
          <w:lang w:val="en-US"/>
          <w14:ligatures w14:val="none"/>
        </w:rPr>
        <w:t>Bretèche</w:t>
      </w:r>
      <w:proofErr w:type="spellEnd"/>
      <w:r w:rsidRPr="00AE30B2">
        <w:rPr>
          <w:rFonts w:ascii="Arial" w:hAnsi="Arial" w:cs="Arial"/>
          <w:kern w:val="0"/>
          <w:sz w:val="20"/>
          <w:szCs w:val="20"/>
          <w:lang w:val="en-US"/>
          <w14:ligatures w14:val="none"/>
        </w:rPr>
        <w:t>, France), and plates containing 30–300 colonies were selected for enumeration.</w:t>
      </w:r>
    </w:p>
    <w:p w14:paraId="093CE7D2" w14:textId="77777777" w:rsidR="00F61DBC" w:rsidRPr="00AE30B2" w:rsidRDefault="00F61DBC" w:rsidP="00F61DB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The bacterial load was calculated using the formula:</w:t>
      </w:r>
    </w:p>
    <w:p w14:paraId="009629E0" w14:textId="77777777" w:rsidR="002B4348" w:rsidRPr="00AE30B2" w:rsidRDefault="00C2179D" w:rsidP="00F61DBC">
      <w:pPr>
        <w:spacing w:before="100" w:beforeAutospacing="1" w:after="100" w:afterAutospacing="1" w:line="240" w:lineRule="auto"/>
        <w:jc w:val="both"/>
        <w:divId w:val="1130903119"/>
        <w:rPr>
          <w:rFonts w:ascii="Arial" w:hAnsi="Arial" w:cs="Arial"/>
          <w:kern w:val="0"/>
          <w:sz w:val="20"/>
          <w:szCs w:val="20"/>
          <w:lang w:val="en-US"/>
          <w14:ligatures w14:val="none"/>
        </w:rPr>
      </w:pPr>
      <m:oMathPara>
        <m:oMath>
          <m:r>
            <m:rPr>
              <m:sty m:val="p"/>
            </m:rPr>
            <w:rPr>
              <w:rStyle w:val="mord"/>
              <w:rFonts w:ascii="Cambria Math" w:hAnsi="Cambria Math" w:cs="Arial"/>
              <w:sz w:val="20"/>
              <w:szCs w:val="20"/>
            </w:rPr>
            <m:t>CFU/g</m:t>
          </m:r>
          <m:r>
            <w:rPr>
              <w:rStyle w:val="mrel"/>
              <w:rFonts w:ascii="Cambria Math" w:hAnsi="Cambria Math" w:cs="Arial"/>
              <w:sz w:val="20"/>
              <w:szCs w:val="20"/>
            </w:rPr>
            <m:t>=</m:t>
          </m:r>
          <m:f>
            <m:fPr>
              <m:ctrlPr>
                <w:rPr>
                  <w:rStyle w:val="mrel"/>
                  <w:rFonts w:ascii="Cambria Math" w:hAnsi="Cambria Math" w:cs="Arial"/>
                  <w:i/>
                  <w:iCs/>
                  <w:sz w:val="20"/>
                  <w:szCs w:val="20"/>
                </w:rPr>
              </m:ctrlPr>
            </m:fPr>
            <m:num>
              <m:r>
                <w:rPr>
                  <w:rStyle w:val="mrel"/>
                  <w:rFonts w:ascii="Cambria Math" w:hAnsi="Cambria Math" w:cs="Arial"/>
                  <w:sz w:val="20"/>
                  <w:szCs w:val="20"/>
                </w:rPr>
                <m:t>Number of colonies×Dilution factor</m:t>
              </m:r>
            </m:num>
            <m:den>
              <m:r>
                <w:rPr>
                  <w:rFonts w:ascii="Cambria Math" w:hAnsi="Cambria Math" w:cs="Arial"/>
                  <w:sz w:val="20"/>
                  <w:szCs w:val="20"/>
                  <w:lang w:val="en-US"/>
                </w:rPr>
                <m:t>Volume inoculated (mL)</m:t>
              </m:r>
            </m:den>
          </m:f>
        </m:oMath>
      </m:oMathPara>
    </w:p>
    <w:p w14:paraId="1BD12DE6" w14:textId="77777777" w:rsidR="00C6534E" w:rsidRPr="00AE30B2"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AE30B2">
        <w:rPr>
          <w:rFonts w:ascii="Arial" w:hAnsi="Arial" w:cs="Arial"/>
          <w:b/>
          <w:bCs/>
          <w:i/>
          <w:iCs/>
          <w:kern w:val="0"/>
          <w:sz w:val="20"/>
          <w:szCs w:val="20"/>
          <w:lang w:val="en-US"/>
          <w14:ligatures w14:val="none"/>
        </w:rPr>
        <w:t>2.</w:t>
      </w:r>
      <w:r w:rsidR="004078E4" w:rsidRPr="00AE30B2">
        <w:rPr>
          <w:rFonts w:ascii="Arial" w:hAnsi="Arial" w:cs="Arial"/>
          <w:b/>
          <w:bCs/>
          <w:i/>
          <w:iCs/>
          <w:kern w:val="0"/>
          <w:sz w:val="20"/>
          <w:szCs w:val="20"/>
          <w:lang w:val="en-US"/>
          <w14:ligatures w14:val="none"/>
        </w:rPr>
        <w:t>7</w:t>
      </w:r>
      <w:r w:rsidRPr="00AE30B2">
        <w:rPr>
          <w:rFonts w:ascii="Arial" w:hAnsi="Arial" w:cs="Arial"/>
          <w:b/>
          <w:bCs/>
          <w:i/>
          <w:iCs/>
          <w:kern w:val="0"/>
          <w:sz w:val="20"/>
          <w:szCs w:val="20"/>
          <w:lang w:val="en-US"/>
          <w14:ligatures w14:val="none"/>
        </w:rPr>
        <w:t>.4 Quality Control Measures</w:t>
      </w:r>
    </w:p>
    <w:p w14:paraId="42DA9AE3" w14:textId="77777777" w:rsidR="00C6534E" w:rsidRPr="00AE30B2" w:rsidRDefault="00C6534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Quality assurance procedures were maintained throughout the microbiological analyses. Sterility checks, proper sample handling, and standard laboratory protocols were employed to ensure the accuracy and reproducibility of the results.</w:t>
      </w:r>
    </w:p>
    <w:p w14:paraId="5774BCA2" w14:textId="77777777" w:rsidR="00636AE3" w:rsidRPr="00AE30B2" w:rsidRDefault="00636AE3" w:rsidP="00636AE3">
      <w:pPr>
        <w:spacing w:before="100" w:beforeAutospacing="1" w:after="100" w:afterAutospacing="1" w:line="240" w:lineRule="auto"/>
        <w:jc w:val="both"/>
        <w:divId w:val="1130903119"/>
        <w:rPr>
          <w:rFonts w:ascii="Arial" w:hAnsi="Arial" w:cs="Arial"/>
          <w:b/>
          <w:bCs/>
          <w:kern w:val="0"/>
          <w:sz w:val="22"/>
          <w:szCs w:val="22"/>
          <w:lang w:val="en-US"/>
          <w14:ligatures w14:val="none"/>
        </w:rPr>
      </w:pPr>
      <w:r w:rsidRPr="00AE30B2">
        <w:rPr>
          <w:rFonts w:ascii="Arial" w:hAnsi="Arial" w:cs="Arial"/>
          <w:b/>
          <w:bCs/>
          <w:kern w:val="0"/>
          <w:sz w:val="22"/>
          <w:szCs w:val="22"/>
          <w:lang w:val="en-US"/>
          <w14:ligatures w14:val="none"/>
        </w:rPr>
        <w:t>2.8 Biochemical Analyses</w:t>
      </w:r>
    </w:p>
    <w:p w14:paraId="347583FF" w14:textId="77777777" w:rsidR="00636AE3" w:rsidRPr="00AE30B2" w:rsidRDefault="00636AE3" w:rsidP="00636AE3">
      <w:pPr>
        <w:spacing w:before="100" w:beforeAutospacing="1" w:after="100" w:afterAutospacing="1" w:line="240" w:lineRule="auto"/>
        <w:jc w:val="both"/>
        <w:divId w:val="1130903119"/>
        <w:rPr>
          <w:rFonts w:ascii="Arial" w:hAnsi="Arial" w:cs="Arial"/>
          <w:b/>
          <w:bCs/>
          <w:kern w:val="0"/>
          <w:sz w:val="22"/>
          <w:szCs w:val="22"/>
          <w:lang w:val="en-US"/>
          <w14:ligatures w14:val="none"/>
        </w:rPr>
      </w:pPr>
      <w:r w:rsidRPr="00AE30B2">
        <w:rPr>
          <w:rFonts w:ascii="Arial" w:hAnsi="Arial" w:cs="Arial"/>
          <w:b/>
          <w:bCs/>
          <w:kern w:val="0"/>
          <w:sz w:val="22"/>
          <w:szCs w:val="22"/>
          <w:lang w:val="en-US"/>
          <w14:ligatures w14:val="none"/>
        </w:rPr>
        <w:t>2.8.1 Assessment of Serum Electrolyte Levels</w:t>
      </w:r>
    </w:p>
    <w:p w14:paraId="1B558BC1" w14:textId="77777777" w:rsidR="00636AE3" w:rsidRPr="00AE30B2" w:rsidRDefault="00636AE3" w:rsidP="00636AE3">
      <w:pPr>
        <w:spacing w:before="100" w:beforeAutospacing="1" w:after="100" w:afterAutospacing="1" w:line="240" w:lineRule="auto"/>
        <w:jc w:val="both"/>
        <w:divId w:val="1130903119"/>
        <w:rPr>
          <w:rFonts w:ascii="Arial" w:hAnsi="Arial" w:cs="Arial"/>
          <w:kern w:val="0"/>
          <w:sz w:val="22"/>
          <w:szCs w:val="22"/>
          <w:lang w:val="en-US"/>
          <w14:ligatures w14:val="none"/>
        </w:rPr>
      </w:pPr>
      <w:r w:rsidRPr="00AE30B2">
        <w:rPr>
          <w:rFonts w:ascii="Arial" w:hAnsi="Arial" w:cs="Arial"/>
          <w:kern w:val="0"/>
          <w:sz w:val="22"/>
          <w:szCs w:val="22"/>
          <w:lang w:val="en-US"/>
          <w14:ligatures w14:val="none"/>
        </w:rPr>
        <w:t xml:space="preserve">Serum electrolyte concentrations were determined to assess biochemical alterations associated with </w:t>
      </w:r>
      <w:proofErr w:type="spellStart"/>
      <w:r w:rsidRPr="00AE30B2">
        <w:rPr>
          <w:rFonts w:ascii="Arial" w:hAnsi="Arial" w:cs="Arial"/>
          <w:kern w:val="0"/>
          <w:sz w:val="22"/>
          <w:szCs w:val="22"/>
          <w:lang w:val="en-US"/>
          <w14:ligatures w14:val="none"/>
        </w:rPr>
        <w:t>diarrhoeal</w:t>
      </w:r>
      <w:proofErr w:type="spellEnd"/>
      <w:r w:rsidRPr="00AE30B2">
        <w:rPr>
          <w:rFonts w:ascii="Arial" w:hAnsi="Arial" w:cs="Arial"/>
          <w:kern w:val="0"/>
          <w:sz w:val="22"/>
          <w:szCs w:val="22"/>
          <w:lang w:val="en-US"/>
          <w14:ligatures w14:val="none"/>
        </w:rPr>
        <w:t xml:space="preserve"> disease among the study participants. Serum sodium (Na</w:t>
      </w:r>
      <w:r w:rsidRPr="00AE30B2">
        <w:rPr>
          <w:rFonts w:ascii="Cambria Math" w:hAnsi="Cambria Math" w:cs="Cambria Math"/>
          <w:kern w:val="0"/>
          <w:sz w:val="22"/>
          <w:szCs w:val="22"/>
          <w:lang w:val="en-US"/>
          <w14:ligatures w14:val="none"/>
        </w:rPr>
        <w:t>⁺</w:t>
      </w:r>
      <w:r w:rsidRPr="00AE30B2">
        <w:rPr>
          <w:rFonts w:ascii="Arial" w:hAnsi="Arial" w:cs="Arial"/>
          <w:kern w:val="0"/>
          <w:sz w:val="22"/>
          <w:szCs w:val="22"/>
          <w:lang w:val="en-US"/>
          <w14:ligatures w14:val="none"/>
        </w:rPr>
        <w:t>), potassium (K</w:t>
      </w:r>
      <w:r w:rsidRPr="00AE30B2">
        <w:rPr>
          <w:rFonts w:ascii="Cambria Math" w:hAnsi="Cambria Math" w:cs="Cambria Math"/>
          <w:kern w:val="0"/>
          <w:sz w:val="22"/>
          <w:szCs w:val="22"/>
          <w:lang w:val="en-US"/>
          <w14:ligatures w14:val="none"/>
        </w:rPr>
        <w:t>⁺</w:t>
      </w:r>
      <w:r w:rsidRPr="00AE30B2">
        <w:rPr>
          <w:rFonts w:ascii="Arial" w:hAnsi="Arial" w:cs="Arial"/>
          <w:kern w:val="0"/>
          <w:sz w:val="22"/>
          <w:szCs w:val="22"/>
          <w:lang w:val="en-US"/>
          <w14:ligatures w14:val="none"/>
        </w:rPr>
        <w:t>), chloride (Cl</w:t>
      </w:r>
      <w:r w:rsidRPr="00AE30B2">
        <w:rPr>
          <w:rFonts w:ascii="Cambria Math" w:hAnsi="Cambria Math" w:cs="Cambria Math"/>
          <w:kern w:val="0"/>
          <w:sz w:val="22"/>
          <w:szCs w:val="22"/>
          <w:lang w:val="en-US"/>
          <w14:ligatures w14:val="none"/>
        </w:rPr>
        <w:t>⁻</w:t>
      </w:r>
      <w:r w:rsidRPr="00AE30B2">
        <w:rPr>
          <w:rFonts w:ascii="Arial" w:hAnsi="Arial" w:cs="Arial"/>
          <w:kern w:val="0"/>
          <w:sz w:val="22"/>
          <w:szCs w:val="22"/>
          <w:lang w:val="en-US"/>
          <w14:ligatures w14:val="none"/>
        </w:rPr>
        <w:t>), and bicarbonate (HCO</w:t>
      </w:r>
      <w:r w:rsidRPr="00AE30B2">
        <w:rPr>
          <w:rFonts w:ascii="Cambria Math" w:hAnsi="Cambria Math" w:cs="Cambria Math"/>
          <w:kern w:val="0"/>
          <w:sz w:val="22"/>
          <w:szCs w:val="22"/>
          <w:lang w:val="en-US"/>
          <w14:ligatures w14:val="none"/>
        </w:rPr>
        <w:t>₃⁻</w:t>
      </w:r>
      <w:r w:rsidRPr="00AE30B2">
        <w:rPr>
          <w:rFonts w:ascii="Arial" w:hAnsi="Arial" w:cs="Arial"/>
          <w:kern w:val="0"/>
          <w:sz w:val="22"/>
          <w:szCs w:val="22"/>
          <w:lang w:val="en-US"/>
          <w14:ligatures w14:val="none"/>
        </w:rPr>
        <w:t xml:space="preserve">) levels were </w:t>
      </w:r>
      <w:proofErr w:type="spellStart"/>
      <w:r w:rsidRPr="00AE30B2">
        <w:rPr>
          <w:rFonts w:ascii="Arial" w:hAnsi="Arial" w:cs="Arial"/>
          <w:kern w:val="0"/>
          <w:sz w:val="22"/>
          <w:szCs w:val="22"/>
          <w:lang w:val="en-US"/>
          <w14:ligatures w14:val="none"/>
        </w:rPr>
        <w:t>analysed</w:t>
      </w:r>
      <w:proofErr w:type="spellEnd"/>
      <w:r w:rsidRPr="00AE30B2">
        <w:rPr>
          <w:rFonts w:ascii="Arial" w:hAnsi="Arial" w:cs="Arial"/>
          <w:kern w:val="0"/>
          <w:sz w:val="22"/>
          <w:szCs w:val="22"/>
          <w:lang w:val="en-US"/>
          <w14:ligatures w14:val="none"/>
        </w:rPr>
        <w:t xml:space="preserve">. Blood samples </w:t>
      </w:r>
      <w:r w:rsidRPr="00AE30B2">
        <w:rPr>
          <w:rFonts w:ascii="Arial" w:hAnsi="Arial" w:cs="Arial"/>
          <w:kern w:val="0"/>
          <w:sz w:val="22"/>
          <w:szCs w:val="22"/>
          <w:highlight w:val="yellow"/>
          <w:lang w:val="en-US"/>
          <w14:ligatures w14:val="none"/>
        </w:rPr>
        <w:t>collected in sterile plain tubes</w:t>
      </w:r>
      <w:r w:rsidRPr="00AE30B2">
        <w:rPr>
          <w:rFonts w:ascii="Arial" w:hAnsi="Arial" w:cs="Arial"/>
          <w:kern w:val="0"/>
          <w:sz w:val="22"/>
          <w:szCs w:val="22"/>
          <w:lang w:val="en-US"/>
          <w14:ligatures w14:val="none"/>
        </w:rPr>
        <w:t xml:space="preserve"> were allowed to clot and centrifuged at 3000 rpm for 10 minutes to obtain serum. The separated serum samples were stored appropriately until analysis.</w:t>
      </w:r>
    </w:p>
    <w:p w14:paraId="3BDF34D8" w14:textId="77777777" w:rsidR="00966597" w:rsidRPr="00AE30B2" w:rsidRDefault="00636AE3" w:rsidP="00966597">
      <w:pPr>
        <w:spacing w:before="100" w:beforeAutospacing="1" w:after="100" w:afterAutospacing="1" w:line="240" w:lineRule="auto"/>
        <w:jc w:val="both"/>
        <w:divId w:val="1130903119"/>
        <w:rPr>
          <w:rFonts w:ascii="Arial" w:hAnsi="Arial" w:cs="Arial"/>
          <w:kern w:val="0"/>
          <w:sz w:val="22"/>
          <w:szCs w:val="22"/>
          <w:lang w:val="en-US"/>
          <w14:ligatures w14:val="none"/>
        </w:rPr>
      </w:pPr>
      <w:r w:rsidRPr="00AE30B2">
        <w:rPr>
          <w:rFonts w:ascii="Arial" w:hAnsi="Arial" w:cs="Arial"/>
          <w:kern w:val="0"/>
          <w:sz w:val="22"/>
          <w:szCs w:val="22"/>
          <w:lang w:val="en-US"/>
          <w14:ligatures w14:val="none"/>
        </w:rPr>
        <w:lastRenderedPageBreak/>
        <w:t xml:space="preserve">Serum sodium, potassium, chloride, and bicarbonate concentrations were measured using a Mindray BS-200E automated clinical chemistry </w:t>
      </w:r>
      <w:proofErr w:type="spellStart"/>
      <w:r w:rsidRPr="00AE30B2">
        <w:rPr>
          <w:rFonts w:ascii="Arial" w:hAnsi="Arial" w:cs="Arial"/>
          <w:kern w:val="0"/>
          <w:sz w:val="22"/>
          <w:szCs w:val="22"/>
          <w:lang w:val="en-US"/>
          <w14:ligatures w14:val="none"/>
        </w:rPr>
        <w:t>analyser</w:t>
      </w:r>
      <w:proofErr w:type="spellEnd"/>
      <w:r w:rsidRPr="00AE30B2">
        <w:rPr>
          <w:rFonts w:ascii="Arial" w:hAnsi="Arial" w:cs="Arial"/>
          <w:kern w:val="0"/>
          <w:sz w:val="22"/>
          <w:szCs w:val="22"/>
          <w:lang w:val="en-US"/>
          <w14:ligatures w14:val="none"/>
        </w:rPr>
        <w:t xml:space="preserve"> (Mindray Bio-Medical Electronics Co., Ltd., Shenzhen, China) in accordance with the manufacturer's instructions. The </w:t>
      </w:r>
      <w:proofErr w:type="spellStart"/>
      <w:r w:rsidRPr="00AE30B2">
        <w:rPr>
          <w:rFonts w:ascii="Arial" w:hAnsi="Arial" w:cs="Arial"/>
          <w:kern w:val="0"/>
          <w:sz w:val="22"/>
          <w:szCs w:val="22"/>
          <w:lang w:val="en-US"/>
          <w14:ligatures w14:val="none"/>
        </w:rPr>
        <w:t>analyser</w:t>
      </w:r>
      <w:proofErr w:type="spellEnd"/>
      <w:r w:rsidRPr="00AE30B2">
        <w:rPr>
          <w:rFonts w:ascii="Arial" w:hAnsi="Arial" w:cs="Arial"/>
          <w:kern w:val="0"/>
          <w:sz w:val="22"/>
          <w:szCs w:val="22"/>
          <w:lang w:val="en-US"/>
          <w14:ligatures w14:val="none"/>
        </w:rPr>
        <w:t xml:space="preserve"> applies standard photometric and biochemical principles for the quantitative determination of serum parameters. Electrolyte concentrations were expressed in mmol/L.</w:t>
      </w:r>
    </w:p>
    <w:p w14:paraId="7CFB121D" w14:textId="77777777" w:rsidR="00636AE3" w:rsidRPr="00AE30B2" w:rsidRDefault="00636AE3" w:rsidP="00636AE3">
      <w:pPr>
        <w:spacing w:before="100" w:beforeAutospacing="1" w:after="100" w:afterAutospacing="1" w:line="240" w:lineRule="auto"/>
        <w:jc w:val="both"/>
        <w:divId w:val="1130903119"/>
        <w:rPr>
          <w:rFonts w:ascii="Arial" w:hAnsi="Arial" w:cs="Arial"/>
          <w:b/>
          <w:bCs/>
          <w:kern w:val="0"/>
          <w:sz w:val="22"/>
          <w:szCs w:val="22"/>
          <w:lang w:val="en-US"/>
          <w14:ligatures w14:val="none"/>
        </w:rPr>
      </w:pPr>
      <w:r w:rsidRPr="00AE30B2">
        <w:rPr>
          <w:rFonts w:ascii="Arial" w:hAnsi="Arial" w:cs="Arial"/>
          <w:b/>
          <w:bCs/>
          <w:kern w:val="0"/>
          <w:sz w:val="22"/>
          <w:szCs w:val="22"/>
          <w:lang w:val="en-US"/>
          <w14:ligatures w14:val="none"/>
        </w:rPr>
        <w:t>2.8.2 Assessment of Serum Zinc</w:t>
      </w:r>
    </w:p>
    <w:p w14:paraId="46F2E5F6" w14:textId="77777777" w:rsidR="00636AE3" w:rsidRPr="00AE30B2" w:rsidRDefault="00636AE3" w:rsidP="00636AE3">
      <w:pPr>
        <w:spacing w:before="100" w:beforeAutospacing="1" w:after="100" w:afterAutospacing="1" w:line="240" w:lineRule="auto"/>
        <w:jc w:val="both"/>
        <w:divId w:val="1130903119"/>
        <w:rPr>
          <w:rFonts w:ascii="Arial" w:hAnsi="Arial" w:cs="Arial"/>
          <w:kern w:val="0"/>
          <w:sz w:val="22"/>
          <w:szCs w:val="22"/>
          <w:lang w:val="en-US"/>
          <w14:ligatures w14:val="none"/>
        </w:rPr>
      </w:pPr>
      <w:r w:rsidRPr="00AE30B2">
        <w:rPr>
          <w:rFonts w:ascii="Arial" w:hAnsi="Arial" w:cs="Arial"/>
          <w:kern w:val="0"/>
          <w:sz w:val="22"/>
          <w:szCs w:val="22"/>
          <w:lang w:val="en-US"/>
          <w14:ligatures w14:val="none"/>
        </w:rPr>
        <w:t xml:space="preserve">Serum zinc concentration was determined to assess zinc status among children with </w:t>
      </w:r>
      <w:proofErr w:type="spellStart"/>
      <w:r w:rsidRPr="00AE30B2">
        <w:rPr>
          <w:rFonts w:ascii="Arial" w:hAnsi="Arial" w:cs="Arial"/>
          <w:kern w:val="0"/>
          <w:sz w:val="22"/>
          <w:szCs w:val="22"/>
          <w:lang w:val="en-US"/>
          <w14:ligatures w14:val="none"/>
        </w:rPr>
        <w:t>diarrhoeal</w:t>
      </w:r>
      <w:proofErr w:type="spellEnd"/>
      <w:r w:rsidRPr="00AE30B2">
        <w:rPr>
          <w:rFonts w:ascii="Arial" w:hAnsi="Arial" w:cs="Arial"/>
          <w:kern w:val="0"/>
          <w:sz w:val="22"/>
          <w:szCs w:val="22"/>
          <w:lang w:val="en-US"/>
          <w14:ligatures w14:val="none"/>
        </w:rPr>
        <w:t xml:space="preserve"> disease and apparently healthy controls. Serum samples were </w:t>
      </w:r>
      <w:proofErr w:type="spellStart"/>
      <w:r w:rsidRPr="00AE30B2">
        <w:rPr>
          <w:rFonts w:ascii="Arial" w:hAnsi="Arial" w:cs="Arial"/>
          <w:kern w:val="0"/>
          <w:sz w:val="22"/>
          <w:szCs w:val="22"/>
          <w:lang w:val="en-US"/>
          <w14:ligatures w14:val="none"/>
        </w:rPr>
        <w:t>analysed</w:t>
      </w:r>
      <w:proofErr w:type="spellEnd"/>
      <w:r w:rsidRPr="00AE30B2">
        <w:rPr>
          <w:rFonts w:ascii="Arial" w:hAnsi="Arial" w:cs="Arial"/>
          <w:kern w:val="0"/>
          <w:sz w:val="22"/>
          <w:szCs w:val="22"/>
          <w:lang w:val="en-US"/>
          <w14:ligatures w14:val="none"/>
        </w:rPr>
        <w:t xml:space="preserve"> using a commercial zinc assay kit (Sigma-Aldrich, Merck KGaA, Darmstadt, Germany) based on a colorimetric method. Briefly, zinc ions in the serum react with the chromogenic reagent to form a purple–violet-</w:t>
      </w:r>
      <w:proofErr w:type="spellStart"/>
      <w:r w:rsidRPr="00AE30B2">
        <w:rPr>
          <w:rFonts w:ascii="Arial" w:hAnsi="Arial" w:cs="Arial"/>
          <w:kern w:val="0"/>
          <w:sz w:val="22"/>
          <w:szCs w:val="22"/>
          <w:lang w:val="en-US"/>
          <w14:ligatures w14:val="none"/>
        </w:rPr>
        <w:t>coloured</w:t>
      </w:r>
      <w:proofErr w:type="spellEnd"/>
      <w:r w:rsidRPr="00AE30B2">
        <w:rPr>
          <w:rFonts w:ascii="Arial" w:hAnsi="Arial" w:cs="Arial"/>
          <w:kern w:val="0"/>
          <w:sz w:val="22"/>
          <w:szCs w:val="22"/>
          <w:lang w:val="en-US"/>
          <w14:ligatures w14:val="none"/>
        </w:rPr>
        <w:t xml:space="preserve"> complex, and the intensity of the </w:t>
      </w:r>
      <w:proofErr w:type="spellStart"/>
      <w:r w:rsidRPr="00AE30B2">
        <w:rPr>
          <w:rFonts w:ascii="Arial" w:hAnsi="Arial" w:cs="Arial"/>
          <w:kern w:val="0"/>
          <w:sz w:val="22"/>
          <w:szCs w:val="22"/>
          <w:lang w:val="en-US"/>
          <w14:ligatures w14:val="none"/>
        </w:rPr>
        <w:t>colour</w:t>
      </w:r>
      <w:proofErr w:type="spellEnd"/>
      <w:r w:rsidRPr="00AE30B2">
        <w:rPr>
          <w:rFonts w:ascii="Arial" w:hAnsi="Arial" w:cs="Arial"/>
          <w:kern w:val="0"/>
          <w:sz w:val="22"/>
          <w:szCs w:val="22"/>
          <w:lang w:val="en-US"/>
          <w14:ligatures w14:val="none"/>
        </w:rPr>
        <w:t xml:space="preserve"> produced is directly proportional to the zinc concentration in the sample. Absorbance was measured at 560 nm using a Bio-Rad </w:t>
      </w:r>
      <w:proofErr w:type="spellStart"/>
      <w:r w:rsidRPr="00AE30B2">
        <w:rPr>
          <w:rFonts w:ascii="Arial" w:hAnsi="Arial" w:cs="Arial"/>
          <w:kern w:val="0"/>
          <w:sz w:val="22"/>
          <w:szCs w:val="22"/>
          <w:lang w:val="en-US"/>
          <w14:ligatures w14:val="none"/>
        </w:rPr>
        <w:t>iMark</w:t>
      </w:r>
      <w:proofErr w:type="spellEnd"/>
      <w:r w:rsidRPr="00AE30B2">
        <w:rPr>
          <w:rFonts w:ascii="Arial" w:hAnsi="Arial" w:cs="Arial"/>
          <w:kern w:val="0"/>
          <w:sz w:val="22"/>
          <w:szCs w:val="22"/>
          <w:lang w:val="en-US"/>
          <w14:ligatures w14:val="none"/>
        </w:rPr>
        <w:t>™ Microplate Reader (Bio-Rad Laboratories Inc., Hercules, California, USA). Zinc concentrations were calculated from the standard calibration curve and expressed in µg/dL.</w:t>
      </w:r>
    </w:p>
    <w:p w14:paraId="6F6CD8EB" w14:textId="77777777" w:rsidR="0053396E" w:rsidRPr="00AE30B2" w:rsidRDefault="0053396E" w:rsidP="00D5102C">
      <w:pPr>
        <w:spacing w:before="100" w:beforeAutospacing="1" w:after="100" w:afterAutospacing="1" w:line="240" w:lineRule="auto"/>
        <w:jc w:val="both"/>
        <w:divId w:val="1130903119"/>
        <w:rPr>
          <w:rFonts w:ascii="Arial" w:hAnsi="Arial" w:cs="Arial"/>
          <w:b/>
          <w:bCs/>
          <w:kern w:val="0"/>
          <w:sz w:val="22"/>
          <w:szCs w:val="22"/>
          <w:lang w:val="en-US"/>
          <w14:ligatures w14:val="none"/>
        </w:rPr>
      </w:pPr>
      <w:r w:rsidRPr="00AE30B2">
        <w:rPr>
          <w:rFonts w:ascii="Arial" w:hAnsi="Arial" w:cs="Arial"/>
          <w:b/>
          <w:bCs/>
          <w:kern w:val="0"/>
          <w:sz w:val="22"/>
          <w:szCs w:val="22"/>
          <w:lang w:val="en-US"/>
          <w14:ligatures w14:val="none"/>
        </w:rPr>
        <w:t>2.</w:t>
      </w:r>
      <w:r w:rsidR="00636AE3" w:rsidRPr="00AE30B2">
        <w:rPr>
          <w:rFonts w:ascii="Arial" w:hAnsi="Arial" w:cs="Arial"/>
          <w:b/>
          <w:bCs/>
          <w:kern w:val="0"/>
          <w:sz w:val="22"/>
          <w:szCs w:val="22"/>
          <w:lang w:val="en-US"/>
          <w14:ligatures w14:val="none"/>
        </w:rPr>
        <w:t>9</w:t>
      </w:r>
      <w:r w:rsidRPr="00AE30B2">
        <w:rPr>
          <w:rFonts w:ascii="Arial" w:hAnsi="Arial" w:cs="Arial"/>
          <w:b/>
          <w:bCs/>
          <w:kern w:val="0"/>
          <w:sz w:val="22"/>
          <w:szCs w:val="22"/>
          <w:lang w:val="en-US"/>
          <w14:ligatures w14:val="none"/>
        </w:rPr>
        <w:t xml:space="preserve"> Statistical Analysis</w:t>
      </w:r>
    </w:p>
    <w:p w14:paraId="3DCAA54F" w14:textId="77777777" w:rsidR="0053396E" w:rsidRPr="00AE30B2" w:rsidRDefault="0053396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Data from the questionnaires, microbiological investigations, and biochemical analyses were entered and </w:t>
      </w:r>
      <w:proofErr w:type="spellStart"/>
      <w:r w:rsidRPr="00AE30B2">
        <w:rPr>
          <w:rFonts w:ascii="Arial" w:hAnsi="Arial" w:cs="Arial"/>
          <w:kern w:val="0"/>
          <w:sz w:val="20"/>
          <w:szCs w:val="20"/>
          <w:lang w:val="en-US"/>
          <w14:ligatures w14:val="none"/>
        </w:rPr>
        <w:t>analysed</w:t>
      </w:r>
      <w:proofErr w:type="spellEnd"/>
      <w:r w:rsidRPr="00AE30B2">
        <w:rPr>
          <w:rFonts w:ascii="Arial" w:hAnsi="Arial" w:cs="Arial"/>
          <w:kern w:val="0"/>
          <w:sz w:val="20"/>
          <w:szCs w:val="20"/>
          <w:lang w:val="en-US"/>
          <w14:ligatures w14:val="none"/>
        </w:rPr>
        <w:t xml:space="preserve"> using the Statistical Package for the Social Sciences (SPSS), version 25.0. Descriptive statistics </w:t>
      </w:r>
      <w:proofErr w:type="spellStart"/>
      <w:r w:rsidRPr="00AE30B2">
        <w:rPr>
          <w:rFonts w:ascii="Arial" w:hAnsi="Arial" w:cs="Arial"/>
          <w:kern w:val="0"/>
          <w:sz w:val="20"/>
          <w:szCs w:val="20"/>
          <w:lang w:val="en-US"/>
          <w14:ligatures w14:val="none"/>
        </w:rPr>
        <w:t>summarised</w:t>
      </w:r>
      <w:proofErr w:type="spellEnd"/>
      <w:r w:rsidRPr="00AE30B2">
        <w:rPr>
          <w:rFonts w:ascii="Arial" w:hAnsi="Arial" w:cs="Arial"/>
          <w:kern w:val="0"/>
          <w:sz w:val="20"/>
          <w:szCs w:val="20"/>
          <w:lang w:val="en-US"/>
          <w14:ligatures w14:val="none"/>
        </w:rPr>
        <w:t xml:space="preserve"> the prevalence of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w:t>
      </w:r>
      <w:r w:rsidRPr="00AE30B2">
        <w:rPr>
          <w:rFonts w:ascii="Arial" w:hAnsi="Arial" w:cs="Arial"/>
          <w:kern w:val="0"/>
          <w:sz w:val="20"/>
          <w:szCs w:val="20"/>
          <w:highlight w:val="yellow"/>
          <w:lang w:val="en-US"/>
          <w14:ligatures w14:val="none"/>
        </w:rPr>
        <w:t>the distribution of enteric pathogens, the pathogenic load, and biochemical parameters</w:t>
      </w:r>
      <w:r w:rsidRPr="00AE30B2">
        <w:rPr>
          <w:rFonts w:ascii="Arial" w:hAnsi="Arial" w:cs="Arial"/>
          <w:kern w:val="0"/>
          <w:sz w:val="20"/>
          <w:szCs w:val="20"/>
          <w:lang w:val="en-US"/>
          <w14:ligatures w14:val="none"/>
        </w:rPr>
        <w:t xml:space="preserve">. Results were presented as frequencies, percentages, means, and standard deviations. Differences in serum biochemical parameters, including sodium, potassium, chloride, bicarbonate, and zinc concentrations, between children with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and the apparently healthy control group were </w:t>
      </w:r>
      <w:proofErr w:type="spellStart"/>
      <w:r w:rsidRPr="00AE30B2">
        <w:rPr>
          <w:rFonts w:ascii="Arial" w:hAnsi="Arial" w:cs="Arial"/>
          <w:kern w:val="0"/>
          <w:sz w:val="20"/>
          <w:szCs w:val="20"/>
          <w:lang w:val="en-US"/>
          <w14:ligatures w14:val="none"/>
        </w:rPr>
        <w:t>analysed</w:t>
      </w:r>
      <w:proofErr w:type="spellEnd"/>
      <w:r w:rsidRPr="00AE30B2">
        <w:rPr>
          <w:rFonts w:ascii="Arial" w:hAnsi="Arial" w:cs="Arial"/>
          <w:kern w:val="0"/>
          <w:sz w:val="20"/>
          <w:szCs w:val="20"/>
          <w:lang w:val="en-US"/>
          <w14:ligatures w14:val="none"/>
        </w:rPr>
        <w:t xml:space="preserve"> using the independent-samples t-test. All statistical analyses were conducted using a 95% confidence level, and values were considered statistically significant at </w:t>
      </w:r>
      <w:r w:rsidRPr="00AE30B2">
        <w:rPr>
          <w:rFonts w:ascii="Arial" w:hAnsi="Arial" w:cs="Arial"/>
          <w:i/>
          <w:iCs/>
          <w:kern w:val="0"/>
          <w:sz w:val="20"/>
          <w:szCs w:val="20"/>
          <w:lang w:val="en-US"/>
          <w14:ligatures w14:val="none"/>
        </w:rPr>
        <w:t>p</w:t>
      </w:r>
      <w:r w:rsidRPr="00AE30B2">
        <w:rPr>
          <w:rFonts w:ascii="Arial" w:hAnsi="Arial" w:cs="Arial"/>
          <w:kern w:val="0"/>
          <w:sz w:val="20"/>
          <w:szCs w:val="20"/>
          <w:lang w:val="en-US"/>
          <w14:ligatures w14:val="none"/>
        </w:rPr>
        <w:t xml:space="preserve"> &lt; 0.05.</w:t>
      </w:r>
    </w:p>
    <w:p w14:paraId="22349DF2" w14:textId="77777777" w:rsidR="004376B2" w:rsidRPr="00AE30B2" w:rsidRDefault="009D7377" w:rsidP="00D5102C">
      <w:pPr>
        <w:spacing w:before="100" w:beforeAutospacing="1" w:after="100" w:afterAutospacing="1" w:line="240" w:lineRule="auto"/>
        <w:jc w:val="both"/>
        <w:outlineLvl w:val="0"/>
        <w:divId w:val="1284460805"/>
        <w:rPr>
          <w:rFonts w:ascii="Arial" w:eastAsia="Times New Roman" w:hAnsi="Arial" w:cs="Arial"/>
          <w:b/>
          <w:bCs/>
          <w:kern w:val="36"/>
          <w14:ligatures w14:val="none"/>
        </w:rPr>
      </w:pPr>
      <w:r w:rsidRPr="00AE30B2">
        <w:rPr>
          <w:rFonts w:ascii="Arial" w:eastAsia="Times New Roman" w:hAnsi="Arial" w:cs="Arial"/>
          <w:b/>
          <w:bCs/>
          <w:kern w:val="36"/>
          <w14:ligatures w14:val="none"/>
        </w:rPr>
        <w:t>3</w:t>
      </w:r>
      <w:r w:rsidR="004376B2" w:rsidRPr="00AE30B2">
        <w:rPr>
          <w:rFonts w:ascii="Arial" w:eastAsia="Times New Roman" w:hAnsi="Arial" w:cs="Arial"/>
          <w:b/>
          <w:bCs/>
          <w:kern w:val="36"/>
          <w14:ligatures w14:val="none"/>
        </w:rPr>
        <w:t xml:space="preserve">. </w:t>
      </w:r>
      <w:r w:rsidR="00512477" w:rsidRPr="00AE30B2">
        <w:rPr>
          <w:rFonts w:ascii="Arial" w:eastAsia="Times New Roman" w:hAnsi="Arial" w:cs="Arial"/>
          <w:b/>
          <w:bCs/>
          <w:kern w:val="36"/>
          <w14:ligatures w14:val="none"/>
        </w:rPr>
        <w:t>RESULTS AND DISCUSSION</w:t>
      </w:r>
    </w:p>
    <w:p w14:paraId="579C0303" w14:textId="77777777" w:rsidR="00512477" w:rsidRPr="00AE30B2" w:rsidRDefault="009D7377" w:rsidP="00D5102C">
      <w:pPr>
        <w:spacing w:before="100" w:beforeAutospacing="1" w:after="100" w:afterAutospacing="1" w:line="240" w:lineRule="auto"/>
        <w:jc w:val="both"/>
        <w:outlineLvl w:val="0"/>
        <w:divId w:val="1284460805"/>
        <w:rPr>
          <w:rFonts w:ascii="Arial" w:eastAsia="Times New Roman" w:hAnsi="Arial" w:cs="Arial"/>
          <w:b/>
          <w:bCs/>
          <w:kern w:val="36"/>
          <w:sz w:val="22"/>
          <w:szCs w:val="22"/>
          <w14:ligatures w14:val="none"/>
        </w:rPr>
      </w:pPr>
      <w:r w:rsidRPr="00AE30B2">
        <w:rPr>
          <w:rFonts w:ascii="Arial" w:eastAsia="Times New Roman" w:hAnsi="Arial" w:cs="Arial"/>
          <w:b/>
          <w:bCs/>
          <w:kern w:val="36"/>
          <w:sz w:val="22"/>
          <w:szCs w:val="22"/>
          <w14:ligatures w14:val="none"/>
        </w:rPr>
        <w:t>3.1</w:t>
      </w:r>
      <w:r w:rsidR="00512477" w:rsidRPr="00AE30B2">
        <w:rPr>
          <w:rFonts w:ascii="Arial" w:eastAsia="Times New Roman" w:hAnsi="Arial" w:cs="Arial"/>
          <w:b/>
          <w:bCs/>
          <w:kern w:val="36"/>
          <w:sz w:val="22"/>
          <w:szCs w:val="22"/>
          <w14:ligatures w14:val="none"/>
        </w:rPr>
        <w:t xml:space="preserve"> Results</w:t>
      </w:r>
    </w:p>
    <w:p w14:paraId="172C697A" w14:textId="77777777" w:rsidR="004376B2" w:rsidRPr="00AE30B2"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sidRPr="00AE30B2">
        <w:rPr>
          <w:rFonts w:ascii="Arial" w:eastAsia="Times New Roman" w:hAnsi="Arial" w:cs="Arial"/>
          <w:b/>
          <w:bCs/>
          <w:i/>
          <w:iCs/>
          <w:kern w:val="0"/>
          <w:sz w:val="20"/>
          <w:szCs w:val="20"/>
          <w14:ligatures w14:val="none"/>
        </w:rPr>
        <w:t>3.1</w:t>
      </w:r>
      <w:r w:rsidR="00512477" w:rsidRPr="00AE30B2">
        <w:rPr>
          <w:rFonts w:ascii="Arial" w:eastAsia="Times New Roman" w:hAnsi="Arial" w:cs="Arial"/>
          <w:b/>
          <w:bCs/>
          <w:i/>
          <w:iCs/>
          <w:kern w:val="0"/>
          <w:sz w:val="20"/>
          <w:szCs w:val="20"/>
          <w14:ligatures w14:val="none"/>
        </w:rPr>
        <w:t>.1</w:t>
      </w:r>
      <w:r w:rsidR="004376B2" w:rsidRPr="00AE30B2">
        <w:rPr>
          <w:rFonts w:ascii="Arial" w:eastAsia="Times New Roman" w:hAnsi="Arial" w:cs="Arial"/>
          <w:b/>
          <w:bCs/>
          <w:i/>
          <w:iCs/>
          <w:kern w:val="0"/>
          <w:sz w:val="20"/>
          <w:szCs w:val="20"/>
          <w14:ligatures w14:val="none"/>
        </w:rPr>
        <w:t xml:space="preserve"> Prevalence of Childhood Diarrhoeal Disease among Studied Children</w:t>
      </w:r>
    </w:p>
    <w:p w14:paraId="1DD72991" w14:textId="77777777" w:rsidR="004376B2" w:rsidRPr="00AE30B2" w:rsidRDefault="00512477" w:rsidP="00D5102C">
      <w:pPr>
        <w:spacing w:before="100" w:beforeAutospacing="1" w:after="100" w:afterAutospacing="1" w:line="240" w:lineRule="auto"/>
        <w:jc w:val="both"/>
        <w:divId w:val="1284460805"/>
        <w:rPr>
          <w:rFonts w:ascii="Arial" w:hAnsi="Arial" w:cs="Arial"/>
          <w:kern w:val="0"/>
          <w:sz w:val="20"/>
          <w:szCs w:val="20"/>
          <w14:ligatures w14:val="none"/>
        </w:rPr>
      </w:pPr>
      <w:r w:rsidRPr="00AE30B2">
        <w:rPr>
          <w:rFonts w:ascii="Arial" w:hAnsi="Arial" w:cs="Arial"/>
          <w:b/>
          <w:bCs/>
          <w:kern w:val="0"/>
          <w:sz w:val="20"/>
          <w:szCs w:val="20"/>
          <w14:ligatures w14:val="none"/>
        </w:rPr>
        <w:t>Table 1</w:t>
      </w:r>
      <w:r w:rsidRPr="00AE30B2">
        <w:rPr>
          <w:rFonts w:ascii="Arial" w:hAnsi="Arial" w:cs="Arial"/>
          <w:kern w:val="0"/>
          <w:sz w:val="20"/>
          <w:szCs w:val="20"/>
          <w14:ligatures w14:val="none"/>
        </w:rPr>
        <w:t xml:space="preserve"> shows the prevalence of diarrhoeal disease among children under five years of age in Andoni Local Government Area, Rivers State, Nigeria. A total of 250 children under five years of age were enrolled in the study. Of these, 29 (11.6%) presented with diarrhoeal disease, while 221 (88.4%) did not present with diarrhoeal symptoms at the time of the study.</w:t>
      </w:r>
    </w:p>
    <w:p w14:paraId="626254A6" w14:textId="77777777" w:rsidR="004376B2" w:rsidRPr="00AE30B2" w:rsidRDefault="004376B2" w:rsidP="00D5102C">
      <w:pPr>
        <w:spacing w:before="100" w:beforeAutospacing="1" w:after="0" w:line="240" w:lineRule="auto"/>
        <w:jc w:val="both"/>
        <w:divId w:val="1284460805"/>
        <w:rPr>
          <w:rFonts w:ascii="Arial" w:hAnsi="Arial" w:cs="Arial"/>
          <w:kern w:val="0"/>
          <w:sz w:val="20"/>
          <w:szCs w:val="20"/>
          <w14:ligatures w14:val="none"/>
        </w:rPr>
      </w:pPr>
      <w:r w:rsidRPr="00AE30B2">
        <w:rPr>
          <w:rFonts w:ascii="Arial" w:hAnsi="Arial" w:cs="Arial"/>
          <w:kern w:val="0"/>
          <w:sz w:val="20"/>
          <w:szCs w:val="20"/>
          <w14:ligatures w14:val="none"/>
        </w:rPr>
        <w:t xml:space="preserve">Table 1: </w:t>
      </w:r>
      <w:bookmarkStart w:id="2" w:name="_Hlk235515957"/>
      <w:r w:rsidRPr="00AE30B2">
        <w:rPr>
          <w:rFonts w:ascii="Arial" w:hAnsi="Arial" w:cs="Arial"/>
          <w:kern w:val="0"/>
          <w:sz w:val="20"/>
          <w:szCs w:val="20"/>
          <w14:ligatures w14:val="none"/>
        </w:rPr>
        <w:t xml:space="preserve">Prevalence of diarrhoeal disease among </w:t>
      </w:r>
      <w:r w:rsidR="000E650C" w:rsidRPr="00AE30B2">
        <w:rPr>
          <w:rFonts w:ascii="Arial" w:hAnsi="Arial" w:cs="Arial"/>
          <w:kern w:val="0"/>
          <w:sz w:val="20"/>
          <w:szCs w:val="20"/>
          <w14:ligatures w14:val="none"/>
        </w:rPr>
        <w:t xml:space="preserve">under-five-year-old </w:t>
      </w:r>
      <w:r w:rsidRPr="00AE30B2">
        <w:rPr>
          <w:rFonts w:ascii="Arial" w:hAnsi="Arial" w:cs="Arial"/>
          <w:kern w:val="0"/>
          <w:sz w:val="20"/>
          <w:szCs w:val="20"/>
          <w14:ligatures w14:val="none"/>
        </w:rPr>
        <w:t xml:space="preserve"> children in Andoni Local Government Area</w:t>
      </w:r>
    </w:p>
    <w:tbl>
      <w:tblPr>
        <w:tblStyle w:val="PlainTable2"/>
        <w:tblW w:w="9420" w:type="dxa"/>
        <w:tblLook w:val="07A0" w:firstRow="1" w:lastRow="0" w:firstColumn="1" w:lastColumn="1" w:noHBand="1" w:noVBand="1"/>
      </w:tblPr>
      <w:tblGrid>
        <w:gridCol w:w="3964"/>
        <w:gridCol w:w="2961"/>
        <w:gridCol w:w="2495"/>
      </w:tblGrid>
      <w:tr w:rsidR="004376B2" w:rsidRPr="00AE30B2" w14:paraId="270295CA" w14:textId="77777777" w:rsidTr="00512477">
        <w:trPr>
          <w:cnfStyle w:val="100000000000" w:firstRow="1" w:lastRow="0" w:firstColumn="0" w:lastColumn="0" w:oddVBand="0" w:evenVBand="0" w:oddHBand="0" w:evenHBand="0" w:firstRowFirstColumn="0" w:firstRowLastColumn="0" w:lastRowFirstColumn="0" w:lastRowLastColumn="0"/>
          <w:divId w:val="1284460805"/>
          <w:trHeight w:val="405"/>
        </w:trPr>
        <w:tc>
          <w:tcPr>
            <w:cnfStyle w:val="001000000000" w:firstRow="0" w:lastRow="0" w:firstColumn="1" w:lastColumn="0" w:oddVBand="0" w:evenVBand="0" w:oddHBand="0" w:evenHBand="0" w:firstRowFirstColumn="0" w:firstRowLastColumn="0" w:lastRowFirstColumn="0" w:lastRowLastColumn="0"/>
            <w:tcW w:w="0" w:type="auto"/>
            <w:hideMark/>
          </w:tcPr>
          <w:bookmarkEnd w:id="2"/>
          <w:p w14:paraId="71564E40"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Diarrhoeal status</w:t>
            </w:r>
          </w:p>
        </w:tc>
        <w:tc>
          <w:tcPr>
            <w:tcW w:w="0" w:type="auto"/>
            <w:hideMark/>
          </w:tcPr>
          <w:p w14:paraId="1704E750" w14:textId="77777777" w:rsidR="004376B2" w:rsidRPr="00AE30B2" w:rsidRDefault="004376B2" w:rsidP="00D5102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Number of children</w:t>
            </w:r>
          </w:p>
        </w:tc>
        <w:tc>
          <w:tcPr>
            <w:cnfStyle w:val="000100000000" w:firstRow="0" w:lastRow="0" w:firstColumn="0" w:lastColumn="1" w:oddVBand="0" w:evenVBand="0" w:oddHBand="0" w:evenHBand="0" w:firstRowFirstColumn="0" w:firstRowLastColumn="0" w:lastRowFirstColumn="0" w:lastRowLastColumn="0"/>
            <w:tcW w:w="0" w:type="auto"/>
            <w:hideMark/>
          </w:tcPr>
          <w:p w14:paraId="322A977E"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Percentage (%)</w:t>
            </w:r>
          </w:p>
        </w:tc>
      </w:tr>
      <w:tr w:rsidR="004376B2" w:rsidRPr="00AE30B2" w14:paraId="15412ED1" w14:textId="77777777" w:rsidTr="00512477">
        <w:trPr>
          <w:divId w:val="1284460805"/>
          <w:trHeight w:val="415"/>
        </w:trPr>
        <w:tc>
          <w:tcPr>
            <w:cnfStyle w:val="001000000000" w:firstRow="0" w:lastRow="0" w:firstColumn="1" w:lastColumn="0" w:oddVBand="0" w:evenVBand="0" w:oddHBand="0" w:evenHBand="0" w:firstRowFirstColumn="0" w:firstRowLastColumn="0" w:lastRowFirstColumn="0" w:lastRowLastColumn="0"/>
            <w:tcW w:w="0" w:type="auto"/>
            <w:hideMark/>
          </w:tcPr>
          <w:p w14:paraId="29393822"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Children with diarrhoea</w:t>
            </w:r>
          </w:p>
        </w:tc>
        <w:tc>
          <w:tcPr>
            <w:tcW w:w="0" w:type="auto"/>
            <w:hideMark/>
          </w:tcPr>
          <w:p w14:paraId="132B2A59" w14:textId="77777777" w:rsidR="004376B2" w:rsidRPr="00AE30B2" w:rsidRDefault="004376B2" w:rsidP="00D5102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29</w:t>
            </w:r>
          </w:p>
        </w:tc>
        <w:tc>
          <w:tcPr>
            <w:cnfStyle w:val="000100000000" w:firstRow="0" w:lastRow="0" w:firstColumn="0" w:lastColumn="1" w:oddVBand="0" w:evenVBand="0" w:oddHBand="0" w:evenHBand="0" w:firstRowFirstColumn="0" w:firstRowLastColumn="0" w:lastRowFirstColumn="0" w:lastRowLastColumn="0"/>
            <w:tcW w:w="0" w:type="auto"/>
            <w:hideMark/>
          </w:tcPr>
          <w:p w14:paraId="7A04626F"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11.6</w:t>
            </w:r>
          </w:p>
        </w:tc>
      </w:tr>
      <w:tr w:rsidR="004376B2" w:rsidRPr="00AE30B2" w14:paraId="795720E3" w14:textId="77777777" w:rsidTr="00512477">
        <w:trPr>
          <w:divId w:val="1284460805"/>
          <w:trHeight w:val="405"/>
        </w:trPr>
        <w:tc>
          <w:tcPr>
            <w:cnfStyle w:val="001000000000" w:firstRow="0" w:lastRow="0" w:firstColumn="1" w:lastColumn="0" w:oddVBand="0" w:evenVBand="0" w:oddHBand="0" w:evenHBand="0" w:firstRowFirstColumn="0" w:firstRowLastColumn="0" w:lastRowFirstColumn="0" w:lastRowLastColumn="0"/>
            <w:tcW w:w="0" w:type="auto"/>
            <w:hideMark/>
          </w:tcPr>
          <w:p w14:paraId="00ADD063"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Children without diarrhoea</w:t>
            </w:r>
          </w:p>
        </w:tc>
        <w:tc>
          <w:tcPr>
            <w:tcW w:w="0" w:type="auto"/>
            <w:hideMark/>
          </w:tcPr>
          <w:p w14:paraId="27200BE1" w14:textId="77777777" w:rsidR="004376B2" w:rsidRPr="00AE30B2" w:rsidRDefault="004376B2" w:rsidP="00D5102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221</w:t>
            </w:r>
          </w:p>
        </w:tc>
        <w:tc>
          <w:tcPr>
            <w:cnfStyle w:val="000100000000" w:firstRow="0" w:lastRow="0" w:firstColumn="0" w:lastColumn="1" w:oddVBand="0" w:evenVBand="0" w:oddHBand="0" w:evenHBand="0" w:firstRowFirstColumn="0" w:firstRowLastColumn="0" w:lastRowFirstColumn="0" w:lastRowLastColumn="0"/>
            <w:tcW w:w="0" w:type="auto"/>
            <w:hideMark/>
          </w:tcPr>
          <w:p w14:paraId="13748D23"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88.4</w:t>
            </w:r>
          </w:p>
        </w:tc>
      </w:tr>
      <w:tr w:rsidR="004376B2" w:rsidRPr="00AE30B2" w14:paraId="6F853A4C" w14:textId="77777777" w:rsidTr="00512477">
        <w:trPr>
          <w:divId w:val="1284460805"/>
          <w:trHeight w:val="415"/>
        </w:trPr>
        <w:tc>
          <w:tcPr>
            <w:cnfStyle w:val="001000000000" w:firstRow="0" w:lastRow="0" w:firstColumn="1" w:lastColumn="0" w:oddVBand="0" w:evenVBand="0" w:oddHBand="0" w:evenHBand="0" w:firstRowFirstColumn="0" w:firstRowLastColumn="0" w:lastRowFirstColumn="0" w:lastRowLastColumn="0"/>
            <w:tcW w:w="0" w:type="auto"/>
            <w:hideMark/>
          </w:tcPr>
          <w:p w14:paraId="1E958A42" w14:textId="77777777" w:rsidR="004376B2" w:rsidRPr="00AE30B2" w:rsidRDefault="004376B2" w:rsidP="00D5102C">
            <w:pPr>
              <w:jc w:val="center"/>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Total</w:t>
            </w:r>
          </w:p>
        </w:tc>
        <w:tc>
          <w:tcPr>
            <w:tcW w:w="0" w:type="auto"/>
            <w:hideMark/>
          </w:tcPr>
          <w:p w14:paraId="69E5C37E" w14:textId="77777777" w:rsidR="004376B2" w:rsidRPr="00AE30B2" w:rsidRDefault="004376B2" w:rsidP="00D5102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14:ligatures w14:val="none"/>
              </w:rPr>
            </w:pPr>
            <w:r w:rsidRPr="00AE30B2">
              <w:rPr>
                <w:rFonts w:ascii="Arial" w:eastAsia="Times New Roman" w:hAnsi="Arial" w:cs="Arial"/>
                <w:b/>
                <w:bCs/>
                <w:kern w:val="0"/>
                <w:sz w:val="20"/>
                <w:szCs w:val="20"/>
                <w14:ligatures w14:val="none"/>
              </w:rPr>
              <w:t>250</w:t>
            </w:r>
          </w:p>
        </w:tc>
        <w:tc>
          <w:tcPr>
            <w:cnfStyle w:val="000100000000" w:firstRow="0" w:lastRow="0" w:firstColumn="0" w:lastColumn="1" w:oddVBand="0" w:evenVBand="0" w:oddHBand="0" w:evenHBand="0" w:firstRowFirstColumn="0" w:firstRowLastColumn="0" w:lastRowFirstColumn="0" w:lastRowLastColumn="0"/>
            <w:tcW w:w="0" w:type="auto"/>
            <w:hideMark/>
          </w:tcPr>
          <w:p w14:paraId="2E89977C" w14:textId="77777777" w:rsidR="004376B2" w:rsidRPr="00AE30B2" w:rsidRDefault="004376B2" w:rsidP="00D5102C">
            <w:pPr>
              <w:jc w:val="center"/>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100</w:t>
            </w:r>
          </w:p>
        </w:tc>
      </w:tr>
    </w:tbl>
    <w:p w14:paraId="651A7609" w14:textId="77777777" w:rsidR="004376B2" w:rsidRPr="00AE30B2"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sidRPr="00AE30B2">
        <w:rPr>
          <w:rFonts w:ascii="Arial" w:eastAsia="Times New Roman" w:hAnsi="Arial" w:cs="Arial"/>
          <w:b/>
          <w:bCs/>
          <w:i/>
          <w:iCs/>
          <w:kern w:val="0"/>
          <w:sz w:val="20"/>
          <w:szCs w:val="20"/>
          <w14:ligatures w14:val="none"/>
        </w:rPr>
        <w:t>3.1</w:t>
      </w:r>
      <w:r w:rsidR="00512477" w:rsidRPr="00AE30B2">
        <w:rPr>
          <w:rFonts w:ascii="Arial" w:eastAsia="Times New Roman" w:hAnsi="Arial" w:cs="Arial"/>
          <w:b/>
          <w:bCs/>
          <w:i/>
          <w:iCs/>
          <w:kern w:val="0"/>
          <w:sz w:val="20"/>
          <w:szCs w:val="20"/>
          <w14:ligatures w14:val="none"/>
        </w:rPr>
        <w:t>.</w:t>
      </w:r>
      <w:r w:rsidR="004376B2" w:rsidRPr="00AE30B2">
        <w:rPr>
          <w:rFonts w:ascii="Arial" w:eastAsia="Times New Roman" w:hAnsi="Arial" w:cs="Arial"/>
          <w:b/>
          <w:bCs/>
          <w:i/>
          <w:iCs/>
          <w:kern w:val="0"/>
          <w:sz w:val="20"/>
          <w:szCs w:val="20"/>
          <w14:ligatures w14:val="none"/>
        </w:rPr>
        <w:t xml:space="preserve">2 Distribution of </w:t>
      </w:r>
      <w:r w:rsidR="00CD21AA" w:rsidRPr="00AE30B2">
        <w:rPr>
          <w:rFonts w:ascii="Arial" w:eastAsia="Times New Roman" w:hAnsi="Arial" w:cs="Arial"/>
          <w:b/>
          <w:bCs/>
          <w:i/>
          <w:iCs/>
          <w:kern w:val="0"/>
          <w:sz w:val="20"/>
          <w:szCs w:val="20"/>
          <w14:ligatures w14:val="none"/>
        </w:rPr>
        <w:t xml:space="preserve">Enteropathogens </w:t>
      </w:r>
      <w:r w:rsidR="004376B2" w:rsidRPr="00AE30B2">
        <w:rPr>
          <w:rFonts w:ascii="Arial" w:eastAsia="Times New Roman" w:hAnsi="Arial" w:cs="Arial"/>
          <w:b/>
          <w:bCs/>
          <w:i/>
          <w:iCs/>
          <w:kern w:val="0"/>
          <w:sz w:val="20"/>
          <w:szCs w:val="20"/>
          <w14:ligatures w14:val="none"/>
        </w:rPr>
        <w:t>among Children with Diarrhoeal Disease</w:t>
      </w:r>
    </w:p>
    <w:p w14:paraId="432F1DFF" w14:textId="77777777" w:rsidR="004376B2" w:rsidRPr="00AE30B2" w:rsidRDefault="00512477" w:rsidP="00D5102C">
      <w:pPr>
        <w:spacing w:before="100" w:beforeAutospacing="1" w:after="100" w:afterAutospacing="1" w:line="240" w:lineRule="auto"/>
        <w:jc w:val="both"/>
        <w:divId w:val="1284460805"/>
        <w:rPr>
          <w:rFonts w:ascii="Arial" w:hAnsi="Arial" w:cs="Arial"/>
          <w:kern w:val="0"/>
          <w:sz w:val="20"/>
          <w:szCs w:val="20"/>
          <w14:ligatures w14:val="none"/>
        </w:rPr>
      </w:pPr>
      <w:r w:rsidRPr="00AE30B2">
        <w:rPr>
          <w:rFonts w:ascii="Arial" w:hAnsi="Arial" w:cs="Arial"/>
          <w:b/>
          <w:bCs/>
          <w:kern w:val="0"/>
          <w:sz w:val="20"/>
          <w:szCs w:val="20"/>
          <w14:ligatures w14:val="none"/>
        </w:rPr>
        <w:lastRenderedPageBreak/>
        <w:t>Table 2</w:t>
      </w:r>
      <w:r w:rsidRPr="00AE30B2">
        <w:rPr>
          <w:rFonts w:ascii="Arial" w:hAnsi="Arial" w:cs="Arial"/>
          <w:kern w:val="0"/>
          <w:sz w:val="20"/>
          <w:szCs w:val="20"/>
          <w14:ligatures w14:val="none"/>
        </w:rPr>
        <w:t xml:space="preserve"> presents the distribution of enteropathogens isolated from diarrhoeal stool samples. Microbiological examination of stool samples from the 29 children with diarrhoeal disease identified four major enteric bacterial pathogens: </w:t>
      </w:r>
      <w:r w:rsidRPr="00AE30B2">
        <w:rPr>
          <w:rFonts w:ascii="Arial" w:hAnsi="Arial" w:cs="Arial"/>
          <w:i/>
          <w:iCs/>
          <w:kern w:val="0"/>
          <w:sz w:val="20"/>
          <w:szCs w:val="20"/>
          <w14:ligatures w14:val="none"/>
        </w:rPr>
        <w:t>Escherichia coli,</w:t>
      </w:r>
      <w:r w:rsidRPr="00AE30B2">
        <w:rPr>
          <w:rFonts w:ascii="Arial" w:hAnsi="Arial" w:cs="Arial"/>
          <w:kern w:val="0"/>
          <w:sz w:val="20"/>
          <w:szCs w:val="20"/>
          <w14:ligatures w14:val="none"/>
        </w:rPr>
        <w:t xml:space="preserve"> </w:t>
      </w:r>
      <w:r w:rsidRPr="00AE30B2">
        <w:rPr>
          <w:rFonts w:ascii="Arial" w:hAnsi="Arial" w:cs="Arial"/>
          <w:i/>
          <w:iCs/>
          <w:kern w:val="0"/>
          <w:sz w:val="20"/>
          <w:szCs w:val="20"/>
          <w14:ligatures w14:val="none"/>
        </w:rPr>
        <w:t>Shigella</w:t>
      </w:r>
      <w:r w:rsidRPr="00AE30B2">
        <w:rPr>
          <w:rFonts w:ascii="Arial" w:hAnsi="Arial" w:cs="Arial"/>
          <w:kern w:val="0"/>
          <w:sz w:val="20"/>
          <w:szCs w:val="20"/>
          <w14:ligatures w14:val="none"/>
        </w:rPr>
        <w:t xml:space="preserve"> spp., </w:t>
      </w:r>
      <w:r w:rsidRPr="00AE30B2">
        <w:rPr>
          <w:rFonts w:ascii="Arial" w:hAnsi="Arial" w:cs="Arial"/>
          <w:i/>
          <w:iCs/>
          <w:kern w:val="0"/>
          <w:sz w:val="20"/>
          <w:szCs w:val="20"/>
          <w14:ligatures w14:val="none"/>
        </w:rPr>
        <w:t>Salmonella</w:t>
      </w:r>
      <w:r w:rsidRPr="00AE30B2">
        <w:rPr>
          <w:rFonts w:ascii="Arial" w:hAnsi="Arial" w:cs="Arial"/>
          <w:kern w:val="0"/>
          <w:sz w:val="20"/>
          <w:szCs w:val="20"/>
          <w14:ligatures w14:val="none"/>
        </w:rPr>
        <w:t xml:space="preserve"> spp., and </w:t>
      </w:r>
      <w:r w:rsidRPr="00AE30B2">
        <w:rPr>
          <w:rFonts w:ascii="Arial" w:hAnsi="Arial" w:cs="Arial"/>
          <w:i/>
          <w:iCs/>
          <w:kern w:val="0"/>
          <w:sz w:val="20"/>
          <w:szCs w:val="20"/>
          <w14:ligatures w14:val="none"/>
        </w:rPr>
        <w:t>Vibrio cholerae</w:t>
      </w:r>
      <w:r w:rsidRPr="00AE30B2">
        <w:rPr>
          <w:rFonts w:ascii="Arial" w:hAnsi="Arial" w:cs="Arial"/>
          <w:kern w:val="0"/>
          <w:sz w:val="20"/>
          <w:szCs w:val="20"/>
          <w14:ligatures w14:val="none"/>
        </w:rPr>
        <w:t xml:space="preserve">. </w:t>
      </w:r>
      <w:r w:rsidRPr="00AE30B2">
        <w:rPr>
          <w:rFonts w:ascii="Arial" w:hAnsi="Arial" w:cs="Arial"/>
          <w:i/>
          <w:iCs/>
          <w:kern w:val="0"/>
          <w:sz w:val="20"/>
          <w:szCs w:val="20"/>
          <w14:ligatures w14:val="none"/>
        </w:rPr>
        <w:t>E. coli</w:t>
      </w:r>
      <w:r w:rsidRPr="00AE30B2">
        <w:rPr>
          <w:rFonts w:ascii="Arial" w:hAnsi="Arial" w:cs="Arial"/>
          <w:kern w:val="0"/>
          <w:sz w:val="20"/>
          <w:szCs w:val="20"/>
          <w14:ligatures w14:val="none"/>
        </w:rPr>
        <w:t xml:space="preserve"> was the predominant isolate, followed by </w:t>
      </w:r>
      <w:r w:rsidRPr="00AE30B2">
        <w:rPr>
          <w:rFonts w:ascii="Arial" w:hAnsi="Arial" w:cs="Arial"/>
          <w:i/>
          <w:iCs/>
          <w:kern w:val="0"/>
          <w:sz w:val="20"/>
          <w:szCs w:val="20"/>
          <w14:ligatures w14:val="none"/>
        </w:rPr>
        <w:t>Shigella</w:t>
      </w:r>
      <w:r w:rsidRPr="00AE30B2">
        <w:rPr>
          <w:rFonts w:ascii="Arial" w:hAnsi="Arial" w:cs="Arial"/>
          <w:kern w:val="0"/>
          <w:sz w:val="20"/>
          <w:szCs w:val="20"/>
          <w14:ligatures w14:val="none"/>
        </w:rPr>
        <w:t xml:space="preserve"> spp., </w:t>
      </w:r>
      <w:r w:rsidRPr="00AE30B2">
        <w:rPr>
          <w:rFonts w:ascii="Arial" w:hAnsi="Arial" w:cs="Arial"/>
          <w:i/>
          <w:iCs/>
          <w:kern w:val="0"/>
          <w:sz w:val="20"/>
          <w:szCs w:val="20"/>
          <w14:ligatures w14:val="none"/>
        </w:rPr>
        <w:t>Salmonella</w:t>
      </w:r>
      <w:r w:rsidRPr="00AE30B2">
        <w:rPr>
          <w:rFonts w:ascii="Arial" w:hAnsi="Arial" w:cs="Arial"/>
          <w:kern w:val="0"/>
          <w:sz w:val="20"/>
          <w:szCs w:val="20"/>
          <w14:ligatures w14:val="none"/>
        </w:rPr>
        <w:t xml:space="preserve"> spp., and </w:t>
      </w:r>
      <w:r w:rsidRPr="00AE30B2">
        <w:rPr>
          <w:rFonts w:ascii="Arial" w:hAnsi="Arial" w:cs="Arial"/>
          <w:i/>
          <w:iCs/>
          <w:kern w:val="0"/>
          <w:sz w:val="20"/>
          <w:szCs w:val="20"/>
          <w14:ligatures w14:val="none"/>
        </w:rPr>
        <w:t>V. cholerae</w:t>
      </w:r>
      <w:r w:rsidRPr="00AE30B2">
        <w:rPr>
          <w:rFonts w:ascii="Arial" w:hAnsi="Arial" w:cs="Arial"/>
          <w:kern w:val="0"/>
          <w:sz w:val="20"/>
          <w:szCs w:val="20"/>
          <w14:ligatures w14:val="none"/>
        </w:rPr>
        <w:t>.</w:t>
      </w:r>
    </w:p>
    <w:p w14:paraId="019E9A9B" w14:textId="77777777" w:rsidR="004376B2" w:rsidRPr="00AE30B2" w:rsidRDefault="004376B2" w:rsidP="00D5102C">
      <w:pPr>
        <w:spacing w:before="100" w:beforeAutospacing="1" w:after="0" w:line="240" w:lineRule="auto"/>
        <w:jc w:val="both"/>
        <w:divId w:val="1284460805"/>
        <w:rPr>
          <w:rFonts w:ascii="Arial" w:hAnsi="Arial" w:cs="Arial"/>
          <w:kern w:val="0"/>
          <w:sz w:val="20"/>
          <w:szCs w:val="20"/>
          <w14:ligatures w14:val="none"/>
        </w:rPr>
      </w:pPr>
      <w:bookmarkStart w:id="3" w:name="_Hlk235516019"/>
      <w:r w:rsidRPr="00AE30B2">
        <w:rPr>
          <w:rFonts w:ascii="Arial" w:hAnsi="Arial" w:cs="Arial"/>
          <w:kern w:val="0"/>
          <w:sz w:val="20"/>
          <w:szCs w:val="20"/>
          <w14:ligatures w14:val="none"/>
        </w:rPr>
        <w:t xml:space="preserve">Table 2: </w:t>
      </w:r>
      <w:bookmarkStart w:id="4" w:name="_Hlk235602093"/>
      <w:r w:rsidRPr="00AE30B2">
        <w:rPr>
          <w:rFonts w:ascii="Arial" w:hAnsi="Arial" w:cs="Arial"/>
          <w:kern w:val="0"/>
          <w:sz w:val="20"/>
          <w:szCs w:val="20"/>
          <w14:ligatures w14:val="none"/>
        </w:rPr>
        <w:t xml:space="preserve">Distribution of </w:t>
      </w:r>
      <w:r w:rsidR="00CD21AA" w:rsidRPr="00AE30B2">
        <w:rPr>
          <w:rFonts w:ascii="Arial" w:hAnsi="Arial" w:cs="Arial"/>
          <w:kern w:val="0"/>
          <w:sz w:val="20"/>
          <w:szCs w:val="20"/>
          <w14:ligatures w14:val="none"/>
        </w:rPr>
        <w:t xml:space="preserve">enteropathogens </w:t>
      </w:r>
      <w:r w:rsidRPr="00AE30B2">
        <w:rPr>
          <w:rFonts w:ascii="Arial" w:hAnsi="Arial" w:cs="Arial"/>
          <w:kern w:val="0"/>
          <w:sz w:val="20"/>
          <w:szCs w:val="20"/>
          <w14:ligatures w14:val="none"/>
        </w:rPr>
        <w:t>isolated from diarrhoeal stool samples</w:t>
      </w:r>
    </w:p>
    <w:tbl>
      <w:tblPr>
        <w:tblStyle w:val="PlainTable2"/>
        <w:tblW w:w="9450" w:type="dxa"/>
        <w:tblLook w:val="07A0" w:firstRow="1" w:lastRow="0" w:firstColumn="1" w:lastColumn="1" w:noHBand="1" w:noVBand="1"/>
      </w:tblPr>
      <w:tblGrid>
        <w:gridCol w:w="3263"/>
        <w:gridCol w:w="3157"/>
        <w:gridCol w:w="3030"/>
      </w:tblGrid>
      <w:tr w:rsidR="004376B2" w:rsidRPr="00AE30B2" w14:paraId="03F41C0D" w14:textId="77777777" w:rsidTr="000E116C">
        <w:trPr>
          <w:cnfStyle w:val="100000000000" w:firstRow="1" w:lastRow="0" w:firstColumn="0" w:lastColumn="0" w:oddVBand="0" w:evenVBand="0" w:oddHBand="0" w:evenHBand="0" w:firstRowFirstColumn="0" w:firstRowLastColumn="0" w:lastRowFirstColumn="0" w:lastRowLastColumn="0"/>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bookmarkEnd w:id="3"/>
          <w:bookmarkEnd w:id="4"/>
          <w:p w14:paraId="3C9DCD0E"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Enteric pathogen</w:t>
            </w:r>
          </w:p>
        </w:tc>
        <w:tc>
          <w:tcPr>
            <w:tcW w:w="0" w:type="auto"/>
            <w:hideMark/>
          </w:tcPr>
          <w:p w14:paraId="0CD05407" w14:textId="77777777" w:rsidR="004376B2" w:rsidRPr="00AE30B2" w:rsidRDefault="004376B2" w:rsidP="00D5102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Number isolated</w:t>
            </w:r>
          </w:p>
        </w:tc>
        <w:tc>
          <w:tcPr>
            <w:cnfStyle w:val="000100000000" w:firstRow="0" w:lastRow="0" w:firstColumn="0" w:lastColumn="1" w:oddVBand="0" w:evenVBand="0" w:oddHBand="0" w:evenHBand="0" w:firstRowFirstColumn="0" w:firstRowLastColumn="0" w:lastRowFirstColumn="0" w:lastRowLastColumn="0"/>
            <w:tcW w:w="0" w:type="auto"/>
            <w:hideMark/>
          </w:tcPr>
          <w:p w14:paraId="2F34497D"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Percentage (%)</w:t>
            </w:r>
          </w:p>
        </w:tc>
      </w:tr>
      <w:tr w:rsidR="004376B2" w:rsidRPr="00AE30B2" w14:paraId="1841ADCE" w14:textId="77777777" w:rsidTr="000E116C">
        <w:trPr>
          <w:divId w:val="1284460805"/>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46E4D7D1" w14:textId="77777777" w:rsidR="004376B2" w:rsidRPr="00AE30B2" w:rsidRDefault="000E116C"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E.</w:t>
            </w:r>
            <w:r w:rsidR="004376B2" w:rsidRPr="00AE30B2">
              <w:rPr>
                <w:rFonts w:ascii="Arial" w:eastAsia="Times New Roman" w:hAnsi="Arial" w:cs="Arial"/>
                <w:b w:val="0"/>
                <w:bCs w:val="0"/>
                <w:i/>
                <w:iCs/>
                <w:kern w:val="0"/>
                <w:sz w:val="20"/>
                <w:szCs w:val="20"/>
                <w14:ligatures w14:val="none"/>
              </w:rPr>
              <w:t xml:space="preserve"> coli</w:t>
            </w:r>
          </w:p>
        </w:tc>
        <w:tc>
          <w:tcPr>
            <w:tcW w:w="0" w:type="auto"/>
            <w:hideMark/>
          </w:tcPr>
          <w:p w14:paraId="54385680"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13</w:t>
            </w:r>
          </w:p>
        </w:tc>
        <w:tc>
          <w:tcPr>
            <w:cnfStyle w:val="000100000000" w:firstRow="0" w:lastRow="0" w:firstColumn="0" w:lastColumn="1" w:oddVBand="0" w:evenVBand="0" w:oddHBand="0" w:evenHBand="0" w:firstRowFirstColumn="0" w:firstRowLastColumn="0" w:lastRowFirstColumn="0" w:lastRowLastColumn="0"/>
            <w:tcW w:w="0" w:type="auto"/>
            <w:hideMark/>
          </w:tcPr>
          <w:p w14:paraId="105B43B8"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44.8</w:t>
            </w:r>
          </w:p>
        </w:tc>
      </w:tr>
      <w:tr w:rsidR="004376B2" w:rsidRPr="00AE30B2" w14:paraId="09AAD1D3" w14:textId="77777777" w:rsidTr="000E116C">
        <w:trPr>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2AB58803"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Shigella</w:t>
            </w:r>
            <w:r w:rsidRPr="00AE30B2">
              <w:rPr>
                <w:rFonts w:ascii="Arial" w:eastAsia="Times New Roman" w:hAnsi="Arial" w:cs="Arial"/>
                <w:b w:val="0"/>
                <w:bCs w:val="0"/>
                <w:kern w:val="0"/>
                <w:sz w:val="20"/>
                <w:szCs w:val="20"/>
                <w14:ligatures w14:val="none"/>
              </w:rPr>
              <w:t xml:space="preserve"> </w:t>
            </w:r>
            <w:r w:rsidR="00011FB2" w:rsidRPr="00AE30B2">
              <w:rPr>
                <w:rFonts w:ascii="Arial" w:eastAsia="Times New Roman" w:hAnsi="Arial" w:cs="Arial"/>
                <w:b w:val="0"/>
                <w:bCs w:val="0"/>
                <w:kern w:val="0"/>
                <w:sz w:val="20"/>
                <w:szCs w:val="20"/>
                <w14:ligatures w14:val="none"/>
              </w:rPr>
              <w:t>spp.</w:t>
            </w:r>
          </w:p>
        </w:tc>
        <w:tc>
          <w:tcPr>
            <w:tcW w:w="0" w:type="auto"/>
            <w:hideMark/>
          </w:tcPr>
          <w:p w14:paraId="112F9C35"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7</w:t>
            </w:r>
          </w:p>
        </w:tc>
        <w:tc>
          <w:tcPr>
            <w:cnfStyle w:val="000100000000" w:firstRow="0" w:lastRow="0" w:firstColumn="0" w:lastColumn="1" w:oddVBand="0" w:evenVBand="0" w:oddHBand="0" w:evenHBand="0" w:firstRowFirstColumn="0" w:firstRowLastColumn="0" w:lastRowFirstColumn="0" w:lastRowLastColumn="0"/>
            <w:tcW w:w="0" w:type="auto"/>
            <w:hideMark/>
          </w:tcPr>
          <w:p w14:paraId="6A884ACF"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2</w:t>
            </w:r>
            <w:r w:rsidR="009D7377" w:rsidRPr="00AE30B2">
              <w:rPr>
                <w:rFonts w:ascii="Arial" w:eastAsia="Times New Roman" w:hAnsi="Arial" w:cs="Arial"/>
                <w:b w:val="0"/>
                <w:bCs w:val="0"/>
                <w:kern w:val="0"/>
                <w:sz w:val="20"/>
                <w:szCs w:val="20"/>
                <w14:ligatures w14:val="none"/>
              </w:rPr>
              <w:t>3.1</w:t>
            </w:r>
          </w:p>
        </w:tc>
      </w:tr>
      <w:tr w:rsidR="004376B2" w:rsidRPr="00AE30B2" w14:paraId="1B664064" w14:textId="77777777" w:rsidTr="000E116C">
        <w:trPr>
          <w:divId w:val="1284460805"/>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79405155"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Salmonella</w:t>
            </w:r>
            <w:r w:rsidRPr="00AE30B2">
              <w:rPr>
                <w:rFonts w:ascii="Arial" w:eastAsia="Times New Roman" w:hAnsi="Arial" w:cs="Arial"/>
                <w:b w:val="0"/>
                <w:bCs w:val="0"/>
                <w:kern w:val="0"/>
                <w:sz w:val="20"/>
                <w:szCs w:val="20"/>
                <w14:ligatures w14:val="none"/>
              </w:rPr>
              <w:t xml:space="preserve"> </w:t>
            </w:r>
            <w:r w:rsidR="00011FB2" w:rsidRPr="00AE30B2">
              <w:rPr>
                <w:rFonts w:ascii="Arial" w:eastAsia="Times New Roman" w:hAnsi="Arial" w:cs="Arial"/>
                <w:b w:val="0"/>
                <w:bCs w:val="0"/>
                <w:kern w:val="0"/>
                <w:sz w:val="20"/>
                <w:szCs w:val="20"/>
                <w14:ligatures w14:val="none"/>
              </w:rPr>
              <w:t>spp.</w:t>
            </w:r>
          </w:p>
        </w:tc>
        <w:tc>
          <w:tcPr>
            <w:tcW w:w="0" w:type="auto"/>
            <w:hideMark/>
          </w:tcPr>
          <w:p w14:paraId="337D273C"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6</w:t>
            </w:r>
          </w:p>
        </w:tc>
        <w:tc>
          <w:tcPr>
            <w:cnfStyle w:val="000100000000" w:firstRow="0" w:lastRow="0" w:firstColumn="0" w:lastColumn="1" w:oddVBand="0" w:evenVBand="0" w:oddHBand="0" w:evenHBand="0" w:firstRowFirstColumn="0" w:firstRowLastColumn="0" w:lastRowFirstColumn="0" w:lastRowLastColumn="0"/>
            <w:tcW w:w="0" w:type="auto"/>
            <w:hideMark/>
          </w:tcPr>
          <w:p w14:paraId="6356FE4A"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20.7</w:t>
            </w:r>
          </w:p>
        </w:tc>
      </w:tr>
      <w:tr w:rsidR="004376B2" w:rsidRPr="00AE30B2" w14:paraId="0177F156" w14:textId="77777777" w:rsidTr="000E116C">
        <w:trPr>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3CC0F832" w14:textId="77777777" w:rsidR="004376B2" w:rsidRPr="00AE30B2" w:rsidRDefault="000E116C"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V.</w:t>
            </w:r>
            <w:r w:rsidR="004376B2" w:rsidRPr="00AE30B2">
              <w:rPr>
                <w:rFonts w:ascii="Arial" w:eastAsia="Times New Roman" w:hAnsi="Arial" w:cs="Arial"/>
                <w:b w:val="0"/>
                <w:bCs w:val="0"/>
                <w:i/>
                <w:iCs/>
                <w:kern w:val="0"/>
                <w:sz w:val="20"/>
                <w:szCs w:val="20"/>
                <w14:ligatures w14:val="none"/>
              </w:rPr>
              <w:t xml:space="preserve"> cholerae</w:t>
            </w:r>
          </w:p>
        </w:tc>
        <w:tc>
          <w:tcPr>
            <w:tcW w:w="0" w:type="auto"/>
            <w:hideMark/>
          </w:tcPr>
          <w:p w14:paraId="51FE7506"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3</w:t>
            </w:r>
          </w:p>
        </w:tc>
        <w:tc>
          <w:tcPr>
            <w:cnfStyle w:val="000100000000" w:firstRow="0" w:lastRow="0" w:firstColumn="0" w:lastColumn="1" w:oddVBand="0" w:evenVBand="0" w:oddHBand="0" w:evenHBand="0" w:firstRowFirstColumn="0" w:firstRowLastColumn="0" w:lastRowFirstColumn="0" w:lastRowLastColumn="0"/>
            <w:tcW w:w="0" w:type="auto"/>
            <w:hideMark/>
          </w:tcPr>
          <w:p w14:paraId="29DC3F5F"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10.4</w:t>
            </w:r>
          </w:p>
        </w:tc>
      </w:tr>
      <w:tr w:rsidR="004376B2" w:rsidRPr="00AE30B2" w14:paraId="1D5ABEC7" w14:textId="77777777" w:rsidTr="000E116C">
        <w:trPr>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71723134" w14:textId="77777777" w:rsidR="004376B2" w:rsidRPr="00AE30B2" w:rsidRDefault="004376B2" w:rsidP="00D5102C">
            <w:pPr>
              <w:jc w:val="both"/>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Total</w:t>
            </w:r>
          </w:p>
        </w:tc>
        <w:tc>
          <w:tcPr>
            <w:tcW w:w="0" w:type="auto"/>
            <w:hideMark/>
          </w:tcPr>
          <w:p w14:paraId="44D6843D"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14:ligatures w14:val="none"/>
              </w:rPr>
            </w:pPr>
            <w:r w:rsidRPr="00AE30B2">
              <w:rPr>
                <w:rFonts w:ascii="Arial" w:eastAsia="Times New Roman" w:hAnsi="Arial" w:cs="Arial"/>
                <w:b/>
                <w:bCs/>
                <w:kern w:val="0"/>
                <w:sz w:val="20"/>
                <w:szCs w:val="20"/>
                <w14:ligatures w14:val="none"/>
              </w:rPr>
              <w:t>29</w:t>
            </w:r>
          </w:p>
        </w:tc>
        <w:tc>
          <w:tcPr>
            <w:cnfStyle w:val="000100000000" w:firstRow="0" w:lastRow="0" w:firstColumn="0" w:lastColumn="1" w:oddVBand="0" w:evenVBand="0" w:oddHBand="0" w:evenHBand="0" w:firstRowFirstColumn="0" w:firstRowLastColumn="0" w:lastRowFirstColumn="0" w:lastRowLastColumn="0"/>
            <w:tcW w:w="0" w:type="auto"/>
            <w:hideMark/>
          </w:tcPr>
          <w:p w14:paraId="749BF033" w14:textId="77777777" w:rsidR="004376B2" w:rsidRPr="00AE30B2" w:rsidRDefault="004376B2" w:rsidP="00D5102C">
            <w:pPr>
              <w:jc w:val="both"/>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100</w:t>
            </w:r>
          </w:p>
        </w:tc>
      </w:tr>
    </w:tbl>
    <w:p w14:paraId="3D55A1A6" w14:textId="77777777" w:rsidR="004376B2" w:rsidRPr="00AE30B2"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sidRPr="00AE30B2">
        <w:rPr>
          <w:rFonts w:ascii="Arial" w:eastAsia="Times New Roman" w:hAnsi="Arial" w:cs="Arial"/>
          <w:b/>
          <w:bCs/>
          <w:i/>
          <w:iCs/>
          <w:kern w:val="0"/>
          <w:sz w:val="20"/>
          <w:szCs w:val="20"/>
          <w14:ligatures w14:val="none"/>
        </w:rPr>
        <w:t>3.1.3 Enteropathogenic Load among</w:t>
      </w:r>
      <w:r w:rsidRPr="00AE30B2">
        <w:rPr>
          <w:rFonts w:ascii="Arial" w:eastAsia="Times New Roman" w:hAnsi="Arial" w:cs="Arial"/>
          <w:kern w:val="0"/>
          <w:sz w:val="20"/>
          <w:szCs w:val="20"/>
          <w:lang w:val="en-US"/>
          <w14:ligatures w14:val="none"/>
        </w:rPr>
        <w:t xml:space="preserve"> </w:t>
      </w:r>
      <w:r w:rsidRPr="00AE30B2">
        <w:rPr>
          <w:rFonts w:ascii="Arial" w:eastAsia="Times New Roman" w:hAnsi="Arial" w:cs="Arial"/>
          <w:b/>
          <w:bCs/>
          <w:i/>
          <w:iCs/>
          <w:kern w:val="0"/>
          <w:sz w:val="20"/>
          <w:szCs w:val="20"/>
          <w:lang w:val="en-US"/>
          <w14:ligatures w14:val="none"/>
        </w:rPr>
        <w:t>the Isolated Organisms in</w:t>
      </w:r>
      <w:r w:rsidRPr="00AE30B2">
        <w:rPr>
          <w:rFonts w:ascii="Arial" w:eastAsia="Times New Roman" w:hAnsi="Arial" w:cs="Arial"/>
          <w:b/>
          <w:bCs/>
          <w:i/>
          <w:iCs/>
          <w:kern w:val="0"/>
          <w:sz w:val="20"/>
          <w:szCs w:val="20"/>
          <w14:ligatures w14:val="none"/>
        </w:rPr>
        <w:t xml:space="preserve"> Children with Diarrhoeal Disease</w:t>
      </w:r>
    </w:p>
    <w:p w14:paraId="1927307A" w14:textId="77777777" w:rsidR="004369B8" w:rsidRPr="00AE30B2" w:rsidRDefault="000E116C" w:rsidP="004369B8">
      <w:pPr>
        <w:spacing w:before="100" w:beforeAutospacing="1" w:after="100" w:afterAutospacing="1" w:line="240" w:lineRule="auto"/>
        <w:jc w:val="both"/>
        <w:divId w:val="1284460805"/>
        <w:rPr>
          <w:rFonts w:ascii="Arial" w:hAnsi="Arial" w:cs="Arial"/>
          <w:kern w:val="0"/>
          <w:sz w:val="20"/>
          <w:szCs w:val="20"/>
          <w14:ligatures w14:val="none"/>
        </w:rPr>
      </w:pPr>
      <w:r w:rsidRPr="00AE30B2">
        <w:rPr>
          <w:rFonts w:ascii="Arial" w:hAnsi="Arial" w:cs="Arial"/>
          <w:b/>
          <w:bCs/>
          <w:kern w:val="0"/>
          <w:sz w:val="20"/>
          <w:szCs w:val="20"/>
          <w14:ligatures w14:val="none"/>
        </w:rPr>
        <w:t>Table 3</w:t>
      </w:r>
      <w:r w:rsidRPr="00AE30B2">
        <w:rPr>
          <w:rFonts w:ascii="Arial" w:hAnsi="Arial" w:cs="Arial"/>
          <w:kern w:val="0"/>
          <w:sz w:val="20"/>
          <w:szCs w:val="20"/>
          <w14:ligatures w14:val="none"/>
        </w:rPr>
        <w:t xml:space="preserve"> presents the mean enteropathogenic load among the isolated organisms in children with diarrhoeal disease. The microbial load of the identified enteric pathogens varied among the isolates. </w:t>
      </w:r>
      <w:r w:rsidRPr="00AE30B2">
        <w:rPr>
          <w:rFonts w:ascii="Arial" w:hAnsi="Arial" w:cs="Arial"/>
          <w:i/>
          <w:iCs/>
          <w:kern w:val="0"/>
          <w:sz w:val="20"/>
          <w:szCs w:val="20"/>
          <w14:ligatures w14:val="none"/>
        </w:rPr>
        <w:t>E. coli</w:t>
      </w:r>
      <w:r w:rsidRPr="00AE30B2">
        <w:rPr>
          <w:rFonts w:ascii="Arial" w:hAnsi="Arial" w:cs="Arial"/>
          <w:kern w:val="0"/>
          <w:sz w:val="20"/>
          <w:szCs w:val="20"/>
          <w14:ligatures w14:val="none"/>
        </w:rPr>
        <w:t xml:space="preserve"> had the highest mean bacterial load, followed by </w:t>
      </w:r>
      <w:r w:rsidRPr="00AE30B2">
        <w:rPr>
          <w:rFonts w:ascii="Arial" w:hAnsi="Arial" w:cs="Arial"/>
          <w:i/>
          <w:iCs/>
          <w:kern w:val="0"/>
          <w:sz w:val="20"/>
          <w:szCs w:val="20"/>
          <w14:ligatures w14:val="none"/>
        </w:rPr>
        <w:t>Salmonella</w:t>
      </w:r>
      <w:r w:rsidRPr="00AE30B2">
        <w:rPr>
          <w:rFonts w:ascii="Arial" w:hAnsi="Arial" w:cs="Arial"/>
          <w:kern w:val="0"/>
          <w:sz w:val="20"/>
          <w:szCs w:val="20"/>
          <w14:ligatures w14:val="none"/>
        </w:rPr>
        <w:t xml:space="preserve"> spp., </w:t>
      </w:r>
      <w:r w:rsidRPr="00AE30B2">
        <w:rPr>
          <w:rFonts w:ascii="Arial" w:hAnsi="Arial" w:cs="Arial"/>
          <w:i/>
          <w:iCs/>
          <w:kern w:val="0"/>
          <w:sz w:val="20"/>
          <w:szCs w:val="20"/>
          <w14:ligatures w14:val="none"/>
        </w:rPr>
        <w:t>V. cholerae</w:t>
      </w:r>
      <w:r w:rsidRPr="00AE30B2">
        <w:rPr>
          <w:rFonts w:ascii="Arial" w:hAnsi="Arial" w:cs="Arial"/>
          <w:kern w:val="0"/>
          <w:sz w:val="20"/>
          <w:szCs w:val="20"/>
          <w14:ligatures w14:val="none"/>
        </w:rPr>
        <w:t xml:space="preserve">, and </w:t>
      </w:r>
      <w:r w:rsidRPr="00AE30B2">
        <w:rPr>
          <w:rFonts w:ascii="Arial" w:hAnsi="Arial" w:cs="Arial"/>
          <w:i/>
          <w:iCs/>
          <w:kern w:val="0"/>
          <w:sz w:val="20"/>
          <w:szCs w:val="20"/>
          <w14:ligatures w14:val="none"/>
        </w:rPr>
        <w:t>Shigella</w:t>
      </w:r>
      <w:r w:rsidRPr="00AE30B2">
        <w:rPr>
          <w:rFonts w:ascii="Arial" w:hAnsi="Arial" w:cs="Arial"/>
          <w:kern w:val="0"/>
          <w:sz w:val="20"/>
          <w:szCs w:val="20"/>
          <w14:ligatures w14:val="none"/>
        </w:rPr>
        <w:t xml:space="preserve"> spp., which had the lowest mean bacterial load.</w:t>
      </w:r>
    </w:p>
    <w:p w14:paraId="0F7B83A0" w14:textId="77777777" w:rsidR="004376B2" w:rsidRPr="00AE30B2" w:rsidRDefault="004376B2" w:rsidP="004369B8">
      <w:pPr>
        <w:spacing w:before="100" w:beforeAutospacing="1" w:after="100" w:afterAutospacing="1" w:line="240" w:lineRule="auto"/>
        <w:jc w:val="both"/>
        <w:divId w:val="1284460805"/>
        <w:rPr>
          <w:rFonts w:ascii="Arial" w:hAnsi="Arial" w:cs="Arial"/>
          <w:kern w:val="0"/>
          <w:sz w:val="20"/>
          <w:szCs w:val="20"/>
          <w14:ligatures w14:val="none"/>
        </w:rPr>
      </w:pPr>
      <w:r w:rsidRPr="00AE30B2">
        <w:rPr>
          <w:rFonts w:ascii="Arial" w:hAnsi="Arial" w:cs="Arial"/>
          <w:kern w:val="0"/>
          <w:sz w:val="20"/>
          <w:szCs w:val="20"/>
          <w14:ligatures w14:val="none"/>
        </w:rPr>
        <w:t xml:space="preserve">Table 3: Mean </w:t>
      </w:r>
      <w:r w:rsidR="00B616A8" w:rsidRPr="00AE30B2">
        <w:rPr>
          <w:rFonts w:ascii="Arial" w:hAnsi="Arial" w:cs="Arial"/>
          <w:kern w:val="0"/>
          <w:sz w:val="20"/>
          <w:szCs w:val="20"/>
          <w14:ligatures w14:val="none"/>
        </w:rPr>
        <w:t xml:space="preserve">and Standard Deviation of </w:t>
      </w:r>
      <w:r w:rsidR="00CA1038" w:rsidRPr="00AE30B2">
        <w:rPr>
          <w:rFonts w:ascii="Arial" w:hAnsi="Arial" w:cs="Arial"/>
          <w:kern w:val="0"/>
          <w:sz w:val="20"/>
          <w:szCs w:val="20"/>
          <w14:ligatures w14:val="none"/>
        </w:rPr>
        <w:t xml:space="preserve">Enteropathogenic </w:t>
      </w:r>
      <w:r w:rsidR="00CD21AA" w:rsidRPr="00AE30B2">
        <w:rPr>
          <w:rFonts w:ascii="Arial" w:hAnsi="Arial" w:cs="Arial"/>
          <w:kern w:val="0"/>
          <w:sz w:val="20"/>
          <w:szCs w:val="20"/>
          <w14:ligatures w14:val="none"/>
        </w:rPr>
        <w:t xml:space="preserve">load </w:t>
      </w:r>
      <w:r w:rsidRPr="00AE30B2">
        <w:rPr>
          <w:rFonts w:ascii="Arial" w:hAnsi="Arial" w:cs="Arial"/>
          <w:kern w:val="0"/>
          <w:sz w:val="20"/>
          <w:szCs w:val="20"/>
          <w14:ligatures w14:val="none"/>
        </w:rPr>
        <w:t>among isolated organisms</w:t>
      </w:r>
    </w:p>
    <w:tbl>
      <w:tblPr>
        <w:tblStyle w:val="PlainTable2"/>
        <w:tblW w:w="9149" w:type="dxa"/>
        <w:tblLook w:val="07A0" w:firstRow="1" w:lastRow="0" w:firstColumn="1" w:lastColumn="1" w:noHBand="1" w:noVBand="1"/>
      </w:tblPr>
      <w:tblGrid>
        <w:gridCol w:w="3015"/>
        <w:gridCol w:w="6134"/>
      </w:tblGrid>
      <w:tr w:rsidR="004376B2" w:rsidRPr="00AE30B2" w14:paraId="11BD5711" w14:textId="77777777" w:rsidTr="000E116C">
        <w:trPr>
          <w:cnfStyle w:val="100000000000" w:firstRow="1" w:lastRow="0" w:firstColumn="0" w:lastColumn="0" w:oddVBand="0" w:evenVBand="0" w:oddHBand="0" w:evenHBand="0" w:firstRowFirstColumn="0" w:firstRowLastColumn="0" w:lastRowFirstColumn="0" w:lastRowLastColumn="0"/>
          <w:divId w:val="1284460805"/>
          <w:trHeight w:val="435"/>
        </w:trPr>
        <w:tc>
          <w:tcPr>
            <w:cnfStyle w:val="001000000000" w:firstRow="0" w:lastRow="0" w:firstColumn="1" w:lastColumn="0" w:oddVBand="0" w:evenVBand="0" w:oddHBand="0" w:evenHBand="0" w:firstRowFirstColumn="0" w:firstRowLastColumn="0" w:lastRowFirstColumn="0" w:lastRowLastColumn="0"/>
            <w:tcW w:w="0" w:type="auto"/>
            <w:hideMark/>
          </w:tcPr>
          <w:p w14:paraId="107559A9"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Enteric pathogen</w:t>
            </w:r>
          </w:p>
        </w:tc>
        <w:tc>
          <w:tcPr>
            <w:cnfStyle w:val="000100000000" w:firstRow="0" w:lastRow="0" w:firstColumn="0" w:lastColumn="1" w:oddVBand="0" w:evenVBand="0" w:oddHBand="0" w:evenHBand="0" w:firstRowFirstColumn="0" w:firstRowLastColumn="0" w:lastRowFirstColumn="0" w:lastRowLastColumn="0"/>
            <w:tcW w:w="0" w:type="auto"/>
            <w:hideMark/>
          </w:tcPr>
          <w:p w14:paraId="00FD5548"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 xml:space="preserve">Mean </w:t>
            </w:r>
            <w:r w:rsidR="00CD21AA" w:rsidRPr="00AE30B2">
              <w:rPr>
                <w:rFonts w:ascii="Arial" w:eastAsia="Times New Roman" w:hAnsi="Arial" w:cs="Arial"/>
                <w:b w:val="0"/>
                <w:bCs w:val="0"/>
                <w:kern w:val="0"/>
                <w:sz w:val="20"/>
                <w:szCs w:val="20"/>
                <w14:ligatures w14:val="none"/>
              </w:rPr>
              <w:t xml:space="preserve">enteropathogenic load </w:t>
            </w:r>
            <w:r w:rsidRPr="00AE30B2">
              <w:rPr>
                <w:rFonts w:ascii="Arial" w:eastAsia="Times New Roman" w:hAnsi="Arial" w:cs="Arial"/>
                <w:b w:val="0"/>
                <w:bCs w:val="0"/>
                <w:kern w:val="0"/>
                <w:sz w:val="20"/>
                <w:szCs w:val="20"/>
                <w14:ligatures w14:val="none"/>
              </w:rPr>
              <w:t>(CFU/g)</w:t>
            </w:r>
          </w:p>
        </w:tc>
      </w:tr>
      <w:tr w:rsidR="004376B2" w:rsidRPr="00AE30B2" w14:paraId="6CF23C6E" w14:textId="77777777" w:rsidTr="000E116C">
        <w:trPr>
          <w:divId w:val="1284460805"/>
          <w:trHeight w:val="446"/>
        </w:trPr>
        <w:tc>
          <w:tcPr>
            <w:cnfStyle w:val="001000000000" w:firstRow="0" w:lastRow="0" w:firstColumn="1" w:lastColumn="0" w:oddVBand="0" w:evenVBand="0" w:oddHBand="0" w:evenHBand="0" w:firstRowFirstColumn="0" w:firstRowLastColumn="0" w:lastRowFirstColumn="0" w:lastRowLastColumn="0"/>
            <w:tcW w:w="0" w:type="auto"/>
            <w:hideMark/>
          </w:tcPr>
          <w:p w14:paraId="27C1EB97" w14:textId="77777777" w:rsidR="004376B2" w:rsidRPr="00AE30B2" w:rsidRDefault="00011F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E.</w:t>
            </w:r>
            <w:r w:rsidR="004376B2" w:rsidRPr="00AE30B2">
              <w:rPr>
                <w:rFonts w:ascii="Arial" w:eastAsia="Times New Roman" w:hAnsi="Arial" w:cs="Arial"/>
                <w:b w:val="0"/>
                <w:bCs w:val="0"/>
                <w:i/>
                <w:iCs/>
                <w:kern w:val="0"/>
                <w:sz w:val="20"/>
                <w:szCs w:val="20"/>
                <w14:ligatures w14:val="none"/>
              </w:rPr>
              <w:t xml:space="preserve"> coli</w:t>
            </w:r>
          </w:p>
        </w:tc>
        <w:tc>
          <w:tcPr>
            <w:cnfStyle w:val="000100000000" w:firstRow="0" w:lastRow="0" w:firstColumn="0" w:lastColumn="1" w:oddVBand="0" w:evenVBand="0" w:oddHBand="0" w:evenHBand="0" w:firstRowFirstColumn="0" w:firstRowLastColumn="0" w:lastRowFirstColumn="0" w:lastRowLastColumn="0"/>
            <w:tcW w:w="0" w:type="auto"/>
            <w:hideMark/>
          </w:tcPr>
          <w:p w14:paraId="5577B89D" w14:textId="77777777" w:rsidR="004376B2" w:rsidRPr="00AE30B2" w:rsidRDefault="000E116C"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4</w:t>
            </w:r>
            <w:r w:rsidR="004376B2" w:rsidRPr="00AE30B2">
              <w:rPr>
                <w:rFonts w:ascii="Arial" w:eastAsia="Times New Roman" w:hAnsi="Arial" w:cs="Arial"/>
                <w:b w:val="0"/>
                <w:bCs w:val="0"/>
                <w:kern w:val="0"/>
                <w:sz w:val="20"/>
                <w:szCs w:val="20"/>
                <w14:ligatures w14:val="none"/>
              </w:rPr>
              <w:t>.</w:t>
            </w:r>
            <w:r w:rsidRPr="00AE30B2">
              <w:rPr>
                <w:rFonts w:ascii="Arial" w:eastAsia="Times New Roman" w:hAnsi="Arial" w:cs="Arial"/>
                <w:b w:val="0"/>
                <w:bCs w:val="0"/>
                <w:kern w:val="0"/>
                <w:sz w:val="20"/>
                <w:szCs w:val="20"/>
                <w14:ligatures w14:val="none"/>
              </w:rPr>
              <w:t>9</w:t>
            </w:r>
            <w:r w:rsidR="004376B2" w:rsidRPr="00AE30B2">
              <w:rPr>
                <w:rFonts w:ascii="Arial" w:eastAsia="Times New Roman" w:hAnsi="Arial" w:cs="Arial"/>
                <w:b w:val="0"/>
                <w:bCs w:val="0"/>
                <w:kern w:val="0"/>
                <w:sz w:val="20"/>
                <w:szCs w:val="20"/>
                <w14:ligatures w14:val="none"/>
              </w:rPr>
              <w:t xml:space="preserve"> × 10⁶ ± 0.6 × 10⁶</w:t>
            </w:r>
          </w:p>
        </w:tc>
      </w:tr>
      <w:tr w:rsidR="004376B2" w:rsidRPr="00AE30B2" w14:paraId="27C36E8E" w14:textId="77777777" w:rsidTr="000E116C">
        <w:trPr>
          <w:divId w:val="1284460805"/>
          <w:trHeight w:val="435"/>
        </w:trPr>
        <w:tc>
          <w:tcPr>
            <w:cnfStyle w:val="001000000000" w:firstRow="0" w:lastRow="0" w:firstColumn="1" w:lastColumn="0" w:oddVBand="0" w:evenVBand="0" w:oddHBand="0" w:evenHBand="0" w:firstRowFirstColumn="0" w:firstRowLastColumn="0" w:lastRowFirstColumn="0" w:lastRowLastColumn="0"/>
            <w:tcW w:w="0" w:type="auto"/>
            <w:hideMark/>
          </w:tcPr>
          <w:p w14:paraId="240544F1"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Shigella</w:t>
            </w:r>
            <w:r w:rsidRPr="00AE30B2">
              <w:rPr>
                <w:rFonts w:ascii="Arial" w:eastAsia="Times New Roman" w:hAnsi="Arial" w:cs="Arial"/>
                <w:b w:val="0"/>
                <w:bCs w:val="0"/>
                <w:kern w:val="0"/>
                <w:sz w:val="20"/>
                <w:szCs w:val="20"/>
                <w14:ligatures w14:val="none"/>
              </w:rPr>
              <w:t xml:space="preserve"> </w:t>
            </w:r>
            <w:r w:rsidR="00C31655" w:rsidRPr="00AE30B2">
              <w:rPr>
                <w:rFonts w:ascii="Arial" w:eastAsia="Times New Roman" w:hAnsi="Arial" w:cs="Arial"/>
                <w:b w:val="0"/>
                <w:bCs w:val="0"/>
                <w:kern w:val="0"/>
                <w:sz w:val="20"/>
                <w:szCs w:val="20"/>
                <w14:ligatures w14:val="none"/>
              </w:rPr>
              <w:t>spp.</w:t>
            </w:r>
          </w:p>
        </w:tc>
        <w:tc>
          <w:tcPr>
            <w:cnfStyle w:val="000100000000" w:firstRow="0" w:lastRow="0" w:firstColumn="0" w:lastColumn="1" w:oddVBand="0" w:evenVBand="0" w:oddHBand="0" w:evenHBand="0" w:firstRowFirstColumn="0" w:firstRowLastColumn="0" w:lastRowFirstColumn="0" w:lastRowLastColumn="0"/>
            <w:tcW w:w="0" w:type="auto"/>
            <w:hideMark/>
          </w:tcPr>
          <w:p w14:paraId="7932AA7D" w14:textId="77777777" w:rsidR="004376B2" w:rsidRPr="00AE30B2" w:rsidRDefault="009D7377"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3.1</w:t>
            </w:r>
            <w:r w:rsidR="004376B2" w:rsidRPr="00AE30B2">
              <w:rPr>
                <w:rFonts w:ascii="Arial" w:eastAsia="Times New Roman" w:hAnsi="Arial" w:cs="Arial"/>
                <w:b w:val="0"/>
                <w:bCs w:val="0"/>
                <w:kern w:val="0"/>
                <w:sz w:val="20"/>
                <w:szCs w:val="20"/>
                <w14:ligatures w14:val="none"/>
              </w:rPr>
              <w:t xml:space="preserve"> × 10⁶ ± 0.5 × 10⁶</w:t>
            </w:r>
          </w:p>
        </w:tc>
      </w:tr>
      <w:tr w:rsidR="004376B2" w:rsidRPr="00AE30B2" w14:paraId="012A32B2" w14:textId="77777777" w:rsidTr="000E116C">
        <w:trPr>
          <w:divId w:val="1284460805"/>
          <w:trHeight w:val="446"/>
        </w:trPr>
        <w:tc>
          <w:tcPr>
            <w:cnfStyle w:val="001000000000" w:firstRow="0" w:lastRow="0" w:firstColumn="1" w:lastColumn="0" w:oddVBand="0" w:evenVBand="0" w:oddHBand="0" w:evenHBand="0" w:firstRowFirstColumn="0" w:firstRowLastColumn="0" w:lastRowFirstColumn="0" w:lastRowLastColumn="0"/>
            <w:tcW w:w="0" w:type="auto"/>
            <w:hideMark/>
          </w:tcPr>
          <w:p w14:paraId="0F74FBDB" w14:textId="77777777" w:rsidR="004376B2" w:rsidRPr="00AE30B2" w:rsidRDefault="004376B2"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Salmonella</w:t>
            </w:r>
            <w:r w:rsidRPr="00AE30B2">
              <w:rPr>
                <w:rFonts w:ascii="Arial" w:eastAsia="Times New Roman" w:hAnsi="Arial" w:cs="Arial"/>
                <w:b w:val="0"/>
                <w:bCs w:val="0"/>
                <w:kern w:val="0"/>
                <w:sz w:val="20"/>
                <w:szCs w:val="20"/>
                <w14:ligatures w14:val="none"/>
              </w:rPr>
              <w:t xml:space="preserve"> </w:t>
            </w:r>
            <w:r w:rsidR="00C31655" w:rsidRPr="00AE30B2">
              <w:rPr>
                <w:rFonts w:ascii="Arial" w:eastAsia="Times New Roman" w:hAnsi="Arial" w:cs="Arial"/>
                <w:b w:val="0"/>
                <w:bCs w:val="0"/>
                <w:kern w:val="0"/>
                <w:sz w:val="20"/>
                <w:szCs w:val="20"/>
                <w14:ligatures w14:val="none"/>
              </w:rPr>
              <w:t>spp.</w:t>
            </w:r>
          </w:p>
        </w:tc>
        <w:tc>
          <w:tcPr>
            <w:cnfStyle w:val="000100000000" w:firstRow="0" w:lastRow="0" w:firstColumn="0" w:lastColumn="1" w:oddVBand="0" w:evenVBand="0" w:oddHBand="0" w:evenHBand="0" w:firstRowFirstColumn="0" w:firstRowLastColumn="0" w:lastRowFirstColumn="0" w:lastRowLastColumn="0"/>
            <w:tcW w:w="0" w:type="auto"/>
            <w:hideMark/>
          </w:tcPr>
          <w:p w14:paraId="15EEB1DD" w14:textId="77777777" w:rsidR="004376B2" w:rsidRPr="00AE30B2" w:rsidRDefault="000E116C"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3</w:t>
            </w:r>
            <w:r w:rsidR="004376B2" w:rsidRPr="00AE30B2">
              <w:rPr>
                <w:rFonts w:ascii="Arial" w:eastAsia="Times New Roman" w:hAnsi="Arial" w:cs="Arial"/>
                <w:b w:val="0"/>
                <w:bCs w:val="0"/>
                <w:kern w:val="0"/>
                <w:sz w:val="20"/>
                <w:szCs w:val="20"/>
                <w14:ligatures w14:val="none"/>
              </w:rPr>
              <w:t>.</w:t>
            </w:r>
            <w:r w:rsidRPr="00AE30B2">
              <w:rPr>
                <w:rFonts w:ascii="Arial" w:eastAsia="Times New Roman" w:hAnsi="Arial" w:cs="Arial"/>
                <w:b w:val="0"/>
                <w:bCs w:val="0"/>
                <w:kern w:val="0"/>
                <w:sz w:val="20"/>
                <w:szCs w:val="20"/>
                <w14:ligatures w14:val="none"/>
              </w:rPr>
              <w:t>9</w:t>
            </w:r>
            <w:r w:rsidR="004376B2" w:rsidRPr="00AE30B2">
              <w:rPr>
                <w:rFonts w:ascii="Arial" w:eastAsia="Times New Roman" w:hAnsi="Arial" w:cs="Arial"/>
                <w:b w:val="0"/>
                <w:bCs w:val="0"/>
                <w:kern w:val="0"/>
                <w:sz w:val="20"/>
                <w:szCs w:val="20"/>
                <w14:ligatures w14:val="none"/>
              </w:rPr>
              <w:t xml:space="preserve"> × 10⁶ ± 0.4 × 10⁶</w:t>
            </w:r>
          </w:p>
        </w:tc>
      </w:tr>
      <w:tr w:rsidR="004376B2" w:rsidRPr="00AE30B2" w14:paraId="300C8ECF" w14:textId="77777777" w:rsidTr="000E116C">
        <w:trPr>
          <w:divId w:val="1284460805"/>
          <w:trHeight w:val="435"/>
        </w:trPr>
        <w:tc>
          <w:tcPr>
            <w:cnfStyle w:val="001000000000" w:firstRow="0" w:lastRow="0" w:firstColumn="1" w:lastColumn="0" w:oddVBand="0" w:evenVBand="0" w:oddHBand="0" w:evenHBand="0" w:firstRowFirstColumn="0" w:firstRowLastColumn="0" w:lastRowFirstColumn="0" w:lastRowLastColumn="0"/>
            <w:tcW w:w="0" w:type="auto"/>
            <w:hideMark/>
          </w:tcPr>
          <w:p w14:paraId="4AE78E1C" w14:textId="77777777" w:rsidR="004376B2" w:rsidRPr="00AE30B2" w:rsidRDefault="00C31655"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V.</w:t>
            </w:r>
            <w:r w:rsidR="004376B2" w:rsidRPr="00AE30B2">
              <w:rPr>
                <w:rFonts w:ascii="Arial" w:eastAsia="Times New Roman" w:hAnsi="Arial" w:cs="Arial"/>
                <w:b w:val="0"/>
                <w:bCs w:val="0"/>
                <w:i/>
                <w:iCs/>
                <w:kern w:val="0"/>
                <w:sz w:val="20"/>
                <w:szCs w:val="20"/>
                <w14:ligatures w14:val="none"/>
              </w:rPr>
              <w:t xml:space="preserve"> cholerae</w:t>
            </w:r>
          </w:p>
        </w:tc>
        <w:tc>
          <w:tcPr>
            <w:cnfStyle w:val="000100000000" w:firstRow="0" w:lastRow="0" w:firstColumn="0" w:lastColumn="1" w:oddVBand="0" w:evenVBand="0" w:oddHBand="0" w:evenHBand="0" w:firstRowFirstColumn="0" w:firstRowLastColumn="0" w:lastRowFirstColumn="0" w:lastRowLastColumn="0"/>
            <w:tcW w:w="0" w:type="auto"/>
            <w:hideMark/>
          </w:tcPr>
          <w:p w14:paraId="3043B1E6" w14:textId="77777777" w:rsidR="004376B2" w:rsidRPr="00AE30B2" w:rsidRDefault="000E116C" w:rsidP="00D5102C">
            <w:pPr>
              <w:jc w:val="center"/>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3</w:t>
            </w:r>
            <w:r w:rsidR="004376B2" w:rsidRPr="00AE30B2">
              <w:rPr>
                <w:rFonts w:ascii="Arial" w:eastAsia="Times New Roman" w:hAnsi="Arial" w:cs="Arial"/>
                <w:b w:val="0"/>
                <w:bCs w:val="0"/>
                <w:kern w:val="0"/>
                <w:sz w:val="20"/>
                <w:szCs w:val="20"/>
                <w14:ligatures w14:val="none"/>
              </w:rPr>
              <w:t>.</w:t>
            </w:r>
            <w:r w:rsidRPr="00AE30B2">
              <w:rPr>
                <w:rFonts w:ascii="Arial" w:eastAsia="Times New Roman" w:hAnsi="Arial" w:cs="Arial"/>
                <w:b w:val="0"/>
                <w:bCs w:val="0"/>
                <w:kern w:val="0"/>
                <w:sz w:val="20"/>
                <w:szCs w:val="20"/>
                <w14:ligatures w14:val="none"/>
              </w:rPr>
              <w:t>4</w:t>
            </w:r>
            <w:r w:rsidR="004376B2" w:rsidRPr="00AE30B2">
              <w:rPr>
                <w:rFonts w:ascii="Arial" w:eastAsia="Times New Roman" w:hAnsi="Arial" w:cs="Arial"/>
                <w:b w:val="0"/>
                <w:bCs w:val="0"/>
                <w:kern w:val="0"/>
                <w:sz w:val="20"/>
                <w:szCs w:val="20"/>
                <w14:ligatures w14:val="none"/>
              </w:rPr>
              <w:t xml:space="preserve"> × 10⁶ ± 0.3 × 10⁶</w:t>
            </w:r>
          </w:p>
        </w:tc>
      </w:tr>
    </w:tbl>
    <w:p w14:paraId="6CCF7543" w14:textId="77777777" w:rsidR="004376B2" w:rsidRPr="00AE30B2"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sidRPr="00AE30B2">
        <w:rPr>
          <w:rFonts w:ascii="Arial" w:eastAsia="Times New Roman" w:hAnsi="Arial" w:cs="Arial"/>
          <w:b/>
          <w:bCs/>
          <w:i/>
          <w:iCs/>
          <w:kern w:val="0"/>
          <w:sz w:val="20"/>
          <w:szCs w:val="20"/>
          <w14:ligatures w14:val="none"/>
        </w:rPr>
        <w:t>3.1</w:t>
      </w:r>
      <w:r w:rsidR="007210F1" w:rsidRPr="00AE30B2">
        <w:rPr>
          <w:rFonts w:ascii="Arial" w:eastAsia="Times New Roman" w:hAnsi="Arial" w:cs="Arial"/>
          <w:b/>
          <w:bCs/>
          <w:i/>
          <w:iCs/>
          <w:kern w:val="0"/>
          <w:sz w:val="20"/>
          <w:szCs w:val="20"/>
          <w14:ligatures w14:val="none"/>
        </w:rPr>
        <w:t>.</w:t>
      </w:r>
      <w:r w:rsidR="004376B2" w:rsidRPr="00AE30B2">
        <w:rPr>
          <w:rFonts w:ascii="Arial" w:eastAsia="Times New Roman" w:hAnsi="Arial" w:cs="Arial"/>
          <w:b/>
          <w:bCs/>
          <w:i/>
          <w:iCs/>
          <w:kern w:val="0"/>
          <w:sz w:val="20"/>
          <w:szCs w:val="20"/>
          <w14:ligatures w14:val="none"/>
        </w:rPr>
        <w:t>4 Serum Electrolyte and Zinc Concentrations among Study Participants</w:t>
      </w:r>
    </w:p>
    <w:p w14:paraId="6DD271EA" w14:textId="77777777" w:rsidR="00534789" w:rsidRPr="00AE30B2" w:rsidRDefault="007210F1" w:rsidP="00534789">
      <w:pPr>
        <w:spacing w:before="100" w:beforeAutospacing="1" w:after="100" w:afterAutospacing="1" w:line="240" w:lineRule="auto"/>
        <w:jc w:val="both"/>
        <w:divId w:val="1284460805"/>
        <w:rPr>
          <w:rFonts w:ascii="Arial" w:hAnsi="Arial" w:cs="Arial"/>
          <w:kern w:val="0"/>
          <w:sz w:val="20"/>
          <w:szCs w:val="20"/>
          <w14:ligatures w14:val="none"/>
        </w:rPr>
      </w:pPr>
      <w:r w:rsidRPr="00AE30B2">
        <w:rPr>
          <w:rFonts w:ascii="Arial" w:hAnsi="Arial" w:cs="Arial"/>
          <w:kern w:val="0"/>
          <w:sz w:val="20"/>
          <w:szCs w:val="20"/>
          <w14:ligatures w14:val="none"/>
        </w:rPr>
        <w:t>Table 4 presents the serum biochemical parameters among children with and without diarrhoeal disease. The biochemical assessment revealed significant differences in serum electrolyte and zinc concentrations between children with diarrhoeal disease and the apparently healthy control group. Children with diarrhoeal disease had significantly lower serum sodium, potassium, chloride, bicarbonate, and zinc concentrations than the control group (</w:t>
      </w:r>
      <w:r w:rsidRPr="00AE30B2">
        <w:rPr>
          <w:rFonts w:ascii="Arial" w:hAnsi="Arial" w:cs="Arial"/>
          <w:i/>
          <w:iCs/>
          <w:kern w:val="0"/>
          <w:sz w:val="20"/>
          <w:szCs w:val="20"/>
          <w14:ligatures w14:val="none"/>
        </w:rPr>
        <w:t>p</w:t>
      </w:r>
      <w:r w:rsidRPr="00AE30B2">
        <w:rPr>
          <w:rFonts w:ascii="Arial" w:hAnsi="Arial" w:cs="Arial"/>
          <w:kern w:val="0"/>
          <w:sz w:val="20"/>
          <w:szCs w:val="20"/>
          <w14:ligatures w14:val="none"/>
        </w:rPr>
        <w:t xml:space="preserve"> &lt; 0.05).</w:t>
      </w:r>
    </w:p>
    <w:p w14:paraId="3D691179" w14:textId="77777777" w:rsidR="004376B2" w:rsidRPr="00AE30B2" w:rsidRDefault="004376B2" w:rsidP="00B616A8">
      <w:pPr>
        <w:spacing w:before="100" w:beforeAutospacing="1" w:after="0" w:line="240" w:lineRule="auto"/>
        <w:jc w:val="both"/>
        <w:divId w:val="1284460805"/>
        <w:rPr>
          <w:rFonts w:ascii="Arial" w:hAnsi="Arial" w:cs="Arial"/>
          <w:kern w:val="0"/>
          <w:sz w:val="20"/>
          <w:szCs w:val="20"/>
          <w14:ligatures w14:val="none"/>
        </w:rPr>
      </w:pPr>
      <w:r w:rsidRPr="00AE30B2">
        <w:rPr>
          <w:rFonts w:ascii="Arial" w:hAnsi="Arial" w:cs="Arial"/>
          <w:kern w:val="0"/>
          <w:sz w:val="20"/>
          <w:szCs w:val="20"/>
          <w14:ligatures w14:val="none"/>
        </w:rPr>
        <w:t xml:space="preserve">Table 4: </w:t>
      </w:r>
      <w:r w:rsidR="00B616A8" w:rsidRPr="00AE30B2">
        <w:rPr>
          <w:rFonts w:ascii="Arial" w:hAnsi="Arial" w:cs="Arial"/>
          <w:kern w:val="0"/>
          <w:sz w:val="20"/>
          <w:szCs w:val="20"/>
          <w14:ligatures w14:val="none"/>
        </w:rPr>
        <w:t xml:space="preserve">Mean and Standard Deviation of </w:t>
      </w:r>
      <w:r w:rsidRPr="00AE30B2">
        <w:rPr>
          <w:rFonts w:ascii="Arial" w:hAnsi="Arial" w:cs="Arial"/>
          <w:kern w:val="0"/>
          <w:sz w:val="20"/>
          <w:szCs w:val="20"/>
          <w14:ligatures w14:val="none"/>
        </w:rPr>
        <w:t xml:space="preserve"> </w:t>
      </w:r>
      <w:r w:rsidR="00B616A8" w:rsidRPr="00AE30B2">
        <w:rPr>
          <w:rFonts w:ascii="Arial" w:hAnsi="Arial" w:cs="Arial"/>
          <w:kern w:val="0"/>
          <w:sz w:val="20"/>
          <w:szCs w:val="20"/>
          <w14:ligatures w14:val="none"/>
        </w:rPr>
        <w:t xml:space="preserve">Serum </w:t>
      </w:r>
      <w:r w:rsidRPr="00AE30B2">
        <w:rPr>
          <w:rFonts w:ascii="Arial" w:hAnsi="Arial" w:cs="Arial"/>
          <w:kern w:val="0"/>
          <w:sz w:val="20"/>
          <w:szCs w:val="20"/>
          <w14:ligatures w14:val="none"/>
        </w:rPr>
        <w:t>biochemical parameters among children with and without diarrhoeal disease</w:t>
      </w:r>
    </w:p>
    <w:tbl>
      <w:tblPr>
        <w:tblStyle w:val="PlainTable2"/>
        <w:tblW w:w="9397" w:type="dxa"/>
        <w:tblLook w:val="07A0" w:firstRow="1" w:lastRow="0" w:firstColumn="1" w:lastColumn="1" w:noHBand="1" w:noVBand="1"/>
      </w:tblPr>
      <w:tblGrid>
        <w:gridCol w:w="2748"/>
        <w:gridCol w:w="3078"/>
        <w:gridCol w:w="2512"/>
        <w:gridCol w:w="1059"/>
      </w:tblGrid>
      <w:tr w:rsidR="004376B2" w:rsidRPr="00AE30B2" w14:paraId="1EBB1A8F" w14:textId="77777777" w:rsidTr="007210F1">
        <w:trPr>
          <w:cnfStyle w:val="100000000000" w:firstRow="1" w:lastRow="0" w:firstColumn="0" w:lastColumn="0" w:oddVBand="0" w:evenVBand="0" w:oddHBand="0" w:evenHBand="0" w:firstRowFirstColumn="0" w:firstRowLastColumn="0" w:lastRowFirstColumn="0" w:lastRowLastColumn="0"/>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02D0255A"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Biochemical parameter</w:t>
            </w:r>
          </w:p>
        </w:tc>
        <w:tc>
          <w:tcPr>
            <w:tcW w:w="0" w:type="auto"/>
            <w:hideMark/>
          </w:tcPr>
          <w:p w14:paraId="0635B1BC" w14:textId="77777777" w:rsidR="004376B2" w:rsidRPr="00AE30B2" w:rsidRDefault="004376B2" w:rsidP="00D5102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Diarrhoeal children (n=29)</w:t>
            </w:r>
          </w:p>
        </w:tc>
        <w:tc>
          <w:tcPr>
            <w:tcW w:w="0" w:type="auto"/>
            <w:hideMark/>
          </w:tcPr>
          <w:p w14:paraId="54F02A14" w14:textId="77777777" w:rsidR="004376B2" w:rsidRPr="00AE30B2" w:rsidRDefault="00CD21AA" w:rsidP="00D5102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Control group</w:t>
            </w:r>
            <w:r w:rsidR="004376B2" w:rsidRPr="00AE30B2">
              <w:rPr>
                <w:rFonts w:ascii="Arial" w:eastAsia="Times New Roman" w:hAnsi="Arial" w:cs="Arial"/>
                <w:b w:val="0"/>
                <w:bCs w:val="0"/>
                <w:kern w:val="0"/>
                <w:sz w:val="20"/>
                <w:szCs w:val="20"/>
                <w14:ligatures w14:val="none"/>
              </w:rPr>
              <w:t xml:space="preserve"> (n=30)</w:t>
            </w:r>
          </w:p>
        </w:tc>
        <w:tc>
          <w:tcPr>
            <w:cnfStyle w:val="000100000000" w:firstRow="0" w:lastRow="0" w:firstColumn="0" w:lastColumn="1" w:oddVBand="0" w:evenVBand="0" w:oddHBand="0" w:evenHBand="0" w:firstRowFirstColumn="0" w:firstRowLastColumn="0" w:lastRowFirstColumn="0" w:lastRowLastColumn="0"/>
            <w:tcW w:w="0" w:type="auto"/>
            <w:hideMark/>
          </w:tcPr>
          <w:p w14:paraId="1C8B1541"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i/>
                <w:iCs/>
                <w:kern w:val="0"/>
                <w:sz w:val="20"/>
                <w:szCs w:val="20"/>
                <w14:ligatures w14:val="none"/>
              </w:rPr>
              <w:t>p</w:t>
            </w:r>
            <w:r w:rsidRPr="00AE30B2">
              <w:rPr>
                <w:rFonts w:ascii="Arial" w:eastAsia="Times New Roman" w:hAnsi="Arial" w:cs="Arial"/>
                <w:b w:val="0"/>
                <w:bCs w:val="0"/>
                <w:kern w:val="0"/>
                <w:sz w:val="20"/>
                <w:szCs w:val="20"/>
                <w14:ligatures w14:val="none"/>
              </w:rPr>
              <w:t>-value</w:t>
            </w:r>
          </w:p>
        </w:tc>
      </w:tr>
      <w:tr w:rsidR="004376B2" w:rsidRPr="00AE30B2" w14:paraId="499A20BA" w14:textId="77777777" w:rsidTr="007210F1">
        <w:trPr>
          <w:divId w:val="1284460805"/>
          <w:trHeight w:val="554"/>
        </w:trPr>
        <w:tc>
          <w:tcPr>
            <w:cnfStyle w:val="001000000000" w:firstRow="0" w:lastRow="0" w:firstColumn="1" w:lastColumn="0" w:oddVBand="0" w:evenVBand="0" w:oddHBand="0" w:evenHBand="0" w:firstRowFirstColumn="0" w:firstRowLastColumn="0" w:lastRowFirstColumn="0" w:lastRowLastColumn="0"/>
            <w:tcW w:w="0" w:type="auto"/>
            <w:hideMark/>
          </w:tcPr>
          <w:p w14:paraId="0AF69F6B"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Sodium (mmol/L)</w:t>
            </w:r>
          </w:p>
        </w:tc>
        <w:tc>
          <w:tcPr>
            <w:tcW w:w="0" w:type="auto"/>
            <w:hideMark/>
          </w:tcPr>
          <w:p w14:paraId="324E7994"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132.6 ± 4.8</w:t>
            </w:r>
          </w:p>
        </w:tc>
        <w:tc>
          <w:tcPr>
            <w:tcW w:w="0" w:type="auto"/>
            <w:hideMark/>
          </w:tcPr>
          <w:p w14:paraId="079AF4F7"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138.9 ± 3.6</w:t>
            </w:r>
          </w:p>
        </w:tc>
        <w:tc>
          <w:tcPr>
            <w:cnfStyle w:val="000100000000" w:firstRow="0" w:lastRow="0" w:firstColumn="0" w:lastColumn="1" w:oddVBand="0" w:evenVBand="0" w:oddHBand="0" w:evenHBand="0" w:firstRowFirstColumn="0" w:firstRowLastColumn="0" w:lastRowFirstColumn="0" w:lastRowLastColumn="0"/>
            <w:tcW w:w="0" w:type="auto"/>
            <w:hideMark/>
          </w:tcPr>
          <w:p w14:paraId="5EB4652C"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&lt;0.001</w:t>
            </w:r>
          </w:p>
        </w:tc>
      </w:tr>
      <w:tr w:rsidR="004376B2" w:rsidRPr="00AE30B2" w14:paraId="05DBD50B" w14:textId="77777777" w:rsidTr="007210F1">
        <w:trPr>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38E64DF2"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lastRenderedPageBreak/>
              <w:t>Potassium (mmol/L)</w:t>
            </w:r>
          </w:p>
        </w:tc>
        <w:tc>
          <w:tcPr>
            <w:tcW w:w="0" w:type="auto"/>
            <w:hideMark/>
          </w:tcPr>
          <w:p w14:paraId="7649169A" w14:textId="77777777" w:rsidR="004376B2" w:rsidRPr="00AE30B2" w:rsidRDefault="004369B8"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2.</w:t>
            </w:r>
            <w:r w:rsidR="004376B2" w:rsidRPr="00AE30B2">
              <w:rPr>
                <w:rFonts w:ascii="Arial" w:eastAsia="Times New Roman" w:hAnsi="Arial" w:cs="Arial"/>
                <w:kern w:val="0"/>
                <w:sz w:val="20"/>
                <w:szCs w:val="20"/>
                <w14:ligatures w14:val="none"/>
              </w:rPr>
              <w:t>4 ± 0.5</w:t>
            </w:r>
          </w:p>
        </w:tc>
        <w:tc>
          <w:tcPr>
            <w:tcW w:w="0" w:type="auto"/>
            <w:hideMark/>
          </w:tcPr>
          <w:p w14:paraId="6CF4FC0B" w14:textId="77777777" w:rsidR="004376B2" w:rsidRPr="00AE30B2" w:rsidRDefault="009D7377"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3.1</w:t>
            </w:r>
            <w:r w:rsidR="004376B2" w:rsidRPr="00AE30B2">
              <w:rPr>
                <w:rFonts w:ascii="Arial" w:eastAsia="Times New Roman" w:hAnsi="Arial" w:cs="Arial"/>
                <w:kern w:val="0"/>
                <w:sz w:val="20"/>
                <w:szCs w:val="20"/>
                <w14:ligatures w14:val="none"/>
              </w:rPr>
              <w:t xml:space="preserve"> ± 0.4</w:t>
            </w:r>
          </w:p>
        </w:tc>
        <w:tc>
          <w:tcPr>
            <w:cnfStyle w:val="000100000000" w:firstRow="0" w:lastRow="0" w:firstColumn="0" w:lastColumn="1" w:oddVBand="0" w:evenVBand="0" w:oddHBand="0" w:evenHBand="0" w:firstRowFirstColumn="0" w:firstRowLastColumn="0" w:lastRowFirstColumn="0" w:lastRowLastColumn="0"/>
            <w:tcW w:w="0" w:type="auto"/>
            <w:hideMark/>
          </w:tcPr>
          <w:p w14:paraId="0D7613A2"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0.002</w:t>
            </w:r>
          </w:p>
        </w:tc>
      </w:tr>
      <w:tr w:rsidR="004376B2" w:rsidRPr="00AE30B2" w14:paraId="5CFA631D" w14:textId="77777777" w:rsidTr="007210F1">
        <w:trPr>
          <w:divId w:val="1284460805"/>
          <w:trHeight w:val="554"/>
        </w:trPr>
        <w:tc>
          <w:tcPr>
            <w:cnfStyle w:val="001000000000" w:firstRow="0" w:lastRow="0" w:firstColumn="1" w:lastColumn="0" w:oddVBand="0" w:evenVBand="0" w:oddHBand="0" w:evenHBand="0" w:firstRowFirstColumn="0" w:firstRowLastColumn="0" w:lastRowFirstColumn="0" w:lastRowLastColumn="0"/>
            <w:tcW w:w="0" w:type="auto"/>
            <w:hideMark/>
          </w:tcPr>
          <w:p w14:paraId="5D88BA65"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Chloride (mmol/L)</w:t>
            </w:r>
          </w:p>
        </w:tc>
        <w:tc>
          <w:tcPr>
            <w:tcW w:w="0" w:type="auto"/>
            <w:hideMark/>
          </w:tcPr>
          <w:p w14:paraId="6163A5C2"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96.8 ± 5.2</w:t>
            </w:r>
          </w:p>
        </w:tc>
        <w:tc>
          <w:tcPr>
            <w:tcW w:w="0" w:type="auto"/>
            <w:hideMark/>
          </w:tcPr>
          <w:p w14:paraId="46DAE0FD"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 xml:space="preserve">103.7 ± </w:t>
            </w:r>
            <w:r w:rsidR="009D7377" w:rsidRPr="00AE30B2">
              <w:rPr>
                <w:rFonts w:ascii="Arial" w:eastAsia="Times New Roman" w:hAnsi="Arial" w:cs="Arial"/>
                <w:kern w:val="0"/>
                <w:sz w:val="20"/>
                <w:szCs w:val="20"/>
                <w14:ligatures w14:val="none"/>
              </w:rPr>
              <w:t>3.1</w:t>
            </w:r>
          </w:p>
        </w:tc>
        <w:tc>
          <w:tcPr>
            <w:cnfStyle w:val="000100000000" w:firstRow="0" w:lastRow="0" w:firstColumn="0" w:lastColumn="1" w:oddVBand="0" w:evenVBand="0" w:oddHBand="0" w:evenHBand="0" w:firstRowFirstColumn="0" w:firstRowLastColumn="0" w:lastRowFirstColumn="0" w:lastRowLastColumn="0"/>
            <w:tcW w:w="0" w:type="auto"/>
            <w:hideMark/>
          </w:tcPr>
          <w:p w14:paraId="55F617C2"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&lt;0.001</w:t>
            </w:r>
          </w:p>
        </w:tc>
      </w:tr>
      <w:tr w:rsidR="004376B2" w:rsidRPr="00AE30B2" w14:paraId="33B06D49" w14:textId="77777777" w:rsidTr="007210F1">
        <w:trPr>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0CB9301F"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Bicarbonate (mmol/L)</w:t>
            </w:r>
          </w:p>
        </w:tc>
        <w:tc>
          <w:tcPr>
            <w:tcW w:w="0" w:type="auto"/>
            <w:hideMark/>
          </w:tcPr>
          <w:p w14:paraId="3777CDE9"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18.7 ± 3.6</w:t>
            </w:r>
          </w:p>
        </w:tc>
        <w:tc>
          <w:tcPr>
            <w:tcW w:w="0" w:type="auto"/>
            <w:hideMark/>
          </w:tcPr>
          <w:p w14:paraId="0A23236A"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24.5 ± 2.8</w:t>
            </w:r>
          </w:p>
        </w:tc>
        <w:tc>
          <w:tcPr>
            <w:cnfStyle w:val="000100000000" w:firstRow="0" w:lastRow="0" w:firstColumn="0" w:lastColumn="1" w:oddVBand="0" w:evenVBand="0" w:oddHBand="0" w:evenHBand="0" w:firstRowFirstColumn="0" w:firstRowLastColumn="0" w:lastRowFirstColumn="0" w:lastRowLastColumn="0"/>
            <w:tcW w:w="0" w:type="auto"/>
            <w:hideMark/>
          </w:tcPr>
          <w:p w14:paraId="01123CBA"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&lt;0.001</w:t>
            </w:r>
          </w:p>
        </w:tc>
      </w:tr>
      <w:tr w:rsidR="004376B2" w:rsidRPr="00AE30B2" w14:paraId="59C08293" w14:textId="77777777" w:rsidTr="007210F1">
        <w:trPr>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125D4877"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Zinc (µg/dL)</w:t>
            </w:r>
          </w:p>
        </w:tc>
        <w:tc>
          <w:tcPr>
            <w:tcW w:w="0" w:type="auto"/>
            <w:hideMark/>
          </w:tcPr>
          <w:p w14:paraId="1FB1AC07"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48.5 ± 9.4</w:t>
            </w:r>
          </w:p>
        </w:tc>
        <w:tc>
          <w:tcPr>
            <w:tcW w:w="0" w:type="auto"/>
            <w:hideMark/>
          </w:tcPr>
          <w:p w14:paraId="7E213981" w14:textId="77777777" w:rsidR="004376B2" w:rsidRPr="00AE30B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AE30B2">
              <w:rPr>
                <w:rFonts w:ascii="Arial" w:eastAsia="Times New Roman" w:hAnsi="Arial" w:cs="Arial"/>
                <w:kern w:val="0"/>
                <w:sz w:val="20"/>
                <w:szCs w:val="20"/>
                <w14:ligatures w14:val="none"/>
              </w:rPr>
              <w:t>72.6 ± 11.2</w:t>
            </w:r>
          </w:p>
        </w:tc>
        <w:tc>
          <w:tcPr>
            <w:cnfStyle w:val="000100000000" w:firstRow="0" w:lastRow="0" w:firstColumn="0" w:lastColumn="1" w:oddVBand="0" w:evenVBand="0" w:oddHBand="0" w:evenHBand="0" w:firstRowFirstColumn="0" w:firstRowLastColumn="0" w:lastRowFirstColumn="0" w:lastRowLastColumn="0"/>
            <w:tcW w:w="0" w:type="auto"/>
            <w:hideMark/>
          </w:tcPr>
          <w:p w14:paraId="5BA811D2" w14:textId="77777777" w:rsidR="004376B2" w:rsidRPr="00AE30B2" w:rsidRDefault="004376B2" w:rsidP="00D5102C">
            <w:pPr>
              <w:jc w:val="both"/>
              <w:rPr>
                <w:rFonts w:ascii="Arial" w:eastAsia="Times New Roman" w:hAnsi="Arial" w:cs="Arial"/>
                <w:b w:val="0"/>
                <w:bCs w:val="0"/>
                <w:kern w:val="0"/>
                <w:sz w:val="20"/>
                <w:szCs w:val="20"/>
                <w14:ligatures w14:val="none"/>
              </w:rPr>
            </w:pPr>
            <w:r w:rsidRPr="00AE30B2">
              <w:rPr>
                <w:rFonts w:ascii="Arial" w:eastAsia="Times New Roman" w:hAnsi="Arial" w:cs="Arial"/>
                <w:b w:val="0"/>
                <w:bCs w:val="0"/>
                <w:kern w:val="0"/>
                <w:sz w:val="20"/>
                <w:szCs w:val="20"/>
                <w14:ligatures w14:val="none"/>
              </w:rPr>
              <w:t>&lt;0.001</w:t>
            </w:r>
          </w:p>
        </w:tc>
      </w:tr>
    </w:tbl>
    <w:p w14:paraId="495E20B6" w14:textId="77777777" w:rsidR="00D01F4C" w:rsidRPr="00AE30B2" w:rsidRDefault="009D7377" w:rsidP="00D5102C">
      <w:pPr>
        <w:spacing w:before="100" w:beforeAutospacing="1" w:after="100" w:afterAutospacing="1" w:line="240" w:lineRule="auto"/>
        <w:jc w:val="both"/>
        <w:outlineLvl w:val="0"/>
        <w:divId w:val="584386621"/>
        <w:rPr>
          <w:rFonts w:ascii="Arial" w:eastAsia="Times New Roman" w:hAnsi="Arial" w:cs="Arial"/>
          <w:b/>
          <w:bCs/>
          <w:kern w:val="36"/>
          <w:sz w:val="22"/>
          <w:szCs w:val="22"/>
          <w14:ligatures w14:val="none"/>
        </w:rPr>
      </w:pPr>
      <w:r w:rsidRPr="00AE30B2">
        <w:rPr>
          <w:rFonts w:ascii="Arial" w:eastAsia="Times New Roman" w:hAnsi="Arial" w:cs="Arial"/>
          <w:b/>
          <w:bCs/>
          <w:kern w:val="36"/>
          <w:sz w:val="22"/>
          <w:szCs w:val="22"/>
          <w14:ligatures w14:val="none"/>
        </w:rPr>
        <w:t>3</w:t>
      </w:r>
      <w:r w:rsidR="007210F1" w:rsidRPr="00AE30B2">
        <w:rPr>
          <w:rFonts w:ascii="Arial" w:eastAsia="Times New Roman" w:hAnsi="Arial" w:cs="Arial"/>
          <w:b/>
          <w:bCs/>
          <w:kern w:val="36"/>
          <w:sz w:val="22"/>
          <w:szCs w:val="22"/>
          <w14:ligatures w14:val="none"/>
        </w:rPr>
        <w:t>.2</w:t>
      </w:r>
      <w:r w:rsidR="00D01F4C" w:rsidRPr="00AE30B2">
        <w:rPr>
          <w:rFonts w:ascii="Arial" w:eastAsia="Times New Roman" w:hAnsi="Arial" w:cs="Arial"/>
          <w:b/>
          <w:bCs/>
          <w:kern w:val="36"/>
          <w:sz w:val="22"/>
          <w:szCs w:val="22"/>
          <w14:ligatures w14:val="none"/>
        </w:rPr>
        <w:t>. Discussion</w:t>
      </w:r>
    </w:p>
    <w:p w14:paraId="3B19C1C1" w14:textId="77777777" w:rsidR="00332B59" w:rsidRPr="00AE30B2" w:rsidRDefault="009D7377" w:rsidP="00D5102C">
      <w:pPr>
        <w:spacing w:before="100" w:beforeAutospacing="1" w:after="100" w:afterAutospacing="1" w:line="240" w:lineRule="auto"/>
        <w:jc w:val="both"/>
        <w:outlineLvl w:val="1"/>
        <w:divId w:val="584386621"/>
        <w:rPr>
          <w:rFonts w:ascii="Arial" w:eastAsia="Times New Roman" w:hAnsi="Arial" w:cs="Arial"/>
          <w:b/>
          <w:bCs/>
          <w:i/>
          <w:iCs/>
          <w:kern w:val="0"/>
          <w:sz w:val="20"/>
          <w:szCs w:val="20"/>
          <w:lang w:val="en-US"/>
          <w14:ligatures w14:val="none"/>
        </w:rPr>
      </w:pPr>
      <w:r w:rsidRPr="00AE30B2">
        <w:rPr>
          <w:rFonts w:ascii="Arial" w:eastAsia="Times New Roman" w:hAnsi="Arial" w:cs="Arial"/>
          <w:b/>
          <w:bCs/>
          <w:i/>
          <w:iCs/>
          <w:kern w:val="0"/>
          <w:sz w:val="20"/>
          <w:szCs w:val="20"/>
          <w:lang w:val="en-US"/>
          <w14:ligatures w14:val="none"/>
        </w:rPr>
        <w:t>3</w:t>
      </w:r>
      <w:r w:rsidR="00332B59" w:rsidRPr="00AE30B2">
        <w:rPr>
          <w:rFonts w:ascii="Arial" w:eastAsia="Times New Roman" w:hAnsi="Arial" w:cs="Arial"/>
          <w:b/>
          <w:bCs/>
          <w:i/>
          <w:iCs/>
          <w:kern w:val="0"/>
          <w:sz w:val="20"/>
          <w:szCs w:val="20"/>
          <w:lang w:val="en-US"/>
          <w14:ligatures w14:val="none"/>
        </w:rPr>
        <w:t xml:space="preserve">.2.1 Prevalence of Childhood </w:t>
      </w:r>
      <w:proofErr w:type="spellStart"/>
      <w:r w:rsidR="00332B59" w:rsidRPr="00AE30B2">
        <w:rPr>
          <w:rFonts w:ascii="Arial" w:eastAsia="Times New Roman" w:hAnsi="Arial" w:cs="Arial"/>
          <w:b/>
          <w:bCs/>
          <w:i/>
          <w:iCs/>
          <w:kern w:val="0"/>
          <w:sz w:val="20"/>
          <w:szCs w:val="20"/>
          <w:lang w:val="en-US"/>
          <w14:ligatures w14:val="none"/>
        </w:rPr>
        <w:t>Diarrhoeal</w:t>
      </w:r>
      <w:proofErr w:type="spellEnd"/>
      <w:r w:rsidR="00332B59" w:rsidRPr="00AE30B2">
        <w:rPr>
          <w:rFonts w:ascii="Arial" w:eastAsia="Times New Roman" w:hAnsi="Arial" w:cs="Arial"/>
          <w:b/>
          <w:bCs/>
          <w:i/>
          <w:iCs/>
          <w:kern w:val="0"/>
          <w:sz w:val="20"/>
          <w:szCs w:val="20"/>
          <w:lang w:val="en-US"/>
          <w14:ligatures w14:val="none"/>
        </w:rPr>
        <w:t xml:space="preserve"> Disease in Andoni Local Government Area</w:t>
      </w:r>
    </w:p>
    <w:p w14:paraId="662AE892" w14:textId="77777777" w:rsidR="00332B59" w:rsidRPr="00AE30B2"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Childhood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remains a major public health concern, particularly because children under five years of age are highly susceptible to infection-related complications owing to their developing immune systems and increased risk of dehydration (</w:t>
      </w:r>
      <w:proofErr w:type="spellStart"/>
      <w:r w:rsidRPr="00AE30B2">
        <w:rPr>
          <w:rFonts w:ascii="Arial" w:eastAsia="Times New Roman" w:hAnsi="Arial" w:cs="Arial"/>
          <w:kern w:val="0"/>
          <w:sz w:val="20"/>
          <w:szCs w:val="20"/>
          <w:lang w:val="en-US"/>
          <w14:ligatures w14:val="none"/>
        </w:rPr>
        <w:t>Hayamo</w:t>
      </w:r>
      <w:proofErr w:type="spellEnd"/>
      <w:r w:rsidRPr="00AE30B2">
        <w:rPr>
          <w:rFonts w:ascii="Arial" w:eastAsia="Times New Roman" w:hAnsi="Arial" w:cs="Arial"/>
          <w:kern w:val="0"/>
          <w:sz w:val="20"/>
          <w:szCs w:val="20"/>
          <w:lang w:val="en-US"/>
          <w14:ligatures w14:val="none"/>
        </w:rPr>
        <w:t xml:space="preserve"> et al., 2020). In the present study, a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prevalence of 11.6% was recorded among the 250 children under five years of age assessed in Andoni Local Government Area of Rivers State. This finding indicates a considerable burden of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illness within the study population and highlights the continued vulnerability of children living in riverine communities.</w:t>
      </w:r>
    </w:p>
    <w:p w14:paraId="1729129E" w14:textId="77777777" w:rsidR="00332B59" w:rsidRPr="00AE30B2"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prevalence observed in this study is comparable with reports from previous studies conducted in Nigeria, where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remains among the leading causes of childhood morbidity (</w:t>
      </w:r>
      <w:proofErr w:type="spellStart"/>
      <w:r w:rsidRPr="00AE30B2">
        <w:rPr>
          <w:rFonts w:ascii="Arial" w:hAnsi="Arial" w:cs="Arial"/>
          <w:sz w:val="20"/>
          <w:szCs w:val="20"/>
          <w:lang w:val="en-US"/>
        </w:rPr>
        <w:t>Amuche</w:t>
      </w:r>
      <w:proofErr w:type="spellEnd"/>
      <w:r w:rsidRPr="00AE30B2">
        <w:rPr>
          <w:rFonts w:ascii="Arial" w:hAnsi="Arial" w:cs="Arial"/>
          <w:sz w:val="20"/>
          <w:szCs w:val="20"/>
        </w:rPr>
        <w:t xml:space="preserve"> et al., 2022; Moro et al., 2021; Ugboko et al., 2020)</w:t>
      </w:r>
      <w:r w:rsidRPr="00AE30B2">
        <w:rPr>
          <w:rFonts w:ascii="Arial" w:eastAsia="Times New Roman" w:hAnsi="Arial" w:cs="Arial"/>
          <w:kern w:val="0"/>
          <w:sz w:val="20"/>
          <w:szCs w:val="20"/>
          <w:lang w:val="en-US"/>
          <w14:ligatures w14:val="none"/>
        </w:rPr>
        <w:t xml:space="preserve">. Variations in environmental conditions, seasonal patterns, water quality, sanitation facilities, hygiene practices, and access to healthcare services may influence the prevalence of childhood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across geographical locations. The riverine setting of the area may increase the likelihood of exposure to </w:t>
      </w:r>
      <w:proofErr w:type="spellStart"/>
      <w:r w:rsidRPr="00AE30B2">
        <w:rPr>
          <w:rFonts w:ascii="Arial" w:eastAsia="Times New Roman" w:hAnsi="Arial" w:cs="Arial"/>
          <w:kern w:val="0"/>
          <w:sz w:val="20"/>
          <w:szCs w:val="20"/>
          <w:lang w:val="en-US"/>
          <w14:ligatures w14:val="none"/>
        </w:rPr>
        <w:t>faecally</w:t>
      </w:r>
      <w:proofErr w:type="spellEnd"/>
      <w:r w:rsidRPr="00AE30B2">
        <w:rPr>
          <w:rFonts w:ascii="Arial" w:eastAsia="Times New Roman" w:hAnsi="Arial" w:cs="Arial"/>
          <w:kern w:val="0"/>
          <w:sz w:val="20"/>
          <w:szCs w:val="20"/>
          <w:lang w:val="en-US"/>
          <w14:ligatures w14:val="none"/>
        </w:rPr>
        <w:t xml:space="preserve"> contaminated water and </w:t>
      </w:r>
      <w:proofErr w:type="spellStart"/>
      <w:r w:rsidRPr="00AE30B2">
        <w:rPr>
          <w:rFonts w:ascii="Arial" w:eastAsia="Times New Roman" w:hAnsi="Arial" w:cs="Arial"/>
          <w:kern w:val="0"/>
          <w:sz w:val="20"/>
          <w:szCs w:val="20"/>
          <w:lang w:val="en-US"/>
          <w14:ligatures w14:val="none"/>
        </w:rPr>
        <w:t>enteropathogens</w:t>
      </w:r>
      <w:proofErr w:type="spellEnd"/>
      <w:r w:rsidRPr="00AE30B2">
        <w:rPr>
          <w:rFonts w:ascii="Arial" w:eastAsia="Times New Roman" w:hAnsi="Arial" w:cs="Arial"/>
          <w:kern w:val="0"/>
          <w:sz w:val="20"/>
          <w:szCs w:val="20"/>
          <w:lang w:val="en-US"/>
          <w14:ligatures w14:val="none"/>
        </w:rPr>
        <w:t xml:space="preserve"> (</w:t>
      </w:r>
      <w:proofErr w:type="spellStart"/>
      <w:r w:rsidRPr="00AE30B2">
        <w:rPr>
          <w:rFonts w:ascii="Arial" w:hAnsi="Arial" w:cs="Arial"/>
          <w:sz w:val="20"/>
          <w:szCs w:val="20"/>
          <w:lang w:val="en-US"/>
        </w:rPr>
        <w:t>Nwokoro</w:t>
      </w:r>
      <w:proofErr w:type="spellEnd"/>
      <w:r w:rsidRPr="00AE30B2">
        <w:rPr>
          <w:rFonts w:ascii="Arial" w:hAnsi="Arial" w:cs="Arial"/>
          <w:sz w:val="20"/>
          <w:szCs w:val="20"/>
          <w:lang w:val="en-US"/>
        </w:rPr>
        <w:t xml:space="preserve"> et al., 2020; Kanu et al., 2018; Ayuk et al., 2018)</w:t>
      </w:r>
      <w:r w:rsidRPr="00AE30B2">
        <w:rPr>
          <w:rFonts w:ascii="Arial" w:eastAsia="Times New Roman" w:hAnsi="Arial" w:cs="Arial"/>
          <w:kern w:val="0"/>
          <w:sz w:val="20"/>
          <w:szCs w:val="20"/>
          <w:lang w:val="en-US"/>
          <w14:ligatures w14:val="none"/>
        </w:rPr>
        <w:t>.</w:t>
      </w:r>
    </w:p>
    <w:p w14:paraId="1DBBE841" w14:textId="77777777" w:rsidR="00332B59" w:rsidRPr="00AE30B2"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public health implications of childhood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extend beyond acute gastrointestinal symptoms</w:t>
      </w:r>
      <w:r w:rsidR="00AF5627" w:rsidRPr="00AE30B2">
        <w:rPr>
          <w:rFonts w:ascii="Arial" w:eastAsia="Times New Roman" w:hAnsi="Arial" w:cs="Arial"/>
          <w:kern w:val="0"/>
          <w:sz w:val="20"/>
          <w:szCs w:val="20"/>
          <w:lang w:val="en-US"/>
          <w14:ligatures w14:val="none"/>
        </w:rPr>
        <w:t xml:space="preserve"> (Demissie et al., 2014)</w:t>
      </w:r>
      <w:r w:rsidRPr="00AE30B2">
        <w:rPr>
          <w:rFonts w:ascii="Arial" w:eastAsia="Times New Roman" w:hAnsi="Arial" w:cs="Arial"/>
          <w:kern w:val="0"/>
          <w:sz w:val="20"/>
          <w:szCs w:val="20"/>
          <w:lang w:val="en-US"/>
          <w14:ligatures w14:val="none"/>
        </w:rPr>
        <w:t xml:space="preserve">. Persistent or recurrent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episodes may result in dehydration, electrolyte imbalance, nutritional deficiencies, impaired growth, and increased risk of childhood morbidity. Therefore, the observed prevalence </w:t>
      </w:r>
      <w:proofErr w:type="spellStart"/>
      <w:r w:rsidRPr="00AE30B2">
        <w:rPr>
          <w:rFonts w:ascii="Arial" w:eastAsia="Times New Roman" w:hAnsi="Arial" w:cs="Arial"/>
          <w:kern w:val="0"/>
          <w:sz w:val="20"/>
          <w:szCs w:val="20"/>
          <w:lang w:val="en-US"/>
          <w14:ligatures w14:val="none"/>
        </w:rPr>
        <w:t>emphasises</w:t>
      </w:r>
      <w:proofErr w:type="spellEnd"/>
      <w:r w:rsidRPr="00AE30B2">
        <w:rPr>
          <w:rFonts w:ascii="Arial" w:eastAsia="Times New Roman" w:hAnsi="Arial" w:cs="Arial"/>
          <w:kern w:val="0"/>
          <w:sz w:val="20"/>
          <w:szCs w:val="20"/>
          <w:lang w:val="en-US"/>
          <w14:ligatures w14:val="none"/>
        </w:rPr>
        <w:t xml:space="preserve"> the need for strengthened water, sanitation, and hygiene (WASH) interventions and improved disease prevention strategies in riverine communities</w:t>
      </w:r>
      <w:r w:rsidR="00142B29" w:rsidRPr="00AE30B2">
        <w:rPr>
          <w:rFonts w:ascii="Arial" w:eastAsia="Times New Roman" w:hAnsi="Arial" w:cs="Arial"/>
          <w:kern w:val="0"/>
          <w:sz w:val="20"/>
          <w:szCs w:val="20"/>
          <w:lang w:val="en-US"/>
          <w14:ligatures w14:val="none"/>
        </w:rPr>
        <w:t xml:space="preserve"> (</w:t>
      </w:r>
      <w:r w:rsidR="00142B29" w:rsidRPr="00AE30B2">
        <w:rPr>
          <w:rFonts w:ascii="Arial" w:hAnsi="Arial" w:cs="Arial"/>
          <w:sz w:val="20"/>
          <w:szCs w:val="20"/>
          <w:lang w:val="en-US"/>
        </w:rPr>
        <w:t xml:space="preserve">George et al., 2025; Namusisi, 2025; </w:t>
      </w:r>
      <w:proofErr w:type="spellStart"/>
      <w:r w:rsidR="00142B29" w:rsidRPr="00AE30B2">
        <w:rPr>
          <w:rFonts w:ascii="Arial" w:hAnsi="Arial" w:cs="Arial"/>
          <w:sz w:val="20"/>
          <w:szCs w:val="20"/>
          <w:lang w:val="en-US"/>
        </w:rPr>
        <w:t>Nwokoro</w:t>
      </w:r>
      <w:proofErr w:type="spellEnd"/>
      <w:r w:rsidR="00142B29" w:rsidRPr="00AE30B2">
        <w:rPr>
          <w:rFonts w:ascii="Arial" w:hAnsi="Arial" w:cs="Arial"/>
          <w:sz w:val="20"/>
          <w:szCs w:val="20"/>
          <w:lang w:val="en-US"/>
        </w:rPr>
        <w:t xml:space="preserve"> et al., 2020)</w:t>
      </w:r>
      <w:r w:rsidRPr="00AE30B2">
        <w:rPr>
          <w:rFonts w:ascii="Arial" w:eastAsia="Times New Roman" w:hAnsi="Arial" w:cs="Arial"/>
          <w:kern w:val="0"/>
          <w:sz w:val="20"/>
          <w:szCs w:val="20"/>
          <w:lang w:val="en-US"/>
          <w14:ligatures w14:val="none"/>
        </w:rPr>
        <w:t>.</w:t>
      </w:r>
    </w:p>
    <w:p w14:paraId="4CC9C993" w14:textId="77777777" w:rsidR="00332B59" w:rsidRPr="00AE30B2" w:rsidRDefault="009D7377" w:rsidP="00D5102C">
      <w:pPr>
        <w:spacing w:before="100" w:beforeAutospacing="1" w:after="100" w:afterAutospacing="1" w:line="240" w:lineRule="auto"/>
        <w:jc w:val="both"/>
        <w:outlineLvl w:val="1"/>
        <w:divId w:val="584386621"/>
        <w:rPr>
          <w:rFonts w:ascii="Arial" w:eastAsia="Times New Roman" w:hAnsi="Arial" w:cs="Arial"/>
          <w:b/>
          <w:bCs/>
          <w:i/>
          <w:iCs/>
          <w:kern w:val="0"/>
          <w:sz w:val="20"/>
          <w:szCs w:val="20"/>
          <w:lang w:val="en-US"/>
          <w14:ligatures w14:val="none"/>
        </w:rPr>
      </w:pPr>
      <w:r w:rsidRPr="00AE30B2">
        <w:rPr>
          <w:rFonts w:ascii="Arial" w:eastAsia="Times New Roman" w:hAnsi="Arial" w:cs="Arial"/>
          <w:b/>
          <w:bCs/>
          <w:i/>
          <w:iCs/>
          <w:kern w:val="0"/>
          <w:sz w:val="20"/>
          <w:szCs w:val="20"/>
          <w:lang w:val="en-US"/>
          <w14:ligatures w14:val="none"/>
        </w:rPr>
        <w:t>3</w:t>
      </w:r>
      <w:r w:rsidR="00332B59" w:rsidRPr="00AE30B2">
        <w:rPr>
          <w:rFonts w:ascii="Arial" w:eastAsia="Times New Roman" w:hAnsi="Arial" w:cs="Arial"/>
          <w:b/>
          <w:bCs/>
          <w:i/>
          <w:iCs/>
          <w:kern w:val="0"/>
          <w:sz w:val="20"/>
          <w:szCs w:val="20"/>
          <w:lang w:val="en-US"/>
          <w14:ligatures w14:val="none"/>
        </w:rPr>
        <w:t xml:space="preserve">.2.2 </w:t>
      </w:r>
      <w:proofErr w:type="spellStart"/>
      <w:r w:rsidR="00CD21AA" w:rsidRPr="00AE30B2">
        <w:rPr>
          <w:rFonts w:ascii="Arial" w:eastAsia="Times New Roman" w:hAnsi="Arial" w:cs="Arial"/>
          <w:b/>
          <w:bCs/>
          <w:i/>
          <w:iCs/>
          <w:kern w:val="0"/>
          <w:sz w:val="20"/>
          <w:szCs w:val="20"/>
          <w:lang w:val="en-US"/>
          <w14:ligatures w14:val="none"/>
        </w:rPr>
        <w:t>Enteropathogens</w:t>
      </w:r>
      <w:proofErr w:type="spellEnd"/>
      <w:r w:rsidR="00CD21AA" w:rsidRPr="00AE30B2">
        <w:rPr>
          <w:rFonts w:ascii="Arial" w:eastAsia="Times New Roman" w:hAnsi="Arial" w:cs="Arial"/>
          <w:b/>
          <w:bCs/>
          <w:i/>
          <w:iCs/>
          <w:kern w:val="0"/>
          <w:sz w:val="20"/>
          <w:szCs w:val="20"/>
          <w:lang w:val="en-US"/>
          <w14:ligatures w14:val="none"/>
        </w:rPr>
        <w:t xml:space="preserve"> </w:t>
      </w:r>
      <w:r w:rsidR="00332B59" w:rsidRPr="00AE30B2">
        <w:rPr>
          <w:rFonts w:ascii="Arial" w:eastAsia="Times New Roman" w:hAnsi="Arial" w:cs="Arial"/>
          <w:b/>
          <w:bCs/>
          <w:i/>
          <w:iCs/>
          <w:kern w:val="0"/>
          <w:sz w:val="20"/>
          <w:szCs w:val="20"/>
          <w:lang w:val="en-US"/>
          <w14:ligatures w14:val="none"/>
        </w:rPr>
        <w:t xml:space="preserve">Associated with Childhood </w:t>
      </w:r>
      <w:proofErr w:type="spellStart"/>
      <w:r w:rsidR="00332B59" w:rsidRPr="00AE30B2">
        <w:rPr>
          <w:rFonts w:ascii="Arial" w:eastAsia="Times New Roman" w:hAnsi="Arial" w:cs="Arial"/>
          <w:b/>
          <w:bCs/>
          <w:i/>
          <w:iCs/>
          <w:kern w:val="0"/>
          <w:sz w:val="20"/>
          <w:szCs w:val="20"/>
          <w:lang w:val="en-US"/>
          <w14:ligatures w14:val="none"/>
        </w:rPr>
        <w:t>Diarrhoea</w:t>
      </w:r>
      <w:proofErr w:type="spellEnd"/>
      <w:r w:rsidR="00332B59" w:rsidRPr="00AE30B2">
        <w:rPr>
          <w:rFonts w:ascii="Arial" w:eastAsia="Times New Roman" w:hAnsi="Arial" w:cs="Arial"/>
          <w:b/>
          <w:bCs/>
          <w:i/>
          <w:iCs/>
          <w:kern w:val="0"/>
          <w:sz w:val="20"/>
          <w:szCs w:val="20"/>
          <w:lang w:val="en-US"/>
          <w14:ligatures w14:val="none"/>
        </w:rPr>
        <w:t xml:space="preserve"> </w:t>
      </w:r>
    </w:p>
    <w:p w14:paraId="7446DC93" w14:textId="77777777" w:rsidR="00616404" w:rsidRPr="00AE30B2" w:rsidRDefault="00616404" w:rsidP="00616404">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Four enteric bacterial pathogens were isolated from the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stool samples: </w:t>
      </w:r>
      <w:r w:rsidRPr="00AE30B2">
        <w:rPr>
          <w:rFonts w:ascii="Arial" w:eastAsia="Times New Roman" w:hAnsi="Arial" w:cs="Arial"/>
          <w:i/>
          <w:iCs/>
          <w:kern w:val="0"/>
          <w:sz w:val="20"/>
          <w:szCs w:val="20"/>
          <w:lang w:val="en-US"/>
          <w14:ligatures w14:val="none"/>
        </w:rPr>
        <w:t>Escherichia coli</w:t>
      </w:r>
      <w:r w:rsidRPr="00AE30B2">
        <w:rPr>
          <w:rFonts w:ascii="Arial" w:eastAsia="Times New Roman" w:hAnsi="Arial" w:cs="Arial"/>
          <w:kern w:val="0"/>
          <w:sz w:val="20"/>
          <w:szCs w:val="20"/>
          <w:lang w:val="en-US"/>
          <w14:ligatures w14:val="none"/>
        </w:rPr>
        <w:t xml:space="preserve">, </w:t>
      </w:r>
      <w:r w:rsidRPr="00AE30B2">
        <w:rPr>
          <w:rFonts w:ascii="Arial" w:eastAsia="Times New Roman" w:hAnsi="Arial" w:cs="Arial"/>
          <w:i/>
          <w:iCs/>
          <w:kern w:val="0"/>
          <w:sz w:val="20"/>
          <w:szCs w:val="20"/>
          <w:lang w:val="en-US"/>
          <w14:ligatures w14:val="none"/>
        </w:rPr>
        <w:t>Shigella</w:t>
      </w:r>
      <w:r w:rsidRPr="00AE30B2">
        <w:rPr>
          <w:rFonts w:ascii="Arial" w:eastAsia="Times New Roman" w:hAnsi="Arial" w:cs="Arial"/>
          <w:kern w:val="0"/>
          <w:sz w:val="20"/>
          <w:szCs w:val="20"/>
          <w:lang w:val="en-US"/>
          <w14:ligatures w14:val="none"/>
        </w:rPr>
        <w:t xml:space="preserve"> spp., </w:t>
      </w:r>
      <w:r w:rsidRPr="00AE30B2">
        <w:rPr>
          <w:rFonts w:ascii="Arial" w:eastAsia="Times New Roman" w:hAnsi="Arial" w:cs="Arial"/>
          <w:i/>
          <w:iCs/>
          <w:kern w:val="0"/>
          <w:sz w:val="20"/>
          <w:szCs w:val="20"/>
          <w:lang w:val="en-US"/>
          <w14:ligatures w14:val="none"/>
        </w:rPr>
        <w:t>Salmonella</w:t>
      </w:r>
      <w:r w:rsidRPr="00AE30B2">
        <w:rPr>
          <w:rFonts w:ascii="Arial" w:eastAsia="Times New Roman" w:hAnsi="Arial" w:cs="Arial"/>
          <w:kern w:val="0"/>
          <w:sz w:val="20"/>
          <w:szCs w:val="20"/>
          <w:lang w:val="en-US"/>
          <w14:ligatures w14:val="none"/>
        </w:rPr>
        <w:t xml:space="preserve"> spp., and </w:t>
      </w:r>
      <w:r w:rsidRPr="00AE30B2">
        <w:rPr>
          <w:rFonts w:ascii="Arial" w:eastAsia="Times New Roman" w:hAnsi="Arial" w:cs="Arial"/>
          <w:i/>
          <w:iCs/>
          <w:kern w:val="0"/>
          <w:sz w:val="20"/>
          <w:szCs w:val="20"/>
          <w:lang w:val="en-US"/>
          <w14:ligatures w14:val="none"/>
        </w:rPr>
        <w:t>Vibrio cholerae</w:t>
      </w:r>
      <w:r w:rsidRPr="00AE30B2">
        <w:rPr>
          <w:rFonts w:ascii="Arial" w:eastAsia="Times New Roman" w:hAnsi="Arial" w:cs="Arial"/>
          <w:kern w:val="0"/>
          <w:sz w:val="20"/>
          <w:szCs w:val="20"/>
          <w:lang w:val="en-US"/>
          <w14:ligatures w14:val="none"/>
        </w:rPr>
        <w:t xml:space="preserve">. Among these organisms, </w:t>
      </w:r>
      <w:r w:rsidRPr="00AE30B2">
        <w:rPr>
          <w:rFonts w:ascii="Arial" w:eastAsia="Times New Roman" w:hAnsi="Arial" w:cs="Arial"/>
          <w:i/>
          <w:iCs/>
          <w:kern w:val="0"/>
          <w:sz w:val="20"/>
          <w:szCs w:val="20"/>
          <w:lang w:val="en-US"/>
          <w14:ligatures w14:val="none"/>
        </w:rPr>
        <w:t>E. coli</w:t>
      </w:r>
      <w:r w:rsidRPr="00AE30B2">
        <w:rPr>
          <w:rFonts w:ascii="Arial" w:eastAsia="Times New Roman" w:hAnsi="Arial" w:cs="Arial"/>
          <w:kern w:val="0"/>
          <w:sz w:val="20"/>
          <w:szCs w:val="20"/>
          <w:lang w:val="en-US"/>
          <w14:ligatures w14:val="none"/>
        </w:rPr>
        <w:t xml:space="preserve"> was the predominant isolate, accounting for 44.8% of all bacterial isolates. This finding is consistent with previous studies that have identified diarrhoeagenic </w:t>
      </w:r>
      <w:r w:rsidRPr="00AE30B2">
        <w:rPr>
          <w:rFonts w:ascii="Arial" w:eastAsia="Times New Roman" w:hAnsi="Arial" w:cs="Arial"/>
          <w:i/>
          <w:iCs/>
          <w:kern w:val="0"/>
          <w:sz w:val="20"/>
          <w:szCs w:val="20"/>
          <w:lang w:val="en-US"/>
          <w14:ligatures w14:val="none"/>
        </w:rPr>
        <w:t>E. coli</w:t>
      </w:r>
      <w:r w:rsidRPr="00AE30B2">
        <w:rPr>
          <w:rFonts w:ascii="Arial" w:eastAsia="Times New Roman" w:hAnsi="Arial" w:cs="Arial"/>
          <w:kern w:val="0"/>
          <w:sz w:val="20"/>
          <w:szCs w:val="20"/>
          <w:lang w:val="en-US"/>
          <w14:ligatures w14:val="none"/>
        </w:rPr>
        <w:t xml:space="preserve"> as a leading bacterial cause of childhood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in developing countries.</w:t>
      </w:r>
    </w:p>
    <w:p w14:paraId="5D88DAE0" w14:textId="77777777" w:rsidR="00616404" w:rsidRPr="00AE30B2" w:rsidRDefault="00616404" w:rsidP="00616404">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predominance of </w:t>
      </w:r>
      <w:r w:rsidRPr="00AE30B2">
        <w:rPr>
          <w:rFonts w:ascii="Arial" w:eastAsia="Times New Roman" w:hAnsi="Arial" w:cs="Arial"/>
          <w:i/>
          <w:iCs/>
          <w:kern w:val="0"/>
          <w:sz w:val="20"/>
          <w:szCs w:val="20"/>
          <w:lang w:val="en-US"/>
          <w14:ligatures w14:val="none"/>
        </w:rPr>
        <w:t>E. coli</w:t>
      </w:r>
      <w:r w:rsidRPr="00AE30B2">
        <w:rPr>
          <w:rFonts w:ascii="Arial" w:eastAsia="Times New Roman" w:hAnsi="Arial" w:cs="Arial"/>
          <w:kern w:val="0"/>
          <w:sz w:val="20"/>
          <w:szCs w:val="20"/>
          <w:lang w:val="en-US"/>
          <w14:ligatures w14:val="none"/>
        </w:rPr>
        <w:t xml:space="preserve"> may be attributed to its ability to survive in contaminated environments and its efficient transmission through the </w:t>
      </w:r>
      <w:proofErr w:type="spellStart"/>
      <w:r w:rsidRPr="00AE30B2">
        <w:rPr>
          <w:rFonts w:ascii="Arial" w:eastAsia="Times New Roman" w:hAnsi="Arial" w:cs="Arial"/>
          <w:kern w:val="0"/>
          <w:sz w:val="20"/>
          <w:szCs w:val="20"/>
          <w:lang w:val="en-US"/>
          <w14:ligatures w14:val="none"/>
        </w:rPr>
        <w:t>faecal</w:t>
      </w:r>
      <w:proofErr w:type="spellEnd"/>
      <w:r w:rsidRPr="00AE30B2">
        <w:rPr>
          <w:rFonts w:ascii="Arial" w:eastAsia="Times New Roman" w:hAnsi="Arial" w:cs="Arial"/>
          <w:kern w:val="0"/>
          <w:sz w:val="20"/>
          <w:szCs w:val="20"/>
          <w:lang w:val="en-US"/>
          <w14:ligatures w14:val="none"/>
        </w:rPr>
        <w:t xml:space="preserve">–oral route. Diarrhoeagenic </w:t>
      </w:r>
      <w:r w:rsidRPr="00AE30B2">
        <w:rPr>
          <w:rFonts w:ascii="Arial" w:eastAsia="Times New Roman" w:hAnsi="Arial" w:cs="Arial"/>
          <w:i/>
          <w:iCs/>
          <w:kern w:val="0"/>
          <w:sz w:val="20"/>
          <w:szCs w:val="20"/>
          <w:lang w:val="en-US"/>
          <w14:ligatures w14:val="none"/>
        </w:rPr>
        <w:t>E. coli</w:t>
      </w:r>
      <w:r w:rsidRPr="00AE30B2">
        <w:rPr>
          <w:rFonts w:ascii="Arial" w:eastAsia="Times New Roman" w:hAnsi="Arial" w:cs="Arial"/>
          <w:kern w:val="0"/>
          <w:sz w:val="20"/>
          <w:szCs w:val="20"/>
          <w:lang w:val="en-US"/>
          <w14:ligatures w14:val="none"/>
        </w:rPr>
        <w:t xml:space="preserve"> strains cause disease through several pathogenic mechanisms, including adherence to the intestinal epithelium, production of enterotoxins, and disruption of epithelial barrier integrity. Enterotoxin production stimulates the secretion of electrolytes and water into the intestinal lumen, resulting in increased fluid accumulation and the development of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(Du et al., 2025; Suleiman et al., 2022; Keely &amp; Barrett, 2022).</w:t>
      </w:r>
    </w:p>
    <w:p w14:paraId="6641BDBB" w14:textId="77777777" w:rsidR="00616404" w:rsidRPr="00AE30B2" w:rsidRDefault="00616404" w:rsidP="00616404">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isolation of </w:t>
      </w:r>
      <w:r w:rsidRPr="00AE30B2">
        <w:rPr>
          <w:rFonts w:ascii="Arial" w:eastAsia="Times New Roman" w:hAnsi="Arial" w:cs="Arial"/>
          <w:i/>
          <w:iCs/>
          <w:kern w:val="0"/>
          <w:sz w:val="20"/>
          <w:szCs w:val="20"/>
          <w:lang w:val="en-US"/>
          <w14:ligatures w14:val="none"/>
        </w:rPr>
        <w:t>Shigella</w:t>
      </w:r>
      <w:r w:rsidRPr="00AE30B2">
        <w:rPr>
          <w:rFonts w:ascii="Arial" w:eastAsia="Times New Roman" w:hAnsi="Arial" w:cs="Arial"/>
          <w:kern w:val="0"/>
          <w:sz w:val="20"/>
          <w:szCs w:val="20"/>
          <w:lang w:val="en-US"/>
          <w14:ligatures w14:val="none"/>
        </w:rPr>
        <w:t xml:space="preserve"> spp. and </w:t>
      </w:r>
      <w:r w:rsidRPr="00AE30B2">
        <w:rPr>
          <w:rFonts w:ascii="Arial" w:eastAsia="Times New Roman" w:hAnsi="Arial" w:cs="Arial"/>
          <w:i/>
          <w:iCs/>
          <w:kern w:val="0"/>
          <w:sz w:val="20"/>
          <w:szCs w:val="20"/>
          <w:lang w:val="en-US"/>
          <w14:ligatures w14:val="none"/>
        </w:rPr>
        <w:t>Salmonella</w:t>
      </w:r>
      <w:r w:rsidRPr="00AE30B2">
        <w:rPr>
          <w:rFonts w:ascii="Arial" w:eastAsia="Times New Roman" w:hAnsi="Arial" w:cs="Arial"/>
          <w:kern w:val="0"/>
          <w:sz w:val="20"/>
          <w:szCs w:val="20"/>
          <w:lang w:val="en-US"/>
          <w14:ligatures w14:val="none"/>
        </w:rPr>
        <w:t xml:space="preserve"> spp. also has important public health implications because these organisms possess invasive properties that promote intestinal inflammation and tissue injury </w:t>
      </w:r>
      <w:r w:rsidRPr="00AE30B2">
        <w:rPr>
          <w:rFonts w:ascii="Arial" w:eastAsia="Times New Roman" w:hAnsi="Arial" w:cs="Arial"/>
          <w:kern w:val="0"/>
          <w:sz w:val="20"/>
          <w:szCs w:val="20"/>
          <w:lang w:val="en-US"/>
          <w14:ligatures w14:val="none"/>
        </w:rPr>
        <w:lastRenderedPageBreak/>
        <w:t>(</w:t>
      </w:r>
      <w:proofErr w:type="spellStart"/>
      <w:r w:rsidRPr="00AE30B2">
        <w:rPr>
          <w:rFonts w:ascii="Arial" w:eastAsia="Times New Roman" w:hAnsi="Arial" w:cs="Arial"/>
          <w:kern w:val="0"/>
          <w:sz w:val="20"/>
          <w:szCs w:val="20"/>
          <w:lang w:val="en-US"/>
          <w14:ligatures w14:val="none"/>
        </w:rPr>
        <w:t>Omololu</w:t>
      </w:r>
      <w:proofErr w:type="spellEnd"/>
      <w:r w:rsidRPr="00AE30B2">
        <w:rPr>
          <w:rFonts w:ascii="Arial" w:eastAsia="Times New Roman" w:hAnsi="Arial" w:cs="Arial"/>
          <w:kern w:val="0"/>
          <w:sz w:val="20"/>
          <w:szCs w:val="20"/>
          <w:lang w:val="en-US"/>
          <w14:ligatures w14:val="none"/>
        </w:rPr>
        <w:t xml:space="preserve">-Aso et al., 2023; </w:t>
      </w:r>
      <w:proofErr w:type="spellStart"/>
      <w:r w:rsidRPr="00AE30B2">
        <w:rPr>
          <w:rFonts w:ascii="Arial" w:eastAsia="Times New Roman" w:hAnsi="Arial" w:cs="Arial"/>
          <w:kern w:val="0"/>
          <w:sz w:val="20"/>
          <w:szCs w:val="20"/>
          <w:lang w:val="en-US"/>
          <w14:ligatures w14:val="none"/>
        </w:rPr>
        <w:t>Pakbin</w:t>
      </w:r>
      <w:proofErr w:type="spellEnd"/>
      <w:r w:rsidRPr="00AE30B2">
        <w:rPr>
          <w:rFonts w:ascii="Arial" w:eastAsia="Times New Roman" w:hAnsi="Arial" w:cs="Arial"/>
          <w:kern w:val="0"/>
          <w:sz w:val="20"/>
          <w:szCs w:val="20"/>
          <w:lang w:val="en-US"/>
          <w14:ligatures w14:val="none"/>
        </w:rPr>
        <w:t xml:space="preserve"> et al., 2023). </w:t>
      </w:r>
      <w:r w:rsidRPr="00AE30B2">
        <w:rPr>
          <w:rFonts w:ascii="Arial" w:eastAsia="Times New Roman" w:hAnsi="Arial" w:cs="Arial"/>
          <w:i/>
          <w:iCs/>
          <w:kern w:val="0"/>
          <w:sz w:val="20"/>
          <w:szCs w:val="20"/>
          <w:lang w:val="en-US"/>
          <w14:ligatures w14:val="none"/>
        </w:rPr>
        <w:t>Shigella</w:t>
      </w:r>
      <w:r w:rsidRPr="00AE30B2">
        <w:rPr>
          <w:rFonts w:ascii="Arial" w:eastAsia="Times New Roman" w:hAnsi="Arial" w:cs="Arial"/>
          <w:kern w:val="0"/>
          <w:sz w:val="20"/>
          <w:szCs w:val="20"/>
          <w:lang w:val="en-US"/>
          <w14:ligatures w14:val="none"/>
        </w:rPr>
        <w:t xml:space="preserve"> spp. </w:t>
      </w:r>
      <w:proofErr w:type="gramStart"/>
      <w:r w:rsidRPr="00AE30B2">
        <w:rPr>
          <w:rFonts w:ascii="Arial" w:eastAsia="Times New Roman" w:hAnsi="Arial" w:cs="Arial"/>
          <w:kern w:val="0"/>
          <w:sz w:val="20"/>
          <w:szCs w:val="20"/>
          <w:lang w:val="en-US"/>
          <w14:ligatures w14:val="none"/>
        </w:rPr>
        <w:t>invade</w:t>
      </w:r>
      <w:proofErr w:type="gramEnd"/>
      <w:r w:rsidRPr="00AE30B2">
        <w:rPr>
          <w:rFonts w:ascii="Arial" w:eastAsia="Times New Roman" w:hAnsi="Arial" w:cs="Arial"/>
          <w:kern w:val="0"/>
          <w:sz w:val="20"/>
          <w:szCs w:val="20"/>
          <w:lang w:val="en-US"/>
          <w14:ligatures w14:val="none"/>
        </w:rPr>
        <w:t xml:space="preserve"> colonic epithelial cells and may produce Shiga toxin, leading to mucosal damage and impaired intestinal absorption (Rogers et al., 2023). Similarly, </w:t>
      </w:r>
      <w:r w:rsidRPr="00AE30B2">
        <w:rPr>
          <w:rFonts w:ascii="Arial" w:eastAsia="Times New Roman" w:hAnsi="Arial" w:cs="Arial"/>
          <w:i/>
          <w:iCs/>
          <w:kern w:val="0"/>
          <w:sz w:val="20"/>
          <w:szCs w:val="20"/>
          <w:lang w:val="en-US"/>
          <w14:ligatures w14:val="none"/>
        </w:rPr>
        <w:t>Salmonella</w:t>
      </w:r>
      <w:r w:rsidRPr="00AE30B2">
        <w:rPr>
          <w:rFonts w:ascii="Arial" w:eastAsia="Times New Roman" w:hAnsi="Arial" w:cs="Arial"/>
          <w:kern w:val="0"/>
          <w:sz w:val="20"/>
          <w:szCs w:val="20"/>
          <w:lang w:val="en-US"/>
          <w14:ligatures w14:val="none"/>
        </w:rPr>
        <w:t xml:space="preserve"> spp. </w:t>
      </w:r>
      <w:proofErr w:type="gramStart"/>
      <w:r w:rsidRPr="00AE30B2">
        <w:rPr>
          <w:rFonts w:ascii="Arial" w:eastAsia="Times New Roman" w:hAnsi="Arial" w:cs="Arial"/>
          <w:kern w:val="0"/>
          <w:sz w:val="20"/>
          <w:szCs w:val="20"/>
          <w:lang w:val="en-US"/>
          <w14:ligatures w14:val="none"/>
        </w:rPr>
        <w:t>invade</w:t>
      </w:r>
      <w:proofErr w:type="gramEnd"/>
      <w:r w:rsidRPr="00AE30B2">
        <w:rPr>
          <w:rFonts w:ascii="Arial" w:eastAsia="Times New Roman" w:hAnsi="Arial" w:cs="Arial"/>
          <w:kern w:val="0"/>
          <w:sz w:val="20"/>
          <w:szCs w:val="20"/>
          <w:lang w:val="en-US"/>
          <w14:ligatures w14:val="none"/>
        </w:rPr>
        <w:t xml:space="preserve"> the intestinal mucosa, triggering inflammatory responses that increase intestinal secretion and disrupt normal gastrointestinal function (Ismaila et al., 2026; Han et al., 2024).</w:t>
      </w:r>
    </w:p>
    <w:p w14:paraId="0318A087" w14:textId="77777777" w:rsidR="00616404" w:rsidRPr="00AE30B2" w:rsidRDefault="00616404" w:rsidP="00616404">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detection of </w:t>
      </w:r>
      <w:r w:rsidRPr="00AE30B2">
        <w:rPr>
          <w:rFonts w:ascii="Arial" w:eastAsia="Times New Roman" w:hAnsi="Arial" w:cs="Arial"/>
          <w:i/>
          <w:iCs/>
          <w:kern w:val="0"/>
          <w:sz w:val="20"/>
          <w:szCs w:val="20"/>
          <w:lang w:val="en-US"/>
          <w14:ligatures w14:val="none"/>
        </w:rPr>
        <w:t>Vibrio cholerae</w:t>
      </w:r>
      <w:r w:rsidRPr="00AE30B2">
        <w:rPr>
          <w:rFonts w:ascii="Arial" w:eastAsia="Times New Roman" w:hAnsi="Arial" w:cs="Arial"/>
          <w:kern w:val="0"/>
          <w:sz w:val="20"/>
          <w:szCs w:val="20"/>
          <w:lang w:val="en-US"/>
          <w14:ligatures w14:val="none"/>
        </w:rPr>
        <w:t xml:space="preserve"> among the study participants is particularly significant because of its association with waterborne disease outbreaks. Cholera toxin produced by </w:t>
      </w:r>
      <w:r w:rsidRPr="00AE30B2">
        <w:rPr>
          <w:rFonts w:ascii="Arial" w:eastAsia="Times New Roman" w:hAnsi="Arial" w:cs="Arial"/>
          <w:i/>
          <w:iCs/>
          <w:kern w:val="0"/>
          <w:sz w:val="20"/>
          <w:szCs w:val="20"/>
          <w:lang w:val="en-US"/>
          <w14:ligatures w14:val="none"/>
        </w:rPr>
        <w:t>V. cholerae</w:t>
      </w:r>
      <w:r w:rsidRPr="00AE30B2">
        <w:rPr>
          <w:rFonts w:ascii="Arial" w:eastAsia="Times New Roman" w:hAnsi="Arial" w:cs="Arial"/>
          <w:kern w:val="0"/>
          <w:sz w:val="20"/>
          <w:szCs w:val="20"/>
          <w:lang w:val="en-US"/>
          <w14:ligatures w14:val="none"/>
        </w:rPr>
        <w:t xml:space="preserve"> activates intracellular </w:t>
      </w:r>
      <w:proofErr w:type="spellStart"/>
      <w:r w:rsidRPr="00AE30B2">
        <w:rPr>
          <w:rFonts w:ascii="Arial" w:eastAsia="Times New Roman" w:hAnsi="Arial" w:cs="Arial"/>
          <w:kern w:val="0"/>
          <w:sz w:val="20"/>
          <w:szCs w:val="20"/>
          <w:lang w:val="en-US"/>
          <w14:ligatures w14:val="none"/>
        </w:rPr>
        <w:t>signalling</w:t>
      </w:r>
      <w:proofErr w:type="spellEnd"/>
      <w:r w:rsidRPr="00AE30B2">
        <w:rPr>
          <w:rFonts w:ascii="Arial" w:eastAsia="Times New Roman" w:hAnsi="Arial" w:cs="Arial"/>
          <w:kern w:val="0"/>
          <w:sz w:val="20"/>
          <w:szCs w:val="20"/>
          <w:lang w:val="en-US"/>
          <w14:ligatures w14:val="none"/>
        </w:rPr>
        <w:t xml:space="preserve"> pathways that stimulate chloride and water secretion into the intestinal lumen, resulting in profuse watery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and rapid fluid loss (Montero et al., 2023; Keely &amp; Barrett, 2022; </w:t>
      </w:r>
      <w:proofErr w:type="spellStart"/>
      <w:r w:rsidRPr="00AE30B2">
        <w:rPr>
          <w:rFonts w:ascii="Arial" w:eastAsia="Times New Roman" w:hAnsi="Arial" w:cs="Arial"/>
          <w:kern w:val="0"/>
          <w:sz w:val="20"/>
          <w:szCs w:val="20"/>
          <w:lang w:val="en-US"/>
          <w14:ligatures w14:val="none"/>
        </w:rPr>
        <w:t>Manetu</w:t>
      </w:r>
      <w:proofErr w:type="spellEnd"/>
      <w:r w:rsidRPr="00AE30B2">
        <w:rPr>
          <w:rFonts w:ascii="Arial" w:eastAsia="Times New Roman" w:hAnsi="Arial" w:cs="Arial"/>
          <w:kern w:val="0"/>
          <w:sz w:val="20"/>
          <w:szCs w:val="20"/>
          <w:lang w:val="en-US"/>
          <w14:ligatures w14:val="none"/>
        </w:rPr>
        <w:t xml:space="preserve"> et al., 2021; Moro et al., 2021). The presence of these bacterial pathogens in Andoni Local Government Area underscores the need to improve access to safe drinking water, strengthen sanitation and hygiene practices, and enhance surveillance of enteric bacterial infections to reduce the burden of childhood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w:t>
      </w:r>
    </w:p>
    <w:p w14:paraId="62D31C9A" w14:textId="77777777" w:rsidR="00560ACA" w:rsidRPr="00AE30B2" w:rsidRDefault="00560ACA" w:rsidP="00560ACA">
      <w:pPr>
        <w:spacing w:before="100" w:beforeAutospacing="1" w:after="100" w:afterAutospacing="1" w:line="240" w:lineRule="auto"/>
        <w:jc w:val="both"/>
        <w:outlineLvl w:val="1"/>
        <w:divId w:val="584386621"/>
        <w:rPr>
          <w:rFonts w:ascii="Arial" w:eastAsia="Times New Roman" w:hAnsi="Arial" w:cs="Arial"/>
          <w:b/>
          <w:bCs/>
          <w:kern w:val="0"/>
          <w:sz w:val="20"/>
          <w:szCs w:val="20"/>
          <w:lang w:val="en-US"/>
          <w14:ligatures w14:val="none"/>
        </w:rPr>
      </w:pPr>
      <w:r w:rsidRPr="00AE30B2">
        <w:rPr>
          <w:rFonts w:ascii="Arial" w:eastAsia="Times New Roman" w:hAnsi="Arial" w:cs="Arial"/>
          <w:b/>
          <w:bCs/>
          <w:kern w:val="0"/>
          <w:sz w:val="20"/>
          <w:szCs w:val="20"/>
          <w:lang w:val="en-US"/>
          <w14:ligatures w14:val="none"/>
        </w:rPr>
        <w:t xml:space="preserve">3.2.3 Enteropathogenic Load among the Isolated Organisms in Children with </w:t>
      </w:r>
      <w:proofErr w:type="spellStart"/>
      <w:r w:rsidRPr="00AE30B2">
        <w:rPr>
          <w:rFonts w:ascii="Arial" w:eastAsia="Times New Roman" w:hAnsi="Arial" w:cs="Arial"/>
          <w:b/>
          <w:bCs/>
          <w:kern w:val="0"/>
          <w:sz w:val="20"/>
          <w:szCs w:val="20"/>
          <w:lang w:val="en-US"/>
          <w14:ligatures w14:val="none"/>
        </w:rPr>
        <w:t>Diarrhoeal</w:t>
      </w:r>
      <w:proofErr w:type="spellEnd"/>
      <w:r w:rsidRPr="00AE30B2">
        <w:rPr>
          <w:rFonts w:ascii="Arial" w:eastAsia="Times New Roman" w:hAnsi="Arial" w:cs="Arial"/>
          <w:b/>
          <w:bCs/>
          <w:kern w:val="0"/>
          <w:sz w:val="20"/>
          <w:szCs w:val="20"/>
          <w:lang w:val="en-US"/>
          <w14:ligatures w14:val="none"/>
        </w:rPr>
        <w:t xml:space="preserve"> Disease</w:t>
      </w:r>
    </w:p>
    <w:p w14:paraId="57FD3DAD" w14:textId="77777777" w:rsidR="00616404" w:rsidRPr="00AE30B2" w:rsidRDefault="00616404" w:rsidP="00616404">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findings of the present study demonstrated variations in bacterial load among the isolated enteric bacterial pathogens, with </w:t>
      </w:r>
      <w:r w:rsidRPr="00AE30B2">
        <w:rPr>
          <w:rFonts w:ascii="Arial" w:eastAsia="Times New Roman" w:hAnsi="Arial" w:cs="Arial"/>
          <w:i/>
          <w:iCs/>
          <w:kern w:val="0"/>
          <w:sz w:val="20"/>
          <w:szCs w:val="20"/>
          <w:lang w:val="en-US"/>
          <w14:ligatures w14:val="none"/>
        </w:rPr>
        <w:t>Escherichia coli</w:t>
      </w:r>
      <w:r w:rsidRPr="00AE30B2">
        <w:rPr>
          <w:rFonts w:ascii="Arial" w:eastAsia="Times New Roman" w:hAnsi="Arial" w:cs="Arial"/>
          <w:kern w:val="0"/>
          <w:sz w:val="20"/>
          <w:szCs w:val="20"/>
          <w:lang w:val="en-US"/>
          <w14:ligatures w14:val="none"/>
        </w:rPr>
        <w:t xml:space="preserve"> exhibiting the highest mean bacterial load, followed by </w:t>
      </w:r>
      <w:r w:rsidRPr="00AE30B2">
        <w:rPr>
          <w:rFonts w:ascii="Arial" w:eastAsia="Times New Roman" w:hAnsi="Arial" w:cs="Arial"/>
          <w:i/>
          <w:iCs/>
          <w:kern w:val="0"/>
          <w:sz w:val="20"/>
          <w:szCs w:val="20"/>
          <w:lang w:val="en-US"/>
          <w14:ligatures w14:val="none"/>
        </w:rPr>
        <w:t>Salmonella</w:t>
      </w:r>
      <w:r w:rsidRPr="00AE30B2">
        <w:rPr>
          <w:rFonts w:ascii="Arial" w:eastAsia="Times New Roman" w:hAnsi="Arial" w:cs="Arial"/>
          <w:kern w:val="0"/>
          <w:sz w:val="20"/>
          <w:szCs w:val="20"/>
          <w:lang w:val="en-US"/>
          <w14:ligatures w14:val="none"/>
        </w:rPr>
        <w:t xml:space="preserve"> spp., </w:t>
      </w:r>
      <w:r w:rsidRPr="00AE30B2">
        <w:rPr>
          <w:rFonts w:ascii="Arial" w:eastAsia="Times New Roman" w:hAnsi="Arial" w:cs="Arial"/>
          <w:i/>
          <w:iCs/>
          <w:kern w:val="0"/>
          <w:sz w:val="20"/>
          <w:szCs w:val="20"/>
          <w:lang w:val="en-US"/>
          <w14:ligatures w14:val="none"/>
        </w:rPr>
        <w:t>Vibrio cholerae</w:t>
      </w:r>
      <w:r w:rsidRPr="00AE30B2">
        <w:rPr>
          <w:rFonts w:ascii="Arial" w:eastAsia="Times New Roman" w:hAnsi="Arial" w:cs="Arial"/>
          <w:kern w:val="0"/>
          <w:sz w:val="20"/>
          <w:szCs w:val="20"/>
          <w:lang w:val="en-US"/>
          <w14:ligatures w14:val="none"/>
        </w:rPr>
        <w:t xml:space="preserve">, and </w:t>
      </w:r>
      <w:r w:rsidRPr="00AE30B2">
        <w:rPr>
          <w:rFonts w:ascii="Arial" w:eastAsia="Times New Roman" w:hAnsi="Arial" w:cs="Arial"/>
          <w:i/>
          <w:iCs/>
          <w:kern w:val="0"/>
          <w:sz w:val="20"/>
          <w:szCs w:val="20"/>
          <w:lang w:val="en-US"/>
          <w14:ligatures w14:val="none"/>
        </w:rPr>
        <w:t>Shigella</w:t>
      </w:r>
      <w:r w:rsidRPr="00AE30B2">
        <w:rPr>
          <w:rFonts w:ascii="Arial" w:eastAsia="Times New Roman" w:hAnsi="Arial" w:cs="Arial"/>
          <w:kern w:val="0"/>
          <w:sz w:val="20"/>
          <w:szCs w:val="20"/>
          <w:lang w:val="en-US"/>
          <w14:ligatures w14:val="none"/>
        </w:rPr>
        <w:t xml:space="preserve"> spp. Bacterial load reflects the magnitude of bacterial </w:t>
      </w:r>
      <w:proofErr w:type="spellStart"/>
      <w:r w:rsidRPr="00AE30B2">
        <w:rPr>
          <w:rFonts w:ascii="Arial" w:eastAsia="Times New Roman" w:hAnsi="Arial" w:cs="Arial"/>
          <w:kern w:val="0"/>
          <w:sz w:val="20"/>
          <w:szCs w:val="20"/>
          <w:lang w:val="en-US"/>
          <w14:ligatures w14:val="none"/>
        </w:rPr>
        <w:t>colonisation</w:t>
      </w:r>
      <w:proofErr w:type="spellEnd"/>
      <w:r w:rsidRPr="00AE30B2">
        <w:rPr>
          <w:rFonts w:ascii="Arial" w:eastAsia="Times New Roman" w:hAnsi="Arial" w:cs="Arial"/>
          <w:kern w:val="0"/>
          <w:sz w:val="20"/>
          <w:szCs w:val="20"/>
          <w:lang w:val="en-US"/>
          <w14:ligatures w14:val="none"/>
        </w:rPr>
        <w:t xml:space="preserve"> during infection and may provide valuable insights into disease severity, host response, and the clinical impact of enteric bacterial infections (Liu et al., 2016).</w:t>
      </w:r>
    </w:p>
    <w:p w14:paraId="2933FEC0" w14:textId="77777777" w:rsidR="00616404" w:rsidRPr="00AE30B2" w:rsidRDefault="00616404" w:rsidP="00616404">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An increased bacterial burden may promote enhanced production of bacterial toxins (Popoff, 2024), disruption of intestinal epithelial integrity (Awad et al., 2017), activation of inflammatory pathways (Han et al., 2024), and reduced intestinal absorptive capacity (</w:t>
      </w:r>
      <w:proofErr w:type="spellStart"/>
      <w:r w:rsidRPr="00AE30B2">
        <w:rPr>
          <w:rFonts w:ascii="Arial" w:eastAsia="Times New Roman" w:hAnsi="Arial" w:cs="Arial"/>
          <w:kern w:val="0"/>
          <w:sz w:val="20"/>
          <w:szCs w:val="20"/>
          <w:lang w:val="en-US"/>
          <w14:ligatures w14:val="none"/>
        </w:rPr>
        <w:t>Pakbin</w:t>
      </w:r>
      <w:proofErr w:type="spellEnd"/>
      <w:r w:rsidRPr="00AE30B2">
        <w:rPr>
          <w:rFonts w:ascii="Arial" w:eastAsia="Times New Roman" w:hAnsi="Arial" w:cs="Arial"/>
          <w:kern w:val="0"/>
          <w:sz w:val="20"/>
          <w:szCs w:val="20"/>
          <w:lang w:val="en-US"/>
          <w14:ligatures w14:val="none"/>
        </w:rPr>
        <w:t xml:space="preserve"> et al., 2023; </w:t>
      </w:r>
      <w:proofErr w:type="spellStart"/>
      <w:r w:rsidRPr="00AE30B2">
        <w:rPr>
          <w:rFonts w:ascii="Arial" w:eastAsia="Times New Roman" w:hAnsi="Arial" w:cs="Arial"/>
          <w:kern w:val="0"/>
          <w:sz w:val="20"/>
          <w:szCs w:val="20"/>
          <w:lang w:val="en-US"/>
          <w14:ligatures w14:val="none"/>
        </w:rPr>
        <w:t>Schnupf</w:t>
      </w:r>
      <w:proofErr w:type="spellEnd"/>
      <w:r w:rsidRPr="00AE30B2">
        <w:rPr>
          <w:rFonts w:ascii="Arial" w:eastAsia="Times New Roman" w:hAnsi="Arial" w:cs="Arial"/>
          <w:kern w:val="0"/>
          <w:sz w:val="20"/>
          <w:szCs w:val="20"/>
          <w:lang w:val="en-US"/>
          <w14:ligatures w14:val="none"/>
        </w:rPr>
        <w:t xml:space="preserve"> &amp; Sansonetti, 2019). These processes contribute to increased intestinal fluid loss and disturbances in electrolyte and nutrient balance, which are common complications of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(Montero et al., 2023; Keely &amp; Barrett, 2022).</w:t>
      </w:r>
    </w:p>
    <w:p w14:paraId="4AC0CA9D" w14:textId="77777777" w:rsidR="00616404" w:rsidRPr="00AE30B2" w:rsidRDefault="00616404" w:rsidP="00616404">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differences observed in bacterial load among the identified organisms may be attributed to variations in virulence characteristics, </w:t>
      </w:r>
      <w:proofErr w:type="spellStart"/>
      <w:r w:rsidRPr="00AE30B2">
        <w:rPr>
          <w:rFonts w:ascii="Arial" w:eastAsia="Times New Roman" w:hAnsi="Arial" w:cs="Arial"/>
          <w:kern w:val="0"/>
          <w:sz w:val="20"/>
          <w:szCs w:val="20"/>
          <w:lang w:val="en-US"/>
          <w14:ligatures w14:val="none"/>
        </w:rPr>
        <w:t>colonisation</w:t>
      </w:r>
      <w:proofErr w:type="spellEnd"/>
      <w:r w:rsidRPr="00AE30B2">
        <w:rPr>
          <w:rFonts w:ascii="Arial" w:eastAsia="Times New Roman" w:hAnsi="Arial" w:cs="Arial"/>
          <w:kern w:val="0"/>
          <w:sz w:val="20"/>
          <w:szCs w:val="20"/>
          <w:lang w:val="en-US"/>
          <w14:ligatures w14:val="none"/>
        </w:rPr>
        <w:t xml:space="preserve"> potential, environmental persistence, and host–pathogen interactions. Therefore, quantifying the bacterial load provides additional epidemiological and clinical information beyond pathogen identification alone, as it helps to estimate the intensity of infection and its potential contribution to intestinal dysfunction and the biochemical alterations observed among affected children (Ahmad et al., 2025; Hilarion et al., 2024; Okafor, 2024).</w:t>
      </w:r>
    </w:p>
    <w:p w14:paraId="6129D215" w14:textId="77777777" w:rsidR="00332B59" w:rsidRPr="00AE30B2" w:rsidRDefault="009D7377" w:rsidP="00D5102C">
      <w:pPr>
        <w:spacing w:before="100" w:beforeAutospacing="1" w:after="100" w:afterAutospacing="1" w:line="240" w:lineRule="auto"/>
        <w:jc w:val="both"/>
        <w:outlineLvl w:val="1"/>
        <w:divId w:val="584386621"/>
        <w:rPr>
          <w:rFonts w:ascii="Arial" w:eastAsia="Times New Roman" w:hAnsi="Arial" w:cs="Arial"/>
          <w:b/>
          <w:bCs/>
          <w:i/>
          <w:iCs/>
          <w:kern w:val="0"/>
          <w:sz w:val="20"/>
          <w:szCs w:val="20"/>
          <w:lang w:val="en-US"/>
          <w14:ligatures w14:val="none"/>
        </w:rPr>
      </w:pPr>
      <w:r w:rsidRPr="00AE30B2">
        <w:rPr>
          <w:rFonts w:ascii="Arial" w:eastAsia="Times New Roman" w:hAnsi="Arial" w:cs="Arial"/>
          <w:b/>
          <w:bCs/>
          <w:i/>
          <w:iCs/>
          <w:kern w:val="0"/>
          <w:sz w:val="20"/>
          <w:szCs w:val="20"/>
          <w:lang w:val="en-US"/>
          <w14:ligatures w14:val="none"/>
        </w:rPr>
        <w:t>3</w:t>
      </w:r>
      <w:r w:rsidR="00332B59" w:rsidRPr="00AE30B2">
        <w:rPr>
          <w:rFonts w:ascii="Arial" w:eastAsia="Times New Roman" w:hAnsi="Arial" w:cs="Arial"/>
          <w:b/>
          <w:bCs/>
          <w:i/>
          <w:iCs/>
          <w:kern w:val="0"/>
          <w:sz w:val="20"/>
          <w:szCs w:val="20"/>
          <w:lang w:val="en-US"/>
          <w14:ligatures w14:val="none"/>
        </w:rPr>
        <w:t xml:space="preserve">.2.4 Electrolyte Imbalance and Zinc Depletion Associated with Childhood </w:t>
      </w:r>
      <w:proofErr w:type="spellStart"/>
      <w:r w:rsidR="00332B59" w:rsidRPr="00AE30B2">
        <w:rPr>
          <w:rFonts w:ascii="Arial" w:eastAsia="Times New Roman" w:hAnsi="Arial" w:cs="Arial"/>
          <w:b/>
          <w:bCs/>
          <w:i/>
          <w:iCs/>
          <w:kern w:val="0"/>
          <w:sz w:val="20"/>
          <w:szCs w:val="20"/>
          <w:lang w:val="en-US"/>
          <w14:ligatures w14:val="none"/>
        </w:rPr>
        <w:t>Diarrhoea</w:t>
      </w:r>
      <w:proofErr w:type="spellEnd"/>
    </w:p>
    <w:p w14:paraId="1C6D62CC" w14:textId="3A7BD320" w:rsidR="00105FD6" w:rsidRPr="00AE30B2" w:rsidRDefault="00105FD6" w:rsidP="00105FD6">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Children with acute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exhibited marked metabolic disturbances, </w:t>
      </w:r>
      <w:proofErr w:type="spellStart"/>
      <w:r w:rsidRPr="00AE30B2">
        <w:rPr>
          <w:rFonts w:ascii="Arial" w:eastAsia="Times New Roman" w:hAnsi="Arial" w:cs="Arial"/>
          <w:kern w:val="0"/>
          <w:sz w:val="20"/>
          <w:szCs w:val="20"/>
          <w:lang w:val="en-US"/>
          <w14:ligatures w14:val="none"/>
        </w:rPr>
        <w:t>characterised</w:t>
      </w:r>
      <w:proofErr w:type="spellEnd"/>
      <w:r w:rsidRPr="00AE30B2">
        <w:rPr>
          <w:rFonts w:ascii="Arial" w:eastAsia="Times New Roman" w:hAnsi="Arial" w:cs="Arial"/>
          <w:kern w:val="0"/>
          <w:sz w:val="20"/>
          <w:szCs w:val="20"/>
          <w:lang w:val="en-US"/>
          <w14:ligatures w14:val="none"/>
        </w:rPr>
        <w:t xml:space="preserve"> by significant reductions in serum sodium, potassium, chloride, bicarbonate, and zinc concentrations compared with the healthy control group (</w:t>
      </w:r>
      <w:r w:rsidRPr="00AE30B2">
        <w:rPr>
          <w:rFonts w:ascii="Arial" w:eastAsia="Times New Roman" w:hAnsi="Arial" w:cs="Arial"/>
          <w:i/>
          <w:iCs/>
          <w:kern w:val="0"/>
          <w:sz w:val="20"/>
          <w:szCs w:val="20"/>
          <w:lang w:val="en-US"/>
          <w14:ligatures w14:val="none"/>
        </w:rPr>
        <w:t>p</w:t>
      </w:r>
      <w:r w:rsidRPr="00AE30B2">
        <w:rPr>
          <w:rFonts w:ascii="Arial" w:eastAsia="Times New Roman" w:hAnsi="Arial" w:cs="Arial"/>
          <w:kern w:val="0"/>
          <w:sz w:val="20"/>
          <w:szCs w:val="20"/>
          <w:lang w:val="en-US"/>
          <w14:ligatures w14:val="none"/>
        </w:rPr>
        <w:t xml:space="preserve"> &lt; 0.05). This systemic depletion primarily results from excessive intestinal fluid loss, which is further exacerbated by pathogen-induced mucosal inflammation that impairs active transport mechanisms and compromises intestinal barrier integrity (</w:t>
      </w:r>
      <w:r w:rsidR="000A47A5" w:rsidRPr="000A47A5">
        <w:rPr>
          <w:rFonts w:ascii="Arial" w:eastAsia="Times New Roman" w:hAnsi="Arial" w:cs="Arial"/>
          <w:kern w:val="0"/>
          <w:sz w:val="20"/>
          <w:szCs w:val="20"/>
          <w:lang w:val="en-US"/>
          <w14:ligatures w14:val="none"/>
        </w:rPr>
        <w:t>Florez</w:t>
      </w:r>
      <w:r w:rsidRPr="00AE30B2">
        <w:rPr>
          <w:rFonts w:ascii="Arial" w:eastAsia="Times New Roman" w:hAnsi="Arial" w:cs="Arial"/>
          <w:kern w:val="0"/>
          <w:sz w:val="20"/>
          <w:szCs w:val="20"/>
          <w:lang w:val="en-US"/>
          <w14:ligatures w14:val="none"/>
        </w:rPr>
        <w:t xml:space="preserve"> et al., 2020; Joseph &amp; </w:t>
      </w:r>
      <w:proofErr w:type="spellStart"/>
      <w:r w:rsidRPr="00AE30B2">
        <w:rPr>
          <w:rFonts w:ascii="Arial" w:eastAsia="Times New Roman" w:hAnsi="Arial" w:cs="Arial"/>
          <w:kern w:val="0"/>
          <w:sz w:val="20"/>
          <w:szCs w:val="20"/>
          <w:lang w:val="en-US"/>
          <w14:ligatures w14:val="none"/>
        </w:rPr>
        <w:t>Keithellakpam</w:t>
      </w:r>
      <w:proofErr w:type="spellEnd"/>
      <w:r w:rsidRPr="00AE30B2">
        <w:rPr>
          <w:rFonts w:ascii="Arial" w:eastAsia="Times New Roman" w:hAnsi="Arial" w:cs="Arial"/>
          <w:kern w:val="0"/>
          <w:sz w:val="20"/>
          <w:szCs w:val="20"/>
          <w:lang w:val="en-US"/>
          <w14:ligatures w14:val="none"/>
        </w:rPr>
        <w:t>, 2023).</w:t>
      </w:r>
    </w:p>
    <w:p w14:paraId="2B73E68E" w14:textId="60B7F714" w:rsidR="00105FD6" w:rsidRPr="00AE30B2" w:rsidRDefault="00105FD6" w:rsidP="00105FD6">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t xml:space="preserve">The loss of sodium and chloride through frequent watery stools contributes to extracellular fluid depletion and dehydration (Joseph &amp; </w:t>
      </w:r>
      <w:proofErr w:type="spellStart"/>
      <w:r w:rsidRPr="00AE30B2">
        <w:rPr>
          <w:rFonts w:ascii="Arial" w:eastAsia="Times New Roman" w:hAnsi="Arial" w:cs="Arial"/>
          <w:kern w:val="0"/>
          <w:sz w:val="20"/>
          <w:szCs w:val="20"/>
          <w:lang w:val="en-US"/>
          <w14:ligatures w14:val="none"/>
        </w:rPr>
        <w:t>Keithellakpam</w:t>
      </w:r>
      <w:proofErr w:type="spellEnd"/>
      <w:r w:rsidRPr="00AE30B2">
        <w:rPr>
          <w:rFonts w:ascii="Arial" w:eastAsia="Times New Roman" w:hAnsi="Arial" w:cs="Arial"/>
          <w:kern w:val="0"/>
          <w:sz w:val="20"/>
          <w:szCs w:val="20"/>
          <w:lang w:val="en-US"/>
          <w14:ligatures w14:val="none"/>
        </w:rPr>
        <w:t xml:space="preserve">, 2023; Do et al., 2022). Potassium depletion occurs as a result of increased intestinal secretion and inadequate replacement during illness, potentially leading to muscle weakness and impaired physiological function (Joseph &amp; </w:t>
      </w:r>
      <w:proofErr w:type="spellStart"/>
      <w:r w:rsidRPr="00AE30B2">
        <w:rPr>
          <w:rFonts w:ascii="Arial" w:eastAsia="Times New Roman" w:hAnsi="Arial" w:cs="Arial"/>
          <w:kern w:val="0"/>
          <w:sz w:val="20"/>
          <w:szCs w:val="20"/>
          <w:lang w:val="en-US"/>
          <w14:ligatures w14:val="none"/>
        </w:rPr>
        <w:t>Keithellakpam</w:t>
      </w:r>
      <w:proofErr w:type="spellEnd"/>
      <w:r w:rsidRPr="00AE30B2">
        <w:rPr>
          <w:rFonts w:ascii="Arial" w:eastAsia="Times New Roman" w:hAnsi="Arial" w:cs="Arial"/>
          <w:kern w:val="0"/>
          <w:sz w:val="20"/>
          <w:szCs w:val="20"/>
          <w:lang w:val="en-US"/>
          <w14:ligatures w14:val="none"/>
        </w:rPr>
        <w:t>, 2023; Piner &amp; Spangler, 2023). The reduced serum bicarbonate concentration observed among affected children is indicative of metabolic acidosis, which commonly develops because of bicarbonate loss through the gastrointestinal tract and diminished renal compensatory mechanisms during dehydration (</w:t>
      </w:r>
      <w:r w:rsidR="000A47A5" w:rsidRPr="000A47A5">
        <w:rPr>
          <w:rFonts w:ascii="Arial" w:eastAsia="Times New Roman" w:hAnsi="Arial" w:cs="Arial"/>
          <w:kern w:val="0"/>
          <w:sz w:val="20"/>
          <w:szCs w:val="20"/>
          <w:lang w:val="en-US"/>
          <w14:ligatures w14:val="none"/>
        </w:rPr>
        <w:t>Florez</w:t>
      </w:r>
      <w:r w:rsidR="000A47A5">
        <w:rPr>
          <w:rFonts w:ascii="Arial" w:eastAsia="Times New Roman" w:hAnsi="Arial" w:cs="Arial"/>
          <w:kern w:val="0"/>
          <w:sz w:val="20"/>
          <w:szCs w:val="20"/>
          <w:lang w:val="en-US"/>
          <w14:ligatures w14:val="none"/>
        </w:rPr>
        <w:t xml:space="preserve"> </w:t>
      </w:r>
      <w:r w:rsidRPr="00AE30B2">
        <w:rPr>
          <w:rFonts w:ascii="Arial" w:eastAsia="Times New Roman" w:hAnsi="Arial" w:cs="Arial"/>
          <w:kern w:val="0"/>
          <w:sz w:val="20"/>
          <w:szCs w:val="20"/>
          <w:lang w:val="en-US"/>
          <w14:ligatures w14:val="none"/>
        </w:rPr>
        <w:t>et al., 2020; Shah et al., 2022).</w:t>
      </w:r>
    </w:p>
    <w:p w14:paraId="1860A324" w14:textId="77777777" w:rsidR="00105FD6" w:rsidRPr="00AE30B2" w:rsidRDefault="00105FD6" w:rsidP="00105FD6">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AE30B2">
        <w:rPr>
          <w:rFonts w:ascii="Arial" w:eastAsia="Times New Roman" w:hAnsi="Arial" w:cs="Arial"/>
          <w:kern w:val="0"/>
          <w:sz w:val="20"/>
          <w:szCs w:val="20"/>
          <w:lang w:val="en-US"/>
          <w14:ligatures w14:val="none"/>
        </w:rPr>
        <w:lastRenderedPageBreak/>
        <w:t xml:space="preserve">The significant reduction in serum zinc concentration among children with </w:t>
      </w:r>
      <w:proofErr w:type="spellStart"/>
      <w:r w:rsidRPr="00AE30B2">
        <w:rPr>
          <w:rFonts w:ascii="Arial" w:eastAsia="Times New Roman" w:hAnsi="Arial" w:cs="Arial"/>
          <w:kern w:val="0"/>
          <w:sz w:val="20"/>
          <w:szCs w:val="20"/>
          <w:lang w:val="en-US"/>
          <w14:ligatures w14:val="none"/>
        </w:rPr>
        <w:t>diarrhoea</w:t>
      </w:r>
      <w:proofErr w:type="spellEnd"/>
      <w:r w:rsidRPr="00AE30B2">
        <w:rPr>
          <w:rFonts w:ascii="Arial" w:eastAsia="Times New Roman" w:hAnsi="Arial" w:cs="Arial"/>
          <w:kern w:val="0"/>
          <w:sz w:val="20"/>
          <w:szCs w:val="20"/>
          <w:lang w:val="en-US"/>
          <w14:ligatures w14:val="none"/>
        </w:rPr>
        <w:t xml:space="preserve"> is also clinically important. Zinc is an essential micronutrient involved in immune regulation, antioxidant </w:t>
      </w:r>
      <w:proofErr w:type="spellStart"/>
      <w:r w:rsidRPr="00AE30B2">
        <w:rPr>
          <w:rFonts w:ascii="Arial" w:eastAsia="Times New Roman" w:hAnsi="Arial" w:cs="Arial"/>
          <w:kern w:val="0"/>
          <w:sz w:val="20"/>
          <w:szCs w:val="20"/>
          <w:lang w:val="en-US"/>
          <w14:ligatures w14:val="none"/>
        </w:rPr>
        <w:t>defence</w:t>
      </w:r>
      <w:proofErr w:type="spellEnd"/>
      <w:r w:rsidRPr="00AE30B2">
        <w:rPr>
          <w:rFonts w:ascii="Arial" w:eastAsia="Times New Roman" w:hAnsi="Arial" w:cs="Arial"/>
          <w:kern w:val="0"/>
          <w:sz w:val="20"/>
          <w:szCs w:val="20"/>
          <w:lang w:val="en-US"/>
          <w14:ligatures w14:val="none"/>
        </w:rPr>
        <w:t xml:space="preserve">, and the maintenance of intestinal epithelial integrity (Wan &amp; Zhang, 2022).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episodes increase zinc losses and may impair intestinal absorption, creating a cycle of zinc deficiency, delayed mucosal recovery, and prolonged illness. These findings further support the inclusion of zinc supplementation as an integral component of comprehensive </w:t>
      </w:r>
      <w:proofErr w:type="spellStart"/>
      <w:r w:rsidRPr="00AE30B2">
        <w:rPr>
          <w:rFonts w:ascii="Arial" w:eastAsia="Times New Roman" w:hAnsi="Arial" w:cs="Arial"/>
          <w:kern w:val="0"/>
          <w:sz w:val="20"/>
          <w:szCs w:val="20"/>
          <w:lang w:val="en-US"/>
          <w14:ligatures w14:val="none"/>
        </w:rPr>
        <w:t>diarrhoeal</w:t>
      </w:r>
      <w:proofErr w:type="spellEnd"/>
      <w:r w:rsidRPr="00AE30B2">
        <w:rPr>
          <w:rFonts w:ascii="Arial" w:eastAsia="Times New Roman" w:hAnsi="Arial" w:cs="Arial"/>
          <w:kern w:val="0"/>
          <w:sz w:val="20"/>
          <w:szCs w:val="20"/>
          <w:lang w:val="en-US"/>
          <w14:ligatures w14:val="none"/>
        </w:rPr>
        <w:t xml:space="preserve"> disease management (Iqbal et al., 2025; Alam et al., 2023).</w:t>
      </w:r>
    </w:p>
    <w:p w14:paraId="4E5F4F7A" w14:textId="77777777" w:rsidR="00D01F4C" w:rsidRPr="00AE30B2" w:rsidRDefault="009D7377" w:rsidP="00D5102C">
      <w:pPr>
        <w:spacing w:before="100" w:beforeAutospacing="1" w:after="100" w:afterAutospacing="1" w:line="240" w:lineRule="auto"/>
        <w:jc w:val="both"/>
        <w:outlineLvl w:val="1"/>
        <w:divId w:val="584386621"/>
        <w:rPr>
          <w:rFonts w:ascii="Arial" w:eastAsia="Times New Roman" w:hAnsi="Arial" w:cs="Arial"/>
          <w:b/>
          <w:bCs/>
          <w:kern w:val="0"/>
          <w:sz w:val="22"/>
          <w:szCs w:val="22"/>
          <w14:ligatures w14:val="none"/>
        </w:rPr>
      </w:pPr>
      <w:r w:rsidRPr="00AE30B2">
        <w:rPr>
          <w:rFonts w:ascii="Arial" w:eastAsia="Times New Roman" w:hAnsi="Arial" w:cs="Arial"/>
          <w:b/>
          <w:bCs/>
          <w:kern w:val="0"/>
          <w:sz w:val="22"/>
          <w:szCs w:val="22"/>
          <w14:ligatures w14:val="none"/>
        </w:rPr>
        <w:t>3</w:t>
      </w:r>
      <w:r w:rsidR="00D01F4C" w:rsidRPr="00AE30B2">
        <w:rPr>
          <w:rFonts w:ascii="Arial" w:eastAsia="Times New Roman" w:hAnsi="Arial" w:cs="Arial"/>
          <w:b/>
          <w:bCs/>
          <w:kern w:val="0"/>
          <w:sz w:val="22"/>
          <w:szCs w:val="22"/>
          <w14:ligatures w14:val="none"/>
        </w:rPr>
        <w:t>.</w:t>
      </w:r>
      <w:r w:rsidR="007210F1" w:rsidRPr="00AE30B2">
        <w:rPr>
          <w:rFonts w:ascii="Arial" w:eastAsia="Times New Roman" w:hAnsi="Arial" w:cs="Arial"/>
          <w:b/>
          <w:bCs/>
          <w:kern w:val="0"/>
          <w:sz w:val="22"/>
          <w:szCs w:val="22"/>
          <w14:ligatures w14:val="none"/>
        </w:rPr>
        <w:t>3</w:t>
      </w:r>
      <w:r w:rsidR="00D01F4C" w:rsidRPr="00AE30B2">
        <w:rPr>
          <w:rFonts w:ascii="Arial" w:eastAsia="Times New Roman" w:hAnsi="Arial" w:cs="Arial"/>
          <w:b/>
          <w:bCs/>
          <w:kern w:val="0"/>
          <w:sz w:val="22"/>
          <w:szCs w:val="22"/>
          <w14:ligatures w14:val="none"/>
        </w:rPr>
        <w:t xml:space="preserve"> Public Health Implications </w:t>
      </w:r>
    </w:p>
    <w:p w14:paraId="3978EC63" w14:textId="77777777" w:rsidR="00105FD6" w:rsidRPr="00AE30B2" w:rsidRDefault="00105FD6" w:rsidP="00105FD6">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remains a major public health challenge, particularly among children under five years of age, because of its substantial contribution to morbidity, mortality, and nutritional deficiencies (World Health Organization, 2024; Kundu et al., 2022). Effective control of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requires an integrated public health approach that includes prevention, early detection, pathogen surveillance, and timely clinical management (Mohamed et al., 2025).</w:t>
      </w:r>
    </w:p>
    <w:p w14:paraId="6F116F79" w14:textId="77777777" w:rsidR="00105FD6" w:rsidRPr="00AE30B2" w:rsidRDefault="00105FD6" w:rsidP="00105FD6">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This study highlights the public health significance of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in Andoni Local Government Area by demonstrating the association between enteric bacterial infections and biochemical alterations among children under five years of age. </w:t>
      </w:r>
      <w:r w:rsidRPr="00AE30B2">
        <w:rPr>
          <w:rFonts w:ascii="Arial" w:hAnsi="Arial" w:cs="Arial"/>
          <w:kern w:val="0"/>
          <w:sz w:val="20"/>
          <w:szCs w:val="20"/>
          <w:highlight w:val="yellow"/>
          <w:lang w:val="en-US"/>
          <w14:ligatures w14:val="none"/>
        </w:rPr>
        <w:t xml:space="preserve">The findings indicate that </w:t>
      </w:r>
      <w:proofErr w:type="spellStart"/>
      <w:r w:rsidRPr="00AE30B2">
        <w:rPr>
          <w:rFonts w:ascii="Arial" w:hAnsi="Arial" w:cs="Arial"/>
          <w:kern w:val="0"/>
          <w:sz w:val="20"/>
          <w:szCs w:val="20"/>
          <w:highlight w:val="yellow"/>
          <w:lang w:val="en-US"/>
          <w14:ligatures w14:val="none"/>
        </w:rPr>
        <w:t>diarrhoeal</w:t>
      </w:r>
      <w:proofErr w:type="spellEnd"/>
      <w:r w:rsidRPr="00AE30B2">
        <w:rPr>
          <w:rFonts w:ascii="Arial" w:hAnsi="Arial" w:cs="Arial"/>
          <w:kern w:val="0"/>
          <w:sz w:val="20"/>
          <w:szCs w:val="20"/>
          <w:highlight w:val="yellow"/>
          <w:lang w:val="en-US"/>
          <w14:ligatures w14:val="none"/>
        </w:rPr>
        <w:t xml:space="preserve"> disease is an infectious condition that may also result in significant physiological disturbances that adversely affect child health.</w:t>
      </w:r>
    </w:p>
    <w:p w14:paraId="0AEE692D" w14:textId="77777777" w:rsidR="00105FD6" w:rsidRPr="00AE30B2" w:rsidRDefault="00105FD6" w:rsidP="00105FD6">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The identification of enteric bacterial pathogens and variations in their bacterial loads underscore the need for improved preventive measures, hygiene promotion, access to safe water, and strengthened surveillance of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infections. Furthermore, the observed biochemical disturbances highlight the importance of early diagnosis, prompt correction of electrolyte imbalances, zinc supplementation, and appropriate clinical management of affected children, particularly in vulnerable riverine communities such as Andoni Local Government Area, Rivers State.</w:t>
      </w:r>
    </w:p>
    <w:p w14:paraId="77458C55" w14:textId="77777777" w:rsidR="00105FD6" w:rsidRPr="00AE30B2" w:rsidRDefault="00105FD6" w:rsidP="00105FD6">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Overall, these findings provide evidence to inform public health policies and interventions aimed at reducing the burden of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and improving the health and survival of children under five years of age in resource-limited settings.</w:t>
      </w:r>
    </w:p>
    <w:p w14:paraId="4225806E" w14:textId="77777777" w:rsidR="004369B8" w:rsidRPr="00AE30B2" w:rsidRDefault="004369B8" w:rsidP="004369B8">
      <w:pPr>
        <w:spacing w:before="100" w:beforeAutospacing="1" w:after="100" w:afterAutospacing="1" w:line="240" w:lineRule="auto"/>
        <w:jc w:val="both"/>
        <w:outlineLvl w:val="0"/>
        <w:divId w:val="124934107"/>
        <w:rPr>
          <w:rFonts w:ascii="Arial" w:hAnsi="Arial" w:cs="Arial"/>
          <w:b/>
          <w:bCs/>
          <w:kern w:val="0"/>
          <w:sz w:val="20"/>
          <w:szCs w:val="20"/>
          <w:lang w:val="en-US"/>
          <w14:ligatures w14:val="none"/>
        </w:rPr>
      </w:pPr>
      <w:r w:rsidRPr="00AE30B2">
        <w:rPr>
          <w:rFonts w:ascii="Arial" w:hAnsi="Arial" w:cs="Arial"/>
          <w:b/>
          <w:bCs/>
          <w:kern w:val="0"/>
          <w:sz w:val="20"/>
          <w:szCs w:val="20"/>
          <w:lang w:val="en-US"/>
          <w14:ligatures w14:val="none"/>
        </w:rPr>
        <w:t>3.4 Limitations of the Study</w:t>
      </w:r>
    </w:p>
    <w:p w14:paraId="33BCD700" w14:textId="77777777" w:rsidR="004369B8" w:rsidRPr="00AE30B2" w:rsidRDefault="004369B8" w:rsidP="004369B8">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This study has limitations that should be considered when interpreting the findings. First, the cross-sectional design limits the ability to establish causal relationships between enteric bacterial infections and biochemical alterations among children with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Second, convenience sampling from selected health </w:t>
      </w:r>
      <w:proofErr w:type="spellStart"/>
      <w:r w:rsidRPr="00AE30B2">
        <w:rPr>
          <w:rFonts w:ascii="Arial" w:hAnsi="Arial" w:cs="Arial"/>
          <w:kern w:val="0"/>
          <w:sz w:val="20"/>
          <w:szCs w:val="20"/>
          <w:lang w:val="en-US"/>
          <w14:ligatures w14:val="none"/>
        </w:rPr>
        <w:t>centres</w:t>
      </w:r>
      <w:proofErr w:type="spellEnd"/>
      <w:r w:rsidRPr="00AE30B2">
        <w:rPr>
          <w:rFonts w:ascii="Arial" w:hAnsi="Arial" w:cs="Arial"/>
          <w:kern w:val="0"/>
          <w:sz w:val="20"/>
          <w:szCs w:val="20"/>
          <w:lang w:val="en-US"/>
          <w14:ligatures w14:val="none"/>
        </w:rPr>
        <w:t xml:space="preserve"> may limit the </w:t>
      </w:r>
      <w:proofErr w:type="spellStart"/>
      <w:r w:rsidRPr="00AE30B2">
        <w:rPr>
          <w:rFonts w:ascii="Arial" w:hAnsi="Arial" w:cs="Arial"/>
          <w:kern w:val="0"/>
          <w:sz w:val="20"/>
          <w:szCs w:val="20"/>
          <w:lang w:val="en-US"/>
          <w14:ligatures w14:val="none"/>
        </w:rPr>
        <w:t>generalisability</w:t>
      </w:r>
      <w:proofErr w:type="spellEnd"/>
      <w:r w:rsidRPr="00AE30B2">
        <w:rPr>
          <w:rFonts w:ascii="Arial" w:hAnsi="Arial" w:cs="Arial"/>
          <w:kern w:val="0"/>
          <w:sz w:val="20"/>
          <w:szCs w:val="20"/>
          <w:lang w:val="en-US"/>
          <w14:ligatures w14:val="none"/>
        </w:rPr>
        <w:t xml:space="preserve"> of the findings to all children under five years of age in Andoni Local Government Area and other riverine communities. Third, bacterial identification was based on conventional culture and biochemical methods; molecular techniques were not employed to confirm specific pathogenic strains or virulence factors. Additionally, information on prior antibiotic and zinc exposure was partly based on caregiver reports and may be subject to recall bias. Despite these limitations, the study provides baseline information on the relationship between enteric bacterial infections and biochemical disturbances among children under five years of age in a resource-limited riverine setting.</w:t>
      </w:r>
    </w:p>
    <w:p w14:paraId="6E90E913" w14:textId="77777777" w:rsidR="004369B8" w:rsidRPr="00AE30B2" w:rsidRDefault="004369B8" w:rsidP="00560ACA">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p>
    <w:p w14:paraId="484A6215" w14:textId="77777777" w:rsidR="00CD38FB" w:rsidRPr="00AE30B2" w:rsidRDefault="009D7377" w:rsidP="00D5102C">
      <w:pPr>
        <w:spacing w:before="100" w:beforeAutospacing="1" w:after="100" w:afterAutospacing="1" w:line="240" w:lineRule="auto"/>
        <w:jc w:val="both"/>
        <w:outlineLvl w:val="0"/>
        <w:divId w:val="124934107"/>
        <w:rPr>
          <w:rFonts w:ascii="Arial" w:eastAsia="Times New Roman" w:hAnsi="Arial" w:cs="Arial"/>
          <w:b/>
          <w:bCs/>
          <w:kern w:val="36"/>
          <w:sz w:val="22"/>
          <w:szCs w:val="22"/>
          <w14:ligatures w14:val="none"/>
        </w:rPr>
      </w:pPr>
      <w:r w:rsidRPr="00AE30B2">
        <w:rPr>
          <w:rFonts w:ascii="Arial" w:eastAsia="Times New Roman" w:hAnsi="Arial" w:cs="Arial"/>
          <w:b/>
          <w:bCs/>
          <w:kern w:val="36"/>
          <w:sz w:val="22"/>
          <w:szCs w:val="22"/>
          <w14:ligatures w14:val="none"/>
        </w:rPr>
        <w:t>4</w:t>
      </w:r>
      <w:r w:rsidR="007210F1" w:rsidRPr="00AE30B2">
        <w:rPr>
          <w:rFonts w:ascii="Arial" w:eastAsia="Times New Roman" w:hAnsi="Arial" w:cs="Arial"/>
          <w:b/>
          <w:bCs/>
          <w:kern w:val="36"/>
          <w:sz w:val="22"/>
          <w:szCs w:val="22"/>
          <w14:ligatures w14:val="none"/>
        </w:rPr>
        <w:t>. CONCLUSION</w:t>
      </w:r>
    </w:p>
    <w:p w14:paraId="68A193EC" w14:textId="77777777" w:rsidR="00CD38FB" w:rsidRPr="00AE30B2" w:rsidRDefault="00CD38FB" w:rsidP="00D5102C">
      <w:pPr>
        <w:spacing w:before="100" w:beforeAutospacing="1" w:after="100" w:afterAutospacing="1" w:line="240" w:lineRule="auto"/>
        <w:jc w:val="both"/>
        <w:divId w:val="124934107"/>
        <w:rPr>
          <w:rFonts w:ascii="Arial" w:hAnsi="Arial" w:cs="Arial"/>
          <w:kern w:val="0"/>
          <w:sz w:val="20"/>
          <w:szCs w:val="20"/>
          <w14:ligatures w14:val="none"/>
        </w:rPr>
      </w:pPr>
      <w:r w:rsidRPr="00AE30B2">
        <w:rPr>
          <w:rFonts w:ascii="Arial" w:hAnsi="Arial" w:cs="Arial"/>
          <w:kern w:val="0"/>
          <w:sz w:val="20"/>
          <w:szCs w:val="20"/>
          <w14:ligatures w14:val="none"/>
        </w:rPr>
        <w:t xml:space="preserve">This study demonstrated that childhood diarrhoeal disease remains an important public health concern among </w:t>
      </w:r>
      <w:r w:rsidR="000E650C" w:rsidRPr="00AE30B2">
        <w:rPr>
          <w:rFonts w:ascii="Arial" w:hAnsi="Arial" w:cs="Arial"/>
          <w:kern w:val="0"/>
          <w:sz w:val="20"/>
          <w:szCs w:val="20"/>
          <w14:ligatures w14:val="none"/>
        </w:rPr>
        <w:t xml:space="preserve">under-five-year-old </w:t>
      </w:r>
      <w:r w:rsidRPr="00AE30B2">
        <w:rPr>
          <w:rFonts w:ascii="Arial" w:hAnsi="Arial" w:cs="Arial"/>
          <w:kern w:val="0"/>
          <w:sz w:val="20"/>
          <w:szCs w:val="20"/>
          <w14:ligatures w14:val="none"/>
        </w:rPr>
        <w:t>children in Andoni Local Government Area of Rivers State. A</w:t>
      </w:r>
      <w:r w:rsidR="002E6251" w:rsidRPr="00AE30B2">
        <w:rPr>
          <w:rFonts w:ascii="Arial" w:hAnsi="Arial" w:cs="Arial"/>
          <w:kern w:val="0"/>
          <w:sz w:val="20"/>
          <w:szCs w:val="20"/>
          <w14:ligatures w14:val="none"/>
        </w:rPr>
        <w:t xml:space="preserve"> </w:t>
      </w:r>
      <w:r w:rsidRPr="00AE30B2">
        <w:rPr>
          <w:rFonts w:ascii="Arial" w:hAnsi="Arial" w:cs="Arial"/>
          <w:kern w:val="0"/>
          <w:sz w:val="20"/>
          <w:szCs w:val="20"/>
          <w14:ligatures w14:val="none"/>
        </w:rPr>
        <w:t xml:space="preserve">prevalence of 11.6% was recorded among the 250 children assessed, indicating a considerable burden of diarrhoeal illness within the </w:t>
      </w:r>
      <w:r w:rsidR="00CC5D90" w:rsidRPr="00AE30B2">
        <w:rPr>
          <w:rFonts w:ascii="Arial" w:hAnsi="Arial" w:cs="Arial"/>
          <w:kern w:val="0"/>
          <w:sz w:val="20"/>
          <w:szCs w:val="20"/>
          <w14:ligatures w14:val="none"/>
        </w:rPr>
        <w:t>study area</w:t>
      </w:r>
      <w:r w:rsidRPr="00AE30B2">
        <w:rPr>
          <w:rFonts w:ascii="Arial" w:hAnsi="Arial" w:cs="Arial"/>
          <w:kern w:val="0"/>
          <w:sz w:val="20"/>
          <w:szCs w:val="20"/>
          <w14:ligatures w14:val="none"/>
        </w:rPr>
        <w:t>.</w:t>
      </w:r>
    </w:p>
    <w:p w14:paraId="19B4ABD7" w14:textId="77777777" w:rsidR="0028018D" w:rsidRPr="00AE30B2" w:rsidRDefault="00CD38FB" w:rsidP="00D5102C">
      <w:pPr>
        <w:spacing w:before="100" w:beforeAutospacing="1" w:after="100" w:afterAutospacing="1" w:line="240" w:lineRule="auto"/>
        <w:jc w:val="both"/>
        <w:divId w:val="124934107"/>
        <w:rPr>
          <w:rFonts w:ascii="Arial" w:hAnsi="Arial" w:cs="Arial"/>
          <w:kern w:val="0"/>
          <w:sz w:val="20"/>
          <w:szCs w:val="20"/>
          <w14:ligatures w14:val="none"/>
        </w:rPr>
      </w:pPr>
      <w:r w:rsidRPr="00AE30B2">
        <w:rPr>
          <w:rFonts w:ascii="Arial" w:hAnsi="Arial" w:cs="Arial"/>
          <w:kern w:val="0"/>
          <w:sz w:val="20"/>
          <w:szCs w:val="20"/>
          <w14:ligatures w14:val="none"/>
        </w:rPr>
        <w:lastRenderedPageBreak/>
        <w:t xml:space="preserve">Microbiological evaluation revealed the presence of important enteric bacterial pathogens, including </w:t>
      </w:r>
      <w:r w:rsidRPr="00AE30B2">
        <w:rPr>
          <w:rFonts w:ascii="Arial" w:hAnsi="Arial" w:cs="Arial"/>
          <w:i/>
          <w:iCs/>
          <w:kern w:val="0"/>
          <w:sz w:val="20"/>
          <w:szCs w:val="20"/>
          <w14:ligatures w14:val="none"/>
        </w:rPr>
        <w:t>Escherichia coli</w:t>
      </w:r>
      <w:r w:rsidRPr="00AE30B2">
        <w:rPr>
          <w:rFonts w:ascii="Arial" w:hAnsi="Arial" w:cs="Arial"/>
          <w:kern w:val="0"/>
          <w:sz w:val="20"/>
          <w:szCs w:val="20"/>
          <w14:ligatures w14:val="none"/>
        </w:rPr>
        <w:t xml:space="preserve">, </w:t>
      </w:r>
      <w:r w:rsidRPr="00AE30B2">
        <w:rPr>
          <w:rFonts w:ascii="Arial" w:hAnsi="Arial" w:cs="Arial"/>
          <w:i/>
          <w:iCs/>
          <w:kern w:val="0"/>
          <w:sz w:val="20"/>
          <w:szCs w:val="20"/>
          <w14:ligatures w14:val="none"/>
        </w:rPr>
        <w:t>Shigella</w:t>
      </w:r>
      <w:r w:rsidRPr="00AE30B2">
        <w:rPr>
          <w:rFonts w:ascii="Arial" w:hAnsi="Arial" w:cs="Arial"/>
          <w:kern w:val="0"/>
          <w:sz w:val="20"/>
          <w:szCs w:val="20"/>
          <w14:ligatures w14:val="none"/>
        </w:rPr>
        <w:t xml:space="preserve"> species, </w:t>
      </w:r>
      <w:r w:rsidRPr="00AE30B2">
        <w:rPr>
          <w:rFonts w:ascii="Arial" w:hAnsi="Arial" w:cs="Arial"/>
          <w:i/>
          <w:iCs/>
          <w:kern w:val="0"/>
          <w:sz w:val="20"/>
          <w:szCs w:val="20"/>
          <w14:ligatures w14:val="none"/>
        </w:rPr>
        <w:t>Salmonella</w:t>
      </w:r>
      <w:r w:rsidRPr="00AE30B2">
        <w:rPr>
          <w:rFonts w:ascii="Arial" w:hAnsi="Arial" w:cs="Arial"/>
          <w:kern w:val="0"/>
          <w:sz w:val="20"/>
          <w:szCs w:val="20"/>
          <w14:ligatures w14:val="none"/>
        </w:rPr>
        <w:t xml:space="preserve"> species, and </w:t>
      </w:r>
      <w:r w:rsidRPr="00AE30B2">
        <w:rPr>
          <w:rFonts w:ascii="Arial" w:hAnsi="Arial" w:cs="Arial"/>
          <w:i/>
          <w:iCs/>
          <w:kern w:val="0"/>
          <w:sz w:val="20"/>
          <w:szCs w:val="20"/>
          <w14:ligatures w14:val="none"/>
        </w:rPr>
        <w:t>Vibrio cholerae</w:t>
      </w:r>
      <w:r w:rsidRPr="00AE30B2">
        <w:rPr>
          <w:rFonts w:ascii="Arial" w:hAnsi="Arial" w:cs="Arial"/>
          <w:kern w:val="0"/>
          <w:sz w:val="20"/>
          <w:szCs w:val="20"/>
          <w14:ligatures w14:val="none"/>
        </w:rPr>
        <w:t xml:space="preserve">, with </w:t>
      </w:r>
      <w:r w:rsidRPr="00AE30B2">
        <w:rPr>
          <w:rFonts w:ascii="Arial" w:hAnsi="Arial" w:cs="Arial"/>
          <w:i/>
          <w:iCs/>
          <w:kern w:val="0"/>
          <w:sz w:val="20"/>
          <w:szCs w:val="20"/>
          <w14:ligatures w14:val="none"/>
        </w:rPr>
        <w:t>Escherichia coli</w:t>
      </w:r>
      <w:r w:rsidRPr="00AE30B2">
        <w:rPr>
          <w:rFonts w:ascii="Arial" w:hAnsi="Arial" w:cs="Arial"/>
          <w:kern w:val="0"/>
          <w:sz w:val="20"/>
          <w:szCs w:val="20"/>
          <w14:ligatures w14:val="none"/>
        </w:rPr>
        <w:t xml:space="preserve"> being the predominant isolate. The study also demonstrated significant biochemical alterations among children with diarrhoea, characterised by reduced serum sodium, potassium, chloride, bicarbonate, and zinc concentrations compared with apparently healthy children.</w:t>
      </w:r>
    </w:p>
    <w:p w14:paraId="4331082F" w14:textId="77777777" w:rsidR="0028018D" w:rsidRPr="00AE30B2" w:rsidRDefault="00CD38FB" w:rsidP="0028018D">
      <w:pPr>
        <w:spacing w:before="100" w:beforeAutospacing="1" w:after="100" w:afterAutospacing="1" w:line="240" w:lineRule="auto"/>
        <w:jc w:val="both"/>
        <w:divId w:val="124934107"/>
        <w:rPr>
          <w:rFonts w:ascii="Arial" w:hAnsi="Arial" w:cs="Arial"/>
          <w:kern w:val="0"/>
          <w:sz w:val="20"/>
          <w:szCs w:val="20"/>
          <w14:ligatures w14:val="none"/>
        </w:rPr>
      </w:pPr>
      <w:r w:rsidRPr="00AE30B2">
        <w:rPr>
          <w:rFonts w:ascii="Arial" w:hAnsi="Arial" w:cs="Arial"/>
          <w:kern w:val="0"/>
          <w:sz w:val="20"/>
          <w:szCs w:val="20"/>
          <w14:ligatures w14:val="none"/>
        </w:rPr>
        <w:t xml:space="preserve">These findings indicate that diarrhoeal disease is associated with important metabolic and nutritional disturbances that may influence disease severity and recovery. </w:t>
      </w:r>
      <w:r w:rsidRPr="00AE30B2">
        <w:rPr>
          <w:rFonts w:ascii="Arial" w:hAnsi="Arial" w:cs="Arial"/>
          <w:kern w:val="0"/>
          <w:sz w:val="20"/>
          <w:szCs w:val="20"/>
          <w:lang w:val="en-US"/>
          <w14:ligatures w14:val="none"/>
        </w:rPr>
        <w:t xml:space="preserve">The predominance of enteric bacterial pathogens, together with the observed electrolyte and zinc disturbances among affected children, underscores the relationship between enteric infections and biochemical imbalances in childhood </w:t>
      </w:r>
      <w:proofErr w:type="spellStart"/>
      <w:r w:rsidRPr="00AE30B2">
        <w:rPr>
          <w:rFonts w:ascii="Arial" w:hAnsi="Arial" w:cs="Arial"/>
          <w:kern w:val="0"/>
          <w:sz w:val="20"/>
          <w:szCs w:val="20"/>
          <w:lang w:val="en-US"/>
          <w14:ligatures w14:val="none"/>
        </w:rPr>
        <w:t>diarrhoea</w:t>
      </w:r>
      <w:proofErr w:type="spellEnd"/>
      <w:r w:rsidRPr="00AE30B2">
        <w:rPr>
          <w:rFonts w:ascii="Arial" w:hAnsi="Arial" w:cs="Arial"/>
          <w:kern w:val="0"/>
          <w:sz w:val="20"/>
          <w:szCs w:val="20"/>
          <w:lang w:val="en-US"/>
          <w14:ligatures w14:val="none"/>
        </w:rPr>
        <w:t xml:space="preserve">. The findings </w:t>
      </w:r>
      <w:r w:rsidRPr="00AE30B2">
        <w:rPr>
          <w:rFonts w:ascii="Arial" w:hAnsi="Arial" w:cs="Arial"/>
          <w:kern w:val="0"/>
          <w:sz w:val="20"/>
          <w:szCs w:val="20"/>
          <w:highlight w:val="yellow"/>
          <w:lang w:val="en-US"/>
          <w14:ligatures w14:val="none"/>
        </w:rPr>
        <w:t>provide evidence of the public health burden</w:t>
      </w:r>
      <w:r w:rsidRPr="00AE30B2">
        <w:rPr>
          <w:rFonts w:ascii="Arial" w:hAnsi="Arial" w:cs="Arial"/>
          <w:kern w:val="0"/>
          <w:sz w:val="20"/>
          <w:szCs w:val="20"/>
          <w:lang w:val="en-US"/>
          <w14:ligatures w14:val="none"/>
        </w:rPr>
        <w:t xml:space="preserve"> of childhood </w:t>
      </w:r>
      <w:proofErr w:type="spellStart"/>
      <w:r w:rsidRPr="00AE30B2">
        <w:rPr>
          <w:rFonts w:ascii="Arial" w:hAnsi="Arial" w:cs="Arial"/>
          <w:kern w:val="0"/>
          <w:sz w:val="20"/>
          <w:szCs w:val="20"/>
          <w:lang w:val="en-US"/>
          <w14:ligatures w14:val="none"/>
        </w:rPr>
        <w:t>diarrhoeal</w:t>
      </w:r>
      <w:proofErr w:type="spellEnd"/>
      <w:r w:rsidRPr="00AE30B2">
        <w:rPr>
          <w:rFonts w:ascii="Arial" w:hAnsi="Arial" w:cs="Arial"/>
          <w:kern w:val="0"/>
          <w:sz w:val="20"/>
          <w:szCs w:val="20"/>
          <w:lang w:val="en-US"/>
          <w14:ligatures w14:val="none"/>
        </w:rPr>
        <w:t xml:space="preserve"> disease in the study area and contribute to the understanding of its microbiological and biochemical characteristics.</w:t>
      </w:r>
    </w:p>
    <w:p w14:paraId="4B13CBF0" w14:textId="77777777" w:rsidR="00CD38FB" w:rsidRPr="00AE30B2" w:rsidRDefault="002E6251" w:rsidP="00D5102C">
      <w:pPr>
        <w:spacing w:before="100" w:beforeAutospacing="1" w:after="100" w:afterAutospacing="1" w:line="240" w:lineRule="auto"/>
        <w:jc w:val="both"/>
        <w:divId w:val="124934107"/>
        <w:rPr>
          <w:rFonts w:ascii="Arial" w:hAnsi="Arial" w:cs="Arial"/>
          <w:kern w:val="0"/>
          <w:sz w:val="20"/>
          <w:szCs w:val="20"/>
          <w14:ligatures w14:val="none"/>
        </w:rPr>
      </w:pPr>
      <w:r w:rsidRPr="00AE30B2">
        <w:rPr>
          <w:rFonts w:ascii="Arial" w:hAnsi="Arial" w:cs="Arial"/>
          <w:kern w:val="0"/>
          <w:sz w:val="20"/>
          <w:szCs w:val="20"/>
          <w14:ligatures w14:val="none"/>
        </w:rPr>
        <w:t>Finally</w:t>
      </w:r>
      <w:r w:rsidR="00CD38FB" w:rsidRPr="00AE30B2">
        <w:rPr>
          <w:rFonts w:ascii="Arial" w:hAnsi="Arial" w:cs="Arial"/>
          <w:kern w:val="0"/>
          <w:sz w:val="20"/>
          <w:szCs w:val="20"/>
          <w14:ligatures w14:val="none"/>
        </w:rPr>
        <w:t xml:space="preserve">, the findings emphasise the need for strengthened public health interventions in Andoni Local Government Area, including improved access to safe water, enhanced sanitation facilities, hygiene education, routine surveillance of enteric pathogens, and timely nutritional and electrolyte management of children with diarrhoeal disease. </w:t>
      </w:r>
    </w:p>
    <w:p w14:paraId="5183A05C" w14:textId="77777777" w:rsidR="0013034C" w:rsidRPr="00AE30B2" w:rsidRDefault="009D7377" w:rsidP="00D5102C">
      <w:pPr>
        <w:spacing w:before="100" w:beforeAutospacing="1" w:after="100" w:afterAutospacing="1" w:line="240" w:lineRule="auto"/>
        <w:jc w:val="both"/>
        <w:outlineLvl w:val="0"/>
        <w:divId w:val="1968385941"/>
        <w:rPr>
          <w:rFonts w:ascii="Arial" w:eastAsia="Times New Roman" w:hAnsi="Arial" w:cs="Arial"/>
          <w:b/>
          <w:bCs/>
          <w:kern w:val="36"/>
          <w:sz w:val="22"/>
          <w:szCs w:val="22"/>
          <w14:ligatures w14:val="none"/>
        </w:rPr>
      </w:pPr>
      <w:r w:rsidRPr="00AE30B2">
        <w:rPr>
          <w:rFonts w:ascii="Arial" w:eastAsia="Times New Roman" w:hAnsi="Arial" w:cs="Arial"/>
          <w:b/>
          <w:bCs/>
          <w:kern w:val="36"/>
          <w:sz w:val="22"/>
          <w:szCs w:val="22"/>
          <w14:ligatures w14:val="none"/>
        </w:rPr>
        <w:t>5</w:t>
      </w:r>
      <w:r w:rsidR="007210F1" w:rsidRPr="00AE30B2">
        <w:rPr>
          <w:rFonts w:ascii="Arial" w:eastAsia="Times New Roman" w:hAnsi="Arial" w:cs="Arial"/>
          <w:b/>
          <w:bCs/>
          <w:kern w:val="36"/>
          <w:sz w:val="22"/>
          <w:szCs w:val="22"/>
          <w14:ligatures w14:val="none"/>
        </w:rPr>
        <w:t>. RECOMMENDATIONS</w:t>
      </w:r>
    </w:p>
    <w:p w14:paraId="41ABD206" w14:textId="77777777" w:rsidR="00C36013" w:rsidRPr="00AE30B2" w:rsidRDefault="00C36013" w:rsidP="00C36013">
      <w:p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Based on the findings of this study, the following recommendations are made:</w:t>
      </w:r>
    </w:p>
    <w:p w14:paraId="77A4F988" w14:textId="77777777" w:rsidR="00C36013" w:rsidRPr="00AE30B2"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Public health authorities should enhance efforts to ensure access to safe, affordable drinking water in Andoni Local Government Area. Regular testing and treatment of community water sources are vital to minimise exposure to enteric pathogens.</w:t>
      </w:r>
    </w:p>
    <w:p w14:paraId="0F05CFF1" w14:textId="77777777" w:rsidR="00C36013" w:rsidRPr="00AE30B2"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Community programmes should be intensified to promote proper waste disposal, hand hygiene, food safety, and improved sanitation facilities to reduce faecal contamination and break the transmission cycle of diarrhoeal pathogens.</w:t>
      </w:r>
    </w:p>
    <w:p w14:paraId="6D071C00" w14:textId="77777777" w:rsidR="00C36013" w:rsidRPr="00AE30B2"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Healthcare facilities in the area should establish routine microbiological surveillance of diarrhoeal cases to identify common pathogens, track disease patterns, and enable prompt detection and response to outbreaks.</w:t>
      </w:r>
    </w:p>
    <w:p w14:paraId="44CA28D5" w14:textId="77777777" w:rsidR="00C36013" w:rsidRPr="00AE30B2"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Ongoing zinc supplementation programmes for children with diarrhoea should be supported and complemented by nutritional counselling for caregivers to enhance recovery and reduce the likelihood of recurrent episodes.</w:t>
      </w:r>
    </w:p>
    <w:p w14:paraId="1A8D3E89" w14:textId="77777777" w:rsidR="0013034C" w:rsidRPr="00AE30B2"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Future research should use larger sample sizes, molecular techniques to identify enteric pathogens, antimicrobial resistance testing, and long-term studies of diarrhoeal episodes to better understand disease transmission and outcomes in riverine communities.</w:t>
      </w:r>
    </w:p>
    <w:p w14:paraId="37A4C85D" w14:textId="77777777" w:rsidR="004078E4" w:rsidRPr="00AE30B2" w:rsidRDefault="004078E4" w:rsidP="00D5102C">
      <w:pPr>
        <w:spacing w:before="100" w:beforeAutospacing="1" w:after="100" w:afterAutospacing="1" w:line="240" w:lineRule="auto"/>
        <w:jc w:val="both"/>
        <w:divId w:val="1968385941"/>
        <w:rPr>
          <w:rFonts w:ascii="Arial" w:hAnsi="Arial" w:cs="Arial"/>
          <w:b/>
          <w:bCs/>
          <w:kern w:val="0"/>
          <w:sz w:val="20"/>
          <w:szCs w:val="20"/>
          <w14:ligatures w14:val="none"/>
        </w:rPr>
      </w:pPr>
      <w:r w:rsidRPr="00AE30B2">
        <w:rPr>
          <w:rFonts w:ascii="Arial" w:hAnsi="Arial" w:cs="Arial"/>
          <w:b/>
          <w:bCs/>
          <w:kern w:val="0"/>
          <w:sz w:val="20"/>
          <w:szCs w:val="20"/>
          <w14:ligatures w14:val="none"/>
        </w:rPr>
        <w:t>COMPETING INTERESTS</w:t>
      </w:r>
    </w:p>
    <w:p w14:paraId="47A77346" w14:textId="77777777" w:rsidR="004078E4" w:rsidRPr="00AE30B2" w:rsidRDefault="004078E4" w:rsidP="00D5102C">
      <w:p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The authors have declared that no competing interests exist.</w:t>
      </w:r>
    </w:p>
    <w:p w14:paraId="7DFE15F3" w14:textId="77777777" w:rsidR="004078E4" w:rsidRPr="00AE30B2" w:rsidRDefault="004078E4" w:rsidP="00D5102C">
      <w:pPr>
        <w:spacing w:before="100" w:beforeAutospacing="1" w:after="100" w:afterAutospacing="1" w:line="240" w:lineRule="auto"/>
        <w:jc w:val="both"/>
        <w:divId w:val="1968385941"/>
        <w:rPr>
          <w:rFonts w:ascii="Arial" w:hAnsi="Arial" w:cs="Arial"/>
          <w:b/>
          <w:bCs/>
          <w:kern w:val="0"/>
          <w:sz w:val="20"/>
          <w:szCs w:val="20"/>
          <w14:ligatures w14:val="none"/>
        </w:rPr>
      </w:pPr>
      <w:r w:rsidRPr="00AE30B2">
        <w:rPr>
          <w:rFonts w:ascii="Arial" w:hAnsi="Arial" w:cs="Arial"/>
          <w:b/>
          <w:bCs/>
          <w:kern w:val="0"/>
          <w:sz w:val="20"/>
          <w:szCs w:val="20"/>
          <w14:ligatures w14:val="none"/>
        </w:rPr>
        <w:t>CONSENT</w:t>
      </w:r>
    </w:p>
    <w:p w14:paraId="179CFD19" w14:textId="77777777" w:rsidR="00C2179D" w:rsidRPr="00AE30B2" w:rsidRDefault="00C2179D" w:rsidP="00D5102C">
      <w:pPr>
        <w:spacing w:before="100" w:beforeAutospacing="1" w:after="100" w:afterAutospacing="1" w:line="240" w:lineRule="auto"/>
        <w:jc w:val="both"/>
        <w:divId w:val="1968385941"/>
        <w:rPr>
          <w:rFonts w:ascii="Arial" w:hAnsi="Arial" w:cs="Arial"/>
          <w:kern w:val="0"/>
          <w:sz w:val="20"/>
          <w:szCs w:val="20"/>
          <w14:ligatures w14:val="none"/>
        </w:rPr>
      </w:pPr>
      <w:r w:rsidRPr="00AE30B2">
        <w:rPr>
          <w:rFonts w:ascii="Arial" w:hAnsi="Arial" w:cs="Arial"/>
          <w:kern w:val="0"/>
          <w:sz w:val="20"/>
          <w:szCs w:val="20"/>
          <w14:ligatures w14:val="none"/>
        </w:rPr>
        <w:t xml:space="preserve">Written informed consent was obtained from the parents or guardians of all participating children before enrolment in the study. </w:t>
      </w:r>
      <w:r w:rsidR="00DC2BF9" w:rsidRPr="00AE30B2">
        <w:rPr>
          <w:rFonts w:ascii="Arial" w:hAnsi="Arial" w:cs="Arial"/>
          <w:kern w:val="0"/>
          <w:sz w:val="20"/>
          <w:szCs w:val="20"/>
          <w14:ligatures w14:val="none"/>
        </w:rPr>
        <w:t>They</w:t>
      </w:r>
      <w:r w:rsidRPr="00AE30B2">
        <w:rPr>
          <w:rFonts w:ascii="Arial" w:hAnsi="Arial" w:cs="Arial"/>
          <w:kern w:val="0"/>
          <w:sz w:val="20"/>
          <w:szCs w:val="20"/>
          <w14:ligatures w14:val="none"/>
        </w:rPr>
        <w:t xml:space="preserve"> were adequately informed about the objectives, procedures, potential benefits, and voluntary nature of participation. Confidentiality and anonymity of participants’ information were strictly maintained throughout the study, and the collected data were used solely for research purposes. </w:t>
      </w:r>
    </w:p>
    <w:p w14:paraId="7CA65842" w14:textId="77777777" w:rsidR="004078E4" w:rsidRPr="00AE30B2" w:rsidRDefault="004078E4" w:rsidP="00D5102C">
      <w:pPr>
        <w:spacing w:before="100" w:beforeAutospacing="1" w:after="100" w:afterAutospacing="1" w:line="240" w:lineRule="auto"/>
        <w:jc w:val="both"/>
        <w:divId w:val="1968385941"/>
        <w:rPr>
          <w:rFonts w:ascii="Arial" w:hAnsi="Arial" w:cs="Arial"/>
          <w:b/>
          <w:bCs/>
          <w:kern w:val="0"/>
          <w:sz w:val="20"/>
          <w:szCs w:val="20"/>
          <w14:ligatures w14:val="none"/>
        </w:rPr>
      </w:pPr>
      <w:r w:rsidRPr="00AE30B2">
        <w:rPr>
          <w:rFonts w:ascii="Arial" w:hAnsi="Arial" w:cs="Arial"/>
          <w:b/>
          <w:bCs/>
          <w:kern w:val="0"/>
          <w:sz w:val="20"/>
          <w:szCs w:val="20"/>
          <w14:ligatures w14:val="none"/>
        </w:rPr>
        <w:t xml:space="preserve">ETHICAL </w:t>
      </w:r>
      <w:r w:rsidR="00AF4C0A" w:rsidRPr="00AE30B2">
        <w:rPr>
          <w:rFonts w:ascii="Arial" w:hAnsi="Arial" w:cs="Arial"/>
          <w:b/>
          <w:bCs/>
          <w:kern w:val="0"/>
          <w:sz w:val="20"/>
          <w:szCs w:val="20"/>
          <w14:ligatures w14:val="none"/>
        </w:rPr>
        <w:t xml:space="preserve">APPROVAL </w:t>
      </w:r>
    </w:p>
    <w:p w14:paraId="1494D450" w14:textId="77777777" w:rsidR="004078E4" w:rsidRPr="00AE30B2" w:rsidRDefault="00C36013" w:rsidP="00D5102C">
      <w:pPr>
        <w:spacing w:before="100" w:beforeAutospacing="1" w:after="100" w:afterAutospacing="1" w:line="240" w:lineRule="auto"/>
        <w:jc w:val="both"/>
        <w:outlineLvl w:val="0"/>
        <w:divId w:val="550728886"/>
        <w:rPr>
          <w:rFonts w:ascii="Arial" w:hAnsi="Arial" w:cs="Arial"/>
          <w:kern w:val="0"/>
          <w:sz w:val="20"/>
          <w:szCs w:val="20"/>
          <w:lang w:val="en-US"/>
          <w14:ligatures w14:val="none"/>
        </w:rPr>
      </w:pPr>
      <w:r w:rsidRPr="00AE30B2">
        <w:rPr>
          <w:rFonts w:ascii="Arial" w:hAnsi="Arial" w:cs="Arial"/>
          <w:kern w:val="0"/>
          <w:sz w:val="20"/>
          <w:szCs w:val="20"/>
          <w:lang w:val="en-US"/>
          <w14:ligatures w14:val="none"/>
        </w:rPr>
        <w:t xml:space="preserve">Ethical approval for this study was secured from the Research Ethics Committee of the Rivers State Ministry of Education, Nigeria, prior to starting the research. Permission was also granted by the management of </w:t>
      </w:r>
      <w:r w:rsidRPr="00AE30B2">
        <w:rPr>
          <w:rFonts w:ascii="Arial" w:hAnsi="Arial" w:cs="Arial"/>
          <w:kern w:val="0"/>
          <w:sz w:val="20"/>
          <w:szCs w:val="20"/>
          <w:lang w:val="en-US"/>
          <w14:ligatures w14:val="none"/>
        </w:rPr>
        <w:lastRenderedPageBreak/>
        <w:t xml:space="preserve">the chosen community health </w:t>
      </w:r>
      <w:proofErr w:type="spellStart"/>
      <w:r w:rsidRPr="00AE30B2">
        <w:rPr>
          <w:rFonts w:ascii="Arial" w:hAnsi="Arial" w:cs="Arial"/>
          <w:kern w:val="0"/>
          <w:sz w:val="20"/>
          <w:szCs w:val="20"/>
          <w:lang w:val="en-US"/>
          <w14:ligatures w14:val="none"/>
        </w:rPr>
        <w:t>centres</w:t>
      </w:r>
      <w:proofErr w:type="spellEnd"/>
      <w:r w:rsidRPr="00AE30B2">
        <w:rPr>
          <w:rFonts w:ascii="Arial" w:hAnsi="Arial" w:cs="Arial"/>
          <w:kern w:val="0"/>
          <w:sz w:val="20"/>
          <w:szCs w:val="20"/>
          <w:lang w:val="en-US"/>
          <w14:ligatures w14:val="none"/>
        </w:rPr>
        <w:t xml:space="preserve"> in Andoni Local Government Area. The study's aims and procedures were explained to the parents or caregivers of the children involved, and informed consent was obtained before collecting samples. Participants' confidentiality and privacy were preserved throughout the research, with all activities conducted following established ethical guidelines.</w:t>
      </w:r>
    </w:p>
    <w:p w14:paraId="2CA1D01D" w14:textId="77777777" w:rsidR="00E05F0E" w:rsidRPr="00AE30B2" w:rsidRDefault="00E05F0E" w:rsidP="00E05F0E">
      <w:pPr>
        <w:shd w:val="clear" w:color="auto" w:fill="FFFFFF"/>
        <w:spacing w:after="0" w:line="240" w:lineRule="auto"/>
        <w:divId w:val="550728886"/>
        <w:rPr>
          <w:rFonts w:ascii="Arial" w:eastAsia="Times New Roman" w:hAnsi="Arial" w:cs="Arial"/>
          <w:color w:val="222222"/>
          <w:lang w:val="en-IN" w:eastAsia="en-IN"/>
        </w:rPr>
      </w:pPr>
    </w:p>
    <w:p w14:paraId="56B9B436" w14:textId="77777777" w:rsidR="00E05F0E" w:rsidRPr="00AE30B2" w:rsidRDefault="00E05F0E" w:rsidP="00E05F0E">
      <w:pPr>
        <w:shd w:val="clear" w:color="auto" w:fill="FFFFFF"/>
        <w:spacing w:after="0" w:line="240" w:lineRule="auto"/>
        <w:divId w:val="550728886"/>
        <w:rPr>
          <w:rFonts w:ascii="Arial" w:eastAsia="Times New Roman" w:hAnsi="Arial" w:cs="Arial"/>
          <w:color w:val="222222"/>
          <w:lang w:val="en-IN" w:eastAsia="en-IN"/>
        </w:rPr>
      </w:pPr>
      <w:bookmarkStart w:id="5" w:name="_Hlk232854992"/>
    </w:p>
    <w:p w14:paraId="2D4366FE" w14:textId="77777777" w:rsidR="00E05F0E" w:rsidRPr="00AE30B2" w:rsidRDefault="00E05F0E" w:rsidP="00E05F0E">
      <w:pPr>
        <w:spacing w:after="0" w:line="240" w:lineRule="auto"/>
        <w:divId w:val="550728886"/>
        <w:rPr>
          <w:rFonts w:ascii="Times New Roman" w:hAnsi="Times New Roman" w:cs="Times New Roman"/>
          <w:b/>
        </w:rPr>
      </w:pPr>
      <w:bookmarkStart w:id="6" w:name="_Hlk234486585"/>
      <w:bookmarkStart w:id="7" w:name="_Hlk232755622"/>
      <w:r w:rsidRPr="00AE30B2">
        <w:rPr>
          <w:rFonts w:ascii="Times New Roman" w:hAnsi="Times New Roman" w:cs="Times New Roman"/>
          <w:b/>
        </w:rPr>
        <w:t>Declaration of AI Use</w:t>
      </w:r>
    </w:p>
    <w:p w14:paraId="0DD2DCEB" w14:textId="77777777" w:rsidR="00E05F0E" w:rsidRPr="00AE30B2" w:rsidRDefault="00E05F0E" w:rsidP="00E05F0E">
      <w:pPr>
        <w:spacing w:after="0" w:line="240" w:lineRule="auto"/>
        <w:divId w:val="550728886"/>
        <w:rPr>
          <w:rFonts w:ascii="Times New Roman" w:hAnsi="Times New Roman" w:cs="Times New Roman"/>
        </w:rPr>
      </w:pPr>
      <w:bookmarkStart w:id="8" w:name="_Hlk234486575"/>
      <w:bookmarkEnd w:id="6"/>
    </w:p>
    <w:p w14:paraId="6D71D126" w14:textId="77777777" w:rsidR="00E05F0E" w:rsidRPr="00AE30B2" w:rsidRDefault="00E05F0E" w:rsidP="00E05F0E">
      <w:pPr>
        <w:spacing w:after="0" w:line="240" w:lineRule="auto"/>
        <w:jc w:val="both"/>
        <w:divId w:val="550728886"/>
        <w:rPr>
          <w:rFonts w:ascii="Times New Roman" w:hAnsi="Times New Roman" w:cs="Times New Roman"/>
        </w:rPr>
      </w:pPr>
      <w:r w:rsidRPr="00AE30B2">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5"/>
    <w:bookmarkEnd w:id="7"/>
    <w:bookmarkEnd w:id="8"/>
    <w:p w14:paraId="42719E55" w14:textId="77777777" w:rsidR="00E05F0E" w:rsidRPr="00AE30B2" w:rsidRDefault="00E05F0E" w:rsidP="00D5102C">
      <w:pPr>
        <w:spacing w:before="100" w:beforeAutospacing="1" w:after="100" w:afterAutospacing="1" w:line="240" w:lineRule="auto"/>
        <w:jc w:val="both"/>
        <w:outlineLvl w:val="0"/>
        <w:divId w:val="550728886"/>
        <w:rPr>
          <w:rFonts w:ascii="Arial" w:hAnsi="Arial" w:cs="Arial"/>
          <w:kern w:val="0"/>
          <w:sz w:val="20"/>
          <w:szCs w:val="20"/>
          <w:lang w:val="en-US"/>
          <w14:ligatures w14:val="none"/>
        </w:rPr>
      </w:pPr>
    </w:p>
    <w:p w14:paraId="1BD402B7" w14:textId="77777777" w:rsidR="00BD09B4" w:rsidRDefault="007210F1" w:rsidP="00D5102C">
      <w:pPr>
        <w:spacing w:beforeAutospacing="1" w:after="0" w:afterAutospacing="1" w:line="240" w:lineRule="auto"/>
        <w:jc w:val="both"/>
        <w:outlineLvl w:val="0"/>
        <w:divId w:val="550728886"/>
        <w:rPr>
          <w:rFonts w:ascii="Arial" w:eastAsia="Times New Roman" w:hAnsi="Arial" w:cs="Arial"/>
          <w:b/>
          <w:bCs/>
          <w:kern w:val="36"/>
          <w:sz w:val="22"/>
          <w:szCs w:val="22"/>
          <w14:ligatures w14:val="none"/>
        </w:rPr>
      </w:pPr>
      <w:r w:rsidRPr="00AE30B2">
        <w:rPr>
          <w:rFonts w:ascii="Arial" w:eastAsia="Times New Roman" w:hAnsi="Arial" w:cs="Arial"/>
          <w:b/>
          <w:bCs/>
          <w:kern w:val="36"/>
          <w:sz w:val="22"/>
          <w:szCs w:val="22"/>
          <w14:ligatures w14:val="none"/>
        </w:rPr>
        <w:t>REFERENCES</w:t>
      </w:r>
    </w:p>
    <w:p w14:paraId="55139094"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Agi, V. N., &amp; Mbata, C. A. (2025). Molecular </w:t>
      </w:r>
      <w:proofErr w:type="spellStart"/>
      <w:r w:rsidRPr="000A47A5">
        <w:rPr>
          <w:rFonts w:ascii="Times New Roman" w:eastAsia="Times New Roman" w:hAnsi="Times New Roman" w:cs="Times New Roman"/>
          <w:kern w:val="0"/>
          <w:lang w:val="en-US"/>
          <w14:ligatures w14:val="none"/>
        </w:rPr>
        <w:t>characterisation</w:t>
      </w:r>
      <w:proofErr w:type="spellEnd"/>
      <w:r w:rsidRPr="000A47A5">
        <w:rPr>
          <w:rFonts w:ascii="Times New Roman" w:eastAsia="Times New Roman" w:hAnsi="Times New Roman" w:cs="Times New Roman"/>
          <w:kern w:val="0"/>
          <w:lang w:val="en-US"/>
          <w14:ligatures w14:val="none"/>
        </w:rPr>
        <w:t xml:space="preserve"> of enteric bacteria in </w:t>
      </w:r>
      <w:proofErr w:type="spellStart"/>
      <w:r w:rsidRPr="000A47A5">
        <w:rPr>
          <w:rFonts w:ascii="Times New Roman" w:eastAsia="Times New Roman" w:hAnsi="Times New Roman" w:cs="Times New Roman"/>
          <w:kern w:val="0"/>
          <w:lang w:val="en-US"/>
          <w14:ligatures w14:val="none"/>
        </w:rPr>
        <w:t>diarrhoeic</w:t>
      </w:r>
      <w:proofErr w:type="spellEnd"/>
      <w:r w:rsidRPr="000A47A5">
        <w:rPr>
          <w:rFonts w:ascii="Times New Roman" w:eastAsia="Times New Roman" w:hAnsi="Times New Roman" w:cs="Times New Roman"/>
          <w:kern w:val="0"/>
          <w:lang w:val="en-US"/>
          <w14:ligatures w14:val="none"/>
        </w:rPr>
        <w:t xml:space="preserve"> stool samples of children less than five years in Port Harcourt, Nigeria. </w:t>
      </w:r>
      <w:r w:rsidRPr="000A47A5">
        <w:rPr>
          <w:rFonts w:ascii="Times New Roman" w:eastAsia="Times New Roman" w:hAnsi="Times New Roman" w:cs="Times New Roman"/>
          <w:i/>
          <w:iCs/>
          <w:kern w:val="0"/>
          <w:lang w:val="en-US"/>
          <w14:ligatures w14:val="none"/>
        </w:rPr>
        <w:t>Microbiology Research Journal International, 35</w:t>
      </w:r>
      <w:r w:rsidRPr="000A47A5">
        <w:rPr>
          <w:rFonts w:ascii="Times New Roman" w:eastAsia="Times New Roman" w:hAnsi="Times New Roman" w:cs="Times New Roman"/>
          <w:kern w:val="0"/>
          <w:lang w:val="en-US"/>
          <w14:ligatures w14:val="none"/>
        </w:rPr>
        <w:t xml:space="preserve">(3), 92–105. </w:t>
      </w:r>
      <w:hyperlink r:id="rId7" w:history="1">
        <w:r w:rsidRPr="000A47A5">
          <w:rPr>
            <w:rFonts w:ascii="Times New Roman" w:eastAsia="Times New Roman" w:hAnsi="Times New Roman" w:cs="Times New Roman"/>
            <w:color w:val="0000FF"/>
            <w:kern w:val="0"/>
            <w:u w:val="single"/>
            <w:lang w:val="en-US"/>
            <w14:ligatures w14:val="none"/>
          </w:rPr>
          <w:t>https://doi.org/10.9734/mrji/2025/v35i31554</w:t>
        </w:r>
      </w:hyperlink>
    </w:p>
    <w:p w14:paraId="6A9E5A60"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Ahinkorah, B. O., Aboagye, R. G., Seidu, A. A., Frimpong, J. B., </w:t>
      </w:r>
      <w:proofErr w:type="spellStart"/>
      <w:r w:rsidRPr="000A47A5">
        <w:rPr>
          <w:rFonts w:ascii="Times New Roman" w:eastAsia="Times New Roman" w:hAnsi="Times New Roman" w:cs="Times New Roman"/>
          <w:kern w:val="0"/>
          <w:lang w:val="en-US"/>
          <w14:ligatures w14:val="none"/>
        </w:rPr>
        <w:t>Cadri</w:t>
      </w:r>
      <w:proofErr w:type="spellEnd"/>
      <w:r w:rsidRPr="000A47A5">
        <w:rPr>
          <w:rFonts w:ascii="Times New Roman" w:eastAsia="Times New Roman" w:hAnsi="Times New Roman" w:cs="Times New Roman"/>
          <w:kern w:val="0"/>
          <w:lang w:val="en-US"/>
          <w14:ligatures w14:val="none"/>
        </w:rPr>
        <w:t xml:space="preserve">, A., </w:t>
      </w:r>
      <w:proofErr w:type="spellStart"/>
      <w:r w:rsidRPr="000A47A5">
        <w:rPr>
          <w:rFonts w:ascii="Times New Roman" w:eastAsia="Times New Roman" w:hAnsi="Times New Roman" w:cs="Times New Roman"/>
          <w:kern w:val="0"/>
          <w:lang w:val="en-US"/>
          <w14:ligatures w14:val="none"/>
        </w:rPr>
        <w:t>Afaya</w:t>
      </w:r>
      <w:proofErr w:type="spellEnd"/>
      <w:r w:rsidRPr="000A47A5">
        <w:rPr>
          <w:rFonts w:ascii="Times New Roman" w:eastAsia="Times New Roman" w:hAnsi="Times New Roman" w:cs="Times New Roman"/>
          <w:kern w:val="0"/>
          <w:lang w:val="en-US"/>
          <w14:ligatures w14:val="none"/>
        </w:rPr>
        <w:t xml:space="preserve">, A., Hagan, J. E., Jr., &amp; Yaya, S. (2022). Prevalence and predictors of oral rehydration therapy, zinc, and other treatments for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among children under-five in sub-Saharan Africa. </w:t>
      </w:r>
      <w:r w:rsidRPr="000A47A5">
        <w:rPr>
          <w:rFonts w:ascii="Times New Roman" w:eastAsia="Times New Roman" w:hAnsi="Times New Roman" w:cs="Times New Roman"/>
          <w:i/>
          <w:iCs/>
          <w:kern w:val="0"/>
          <w:lang w:val="en-US"/>
          <w14:ligatures w14:val="none"/>
        </w:rPr>
        <w:t>PLOS ONE, 17</w:t>
      </w:r>
      <w:r w:rsidRPr="000A47A5">
        <w:rPr>
          <w:rFonts w:ascii="Times New Roman" w:eastAsia="Times New Roman" w:hAnsi="Times New Roman" w:cs="Times New Roman"/>
          <w:kern w:val="0"/>
          <w:lang w:val="en-US"/>
          <w14:ligatures w14:val="none"/>
        </w:rPr>
        <w:t xml:space="preserve">(10), Article e0275495. </w:t>
      </w:r>
      <w:hyperlink r:id="rId8" w:history="1">
        <w:r w:rsidRPr="000A47A5">
          <w:rPr>
            <w:rFonts w:ascii="Times New Roman" w:eastAsia="Times New Roman" w:hAnsi="Times New Roman" w:cs="Times New Roman"/>
            <w:color w:val="0000FF"/>
            <w:kern w:val="0"/>
            <w:u w:val="single"/>
            <w:lang w:val="en-US"/>
            <w14:ligatures w14:val="none"/>
          </w:rPr>
          <w:t>https://doi.org/10.1371/journal.pone.0275495</w:t>
        </w:r>
      </w:hyperlink>
    </w:p>
    <w:p w14:paraId="57FE0232"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Ahmad, O. M., Rukh, S., Dos Santos Pereira, S., Saran, A., Chandran, V. I., Muneeb, A., Banderas Echeverry, W. M., </w:t>
      </w:r>
      <w:proofErr w:type="spellStart"/>
      <w:r w:rsidRPr="000A47A5">
        <w:rPr>
          <w:rFonts w:ascii="Times New Roman" w:eastAsia="Times New Roman" w:hAnsi="Times New Roman" w:cs="Times New Roman"/>
          <w:kern w:val="0"/>
          <w:lang w:val="en-US"/>
          <w14:ligatures w14:val="none"/>
        </w:rPr>
        <w:t>Shoyoye</w:t>
      </w:r>
      <w:proofErr w:type="spellEnd"/>
      <w:r w:rsidRPr="000A47A5">
        <w:rPr>
          <w:rFonts w:ascii="Times New Roman" w:eastAsia="Times New Roman" w:hAnsi="Times New Roman" w:cs="Times New Roman"/>
          <w:kern w:val="0"/>
          <w:lang w:val="en-US"/>
          <w14:ligatures w14:val="none"/>
        </w:rPr>
        <w:t xml:space="preserve">, M., Akintunde, D. M., Hassan, D., Morani, Z., &amp; Masood, L. (2025). A comprehensive review of the role of virulence factors in enteropathogenic </w:t>
      </w:r>
      <w:r w:rsidRPr="000A47A5">
        <w:rPr>
          <w:rFonts w:ascii="Times New Roman" w:eastAsia="Times New Roman" w:hAnsi="Times New Roman" w:cs="Times New Roman"/>
          <w:i/>
          <w:iCs/>
          <w:kern w:val="0"/>
          <w:lang w:val="en-US"/>
          <w14:ligatures w14:val="none"/>
        </w:rPr>
        <w:t>Escherichia coli</w:t>
      </w:r>
      <w:r w:rsidRPr="000A47A5">
        <w:rPr>
          <w:rFonts w:ascii="Times New Roman" w:eastAsia="Times New Roman" w:hAnsi="Times New Roman" w:cs="Times New Roman"/>
          <w:kern w:val="0"/>
          <w:lang w:val="en-US"/>
          <w14:ligatures w14:val="none"/>
        </w:rPr>
        <w:t xml:space="preserve">-induced intestinal injury. </w:t>
      </w:r>
      <w:r w:rsidRPr="000A47A5">
        <w:rPr>
          <w:rFonts w:ascii="Times New Roman" w:eastAsia="Times New Roman" w:hAnsi="Times New Roman" w:cs="Times New Roman"/>
          <w:i/>
          <w:iCs/>
          <w:kern w:val="0"/>
          <w:lang w:val="en-US"/>
          <w14:ligatures w14:val="none"/>
        </w:rPr>
        <w:t>Cureus, 17</w:t>
      </w:r>
      <w:r w:rsidRPr="000A47A5">
        <w:rPr>
          <w:rFonts w:ascii="Times New Roman" w:eastAsia="Times New Roman" w:hAnsi="Times New Roman" w:cs="Times New Roman"/>
          <w:kern w:val="0"/>
          <w:lang w:val="en-US"/>
          <w14:ligatures w14:val="none"/>
        </w:rPr>
        <w:t xml:space="preserve">(5), Article e83475. </w:t>
      </w:r>
      <w:hyperlink r:id="rId9" w:history="1">
        <w:r w:rsidRPr="000A47A5">
          <w:rPr>
            <w:rFonts w:ascii="Times New Roman" w:eastAsia="Times New Roman" w:hAnsi="Times New Roman" w:cs="Times New Roman"/>
            <w:color w:val="0000FF"/>
            <w:kern w:val="0"/>
            <w:u w:val="single"/>
            <w:lang w:val="en-US"/>
            <w14:ligatures w14:val="none"/>
          </w:rPr>
          <w:t>https://doi.org/10.7759/cureus.83475</w:t>
        </w:r>
      </w:hyperlink>
    </w:p>
    <w:p w14:paraId="46A71287"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Alam, J., Nuzhat, S., Billal, S. M., Ahmed, T., Khan, A. I., &amp; Hossain, M. I. (2023). Nutritional profiles and zinc supplementation among children with diarrhea in Bangladesh. </w:t>
      </w:r>
      <w:r w:rsidRPr="000A47A5">
        <w:rPr>
          <w:rFonts w:ascii="Times New Roman" w:eastAsia="Times New Roman" w:hAnsi="Times New Roman" w:cs="Times New Roman"/>
          <w:i/>
          <w:iCs/>
          <w:kern w:val="0"/>
          <w:lang w:val="en-US"/>
          <w14:ligatures w14:val="none"/>
        </w:rPr>
        <w:t>The American Journal of Tropical Medicine and Hygiene, 108</w:t>
      </w:r>
      <w:r w:rsidRPr="000A47A5">
        <w:rPr>
          <w:rFonts w:ascii="Times New Roman" w:eastAsia="Times New Roman" w:hAnsi="Times New Roman" w:cs="Times New Roman"/>
          <w:kern w:val="0"/>
          <w:lang w:val="en-US"/>
          <w14:ligatures w14:val="none"/>
        </w:rPr>
        <w:t xml:space="preserve">(4), 837–843. </w:t>
      </w:r>
      <w:hyperlink r:id="rId10" w:history="1">
        <w:r w:rsidRPr="000A47A5">
          <w:rPr>
            <w:rFonts w:ascii="Times New Roman" w:eastAsia="Times New Roman" w:hAnsi="Times New Roman" w:cs="Times New Roman"/>
            <w:color w:val="0000FF"/>
            <w:kern w:val="0"/>
            <w:u w:val="single"/>
            <w:lang w:val="en-US"/>
            <w14:ligatures w14:val="none"/>
          </w:rPr>
          <w:t>https://doi.org/10.4269/ajtmh.22-0532</w:t>
        </w:r>
      </w:hyperlink>
    </w:p>
    <w:p w14:paraId="127EA122"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Ali, A. A., Naqvi, S. K., Hasnain, Z., Zubairi, M. B. A., Sharif, A., Salam, R. A., Soofi, S., Ariff, S., Nisar, Y. B., &amp; Das, J. K. (2024). Zinc supplementation for acute and persistent watery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in children: A systematic review and meta-analysis. </w:t>
      </w:r>
      <w:r w:rsidRPr="000A47A5">
        <w:rPr>
          <w:rFonts w:ascii="Times New Roman" w:eastAsia="Times New Roman" w:hAnsi="Times New Roman" w:cs="Times New Roman"/>
          <w:i/>
          <w:iCs/>
          <w:kern w:val="0"/>
          <w:lang w:val="en-US"/>
          <w14:ligatures w14:val="none"/>
        </w:rPr>
        <w:t>Journal of Global Health, 14</w:t>
      </w:r>
      <w:r w:rsidRPr="000A47A5">
        <w:rPr>
          <w:rFonts w:ascii="Times New Roman" w:eastAsia="Times New Roman" w:hAnsi="Times New Roman" w:cs="Times New Roman"/>
          <w:kern w:val="0"/>
          <w:lang w:val="en-US"/>
          <w14:ligatures w14:val="none"/>
        </w:rPr>
        <w:t xml:space="preserve">, Article 04212. </w:t>
      </w:r>
      <w:hyperlink r:id="rId11" w:history="1">
        <w:r w:rsidRPr="000A47A5">
          <w:rPr>
            <w:rFonts w:ascii="Times New Roman" w:eastAsia="Times New Roman" w:hAnsi="Times New Roman" w:cs="Times New Roman"/>
            <w:color w:val="0000FF"/>
            <w:kern w:val="0"/>
            <w:u w:val="single"/>
            <w:lang w:val="en-US"/>
            <w14:ligatures w14:val="none"/>
          </w:rPr>
          <w:t>https://doi.org/10.7189/jogh.14.04212</w:t>
        </w:r>
      </w:hyperlink>
    </w:p>
    <w:p w14:paraId="1EF851E5"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lastRenderedPageBreak/>
        <w:t>Amuche</w:t>
      </w:r>
      <w:proofErr w:type="spellEnd"/>
      <w:r w:rsidRPr="000A47A5">
        <w:rPr>
          <w:rFonts w:ascii="Times New Roman" w:eastAsia="Times New Roman" w:hAnsi="Times New Roman" w:cs="Times New Roman"/>
          <w:kern w:val="0"/>
          <w:lang w:val="en-US"/>
          <w14:ligatures w14:val="none"/>
        </w:rPr>
        <w:t>, E. S., Omo-</w:t>
      </w:r>
      <w:proofErr w:type="spellStart"/>
      <w:r w:rsidRPr="000A47A5">
        <w:rPr>
          <w:rFonts w:ascii="Times New Roman" w:eastAsia="Times New Roman" w:hAnsi="Times New Roman" w:cs="Times New Roman"/>
          <w:kern w:val="0"/>
          <w:lang w:val="en-US"/>
          <w14:ligatures w14:val="none"/>
        </w:rPr>
        <w:t>Omorodion</w:t>
      </w:r>
      <w:proofErr w:type="spellEnd"/>
      <w:r w:rsidRPr="000A47A5">
        <w:rPr>
          <w:rFonts w:ascii="Times New Roman" w:eastAsia="Times New Roman" w:hAnsi="Times New Roman" w:cs="Times New Roman"/>
          <w:kern w:val="0"/>
          <w:lang w:val="en-US"/>
          <w14:ligatures w14:val="none"/>
        </w:rPr>
        <w:t xml:space="preserve">, B. I., </w:t>
      </w:r>
      <w:proofErr w:type="spellStart"/>
      <w:r w:rsidRPr="000A47A5">
        <w:rPr>
          <w:rFonts w:ascii="Times New Roman" w:eastAsia="Times New Roman" w:hAnsi="Times New Roman" w:cs="Times New Roman"/>
          <w:kern w:val="0"/>
          <w:lang w:val="en-US"/>
          <w14:ligatures w14:val="none"/>
        </w:rPr>
        <w:t>Attama</w:t>
      </w:r>
      <w:proofErr w:type="spellEnd"/>
      <w:r w:rsidRPr="000A47A5">
        <w:rPr>
          <w:rFonts w:ascii="Times New Roman" w:eastAsia="Times New Roman" w:hAnsi="Times New Roman" w:cs="Times New Roman"/>
          <w:kern w:val="0"/>
          <w:lang w:val="en-US"/>
          <w14:ligatures w14:val="none"/>
        </w:rPr>
        <w:t xml:space="preserve">, A. A., Ugwu, C. N., &amp; Ibezim, E. C. (2022). Incidence of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and predisposing factors among under-five children in Nigeria: Critical review. </w:t>
      </w:r>
      <w:r w:rsidRPr="000A47A5">
        <w:rPr>
          <w:rFonts w:ascii="Times New Roman" w:eastAsia="Times New Roman" w:hAnsi="Times New Roman" w:cs="Times New Roman"/>
          <w:i/>
          <w:iCs/>
          <w:kern w:val="0"/>
          <w:lang w:val="en-US"/>
          <w14:ligatures w14:val="none"/>
        </w:rPr>
        <w:t>Journal of Clinical Cases &amp; Reports, 5</w:t>
      </w:r>
      <w:r w:rsidRPr="000A47A5">
        <w:rPr>
          <w:rFonts w:ascii="Times New Roman" w:eastAsia="Times New Roman" w:hAnsi="Times New Roman" w:cs="Times New Roman"/>
          <w:kern w:val="0"/>
          <w:lang w:val="en-US"/>
          <w14:ligatures w14:val="none"/>
        </w:rPr>
        <w:t xml:space="preserve">(S8), 381–391. </w:t>
      </w:r>
      <w:hyperlink r:id="rId12" w:history="1">
        <w:r w:rsidRPr="000A47A5">
          <w:rPr>
            <w:rFonts w:ascii="Times New Roman" w:eastAsia="Times New Roman" w:hAnsi="Times New Roman" w:cs="Times New Roman"/>
            <w:color w:val="0000FF"/>
            <w:kern w:val="0"/>
            <w:u w:val="single"/>
            <w:lang w:val="en-US"/>
            <w14:ligatures w14:val="none"/>
          </w:rPr>
          <w:t>https://doi.org/10.46619/joccr.2022.5-S8.1048</w:t>
        </w:r>
      </w:hyperlink>
    </w:p>
    <w:p w14:paraId="376A8F0A"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Awad, W. A., Hess, C., &amp; Hess, M. (2017). </w:t>
      </w:r>
      <w:proofErr w:type="spellStart"/>
      <w:r w:rsidRPr="000A47A5">
        <w:rPr>
          <w:rFonts w:ascii="Times New Roman" w:eastAsia="Times New Roman" w:hAnsi="Times New Roman" w:cs="Times New Roman"/>
          <w:kern w:val="0"/>
          <w:lang w:val="en-US"/>
          <w14:ligatures w14:val="none"/>
        </w:rPr>
        <w:t>Enteropathogens</w:t>
      </w:r>
      <w:proofErr w:type="spellEnd"/>
      <w:r w:rsidRPr="000A47A5">
        <w:rPr>
          <w:rFonts w:ascii="Times New Roman" w:eastAsia="Times New Roman" w:hAnsi="Times New Roman" w:cs="Times New Roman"/>
          <w:kern w:val="0"/>
          <w:lang w:val="en-US"/>
          <w14:ligatures w14:val="none"/>
        </w:rPr>
        <w:t xml:space="preserve"> and their toxin-induced disruption of the intestinal barrier through alteration of tight junctions in chickens. </w:t>
      </w:r>
      <w:r w:rsidRPr="000A47A5">
        <w:rPr>
          <w:rFonts w:ascii="Times New Roman" w:eastAsia="Times New Roman" w:hAnsi="Times New Roman" w:cs="Times New Roman"/>
          <w:i/>
          <w:iCs/>
          <w:kern w:val="0"/>
          <w:lang w:val="en-US"/>
          <w14:ligatures w14:val="none"/>
        </w:rPr>
        <w:t>Toxins, 9</w:t>
      </w:r>
      <w:r w:rsidRPr="000A47A5">
        <w:rPr>
          <w:rFonts w:ascii="Times New Roman" w:eastAsia="Times New Roman" w:hAnsi="Times New Roman" w:cs="Times New Roman"/>
          <w:kern w:val="0"/>
          <w:lang w:val="en-US"/>
          <w14:ligatures w14:val="none"/>
        </w:rPr>
        <w:t xml:space="preserve">(2), Article 60. </w:t>
      </w:r>
      <w:hyperlink r:id="rId13" w:history="1">
        <w:r w:rsidRPr="000A47A5">
          <w:rPr>
            <w:rFonts w:ascii="Times New Roman" w:eastAsia="Times New Roman" w:hAnsi="Times New Roman" w:cs="Times New Roman"/>
            <w:color w:val="0000FF"/>
            <w:kern w:val="0"/>
            <w:u w:val="single"/>
            <w:lang w:val="en-US"/>
            <w14:ligatures w14:val="none"/>
          </w:rPr>
          <w:t>https://doi.org/10.3390/toxins9020060</w:t>
        </w:r>
      </w:hyperlink>
    </w:p>
    <w:p w14:paraId="0DFE4C1A"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Ayuk, T. B., Nyobe, E. C., </w:t>
      </w:r>
      <w:proofErr w:type="spellStart"/>
      <w:r w:rsidRPr="000A47A5">
        <w:rPr>
          <w:rFonts w:ascii="Times New Roman" w:eastAsia="Times New Roman" w:hAnsi="Times New Roman" w:cs="Times New Roman"/>
          <w:kern w:val="0"/>
          <w:lang w:val="en-US"/>
          <w14:ligatures w14:val="none"/>
        </w:rPr>
        <w:t>Nchung</w:t>
      </w:r>
      <w:proofErr w:type="spellEnd"/>
      <w:r w:rsidRPr="000A47A5">
        <w:rPr>
          <w:rFonts w:ascii="Times New Roman" w:eastAsia="Times New Roman" w:hAnsi="Times New Roman" w:cs="Times New Roman"/>
          <w:kern w:val="0"/>
          <w:lang w:val="en-US"/>
          <w14:ligatures w14:val="none"/>
        </w:rPr>
        <w:t xml:space="preserve">, J. A., Ndzana, A. C., </w:t>
      </w:r>
      <w:proofErr w:type="spellStart"/>
      <w:r w:rsidRPr="000A47A5">
        <w:rPr>
          <w:rFonts w:ascii="Times New Roman" w:eastAsia="Times New Roman" w:hAnsi="Times New Roman" w:cs="Times New Roman"/>
          <w:kern w:val="0"/>
          <w:lang w:val="en-US"/>
          <w14:ligatures w14:val="none"/>
        </w:rPr>
        <w:t>Essa’a</w:t>
      </w:r>
      <w:proofErr w:type="spellEnd"/>
      <w:r w:rsidRPr="000A47A5">
        <w:rPr>
          <w:rFonts w:ascii="Times New Roman" w:eastAsia="Times New Roman" w:hAnsi="Times New Roman" w:cs="Times New Roman"/>
          <w:kern w:val="0"/>
          <w:lang w:val="en-US"/>
          <w14:ligatures w14:val="none"/>
        </w:rPr>
        <w:t xml:space="preserve">, V. J., </w:t>
      </w:r>
      <w:proofErr w:type="spellStart"/>
      <w:r w:rsidRPr="000A47A5">
        <w:rPr>
          <w:rFonts w:ascii="Times New Roman" w:eastAsia="Times New Roman" w:hAnsi="Times New Roman" w:cs="Times New Roman"/>
          <w:kern w:val="0"/>
          <w:lang w:val="en-US"/>
          <w14:ligatures w14:val="none"/>
        </w:rPr>
        <w:t>Baleba</w:t>
      </w:r>
      <w:proofErr w:type="spellEnd"/>
      <w:r w:rsidRPr="000A47A5">
        <w:rPr>
          <w:rFonts w:ascii="Times New Roman" w:eastAsia="Times New Roman" w:hAnsi="Times New Roman" w:cs="Times New Roman"/>
          <w:kern w:val="0"/>
          <w:lang w:val="en-US"/>
          <w14:ligatures w14:val="none"/>
        </w:rPr>
        <w:t xml:space="preserve">, M. R., </w:t>
      </w:r>
      <w:proofErr w:type="spellStart"/>
      <w:r w:rsidRPr="000A47A5">
        <w:rPr>
          <w:rFonts w:ascii="Times New Roman" w:eastAsia="Times New Roman" w:hAnsi="Times New Roman" w:cs="Times New Roman"/>
          <w:kern w:val="0"/>
          <w:lang w:val="en-US"/>
          <w14:ligatures w14:val="none"/>
        </w:rPr>
        <w:t>Medoua</w:t>
      </w:r>
      <w:proofErr w:type="spellEnd"/>
      <w:r w:rsidRPr="000A47A5">
        <w:rPr>
          <w:rFonts w:ascii="Times New Roman" w:eastAsia="Times New Roman" w:hAnsi="Times New Roman" w:cs="Times New Roman"/>
          <w:kern w:val="0"/>
          <w:lang w:val="en-US"/>
          <w14:ligatures w14:val="none"/>
        </w:rPr>
        <w:t xml:space="preserve">, G. N., &amp; </w:t>
      </w:r>
      <w:proofErr w:type="spellStart"/>
      <w:r w:rsidRPr="000A47A5">
        <w:rPr>
          <w:rFonts w:ascii="Times New Roman" w:eastAsia="Times New Roman" w:hAnsi="Times New Roman" w:cs="Times New Roman"/>
          <w:kern w:val="0"/>
          <w:lang w:val="en-US"/>
          <w14:ligatures w14:val="none"/>
        </w:rPr>
        <w:t>Dapi</w:t>
      </w:r>
      <w:proofErr w:type="spellEnd"/>
      <w:r w:rsidRPr="000A47A5">
        <w:rPr>
          <w:rFonts w:ascii="Times New Roman" w:eastAsia="Times New Roman" w:hAnsi="Times New Roman" w:cs="Times New Roman"/>
          <w:kern w:val="0"/>
          <w:lang w:val="en-US"/>
          <w14:ligatures w14:val="none"/>
        </w:rPr>
        <w:t xml:space="preserve">, N. L. (2018). Prevalence of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and associated risk factors among children under-five years of age in </w:t>
      </w:r>
      <w:proofErr w:type="spellStart"/>
      <w:r w:rsidRPr="000A47A5">
        <w:rPr>
          <w:rFonts w:ascii="Times New Roman" w:eastAsia="Times New Roman" w:hAnsi="Times New Roman" w:cs="Times New Roman"/>
          <w:kern w:val="0"/>
          <w:lang w:val="en-US"/>
          <w14:ligatures w14:val="none"/>
        </w:rPr>
        <w:t>Efoulan</w:t>
      </w:r>
      <w:proofErr w:type="spellEnd"/>
      <w:r w:rsidRPr="000A47A5">
        <w:rPr>
          <w:rFonts w:ascii="Times New Roman" w:eastAsia="Times New Roman" w:hAnsi="Times New Roman" w:cs="Times New Roman"/>
          <w:kern w:val="0"/>
          <w:lang w:val="en-US"/>
          <w14:ligatures w14:val="none"/>
        </w:rPr>
        <w:t xml:space="preserve"> Health District, Cameroon, sub-Saharan Africa. </w:t>
      </w:r>
      <w:r w:rsidRPr="000A47A5">
        <w:rPr>
          <w:rFonts w:ascii="Times New Roman" w:eastAsia="Times New Roman" w:hAnsi="Times New Roman" w:cs="Times New Roman"/>
          <w:i/>
          <w:iCs/>
          <w:kern w:val="0"/>
          <w:lang w:val="en-US"/>
          <w14:ligatures w14:val="none"/>
        </w:rPr>
        <w:t>MOJ Public Health, 7</w:t>
      </w:r>
      <w:r w:rsidRPr="000A47A5">
        <w:rPr>
          <w:rFonts w:ascii="Times New Roman" w:eastAsia="Times New Roman" w:hAnsi="Times New Roman" w:cs="Times New Roman"/>
          <w:kern w:val="0"/>
          <w:lang w:val="en-US"/>
          <w14:ligatures w14:val="none"/>
        </w:rPr>
        <w:t xml:space="preserve">(6), 259–264. </w:t>
      </w:r>
      <w:hyperlink r:id="rId14" w:history="1">
        <w:r w:rsidRPr="000A47A5">
          <w:rPr>
            <w:rFonts w:ascii="Times New Roman" w:eastAsia="Times New Roman" w:hAnsi="Times New Roman" w:cs="Times New Roman"/>
            <w:color w:val="0000FF"/>
            <w:kern w:val="0"/>
            <w:u w:val="single"/>
            <w:lang w:val="en-US"/>
            <w14:ligatures w14:val="none"/>
          </w:rPr>
          <w:t>https://doi.org/10.15406/mojph.2018.07.00248</w:t>
        </w:r>
      </w:hyperlink>
    </w:p>
    <w:p w14:paraId="6FBA3046"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Baral, R., </w:t>
      </w:r>
      <w:proofErr w:type="spellStart"/>
      <w:r w:rsidRPr="000A47A5">
        <w:rPr>
          <w:rFonts w:ascii="Times New Roman" w:eastAsia="Times New Roman" w:hAnsi="Times New Roman" w:cs="Times New Roman"/>
          <w:kern w:val="0"/>
          <w:lang w:val="en-US"/>
          <w14:ligatures w14:val="none"/>
        </w:rPr>
        <w:t>Nonvignon</w:t>
      </w:r>
      <w:proofErr w:type="spellEnd"/>
      <w:r w:rsidRPr="000A47A5">
        <w:rPr>
          <w:rFonts w:ascii="Times New Roman" w:eastAsia="Times New Roman" w:hAnsi="Times New Roman" w:cs="Times New Roman"/>
          <w:kern w:val="0"/>
          <w:lang w:val="en-US"/>
          <w14:ligatures w14:val="none"/>
        </w:rPr>
        <w:t xml:space="preserve">, J., </w:t>
      </w:r>
      <w:proofErr w:type="spellStart"/>
      <w:r w:rsidRPr="000A47A5">
        <w:rPr>
          <w:rFonts w:ascii="Times New Roman" w:eastAsia="Times New Roman" w:hAnsi="Times New Roman" w:cs="Times New Roman"/>
          <w:kern w:val="0"/>
          <w:lang w:val="en-US"/>
          <w14:ligatures w14:val="none"/>
        </w:rPr>
        <w:t>Debellut</w:t>
      </w:r>
      <w:proofErr w:type="spellEnd"/>
      <w:r w:rsidRPr="000A47A5">
        <w:rPr>
          <w:rFonts w:ascii="Times New Roman" w:eastAsia="Times New Roman" w:hAnsi="Times New Roman" w:cs="Times New Roman"/>
          <w:kern w:val="0"/>
          <w:lang w:val="en-US"/>
          <w14:ligatures w14:val="none"/>
        </w:rPr>
        <w:t xml:space="preserve">, F., Agyemang, S. A., Clark, A., &amp; Pecenka, C. (2020). Cost of illness for childhood diarrhea in low- and middle-income countries: A systematic review of evidence and modelled estimates. </w:t>
      </w:r>
      <w:r w:rsidRPr="000A47A5">
        <w:rPr>
          <w:rFonts w:ascii="Times New Roman" w:eastAsia="Times New Roman" w:hAnsi="Times New Roman" w:cs="Times New Roman"/>
          <w:i/>
          <w:iCs/>
          <w:kern w:val="0"/>
          <w:lang w:val="en-US"/>
          <w14:ligatures w14:val="none"/>
        </w:rPr>
        <w:t>BMC Public Health, 20</w:t>
      </w:r>
      <w:r w:rsidRPr="000A47A5">
        <w:rPr>
          <w:rFonts w:ascii="Times New Roman" w:eastAsia="Times New Roman" w:hAnsi="Times New Roman" w:cs="Times New Roman"/>
          <w:kern w:val="0"/>
          <w:lang w:val="en-US"/>
          <w14:ligatures w14:val="none"/>
        </w:rPr>
        <w:t xml:space="preserve">(1), Article 619. </w:t>
      </w:r>
      <w:hyperlink r:id="rId15" w:history="1">
        <w:r w:rsidRPr="000A47A5">
          <w:rPr>
            <w:rFonts w:ascii="Times New Roman" w:eastAsia="Times New Roman" w:hAnsi="Times New Roman" w:cs="Times New Roman"/>
            <w:color w:val="0000FF"/>
            <w:kern w:val="0"/>
            <w:u w:val="single"/>
            <w:lang w:val="en-US"/>
            <w14:ligatures w14:val="none"/>
          </w:rPr>
          <w:t>https://doi.org/10.1186/s12889-020-08595-8</w:t>
        </w:r>
      </w:hyperlink>
    </w:p>
    <w:p w14:paraId="54DADB6C"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Bolick, D. T., Medeiros, P. H. Q. S., Ledwaba, S. E., Lima, A. A., </w:t>
      </w:r>
      <w:proofErr w:type="spellStart"/>
      <w:r w:rsidRPr="000A47A5">
        <w:rPr>
          <w:rFonts w:ascii="Times New Roman" w:eastAsia="Times New Roman" w:hAnsi="Times New Roman" w:cs="Times New Roman"/>
          <w:kern w:val="0"/>
          <w:lang w:val="en-US"/>
          <w14:ligatures w14:val="none"/>
        </w:rPr>
        <w:t>Nataro</w:t>
      </w:r>
      <w:proofErr w:type="spellEnd"/>
      <w:r w:rsidRPr="000A47A5">
        <w:rPr>
          <w:rFonts w:ascii="Times New Roman" w:eastAsia="Times New Roman" w:hAnsi="Times New Roman" w:cs="Times New Roman"/>
          <w:kern w:val="0"/>
          <w:lang w:val="en-US"/>
          <w14:ligatures w14:val="none"/>
        </w:rPr>
        <w:t xml:space="preserve">, J. P., Barry, E. M., &amp; Guerrant, R. L. (2018). Critical role of zinc in a new murine model of enterotoxigenic </w:t>
      </w:r>
      <w:r w:rsidRPr="000A47A5">
        <w:rPr>
          <w:rFonts w:ascii="Times New Roman" w:eastAsia="Times New Roman" w:hAnsi="Times New Roman" w:cs="Times New Roman"/>
          <w:i/>
          <w:iCs/>
          <w:kern w:val="0"/>
          <w:lang w:val="en-US"/>
          <w14:ligatures w14:val="none"/>
        </w:rPr>
        <w:t>Escherichia coli</w:t>
      </w:r>
      <w:r w:rsidRPr="000A47A5">
        <w:rPr>
          <w:rFonts w:ascii="Times New Roman" w:eastAsia="Times New Roman" w:hAnsi="Times New Roman" w:cs="Times New Roman"/>
          <w:kern w:val="0"/>
          <w:lang w:val="en-US"/>
          <w14:ligatures w14:val="none"/>
        </w:rPr>
        <w:t xml:space="preserve"> diarrhea. </w:t>
      </w:r>
      <w:r w:rsidRPr="000A47A5">
        <w:rPr>
          <w:rFonts w:ascii="Times New Roman" w:eastAsia="Times New Roman" w:hAnsi="Times New Roman" w:cs="Times New Roman"/>
          <w:i/>
          <w:iCs/>
          <w:kern w:val="0"/>
          <w:lang w:val="en-US"/>
          <w14:ligatures w14:val="none"/>
        </w:rPr>
        <w:t>Infection and Immunity, 86</w:t>
      </w:r>
      <w:r w:rsidRPr="000A47A5">
        <w:rPr>
          <w:rFonts w:ascii="Times New Roman" w:eastAsia="Times New Roman" w:hAnsi="Times New Roman" w:cs="Times New Roman"/>
          <w:kern w:val="0"/>
          <w:lang w:val="en-US"/>
          <w14:ligatures w14:val="none"/>
        </w:rPr>
        <w:t xml:space="preserve">(7), Article e00183-18. </w:t>
      </w:r>
      <w:hyperlink r:id="rId16" w:history="1">
        <w:r w:rsidRPr="000A47A5">
          <w:rPr>
            <w:rFonts w:ascii="Times New Roman" w:eastAsia="Times New Roman" w:hAnsi="Times New Roman" w:cs="Times New Roman"/>
            <w:color w:val="0000FF"/>
            <w:kern w:val="0"/>
            <w:u w:val="single"/>
            <w:lang w:val="en-US"/>
            <w14:ligatures w14:val="none"/>
          </w:rPr>
          <w:t>https://doi.org/10.1128/IAI.00183-18</w:t>
        </w:r>
      </w:hyperlink>
    </w:p>
    <w:p w14:paraId="6B20B0F3"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Chao, H.-C. (2023). Zinc deficiency and therapeutic value of zinc supplementation in pediatric gastrointestinal diseases. </w:t>
      </w:r>
      <w:r w:rsidRPr="000A47A5">
        <w:rPr>
          <w:rFonts w:ascii="Times New Roman" w:eastAsia="Times New Roman" w:hAnsi="Times New Roman" w:cs="Times New Roman"/>
          <w:i/>
          <w:iCs/>
          <w:kern w:val="0"/>
          <w:lang w:val="en-US"/>
          <w14:ligatures w14:val="none"/>
        </w:rPr>
        <w:t>Nutrients, 15</w:t>
      </w:r>
      <w:r w:rsidRPr="000A47A5">
        <w:rPr>
          <w:rFonts w:ascii="Times New Roman" w:eastAsia="Times New Roman" w:hAnsi="Times New Roman" w:cs="Times New Roman"/>
          <w:kern w:val="0"/>
          <w:lang w:val="en-US"/>
          <w14:ligatures w14:val="none"/>
        </w:rPr>
        <w:t xml:space="preserve">(19), Article 4093. </w:t>
      </w:r>
      <w:hyperlink r:id="rId17" w:history="1">
        <w:r w:rsidRPr="000A47A5">
          <w:rPr>
            <w:rFonts w:ascii="Times New Roman" w:eastAsia="Times New Roman" w:hAnsi="Times New Roman" w:cs="Times New Roman"/>
            <w:color w:val="0000FF"/>
            <w:kern w:val="0"/>
            <w:u w:val="single"/>
            <w:lang w:val="en-US"/>
            <w14:ligatures w14:val="none"/>
          </w:rPr>
          <w:t>https://doi.org/10.3390/nu15194093</w:t>
        </w:r>
      </w:hyperlink>
    </w:p>
    <w:p w14:paraId="603137A3"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Choi, S. (2025). Diarrhea disease among under-five children in Africa (2015–2024): A systematic review and meta-analysis. </w:t>
      </w:r>
      <w:r w:rsidRPr="000A47A5">
        <w:rPr>
          <w:rFonts w:ascii="Times New Roman" w:eastAsia="Times New Roman" w:hAnsi="Times New Roman" w:cs="Times New Roman"/>
          <w:i/>
          <w:iCs/>
          <w:kern w:val="0"/>
          <w:lang w:val="en-US"/>
          <w14:ligatures w14:val="none"/>
        </w:rPr>
        <w:t>African Journal of Biomedical Research, 28</w:t>
      </w:r>
      <w:r w:rsidRPr="000A47A5">
        <w:rPr>
          <w:rFonts w:ascii="Times New Roman" w:eastAsia="Times New Roman" w:hAnsi="Times New Roman" w:cs="Times New Roman"/>
          <w:kern w:val="0"/>
          <w:lang w:val="en-US"/>
          <w14:ligatures w14:val="none"/>
        </w:rPr>
        <w:t xml:space="preserve">(3S), 25–41. </w:t>
      </w:r>
      <w:hyperlink r:id="rId18" w:history="1">
        <w:r w:rsidRPr="000A47A5">
          <w:rPr>
            <w:rFonts w:ascii="Times New Roman" w:eastAsia="Times New Roman" w:hAnsi="Times New Roman" w:cs="Times New Roman"/>
            <w:color w:val="0000FF"/>
            <w:kern w:val="0"/>
            <w:u w:val="single"/>
            <w:lang w:val="en-US"/>
            <w14:ligatures w14:val="none"/>
          </w:rPr>
          <w:t>https://doi.org/10.53555/AJBR.v28i3S.7264</w:t>
        </w:r>
      </w:hyperlink>
    </w:p>
    <w:p w14:paraId="5B304EA4"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Dah-</w:t>
      </w:r>
      <w:proofErr w:type="spellStart"/>
      <w:r w:rsidRPr="000A47A5">
        <w:rPr>
          <w:rFonts w:ascii="Times New Roman" w:eastAsia="Times New Roman" w:hAnsi="Times New Roman" w:cs="Times New Roman"/>
          <w:kern w:val="0"/>
          <w:lang w:val="en-US"/>
          <w14:ligatures w14:val="none"/>
        </w:rPr>
        <w:t>Nouvlessounon</w:t>
      </w:r>
      <w:proofErr w:type="spellEnd"/>
      <w:r w:rsidRPr="000A47A5">
        <w:rPr>
          <w:rFonts w:ascii="Times New Roman" w:eastAsia="Times New Roman" w:hAnsi="Times New Roman" w:cs="Times New Roman"/>
          <w:kern w:val="0"/>
          <w:lang w:val="en-US"/>
          <w14:ligatures w14:val="none"/>
        </w:rPr>
        <w:t xml:space="preserve">, D., Sina, H., Yakoubou, A., Boya, B., </w:t>
      </w:r>
      <w:proofErr w:type="spellStart"/>
      <w:r w:rsidRPr="000A47A5">
        <w:rPr>
          <w:rFonts w:ascii="Times New Roman" w:eastAsia="Times New Roman" w:hAnsi="Times New Roman" w:cs="Times New Roman"/>
          <w:kern w:val="0"/>
          <w:lang w:val="en-US"/>
          <w14:ligatures w14:val="none"/>
        </w:rPr>
        <w:t>Azatassou</w:t>
      </w:r>
      <w:proofErr w:type="spellEnd"/>
      <w:r w:rsidRPr="000A47A5">
        <w:rPr>
          <w:rFonts w:ascii="Times New Roman" w:eastAsia="Times New Roman" w:hAnsi="Times New Roman" w:cs="Times New Roman"/>
          <w:kern w:val="0"/>
          <w:lang w:val="en-US"/>
          <w14:ligatures w14:val="none"/>
        </w:rPr>
        <w:t xml:space="preserve">, S., </w:t>
      </w:r>
      <w:proofErr w:type="spellStart"/>
      <w:r w:rsidRPr="000A47A5">
        <w:rPr>
          <w:rFonts w:ascii="Times New Roman" w:eastAsia="Times New Roman" w:hAnsi="Times New Roman" w:cs="Times New Roman"/>
          <w:kern w:val="0"/>
          <w:lang w:val="en-US"/>
          <w14:ligatures w14:val="none"/>
        </w:rPr>
        <w:t>N’tcha</w:t>
      </w:r>
      <w:proofErr w:type="spellEnd"/>
      <w:r w:rsidRPr="000A47A5">
        <w:rPr>
          <w:rFonts w:ascii="Times New Roman" w:eastAsia="Times New Roman" w:hAnsi="Times New Roman" w:cs="Times New Roman"/>
          <w:kern w:val="0"/>
          <w:lang w:val="en-US"/>
          <w14:ligatures w14:val="none"/>
        </w:rPr>
        <w:t xml:space="preserve">, C., </w:t>
      </w:r>
      <w:proofErr w:type="spellStart"/>
      <w:r w:rsidRPr="000A47A5">
        <w:rPr>
          <w:rFonts w:ascii="Times New Roman" w:eastAsia="Times New Roman" w:hAnsi="Times New Roman" w:cs="Times New Roman"/>
          <w:kern w:val="0"/>
          <w:lang w:val="en-US"/>
          <w14:ligatures w14:val="none"/>
        </w:rPr>
        <w:t>Noumavo</w:t>
      </w:r>
      <w:proofErr w:type="spellEnd"/>
      <w:r w:rsidRPr="000A47A5">
        <w:rPr>
          <w:rFonts w:ascii="Times New Roman" w:eastAsia="Times New Roman" w:hAnsi="Times New Roman" w:cs="Times New Roman"/>
          <w:kern w:val="0"/>
          <w:lang w:val="en-US"/>
          <w14:ligatures w14:val="none"/>
        </w:rPr>
        <w:t xml:space="preserve">, A. D. P., </w:t>
      </w:r>
      <w:proofErr w:type="spellStart"/>
      <w:r w:rsidRPr="000A47A5">
        <w:rPr>
          <w:rFonts w:ascii="Times New Roman" w:eastAsia="Times New Roman" w:hAnsi="Times New Roman" w:cs="Times New Roman"/>
          <w:kern w:val="0"/>
          <w:lang w:val="en-US"/>
          <w14:ligatures w14:val="none"/>
        </w:rPr>
        <w:t>Assouma</w:t>
      </w:r>
      <w:proofErr w:type="spellEnd"/>
      <w:r w:rsidRPr="000A47A5">
        <w:rPr>
          <w:rFonts w:ascii="Times New Roman" w:eastAsia="Times New Roman" w:hAnsi="Times New Roman" w:cs="Times New Roman"/>
          <w:kern w:val="0"/>
          <w:lang w:val="en-US"/>
          <w14:ligatures w14:val="none"/>
        </w:rPr>
        <w:t xml:space="preserve">, F. F., </w:t>
      </w:r>
      <w:proofErr w:type="spellStart"/>
      <w:r w:rsidRPr="000A47A5">
        <w:rPr>
          <w:rFonts w:ascii="Times New Roman" w:eastAsia="Times New Roman" w:hAnsi="Times New Roman" w:cs="Times New Roman"/>
          <w:kern w:val="0"/>
          <w:lang w:val="en-US"/>
          <w14:ligatures w14:val="none"/>
        </w:rPr>
        <w:t>Adjanohoun</w:t>
      </w:r>
      <w:proofErr w:type="spellEnd"/>
      <w:r w:rsidRPr="000A47A5">
        <w:rPr>
          <w:rFonts w:ascii="Times New Roman" w:eastAsia="Times New Roman" w:hAnsi="Times New Roman" w:cs="Times New Roman"/>
          <w:kern w:val="0"/>
          <w:lang w:val="en-US"/>
          <w14:ligatures w14:val="none"/>
        </w:rPr>
        <w:t xml:space="preserve">, A., &amp; Baba-Moussa, L. (2023). Potential pathogenicity of </w:t>
      </w:r>
      <w:r w:rsidRPr="000A47A5">
        <w:rPr>
          <w:rFonts w:ascii="Times New Roman" w:eastAsia="Times New Roman" w:hAnsi="Times New Roman" w:cs="Times New Roman"/>
          <w:i/>
          <w:iCs/>
          <w:kern w:val="0"/>
          <w:lang w:val="en-US"/>
          <w14:ligatures w14:val="none"/>
        </w:rPr>
        <w:t>Escherichia coli</w:t>
      </w:r>
      <w:r w:rsidRPr="000A47A5">
        <w:rPr>
          <w:rFonts w:ascii="Times New Roman" w:eastAsia="Times New Roman" w:hAnsi="Times New Roman" w:cs="Times New Roman"/>
          <w:kern w:val="0"/>
          <w:lang w:val="en-US"/>
          <w14:ligatures w14:val="none"/>
        </w:rPr>
        <w:t xml:space="preserve"> isolated from the stools of healthy children suffering from diarrhea admitted to hospitals in southern Benin. </w:t>
      </w:r>
      <w:r w:rsidRPr="000A47A5">
        <w:rPr>
          <w:rFonts w:ascii="Times New Roman" w:eastAsia="Times New Roman" w:hAnsi="Times New Roman" w:cs="Times New Roman"/>
          <w:i/>
          <w:iCs/>
          <w:kern w:val="0"/>
          <w:lang w:val="en-US"/>
          <w14:ligatures w14:val="none"/>
        </w:rPr>
        <w:t>Journal of Advances in Microbiology, 23</w:t>
      </w:r>
      <w:r w:rsidRPr="000A47A5">
        <w:rPr>
          <w:rFonts w:ascii="Times New Roman" w:eastAsia="Times New Roman" w:hAnsi="Times New Roman" w:cs="Times New Roman"/>
          <w:kern w:val="0"/>
          <w:lang w:val="en-US"/>
          <w14:ligatures w14:val="none"/>
        </w:rPr>
        <w:t xml:space="preserve">(12), 15–29. </w:t>
      </w:r>
      <w:hyperlink r:id="rId19" w:history="1">
        <w:r w:rsidRPr="000A47A5">
          <w:rPr>
            <w:rFonts w:ascii="Times New Roman" w:eastAsia="Times New Roman" w:hAnsi="Times New Roman" w:cs="Times New Roman"/>
            <w:color w:val="0000FF"/>
            <w:kern w:val="0"/>
            <w:u w:val="single"/>
            <w:lang w:val="en-US"/>
            <w14:ligatures w14:val="none"/>
          </w:rPr>
          <w:t>https://doi.org/10.9734/jamb/2023/v23i12773</w:t>
        </w:r>
      </w:hyperlink>
    </w:p>
    <w:p w14:paraId="6745CF07"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Das, S., Neupane, R., Beard, J., Solomon, H., Das, M., Errickson, N., Simon, J. L., Nisar, Y. B., MacLeod, W. B., &amp; Hamer, D. H. (2024). </w:t>
      </w:r>
      <w:proofErr w:type="spellStart"/>
      <w:r w:rsidRPr="000A47A5">
        <w:rPr>
          <w:rFonts w:ascii="Times New Roman" w:eastAsia="Times New Roman" w:hAnsi="Times New Roman" w:cs="Times New Roman"/>
          <w:kern w:val="0"/>
          <w:lang w:val="en-US"/>
          <w14:ligatures w14:val="none"/>
        </w:rPr>
        <w:t>Aetiology</w:t>
      </w:r>
      <w:proofErr w:type="spellEnd"/>
      <w:r w:rsidRPr="000A47A5">
        <w:rPr>
          <w:rFonts w:ascii="Times New Roman" w:eastAsia="Times New Roman" w:hAnsi="Times New Roman" w:cs="Times New Roman"/>
          <w:kern w:val="0"/>
          <w:lang w:val="en-US"/>
          <w14:ligatures w14:val="none"/>
        </w:rPr>
        <w:t xml:space="preserve"> of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in children aged zero to nine years in low- and middle-income countries: A systematic review. </w:t>
      </w:r>
      <w:r w:rsidRPr="000A47A5">
        <w:rPr>
          <w:rFonts w:ascii="Times New Roman" w:eastAsia="Times New Roman" w:hAnsi="Times New Roman" w:cs="Times New Roman"/>
          <w:i/>
          <w:iCs/>
          <w:kern w:val="0"/>
          <w:lang w:val="en-US"/>
          <w14:ligatures w14:val="none"/>
        </w:rPr>
        <w:t>Journal of Global Health, 14</w:t>
      </w:r>
      <w:r w:rsidRPr="000A47A5">
        <w:rPr>
          <w:rFonts w:ascii="Times New Roman" w:eastAsia="Times New Roman" w:hAnsi="Times New Roman" w:cs="Times New Roman"/>
          <w:kern w:val="0"/>
          <w:lang w:val="en-US"/>
          <w14:ligatures w14:val="none"/>
        </w:rPr>
        <w:t xml:space="preserve">, Article 04168. </w:t>
      </w:r>
      <w:hyperlink r:id="rId20" w:history="1">
        <w:r w:rsidRPr="000A47A5">
          <w:rPr>
            <w:rFonts w:ascii="Times New Roman" w:eastAsia="Times New Roman" w:hAnsi="Times New Roman" w:cs="Times New Roman"/>
            <w:color w:val="0000FF"/>
            <w:kern w:val="0"/>
            <w:u w:val="single"/>
            <w:lang w:val="en-US"/>
            <w14:ligatures w14:val="none"/>
          </w:rPr>
          <w:t>https://doi.org/10.7189/jogh.14.04168</w:t>
        </w:r>
      </w:hyperlink>
    </w:p>
    <w:p w14:paraId="7C243D7E"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David, E. E., </w:t>
      </w:r>
      <w:proofErr w:type="spellStart"/>
      <w:r w:rsidRPr="000A47A5">
        <w:rPr>
          <w:rFonts w:ascii="Times New Roman" w:eastAsia="Times New Roman" w:hAnsi="Times New Roman" w:cs="Times New Roman"/>
          <w:kern w:val="0"/>
          <w:lang w:val="en-US"/>
          <w14:ligatures w14:val="none"/>
        </w:rPr>
        <w:t>Igwenyi</w:t>
      </w:r>
      <w:proofErr w:type="spellEnd"/>
      <w:r w:rsidRPr="000A47A5">
        <w:rPr>
          <w:rFonts w:ascii="Times New Roman" w:eastAsia="Times New Roman" w:hAnsi="Times New Roman" w:cs="Times New Roman"/>
          <w:kern w:val="0"/>
          <w:lang w:val="en-US"/>
          <w14:ligatures w14:val="none"/>
        </w:rPr>
        <w:t xml:space="preserve">, I. O., Iroha, I. R., </w:t>
      </w:r>
      <w:proofErr w:type="spellStart"/>
      <w:r w:rsidRPr="000A47A5">
        <w:rPr>
          <w:rFonts w:ascii="Times New Roman" w:eastAsia="Times New Roman" w:hAnsi="Times New Roman" w:cs="Times New Roman"/>
          <w:kern w:val="0"/>
          <w:lang w:val="en-US"/>
          <w14:ligatures w14:val="none"/>
        </w:rPr>
        <w:t>Emumwen</w:t>
      </w:r>
      <w:proofErr w:type="spellEnd"/>
      <w:r w:rsidRPr="000A47A5">
        <w:rPr>
          <w:rFonts w:ascii="Times New Roman" w:eastAsia="Times New Roman" w:hAnsi="Times New Roman" w:cs="Times New Roman"/>
          <w:kern w:val="0"/>
          <w:lang w:val="en-US"/>
          <w14:ligatures w14:val="none"/>
        </w:rPr>
        <w:t xml:space="preserve">, E. L., Offor, C. E., Orji, O. J., Igwe, F. C., Obasi, D. C., </w:t>
      </w:r>
      <w:proofErr w:type="spellStart"/>
      <w:r w:rsidRPr="000A47A5">
        <w:rPr>
          <w:rFonts w:ascii="Times New Roman" w:eastAsia="Times New Roman" w:hAnsi="Times New Roman" w:cs="Times New Roman"/>
          <w:kern w:val="0"/>
          <w:lang w:val="en-US"/>
          <w14:ligatures w14:val="none"/>
        </w:rPr>
        <w:t>Nkama</w:t>
      </w:r>
      <w:proofErr w:type="spellEnd"/>
      <w:r w:rsidRPr="000A47A5">
        <w:rPr>
          <w:rFonts w:ascii="Times New Roman" w:eastAsia="Times New Roman" w:hAnsi="Times New Roman" w:cs="Times New Roman"/>
          <w:kern w:val="0"/>
          <w:lang w:val="en-US"/>
          <w14:ligatures w14:val="none"/>
        </w:rPr>
        <w:t xml:space="preserve">, J. O., Oke, B., &amp; </w:t>
      </w:r>
      <w:proofErr w:type="spellStart"/>
      <w:r w:rsidRPr="000A47A5">
        <w:rPr>
          <w:rFonts w:ascii="Times New Roman" w:eastAsia="Times New Roman" w:hAnsi="Times New Roman" w:cs="Times New Roman"/>
          <w:kern w:val="0"/>
          <w:lang w:val="en-US"/>
          <w14:ligatures w14:val="none"/>
        </w:rPr>
        <w:t>Ogbanshi</w:t>
      </w:r>
      <w:proofErr w:type="spellEnd"/>
      <w:r w:rsidRPr="000A47A5">
        <w:rPr>
          <w:rFonts w:ascii="Times New Roman" w:eastAsia="Times New Roman" w:hAnsi="Times New Roman" w:cs="Times New Roman"/>
          <w:kern w:val="0"/>
          <w:lang w:val="en-US"/>
          <w14:ligatures w14:val="none"/>
        </w:rPr>
        <w:t xml:space="preserve">, M. E. (2025). Yearly incidence of acute childhood gastroenteritis in Nigeria: Implicated pathogens predominantly harbor </w:t>
      </w:r>
      <w:proofErr w:type="spellStart"/>
      <w:r w:rsidRPr="000A47A5">
        <w:rPr>
          <w:rFonts w:ascii="Times New Roman" w:eastAsia="Times New Roman" w:hAnsi="Times New Roman" w:cs="Times New Roman"/>
          <w:i/>
          <w:iCs/>
          <w:kern w:val="0"/>
          <w:lang w:val="en-US"/>
          <w14:ligatures w14:val="none"/>
        </w:rPr>
        <w:t>bla</w:t>
      </w:r>
      <w:r w:rsidRPr="000A47A5">
        <w:rPr>
          <w:rFonts w:ascii="Times New Roman" w:eastAsia="Times New Roman" w:hAnsi="Times New Roman" w:cs="Times New Roman"/>
          <w:kern w:val="0"/>
          <w:lang w:val="en-US"/>
          <w14:ligatures w14:val="none"/>
        </w:rPr>
        <w:t>CTXM</w:t>
      </w:r>
      <w:proofErr w:type="spellEnd"/>
      <w:r w:rsidRPr="000A47A5">
        <w:rPr>
          <w:rFonts w:ascii="Times New Roman" w:eastAsia="Times New Roman" w:hAnsi="Times New Roman" w:cs="Times New Roman"/>
          <w:kern w:val="0"/>
          <w:lang w:val="en-US"/>
          <w14:ligatures w14:val="none"/>
        </w:rPr>
        <w:t xml:space="preserve"> and </w:t>
      </w:r>
      <w:proofErr w:type="spellStart"/>
      <w:r w:rsidRPr="000A47A5">
        <w:rPr>
          <w:rFonts w:ascii="Times New Roman" w:eastAsia="Times New Roman" w:hAnsi="Times New Roman" w:cs="Times New Roman"/>
          <w:i/>
          <w:iCs/>
          <w:kern w:val="0"/>
          <w:lang w:val="en-US"/>
          <w14:ligatures w14:val="none"/>
        </w:rPr>
        <w:lastRenderedPageBreak/>
        <w:t>bla</w:t>
      </w:r>
      <w:r w:rsidRPr="000A47A5">
        <w:rPr>
          <w:rFonts w:ascii="Times New Roman" w:eastAsia="Times New Roman" w:hAnsi="Times New Roman" w:cs="Times New Roman"/>
          <w:kern w:val="0"/>
          <w:lang w:val="en-US"/>
          <w14:ligatures w14:val="none"/>
        </w:rPr>
        <w:t>TEM</w:t>
      </w:r>
      <w:proofErr w:type="spellEnd"/>
      <w:r w:rsidRPr="000A47A5">
        <w:rPr>
          <w:rFonts w:ascii="Times New Roman" w:eastAsia="Times New Roman" w:hAnsi="Times New Roman" w:cs="Times New Roman"/>
          <w:kern w:val="0"/>
          <w:lang w:val="en-US"/>
          <w14:ligatures w14:val="none"/>
        </w:rPr>
        <w:t xml:space="preserve"> genes. </w:t>
      </w:r>
      <w:r w:rsidRPr="000A47A5">
        <w:rPr>
          <w:rFonts w:ascii="Times New Roman" w:eastAsia="Times New Roman" w:hAnsi="Times New Roman" w:cs="Times New Roman"/>
          <w:i/>
          <w:iCs/>
          <w:kern w:val="0"/>
          <w:lang w:val="en-US"/>
          <w14:ligatures w14:val="none"/>
        </w:rPr>
        <w:t>The Journal of Infection in Developing Countries, 19</w:t>
      </w:r>
      <w:r w:rsidRPr="000A47A5">
        <w:rPr>
          <w:rFonts w:ascii="Times New Roman" w:eastAsia="Times New Roman" w:hAnsi="Times New Roman" w:cs="Times New Roman"/>
          <w:kern w:val="0"/>
          <w:lang w:val="en-US"/>
          <w14:ligatures w14:val="none"/>
        </w:rPr>
        <w:t xml:space="preserve">(1), 40–48. </w:t>
      </w:r>
      <w:hyperlink r:id="rId21" w:history="1">
        <w:r w:rsidRPr="000A47A5">
          <w:rPr>
            <w:rFonts w:ascii="Times New Roman" w:eastAsia="Times New Roman" w:hAnsi="Times New Roman" w:cs="Times New Roman"/>
            <w:color w:val="0000FF"/>
            <w:kern w:val="0"/>
            <w:u w:val="single"/>
            <w:lang w:val="en-US"/>
            <w14:ligatures w14:val="none"/>
          </w:rPr>
          <w:t>https://doi.org/10.3855/jidc.18716</w:t>
        </w:r>
      </w:hyperlink>
    </w:p>
    <w:p w14:paraId="155817F1"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Demissie, T. A., </w:t>
      </w:r>
      <w:proofErr w:type="spellStart"/>
      <w:r w:rsidRPr="000A47A5">
        <w:rPr>
          <w:rFonts w:ascii="Times New Roman" w:eastAsia="Times New Roman" w:hAnsi="Times New Roman" w:cs="Times New Roman"/>
          <w:kern w:val="0"/>
          <w:lang w:val="en-US"/>
          <w14:ligatures w14:val="none"/>
        </w:rPr>
        <w:t>Wubie</w:t>
      </w:r>
      <w:proofErr w:type="spellEnd"/>
      <w:r w:rsidRPr="000A47A5">
        <w:rPr>
          <w:rFonts w:ascii="Times New Roman" w:eastAsia="Times New Roman" w:hAnsi="Times New Roman" w:cs="Times New Roman"/>
          <w:kern w:val="0"/>
          <w:lang w:val="en-US"/>
          <w14:ligatures w14:val="none"/>
        </w:rPr>
        <w:t xml:space="preserve">, T., </w:t>
      </w:r>
      <w:proofErr w:type="spellStart"/>
      <w:r w:rsidRPr="000A47A5">
        <w:rPr>
          <w:rFonts w:ascii="Times New Roman" w:eastAsia="Times New Roman" w:hAnsi="Times New Roman" w:cs="Times New Roman"/>
          <w:kern w:val="0"/>
          <w:lang w:val="en-US"/>
          <w14:ligatures w14:val="none"/>
        </w:rPr>
        <w:t>Yehuala</w:t>
      </w:r>
      <w:proofErr w:type="spellEnd"/>
      <w:r w:rsidRPr="000A47A5">
        <w:rPr>
          <w:rFonts w:ascii="Times New Roman" w:eastAsia="Times New Roman" w:hAnsi="Times New Roman" w:cs="Times New Roman"/>
          <w:kern w:val="0"/>
          <w:lang w:val="en-US"/>
          <w14:ligatures w14:val="none"/>
        </w:rPr>
        <w:t xml:space="preserve">, F. M., Fetene, M., &amp; </w:t>
      </w:r>
      <w:proofErr w:type="spellStart"/>
      <w:r w:rsidRPr="000A47A5">
        <w:rPr>
          <w:rFonts w:ascii="Times New Roman" w:eastAsia="Times New Roman" w:hAnsi="Times New Roman" w:cs="Times New Roman"/>
          <w:kern w:val="0"/>
          <w:lang w:val="en-US"/>
          <w14:ligatures w14:val="none"/>
        </w:rPr>
        <w:t>Gudeta</w:t>
      </w:r>
      <w:proofErr w:type="spellEnd"/>
      <w:r w:rsidRPr="000A47A5">
        <w:rPr>
          <w:rFonts w:ascii="Times New Roman" w:eastAsia="Times New Roman" w:hAnsi="Times New Roman" w:cs="Times New Roman"/>
          <w:kern w:val="0"/>
          <w:lang w:val="en-US"/>
          <w14:ligatures w14:val="none"/>
        </w:rPr>
        <w:t xml:space="preserve">, A. (2014). Prevalence and antimicrobial susceptibility patterns of </w:t>
      </w:r>
      <w:r w:rsidRPr="000A47A5">
        <w:rPr>
          <w:rFonts w:ascii="Times New Roman" w:eastAsia="Times New Roman" w:hAnsi="Times New Roman" w:cs="Times New Roman"/>
          <w:i/>
          <w:iCs/>
          <w:kern w:val="0"/>
          <w:lang w:val="en-US"/>
          <w14:ligatures w14:val="none"/>
        </w:rPr>
        <w:t>Shigella</w:t>
      </w:r>
      <w:r w:rsidRPr="000A47A5">
        <w:rPr>
          <w:rFonts w:ascii="Times New Roman" w:eastAsia="Times New Roman" w:hAnsi="Times New Roman" w:cs="Times New Roman"/>
          <w:kern w:val="0"/>
          <w:lang w:val="en-US"/>
          <w14:ligatures w14:val="none"/>
        </w:rPr>
        <w:t xml:space="preserve"> and </w:t>
      </w:r>
      <w:r w:rsidRPr="000A47A5">
        <w:rPr>
          <w:rFonts w:ascii="Times New Roman" w:eastAsia="Times New Roman" w:hAnsi="Times New Roman" w:cs="Times New Roman"/>
          <w:i/>
          <w:iCs/>
          <w:kern w:val="0"/>
          <w:lang w:val="en-US"/>
          <w14:ligatures w14:val="none"/>
        </w:rPr>
        <w:t>Salmonella</w:t>
      </w:r>
      <w:r w:rsidRPr="000A47A5">
        <w:rPr>
          <w:rFonts w:ascii="Times New Roman" w:eastAsia="Times New Roman" w:hAnsi="Times New Roman" w:cs="Times New Roman"/>
          <w:kern w:val="0"/>
          <w:lang w:val="en-US"/>
          <w14:ligatures w14:val="none"/>
        </w:rPr>
        <w:t xml:space="preserve"> species among patients with diarrhea attending Gondar Town health institutions, northwest Ethiopia. </w:t>
      </w:r>
      <w:r w:rsidRPr="000A47A5">
        <w:rPr>
          <w:rFonts w:ascii="Times New Roman" w:eastAsia="Times New Roman" w:hAnsi="Times New Roman" w:cs="Times New Roman"/>
          <w:i/>
          <w:iCs/>
          <w:kern w:val="0"/>
          <w:lang w:val="en-US"/>
          <w14:ligatures w14:val="none"/>
        </w:rPr>
        <w:t>Science Journal of Public Health, 2</w:t>
      </w:r>
      <w:r w:rsidRPr="000A47A5">
        <w:rPr>
          <w:rFonts w:ascii="Times New Roman" w:eastAsia="Times New Roman" w:hAnsi="Times New Roman" w:cs="Times New Roman"/>
          <w:kern w:val="0"/>
          <w:lang w:val="en-US"/>
          <w14:ligatures w14:val="none"/>
        </w:rPr>
        <w:t xml:space="preserve">(5), 469–475. </w:t>
      </w:r>
      <w:hyperlink r:id="rId22" w:history="1">
        <w:r w:rsidRPr="000A47A5">
          <w:rPr>
            <w:rFonts w:ascii="Times New Roman" w:eastAsia="Times New Roman" w:hAnsi="Times New Roman" w:cs="Times New Roman"/>
            <w:color w:val="0000FF"/>
            <w:kern w:val="0"/>
            <w:u w:val="single"/>
            <w:lang w:val="en-US"/>
            <w14:ligatures w14:val="none"/>
          </w:rPr>
          <w:t>https://doi.org/10.11648/j.sjph.20140205.24</w:t>
        </w:r>
      </w:hyperlink>
    </w:p>
    <w:p w14:paraId="6F9B341E"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Diala, C. G., Chigozie, O. F., Femi-Olatunji, T. R., Edim, P. D., Willie, I. P., Imade, O. E., </w:t>
      </w:r>
      <w:proofErr w:type="spellStart"/>
      <w:r w:rsidRPr="000A47A5">
        <w:rPr>
          <w:rFonts w:ascii="Times New Roman" w:eastAsia="Times New Roman" w:hAnsi="Times New Roman" w:cs="Times New Roman"/>
          <w:kern w:val="0"/>
          <w:lang w:val="en-US"/>
          <w14:ligatures w14:val="none"/>
        </w:rPr>
        <w:t>Binuyo</w:t>
      </w:r>
      <w:proofErr w:type="spellEnd"/>
      <w:r w:rsidRPr="000A47A5">
        <w:rPr>
          <w:rFonts w:ascii="Times New Roman" w:eastAsia="Times New Roman" w:hAnsi="Times New Roman" w:cs="Times New Roman"/>
          <w:kern w:val="0"/>
          <w:lang w:val="en-US"/>
          <w14:ligatures w14:val="none"/>
        </w:rPr>
        <w:t xml:space="preserve">, O. A., &amp; </w:t>
      </w:r>
      <w:proofErr w:type="spellStart"/>
      <w:r w:rsidRPr="000A47A5">
        <w:rPr>
          <w:rFonts w:ascii="Times New Roman" w:eastAsia="Times New Roman" w:hAnsi="Times New Roman" w:cs="Times New Roman"/>
          <w:kern w:val="0"/>
          <w:lang w:val="en-US"/>
          <w14:ligatures w14:val="none"/>
        </w:rPr>
        <w:t>Ibishagba</w:t>
      </w:r>
      <w:proofErr w:type="spellEnd"/>
      <w:r w:rsidRPr="000A47A5">
        <w:rPr>
          <w:rFonts w:ascii="Times New Roman" w:eastAsia="Times New Roman" w:hAnsi="Times New Roman" w:cs="Times New Roman"/>
          <w:kern w:val="0"/>
          <w:lang w:val="en-US"/>
          <w14:ligatures w14:val="none"/>
        </w:rPr>
        <w:t xml:space="preserve">, S. M. (2025). Investigating the role of household water storage practices in shaping microbial contamination and diarrheal disease burden in South East Nigeria. </w:t>
      </w:r>
      <w:r w:rsidRPr="000A47A5">
        <w:rPr>
          <w:rFonts w:ascii="Times New Roman" w:eastAsia="Times New Roman" w:hAnsi="Times New Roman" w:cs="Times New Roman"/>
          <w:i/>
          <w:iCs/>
          <w:kern w:val="0"/>
          <w:lang w:val="en-US"/>
          <w14:ligatures w14:val="none"/>
        </w:rPr>
        <w:t>Asian Journal of Microbiology and Biotechnology, 10</w:t>
      </w:r>
      <w:r w:rsidRPr="000A47A5">
        <w:rPr>
          <w:rFonts w:ascii="Times New Roman" w:eastAsia="Times New Roman" w:hAnsi="Times New Roman" w:cs="Times New Roman"/>
          <w:kern w:val="0"/>
          <w:lang w:val="en-US"/>
          <w14:ligatures w14:val="none"/>
        </w:rPr>
        <w:t xml:space="preserve">(2), 232–241. </w:t>
      </w:r>
      <w:hyperlink r:id="rId23" w:history="1">
        <w:r w:rsidRPr="000A47A5">
          <w:rPr>
            <w:rFonts w:ascii="Times New Roman" w:eastAsia="Times New Roman" w:hAnsi="Times New Roman" w:cs="Times New Roman"/>
            <w:color w:val="0000FF"/>
            <w:kern w:val="0"/>
            <w:u w:val="single"/>
            <w:lang w:val="en-US"/>
            <w14:ligatures w14:val="none"/>
          </w:rPr>
          <w:t>https://doi.org/10.56557/ajmab/2025/v10i29848</w:t>
        </w:r>
      </w:hyperlink>
    </w:p>
    <w:p w14:paraId="302B4C40"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Do, C., Evans, G. J., DeAguero, J., Escobar, G. P., Lin, H.-C., &amp; Wagner, B. (2022). </w:t>
      </w:r>
      <w:proofErr w:type="spellStart"/>
      <w:r w:rsidRPr="000A47A5">
        <w:rPr>
          <w:rFonts w:ascii="Times New Roman" w:eastAsia="Times New Roman" w:hAnsi="Times New Roman" w:cs="Times New Roman"/>
          <w:kern w:val="0"/>
          <w:lang w:val="en-US"/>
          <w14:ligatures w14:val="none"/>
        </w:rPr>
        <w:t>Dysnatremia</w:t>
      </w:r>
      <w:proofErr w:type="spellEnd"/>
      <w:r w:rsidRPr="000A47A5">
        <w:rPr>
          <w:rFonts w:ascii="Times New Roman" w:eastAsia="Times New Roman" w:hAnsi="Times New Roman" w:cs="Times New Roman"/>
          <w:kern w:val="0"/>
          <w:lang w:val="en-US"/>
          <w14:ligatures w14:val="none"/>
        </w:rPr>
        <w:t xml:space="preserve"> in gastrointestinal disorders. </w:t>
      </w:r>
      <w:r w:rsidRPr="000A47A5">
        <w:rPr>
          <w:rFonts w:ascii="Times New Roman" w:eastAsia="Times New Roman" w:hAnsi="Times New Roman" w:cs="Times New Roman"/>
          <w:i/>
          <w:iCs/>
          <w:kern w:val="0"/>
          <w:lang w:val="en-US"/>
          <w14:ligatures w14:val="none"/>
        </w:rPr>
        <w:t>Frontiers in Medicine, 9</w:t>
      </w:r>
      <w:r w:rsidRPr="000A47A5">
        <w:rPr>
          <w:rFonts w:ascii="Times New Roman" w:eastAsia="Times New Roman" w:hAnsi="Times New Roman" w:cs="Times New Roman"/>
          <w:kern w:val="0"/>
          <w:lang w:val="en-US"/>
          <w14:ligatures w14:val="none"/>
        </w:rPr>
        <w:t xml:space="preserve">, Article 892265. </w:t>
      </w:r>
      <w:hyperlink r:id="rId24" w:history="1">
        <w:r w:rsidRPr="000A47A5">
          <w:rPr>
            <w:rFonts w:ascii="Times New Roman" w:eastAsia="Times New Roman" w:hAnsi="Times New Roman" w:cs="Times New Roman"/>
            <w:color w:val="0000FF"/>
            <w:kern w:val="0"/>
            <w:u w:val="single"/>
            <w:lang w:val="en-US"/>
            <w14:ligatures w14:val="none"/>
          </w:rPr>
          <w:t>https://doi.org/10.3389/fmed.2022.892265</w:t>
        </w:r>
      </w:hyperlink>
    </w:p>
    <w:p w14:paraId="0818F5B7"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Du, M., Liu, X., Ji, X., Wang, Y., Liu, X., Zhao, C., Jin, E., Gu, Y., Wang, H., &amp; Zhang, F. (2025). Berberine alleviates enterotoxigenic </w:t>
      </w:r>
      <w:r w:rsidRPr="000A47A5">
        <w:rPr>
          <w:rFonts w:ascii="Times New Roman" w:eastAsia="Times New Roman" w:hAnsi="Times New Roman" w:cs="Times New Roman"/>
          <w:i/>
          <w:iCs/>
          <w:kern w:val="0"/>
          <w:lang w:val="en-US"/>
          <w14:ligatures w14:val="none"/>
        </w:rPr>
        <w:t>Escherichia coli</w:t>
      </w:r>
      <w:r w:rsidRPr="000A47A5">
        <w:rPr>
          <w:rFonts w:ascii="Times New Roman" w:eastAsia="Times New Roman" w:hAnsi="Times New Roman" w:cs="Times New Roman"/>
          <w:kern w:val="0"/>
          <w:lang w:val="en-US"/>
          <w14:ligatures w14:val="none"/>
        </w:rPr>
        <w:t xml:space="preserve">-induced intestinal mucosal barrier function damage in a piglet model by modulation of the intestinal microbiome. </w:t>
      </w:r>
      <w:r w:rsidRPr="000A47A5">
        <w:rPr>
          <w:rFonts w:ascii="Times New Roman" w:eastAsia="Times New Roman" w:hAnsi="Times New Roman" w:cs="Times New Roman"/>
          <w:i/>
          <w:iCs/>
          <w:kern w:val="0"/>
          <w:lang w:val="en-US"/>
          <w14:ligatures w14:val="none"/>
        </w:rPr>
        <w:t>Frontiers in Nutrition, 11</w:t>
      </w:r>
      <w:r w:rsidRPr="000A47A5">
        <w:rPr>
          <w:rFonts w:ascii="Times New Roman" w:eastAsia="Times New Roman" w:hAnsi="Times New Roman" w:cs="Times New Roman"/>
          <w:kern w:val="0"/>
          <w:lang w:val="en-US"/>
          <w14:ligatures w14:val="none"/>
        </w:rPr>
        <w:t xml:space="preserve">, Article 1494348. </w:t>
      </w:r>
      <w:hyperlink r:id="rId25" w:history="1">
        <w:r w:rsidRPr="000A47A5">
          <w:rPr>
            <w:rFonts w:ascii="Times New Roman" w:eastAsia="Times New Roman" w:hAnsi="Times New Roman" w:cs="Times New Roman"/>
            <w:color w:val="0000FF"/>
            <w:kern w:val="0"/>
            <w:u w:val="single"/>
            <w:lang w:val="en-US"/>
            <w14:ligatures w14:val="none"/>
          </w:rPr>
          <w:t>https://doi.org/10.3389/fnut.2024.1494348</w:t>
        </w:r>
      </w:hyperlink>
    </w:p>
    <w:p w14:paraId="40972561" w14:textId="54A0E3CF"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Florez, I. D., Niño-Serna, L. F., &amp; Beltrán-Arroyave, C. P. (2020). Acute infectious diarrhea and gastroenteritis in children. Current Infectious Disease Reports, 22(2), Article 4. </w:t>
      </w:r>
      <w:hyperlink r:id="rId26" w:history="1">
        <w:r w:rsidRPr="000A47A5">
          <w:rPr>
            <w:rFonts w:ascii="Times New Roman" w:eastAsia="Times New Roman" w:hAnsi="Times New Roman" w:cs="Times New Roman"/>
            <w:color w:val="0000FF"/>
            <w:kern w:val="0"/>
            <w:u w:val="single"/>
            <w:lang w:val="en-US"/>
            <w14:ligatures w14:val="none"/>
          </w:rPr>
          <w:t>https://doi.org/10.1007/s11908-020-0713-6</w:t>
        </w:r>
      </w:hyperlink>
      <w:r w:rsidRPr="000A47A5">
        <w:rPr>
          <w:rFonts w:ascii="Times New Roman" w:eastAsia="Times New Roman" w:hAnsi="Times New Roman" w:cs="Times New Roman"/>
          <w:kern w:val="0"/>
          <w:lang w:val="en-US"/>
          <w14:ligatures w14:val="none"/>
        </w:rPr>
        <w:br/>
      </w:r>
    </w:p>
    <w:p w14:paraId="0181C10D"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GBD 2021 </w:t>
      </w:r>
      <w:proofErr w:type="spellStart"/>
      <w:r w:rsidRPr="000A47A5">
        <w:rPr>
          <w:rFonts w:ascii="Times New Roman" w:eastAsia="Times New Roman" w:hAnsi="Times New Roman" w:cs="Times New Roman"/>
          <w:kern w:val="0"/>
          <w:lang w:val="en-US"/>
          <w14:ligatures w14:val="none"/>
        </w:rPr>
        <w:t>Diarrhoeal</w:t>
      </w:r>
      <w:proofErr w:type="spellEnd"/>
      <w:r w:rsidRPr="000A47A5">
        <w:rPr>
          <w:rFonts w:ascii="Times New Roman" w:eastAsia="Times New Roman" w:hAnsi="Times New Roman" w:cs="Times New Roman"/>
          <w:kern w:val="0"/>
          <w:lang w:val="en-US"/>
          <w14:ligatures w14:val="none"/>
        </w:rPr>
        <w:t xml:space="preserve"> Diseases Collaborators. (2025). Global, regional, and national age-sex-specific burden of </w:t>
      </w:r>
      <w:proofErr w:type="spellStart"/>
      <w:r w:rsidRPr="000A47A5">
        <w:rPr>
          <w:rFonts w:ascii="Times New Roman" w:eastAsia="Times New Roman" w:hAnsi="Times New Roman" w:cs="Times New Roman"/>
          <w:kern w:val="0"/>
          <w:lang w:val="en-US"/>
          <w14:ligatures w14:val="none"/>
        </w:rPr>
        <w:t>diarrhoeal</w:t>
      </w:r>
      <w:proofErr w:type="spellEnd"/>
      <w:r w:rsidRPr="000A47A5">
        <w:rPr>
          <w:rFonts w:ascii="Times New Roman" w:eastAsia="Times New Roman" w:hAnsi="Times New Roman" w:cs="Times New Roman"/>
          <w:kern w:val="0"/>
          <w:lang w:val="en-US"/>
          <w14:ligatures w14:val="none"/>
        </w:rPr>
        <w:t xml:space="preserve"> diseases, their risk factors, and </w:t>
      </w:r>
      <w:proofErr w:type="spellStart"/>
      <w:r w:rsidRPr="000A47A5">
        <w:rPr>
          <w:rFonts w:ascii="Times New Roman" w:eastAsia="Times New Roman" w:hAnsi="Times New Roman" w:cs="Times New Roman"/>
          <w:kern w:val="0"/>
          <w:lang w:val="en-US"/>
          <w14:ligatures w14:val="none"/>
        </w:rPr>
        <w:t>aetiologies</w:t>
      </w:r>
      <w:proofErr w:type="spellEnd"/>
      <w:r w:rsidRPr="000A47A5">
        <w:rPr>
          <w:rFonts w:ascii="Times New Roman" w:eastAsia="Times New Roman" w:hAnsi="Times New Roman" w:cs="Times New Roman"/>
          <w:kern w:val="0"/>
          <w:lang w:val="en-US"/>
          <w14:ligatures w14:val="none"/>
        </w:rPr>
        <w:t xml:space="preserve">, 1990–2021, for 204 countries and territories: A systematic analysis for the Global Burden of Disease Study 2021. </w:t>
      </w:r>
      <w:r w:rsidRPr="000A47A5">
        <w:rPr>
          <w:rFonts w:ascii="Times New Roman" w:eastAsia="Times New Roman" w:hAnsi="Times New Roman" w:cs="Times New Roman"/>
          <w:i/>
          <w:iCs/>
          <w:kern w:val="0"/>
          <w:lang w:val="en-US"/>
          <w14:ligatures w14:val="none"/>
        </w:rPr>
        <w:t>The Lancet Infectious Diseases, 25</w:t>
      </w:r>
      <w:r w:rsidRPr="000A47A5">
        <w:rPr>
          <w:rFonts w:ascii="Times New Roman" w:eastAsia="Times New Roman" w:hAnsi="Times New Roman" w:cs="Times New Roman"/>
          <w:kern w:val="0"/>
          <w:lang w:val="en-US"/>
          <w14:ligatures w14:val="none"/>
        </w:rPr>
        <w:t xml:space="preserve">(5), 519–536. </w:t>
      </w:r>
      <w:hyperlink r:id="rId27" w:history="1">
        <w:r w:rsidRPr="000A47A5">
          <w:rPr>
            <w:rFonts w:ascii="Times New Roman" w:eastAsia="Times New Roman" w:hAnsi="Times New Roman" w:cs="Times New Roman"/>
            <w:color w:val="0000FF"/>
            <w:kern w:val="0"/>
            <w:u w:val="single"/>
            <w:lang w:val="en-US"/>
            <w14:ligatures w14:val="none"/>
          </w:rPr>
          <w:t>https://doi.org/10.1016/S1473-3099(24)00691-1</w:t>
        </w:r>
      </w:hyperlink>
    </w:p>
    <w:p w14:paraId="69D7B5C9"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George, N. S., Phiri, S. S., </w:t>
      </w:r>
      <w:proofErr w:type="spellStart"/>
      <w:r w:rsidRPr="000A47A5">
        <w:rPr>
          <w:rFonts w:ascii="Times New Roman" w:eastAsia="Times New Roman" w:hAnsi="Times New Roman" w:cs="Times New Roman"/>
          <w:kern w:val="0"/>
          <w:lang w:val="en-US"/>
          <w14:ligatures w14:val="none"/>
        </w:rPr>
        <w:t>Shomuyiwa</w:t>
      </w:r>
      <w:proofErr w:type="spellEnd"/>
      <w:r w:rsidRPr="000A47A5">
        <w:rPr>
          <w:rFonts w:ascii="Times New Roman" w:eastAsia="Times New Roman" w:hAnsi="Times New Roman" w:cs="Times New Roman"/>
          <w:kern w:val="0"/>
          <w:lang w:val="en-US"/>
          <w14:ligatures w14:val="none"/>
        </w:rPr>
        <w:t xml:space="preserve">, D. O., Mwaba, M., Imoke, F. I., </w:t>
      </w:r>
      <w:proofErr w:type="spellStart"/>
      <w:r w:rsidRPr="000A47A5">
        <w:rPr>
          <w:rFonts w:ascii="Times New Roman" w:eastAsia="Times New Roman" w:hAnsi="Times New Roman" w:cs="Times New Roman"/>
          <w:kern w:val="0"/>
          <w:lang w:val="en-US"/>
          <w14:ligatures w14:val="none"/>
        </w:rPr>
        <w:t>Kaniki</w:t>
      </w:r>
      <w:proofErr w:type="spellEnd"/>
      <w:r w:rsidRPr="000A47A5">
        <w:rPr>
          <w:rFonts w:ascii="Times New Roman" w:eastAsia="Times New Roman" w:hAnsi="Times New Roman" w:cs="Times New Roman"/>
          <w:kern w:val="0"/>
          <w:lang w:val="en-US"/>
          <w14:ligatures w14:val="none"/>
        </w:rPr>
        <w:t xml:space="preserve">, I. H., Oji, G. M., &amp; </w:t>
      </w:r>
      <w:proofErr w:type="spellStart"/>
      <w:r w:rsidRPr="000A47A5">
        <w:rPr>
          <w:rFonts w:ascii="Times New Roman" w:eastAsia="Times New Roman" w:hAnsi="Times New Roman" w:cs="Times New Roman"/>
          <w:kern w:val="0"/>
          <w:lang w:val="en-US"/>
          <w14:ligatures w14:val="none"/>
        </w:rPr>
        <w:t>Iseghehi</w:t>
      </w:r>
      <w:proofErr w:type="spellEnd"/>
      <w:r w:rsidRPr="000A47A5">
        <w:rPr>
          <w:rFonts w:ascii="Times New Roman" w:eastAsia="Times New Roman" w:hAnsi="Times New Roman" w:cs="Times New Roman"/>
          <w:kern w:val="0"/>
          <w:lang w:val="en-US"/>
          <w14:ligatures w14:val="none"/>
        </w:rPr>
        <w:t xml:space="preserve">, L. (2025). Strengthening access to zinc and oral rehydration solution for childhood diarrheal treatment in Africa. </w:t>
      </w:r>
      <w:r w:rsidRPr="000A47A5">
        <w:rPr>
          <w:rFonts w:ascii="Times New Roman" w:eastAsia="Times New Roman" w:hAnsi="Times New Roman" w:cs="Times New Roman"/>
          <w:i/>
          <w:iCs/>
          <w:kern w:val="0"/>
          <w:lang w:val="en-US"/>
          <w14:ligatures w14:val="none"/>
        </w:rPr>
        <w:t>Global Health Research and Policy, 10</w:t>
      </w:r>
      <w:r w:rsidRPr="000A47A5">
        <w:rPr>
          <w:rFonts w:ascii="Times New Roman" w:eastAsia="Times New Roman" w:hAnsi="Times New Roman" w:cs="Times New Roman"/>
          <w:kern w:val="0"/>
          <w:lang w:val="en-US"/>
          <w14:ligatures w14:val="none"/>
        </w:rPr>
        <w:t xml:space="preserve">(1), Article 65. </w:t>
      </w:r>
      <w:hyperlink r:id="rId28" w:history="1">
        <w:r w:rsidRPr="000A47A5">
          <w:rPr>
            <w:rFonts w:ascii="Times New Roman" w:eastAsia="Times New Roman" w:hAnsi="Times New Roman" w:cs="Times New Roman"/>
            <w:color w:val="0000FF"/>
            <w:kern w:val="0"/>
            <w:u w:val="single"/>
            <w:lang w:val="en-US"/>
            <w14:ligatures w14:val="none"/>
          </w:rPr>
          <w:t>https://doi.org/10.1186/s41256-025-00428-8</w:t>
        </w:r>
      </w:hyperlink>
    </w:p>
    <w:p w14:paraId="1365C45A"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Guerrant, R. L., Bolick, D. T., &amp; Swann, J. R. (2021). Modeling enteropathy or diarrhea with the top bacterial and protozoal pathogens: Differential determinants of outcomes. </w:t>
      </w:r>
      <w:r w:rsidRPr="000A47A5">
        <w:rPr>
          <w:rFonts w:ascii="Times New Roman" w:eastAsia="Times New Roman" w:hAnsi="Times New Roman" w:cs="Times New Roman"/>
          <w:i/>
          <w:iCs/>
          <w:kern w:val="0"/>
          <w:lang w:val="en-US"/>
          <w14:ligatures w14:val="none"/>
        </w:rPr>
        <w:t>ACS Infectious Diseases, 7</w:t>
      </w:r>
      <w:r w:rsidRPr="000A47A5">
        <w:rPr>
          <w:rFonts w:ascii="Times New Roman" w:eastAsia="Times New Roman" w:hAnsi="Times New Roman" w:cs="Times New Roman"/>
          <w:kern w:val="0"/>
          <w:lang w:val="en-US"/>
          <w14:ligatures w14:val="none"/>
        </w:rPr>
        <w:t xml:space="preserve">(5), 1020–1031. </w:t>
      </w:r>
      <w:hyperlink r:id="rId29" w:history="1">
        <w:r w:rsidRPr="000A47A5">
          <w:rPr>
            <w:rFonts w:ascii="Times New Roman" w:eastAsia="Times New Roman" w:hAnsi="Times New Roman" w:cs="Times New Roman"/>
            <w:color w:val="0000FF"/>
            <w:kern w:val="0"/>
            <w:u w:val="single"/>
            <w:lang w:val="en-US"/>
            <w14:ligatures w14:val="none"/>
          </w:rPr>
          <w:t>https://doi.org/10.1021/acsinfecdis.0c00831</w:t>
        </w:r>
      </w:hyperlink>
    </w:p>
    <w:p w14:paraId="422A77F4"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Han, J., </w:t>
      </w:r>
      <w:proofErr w:type="spellStart"/>
      <w:r w:rsidRPr="000A47A5">
        <w:rPr>
          <w:rFonts w:ascii="Times New Roman" w:eastAsia="Times New Roman" w:hAnsi="Times New Roman" w:cs="Times New Roman"/>
          <w:kern w:val="0"/>
          <w:lang w:val="en-US"/>
          <w14:ligatures w14:val="none"/>
        </w:rPr>
        <w:t>Aljahdali</w:t>
      </w:r>
      <w:proofErr w:type="spellEnd"/>
      <w:r w:rsidRPr="000A47A5">
        <w:rPr>
          <w:rFonts w:ascii="Times New Roman" w:eastAsia="Times New Roman" w:hAnsi="Times New Roman" w:cs="Times New Roman"/>
          <w:kern w:val="0"/>
          <w:lang w:val="en-US"/>
          <w14:ligatures w14:val="none"/>
        </w:rPr>
        <w:t xml:space="preserve">, N., Zhao, S., Tang, H., Harbottle, H., Hoffmann, M., Frye, J. G., &amp; Foley, S. L. (2024). Infection biology of </w:t>
      </w:r>
      <w:r w:rsidRPr="000A47A5">
        <w:rPr>
          <w:rFonts w:ascii="Times New Roman" w:eastAsia="Times New Roman" w:hAnsi="Times New Roman" w:cs="Times New Roman"/>
          <w:i/>
          <w:iCs/>
          <w:kern w:val="0"/>
          <w:lang w:val="en-US"/>
          <w14:ligatures w14:val="none"/>
        </w:rPr>
        <w:t>Salmonella enterica</w:t>
      </w:r>
      <w:r w:rsidRPr="000A47A5">
        <w:rPr>
          <w:rFonts w:ascii="Times New Roman" w:eastAsia="Times New Roman" w:hAnsi="Times New Roman" w:cs="Times New Roman"/>
          <w:kern w:val="0"/>
          <w:lang w:val="en-US"/>
          <w14:ligatures w14:val="none"/>
        </w:rPr>
        <w:t xml:space="preserve">. </w:t>
      </w:r>
      <w:proofErr w:type="spellStart"/>
      <w:r w:rsidRPr="000A47A5">
        <w:rPr>
          <w:rFonts w:ascii="Times New Roman" w:eastAsia="Times New Roman" w:hAnsi="Times New Roman" w:cs="Times New Roman"/>
          <w:i/>
          <w:iCs/>
          <w:kern w:val="0"/>
          <w:lang w:val="en-US"/>
          <w14:ligatures w14:val="none"/>
        </w:rPr>
        <w:t>EcoSal</w:t>
      </w:r>
      <w:proofErr w:type="spellEnd"/>
      <w:r w:rsidRPr="000A47A5">
        <w:rPr>
          <w:rFonts w:ascii="Times New Roman" w:eastAsia="Times New Roman" w:hAnsi="Times New Roman" w:cs="Times New Roman"/>
          <w:i/>
          <w:iCs/>
          <w:kern w:val="0"/>
          <w:lang w:val="en-US"/>
          <w14:ligatures w14:val="none"/>
        </w:rPr>
        <w:t xml:space="preserve"> Plus, 12</w:t>
      </w:r>
      <w:r w:rsidRPr="000A47A5">
        <w:rPr>
          <w:rFonts w:ascii="Times New Roman" w:eastAsia="Times New Roman" w:hAnsi="Times New Roman" w:cs="Times New Roman"/>
          <w:kern w:val="0"/>
          <w:lang w:val="en-US"/>
          <w14:ligatures w14:val="none"/>
        </w:rPr>
        <w:t xml:space="preserve">(1), Article eESP-0001-2023. </w:t>
      </w:r>
      <w:hyperlink r:id="rId30" w:history="1">
        <w:r w:rsidRPr="000A47A5">
          <w:rPr>
            <w:rFonts w:ascii="Times New Roman" w:eastAsia="Times New Roman" w:hAnsi="Times New Roman" w:cs="Times New Roman"/>
            <w:color w:val="0000FF"/>
            <w:kern w:val="0"/>
            <w:u w:val="single"/>
            <w:lang w:val="en-US"/>
            <w14:ligatures w14:val="none"/>
          </w:rPr>
          <w:t>https://doi.org/10.1128/ecosalplus.esp-0001-2023</w:t>
        </w:r>
      </w:hyperlink>
    </w:p>
    <w:p w14:paraId="72489B83"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lastRenderedPageBreak/>
        <w:t>Hayamo</w:t>
      </w:r>
      <w:proofErr w:type="spellEnd"/>
      <w:r w:rsidRPr="000A47A5">
        <w:rPr>
          <w:rFonts w:ascii="Times New Roman" w:eastAsia="Times New Roman" w:hAnsi="Times New Roman" w:cs="Times New Roman"/>
          <w:kern w:val="0"/>
          <w:lang w:val="en-US"/>
          <w14:ligatures w14:val="none"/>
        </w:rPr>
        <w:t xml:space="preserve">, M., Alemayehu, T., Tadesse, B., Mitiku, E., &amp; </w:t>
      </w:r>
      <w:proofErr w:type="spellStart"/>
      <w:r w:rsidRPr="000A47A5">
        <w:rPr>
          <w:rFonts w:ascii="Times New Roman" w:eastAsia="Times New Roman" w:hAnsi="Times New Roman" w:cs="Times New Roman"/>
          <w:kern w:val="0"/>
          <w:lang w:val="en-US"/>
          <w14:ligatures w14:val="none"/>
        </w:rPr>
        <w:t>Bedawi</w:t>
      </w:r>
      <w:proofErr w:type="spellEnd"/>
      <w:r w:rsidRPr="000A47A5">
        <w:rPr>
          <w:rFonts w:ascii="Times New Roman" w:eastAsia="Times New Roman" w:hAnsi="Times New Roman" w:cs="Times New Roman"/>
          <w:kern w:val="0"/>
          <w:lang w:val="en-US"/>
          <w14:ligatures w14:val="none"/>
        </w:rPr>
        <w:t xml:space="preserve">, Z. (2020). </w:t>
      </w:r>
      <w:r w:rsidRPr="000A47A5">
        <w:rPr>
          <w:rFonts w:ascii="Times New Roman" w:eastAsia="Times New Roman" w:hAnsi="Times New Roman" w:cs="Times New Roman"/>
          <w:i/>
          <w:iCs/>
          <w:kern w:val="0"/>
          <w:lang w:val="en-US"/>
          <w14:ligatures w14:val="none"/>
        </w:rPr>
        <w:t>Shigella and Salmonella, antibiotic susceptibility pattern and associated risk factors among diarrheic children in southern Ethiopia: A cross-sectional study</w:t>
      </w:r>
      <w:r w:rsidRPr="000A47A5">
        <w:rPr>
          <w:rFonts w:ascii="Times New Roman" w:eastAsia="Times New Roman" w:hAnsi="Times New Roman" w:cs="Times New Roman"/>
          <w:kern w:val="0"/>
          <w:lang w:val="en-US"/>
          <w14:ligatures w14:val="none"/>
        </w:rPr>
        <w:t xml:space="preserve"> [Preprint]. Research Square. </w:t>
      </w:r>
      <w:hyperlink r:id="rId31" w:history="1">
        <w:r w:rsidRPr="000A47A5">
          <w:rPr>
            <w:rFonts w:ascii="Times New Roman" w:eastAsia="Times New Roman" w:hAnsi="Times New Roman" w:cs="Times New Roman"/>
            <w:color w:val="0000FF"/>
            <w:kern w:val="0"/>
            <w:u w:val="single"/>
            <w:lang w:val="en-US"/>
            <w14:ligatures w14:val="none"/>
          </w:rPr>
          <w:t>https://doi.org/10.21203/rs.2.22226/v1</w:t>
        </w:r>
      </w:hyperlink>
    </w:p>
    <w:p w14:paraId="6682E28E"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Hilarion, A. U., </w:t>
      </w:r>
      <w:proofErr w:type="spellStart"/>
      <w:r w:rsidRPr="000A47A5">
        <w:rPr>
          <w:rFonts w:ascii="Times New Roman" w:eastAsia="Times New Roman" w:hAnsi="Times New Roman" w:cs="Times New Roman"/>
          <w:kern w:val="0"/>
          <w:lang w:val="en-US"/>
          <w14:ligatures w14:val="none"/>
        </w:rPr>
        <w:t>Sissinto</w:t>
      </w:r>
      <w:proofErr w:type="spellEnd"/>
      <w:r w:rsidRPr="000A47A5">
        <w:rPr>
          <w:rFonts w:ascii="Times New Roman" w:eastAsia="Times New Roman" w:hAnsi="Times New Roman" w:cs="Times New Roman"/>
          <w:kern w:val="0"/>
          <w:lang w:val="en-US"/>
          <w14:ligatures w14:val="none"/>
        </w:rPr>
        <w:t xml:space="preserve">, A. Y. C., &amp; </w:t>
      </w:r>
      <w:proofErr w:type="spellStart"/>
      <w:r w:rsidRPr="000A47A5">
        <w:rPr>
          <w:rFonts w:ascii="Times New Roman" w:eastAsia="Times New Roman" w:hAnsi="Times New Roman" w:cs="Times New Roman"/>
          <w:kern w:val="0"/>
          <w:lang w:val="en-US"/>
          <w14:ligatures w14:val="none"/>
        </w:rPr>
        <w:t>Mintognissè</w:t>
      </w:r>
      <w:proofErr w:type="spellEnd"/>
      <w:r w:rsidRPr="000A47A5">
        <w:rPr>
          <w:rFonts w:ascii="Times New Roman" w:eastAsia="Times New Roman" w:hAnsi="Times New Roman" w:cs="Times New Roman"/>
          <w:kern w:val="0"/>
          <w:lang w:val="en-US"/>
          <w14:ligatures w14:val="none"/>
        </w:rPr>
        <w:t xml:space="preserve">, F. J. P. (2024). Diarrheal diseases: A review on gastroenteritis bacteria global burden and alternative control of multidrug-resistant strains. </w:t>
      </w:r>
      <w:r w:rsidRPr="000A47A5">
        <w:rPr>
          <w:rFonts w:ascii="Times New Roman" w:eastAsia="Times New Roman" w:hAnsi="Times New Roman" w:cs="Times New Roman"/>
          <w:i/>
          <w:iCs/>
          <w:kern w:val="0"/>
          <w:lang w:val="en-US"/>
          <w14:ligatures w14:val="none"/>
        </w:rPr>
        <w:t>Advances in Microbiology, 14</w:t>
      </w:r>
      <w:r w:rsidRPr="000A47A5">
        <w:rPr>
          <w:rFonts w:ascii="Times New Roman" w:eastAsia="Times New Roman" w:hAnsi="Times New Roman" w:cs="Times New Roman"/>
          <w:kern w:val="0"/>
          <w:lang w:val="en-US"/>
          <w14:ligatures w14:val="none"/>
        </w:rPr>
        <w:t xml:space="preserve">(10), 493–512. </w:t>
      </w:r>
      <w:hyperlink r:id="rId32" w:history="1">
        <w:r w:rsidRPr="000A47A5">
          <w:rPr>
            <w:rFonts w:ascii="Times New Roman" w:eastAsia="Times New Roman" w:hAnsi="Times New Roman" w:cs="Times New Roman"/>
            <w:color w:val="0000FF"/>
            <w:kern w:val="0"/>
            <w:u w:val="single"/>
            <w:lang w:val="en-US"/>
            <w14:ligatures w14:val="none"/>
          </w:rPr>
          <w:t>https://doi.org/10.4236/aim.2024.1410034</w:t>
        </w:r>
      </w:hyperlink>
    </w:p>
    <w:p w14:paraId="463A4611"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Iqbal, S., Malik, Z. I., Al Dabbas, M., Akhtar, I., &amp; Hussein, A. (2025). Zinc fortification and supplementation to reduce diarrhea in children: A literature review. </w:t>
      </w:r>
      <w:r w:rsidRPr="000A47A5">
        <w:rPr>
          <w:rFonts w:ascii="Times New Roman" w:eastAsia="Times New Roman" w:hAnsi="Times New Roman" w:cs="Times New Roman"/>
          <w:i/>
          <w:iCs/>
          <w:kern w:val="0"/>
          <w:lang w:val="en-US"/>
          <w14:ligatures w14:val="none"/>
        </w:rPr>
        <w:t>Diseases, 13</w:t>
      </w:r>
      <w:r w:rsidRPr="000A47A5">
        <w:rPr>
          <w:rFonts w:ascii="Times New Roman" w:eastAsia="Times New Roman" w:hAnsi="Times New Roman" w:cs="Times New Roman"/>
          <w:kern w:val="0"/>
          <w:lang w:val="en-US"/>
          <w14:ligatures w14:val="none"/>
        </w:rPr>
        <w:t xml:space="preserve">(11), Article 380. </w:t>
      </w:r>
      <w:hyperlink r:id="rId33" w:history="1">
        <w:r w:rsidRPr="000A47A5">
          <w:rPr>
            <w:rFonts w:ascii="Times New Roman" w:eastAsia="Times New Roman" w:hAnsi="Times New Roman" w:cs="Times New Roman"/>
            <w:color w:val="0000FF"/>
            <w:kern w:val="0"/>
            <w:u w:val="single"/>
            <w:lang w:val="en-US"/>
            <w14:ligatures w14:val="none"/>
          </w:rPr>
          <w:t>https://doi.org/10.3390/diseases13110380</w:t>
        </w:r>
      </w:hyperlink>
    </w:p>
    <w:p w14:paraId="449EC3E8"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Ismaila, I., </w:t>
      </w:r>
      <w:proofErr w:type="spellStart"/>
      <w:r w:rsidRPr="000A47A5">
        <w:rPr>
          <w:rFonts w:ascii="Times New Roman" w:eastAsia="Times New Roman" w:hAnsi="Times New Roman" w:cs="Times New Roman"/>
          <w:kern w:val="0"/>
          <w:lang w:val="en-US"/>
          <w14:ligatures w14:val="none"/>
        </w:rPr>
        <w:t>Mitsan</w:t>
      </w:r>
      <w:proofErr w:type="spellEnd"/>
      <w:r w:rsidRPr="000A47A5">
        <w:rPr>
          <w:rFonts w:ascii="Times New Roman" w:eastAsia="Times New Roman" w:hAnsi="Times New Roman" w:cs="Times New Roman"/>
          <w:kern w:val="0"/>
          <w:lang w:val="en-US"/>
          <w14:ligatures w14:val="none"/>
        </w:rPr>
        <w:t xml:space="preserve">, O., Daniel, U., </w:t>
      </w:r>
      <w:proofErr w:type="spellStart"/>
      <w:r w:rsidRPr="000A47A5">
        <w:rPr>
          <w:rFonts w:ascii="Times New Roman" w:eastAsia="Times New Roman" w:hAnsi="Times New Roman" w:cs="Times New Roman"/>
          <w:kern w:val="0"/>
          <w:lang w:val="en-US"/>
          <w14:ligatures w14:val="none"/>
        </w:rPr>
        <w:t>Ishaleku</w:t>
      </w:r>
      <w:proofErr w:type="spellEnd"/>
      <w:r w:rsidRPr="000A47A5">
        <w:rPr>
          <w:rFonts w:ascii="Times New Roman" w:eastAsia="Times New Roman" w:hAnsi="Times New Roman" w:cs="Times New Roman"/>
          <w:kern w:val="0"/>
          <w:lang w:val="en-US"/>
          <w14:ligatures w14:val="none"/>
        </w:rPr>
        <w:t xml:space="preserve">, D., Usman, R. U., Gideon, M. N., </w:t>
      </w:r>
      <w:proofErr w:type="spellStart"/>
      <w:r w:rsidRPr="000A47A5">
        <w:rPr>
          <w:rFonts w:ascii="Times New Roman" w:eastAsia="Times New Roman" w:hAnsi="Times New Roman" w:cs="Times New Roman"/>
          <w:kern w:val="0"/>
          <w:lang w:val="en-US"/>
          <w14:ligatures w14:val="none"/>
        </w:rPr>
        <w:t>Ukpuho</w:t>
      </w:r>
      <w:proofErr w:type="spellEnd"/>
      <w:r w:rsidRPr="000A47A5">
        <w:rPr>
          <w:rFonts w:ascii="Times New Roman" w:eastAsia="Times New Roman" w:hAnsi="Times New Roman" w:cs="Times New Roman"/>
          <w:kern w:val="0"/>
          <w:lang w:val="en-US"/>
          <w14:ligatures w14:val="none"/>
        </w:rPr>
        <w:t xml:space="preserve">, O. B., Ayeni, R., &amp; Ikenna, U. L. (2026). Enteric pathogens associated with acute gastroenteritis and antibiotic susceptibility patterns among children under-five years in Nasarawa West, Nigeria. </w:t>
      </w:r>
      <w:r w:rsidRPr="000A47A5">
        <w:rPr>
          <w:rFonts w:ascii="Times New Roman" w:eastAsia="Times New Roman" w:hAnsi="Times New Roman" w:cs="Times New Roman"/>
          <w:i/>
          <w:iCs/>
          <w:kern w:val="0"/>
          <w:lang w:val="en-US"/>
          <w14:ligatures w14:val="none"/>
        </w:rPr>
        <w:t>Asian Journal of Research and Reports in Gastroenterology, 9</w:t>
      </w:r>
      <w:r w:rsidRPr="000A47A5">
        <w:rPr>
          <w:rFonts w:ascii="Times New Roman" w:eastAsia="Times New Roman" w:hAnsi="Times New Roman" w:cs="Times New Roman"/>
          <w:kern w:val="0"/>
          <w:lang w:val="en-US"/>
          <w14:ligatures w14:val="none"/>
        </w:rPr>
        <w:t xml:space="preserve">(1), 92–107. </w:t>
      </w:r>
      <w:hyperlink r:id="rId34" w:history="1">
        <w:r w:rsidRPr="000A47A5">
          <w:rPr>
            <w:rFonts w:ascii="Times New Roman" w:eastAsia="Times New Roman" w:hAnsi="Times New Roman" w:cs="Times New Roman"/>
            <w:color w:val="0000FF"/>
            <w:kern w:val="0"/>
            <w:u w:val="single"/>
            <w:lang w:val="en-US"/>
            <w14:ligatures w14:val="none"/>
          </w:rPr>
          <w:t>https://doi.org/10.9734/ajrrga/2026/v9i1210</w:t>
        </w:r>
      </w:hyperlink>
    </w:p>
    <w:p w14:paraId="19CE6AEF"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Joseph, D., &amp; </w:t>
      </w:r>
      <w:proofErr w:type="spellStart"/>
      <w:r w:rsidRPr="000A47A5">
        <w:rPr>
          <w:rFonts w:ascii="Times New Roman" w:eastAsia="Times New Roman" w:hAnsi="Times New Roman" w:cs="Times New Roman"/>
          <w:kern w:val="0"/>
          <w:lang w:val="en-US"/>
          <w14:ligatures w14:val="none"/>
        </w:rPr>
        <w:t>Keithellakpam</w:t>
      </w:r>
      <w:proofErr w:type="spellEnd"/>
      <w:r w:rsidRPr="000A47A5">
        <w:rPr>
          <w:rFonts w:ascii="Times New Roman" w:eastAsia="Times New Roman" w:hAnsi="Times New Roman" w:cs="Times New Roman"/>
          <w:kern w:val="0"/>
          <w:lang w:val="en-US"/>
          <w14:ligatures w14:val="none"/>
        </w:rPr>
        <w:t xml:space="preserve">, S. (2023). A study of serum electrolyte imbalances and its impact in children of 4 months to 5 years of age group presenting with acute gastroenteritis. </w:t>
      </w:r>
      <w:r w:rsidRPr="000A47A5">
        <w:rPr>
          <w:rFonts w:ascii="Times New Roman" w:eastAsia="Times New Roman" w:hAnsi="Times New Roman" w:cs="Times New Roman"/>
          <w:i/>
          <w:iCs/>
          <w:kern w:val="0"/>
          <w:lang w:val="en-US"/>
          <w14:ligatures w14:val="none"/>
        </w:rPr>
        <w:t>International Journal of Contemporary Pediatrics, 10</w:t>
      </w:r>
      <w:r w:rsidRPr="000A47A5">
        <w:rPr>
          <w:rFonts w:ascii="Times New Roman" w:eastAsia="Times New Roman" w:hAnsi="Times New Roman" w:cs="Times New Roman"/>
          <w:kern w:val="0"/>
          <w:lang w:val="en-US"/>
          <w14:ligatures w14:val="none"/>
        </w:rPr>
        <w:t xml:space="preserve">(2), 221–226. </w:t>
      </w:r>
      <w:hyperlink r:id="rId35" w:history="1">
        <w:r w:rsidRPr="000A47A5">
          <w:rPr>
            <w:rFonts w:ascii="Times New Roman" w:eastAsia="Times New Roman" w:hAnsi="Times New Roman" w:cs="Times New Roman"/>
            <w:color w:val="0000FF"/>
            <w:kern w:val="0"/>
            <w:u w:val="single"/>
            <w:lang w:val="en-US"/>
            <w14:ligatures w14:val="none"/>
          </w:rPr>
          <w:t>https://doi.org/10.18203/2349-3291.ijcp20230088</w:t>
        </w:r>
      </w:hyperlink>
    </w:p>
    <w:p w14:paraId="1EE90986"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Kanu, N. E., </w:t>
      </w:r>
      <w:proofErr w:type="spellStart"/>
      <w:r w:rsidRPr="000A47A5">
        <w:rPr>
          <w:rFonts w:ascii="Times New Roman" w:eastAsia="Times New Roman" w:hAnsi="Times New Roman" w:cs="Times New Roman"/>
          <w:kern w:val="0"/>
          <w:lang w:val="en-US"/>
          <w14:ligatures w14:val="none"/>
        </w:rPr>
        <w:t>Osinubi</w:t>
      </w:r>
      <w:proofErr w:type="spellEnd"/>
      <w:r w:rsidRPr="000A47A5">
        <w:rPr>
          <w:rFonts w:ascii="Times New Roman" w:eastAsia="Times New Roman" w:hAnsi="Times New Roman" w:cs="Times New Roman"/>
          <w:kern w:val="0"/>
          <w:lang w:val="en-US"/>
          <w14:ligatures w14:val="none"/>
        </w:rPr>
        <w:t xml:space="preserve">, M., </w:t>
      </w:r>
      <w:proofErr w:type="spellStart"/>
      <w:r w:rsidRPr="000A47A5">
        <w:rPr>
          <w:rFonts w:ascii="Times New Roman" w:eastAsia="Times New Roman" w:hAnsi="Times New Roman" w:cs="Times New Roman"/>
          <w:kern w:val="0"/>
          <w:lang w:val="en-US"/>
          <w14:ligatures w14:val="none"/>
        </w:rPr>
        <w:t>Nwadiuto</w:t>
      </w:r>
      <w:proofErr w:type="spellEnd"/>
      <w:r w:rsidRPr="000A47A5">
        <w:rPr>
          <w:rFonts w:ascii="Times New Roman" w:eastAsia="Times New Roman" w:hAnsi="Times New Roman" w:cs="Times New Roman"/>
          <w:kern w:val="0"/>
          <w:lang w:val="en-US"/>
          <w14:ligatures w14:val="none"/>
        </w:rPr>
        <w:t xml:space="preserve">, I., &amp; Okeke, C. (2018). Cholera outbreak in Andoni Local Government Area, Rivers State, Nigeria, January 2015: The role of hand washing with soap. </w:t>
      </w:r>
      <w:r w:rsidRPr="000A47A5">
        <w:rPr>
          <w:rFonts w:ascii="Times New Roman" w:eastAsia="Times New Roman" w:hAnsi="Times New Roman" w:cs="Times New Roman"/>
          <w:i/>
          <w:iCs/>
          <w:kern w:val="0"/>
          <w:lang w:val="en-US"/>
          <w14:ligatures w14:val="none"/>
        </w:rPr>
        <w:t>Nigerian Journal of Medicine, 27</w:t>
      </w:r>
      <w:r w:rsidRPr="000A47A5">
        <w:rPr>
          <w:rFonts w:ascii="Times New Roman" w:eastAsia="Times New Roman" w:hAnsi="Times New Roman" w:cs="Times New Roman"/>
          <w:kern w:val="0"/>
          <w:lang w:val="en-US"/>
          <w14:ligatures w14:val="none"/>
        </w:rPr>
        <w:t xml:space="preserve">(2), 140–146. </w:t>
      </w:r>
      <w:hyperlink r:id="rId36" w:history="1">
        <w:r w:rsidRPr="000A47A5">
          <w:rPr>
            <w:rFonts w:ascii="Times New Roman" w:eastAsia="Times New Roman" w:hAnsi="Times New Roman" w:cs="Times New Roman"/>
            <w:color w:val="0000FF"/>
            <w:kern w:val="0"/>
            <w:u w:val="single"/>
            <w:lang w:val="en-US"/>
            <w14:ligatures w14:val="none"/>
          </w:rPr>
          <w:t>https://doi.org/10.4103/1115-2613.278772</w:t>
        </w:r>
      </w:hyperlink>
    </w:p>
    <w:p w14:paraId="6D1F2415"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Keely, S. J., &amp; Barrett, K. E. (2022). Intestinal secretory mechanisms and diarrhea. </w:t>
      </w:r>
      <w:r w:rsidRPr="000A47A5">
        <w:rPr>
          <w:rFonts w:ascii="Times New Roman" w:eastAsia="Times New Roman" w:hAnsi="Times New Roman" w:cs="Times New Roman"/>
          <w:i/>
          <w:iCs/>
          <w:kern w:val="0"/>
          <w:lang w:val="en-US"/>
          <w14:ligatures w14:val="none"/>
        </w:rPr>
        <w:t>American Journal of Physiology-Gastrointestinal and Liver Physiology, 322</w:t>
      </w:r>
      <w:r w:rsidRPr="000A47A5">
        <w:rPr>
          <w:rFonts w:ascii="Times New Roman" w:eastAsia="Times New Roman" w:hAnsi="Times New Roman" w:cs="Times New Roman"/>
          <w:kern w:val="0"/>
          <w:lang w:val="en-US"/>
          <w14:ligatures w14:val="none"/>
        </w:rPr>
        <w:t xml:space="preserve">(4), G405–G420. </w:t>
      </w:r>
      <w:hyperlink r:id="rId37" w:history="1">
        <w:r w:rsidRPr="000A47A5">
          <w:rPr>
            <w:rFonts w:ascii="Times New Roman" w:eastAsia="Times New Roman" w:hAnsi="Times New Roman" w:cs="Times New Roman"/>
            <w:color w:val="0000FF"/>
            <w:kern w:val="0"/>
            <w:u w:val="single"/>
            <w:lang w:val="en-US"/>
            <w14:ligatures w14:val="none"/>
          </w:rPr>
          <w:t>https://doi.org/10.1152/ajpgi.00316.2021</w:t>
        </w:r>
      </w:hyperlink>
    </w:p>
    <w:p w14:paraId="5EB821A1"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Kinasha</w:t>
      </w:r>
      <w:proofErr w:type="spellEnd"/>
      <w:r w:rsidRPr="000A47A5">
        <w:rPr>
          <w:rFonts w:ascii="Times New Roman" w:eastAsia="Times New Roman" w:hAnsi="Times New Roman" w:cs="Times New Roman"/>
          <w:kern w:val="0"/>
          <w:lang w:val="en-US"/>
          <w14:ligatures w14:val="none"/>
        </w:rPr>
        <w:t xml:space="preserve">, A. A., </w:t>
      </w:r>
      <w:proofErr w:type="spellStart"/>
      <w:r w:rsidRPr="000A47A5">
        <w:rPr>
          <w:rFonts w:ascii="Times New Roman" w:eastAsia="Times New Roman" w:hAnsi="Times New Roman" w:cs="Times New Roman"/>
          <w:kern w:val="0"/>
          <w:lang w:val="en-US"/>
          <w14:ligatures w14:val="none"/>
        </w:rPr>
        <w:t>Pernica</w:t>
      </w:r>
      <w:proofErr w:type="spellEnd"/>
      <w:r w:rsidRPr="000A47A5">
        <w:rPr>
          <w:rFonts w:ascii="Times New Roman" w:eastAsia="Times New Roman" w:hAnsi="Times New Roman" w:cs="Times New Roman"/>
          <w:kern w:val="0"/>
          <w:lang w:val="en-US"/>
          <w14:ligatures w14:val="none"/>
        </w:rPr>
        <w:t xml:space="preserve">, J. M., Banda, F. M., Goldfarb, D. M., Welch, H. D., Steenhoff, A. P., &amp; MacLean, S. A. (2025). Electrolyte abnormalities and clinical outcomes in children aged one month to 13 years hospitalized with acute gastroenteritis in two large referral hospitals in Botswana. </w:t>
      </w:r>
      <w:r w:rsidRPr="000A47A5">
        <w:rPr>
          <w:rFonts w:ascii="Times New Roman" w:eastAsia="Times New Roman" w:hAnsi="Times New Roman" w:cs="Times New Roman"/>
          <w:i/>
          <w:iCs/>
          <w:kern w:val="0"/>
          <w:lang w:val="en-US"/>
          <w14:ligatures w14:val="none"/>
        </w:rPr>
        <w:t>PLOS Global Public Health, 5</w:t>
      </w:r>
      <w:r w:rsidRPr="000A47A5">
        <w:rPr>
          <w:rFonts w:ascii="Times New Roman" w:eastAsia="Times New Roman" w:hAnsi="Times New Roman" w:cs="Times New Roman"/>
          <w:kern w:val="0"/>
          <w:lang w:val="en-US"/>
          <w14:ligatures w14:val="none"/>
        </w:rPr>
        <w:t xml:space="preserve">(5), Article e0004588. </w:t>
      </w:r>
      <w:hyperlink r:id="rId38" w:history="1">
        <w:r w:rsidRPr="000A47A5">
          <w:rPr>
            <w:rFonts w:ascii="Times New Roman" w:eastAsia="Times New Roman" w:hAnsi="Times New Roman" w:cs="Times New Roman"/>
            <w:color w:val="0000FF"/>
            <w:kern w:val="0"/>
            <w:u w:val="single"/>
            <w:lang w:val="en-US"/>
            <w14:ligatures w14:val="none"/>
          </w:rPr>
          <w:t>https://doi.org/10.1371/journal.pgph.0004588</w:t>
        </w:r>
      </w:hyperlink>
    </w:p>
    <w:p w14:paraId="58EEFBD2"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Kundu, S., Kundu, S., Al Banna, M. H., Ahinkorah, B. O., Seidu, A. A., &amp; Okyere, J. (2022). Prevalence of and factors associated with childhood </w:t>
      </w:r>
      <w:proofErr w:type="spellStart"/>
      <w:r w:rsidRPr="000A47A5">
        <w:rPr>
          <w:rFonts w:ascii="Times New Roman" w:eastAsia="Times New Roman" w:hAnsi="Times New Roman" w:cs="Times New Roman"/>
          <w:kern w:val="0"/>
          <w:lang w:val="en-US"/>
          <w14:ligatures w14:val="none"/>
        </w:rPr>
        <w:t>diarrhoeal</w:t>
      </w:r>
      <w:proofErr w:type="spellEnd"/>
      <w:r w:rsidRPr="000A47A5">
        <w:rPr>
          <w:rFonts w:ascii="Times New Roman" w:eastAsia="Times New Roman" w:hAnsi="Times New Roman" w:cs="Times New Roman"/>
          <w:kern w:val="0"/>
          <w:lang w:val="en-US"/>
          <w14:ligatures w14:val="none"/>
        </w:rPr>
        <w:t xml:space="preserve"> disease and acute respiratory infection in Bangladesh: An analysis of a nationwide cross-sectional survey. </w:t>
      </w:r>
      <w:r w:rsidRPr="000A47A5">
        <w:rPr>
          <w:rFonts w:ascii="Times New Roman" w:eastAsia="Times New Roman" w:hAnsi="Times New Roman" w:cs="Times New Roman"/>
          <w:i/>
          <w:iCs/>
          <w:kern w:val="0"/>
          <w:lang w:val="en-US"/>
          <w14:ligatures w14:val="none"/>
        </w:rPr>
        <w:t>BMJ Open, 12</w:t>
      </w:r>
      <w:r w:rsidRPr="000A47A5">
        <w:rPr>
          <w:rFonts w:ascii="Times New Roman" w:eastAsia="Times New Roman" w:hAnsi="Times New Roman" w:cs="Times New Roman"/>
          <w:kern w:val="0"/>
          <w:lang w:val="en-US"/>
          <w14:ligatures w14:val="none"/>
        </w:rPr>
        <w:t xml:space="preserve">(4), Article e051744. </w:t>
      </w:r>
      <w:hyperlink r:id="rId39" w:history="1">
        <w:r w:rsidRPr="000A47A5">
          <w:rPr>
            <w:rFonts w:ascii="Times New Roman" w:eastAsia="Times New Roman" w:hAnsi="Times New Roman" w:cs="Times New Roman"/>
            <w:color w:val="0000FF"/>
            <w:kern w:val="0"/>
            <w:u w:val="single"/>
            <w:lang w:val="en-US"/>
            <w14:ligatures w14:val="none"/>
          </w:rPr>
          <w:t>https://doi.org/10.1136/bmjopen-2021-051744</w:t>
        </w:r>
      </w:hyperlink>
    </w:p>
    <w:p w14:paraId="633F9B6D"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Li, Q. (2022). Mechanisms for the invasion and dissemination of </w:t>
      </w:r>
      <w:r w:rsidRPr="000A47A5">
        <w:rPr>
          <w:rFonts w:ascii="Times New Roman" w:eastAsia="Times New Roman" w:hAnsi="Times New Roman" w:cs="Times New Roman"/>
          <w:i/>
          <w:iCs/>
          <w:kern w:val="0"/>
          <w:lang w:val="en-US"/>
          <w14:ligatures w14:val="none"/>
        </w:rPr>
        <w:t>Salmonella</w:t>
      </w:r>
      <w:r w:rsidRPr="000A47A5">
        <w:rPr>
          <w:rFonts w:ascii="Times New Roman" w:eastAsia="Times New Roman" w:hAnsi="Times New Roman" w:cs="Times New Roman"/>
          <w:kern w:val="0"/>
          <w:lang w:val="en-US"/>
          <w14:ligatures w14:val="none"/>
        </w:rPr>
        <w:t xml:space="preserve">. </w:t>
      </w:r>
      <w:r w:rsidRPr="000A47A5">
        <w:rPr>
          <w:rFonts w:ascii="Times New Roman" w:eastAsia="Times New Roman" w:hAnsi="Times New Roman" w:cs="Times New Roman"/>
          <w:i/>
          <w:iCs/>
          <w:kern w:val="0"/>
          <w:lang w:val="en-US"/>
          <w14:ligatures w14:val="none"/>
        </w:rPr>
        <w:t>Canadian Journal of Infectious Diseases and Medical Microbiology, 2022</w:t>
      </w:r>
      <w:r w:rsidRPr="000A47A5">
        <w:rPr>
          <w:rFonts w:ascii="Times New Roman" w:eastAsia="Times New Roman" w:hAnsi="Times New Roman" w:cs="Times New Roman"/>
          <w:kern w:val="0"/>
          <w:lang w:val="en-US"/>
          <w14:ligatures w14:val="none"/>
        </w:rPr>
        <w:t xml:space="preserve">, Article 2655801. </w:t>
      </w:r>
      <w:hyperlink r:id="rId40" w:history="1">
        <w:r w:rsidRPr="000A47A5">
          <w:rPr>
            <w:rFonts w:ascii="Times New Roman" w:eastAsia="Times New Roman" w:hAnsi="Times New Roman" w:cs="Times New Roman"/>
            <w:color w:val="0000FF"/>
            <w:kern w:val="0"/>
            <w:u w:val="single"/>
            <w:lang w:val="en-US"/>
            <w14:ligatures w14:val="none"/>
          </w:rPr>
          <w:t>https://doi.org/10.1155/2022/2655801</w:t>
        </w:r>
      </w:hyperlink>
    </w:p>
    <w:p w14:paraId="1A3A9345"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lastRenderedPageBreak/>
        <w:t xml:space="preserve">Liu, J., Platts-Mills, J. A., Juma, J., Kabir, F., </w:t>
      </w:r>
      <w:proofErr w:type="spellStart"/>
      <w:r w:rsidRPr="000A47A5">
        <w:rPr>
          <w:rFonts w:ascii="Times New Roman" w:eastAsia="Times New Roman" w:hAnsi="Times New Roman" w:cs="Times New Roman"/>
          <w:kern w:val="0"/>
          <w:lang w:val="en-US"/>
          <w14:ligatures w14:val="none"/>
        </w:rPr>
        <w:t>Nkeze</w:t>
      </w:r>
      <w:proofErr w:type="spellEnd"/>
      <w:r w:rsidRPr="000A47A5">
        <w:rPr>
          <w:rFonts w:ascii="Times New Roman" w:eastAsia="Times New Roman" w:hAnsi="Times New Roman" w:cs="Times New Roman"/>
          <w:kern w:val="0"/>
          <w:lang w:val="en-US"/>
          <w14:ligatures w14:val="none"/>
        </w:rPr>
        <w:t xml:space="preserve">, J., </w:t>
      </w:r>
      <w:proofErr w:type="spellStart"/>
      <w:r w:rsidRPr="000A47A5">
        <w:rPr>
          <w:rFonts w:ascii="Times New Roman" w:eastAsia="Times New Roman" w:hAnsi="Times New Roman" w:cs="Times New Roman"/>
          <w:kern w:val="0"/>
          <w:lang w:val="en-US"/>
          <w14:ligatures w14:val="none"/>
        </w:rPr>
        <w:t>Okoi</w:t>
      </w:r>
      <w:proofErr w:type="spellEnd"/>
      <w:r w:rsidRPr="000A47A5">
        <w:rPr>
          <w:rFonts w:ascii="Times New Roman" w:eastAsia="Times New Roman" w:hAnsi="Times New Roman" w:cs="Times New Roman"/>
          <w:kern w:val="0"/>
          <w:lang w:val="en-US"/>
          <w14:ligatures w14:val="none"/>
        </w:rPr>
        <w:t xml:space="preserve">, C., </w:t>
      </w:r>
      <w:proofErr w:type="spellStart"/>
      <w:r w:rsidRPr="000A47A5">
        <w:rPr>
          <w:rFonts w:ascii="Times New Roman" w:eastAsia="Times New Roman" w:hAnsi="Times New Roman" w:cs="Times New Roman"/>
          <w:kern w:val="0"/>
          <w:lang w:val="en-US"/>
          <w14:ligatures w14:val="none"/>
        </w:rPr>
        <w:t>Operario</w:t>
      </w:r>
      <w:proofErr w:type="spellEnd"/>
      <w:r w:rsidRPr="000A47A5">
        <w:rPr>
          <w:rFonts w:ascii="Times New Roman" w:eastAsia="Times New Roman" w:hAnsi="Times New Roman" w:cs="Times New Roman"/>
          <w:kern w:val="0"/>
          <w:lang w:val="en-US"/>
          <w14:ligatures w14:val="none"/>
        </w:rPr>
        <w:t xml:space="preserve">, D. J., Uddin, J., Ahmed, S., Alonso, P. L., Antonio, M., Becker, S. M., Blackwelder, W. C., </w:t>
      </w:r>
      <w:proofErr w:type="spellStart"/>
      <w:r w:rsidRPr="000A47A5">
        <w:rPr>
          <w:rFonts w:ascii="Times New Roman" w:eastAsia="Times New Roman" w:hAnsi="Times New Roman" w:cs="Times New Roman"/>
          <w:kern w:val="0"/>
          <w:lang w:val="en-US"/>
          <w14:ligatures w14:val="none"/>
        </w:rPr>
        <w:t>Breiman</w:t>
      </w:r>
      <w:proofErr w:type="spellEnd"/>
      <w:r w:rsidRPr="000A47A5">
        <w:rPr>
          <w:rFonts w:ascii="Times New Roman" w:eastAsia="Times New Roman" w:hAnsi="Times New Roman" w:cs="Times New Roman"/>
          <w:kern w:val="0"/>
          <w:lang w:val="en-US"/>
          <w14:ligatures w14:val="none"/>
        </w:rPr>
        <w:t xml:space="preserve">, R. F., Faruque, A. S. G., Fields, B., Gratz, J., Haque, R., Hossain, A., . . . Houpt, E. R. (2016). Use of quantitative molecular diagnostic methods to identify causes of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in children: A reanalysis of the GEMS case-control study. </w:t>
      </w:r>
      <w:r w:rsidRPr="000A47A5">
        <w:rPr>
          <w:rFonts w:ascii="Times New Roman" w:eastAsia="Times New Roman" w:hAnsi="Times New Roman" w:cs="Times New Roman"/>
          <w:i/>
          <w:iCs/>
          <w:kern w:val="0"/>
          <w:lang w:val="en-US"/>
          <w14:ligatures w14:val="none"/>
        </w:rPr>
        <w:t>The Lancet, 388</w:t>
      </w:r>
      <w:r w:rsidRPr="000A47A5">
        <w:rPr>
          <w:rFonts w:ascii="Times New Roman" w:eastAsia="Times New Roman" w:hAnsi="Times New Roman" w:cs="Times New Roman"/>
          <w:kern w:val="0"/>
          <w:lang w:val="en-US"/>
          <w14:ligatures w14:val="none"/>
        </w:rPr>
        <w:t xml:space="preserve">(10051), 1291–1301. </w:t>
      </w:r>
      <w:hyperlink r:id="rId41" w:history="1">
        <w:r w:rsidRPr="000A47A5">
          <w:rPr>
            <w:rFonts w:ascii="Times New Roman" w:eastAsia="Times New Roman" w:hAnsi="Times New Roman" w:cs="Times New Roman"/>
            <w:color w:val="0000FF"/>
            <w:kern w:val="0"/>
            <w:u w:val="single"/>
            <w:lang w:val="en-US"/>
            <w14:ligatures w14:val="none"/>
          </w:rPr>
          <w:t>https://doi.org/10.1016/S0140-6736(16)31529-X</w:t>
        </w:r>
      </w:hyperlink>
    </w:p>
    <w:p w14:paraId="54307C68"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Manetu, W. M., M’masi, S., &amp; Recha, C. W. (2021). Diarrhea disease among children under 5 years of age: A global systematic review. </w:t>
      </w:r>
      <w:r w:rsidRPr="000A47A5">
        <w:rPr>
          <w:rFonts w:ascii="Times New Roman" w:eastAsia="Times New Roman" w:hAnsi="Times New Roman" w:cs="Times New Roman"/>
          <w:i/>
          <w:iCs/>
          <w:kern w:val="0"/>
          <w:lang w:val="en-US"/>
          <w14:ligatures w14:val="none"/>
        </w:rPr>
        <w:t>Open Journal of Epidemiology, 11</w:t>
      </w:r>
      <w:r w:rsidRPr="000A47A5">
        <w:rPr>
          <w:rFonts w:ascii="Times New Roman" w:eastAsia="Times New Roman" w:hAnsi="Times New Roman" w:cs="Times New Roman"/>
          <w:kern w:val="0"/>
          <w:lang w:val="en-US"/>
          <w14:ligatures w14:val="none"/>
        </w:rPr>
        <w:t xml:space="preserve">(3), 207–221. </w:t>
      </w:r>
      <w:hyperlink r:id="rId42" w:history="1">
        <w:r w:rsidRPr="000A47A5">
          <w:rPr>
            <w:rFonts w:ascii="Times New Roman" w:eastAsia="Times New Roman" w:hAnsi="Times New Roman" w:cs="Times New Roman"/>
            <w:color w:val="0000FF"/>
            <w:kern w:val="0"/>
            <w:u w:val="single"/>
            <w:lang w:val="en-US"/>
            <w14:ligatures w14:val="none"/>
          </w:rPr>
          <w:t>https://doi.org/10.4236/ojepi.2021.113018</w:t>
        </w:r>
      </w:hyperlink>
    </w:p>
    <w:p w14:paraId="6321806A"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Mohamed, M. G., Dabou, E. A. A., Abdelsamad, S., &amp; </w:t>
      </w:r>
      <w:proofErr w:type="spellStart"/>
      <w:r w:rsidRPr="000A47A5">
        <w:rPr>
          <w:rFonts w:ascii="Times New Roman" w:eastAsia="Times New Roman" w:hAnsi="Times New Roman" w:cs="Times New Roman"/>
          <w:kern w:val="0"/>
          <w:lang w:val="en-US"/>
          <w14:ligatures w14:val="none"/>
        </w:rPr>
        <w:t>Elsalous</w:t>
      </w:r>
      <w:proofErr w:type="spellEnd"/>
      <w:r w:rsidRPr="000A47A5">
        <w:rPr>
          <w:rFonts w:ascii="Times New Roman" w:eastAsia="Times New Roman" w:hAnsi="Times New Roman" w:cs="Times New Roman"/>
          <w:kern w:val="0"/>
          <w:lang w:val="en-US"/>
          <w14:ligatures w14:val="none"/>
        </w:rPr>
        <w:t xml:space="preserve">, S. H. (2025). Cholera outbreaks: Public health implications, economic burden, and preventive strategies. </w:t>
      </w:r>
      <w:r w:rsidRPr="000A47A5">
        <w:rPr>
          <w:rFonts w:ascii="Times New Roman" w:eastAsia="Times New Roman" w:hAnsi="Times New Roman" w:cs="Times New Roman"/>
          <w:i/>
          <w:iCs/>
          <w:kern w:val="0"/>
          <w:lang w:val="en-US"/>
          <w14:ligatures w14:val="none"/>
        </w:rPr>
        <w:t>AIMS Public Health, 12</w:t>
      </w:r>
      <w:r w:rsidRPr="000A47A5">
        <w:rPr>
          <w:rFonts w:ascii="Times New Roman" w:eastAsia="Times New Roman" w:hAnsi="Times New Roman" w:cs="Times New Roman"/>
          <w:kern w:val="0"/>
          <w:lang w:val="en-US"/>
          <w14:ligatures w14:val="none"/>
        </w:rPr>
        <w:t xml:space="preserve">(3), 767–795. </w:t>
      </w:r>
      <w:hyperlink r:id="rId43" w:history="1">
        <w:r w:rsidRPr="000A47A5">
          <w:rPr>
            <w:rFonts w:ascii="Times New Roman" w:eastAsia="Times New Roman" w:hAnsi="Times New Roman" w:cs="Times New Roman"/>
            <w:color w:val="0000FF"/>
            <w:kern w:val="0"/>
            <w:u w:val="single"/>
            <w:lang w:val="en-US"/>
            <w14:ligatures w14:val="none"/>
          </w:rPr>
          <w:t>https://doi.org/10.3934/publichealth.2025039</w:t>
        </w:r>
      </w:hyperlink>
    </w:p>
    <w:p w14:paraId="17484C29"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Montero, D. A., Vidal, R. M., Velasco, J., George, S., Lucero, Y., Gómez, L. A., Carreño, L. J., García-Betancourt, R., &amp; O’Ryan, M. (2023). </w:t>
      </w:r>
      <w:r w:rsidRPr="000A47A5">
        <w:rPr>
          <w:rFonts w:ascii="Times New Roman" w:eastAsia="Times New Roman" w:hAnsi="Times New Roman" w:cs="Times New Roman"/>
          <w:i/>
          <w:iCs/>
          <w:kern w:val="0"/>
          <w:lang w:val="en-US"/>
          <w14:ligatures w14:val="none"/>
        </w:rPr>
        <w:t>Vibrio cholerae</w:t>
      </w:r>
      <w:r w:rsidRPr="000A47A5">
        <w:rPr>
          <w:rFonts w:ascii="Times New Roman" w:eastAsia="Times New Roman" w:hAnsi="Times New Roman" w:cs="Times New Roman"/>
          <w:kern w:val="0"/>
          <w:lang w:val="en-US"/>
          <w14:ligatures w14:val="none"/>
        </w:rPr>
        <w:t xml:space="preserve">, classification, pathogenesis, immune response, and trends in vaccine development. </w:t>
      </w:r>
      <w:r w:rsidRPr="000A47A5">
        <w:rPr>
          <w:rFonts w:ascii="Times New Roman" w:eastAsia="Times New Roman" w:hAnsi="Times New Roman" w:cs="Times New Roman"/>
          <w:i/>
          <w:iCs/>
          <w:kern w:val="0"/>
          <w:lang w:val="en-US"/>
          <w14:ligatures w14:val="none"/>
        </w:rPr>
        <w:t>Frontiers in Medicine, 10</w:t>
      </w:r>
      <w:r w:rsidRPr="000A47A5">
        <w:rPr>
          <w:rFonts w:ascii="Times New Roman" w:eastAsia="Times New Roman" w:hAnsi="Times New Roman" w:cs="Times New Roman"/>
          <w:kern w:val="0"/>
          <w:lang w:val="en-US"/>
          <w14:ligatures w14:val="none"/>
        </w:rPr>
        <w:t xml:space="preserve">, Article 1155751. </w:t>
      </w:r>
      <w:hyperlink r:id="rId44" w:history="1">
        <w:r w:rsidRPr="000A47A5">
          <w:rPr>
            <w:rFonts w:ascii="Times New Roman" w:eastAsia="Times New Roman" w:hAnsi="Times New Roman" w:cs="Times New Roman"/>
            <w:color w:val="0000FF"/>
            <w:kern w:val="0"/>
            <w:u w:val="single"/>
            <w:lang w:val="en-US"/>
            <w14:ligatures w14:val="none"/>
          </w:rPr>
          <w:t>https://doi.org/10.3389/fmed.2023.1155751</w:t>
        </w:r>
      </w:hyperlink>
    </w:p>
    <w:p w14:paraId="4B9E78B7"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Moro, D. D., Ajayi, A. O., &amp; </w:t>
      </w:r>
      <w:proofErr w:type="spellStart"/>
      <w:r w:rsidRPr="000A47A5">
        <w:rPr>
          <w:rFonts w:ascii="Times New Roman" w:eastAsia="Times New Roman" w:hAnsi="Times New Roman" w:cs="Times New Roman"/>
          <w:kern w:val="0"/>
          <w:lang w:val="en-US"/>
          <w14:ligatures w14:val="none"/>
        </w:rPr>
        <w:t>Chandwani</w:t>
      </w:r>
      <w:proofErr w:type="spellEnd"/>
      <w:r w:rsidRPr="000A47A5">
        <w:rPr>
          <w:rFonts w:ascii="Times New Roman" w:eastAsia="Times New Roman" w:hAnsi="Times New Roman" w:cs="Times New Roman"/>
          <w:kern w:val="0"/>
          <w:lang w:val="en-US"/>
          <w14:ligatures w14:val="none"/>
        </w:rPr>
        <w:t xml:space="preserve">, J. (2021). Characterization, prevalence and antibiotic resistance patterns of enteric bacterial pathogens associated with infantile diarrhea. </w:t>
      </w:r>
      <w:r w:rsidRPr="000A47A5">
        <w:rPr>
          <w:rFonts w:ascii="Times New Roman" w:eastAsia="Times New Roman" w:hAnsi="Times New Roman" w:cs="Times New Roman"/>
          <w:i/>
          <w:iCs/>
          <w:kern w:val="0"/>
          <w:lang w:val="en-US"/>
          <w14:ligatures w14:val="none"/>
        </w:rPr>
        <w:t>Journal of Medical and Dental Science Research, 8</w:t>
      </w:r>
      <w:r w:rsidRPr="000A47A5">
        <w:rPr>
          <w:rFonts w:ascii="Times New Roman" w:eastAsia="Times New Roman" w:hAnsi="Times New Roman" w:cs="Times New Roman"/>
          <w:kern w:val="0"/>
          <w:lang w:val="en-US"/>
          <w14:ligatures w14:val="none"/>
        </w:rPr>
        <w:t xml:space="preserve">(8), 49–54. </w:t>
      </w:r>
      <w:hyperlink r:id="rId45" w:history="1">
        <w:r w:rsidRPr="000A47A5">
          <w:rPr>
            <w:rFonts w:ascii="Times New Roman" w:eastAsia="Times New Roman" w:hAnsi="Times New Roman" w:cs="Times New Roman"/>
            <w:color w:val="0000FF"/>
            <w:kern w:val="0"/>
            <w:u w:val="single"/>
            <w:lang w:val="en-US"/>
            <w14:ligatures w14:val="none"/>
          </w:rPr>
          <w:t>https://www.questjournals.org/jmdsr/v8-i8.html</w:t>
        </w:r>
      </w:hyperlink>
    </w:p>
    <w:p w14:paraId="1989EAAF"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Namusisi, N. H. (2025). Diarrheal diseases and water sanitation interventions in Uganda: Evaluating public health strategies. </w:t>
      </w:r>
      <w:r w:rsidRPr="000A47A5">
        <w:rPr>
          <w:rFonts w:ascii="Times New Roman" w:eastAsia="Times New Roman" w:hAnsi="Times New Roman" w:cs="Times New Roman"/>
          <w:i/>
          <w:iCs/>
          <w:kern w:val="0"/>
          <w:lang w:val="en-US"/>
          <w14:ligatures w14:val="none"/>
        </w:rPr>
        <w:t>Research Invention Journal of Public Health and Pharmacy, 4</w:t>
      </w:r>
      <w:r w:rsidRPr="000A47A5">
        <w:rPr>
          <w:rFonts w:ascii="Times New Roman" w:eastAsia="Times New Roman" w:hAnsi="Times New Roman" w:cs="Times New Roman"/>
          <w:kern w:val="0"/>
          <w:lang w:val="en-US"/>
          <w14:ligatures w14:val="none"/>
        </w:rPr>
        <w:t xml:space="preserve">(1), 66–70. </w:t>
      </w:r>
      <w:hyperlink r:id="rId46" w:history="1">
        <w:r w:rsidRPr="000A47A5">
          <w:rPr>
            <w:rFonts w:ascii="Times New Roman" w:eastAsia="Times New Roman" w:hAnsi="Times New Roman" w:cs="Times New Roman"/>
            <w:color w:val="0000FF"/>
            <w:kern w:val="0"/>
            <w:u w:val="single"/>
            <w:lang w:val="en-US"/>
            <w14:ligatures w14:val="none"/>
          </w:rPr>
          <w:t>https://doi.org/10.59298/RIJPP/2025/416670</w:t>
        </w:r>
      </w:hyperlink>
    </w:p>
    <w:p w14:paraId="5AFD0C1F"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Nwobodo, H. A., &amp; Ugwuoke, I. L. (2025). Prevalence of </w:t>
      </w:r>
      <w:proofErr w:type="spellStart"/>
      <w:r w:rsidRPr="000A47A5">
        <w:rPr>
          <w:rFonts w:ascii="Times New Roman" w:eastAsia="Times New Roman" w:hAnsi="Times New Roman" w:cs="Times New Roman"/>
          <w:i/>
          <w:iCs/>
          <w:kern w:val="0"/>
          <w:lang w:val="en-US"/>
          <w14:ligatures w14:val="none"/>
        </w:rPr>
        <w:t>Esherichia</w:t>
      </w:r>
      <w:proofErr w:type="spellEnd"/>
      <w:r w:rsidRPr="000A47A5">
        <w:rPr>
          <w:rFonts w:ascii="Times New Roman" w:eastAsia="Times New Roman" w:hAnsi="Times New Roman" w:cs="Times New Roman"/>
          <w:i/>
          <w:iCs/>
          <w:kern w:val="0"/>
          <w:lang w:val="en-US"/>
          <w14:ligatures w14:val="none"/>
        </w:rPr>
        <w:t xml:space="preserve"> coli</w:t>
      </w:r>
      <w:r w:rsidRPr="000A47A5">
        <w:rPr>
          <w:rFonts w:ascii="Times New Roman" w:eastAsia="Times New Roman" w:hAnsi="Times New Roman" w:cs="Times New Roman"/>
          <w:kern w:val="0"/>
          <w:lang w:val="en-US"/>
          <w14:ligatures w14:val="none"/>
        </w:rPr>
        <w:t xml:space="preserve"> mediated diarrhea among children under five years in Enugu State University Teaching Hospital, Parklane, Nigeria. </w:t>
      </w:r>
      <w:r w:rsidRPr="000A47A5">
        <w:rPr>
          <w:rFonts w:ascii="Times New Roman" w:eastAsia="Times New Roman" w:hAnsi="Times New Roman" w:cs="Times New Roman"/>
          <w:i/>
          <w:iCs/>
          <w:kern w:val="0"/>
          <w:lang w:val="en-US"/>
          <w14:ligatures w14:val="none"/>
        </w:rPr>
        <w:t>Journal of Disease and Global Health, 18</w:t>
      </w:r>
      <w:r w:rsidRPr="000A47A5">
        <w:rPr>
          <w:rFonts w:ascii="Times New Roman" w:eastAsia="Times New Roman" w:hAnsi="Times New Roman" w:cs="Times New Roman"/>
          <w:kern w:val="0"/>
          <w:lang w:val="en-US"/>
          <w14:ligatures w14:val="none"/>
        </w:rPr>
        <w:t xml:space="preserve">(2), 133–139. </w:t>
      </w:r>
      <w:hyperlink r:id="rId47" w:history="1">
        <w:r w:rsidRPr="000A47A5">
          <w:rPr>
            <w:rFonts w:ascii="Times New Roman" w:eastAsia="Times New Roman" w:hAnsi="Times New Roman" w:cs="Times New Roman"/>
            <w:color w:val="0000FF"/>
            <w:kern w:val="0"/>
            <w:u w:val="single"/>
            <w:lang w:val="en-US"/>
            <w14:ligatures w14:val="none"/>
          </w:rPr>
          <w:t>https://doi.org/10.56557/jodagh/2025/v18i29554</w:t>
        </w:r>
      </w:hyperlink>
    </w:p>
    <w:p w14:paraId="38C6E538"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Nwokoro</w:t>
      </w:r>
      <w:proofErr w:type="spellEnd"/>
      <w:r w:rsidRPr="000A47A5">
        <w:rPr>
          <w:rFonts w:ascii="Times New Roman" w:eastAsia="Times New Roman" w:hAnsi="Times New Roman" w:cs="Times New Roman"/>
          <w:kern w:val="0"/>
          <w:lang w:val="en-US"/>
          <w14:ligatures w14:val="none"/>
        </w:rPr>
        <w:t xml:space="preserve">, U. U., </w:t>
      </w:r>
      <w:proofErr w:type="spellStart"/>
      <w:r w:rsidRPr="000A47A5">
        <w:rPr>
          <w:rFonts w:ascii="Times New Roman" w:eastAsia="Times New Roman" w:hAnsi="Times New Roman" w:cs="Times New Roman"/>
          <w:kern w:val="0"/>
          <w:lang w:val="en-US"/>
          <w14:ligatures w14:val="none"/>
        </w:rPr>
        <w:t>Ugwa</w:t>
      </w:r>
      <w:proofErr w:type="spellEnd"/>
      <w:r w:rsidRPr="000A47A5">
        <w:rPr>
          <w:rFonts w:ascii="Times New Roman" w:eastAsia="Times New Roman" w:hAnsi="Times New Roman" w:cs="Times New Roman"/>
          <w:kern w:val="0"/>
          <w:lang w:val="en-US"/>
          <w14:ligatures w14:val="none"/>
        </w:rPr>
        <w:t xml:space="preserve">, O., </w:t>
      </w:r>
      <w:proofErr w:type="spellStart"/>
      <w:r w:rsidRPr="000A47A5">
        <w:rPr>
          <w:rFonts w:ascii="Times New Roman" w:eastAsia="Times New Roman" w:hAnsi="Times New Roman" w:cs="Times New Roman"/>
          <w:kern w:val="0"/>
          <w:lang w:val="en-US"/>
          <w14:ligatures w14:val="none"/>
        </w:rPr>
        <w:t>Onwuliri</w:t>
      </w:r>
      <w:proofErr w:type="spellEnd"/>
      <w:r w:rsidRPr="000A47A5">
        <w:rPr>
          <w:rFonts w:ascii="Times New Roman" w:eastAsia="Times New Roman" w:hAnsi="Times New Roman" w:cs="Times New Roman"/>
          <w:kern w:val="0"/>
          <w:lang w:val="en-US"/>
          <w14:ligatures w14:val="none"/>
        </w:rPr>
        <w:t xml:space="preserve">, C. D., Obi, I. F., Ngozi, M.-O., &amp; </w:t>
      </w:r>
      <w:proofErr w:type="spellStart"/>
      <w:r w:rsidRPr="000A47A5">
        <w:rPr>
          <w:rFonts w:ascii="Times New Roman" w:eastAsia="Times New Roman" w:hAnsi="Times New Roman" w:cs="Times New Roman"/>
          <w:kern w:val="0"/>
          <w:lang w:val="en-US"/>
          <w14:ligatures w14:val="none"/>
        </w:rPr>
        <w:t>Agunwa</w:t>
      </w:r>
      <w:proofErr w:type="spellEnd"/>
      <w:r w:rsidRPr="000A47A5">
        <w:rPr>
          <w:rFonts w:ascii="Times New Roman" w:eastAsia="Times New Roman" w:hAnsi="Times New Roman" w:cs="Times New Roman"/>
          <w:kern w:val="0"/>
          <w:lang w:val="en-US"/>
          <w14:ligatures w14:val="none"/>
        </w:rPr>
        <w:t xml:space="preserve">, C. (2020). Water, sanitation and hygiene risk factors associated with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morbidity in a rural community of Enugu, South East Nigeria. </w:t>
      </w:r>
      <w:r w:rsidRPr="000A47A5">
        <w:rPr>
          <w:rFonts w:ascii="Times New Roman" w:eastAsia="Times New Roman" w:hAnsi="Times New Roman" w:cs="Times New Roman"/>
          <w:i/>
          <w:iCs/>
          <w:kern w:val="0"/>
          <w:lang w:val="en-US"/>
          <w14:ligatures w14:val="none"/>
        </w:rPr>
        <w:t>Pan African Medical Journal, 37</w:t>
      </w:r>
      <w:r w:rsidRPr="000A47A5">
        <w:rPr>
          <w:rFonts w:ascii="Times New Roman" w:eastAsia="Times New Roman" w:hAnsi="Times New Roman" w:cs="Times New Roman"/>
          <w:kern w:val="0"/>
          <w:lang w:val="en-US"/>
          <w14:ligatures w14:val="none"/>
        </w:rPr>
        <w:t xml:space="preserve">, Article 115. </w:t>
      </w:r>
      <w:hyperlink r:id="rId48" w:history="1">
        <w:r w:rsidRPr="000A47A5">
          <w:rPr>
            <w:rFonts w:ascii="Times New Roman" w:eastAsia="Times New Roman" w:hAnsi="Times New Roman" w:cs="Times New Roman"/>
            <w:color w:val="0000FF"/>
            <w:kern w:val="0"/>
            <w:u w:val="single"/>
            <w:lang w:val="en-US"/>
            <w14:ligatures w14:val="none"/>
          </w:rPr>
          <w:t>https://doi.org/10.11604/pamj.2020.37.115.17735</w:t>
        </w:r>
      </w:hyperlink>
    </w:p>
    <w:p w14:paraId="415454A9"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Okafor, C. A. (2024). Impact and interventions of waterborne and foodborne illnesses caused by bacterial pathogens in Nigeria: A review. </w:t>
      </w:r>
      <w:r w:rsidRPr="000A47A5">
        <w:rPr>
          <w:rFonts w:ascii="Times New Roman" w:eastAsia="Times New Roman" w:hAnsi="Times New Roman" w:cs="Times New Roman"/>
          <w:i/>
          <w:iCs/>
          <w:kern w:val="0"/>
          <w:lang w:val="en-US"/>
          <w14:ligatures w14:val="none"/>
        </w:rPr>
        <w:t>Food and Health, 10</w:t>
      </w:r>
      <w:r w:rsidRPr="000A47A5">
        <w:rPr>
          <w:rFonts w:ascii="Times New Roman" w:eastAsia="Times New Roman" w:hAnsi="Times New Roman" w:cs="Times New Roman"/>
          <w:kern w:val="0"/>
          <w:lang w:val="en-US"/>
          <w14:ligatures w14:val="none"/>
        </w:rPr>
        <w:t xml:space="preserve">(4), 316–322. </w:t>
      </w:r>
      <w:hyperlink r:id="rId49" w:history="1">
        <w:r w:rsidRPr="000A47A5">
          <w:rPr>
            <w:rFonts w:ascii="Times New Roman" w:eastAsia="Times New Roman" w:hAnsi="Times New Roman" w:cs="Times New Roman"/>
            <w:color w:val="0000FF"/>
            <w:kern w:val="0"/>
            <w:u w:val="single"/>
            <w:lang w:val="en-US"/>
            <w14:ligatures w14:val="none"/>
          </w:rPr>
          <w:t>https://doi.org/10.3153/FH24030</w:t>
        </w:r>
      </w:hyperlink>
    </w:p>
    <w:p w14:paraId="5B409D87"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Omololu</w:t>
      </w:r>
      <w:proofErr w:type="spellEnd"/>
      <w:r w:rsidRPr="000A47A5">
        <w:rPr>
          <w:rFonts w:ascii="Times New Roman" w:eastAsia="Times New Roman" w:hAnsi="Times New Roman" w:cs="Times New Roman"/>
          <w:kern w:val="0"/>
          <w:lang w:val="en-US"/>
          <w14:ligatures w14:val="none"/>
        </w:rPr>
        <w:t xml:space="preserve">-Aso, J., Abiona, I., </w:t>
      </w:r>
      <w:proofErr w:type="spellStart"/>
      <w:r w:rsidRPr="000A47A5">
        <w:rPr>
          <w:rFonts w:ascii="Times New Roman" w:eastAsia="Times New Roman" w:hAnsi="Times New Roman" w:cs="Times New Roman"/>
          <w:kern w:val="0"/>
          <w:lang w:val="en-US"/>
          <w14:ligatures w14:val="none"/>
        </w:rPr>
        <w:t>Omololu</w:t>
      </w:r>
      <w:proofErr w:type="spellEnd"/>
      <w:r w:rsidRPr="000A47A5">
        <w:rPr>
          <w:rFonts w:ascii="Times New Roman" w:eastAsia="Times New Roman" w:hAnsi="Times New Roman" w:cs="Times New Roman"/>
          <w:kern w:val="0"/>
          <w:lang w:val="en-US"/>
          <w14:ligatures w14:val="none"/>
        </w:rPr>
        <w:t xml:space="preserve">, O. O., </w:t>
      </w:r>
      <w:proofErr w:type="spellStart"/>
      <w:r w:rsidRPr="000A47A5">
        <w:rPr>
          <w:rFonts w:ascii="Times New Roman" w:eastAsia="Times New Roman" w:hAnsi="Times New Roman" w:cs="Times New Roman"/>
          <w:kern w:val="0"/>
          <w:lang w:val="en-US"/>
          <w14:ligatures w14:val="none"/>
        </w:rPr>
        <w:t>Adesunloro</w:t>
      </w:r>
      <w:proofErr w:type="spellEnd"/>
      <w:r w:rsidRPr="000A47A5">
        <w:rPr>
          <w:rFonts w:ascii="Times New Roman" w:eastAsia="Times New Roman" w:hAnsi="Times New Roman" w:cs="Times New Roman"/>
          <w:kern w:val="0"/>
          <w:lang w:val="en-US"/>
          <w14:ligatures w14:val="none"/>
        </w:rPr>
        <w:t xml:space="preserve">, O., Bello, E. G., Oluyombo, A. A., Oladimeji, E. R., &amp; Ajao, B. F. (2023). Isolation, identification and characterization of </w:t>
      </w:r>
      <w:r w:rsidRPr="000A47A5">
        <w:rPr>
          <w:rFonts w:ascii="Times New Roman" w:eastAsia="Times New Roman" w:hAnsi="Times New Roman" w:cs="Times New Roman"/>
          <w:i/>
          <w:iCs/>
          <w:kern w:val="0"/>
          <w:lang w:val="en-US"/>
          <w14:ligatures w14:val="none"/>
        </w:rPr>
        <w:lastRenderedPageBreak/>
        <w:t>Salmonella Shigella</w:t>
      </w:r>
      <w:r w:rsidRPr="000A47A5">
        <w:rPr>
          <w:rFonts w:ascii="Times New Roman" w:eastAsia="Times New Roman" w:hAnsi="Times New Roman" w:cs="Times New Roman"/>
          <w:kern w:val="0"/>
          <w:lang w:val="en-US"/>
          <w14:ligatures w14:val="none"/>
        </w:rPr>
        <w:t xml:space="preserve"> species obtained from cattle dung and meat slabs. </w:t>
      </w:r>
      <w:r w:rsidRPr="000A47A5">
        <w:rPr>
          <w:rFonts w:ascii="Times New Roman" w:eastAsia="Times New Roman" w:hAnsi="Times New Roman" w:cs="Times New Roman"/>
          <w:i/>
          <w:iCs/>
          <w:kern w:val="0"/>
          <w:lang w:val="en-US"/>
          <w14:ligatures w14:val="none"/>
        </w:rPr>
        <w:t>International Journal of Clinical Epidemiology, 2</w:t>
      </w:r>
      <w:r w:rsidRPr="000A47A5">
        <w:rPr>
          <w:rFonts w:ascii="Times New Roman" w:eastAsia="Times New Roman" w:hAnsi="Times New Roman" w:cs="Times New Roman"/>
          <w:kern w:val="0"/>
          <w:lang w:val="en-US"/>
          <w14:ligatures w14:val="none"/>
        </w:rPr>
        <w:t xml:space="preserve">(4), Article 036. </w:t>
      </w:r>
      <w:hyperlink r:id="rId50" w:history="1">
        <w:r w:rsidRPr="000A47A5">
          <w:rPr>
            <w:rFonts w:ascii="Times New Roman" w:eastAsia="Times New Roman" w:hAnsi="Times New Roman" w:cs="Times New Roman"/>
            <w:color w:val="0000FF"/>
            <w:kern w:val="0"/>
            <w:u w:val="single"/>
            <w:lang w:val="en-US"/>
            <w14:ligatures w14:val="none"/>
          </w:rPr>
          <w:t>https://doi.org/10.31579/2835-9232/036</w:t>
        </w:r>
      </w:hyperlink>
    </w:p>
    <w:p w14:paraId="58E81E7B"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Pakbin</w:t>
      </w:r>
      <w:proofErr w:type="spellEnd"/>
      <w:r w:rsidRPr="000A47A5">
        <w:rPr>
          <w:rFonts w:ascii="Times New Roman" w:eastAsia="Times New Roman" w:hAnsi="Times New Roman" w:cs="Times New Roman"/>
          <w:kern w:val="0"/>
          <w:lang w:val="en-US"/>
          <w14:ligatures w14:val="none"/>
        </w:rPr>
        <w:t xml:space="preserve">, B., Brück, W. M., &amp; Brück, T. B. (2023). Molecular mechanisms of </w:t>
      </w:r>
      <w:r w:rsidRPr="000A47A5">
        <w:rPr>
          <w:rFonts w:ascii="Times New Roman" w:eastAsia="Times New Roman" w:hAnsi="Times New Roman" w:cs="Times New Roman"/>
          <w:i/>
          <w:iCs/>
          <w:kern w:val="0"/>
          <w:lang w:val="en-US"/>
          <w14:ligatures w14:val="none"/>
        </w:rPr>
        <w:t>Shigella</w:t>
      </w:r>
      <w:r w:rsidRPr="000A47A5">
        <w:rPr>
          <w:rFonts w:ascii="Times New Roman" w:eastAsia="Times New Roman" w:hAnsi="Times New Roman" w:cs="Times New Roman"/>
          <w:kern w:val="0"/>
          <w:lang w:val="en-US"/>
          <w14:ligatures w14:val="none"/>
        </w:rPr>
        <w:t xml:space="preserve"> pathogenesis: Recent advances. </w:t>
      </w:r>
      <w:r w:rsidRPr="000A47A5">
        <w:rPr>
          <w:rFonts w:ascii="Times New Roman" w:eastAsia="Times New Roman" w:hAnsi="Times New Roman" w:cs="Times New Roman"/>
          <w:i/>
          <w:iCs/>
          <w:kern w:val="0"/>
          <w:lang w:val="en-US"/>
          <w14:ligatures w14:val="none"/>
        </w:rPr>
        <w:t>International Journal of Molecular Sciences, 24</w:t>
      </w:r>
      <w:r w:rsidRPr="000A47A5">
        <w:rPr>
          <w:rFonts w:ascii="Times New Roman" w:eastAsia="Times New Roman" w:hAnsi="Times New Roman" w:cs="Times New Roman"/>
          <w:kern w:val="0"/>
          <w:lang w:val="en-US"/>
          <w14:ligatures w14:val="none"/>
        </w:rPr>
        <w:t xml:space="preserve">(3), Article 2448. </w:t>
      </w:r>
      <w:hyperlink r:id="rId51" w:history="1">
        <w:r w:rsidRPr="000A47A5">
          <w:rPr>
            <w:rFonts w:ascii="Times New Roman" w:eastAsia="Times New Roman" w:hAnsi="Times New Roman" w:cs="Times New Roman"/>
            <w:color w:val="0000FF"/>
            <w:kern w:val="0"/>
            <w:u w:val="single"/>
            <w:lang w:val="en-US"/>
            <w14:ligatures w14:val="none"/>
          </w:rPr>
          <w:t>https://doi.org/10.3390/ijms24032448</w:t>
        </w:r>
      </w:hyperlink>
    </w:p>
    <w:p w14:paraId="5BE637BD"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Pilipus</w:t>
      </w:r>
      <w:proofErr w:type="spellEnd"/>
      <w:r w:rsidRPr="000A47A5">
        <w:rPr>
          <w:rFonts w:ascii="Times New Roman" w:eastAsia="Times New Roman" w:hAnsi="Times New Roman" w:cs="Times New Roman"/>
          <w:kern w:val="0"/>
          <w:lang w:val="en-US"/>
          <w14:ligatures w14:val="none"/>
        </w:rPr>
        <w:t xml:space="preserve">, P., </w:t>
      </w:r>
      <w:proofErr w:type="spellStart"/>
      <w:r w:rsidRPr="000A47A5">
        <w:rPr>
          <w:rFonts w:ascii="Times New Roman" w:eastAsia="Times New Roman" w:hAnsi="Times New Roman" w:cs="Times New Roman"/>
          <w:kern w:val="0"/>
          <w:lang w:val="en-US"/>
          <w14:ligatures w14:val="none"/>
        </w:rPr>
        <w:t>Apriyani</w:t>
      </w:r>
      <w:proofErr w:type="spellEnd"/>
      <w:r w:rsidRPr="000A47A5">
        <w:rPr>
          <w:rFonts w:ascii="Times New Roman" w:eastAsia="Times New Roman" w:hAnsi="Times New Roman" w:cs="Times New Roman"/>
          <w:kern w:val="0"/>
          <w:lang w:val="en-US"/>
          <w14:ligatures w14:val="none"/>
        </w:rPr>
        <w:t xml:space="preserve">, A., &amp; Sukra, I. P. (2026). Basic sanitation as a key determinant of diarrhea among under-five children. </w:t>
      </w:r>
      <w:proofErr w:type="spellStart"/>
      <w:r w:rsidRPr="000A47A5">
        <w:rPr>
          <w:rFonts w:ascii="Times New Roman" w:eastAsia="Times New Roman" w:hAnsi="Times New Roman" w:cs="Times New Roman"/>
          <w:i/>
          <w:iCs/>
          <w:kern w:val="0"/>
          <w:lang w:val="en-US"/>
          <w14:ligatures w14:val="none"/>
        </w:rPr>
        <w:t>Jurnal</w:t>
      </w:r>
      <w:proofErr w:type="spellEnd"/>
      <w:r w:rsidRPr="000A47A5">
        <w:rPr>
          <w:rFonts w:ascii="Times New Roman" w:eastAsia="Times New Roman" w:hAnsi="Times New Roman" w:cs="Times New Roman"/>
          <w:i/>
          <w:iCs/>
          <w:kern w:val="0"/>
          <w:lang w:val="en-US"/>
          <w14:ligatures w14:val="none"/>
        </w:rPr>
        <w:t xml:space="preserve"> </w:t>
      </w:r>
      <w:proofErr w:type="spellStart"/>
      <w:r w:rsidRPr="000A47A5">
        <w:rPr>
          <w:rFonts w:ascii="Times New Roman" w:eastAsia="Times New Roman" w:hAnsi="Times New Roman" w:cs="Times New Roman"/>
          <w:i/>
          <w:iCs/>
          <w:kern w:val="0"/>
          <w:lang w:val="en-US"/>
          <w14:ligatures w14:val="none"/>
        </w:rPr>
        <w:t>Penelitian</w:t>
      </w:r>
      <w:proofErr w:type="spellEnd"/>
      <w:r w:rsidRPr="000A47A5">
        <w:rPr>
          <w:rFonts w:ascii="Times New Roman" w:eastAsia="Times New Roman" w:hAnsi="Times New Roman" w:cs="Times New Roman"/>
          <w:i/>
          <w:iCs/>
          <w:kern w:val="0"/>
          <w:lang w:val="en-US"/>
          <w14:ligatures w14:val="none"/>
        </w:rPr>
        <w:t xml:space="preserve"> Kesehatan “SUARA FORIKES” (Journal of Health Research “</w:t>
      </w:r>
      <w:proofErr w:type="spellStart"/>
      <w:r w:rsidRPr="000A47A5">
        <w:rPr>
          <w:rFonts w:ascii="Times New Roman" w:eastAsia="Times New Roman" w:hAnsi="Times New Roman" w:cs="Times New Roman"/>
          <w:i/>
          <w:iCs/>
          <w:kern w:val="0"/>
          <w:lang w:val="en-US"/>
          <w14:ligatures w14:val="none"/>
        </w:rPr>
        <w:t>Forikes</w:t>
      </w:r>
      <w:proofErr w:type="spellEnd"/>
      <w:r w:rsidRPr="000A47A5">
        <w:rPr>
          <w:rFonts w:ascii="Times New Roman" w:eastAsia="Times New Roman" w:hAnsi="Times New Roman" w:cs="Times New Roman"/>
          <w:i/>
          <w:iCs/>
          <w:kern w:val="0"/>
          <w:lang w:val="en-US"/>
          <w14:ligatures w14:val="none"/>
        </w:rPr>
        <w:t xml:space="preserve"> Voice”), 17</w:t>
      </w:r>
      <w:r w:rsidRPr="000A47A5">
        <w:rPr>
          <w:rFonts w:ascii="Times New Roman" w:eastAsia="Times New Roman" w:hAnsi="Times New Roman" w:cs="Times New Roman"/>
          <w:kern w:val="0"/>
          <w:lang w:val="en-US"/>
          <w14:ligatures w14:val="none"/>
        </w:rPr>
        <w:t xml:space="preserve">(5), 482–485. </w:t>
      </w:r>
      <w:hyperlink r:id="rId52" w:history="1">
        <w:r w:rsidRPr="000A47A5">
          <w:rPr>
            <w:rFonts w:ascii="Times New Roman" w:eastAsia="Times New Roman" w:hAnsi="Times New Roman" w:cs="Times New Roman"/>
            <w:color w:val="0000FF"/>
            <w:kern w:val="0"/>
            <w:u w:val="single"/>
            <w:lang w:val="en-US"/>
            <w14:ligatures w14:val="none"/>
          </w:rPr>
          <w:t>https://doi.org/10.33846/sf170514</w:t>
        </w:r>
      </w:hyperlink>
    </w:p>
    <w:p w14:paraId="29F52C72"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Piner, A., &amp; Spangler, R. (2023). Disorders of potassium. </w:t>
      </w:r>
      <w:r w:rsidRPr="000A47A5">
        <w:rPr>
          <w:rFonts w:ascii="Times New Roman" w:eastAsia="Times New Roman" w:hAnsi="Times New Roman" w:cs="Times New Roman"/>
          <w:i/>
          <w:iCs/>
          <w:kern w:val="0"/>
          <w:lang w:val="en-US"/>
          <w14:ligatures w14:val="none"/>
        </w:rPr>
        <w:t>Emergency Medicine Clinics of North America, 41</w:t>
      </w:r>
      <w:r w:rsidRPr="000A47A5">
        <w:rPr>
          <w:rFonts w:ascii="Times New Roman" w:eastAsia="Times New Roman" w:hAnsi="Times New Roman" w:cs="Times New Roman"/>
          <w:kern w:val="0"/>
          <w:lang w:val="en-US"/>
          <w14:ligatures w14:val="none"/>
        </w:rPr>
        <w:t xml:space="preserve">(4), 711–728. </w:t>
      </w:r>
      <w:hyperlink r:id="rId53" w:history="1">
        <w:r w:rsidRPr="000A47A5">
          <w:rPr>
            <w:rFonts w:ascii="Times New Roman" w:eastAsia="Times New Roman" w:hAnsi="Times New Roman" w:cs="Times New Roman"/>
            <w:color w:val="0000FF"/>
            <w:kern w:val="0"/>
            <w:u w:val="single"/>
            <w:lang w:val="en-US"/>
            <w14:ligatures w14:val="none"/>
          </w:rPr>
          <w:t>https://doi.org/10.1016/j.emc.2023.07.005</w:t>
        </w:r>
      </w:hyperlink>
    </w:p>
    <w:p w14:paraId="3DB6E2A3"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Popoff, M. R. (2024). Overview of bacterial protein toxins from pathogenic bacteria: Mode of action and insights into evolution. </w:t>
      </w:r>
      <w:r w:rsidRPr="000A47A5">
        <w:rPr>
          <w:rFonts w:ascii="Times New Roman" w:eastAsia="Times New Roman" w:hAnsi="Times New Roman" w:cs="Times New Roman"/>
          <w:i/>
          <w:iCs/>
          <w:kern w:val="0"/>
          <w:lang w:val="en-US"/>
          <w14:ligatures w14:val="none"/>
        </w:rPr>
        <w:t>Toxins, 16</w:t>
      </w:r>
      <w:r w:rsidRPr="000A47A5">
        <w:rPr>
          <w:rFonts w:ascii="Times New Roman" w:eastAsia="Times New Roman" w:hAnsi="Times New Roman" w:cs="Times New Roman"/>
          <w:kern w:val="0"/>
          <w:lang w:val="en-US"/>
          <w14:ligatures w14:val="none"/>
        </w:rPr>
        <w:t xml:space="preserve">(4), Article 182. </w:t>
      </w:r>
      <w:hyperlink r:id="rId54" w:history="1">
        <w:r w:rsidRPr="000A47A5">
          <w:rPr>
            <w:rFonts w:ascii="Times New Roman" w:eastAsia="Times New Roman" w:hAnsi="Times New Roman" w:cs="Times New Roman"/>
            <w:color w:val="0000FF"/>
            <w:kern w:val="0"/>
            <w:u w:val="single"/>
            <w:lang w:val="en-US"/>
            <w14:ligatures w14:val="none"/>
          </w:rPr>
          <w:t>https://doi.org/10.3390/toxins16040182</w:t>
        </w:r>
      </w:hyperlink>
    </w:p>
    <w:p w14:paraId="2C215D29"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Rogers, A. P., Mileto, S. J., &amp; Lyras, D. (2023). Impact of enteric bacterial infections at and beyond the epithelial barrier. </w:t>
      </w:r>
      <w:r w:rsidRPr="000A47A5">
        <w:rPr>
          <w:rFonts w:ascii="Times New Roman" w:eastAsia="Times New Roman" w:hAnsi="Times New Roman" w:cs="Times New Roman"/>
          <w:i/>
          <w:iCs/>
          <w:kern w:val="0"/>
          <w:lang w:val="en-US"/>
          <w14:ligatures w14:val="none"/>
        </w:rPr>
        <w:t>Nature Reviews Microbiology, 21</w:t>
      </w:r>
      <w:r w:rsidRPr="000A47A5">
        <w:rPr>
          <w:rFonts w:ascii="Times New Roman" w:eastAsia="Times New Roman" w:hAnsi="Times New Roman" w:cs="Times New Roman"/>
          <w:kern w:val="0"/>
          <w:lang w:val="en-US"/>
          <w14:ligatures w14:val="none"/>
        </w:rPr>
        <w:t xml:space="preserve">(4), 260–274. </w:t>
      </w:r>
      <w:hyperlink r:id="rId55" w:history="1">
        <w:r w:rsidRPr="000A47A5">
          <w:rPr>
            <w:rFonts w:ascii="Times New Roman" w:eastAsia="Times New Roman" w:hAnsi="Times New Roman" w:cs="Times New Roman"/>
            <w:color w:val="0000FF"/>
            <w:kern w:val="0"/>
            <w:u w:val="single"/>
            <w:lang w:val="en-US"/>
            <w14:ligatures w14:val="none"/>
          </w:rPr>
          <w:t>https://doi.org/10.1038/s41579-022-00794-x</w:t>
        </w:r>
      </w:hyperlink>
    </w:p>
    <w:p w14:paraId="16FFAE7C"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Rosay, T., Jimenez, A. G., &amp; Sperandio, V. (2024). Glucuronic acid confers colonization advantage to enteric pathogens. </w:t>
      </w:r>
      <w:r w:rsidRPr="000A47A5">
        <w:rPr>
          <w:rFonts w:ascii="Times New Roman" w:eastAsia="Times New Roman" w:hAnsi="Times New Roman" w:cs="Times New Roman"/>
          <w:i/>
          <w:iCs/>
          <w:kern w:val="0"/>
          <w:lang w:val="en-US"/>
          <w14:ligatures w14:val="none"/>
        </w:rPr>
        <w:t>Proceedings of the National Academy of Sciences of the United States of America, 121</w:t>
      </w:r>
      <w:r w:rsidRPr="000A47A5">
        <w:rPr>
          <w:rFonts w:ascii="Times New Roman" w:eastAsia="Times New Roman" w:hAnsi="Times New Roman" w:cs="Times New Roman"/>
          <w:kern w:val="0"/>
          <w:lang w:val="en-US"/>
          <w14:ligatures w14:val="none"/>
        </w:rPr>
        <w:t xml:space="preserve">(13), Article e2400226121. </w:t>
      </w:r>
      <w:hyperlink r:id="rId56" w:history="1">
        <w:r w:rsidRPr="000A47A5">
          <w:rPr>
            <w:rFonts w:ascii="Times New Roman" w:eastAsia="Times New Roman" w:hAnsi="Times New Roman" w:cs="Times New Roman"/>
            <w:color w:val="0000FF"/>
            <w:kern w:val="0"/>
            <w:u w:val="single"/>
            <w:lang w:val="en-US"/>
            <w14:ligatures w14:val="none"/>
          </w:rPr>
          <w:t>https://doi.org/10.1073/pnas.2400226121</w:t>
        </w:r>
      </w:hyperlink>
    </w:p>
    <w:p w14:paraId="69D5948D"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Sayeed, M. A., Colquhoun, S., </w:t>
      </w:r>
      <w:proofErr w:type="spellStart"/>
      <w:r w:rsidRPr="000A47A5">
        <w:rPr>
          <w:rFonts w:ascii="Times New Roman" w:eastAsia="Times New Roman" w:hAnsi="Times New Roman" w:cs="Times New Roman"/>
          <w:kern w:val="0"/>
          <w:lang w:val="en-US"/>
          <w14:ligatures w14:val="none"/>
        </w:rPr>
        <w:t>Thottunkal</w:t>
      </w:r>
      <w:proofErr w:type="spellEnd"/>
      <w:r w:rsidRPr="000A47A5">
        <w:rPr>
          <w:rFonts w:ascii="Times New Roman" w:eastAsia="Times New Roman" w:hAnsi="Times New Roman" w:cs="Times New Roman"/>
          <w:kern w:val="0"/>
          <w:lang w:val="en-US"/>
          <w14:ligatures w14:val="none"/>
        </w:rPr>
        <w:t xml:space="preserve">, S., McLure, A., Richardson, A., Lal, A., &amp; Rahaman, M. R. (2025). Childhood </w:t>
      </w:r>
      <w:proofErr w:type="spellStart"/>
      <w:r w:rsidRPr="000A47A5">
        <w:rPr>
          <w:rFonts w:ascii="Times New Roman" w:eastAsia="Times New Roman" w:hAnsi="Times New Roman" w:cs="Times New Roman"/>
          <w:kern w:val="0"/>
          <w:lang w:val="en-US"/>
          <w14:ligatures w14:val="none"/>
        </w:rPr>
        <w:t>diarrhoea</w:t>
      </w:r>
      <w:proofErr w:type="spellEnd"/>
      <w:r w:rsidRPr="000A47A5">
        <w:rPr>
          <w:rFonts w:ascii="Times New Roman" w:eastAsia="Times New Roman" w:hAnsi="Times New Roman" w:cs="Times New Roman"/>
          <w:kern w:val="0"/>
          <w:lang w:val="en-US"/>
          <w14:ligatures w14:val="none"/>
        </w:rPr>
        <w:t xml:space="preserve"> attributed to enteropathogenic bacteria in low- and middle-income countries: A systematic review and meta-analysis. </w:t>
      </w:r>
      <w:r w:rsidRPr="000A47A5">
        <w:rPr>
          <w:rFonts w:ascii="Times New Roman" w:eastAsia="Times New Roman" w:hAnsi="Times New Roman" w:cs="Times New Roman"/>
          <w:i/>
          <w:iCs/>
          <w:kern w:val="0"/>
          <w:lang w:val="en-US"/>
          <w14:ligatures w14:val="none"/>
        </w:rPr>
        <w:t>Journal of Global Health, 15</w:t>
      </w:r>
      <w:r w:rsidRPr="000A47A5">
        <w:rPr>
          <w:rFonts w:ascii="Times New Roman" w:eastAsia="Times New Roman" w:hAnsi="Times New Roman" w:cs="Times New Roman"/>
          <w:kern w:val="0"/>
          <w:lang w:val="en-US"/>
          <w14:ligatures w14:val="none"/>
        </w:rPr>
        <w:t xml:space="preserve">, Article 04350. </w:t>
      </w:r>
      <w:hyperlink r:id="rId57" w:history="1">
        <w:r w:rsidRPr="000A47A5">
          <w:rPr>
            <w:rFonts w:ascii="Times New Roman" w:eastAsia="Times New Roman" w:hAnsi="Times New Roman" w:cs="Times New Roman"/>
            <w:color w:val="0000FF"/>
            <w:kern w:val="0"/>
            <w:u w:val="single"/>
            <w:lang w:val="en-US"/>
            <w14:ligatures w14:val="none"/>
          </w:rPr>
          <w:t>https://doi.org/10.7189/jogh.15.04350</w:t>
        </w:r>
      </w:hyperlink>
    </w:p>
    <w:p w14:paraId="41B0C654"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Schnupf</w:t>
      </w:r>
      <w:proofErr w:type="spellEnd"/>
      <w:r w:rsidRPr="000A47A5">
        <w:rPr>
          <w:rFonts w:ascii="Times New Roman" w:eastAsia="Times New Roman" w:hAnsi="Times New Roman" w:cs="Times New Roman"/>
          <w:kern w:val="0"/>
          <w:lang w:val="en-US"/>
          <w14:ligatures w14:val="none"/>
        </w:rPr>
        <w:t xml:space="preserve">, P., &amp; Sansonetti, P. J. (2019). </w:t>
      </w:r>
      <w:r w:rsidRPr="000A47A5">
        <w:rPr>
          <w:rFonts w:ascii="Times New Roman" w:eastAsia="Times New Roman" w:hAnsi="Times New Roman" w:cs="Times New Roman"/>
          <w:i/>
          <w:iCs/>
          <w:kern w:val="0"/>
          <w:lang w:val="en-US"/>
          <w14:ligatures w14:val="none"/>
        </w:rPr>
        <w:t>Shigella</w:t>
      </w:r>
      <w:r w:rsidRPr="000A47A5">
        <w:rPr>
          <w:rFonts w:ascii="Times New Roman" w:eastAsia="Times New Roman" w:hAnsi="Times New Roman" w:cs="Times New Roman"/>
          <w:kern w:val="0"/>
          <w:lang w:val="en-US"/>
          <w14:ligatures w14:val="none"/>
        </w:rPr>
        <w:t xml:space="preserve"> pathogenesis: New insights through advanced methodologies. </w:t>
      </w:r>
      <w:r w:rsidRPr="000A47A5">
        <w:rPr>
          <w:rFonts w:ascii="Times New Roman" w:eastAsia="Times New Roman" w:hAnsi="Times New Roman" w:cs="Times New Roman"/>
          <w:i/>
          <w:iCs/>
          <w:kern w:val="0"/>
          <w:lang w:val="en-US"/>
          <w14:ligatures w14:val="none"/>
        </w:rPr>
        <w:t>Microbiology Spectrum, 7</w:t>
      </w:r>
      <w:r w:rsidRPr="000A47A5">
        <w:rPr>
          <w:rFonts w:ascii="Times New Roman" w:eastAsia="Times New Roman" w:hAnsi="Times New Roman" w:cs="Times New Roman"/>
          <w:kern w:val="0"/>
          <w:lang w:val="en-US"/>
          <w14:ligatures w14:val="none"/>
        </w:rPr>
        <w:t xml:space="preserve">(2), Article BAI-0023-2019. </w:t>
      </w:r>
      <w:hyperlink r:id="rId58" w:history="1">
        <w:r w:rsidRPr="000A47A5">
          <w:rPr>
            <w:rFonts w:ascii="Times New Roman" w:eastAsia="Times New Roman" w:hAnsi="Times New Roman" w:cs="Times New Roman"/>
            <w:color w:val="0000FF"/>
            <w:kern w:val="0"/>
            <w:u w:val="single"/>
            <w:lang w:val="en-US"/>
            <w14:ligatures w14:val="none"/>
          </w:rPr>
          <w:t>https://doi.org/10.1128/microbiolspec.BAI-0023-2019</w:t>
        </w:r>
      </w:hyperlink>
    </w:p>
    <w:p w14:paraId="35B56DF1"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Shah, S. J. H., Ali, I., Tanvir, A., Shahzad, Q. U. Z., Ibrahim, &amp; Chaudhry, A. R. (2022). Analyzing the prevalence of serum electrolyte disturbance in children with acute diarrhea and dehydration. </w:t>
      </w:r>
      <w:r w:rsidRPr="000A47A5">
        <w:rPr>
          <w:rFonts w:ascii="Times New Roman" w:eastAsia="Times New Roman" w:hAnsi="Times New Roman" w:cs="Times New Roman"/>
          <w:i/>
          <w:iCs/>
          <w:kern w:val="0"/>
          <w:lang w:val="en-US"/>
          <w14:ligatures w14:val="none"/>
        </w:rPr>
        <w:t>Pakistan Journal of Medical &amp; Health Sciences, 16</w:t>
      </w:r>
      <w:r w:rsidRPr="000A47A5">
        <w:rPr>
          <w:rFonts w:ascii="Times New Roman" w:eastAsia="Times New Roman" w:hAnsi="Times New Roman" w:cs="Times New Roman"/>
          <w:kern w:val="0"/>
          <w:lang w:val="en-US"/>
          <w14:ligatures w14:val="none"/>
        </w:rPr>
        <w:t xml:space="preserve">(10), 828–830. </w:t>
      </w:r>
      <w:hyperlink r:id="rId59" w:history="1">
        <w:r w:rsidRPr="000A47A5">
          <w:rPr>
            <w:rFonts w:ascii="Times New Roman" w:eastAsia="Times New Roman" w:hAnsi="Times New Roman" w:cs="Times New Roman"/>
            <w:color w:val="0000FF"/>
            <w:kern w:val="0"/>
            <w:u w:val="single"/>
            <w:lang w:val="en-US"/>
            <w14:ligatures w14:val="none"/>
          </w:rPr>
          <w:t>https://doi.org/10.53350/pjmhs221610828</w:t>
        </w:r>
      </w:hyperlink>
    </w:p>
    <w:p w14:paraId="0C477FD6"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Singh, G., Tucker, E. W., &amp; </w:t>
      </w:r>
      <w:proofErr w:type="spellStart"/>
      <w:r w:rsidRPr="000A47A5">
        <w:rPr>
          <w:rFonts w:ascii="Times New Roman" w:eastAsia="Times New Roman" w:hAnsi="Times New Roman" w:cs="Times New Roman"/>
          <w:kern w:val="0"/>
          <w:lang w:val="en-US"/>
          <w14:ligatures w14:val="none"/>
        </w:rPr>
        <w:t>Rohlwink</w:t>
      </w:r>
      <w:proofErr w:type="spellEnd"/>
      <w:r w:rsidRPr="000A47A5">
        <w:rPr>
          <w:rFonts w:ascii="Times New Roman" w:eastAsia="Times New Roman" w:hAnsi="Times New Roman" w:cs="Times New Roman"/>
          <w:kern w:val="0"/>
          <w:lang w:val="en-US"/>
          <w14:ligatures w14:val="none"/>
        </w:rPr>
        <w:t xml:space="preserve">, U. K. (2022). Infection in the developing brain: The role of unique systemic immune vulnerabilities. </w:t>
      </w:r>
      <w:r w:rsidRPr="000A47A5">
        <w:rPr>
          <w:rFonts w:ascii="Times New Roman" w:eastAsia="Times New Roman" w:hAnsi="Times New Roman" w:cs="Times New Roman"/>
          <w:i/>
          <w:iCs/>
          <w:kern w:val="0"/>
          <w:lang w:val="en-US"/>
          <w14:ligatures w14:val="none"/>
        </w:rPr>
        <w:t>Frontiers in Neurology, 12</w:t>
      </w:r>
      <w:r w:rsidRPr="000A47A5">
        <w:rPr>
          <w:rFonts w:ascii="Times New Roman" w:eastAsia="Times New Roman" w:hAnsi="Times New Roman" w:cs="Times New Roman"/>
          <w:kern w:val="0"/>
          <w:lang w:val="en-US"/>
          <w14:ligatures w14:val="none"/>
        </w:rPr>
        <w:t xml:space="preserve">, Article 805643. </w:t>
      </w:r>
      <w:hyperlink r:id="rId60" w:history="1">
        <w:r w:rsidRPr="000A47A5">
          <w:rPr>
            <w:rFonts w:ascii="Times New Roman" w:eastAsia="Times New Roman" w:hAnsi="Times New Roman" w:cs="Times New Roman"/>
            <w:color w:val="0000FF"/>
            <w:kern w:val="0"/>
            <w:u w:val="single"/>
            <w:lang w:val="en-US"/>
            <w14:ligatures w14:val="none"/>
          </w:rPr>
          <w:t>https://doi.org/10.3389/fneur.2021.805643</w:t>
        </w:r>
      </w:hyperlink>
    </w:p>
    <w:p w14:paraId="2DFFDA95"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lastRenderedPageBreak/>
        <w:t xml:space="preserve">Suleiman, K. O., Kolo, I., Mohammed, S. S. D., &amp; Magaji, Y. G. (2022). Bacterial diarrhea among infants in developing countries: An overview of diarrheagenic </w:t>
      </w:r>
      <w:r w:rsidRPr="000A47A5">
        <w:rPr>
          <w:rFonts w:ascii="Times New Roman" w:eastAsia="Times New Roman" w:hAnsi="Times New Roman" w:cs="Times New Roman"/>
          <w:i/>
          <w:iCs/>
          <w:kern w:val="0"/>
          <w:lang w:val="en-US"/>
          <w14:ligatures w14:val="none"/>
        </w:rPr>
        <w:t>Escherichia coli</w:t>
      </w:r>
      <w:r w:rsidRPr="000A47A5">
        <w:rPr>
          <w:rFonts w:ascii="Times New Roman" w:eastAsia="Times New Roman" w:hAnsi="Times New Roman" w:cs="Times New Roman"/>
          <w:kern w:val="0"/>
          <w:lang w:val="en-US"/>
          <w14:ligatures w14:val="none"/>
        </w:rPr>
        <w:t xml:space="preserve"> (DEC). </w:t>
      </w:r>
      <w:r w:rsidRPr="000A47A5">
        <w:rPr>
          <w:rFonts w:ascii="Times New Roman" w:eastAsia="Times New Roman" w:hAnsi="Times New Roman" w:cs="Times New Roman"/>
          <w:i/>
          <w:iCs/>
          <w:kern w:val="0"/>
          <w:lang w:val="en-US"/>
          <w14:ligatures w14:val="none"/>
        </w:rPr>
        <w:t>Gadau Journal of Pure and Allied Sciences, 1</w:t>
      </w:r>
      <w:r w:rsidRPr="000A47A5">
        <w:rPr>
          <w:rFonts w:ascii="Times New Roman" w:eastAsia="Times New Roman" w:hAnsi="Times New Roman" w:cs="Times New Roman"/>
          <w:kern w:val="0"/>
          <w:lang w:val="en-US"/>
          <w14:ligatures w14:val="none"/>
        </w:rPr>
        <w:t xml:space="preserve">(1), 73–81. </w:t>
      </w:r>
      <w:hyperlink r:id="rId61" w:history="1">
        <w:r w:rsidRPr="000A47A5">
          <w:rPr>
            <w:rFonts w:ascii="Times New Roman" w:eastAsia="Times New Roman" w:hAnsi="Times New Roman" w:cs="Times New Roman"/>
            <w:color w:val="0000FF"/>
            <w:kern w:val="0"/>
            <w:u w:val="single"/>
            <w:lang w:val="en-US"/>
            <w14:ligatures w14:val="none"/>
          </w:rPr>
          <w:t>https://doi.org/10.54117/gjpas.v1i1.10</w:t>
        </w:r>
      </w:hyperlink>
    </w:p>
    <w:p w14:paraId="4B71558D"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Tariah, S. S., </w:t>
      </w:r>
      <w:proofErr w:type="spellStart"/>
      <w:r w:rsidRPr="000A47A5">
        <w:rPr>
          <w:rFonts w:ascii="Times New Roman" w:eastAsia="Times New Roman" w:hAnsi="Times New Roman" w:cs="Times New Roman"/>
          <w:kern w:val="0"/>
          <w:lang w:val="en-US"/>
          <w14:ligatures w14:val="none"/>
        </w:rPr>
        <w:t>Aleruchi</w:t>
      </w:r>
      <w:proofErr w:type="spellEnd"/>
      <w:r w:rsidRPr="000A47A5">
        <w:rPr>
          <w:rFonts w:ascii="Times New Roman" w:eastAsia="Times New Roman" w:hAnsi="Times New Roman" w:cs="Times New Roman"/>
          <w:kern w:val="0"/>
          <w:lang w:val="en-US"/>
          <w14:ligatures w14:val="none"/>
        </w:rPr>
        <w:t xml:space="preserve">, O., &amp; </w:t>
      </w:r>
      <w:proofErr w:type="spellStart"/>
      <w:r w:rsidRPr="000A47A5">
        <w:rPr>
          <w:rFonts w:ascii="Times New Roman" w:eastAsia="Times New Roman" w:hAnsi="Times New Roman" w:cs="Times New Roman"/>
          <w:kern w:val="0"/>
          <w:lang w:val="en-US"/>
          <w14:ligatures w14:val="none"/>
        </w:rPr>
        <w:t>Wegbom</w:t>
      </w:r>
      <w:proofErr w:type="spellEnd"/>
      <w:r w:rsidRPr="000A47A5">
        <w:rPr>
          <w:rFonts w:ascii="Times New Roman" w:eastAsia="Times New Roman" w:hAnsi="Times New Roman" w:cs="Times New Roman"/>
          <w:kern w:val="0"/>
          <w:lang w:val="en-US"/>
          <w14:ligatures w14:val="none"/>
        </w:rPr>
        <w:t xml:space="preserve">, A. I. (2025). Burden of childhood diarrhea and knowledge of management strategies among caregivers in rural and urban areas of Rivers State, Nigeria. </w:t>
      </w:r>
      <w:r w:rsidRPr="000A47A5">
        <w:rPr>
          <w:rFonts w:ascii="Times New Roman" w:eastAsia="Times New Roman" w:hAnsi="Times New Roman" w:cs="Times New Roman"/>
          <w:i/>
          <w:iCs/>
          <w:kern w:val="0"/>
          <w:lang w:val="en-US"/>
          <w14:ligatures w14:val="none"/>
        </w:rPr>
        <w:t>World Journal of Public Health, 10</w:t>
      </w:r>
      <w:r w:rsidRPr="000A47A5">
        <w:rPr>
          <w:rFonts w:ascii="Times New Roman" w:eastAsia="Times New Roman" w:hAnsi="Times New Roman" w:cs="Times New Roman"/>
          <w:kern w:val="0"/>
          <w:lang w:val="en-US"/>
          <w14:ligatures w14:val="none"/>
        </w:rPr>
        <w:t xml:space="preserve">(4), 497–511. </w:t>
      </w:r>
      <w:hyperlink r:id="rId62" w:history="1">
        <w:r w:rsidRPr="000A47A5">
          <w:rPr>
            <w:rFonts w:ascii="Times New Roman" w:eastAsia="Times New Roman" w:hAnsi="Times New Roman" w:cs="Times New Roman"/>
            <w:color w:val="0000FF"/>
            <w:kern w:val="0"/>
            <w:u w:val="single"/>
            <w:lang w:val="en-US"/>
            <w14:ligatures w14:val="none"/>
          </w:rPr>
          <w:t>https://doi.org/10.11648/j.wjph.20251004.17</w:t>
        </w:r>
      </w:hyperlink>
    </w:p>
    <w:p w14:paraId="55EBF0BE"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Tasie</w:t>
      </w:r>
      <w:proofErr w:type="spellEnd"/>
      <w:r w:rsidRPr="000A47A5">
        <w:rPr>
          <w:rFonts w:ascii="Times New Roman" w:eastAsia="Times New Roman" w:hAnsi="Times New Roman" w:cs="Times New Roman"/>
          <w:kern w:val="0"/>
          <w:lang w:val="en-US"/>
          <w14:ligatures w14:val="none"/>
        </w:rPr>
        <w:t xml:space="preserve">, C. M., &amp; Wilcox, G. I. (2018). An appraisal of artisanal fishery enterprises in Andoni Local Government Area of Rivers State, Nigeria. </w:t>
      </w:r>
      <w:r w:rsidRPr="000A47A5">
        <w:rPr>
          <w:rFonts w:ascii="Times New Roman" w:eastAsia="Times New Roman" w:hAnsi="Times New Roman" w:cs="Times New Roman"/>
          <w:i/>
          <w:iCs/>
          <w:kern w:val="0"/>
          <w:lang w:val="en-US"/>
          <w14:ligatures w14:val="none"/>
        </w:rPr>
        <w:t>Greener Journal of Agricultural Sciences, 8</w:t>
      </w:r>
      <w:r w:rsidRPr="000A47A5">
        <w:rPr>
          <w:rFonts w:ascii="Times New Roman" w:eastAsia="Times New Roman" w:hAnsi="Times New Roman" w:cs="Times New Roman"/>
          <w:kern w:val="0"/>
          <w:lang w:val="en-US"/>
          <w14:ligatures w14:val="none"/>
        </w:rPr>
        <w:t xml:space="preserve">(10), 257–265. </w:t>
      </w:r>
      <w:hyperlink r:id="rId63" w:history="1">
        <w:r w:rsidRPr="000A47A5">
          <w:rPr>
            <w:rFonts w:ascii="Times New Roman" w:eastAsia="Times New Roman" w:hAnsi="Times New Roman" w:cs="Times New Roman"/>
            <w:color w:val="0000FF"/>
            <w:kern w:val="0"/>
            <w:u w:val="single"/>
            <w:lang w:val="en-US"/>
            <w14:ligatures w14:val="none"/>
          </w:rPr>
          <w:t>https://doi.org/10.15580/GJAS.2018.10.082118119</w:t>
        </w:r>
      </w:hyperlink>
    </w:p>
    <w:p w14:paraId="577F7FCA"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Ugboko</w:t>
      </w:r>
      <w:proofErr w:type="spellEnd"/>
      <w:r w:rsidRPr="000A47A5">
        <w:rPr>
          <w:rFonts w:ascii="Times New Roman" w:eastAsia="Times New Roman" w:hAnsi="Times New Roman" w:cs="Times New Roman"/>
          <w:kern w:val="0"/>
          <w:lang w:val="en-US"/>
          <w14:ligatures w14:val="none"/>
        </w:rPr>
        <w:t xml:space="preserve">, H. U., </w:t>
      </w:r>
      <w:proofErr w:type="spellStart"/>
      <w:r w:rsidRPr="000A47A5">
        <w:rPr>
          <w:rFonts w:ascii="Times New Roman" w:eastAsia="Times New Roman" w:hAnsi="Times New Roman" w:cs="Times New Roman"/>
          <w:kern w:val="0"/>
          <w:lang w:val="en-US"/>
          <w14:ligatures w14:val="none"/>
        </w:rPr>
        <w:t>Nwinyi</w:t>
      </w:r>
      <w:proofErr w:type="spellEnd"/>
      <w:r w:rsidRPr="000A47A5">
        <w:rPr>
          <w:rFonts w:ascii="Times New Roman" w:eastAsia="Times New Roman" w:hAnsi="Times New Roman" w:cs="Times New Roman"/>
          <w:kern w:val="0"/>
          <w:lang w:val="en-US"/>
          <w14:ligatures w14:val="none"/>
        </w:rPr>
        <w:t xml:space="preserve">, O. C., </w:t>
      </w:r>
      <w:proofErr w:type="spellStart"/>
      <w:r w:rsidRPr="000A47A5">
        <w:rPr>
          <w:rFonts w:ascii="Times New Roman" w:eastAsia="Times New Roman" w:hAnsi="Times New Roman" w:cs="Times New Roman"/>
          <w:kern w:val="0"/>
          <w:lang w:val="en-US"/>
          <w14:ligatures w14:val="none"/>
        </w:rPr>
        <w:t>Oranusi</w:t>
      </w:r>
      <w:proofErr w:type="spellEnd"/>
      <w:r w:rsidRPr="000A47A5">
        <w:rPr>
          <w:rFonts w:ascii="Times New Roman" w:eastAsia="Times New Roman" w:hAnsi="Times New Roman" w:cs="Times New Roman"/>
          <w:kern w:val="0"/>
          <w:lang w:val="en-US"/>
          <w14:ligatures w14:val="none"/>
        </w:rPr>
        <w:t xml:space="preserve">, S. U., &amp; </w:t>
      </w:r>
      <w:proofErr w:type="spellStart"/>
      <w:r w:rsidRPr="000A47A5">
        <w:rPr>
          <w:rFonts w:ascii="Times New Roman" w:eastAsia="Times New Roman" w:hAnsi="Times New Roman" w:cs="Times New Roman"/>
          <w:kern w:val="0"/>
          <w:lang w:val="en-US"/>
          <w14:ligatures w14:val="none"/>
        </w:rPr>
        <w:t>Oyewale</w:t>
      </w:r>
      <w:proofErr w:type="spellEnd"/>
      <w:r w:rsidRPr="000A47A5">
        <w:rPr>
          <w:rFonts w:ascii="Times New Roman" w:eastAsia="Times New Roman" w:hAnsi="Times New Roman" w:cs="Times New Roman"/>
          <w:kern w:val="0"/>
          <w:lang w:val="en-US"/>
          <w14:ligatures w14:val="none"/>
        </w:rPr>
        <w:t xml:space="preserve">, J. O. (2020). Childhood </w:t>
      </w:r>
      <w:proofErr w:type="spellStart"/>
      <w:r w:rsidRPr="000A47A5">
        <w:rPr>
          <w:rFonts w:ascii="Times New Roman" w:eastAsia="Times New Roman" w:hAnsi="Times New Roman" w:cs="Times New Roman"/>
          <w:kern w:val="0"/>
          <w:lang w:val="en-US"/>
          <w14:ligatures w14:val="none"/>
        </w:rPr>
        <w:t>diarrhoeal</w:t>
      </w:r>
      <w:proofErr w:type="spellEnd"/>
      <w:r w:rsidRPr="000A47A5">
        <w:rPr>
          <w:rFonts w:ascii="Times New Roman" w:eastAsia="Times New Roman" w:hAnsi="Times New Roman" w:cs="Times New Roman"/>
          <w:kern w:val="0"/>
          <w:lang w:val="en-US"/>
          <w14:ligatures w14:val="none"/>
        </w:rPr>
        <w:t xml:space="preserve"> diseases in developing countries. </w:t>
      </w:r>
      <w:proofErr w:type="spellStart"/>
      <w:r w:rsidRPr="000A47A5">
        <w:rPr>
          <w:rFonts w:ascii="Times New Roman" w:eastAsia="Times New Roman" w:hAnsi="Times New Roman" w:cs="Times New Roman"/>
          <w:i/>
          <w:iCs/>
          <w:kern w:val="0"/>
          <w:lang w:val="en-US"/>
          <w14:ligatures w14:val="none"/>
        </w:rPr>
        <w:t>Heliyon</w:t>
      </w:r>
      <w:proofErr w:type="spellEnd"/>
      <w:r w:rsidRPr="000A47A5">
        <w:rPr>
          <w:rFonts w:ascii="Times New Roman" w:eastAsia="Times New Roman" w:hAnsi="Times New Roman" w:cs="Times New Roman"/>
          <w:i/>
          <w:iCs/>
          <w:kern w:val="0"/>
          <w:lang w:val="en-US"/>
          <w14:ligatures w14:val="none"/>
        </w:rPr>
        <w:t>, 6</w:t>
      </w:r>
      <w:r w:rsidRPr="000A47A5">
        <w:rPr>
          <w:rFonts w:ascii="Times New Roman" w:eastAsia="Times New Roman" w:hAnsi="Times New Roman" w:cs="Times New Roman"/>
          <w:kern w:val="0"/>
          <w:lang w:val="en-US"/>
          <w14:ligatures w14:val="none"/>
        </w:rPr>
        <w:t xml:space="preserve">(4), Article e03690. </w:t>
      </w:r>
      <w:hyperlink r:id="rId64" w:history="1">
        <w:r w:rsidRPr="000A47A5">
          <w:rPr>
            <w:rFonts w:ascii="Times New Roman" w:eastAsia="Times New Roman" w:hAnsi="Times New Roman" w:cs="Times New Roman"/>
            <w:color w:val="0000FF"/>
            <w:kern w:val="0"/>
            <w:u w:val="single"/>
            <w:lang w:val="en-US"/>
            <w14:ligatures w14:val="none"/>
          </w:rPr>
          <w:t>https://doi.org/10.1016/j.heliyon.2020.e03690</w:t>
        </w:r>
      </w:hyperlink>
    </w:p>
    <w:p w14:paraId="51564F42" w14:textId="0CA6EC1B"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UNICEF. (2025, November 1). </w:t>
      </w:r>
      <w:proofErr w:type="spellStart"/>
      <w:r w:rsidRPr="000A47A5">
        <w:rPr>
          <w:rFonts w:ascii="Times New Roman" w:eastAsia="Times New Roman" w:hAnsi="Times New Roman" w:cs="Times New Roman"/>
          <w:i/>
          <w:iCs/>
          <w:kern w:val="0"/>
          <w:lang w:val="en-US"/>
          <w14:ligatures w14:val="none"/>
        </w:rPr>
        <w:t>Diarrhoeal</w:t>
      </w:r>
      <w:proofErr w:type="spellEnd"/>
      <w:r w:rsidRPr="000A47A5">
        <w:rPr>
          <w:rFonts w:ascii="Times New Roman" w:eastAsia="Times New Roman" w:hAnsi="Times New Roman" w:cs="Times New Roman"/>
          <w:i/>
          <w:iCs/>
          <w:kern w:val="0"/>
          <w:lang w:val="en-US"/>
          <w14:ligatures w14:val="none"/>
        </w:rPr>
        <w:t xml:space="preserve"> disease</w:t>
      </w:r>
      <w:r w:rsidRPr="000A47A5">
        <w:rPr>
          <w:rFonts w:ascii="Times New Roman" w:eastAsia="Times New Roman" w:hAnsi="Times New Roman" w:cs="Times New Roman"/>
          <w:kern w:val="0"/>
          <w:lang w:val="en-US"/>
          <w14:ligatures w14:val="none"/>
        </w:rPr>
        <w:t xml:space="preserve">. UNICEF Data. </w:t>
      </w:r>
      <w:hyperlink r:id="rId65" w:history="1">
        <w:r w:rsidRPr="000A47A5">
          <w:rPr>
            <w:rFonts w:ascii="Times New Roman" w:eastAsia="Times New Roman" w:hAnsi="Times New Roman" w:cs="Times New Roman"/>
            <w:color w:val="0000FF"/>
            <w:kern w:val="0"/>
            <w:u w:val="single"/>
            <w:lang w:val="en-US"/>
            <w14:ligatures w14:val="none"/>
          </w:rPr>
          <w:t>https://data.unicef.org/topic/child-health/diarrhoeal-disease/</w:t>
        </w:r>
      </w:hyperlink>
      <w:r w:rsidRPr="000A47A5">
        <w:rPr>
          <w:rFonts w:ascii="Times New Roman" w:eastAsia="Times New Roman" w:hAnsi="Times New Roman" w:cs="Times New Roman"/>
          <w:kern w:val="0"/>
          <w:lang w:val="en-US"/>
          <w14:ligatures w14:val="none"/>
        </w:rPr>
        <w:br/>
      </w:r>
    </w:p>
    <w:p w14:paraId="772B7FE0"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proofErr w:type="spellStart"/>
      <w:r w:rsidRPr="000A47A5">
        <w:rPr>
          <w:rFonts w:ascii="Times New Roman" w:eastAsia="Times New Roman" w:hAnsi="Times New Roman" w:cs="Times New Roman"/>
          <w:kern w:val="0"/>
          <w:lang w:val="en-US"/>
          <w14:ligatures w14:val="none"/>
        </w:rPr>
        <w:t>Vancamelbeke</w:t>
      </w:r>
      <w:proofErr w:type="spellEnd"/>
      <w:r w:rsidRPr="000A47A5">
        <w:rPr>
          <w:rFonts w:ascii="Times New Roman" w:eastAsia="Times New Roman" w:hAnsi="Times New Roman" w:cs="Times New Roman"/>
          <w:kern w:val="0"/>
          <w:lang w:val="en-US"/>
          <w14:ligatures w14:val="none"/>
        </w:rPr>
        <w:t xml:space="preserve">, M., &amp; Vermeire, S. (2017). The intestinal barrier: A fundamental role in health and disease. </w:t>
      </w:r>
      <w:r w:rsidRPr="000A47A5">
        <w:rPr>
          <w:rFonts w:ascii="Times New Roman" w:eastAsia="Times New Roman" w:hAnsi="Times New Roman" w:cs="Times New Roman"/>
          <w:i/>
          <w:iCs/>
          <w:kern w:val="0"/>
          <w:lang w:val="en-US"/>
          <w14:ligatures w14:val="none"/>
        </w:rPr>
        <w:t>Expert Review of Gastroenterology &amp; Hepatology, 11</w:t>
      </w:r>
      <w:r w:rsidRPr="000A47A5">
        <w:rPr>
          <w:rFonts w:ascii="Times New Roman" w:eastAsia="Times New Roman" w:hAnsi="Times New Roman" w:cs="Times New Roman"/>
          <w:kern w:val="0"/>
          <w:lang w:val="en-US"/>
          <w14:ligatures w14:val="none"/>
        </w:rPr>
        <w:t xml:space="preserve">(9), 821–834. </w:t>
      </w:r>
      <w:hyperlink r:id="rId66" w:history="1">
        <w:r w:rsidRPr="000A47A5">
          <w:rPr>
            <w:rFonts w:ascii="Times New Roman" w:eastAsia="Times New Roman" w:hAnsi="Times New Roman" w:cs="Times New Roman"/>
            <w:color w:val="0000FF"/>
            <w:kern w:val="0"/>
            <w:u w:val="single"/>
            <w:lang w:val="en-US"/>
            <w14:ligatures w14:val="none"/>
          </w:rPr>
          <w:t>https://doi.org/10.1080/17474124.2017.1343143</w:t>
        </w:r>
      </w:hyperlink>
    </w:p>
    <w:p w14:paraId="5AD5999A"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Wan, Y., &amp; Zhang, B. (2022). The impact of zinc and zinc homeostasis on the intestinal mucosal barrier and intestinal diseases. </w:t>
      </w:r>
      <w:r w:rsidRPr="000A47A5">
        <w:rPr>
          <w:rFonts w:ascii="Times New Roman" w:eastAsia="Times New Roman" w:hAnsi="Times New Roman" w:cs="Times New Roman"/>
          <w:i/>
          <w:iCs/>
          <w:kern w:val="0"/>
          <w:lang w:val="en-US"/>
          <w14:ligatures w14:val="none"/>
        </w:rPr>
        <w:t>Biomolecules, 12</w:t>
      </w:r>
      <w:r w:rsidRPr="000A47A5">
        <w:rPr>
          <w:rFonts w:ascii="Times New Roman" w:eastAsia="Times New Roman" w:hAnsi="Times New Roman" w:cs="Times New Roman"/>
          <w:kern w:val="0"/>
          <w:lang w:val="en-US"/>
          <w14:ligatures w14:val="none"/>
        </w:rPr>
        <w:t xml:space="preserve">(7), Article 900. </w:t>
      </w:r>
      <w:hyperlink r:id="rId67" w:history="1">
        <w:r w:rsidRPr="000A47A5">
          <w:rPr>
            <w:rFonts w:ascii="Times New Roman" w:eastAsia="Times New Roman" w:hAnsi="Times New Roman" w:cs="Times New Roman"/>
            <w:color w:val="0000FF"/>
            <w:kern w:val="0"/>
            <w:u w:val="single"/>
            <w:lang w:val="en-US"/>
            <w14:ligatures w14:val="none"/>
          </w:rPr>
          <w:t>https://doi.org/10.3390/biom12070900</w:t>
        </w:r>
      </w:hyperlink>
    </w:p>
    <w:p w14:paraId="4F729212"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World Health Organization. (2024, March 7). </w:t>
      </w:r>
      <w:proofErr w:type="spellStart"/>
      <w:r w:rsidRPr="000A47A5">
        <w:rPr>
          <w:rFonts w:ascii="Times New Roman" w:eastAsia="Times New Roman" w:hAnsi="Times New Roman" w:cs="Times New Roman"/>
          <w:i/>
          <w:iCs/>
          <w:kern w:val="0"/>
          <w:lang w:val="en-US"/>
          <w14:ligatures w14:val="none"/>
        </w:rPr>
        <w:t>Diarrhoeal</w:t>
      </w:r>
      <w:proofErr w:type="spellEnd"/>
      <w:r w:rsidRPr="000A47A5">
        <w:rPr>
          <w:rFonts w:ascii="Times New Roman" w:eastAsia="Times New Roman" w:hAnsi="Times New Roman" w:cs="Times New Roman"/>
          <w:i/>
          <w:iCs/>
          <w:kern w:val="0"/>
          <w:lang w:val="en-US"/>
          <w14:ligatures w14:val="none"/>
        </w:rPr>
        <w:t xml:space="preserve"> disease</w:t>
      </w:r>
      <w:r w:rsidRPr="000A47A5">
        <w:rPr>
          <w:rFonts w:ascii="Times New Roman" w:eastAsia="Times New Roman" w:hAnsi="Times New Roman" w:cs="Times New Roman"/>
          <w:kern w:val="0"/>
          <w:lang w:val="en-US"/>
          <w14:ligatures w14:val="none"/>
        </w:rPr>
        <w:t xml:space="preserve">. </w:t>
      </w:r>
      <w:hyperlink r:id="rId68" w:history="1">
        <w:r w:rsidRPr="000A47A5">
          <w:rPr>
            <w:rFonts w:ascii="Times New Roman" w:eastAsia="Times New Roman" w:hAnsi="Times New Roman" w:cs="Times New Roman"/>
            <w:color w:val="0000FF"/>
            <w:kern w:val="0"/>
            <w:u w:val="single"/>
            <w:lang w:val="en-US"/>
            <w14:ligatures w14:val="none"/>
          </w:rPr>
          <w:t>https://www.who.int/news-room/fact-sheets/detail/diarrhoeal-disease</w:t>
        </w:r>
      </w:hyperlink>
    </w:p>
    <w:p w14:paraId="795A904E" w14:textId="77777777" w:rsidR="000A47A5" w:rsidRPr="000A47A5" w:rsidRDefault="000A47A5" w:rsidP="000A47A5">
      <w:pPr>
        <w:spacing w:before="100" w:beforeAutospacing="1" w:after="100" w:afterAutospacing="1" w:line="240" w:lineRule="auto"/>
        <w:divId w:val="550728886"/>
        <w:rPr>
          <w:rFonts w:ascii="Times New Roman" w:eastAsia="Times New Roman" w:hAnsi="Times New Roman" w:cs="Times New Roman"/>
          <w:kern w:val="0"/>
          <w:lang w:val="en-US"/>
          <w14:ligatures w14:val="none"/>
        </w:rPr>
      </w:pPr>
      <w:r w:rsidRPr="000A47A5">
        <w:rPr>
          <w:rFonts w:ascii="Times New Roman" w:eastAsia="Times New Roman" w:hAnsi="Times New Roman" w:cs="Times New Roman"/>
          <w:kern w:val="0"/>
          <w:lang w:val="en-US"/>
          <w14:ligatures w14:val="none"/>
        </w:rPr>
        <w:t xml:space="preserve">Yeboah, S. I. I. K., Antwi-Agyei, P., Kabo-Bah, A. T., &amp; Ackerson, N. O. B. (2024). Water, environment, and health nexus: Understanding the risk factors for waterborne diseases in communities along the Tano River Basin, Ghana. </w:t>
      </w:r>
      <w:r w:rsidRPr="000A47A5">
        <w:rPr>
          <w:rFonts w:ascii="Times New Roman" w:eastAsia="Times New Roman" w:hAnsi="Times New Roman" w:cs="Times New Roman"/>
          <w:i/>
          <w:iCs/>
          <w:kern w:val="0"/>
          <w:lang w:val="en-US"/>
          <w14:ligatures w14:val="none"/>
        </w:rPr>
        <w:t>Journal of Water and Health, 22</w:t>
      </w:r>
      <w:r w:rsidRPr="000A47A5">
        <w:rPr>
          <w:rFonts w:ascii="Times New Roman" w:eastAsia="Times New Roman" w:hAnsi="Times New Roman" w:cs="Times New Roman"/>
          <w:kern w:val="0"/>
          <w:lang w:val="en-US"/>
          <w14:ligatures w14:val="none"/>
        </w:rPr>
        <w:t xml:space="preserve">(8), 1556–1577. </w:t>
      </w:r>
      <w:hyperlink r:id="rId69" w:history="1">
        <w:r w:rsidRPr="000A47A5">
          <w:rPr>
            <w:rFonts w:ascii="Times New Roman" w:eastAsia="Times New Roman" w:hAnsi="Times New Roman" w:cs="Times New Roman"/>
            <w:color w:val="0000FF"/>
            <w:kern w:val="0"/>
            <w:u w:val="single"/>
            <w:lang w:val="en-US"/>
            <w14:ligatures w14:val="none"/>
          </w:rPr>
          <w:t>https://doi.org/10.2166/wh.2024.186</w:t>
        </w:r>
      </w:hyperlink>
    </w:p>
    <w:p w14:paraId="57377C26" w14:textId="77777777" w:rsidR="000A47A5" w:rsidRPr="00AE30B2" w:rsidRDefault="000A47A5" w:rsidP="00D5102C">
      <w:pPr>
        <w:spacing w:beforeAutospacing="1" w:after="0" w:afterAutospacing="1" w:line="240" w:lineRule="auto"/>
        <w:jc w:val="both"/>
        <w:outlineLvl w:val="0"/>
        <w:divId w:val="550728886"/>
        <w:rPr>
          <w:rFonts w:ascii="Arial" w:eastAsia="Times New Roman" w:hAnsi="Arial" w:cs="Arial"/>
          <w:b/>
          <w:bCs/>
          <w:kern w:val="36"/>
          <w:sz w:val="22"/>
          <w:szCs w:val="22"/>
          <w14:ligatures w14:val="none"/>
        </w:rPr>
      </w:pPr>
    </w:p>
    <w:sectPr w:rsidR="000A47A5" w:rsidRPr="00AE30B2">
      <w:headerReference w:type="even" r:id="rId70"/>
      <w:headerReference w:type="default" r:id="rId71"/>
      <w:footerReference w:type="even" r:id="rId72"/>
      <w:footerReference w:type="default" r:id="rId73"/>
      <w:headerReference w:type="first" r:id="rId74"/>
      <w:footerReference w:type="first" r:id="rId7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9E00" w14:textId="77777777" w:rsidR="00A834E4" w:rsidRDefault="00A834E4" w:rsidP="00D17A63">
      <w:pPr>
        <w:spacing w:after="0" w:line="240" w:lineRule="auto"/>
      </w:pPr>
      <w:r>
        <w:separator/>
      </w:r>
    </w:p>
  </w:endnote>
  <w:endnote w:type="continuationSeparator" w:id="0">
    <w:p w14:paraId="643F2CEC" w14:textId="77777777" w:rsidR="00A834E4" w:rsidRDefault="00A834E4" w:rsidP="00D17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2E968" w14:textId="77777777" w:rsidR="00451C46" w:rsidRDefault="004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BECA" w14:textId="77777777" w:rsidR="00451C46" w:rsidRDefault="00451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D068" w14:textId="77777777" w:rsidR="00451C46" w:rsidRDefault="004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506EB" w14:textId="77777777" w:rsidR="00A834E4" w:rsidRDefault="00A834E4" w:rsidP="00D17A63">
      <w:pPr>
        <w:spacing w:after="0" w:line="240" w:lineRule="auto"/>
      </w:pPr>
      <w:r>
        <w:separator/>
      </w:r>
    </w:p>
  </w:footnote>
  <w:footnote w:type="continuationSeparator" w:id="0">
    <w:p w14:paraId="0A1329A2" w14:textId="77777777" w:rsidR="00A834E4" w:rsidRDefault="00A834E4" w:rsidP="00D17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4DD2" w14:textId="77777777" w:rsidR="00451C46" w:rsidRDefault="00000000">
    <w:pPr>
      <w:pStyle w:val="Header"/>
    </w:pPr>
    <w:r>
      <w:rPr>
        <w:noProof/>
      </w:rPr>
      <w:pict w14:anchorId="40570D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172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0E0A" w14:textId="77777777" w:rsidR="00451C46" w:rsidRDefault="00000000">
    <w:pPr>
      <w:pStyle w:val="Header"/>
    </w:pPr>
    <w:r>
      <w:rPr>
        <w:noProof/>
      </w:rPr>
      <w:pict w14:anchorId="255E8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172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6D0C" w14:textId="77777777" w:rsidR="00451C46" w:rsidRDefault="00000000">
    <w:pPr>
      <w:pStyle w:val="Header"/>
    </w:pPr>
    <w:r>
      <w:rPr>
        <w:noProof/>
      </w:rPr>
      <w:pict w14:anchorId="45E17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172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0989"/>
    <w:multiLevelType w:val="hybridMultilevel"/>
    <w:tmpl w:val="152A4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A7F1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6775EC"/>
    <w:multiLevelType w:val="hybridMultilevel"/>
    <w:tmpl w:val="69F07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4125BC"/>
    <w:multiLevelType w:val="hybridMultilevel"/>
    <w:tmpl w:val="9DE0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B2197E"/>
    <w:multiLevelType w:val="hybridMultilevel"/>
    <w:tmpl w:val="72827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2404C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3003D4"/>
    <w:multiLevelType w:val="multilevel"/>
    <w:tmpl w:val="2D52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182DDA"/>
    <w:multiLevelType w:val="multilevel"/>
    <w:tmpl w:val="65B0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92D58"/>
    <w:multiLevelType w:val="hybridMultilevel"/>
    <w:tmpl w:val="3950185A"/>
    <w:lvl w:ilvl="0" w:tplc="6676171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530423">
    <w:abstractNumId w:val="1"/>
  </w:num>
  <w:num w:numId="2" w16cid:durableId="1484932874">
    <w:abstractNumId w:val="5"/>
  </w:num>
  <w:num w:numId="3" w16cid:durableId="635649821">
    <w:abstractNumId w:val="6"/>
  </w:num>
  <w:num w:numId="4" w16cid:durableId="1557931826">
    <w:abstractNumId w:val="7"/>
  </w:num>
  <w:num w:numId="5" w16cid:durableId="1417051575">
    <w:abstractNumId w:val="3"/>
  </w:num>
  <w:num w:numId="6" w16cid:durableId="2063481036">
    <w:abstractNumId w:val="0"/>
  </w:num>
  <w:num w:numId="7" w16cid:durableId="1725833235">
    <w:abstractNumId w:val="2"/>
  </w:num>
  <w:num w:numId="8" w16cid:durableId="323124948">
    <w:abstractNumId w:val="4"/>
  </w:num>
  <w:num w:numId="9" w16cid:durableId="12518866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wMDU0MTA3sTQwNDVT0lEKTi0uzszPAykwrAUA0Yx4IiwAAAA="/>
  </w:docVars>
  <w:rsids>
    <w:rsidRoot w:val="00407231"/>
    <w:rsid w:val="00011FB2"/>
    <w:rsid w:val="000366AE"/>
    <w:rsid w:val="00046D8D"/>
    <w:rsid w:val="000473AB"/>
    <w:rsid w:val="00057C0D"/>
    <w:rsid w:val="00063CAD"/>
    <w:rsid w:val="00077658"/>
    <w:rsid w:val="000A47A5"/>
    <w:rsid w:val="000B1097"/>
    <w:rsid w:val="000B505D"/>
    <w:rsid w:val="000C72C3"/>
    <w:rsid w:val="000D45D2"/>
    <w:rsid w:val="000D5375"/>
    <w:rsid w:val="000E116C"/>
    <w:rsid w:val="000E650C"/>
    <w:rsid w:val="00105FD6"/>
    <w:rsid w:val="00107C07"/>
    <w:rsid w:val="001123C6"/>
    <w:rsid w:val="0013034C"/>
    <w:rsid w:val="00142B29"/>
    <w:rsid w:val="0014544A"/>
    <w:rsid w:val="001475B9"/>
    <w:rsid w:val="00160F81"/>
    <w:rsid w:val="001D108E"/>
    <w:rsid w:val="00212A7D"/>
    <w:rsid w:val="002452B7"/>
    <w:rsid w:val="0025337B"/>
    <w:rsid w:val="0026148A"/>
    <w:rsid w:val="00270D6F"/>
    <w:rsid w:val="0028018D"/>
    <w:rsid w:val="0028366A"/>
    <w:rsid w:val="002915D4"/>
    <w:rsid w:val="002A378B"/>
    <w:rsid w:val="002B4348"/>
    <w:rsid w:val="002D276F"/>
    <w:rsid w:val="002D58DD"/>
    <w:rsid w:val="002D6EF8"/>
    <w:rsid w:val="002E6251"/>
    <w:rsid w:val="002E6443"/>
    <w:rsid w:val="00302218"/>
    <w:rsid w:val="00313FB4"/>
    <w:rsid w:val="0031473A"/>
    <w:rsid w:val="00323EAB"/>
    <w:rsid w:val="00332B59"/>
    <w:rsid w:val="003826B3"/>
    <w:rsid w:val="00397400"/>
    <w:rsid w:val="003A4CB3"/>
    <w:rsid w:val="003B6214"/>
    <w:rsid w:val="003D3BE0"/>
    <w:rsid w:val="003E5525"/>
    <w:rsid w:val="00405206"/>
    <w:rsid w:val="00406496"/>
    <w:rsid w:val="00407231"/>
    <w:rsid w:val="004078E4"/>
    <w:rsid w:val="0043669C"/>
    <w:rsid w:val="004369B8"/>
    <w:rsid w:val="004376B2"/>
    <w:rsid w:val="00441C0C"/>
    <w:rsid w:val="00451496"/>
    <w:rsid w:val="00451C46"/>
    <w:rsid w:val="00454A18"/>
    <w:rsid w:val="00486603"/>
    <w:rsid w:val="0049797A"/>
    <w:rsid w:val="004C57B2"/>
    <w:rsid w:val="004D728D"/>
    <w:rsid w:val="005005FA"/>
    <w:rsid w:val="00512477"/>
    <w:rsid w:val="00525554"/>
    <w:rsid w:val="00530A6A"/>
    <w:rsid w:val="00530EF2"/>
    <w:rsid w:val="0053396E"/>
    <w:rsid w:val="00534789"/>
    <w:rsid w:val="005433C5"/>
    <w:rsid w:val="00560ACA"/>
    <w:rsid w:val="00582BF2"/>
    <w:rsid w:val="005B3B04"/>
    <w:rsid w:val="005B68E4"/>
    <w:rsid w:val="005F2A16"/>
    <w:rsid w:val="00616404"/>
    <w:rsid w:val="00631F93"/>
    <w:rsid w:val="006357C1"/>
    <w:rsid w:val="00636AE3"/>
    <w:rsid w:val="006449B1"/>
    <w:rsid w:val="006630C8"/>
    <w:rsid w:val="00664967"/>
    <w:rsid w:val="00675892"/>
    <w:rsid w:val="00696DFE"/>
    <w:rsid w:val="006C6B18"/>
    <w:rsid w:val="006E4308"/>
    <w:rsid w:val="006F73F7"/>
    <w:rsid w:val="006F7FEB"/>
    <w:rsid w:val="00707C56"/>
    <w:rsid w:val="0071765B"/>
    <w:rsid w:val="007210F1"/>
    <w:rsid w:val="00735E1D"/>
    <w:rsid w:val="00794E0C"/>
    <w:rsid w:val="007C18DF"/>
    <w:rsid w:val="007E3098"/>
    <w:rsid w:val="00821933"/>
    <w:rsid w:val="00861225"/>
    <w:rsid w:val="008734D9"/>
    <w:rsid w:val="008B0675"/>
    <w:rsid w:val="008B51DB"/>
    <w:rsid w:val="008B7CE2"/>
    <w:rsid w:val="008F6978"/>
    <w:rsid w:val="00903B6B"/>
    <w:rsid w:val="009103A9"/>
    <w:rsid w:val="00910705"/>
    <w:rsid w:val="00913EE7"/>
    <w:rsid w:val="00917096"/>
    <w:rsid w:val="00935762"/>
    <w:rsid w:val="00941F9F"/>
    <w:rsid w:val="00966597"/>
    <w:rsid w:val="009B44D1"/>
    <w:rsid w:val="009B44D2"/>
    <w:rsid w:val="009B5285"/>
    <w:rsid w:val="009D1839"/>
    <w:rsid w:val="009D1949"/>
    <w:rsid w:val="009D62BF"/>
    <w:rsid w:val="009D7377"/>
    <w:rsid w:val="00A079B1"/>
    <w:rsid w:val="00A23298"/>
    <w:rsid w:val="00A358D4"/>
    <w:rsid w:val="00A43D8D"/>
    <w:rsid w:val="00A50458"/>
    <w:rsid w:val="00A656AC"/>
    <w:rsid w:val="00A834E4"/>
    <w:rsid w:val="00A84A10"/>
    <w:rsid w:val="00AB5C8B"/>
    <w:rsid w:val="00AE30B2"/>
    <w:rsid w:val="00AF4C0A"/>
    <w:rsid w:val="00AF5627"/>
    <w:rsid w:val="00B2753C"/>
    <w:rsid w:val="00B616A8"/>
    <w:rsid w:val="00B830C7"/>
    <w:rsid w:val="00B8667B"/>
    <w:rsid w:val="00BB19F0"/>
    <w:rsid w:val="00BB5680"/>
    <w:rsid w:val="00BC617B"/>
    <w:rsid w:val="00BD09B4"/>
    <w:rsid w:val="00BF1D31"/>
    <w:rsid w:val="00C002E9"/>
    <w:rsid w:val="00C10C58"/>
    <w:rsid w:val="00C2179D"/>
    <w:rsid w:val="00C31655"/>
    <w:rsid w:val="00C32D53"/>
    <w:rsid w:val="00C34E56"/>
    <w:rsid w:val="00C36013"/>
    <w:rsid w:val="00C43CA8"/>
    <w:rsid w:val="00C6534E"/>
    <w:rsid w:val="00C9529C"/>
    <w:rsid w:val="00CA1038"/>
    <w:rsid w:val="00CB3499"/>
    <w:rsid w:val="00CC5D90"/>
    <w:rsid w:val="00CD21AA"/>
    <w:rsid w:val="00CD38FB"/>
    <w:rsid w:val="00D01F4C"/>
    <w:rsid w:val="00D17A63"/>
    <w:rsid w:val="00D42518"/>
    <w:rsid w:val="00D5102C"/>
    <w:rsid w:val="00D5119C"/>
    <w:rsid w:val="00D610E1"/>
    <w:rsid w:val="00D62CE1"/>
    <w:rsid w:val="00D66D32"/>
    <w:rsid w:val="00D96938"/>
    <w:rsid w:val="00DA055B"/>
    <w:rsid w:val="00DA668A"/>
    <w:rsid w:val="00DB5D3A"/>
    <w:rsid w:val="00DC2BF9"/>
    <w:rsid w:val="00DD2B08"/>
    <w:rsid w:val="00DD2E03"/>
    <w:rsid w:val="00E05F0E"/>
    <w:rsid w:val="00E2258B"/>
    <w:rsid w:val="00E37DC7"/>
    <w:rsid w:val="00E46B75"/>
    <w:rsid w:val="00E5036D"/>
    <w:rsid w:val="00E571D3"/>
    <w:rsid w:val="00E60F46"/>
    <w:rsid w:val="00E804BE"/>
    <w:rsid w:val="00E86A47"/>
    <w:rsid w:val="00EB2B1F"/>
    <w:rsid w:val="00EC1FA8"/>
    <w:rsid w:val="00EC2B9E"/>
    <w:rsid w:val="00EC56EF"/>
    <w:rsid w:val="00F02EA5"/>
    <w:rsid w:val="00F10E06"/>
    <w:rsid w:val="00F240E3"/>
    <w:rsid w:val="00F378C5"/>
    <w:rsid w:val="00F61DBC"/>
    <w:rsid w:val="00F81017"/>
    <w:rsid w:val="00F90589"/>
    <w:rsid w:val="00FB21EE"/>
    <w:rsid w:val="00FF32D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9B0EF"/>
  <w15:chartTrackingRefBased/>
  <w15:docId w15:val="{A5BF34E3-44F3-DE45-B5F9-447AA75A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477"/>
  </w:style>
  <w:style w:type="paragraph" w:styleId="Heading1">
    <w:name w:val="heading 1"/>
    <w:basedOn w:val="Normal"/>
    <w:next w:val="Normal"/>
    <w:link w:val="Heading1Char"/>
    <w:uiPriority w:val="9"/>
    <w:qFormat/>
    <w:rsid w:val="00407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231"/>
    <w:rPr>
      <w:rFonts w:eastAsiaTheme="majorEastAsia" w:cstheme="majorBidi"/>
      <w:color w:val="272727" w:themeColor="text1" w:themeTint="D8"/>
    </w:rPr>
  </w:style>
  <w:style w:type="paragraph" w:styleId="Title">
    <w:name w:val="Title"/>
    <w:basedOn w:val="Normal"/>
    <w:next w:val="Normal"/>
    <w:link w:val="TitleChar"/>
    <w:uiPriority w:val="10"/>
    <w:qFormat/>
    <w:rsid w:val="00407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231"/>
    <w:pPr>
      <w:spacing w:before="160"/>
      <w:jc w:val="center"/>
    </w:pPr>
    <w:rPr>
      <w:i/>
      <w:iCs/>
      <w:color w:val="404040" w:themeColor="text1" w:themeTint="BF"/>
    </w:rPr>
  </w:style>
  <w:style w:type="character" w:customStyle="1" w:styleId="QuoteChar">
    <w:name w:val="Quote Char"/>
    <w:basedOn w:val="DefaultParagraphFont"/>
    <w:link w:val="Quote"/>
    <w:uiPriority w:val="29"/>
    <w:rsid w:val="00407231"/>
    <w:rPr>
      <w:i/>
      <w:iCs/>
      <w:color w:val="404040" w:themeColor="text1" w:themeTint="BF"/>
    </w:rPr>
  </w:style>
  <w:style w:type="paragraph" w:styleId="ListParagraph">
    <w:name w:val="List Paragraph"/>
    <w:basedOn w:val="Normal"/>
    <w:uiPriority w:val="34"/>
    <w:qFormat/>
    <w:rsid w:val="00407231"/>
    <w:pPr>
      <w:ind w:left="720"/>
      <w:contextualSpacing/>
    </w:pPr>
  </w:style>
  <w:style w:type="character" w:styleId="IntenseEmphasis">
    <w:name w:val="Intense Emphasis"/>
    <w:basedOn w:val="DefaultParagraphFont"/>
    <w:uiPriority w:val="21"/>
    <w:qFormat/>
    <w:rsid w:val="00407231"/>
    <w:rPr>
      <w:i/>
      <w:iCs/>
      <w:color w:val="0F4761" w:themeColor="accent1" w:themeShade="BF"/>
    </w:rPr>
  </w:style>
  <w:style w:type="paragraph" w:styleId="IntenseQuote">
    <w:name w:val="Intense Quote"/>
    <w:basedOn w:val="Normal"/>
    <w:next w:val="Normal"/>
    <w:link w:val="IntenseQuoteChar"/>
    <w:uiPriority w:val="30"/>
    <w:qFormat/>
    <w:rsid w:val="00407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231"/>
    <w:rPr>
      <w:i/>
      <w:iCs/>
      <w:color w:val="0F4761" w:themeColor="accent1" w:themeShade="BF"/>
    </w:rPr>
  </w:style>
  <w:style w:type="character" w:styleId="IntenseReference">
    <w:name w:val="Intense Reference"/>
    <w:basedOn w:val="DefaultParagraphFont"/>
    <w:uiPriority w:val="32"/>
    <w:qFormat/>
    <w:rsid w:val="00407231"/>
    <w:rPr>
      <w:b/>
      <w:bCs/>
      <w:smallCaps/>
      <w:color w:val="0F4761" w:themeColor="accent1" w:themeShade="BF"/>
      <w:spacing w:val="5"/>
    </w:rPr>
  </w:style>
  <w:style w:type="table" w:styleId="PlainTable2">
    <w:name w:val="Plain Table 2"/>
    <w:basedOn w:val="TableNormal"/>
    <w:uiPriority w:val="42"/>
    <w:rsid w:val="005124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
    <w:name w:val="Author"/>
    <w:basedOn w:val="Normal"/>
    <w:rsid w:val="008B7CE2"/>
    <w:pPr>
      <w:spacing w:after="0" w:line="280" w:lineRule="exact"/>
      <w:jc w:val="right"/>
    </w:pPr>
    <w:rPr>
      <w:rFonts w:ascii="Helvetica" w:eastAsia="Times New Roman" w:hAnsi="Helvetica" w:cs="Times New Roman"/>
      <w:b/>
      <w:kern w:val="0"/>
      <w:szCs w:val="20"/>
      <w:lang w:val="en-US"/>
      <w14:ligatures w14:val="none"/>
    </w:rPr>
  </w:style>
  <w:style w:type="paragraph" w:customStyle="1" w:styleId="Affiliation">
    <w:name w:val="Affiliation"/>
    <w:basedOn w:val="Normal"/>
    <w:rsid w:val="008B7CE2"/>
    <w:pPr>
      <w:spacing w:after="240" w:line="240" w:lineRule="exact"/>
      <w:jc w:val="right"/>
    </w:pPr>
    <w:rPr>
      <w:rFonts w:ascii="Helvetica" w:eastAsia="Times New Roman" w:hAnsi="Helvetica" w:cs="Times New Roman"/>
      <w:kern w:val="0"/>
      <w:sz w:val="20"/>
      <w:szCs w:val="20"/>
      <w:lang w:val="en-US"/>
      <w14:ligatures w14:val="none"/>
    </w:rPr>
  </w:style>
  <w:style w:type="paragraph" w:styleId="Header">
    <w:name w:val="header"/>
    <w:basedOn w:val="Normal"/>
    <w:link w:val="HeaderChar"/>
    <w:uiPriority w:val="99"/>
    <w:unhideWhenUsed/>
    <w:rsid w:val="00D17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A63"/>
  </w:style>
  <w:style w:type="paragraph" w:styleId="Footer">
    <w:name w:val="footer"/>
    <w:basedOn w:val="Normal"/>
    <w:link w:val="FooterChar"/>
    <w:unhideWhenUsed/>
    <w:rsid w:val="00D17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A63"/>
  </w:style>
  <w:style w:type="character" w:customStyle="1" w:styleId="Italic">
    <w:name w:val="Italic"/>
    <w:rsid w:val="00D17A63"/>
    <w:rPr>
      <w:i/>
    </w:rPr>
  </w:style>
  <w:style w:type="character" w:styleId="Hyperlink">
    <w:name w:val="Hyperlink"/>
    <w:basedOn w:val="DefaultParagraphFont"/>
    <w:rsid w:val="00D17A63"/>
    <w:rPr>
      <w:color w:val="FF0080"/>
      <w:u w:val="single"/>
    </w:rPr>
  </w:style>
  <w:style w:type="character" w:styleId="UnresolvedMention">
    <w:name w:val="Unresolved Mention"/>
    <w:basedOn w:val="DefaultParagraphFont"/>
    <w:uiPriority w:val="99"/>
    <w:semiHidden/>
    <w:unhideWhenUsed/>
    <w:rsid w:val="00302218"/>
    <w:rPr>
      <w:color w:val="605E5C"/>
      <w:shd w:val="clear" w:color="auto" w:fill="E1DFDD"/>
    </w:rPr>
  </w:style>
  <w:style w:type="character" w:styleId="PlaceholderText">
    <w:name w:val="Placeholder Text"/>
    <w:basedOn w:val="DefaultParagraphFont"/>
    <w:uiPriority w:val="99"/>
    <w:semiHidden/>
    <w:rsid w:val="00C2179D"/>
    <w:rPr>
      <w:color w:val="666666"/>
    </w:rPr>
  </w:style>
  <w:style w:type="character" w:customStyle="1" w:styleId="mord">
    <w:name w:val="mord"/>
    <w:basedOn w:val="DefaultParagraphFont"/>
    <w:rsid w:val="00C2179D"/>
  </w:style>
  <w:style w:type="character" w:customStyle="1" w:styleId="mrel">
    <w:name w:val="mrel"/>
    <w:basedOn w:val="DefaultParagraphFont"/>
    <w:rsid w:val="00C2179D"/>
  </w:style>
  <w:style w:type="character" w:styleId="CommentReference">
    <w:name w:val="annotation reference"/>
    <w:basedOn w:val="DefaultParagraphFont"/>
    <w:uiPriority w:val="99"/>
    <w:semiHidden/>
    <w:unhideWhenUsed/>
    <w:rsid w:val="00C31655"/>
    <w:rPr>
      <w:sz w:val="16"/>
      <w:szCs w:val="16"/>
    </w:rPr>
  </w:style>
  <w:style w:type="paragraph" w:styleId="CommentText">
    <w:name w:val="annotation text"/>
    <w:basedOn w:val="Normal"/>
    <w:link w:val="CommentTextChar"/>
    <w:uiPriority w:val="99"/>
    <w:semiHidden/>
    <w:unhideWhenUsed/>
    <w:rsid w:val="00C31655"/>
    <w:pPr>
      <w:spacing w:line="240" w:lineRule="auto"/>
    </w:pPr>
    <w:rPr>
      <w:sz w:val="20"/>
      <w:szCs w:val="20"/>
    </w:rPr>
  </w:style>
  <w:style w:type="character" w:customStyle="1" w:styleId="CommentTextChar">
    <w:name w:val="Comment Text Char"/>
    <w:basedOn w:val="DefaultParagraphFont"/>
    <w:link w:val="CommentText"/>
    <w:uiPriority w:val="99"/>
    <w:semiHidden/>
    <w:rsid w:val="00C31655"/>
    <w:rPr>
      <w:sz w:val="20"/>
      <w:szCs w:val="20"/>
    </w:rPr>
  </w:style>
  <w:style w:type="paragraph" w:styleId="CommentSubject">
    <w:name w:val="annotation subject"/>
    <w:basedOn w:val="CommentText"/>
    <w:next w:val="CommentText"/>
    <w:link w:val="CommentSubjectChar"/>
    <w:uiPriority w:val="99"/>
    <w:semiHidden/>
    <w:unhideWhenUsed/>
    <w:rsid w:val="00C31655"/>
    <w:rPr>
      <w:b/>
      <w:bCs/>
    </w:rPr>
  </w:style>
  <w:style w:type="character" w:customStyle="1" w:styleId="CommentSubjectChar">
    <w:name w:val="Comment Subject Char"/>
    <w:basedOn w:val="CommentTextChar"/>
    <w:link w:val="CommentSubject"/>
    <w:uiPriority w:val="99"/>
    <w:semiHidden/>
    <w:rsid w:val="00C31655"/>
    <w:rPr>
      <w:b/>
      <w:bCs/>
      <w:sz w:val="20"/>
      <w:szCs w:val="20"/>
    </w:rPr>
  </w:style>
  <w:style w:type="character" w:styleId="Strong">
    <w:name w:val="Strong"/>
    <w:basedOn w:val="DefaultParagraphFont"/>
    <w:uiPriority w:val="22"/>
    <w:qFormat/>
    <w:rsid w:val="00735E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2227">
      <w:bodyDiv w:val="1"/>
      <w:marLeft w:val="0"/>
      <w:marRight w:val="0"/>
      <w:marTop w:val="0"/>
      <w:marBottom w:val="0"/>
      <w:divBdr>
        <w:top w:val="none" w:sz="0" w:space="0" w:color="auto"/>
        <w:left w:val="none" w:sz="0" w:space="0" w:color="auto"/>
        <w:bottom w:val="none" w:sz="0" w:space="0" w:color="auto"/>
        <w:right w:val="none" w:sz="0" w:space="0" w:color="auto"/>
      </w:divBdr>
    </w:div>
    <w:div w:id="124934107">
      <w:bodyDiv w:val="1"/>
      <w:marLeft w:val="0"/>
      <w:marRight w:val="0"/>
      <w:marTop w:val="0"/>
      <w:marBottom w:val="0"/>
      <w:divBdr>
        <w:top w:val="none" w:sz="0" w:space="0" w:color="auto"/>
        <w:left w:val="none" w:sz="0" w:space="0" w:color="auto"/>
        <w:bottom w:val="none" w:sz="0" w:space="0" w:color="auto"/>
        <w:right w:val="none" w:sz="0" w:space="0" w:color="auto"/>
      </w:divBdr>
      <w:divsChild>
        <w:div w:id="1968385941">
          <w:marLeft w:val="0"/>
          <w:marRight w:val="0"/>
          <w:marTop w:val="0"/>
          <w:marBottom w:val="0"/>
          <w:divBdr>
            <w:top w:val="none" w:sz="0" w:space="0" w:color="auto"/>
            <w:left w:val="none" w:sz="0" w:space="0" w:color="auto"/>
            <w:bottom w:val="none" w:sz="0" w:space="0" w:color="auto"/>
            <w:right w:val="none" w:sz="0" w:space="0" w:color="auto"/>
          </w:divBdr>
        </w:div>
        <w:div w:id="550728886">
          <w:marLeft w:val="0"/>
          <w:marRight w:val="0"/>
          <w:marTop w:val="0"/>
          <w:marBottom w:val="0"/>
          <w:divBdr>
            <w:top w:val="none" w:sz="0" w:space="0" w:color="auto"/>
            <w:left w:val="none" w:sz="0" w:space="0" w:color="auto"/>
            <w:bottom w:val="none" w:sz="0" w:space="0" w:color="auto"/>
            <w:right w:val="none" w:sz="0" w:space="0" w:color="auto"/>
          </w:divBdr>
          <w:divsChild>
            <w:div w:id="2111077598">
              <w:marLeft w:val="0"/>
              <w:marRight w:val="0"/>
              <w:marTop w:val="0"/>
              <w:marBottom w:val="0"/>
              <w:divBdr>
                <w:top w:val="none" w:sz="0" w:space="0" w:color="auto"/>
                <w:left w:val="none" w:sz="0" w:space="0" w:color="auto"/>
                <w:bottom w:val="none" w:sz="0" w:space="0" w:color="auto"/>
                <w:right w:val="none" w:sz="0" w:space="0" w:color="auto"/>
              </w:divBdr>
            </w:div>
            <w:div w:id="428281776">
              <w:marLeft w:val="0"/>
              <w:marRight w:val="0"/>
              <w:marTop w:val="0"/>
              <w:marBottom w:val="0"/>
              <w:divBdr>
                <w:top w:val="none" w:sz="0" w:space="0" w:color="auto"/>
                <w:left w:val="none" w:sz="0" w:space="0" w:color="auto"/>
                <w:bottom w:val="none" w:sz="0" w:space="0" w:color="auto"/>
                <w:right w:val="none" w:sz="0" w:space="0" w:color="auto"/>
              </w:divBdr>
            </w:div>
          </w:divsChild>
        </w:div>
        <w:div w:id="560599696">
          <w:marLeft w:val="0"/>
          <w:marRight w:val="0"/>
          <w:marTop w:val="0"/>
          <w:marBottom w:val="0"/>
          <w:divBdr>
            <w:top w:val="none" w:sz="0" w:space="0" w:color="auto"/>
            <w:left w:val="none" w:sz="0" w:space="0" w:color="auto"/>
            <w:bottom w:val="none" w:sz="0" w:space="0" w:color="auto"/>
            <w:right w:val="none" w:sz="0" w:space="0" w:color="auto"/>
          </w:divBdr>
        </w:div>
        <w:div w:id="89085259">
          <w:marLeft w:val="0"/>
          <w:marRight w:val="0"/>
          <w:marTop w:val="0"/>
          <w:marBottom w:val="0"/>
          <w:divBdr>
            <w:top w:val="none" w:sz="0" w:space="0" w:color="auto"/>
            <w:left w:val="none" w:sz="0" w:space="0" w:color="auto"/>
            <w:bottom w:val="none" w:sz="0" w:space="0" w:color="auto"/>
            <w:right w:val="none" w:sz="0" w:space="0" w:color="auto"/>
          </w:divBdr>
        </w:div>
        <w:div w:id="2120449961">
          <w:marLeft w:val="0"/>
          <w:marRight w:val="0"/>
          <w:marTop w:val="0"/>
          <w:marBottom w:val="0"/>
          <w:divBdr>
            <w:top w:val="none" w:sz="0" w:space="0" w:color="auto"/>
            <w:left w:val="none" w:sz="0" w:space="0" w:color="auto"/>
            <w:bottom w:val="none" w:sz="0" w:space="0" w:color="auto"/>
            <w:right w:val="none" w:sz="0" w:space="0" w:color="auto"/>
          </w:divBdr>
        </w:div>
        <w:div w:id="637299790">
          <w:marLeft w:val="0"/>
          <w:marRight w:val="0"/>
          <w:marTop w:val="0"/>
          <w:marBottom w:val="0"/>
          <w:divBdr>
            <w:top w:val="none" w:sz="0" w:space="0" w:color="auto"/>
            <w:left w:val="none" w:sz="0" w:space="0" w:color="auto"/>
            <w:bottom w:val="none" w:sz="0" w:space="0" w:color="auto"/>
            <w:right w:val="none" w:sz="0" w:space="0" w:color="auto"/>
          </w:divBdr>
        </w:div>
        <w:div w:id="142283982">
          <w:marLeft w:val="0"/>
          <w:marRight w:val="0"/>
          <w:marTop w:val="0"/>
          <w:marBottom w:val="0"/>
          <w:divBdr>
            <w:top w:val="none" w:sz="0" w:space="0" w:color="auto"/>
            <w:left w:val="none" w:sz="0" w:space="0" w:color="auto"/>
            <w:bottom w:val="none" w:sz="0" w:space="0" w:color="auto"/>
            <w:right w:val="none" w:sz="0" w:space="0" w:color="auto"/>
          </w:divBdr>
        </w:div>
        <w:div w:id="1821532600">
          <w:marLeft w:val="0"/>
          <w:marRight w:val="0"/>
          <w:marTop w:val="0"/>
          <w:marBottom w:val="0"/>
          <w:divBdr>
            <w:top w:val="none" w:sz="0" w:space="0" w:color="auto"/>
            <w:left w:val="none" w:sz="0" w:space="0" w:color="auto"/>
            <w:bottom w:val="none" w:sz="0" w:space="0" w:color="auto"/>
            <w:right w:val="none" w:sz="0" w:space="0" w:color="auto"/>
          </w:divBdr>
        </w:div>
        <w:div w:id="1226257939">
          <w:marLeft w:val="0"/>
          <w:marRight w:val="0"/>
          <w:marTop w:val="0"/>
          <w:marBottom w:val="0"/>
          <w:divBdr>
            <w:top w:val="none" w:sz="0" w:space="0" w:color="auto"/>
            <w:left w:val="none" w:sz="0" w:space="0" w:color="auto"/>
            <w:bottom w:val="none" w:sz="0" w:space="0" w:color="auto"/>
            <w:right w:val="none" w:sz="0" w:space="0" w:color="auto"/>
          </w:divBdr>
        </w:div>
      </w:divsChild>
    </w:div>
    <w:div w:id="134839829">
      <w:bodyDiv w:val="1"/>
      <w:marLeft w:val="0"/>
      <w:marRight w:val="0"/>
      <w:marTop w:val="0"/>
      <w:marBottom w:val="0"/>
      <w:divBdr>
        <w:top w:val="none" w:sz="0" w:space="0" w:color="auto"/>
        <w:left w:val="none" w:sz="0" w:space="0" w:color="auto"/>
        <w:bottom w:val="none" w:sz="0" w:space="0" w:color="auto"/>
        <w:right w:val="none" w:sz="0" w:space="0" w:color="auto"/>
      </w:divBdr>
    </w:div>
    <w:div w:id="287323058">
      <w:bodyDiv w:val="1"/>
      <w:marLeft w:val="0"/>
      <w:marRight w:val="0"/>
      <w:marTop w:val="0"/>
      <w:marBottom w:val="0"/>
      <w:divBdr>
        <w:top w:val="none" w:sz="0" w:space="0" w:color="auto"/>
        <w:left w:val="none" w:sz="0" w:space="0" w:color="auto"/>
        <w:bottom w:val="none" w:sz="0" w:space="0" w:color="auto"/>
        <w:right w:val="none" w:sz="0" w:space="0" w:color="auto"/>
      </w:divBdr>
    </w:div>
    <w:div w:id="329523532">
      <w:bodyDiv w:val="1"/>
      <w:marLeft w:val="0"/>
      <w:marRight w:val="0"/>
      <w:marTop w:val="0"/>
      <w:marBottom w:val="0"/>
      <w:divBdr>
        <w:top w:val="none" w:sz="0" w:space="0" w:color="auto"/>
        <w:left w:val="none" w:sz="0" w:space="0" w:color="auto"/>
        <w:bottom w:val="none" w:sz="0" w:space="0" w:color="auto"/>
        <w:right w:val="none" w:sz="0" w:space="0" w:color="auto"/>
      </w:divBdr>
    </w:div>
    <w:div w:id="468404002">
      <w:bodyDiv w:val="1"/>
      <w:marLeft w:val="0"/>
      <w:marRight w:val="0"/>
      <w:marTop w:val="0"/>
      <w:marBottom w:val="0"/>
      <w:divBdr>
        <w:top w:val="none" w:sz="0" w:space="0" w:color="auto"/>
        <w:left w:val="none" w:sz="0" w:space="0" w:color="auto"/>
        <w:bottom w:val="none" w:sz="0" w:space="0" w:color="auto"/>
        <w:right w:val="none" w:sz="0" w:space="0" w:color="auto"/>
      </w:divBdr>
    </w:div>
    <w:div w:id="575480620">
      <w:bodyDiv w:val="1"/>
      <w:marLeft w:val="0"/>
      <w:marRight w:val="0"/>
      <w:marTop w:val="0"/>
      <w:marBottom w:val="0"/>
      <w:divBdr>
        <w:top w:val="none" w:sz="0" w:space="0" w:color="auto"/>
        <w:left w:val="none" w:sz="0" w:space="0" w:color="auto"/>
        <w:bottom w:val="none" w:sz="0" w:space="0" w:color="auto"/>
        <w:right w:val="none" w:sz="0" w:space="0" w:color="auto"/>
      </w:divBdr>
    </w:div>
    <w:div w:id="584386621">
      <w:bodyDiv w:val="1"/>
      <w:marLeft w:val="0"/>
      <w:marRight w:val="0"/>
      <w:marTop w:val="0"/>
      <w:marBottom w:val="0"/>
      <w:divBdr>
        <w:top w:val="none" w:sz="0" w:space="0" w:color="auto"/>
        <w:left w:val="none" w:sz="0" w:space="0" w:color="auto"/>
        <w:bottom w:val="none" w:sz="0" w:space="0" w:color="auto"/>
        <w:right w:val="none" w:sz="0" w:space="0" w:color="auto"/>
      </w:divBdr>
      <w:divsChild>
        <w:div w:id="1295522758">
          <w:marLeft w:val="0"/>
          <w:marRight w:val="0"/>
          <w:marTop w:val="0"/>
          <w:marBottom w:val="0"/>
          <w:divBdr>
            <w:top w:val="none" w:sz="0" w:space="0" w:color="auto"/>
            <w:left w:val="none" w:sz="0" w:space="0" w:color="auto"/>
            <w:bottom w:val="none" w:sz="0" w:space="0" w:color="auto"/>
            <w:right w:val="none" w:sz="0" w:space="0" w:color="auto"/>
          </w:divBdr>
        </w:div>
        <w:div w:id="429200818">
          <w:marLeft w:val="0"/>
          <w:marRight w:val="0"/>
          <w:marTop w:val="0"/>
          <w:marBottom w:val="0"/>
          <w:divBdr>
            <w:top w:val="none" w:sz="0" w:space="0" w:color="auto"/>
            <w:left w:val="none" w:sz="0" w:space="0" w:color="auto"/>
            <w:bottom w:val="none" w:sz="0" w:space="0" w:color="auto"/>
            <w:right w:val="none" w:sz="0" w:space="0" w:color="auto"/>
          </w:divBdr>
        </w:div>
        <w:div w:id="1273976049">
          <w:marLeft w:val="0"/>
          <w:marRight w:val="0"/>
          <w:marTop w:val="0"/>
          <w:marBottom w:val="0"/>
          <w:divBdr>
            <w:top w:val="none" w:sz="0" w:space="0" w:color="auto"/>
            <w:left w:val="none" w:sz="0" w:space="0" w:color="auto"/>
            <w:bottom w:val="none" w:sz="0" w:space="0" w:color="auto"/>
            <w:right w:val="none" w:sz="0" w:space="0" w:color="auto"/>
          </w:divBdr>
        </w:div>
        <w:div w:id="1643652333">
          <w:marLeft w:val="0"/>
          <w:marRight w:val="0"/>
          <w:marTop w:val="0"/>
          <w:marBottom w:val="0"/>
          <w:divBdr>
            <w:top w:val="none" w:sz="0" w:space="0" w:color="auto"/>
            <w:left w:val="none" w:sz="0" w:space="0" w:color="auto"/>
            <w:bottom w:val="none" w:sz="0" w:space="0" w:color="auto"/>
            <w:right w:val="none" w:sz="0" w:space="0" w:color="auto"/>
          </w:divBdr>
        </w:div>
        <w:div w:id="1526675568">
          <w:marLeft w:val="0"/>
          <w:marRight w:val="0"/>
          <w:marTop w:val="0"/>
          <w:marBottom w:val="0"/>
          <w:divBdr>
            <w:top w:val="none" w:sz="0" w:space="0" w:color="auto"/>
            <w:left w:val="none" w:sz="0" w:space="0" w:color="auto"/>
            <w:bottom w:val="none" w:sz="0" w:space="0" w:color="auto"/>
            <w:right w:val="none" w:sz="0" w:space="0" w:color="auto"/>
          </w:divBdr>
        </w:div>
        <w:div w:id="1457330109">
          <w:marLeft w:val="0"/>
          <w:marRight w:val="0"/>
          <w:marTop w:val="0"/>
          <w:marBottom w:val="0"/>
          <w:divBdr>
            <w:top w:val="none" w:sz="0" w:space="0" w:color="auto"/>
            <w:left w:val="none" w:sz="0" w:space="0" w:color="auto"/>
            <w:bottom w:val="none" w:sz="0" w:space="0" w:color="auto"/>
            <w:right w:val="none" w:sz="0" w:space="0" w:color="auto"/>
          </w:divBdr>
        </w:div>
        <w:div w:id="198399858">
          <w:marLeft w:val="0"/>
          <w:marRight w:val="0"/>
          <w:marTop w:val="0"/>
          <w:marBottom w:val="0"/>
          <w:divBdr>
            <w:top w:val="none" w:sz="0" w:space="0" w:color="auto"/>
            <w:left w:val="none" w:sz="0" w:space="0" w:color="auto"/>
            <w:bottom w:val="none" w:sz="0" w:space="0" w:color="auto"/>
            <w:right w:val="none" w:sz="0" w:space="0" w:color="auto"/>
          </w:divBdr>
        </w:div>
        <w:div w:id="853960715">
          <w:marLeft w:val="0"/>
          <w:marRight w:val="0"/>
          <w:marTop w:val="0"/>
          <w:marBottom w:val="0"/>
          <w:divBdr>
            <w:top w:val="none" w:sz="0" w:space="0" w:color="auto"/>
            <w:left w:val="none" w:sz="0" w:space="0" w:color="auto"/>
            <w:bottom w:val="none" w:sz="0" w:space="0" w:color="auto"/>
            <w:right w:val="none" w:sz="0" w:space="0" w:color="auto"/>
          </w:divBdr>
        </w:div>
        <w:div w:id="1418550256">
          <w:marLeft w:val="0"/>
          <w:marRight w:val="0"/>
          <w:marTop w:val="0"/>
          <w:marBottom w:val="0"/>
          <w:divBdr>
            <w:top w:val="none" w:sz="0" w:space="0" w:color="auto"/>
            <w:left w:val="none" w:sz="0" w:space="0" w:color="auto"/>
            <w:bottom w:val="none" w:sz="0" w:space="0" w:color="auto"/>
            <w:right w:val="none" w:sz="0" w:space="0" w:color="auto"/>
          </w:divBdr>
        </w:div>
        <w:div w:id="2120829428">
          <w:marLeft w:val="0"/>
          <w:marRight w:val="0"/>
          <w:marTop w:val="0"/>
          <w:marBottom w:val="0"/>
          <w:divBdr>
            <w:top w:val="none" w:sz="0" w:space="0" w:color="auto"/>
            <w:left w:val="none" w:sz="0" w:space="0" w:color="auto"/>
            <w:bottom w:val="none" w:sz="0" w:space="0" w:color="auto"/>
            <w:right w:val="none" w:sz="0" w:space="0" w:color="auto"/>
          </w:divBdr>
        </w:div>
        <w:div w:id="48309301">
          <w:marLeft w:val="0"/>
          <w:marRight w:val="0"/>
          <w:marTop w:val="0"/>
          <w:marBottom w:val="0"/>
          <w:divBdr>
            <w:top w:val="none" w:sz="0" w:space="0" w:color="auto"/>
            <w:left w:val="none" w:sz="0" w:space="0" w:color="auto"/>
            <w:bottom w:val="none" w:sz="0" w:space="0" w:color="auto"/>
            <w:right w:val="none" w:sz="0" w:space="0" w:color="auto"/>
          </w:divBdr>
        </w:div>
      </w:divsChild>
    </w:div>
    <w:div w:id="717971882">
      <w:bodyDiv w:val="1"/>
      <w:marLeft w:val="0"/>
      <w:marRight w:val="0"/>
      <w:marTop w:val="0"/>
      <w:marBottom w:val="0"/>
      <w:divBdr>
        <w:top w:val="none" w:sz="0" w:space="0" w:color="auto"/>
        <w:left w:val="none" w:sz="0" w:space="0" w:color="auto"/>
        <w:bottom w:val="none" w:sz="0" w:space="0" w:color="auto"/>
        <w:right w:val="none" w:sz="0" w:space="0" w:color="auto"/>
      </w:divBdr>
    </w:div>
    <w:div w:id="785122882">
      <w:bodyDiv w:val="1"/>
      <w:marLeft w:val="0"/>
      <w:marRight w:val="0"/>
      <w:marTop w:val="0"/>
      <w:marBottom w:val="0"/>
      <w:divBdr>
        <w:top w:val="none" w:sz="0" w:space="0" w:color="auto"/>
        <w:left w:val="none" w:sz="0" w:space="0" w:color="auto"/>
        <w:bottom w:val="none" w:sz="0" w:space="0" w:color="auto"/>
        <w:right w:val="none" w:sz="0" w:space="0" w:color="auto"/>
      </w:divBdr>
    </w:div>
    <w:div w:id="883517901">
      <w:bodyDiv w:val="1"/>
      <w:marLeft w:val="0"/>
      <w:marRight w:val="0"/>
      <w:marTop w:val="0"/>
      <w:marBottom w:val="0"/>
      <w:divBdr>
        <w:top w:val="none" w:sz="0" w:space="0" w:color="auto"/>
        <w:left w:val="none" w:sz="0" w:space="0" w:color="auto"/>
        <w:bottom w:val="none" w:sz="0" w:space="0" w:color="auto"/>
        <w:right w:val="none" w:sz="0" w:space="0" w:color="auto"/>
      </w:divBdr>
    </w:div>
    <w:div w:id="1130903119">
      <w:bodyDiv w:val="1"/>
      <w:marLeft w:val="0"/>
      <w:marRight w:val="0"/>
      <w:marTop w:val="0"/>
      <w:marBottom w:val="0"/>
      <w:divBdr>
        <w:top w:val="none" w:sz="0" w:space="0" w:color="auto"/>
        <w:left w:val="none" w:sz="0" w:space="0" w:color="auto"/>
        <w:bottom w:val="none" w:sz="0" w:space="0" w:color="auto"/>
        <w:right w:val="none" w:sz="0" w:space="0" w:color="auto"/>
      </w:divBdr>
      <w:divsChild>
        <w:div w:id="1033574501">
          <w:marLeft w:val="0"/>
          <w:marRight w:val="0"/>
          <w:marTop w:val="0"/>
          <w:marBottom w:val="0"/>
          <w:divBdr>
            <w:top w:val="none" w:sz="0" w:space="0" w:color="auto"/>
            <w:left w:val="none" w:sz="0" w:space="0" w:color="auto"/>
            <w:bottom w:val="none" w:sz="0" w:space="0" w:color="auto"/>
            <w:right w:val="none" w:sz="0" w:space="0" w:color="auto"/>
          </w:divBdr>
        </w:div>
        <w:div w:id="174539796">
          <w:marLeft w:val="0"/>
          <w:marRight w:val="0"/>
          <w:marTop w:val="0"/>
          <w:marBottom w:val="0"/>
          <w:divBdr>
            <w:top w:val="none" w:sz="0" w:space="0" w:color="auto"/>
            <w:left w:val="none" w:sz="0" w:space="0" w:color="auto"/>
            <w:bottom w:val="none" w:sz="0" w:space="0" w:color="auto"/>
            <w:right w:val="none" w:sz="0" w:space="0" w:color="auto"/>
          </w:divBdr>
        </w:div>
        <w:div w:id="2102984988">
          <w:marLeft w:val="0"/>
          <w:marRight w:val="0"/>
          <w:marTop w:val="0"/>
          <w:marBottom w:val="0"/>
          <w:divBdr>
            <w:top w:val="none" w:sz="0" w:space="0" w:color="auto"/>
            <w:left w:val="none" w:sz="0" w:space="0" w:color="auto"/>
            <w:bottom w:val="none" w:sz="0" w:space="0" w:color="auto"/>
            <w:right w:val="none" w:sz="0" w:space="0" w:color="auto"/>
          </w:divBdr>
        </w:div>
        <w:div w:id="334963029">
          <w:marLeft w:val="0"/>
          <w:marRight w:val="0"/>
          <w:marTop w:val="0"/>
          <w:marBottom w:val="0"/>
          <w:divBdr>
            <w:top w:val="none" w:sz="0" w:space="0" w:color="auto"/>
            <w:left w:val="none" w:sz="0" w:space="0" w:color="auto"/>
            <w:bottom w:val="none" w:sz="0" w:space="0" w:color="auto"/>
            <w:right w:val="none" w:sz="0" w:space="0" w:color="auto"/>
          </w:divBdr>
        </w:div>
        <w:div w:id="163858960">
          <w:marLeft w:val="0"/>
          <w:marRight w:val="0"/>
          <w:marTop w:val="0"/>
          <w:marBottom w:val="0"/>
          <w:divBdr>
            <w:top w:val="none" w:sz="0" w:space="0" w:color="auto"/>
            <w:left w:val="none" w:sz="0" w:space="0" w:color="auto"/>
            <w:bottom w:val="none" w:sz="0" w:space="0" w:color="auto"/>
            <w:right w:val="none" w:sz="0" w:space="0" w:color="auto"/>
          </w:divBdr>
        </w:div>
        <w:div w:id="1812866314">
          <w:marLeft w:val="0"/>
          <w:marRight w:val="0"/>
          <w:marTop w:val="0"/>
          <w:marBottom w:val="0"/>
          <w:divBdr>
            <w:top w:val="none" w:sz="0" w:space="0" w:color="auto"/>
            <w:left w:val="none" w:sz="0" w:space="0" w:color="auto"/>
            <w:bottom w:val="none" w:sz="0" w:space="0" w:color="auto"/>
            <w:right w:val="none" w:sz="0" w:space="0" w:color="auto"/>
          </w:divBdr>
        </w:div>
        <w:div w:id="1471485288">
          <w:marLeft w:val="0"/>
          <w:marRight w:val="0"/>
          <w:marTop w:val="0"/>
          <w:marBottom w:val="0"/>
          <w:divBdr>
            <w:top w:val="none" w:sz="0" w:space="0" w:color="auto"/>
            <w:left w:val="none" w:sz="0" w:space="0" w:color="auto"/>
            <w:bottom w:val="none" w:sz="0" w:space="0" w:color="auto"/>
            <w:right w:val="none" w:sz="0" w:space="0" w:color="auto"/>
          </w:divBdr>
        </w:div>
        <w:div w:id="21253833">
          <w:marLeft w:val="0"/>
          <w:marRight w:val="0"/>
          <w:marTop w:val="0"/>
          <w:marBottom w:val="0"/>
          <w:divBdr>
            <w:top w:val="none" w:sz="0" w:space="0" w:color="auto"/>
            <w:left w:val="none" w:sz="0" w:space="0" w:color="auto"/>
            <w:bottom w:val="none" w:sz="0" w:space="0" w:color="auto"/>
            <w:right w:val="none" w:sz="0" w:space="0" w:color="auto"/>
          </w:divBdr>
        </w:div>
        <w:div w:id="1848055868">
          <w:marLeft w:val="0"/>
          <w:marRight w:val="0"/>
          <w:marTop w:val="0"/>
          <w:marBottom w:val="0"/>
          <w:divBdr>
            <w:top w:val="none" w:sz="0" w:space="0" w:color="auto"/>
            <w:left w:val="none" w:sz="0" w:space="0" w:color="auto"/>
            <w:bottom w:val="none" w:sz="0" w:space="0" w:color="auto"/>
            <w:right w:val="none" w:sz="0" w:space="0" w:color="auto"/>
          </w:divBdr>
        </w:div>
        <w:div w:id="748892308">
          <w:marLeft w:val="0"/>
          <w:marRight w:val="0"/>
          <w:marTop w:val="0"/>
          <w:marBottom w:val="0"/>
          <w:divBdr>
            <w:top w:val="none" w:sz="0" w:space="0" w:color="auto"/>
            <w:left w:val="none" w:sz="0" w:space="0" w:color="auto"/>
            <w:bottom w:val="none" w:sz="0" w:space="0" w:color="auto"/>
            <w:right w:val="none" w:sz="0" w:space="0" w:color="auto"/>
          </w:divBdr>
        </w:div>
        <w:div w:id="990208929">
          <w:marLeft w:val="0"/>
          <w:marRight w:val="0"/>
          <w:marTop w:val="0"/>
          <w:marBottom w:val="0"/>
          <w:divBdr>
            <w:top w:val="none" w:sz="0" w:space="0" w:color="auto"/>
            <w:left w:val="none" w:sz="0" w:space="0" w:color="auto"/>
            <w:bottom w:val="none" w:sz="0" w:space="0" w:color="auto"/>
            <w:right w:val="none" w:sz="0" w:space="0" w:color="auto"/>
          </w:divBdr>
        </w:div>
        <w:div w:id="1072505054">
          <w:marLeft w:val="0"/>
          <w:marRight w:val="0"/>
          <w:marTop w:val="0"/>
          <w:marBottom w:val="0"/>
          <w:divBdr>
            <w:top w:val="none" w:sz="0" w:space="0" w:color="auto"/>
            <w:left w:val="none" w:sz="0" w:space="0" w:color="auto"/>
            <w:bottom w:val="none" w:sz="0" w:space="0" w:color="auto"/>
            <w:right w:val="none" w:sz="0" w:space="0" w:color="auto"/>
          </w:divBdr>
        </w:div>
        <w:div w:id="217593403">
          <w:marLeft w:val="0"/>
          <w:marRight w:val="0"/>
          <w:marTop w:val="0"/>
          <w:marBottom w:val="0"/>
          <w:divBdr>
            <w:top w:val="none" w:sz="0" w:space="0" w:color="auto"/>
            <w:left w:val="none" w:sz="0" w:space="0" w:color="auto"/>
            <w:bottom w:val="none" w:sz="0" w:space="0" w:color="auto"/>
            <w:right w:val="none" w:sz="0" w:space="0" w:color="auto"/>
          </w:divBdr>
        </w:div>
        <w:div w:id="8221250">
          <w:marLeft w:val="0"/>
          <w:marRight w:val="0"/>
          <w:marTop w:val="0"/>
          <w:marBottom w:val="0"/>
          <w:divBdr>
            <w:top w:val="none" w:sz="0" w:space="0" w:color="auto"/>
            <w:left w:val="none" w:sz="0" w:space="0" w:color="auto"/>
            <w:bottom w:val="none" w:sz="0" w:space="0" w:color="auto"/>
            <w:right w:val="none" w:sz="0" w:space="0" w:color="auto"/>
          </w:divBdr>
        </w:div>
        <w:div w:id="1725523230">
          <w:marLeft w:val="0"/>
          <w:marRight w:val="0"/>
          <w:marTop w:val="0"/>
          <w:marBottom w:val="0"/>
          <w:divBdr>
            <w:top w:val="none" w:sz="0" w:space="0" w:color="auto"/>
            <w:left w:val="none" w:sz="0" w:space="0" w:color="auto"/>
            <w:bottom w:val="none" w:sz="0" w:space="0" w:color="auto"/>
            <w:right w:val="none" w:sz="0" w:space="0" w:color="auto"/>
          </w:divBdr>
        </w:div>
        <w:div w:id="1698575827">
          <w:marLeft w:val="0"/>
          <w:marRight w:val="0"/>
          <w:marTop w:val="0"/>
          <w:marBottom w:val="0"/>
          <w:divBdr>
            <w:top w:val="none" w:sz="0" w:space="0" w:color="auto"/>
            <w:left w:val="none" w:sz="0" w:space="0" w:color="auto"/>
            <w:bottom w:val="none" w:sz="0" w:space="0" w:color="auto"/>
            <w:right w:val="none" w:sz="0" w:space="0" w:color="auto"/>
          </w:divBdr>
        </w:div>
        <w:div w:id="1972705340">
          <w:marLeft w:val="0"/>
          <w:marRight w:val="0"/>
          <w:marTop w:val="0"/>
          <w:marBottom w:val="0"/>
          <w:divBdr>
            <w:top w:val="none" w:sz="0" w:space="0" w:color="auto"/>
            <w:left w:val="none" w:sz="0" w:space="0" w:color="auto"/>
            <w:bottom w:val="none" w:sz="0" w:space="0" w:color="auto"/>
            <w:right w:val="none" w:sz="0" w:space="0" w:color="auto"/>
          </w:divBdr>
        </w:div>
        <w:div w:id="1976445969">
          <w:marLeft w:val="0"/>
          <w:marRight w:val="0"/>
          <w:marTop w:val="0"/>
          <w:marBottom w:val="0"/>
          <w:divBdr>
            <w:top w:val="none" w:sz="0" w:space="0" w:color="auto"/>
            <w:left w:val="none" w:sz="0" w:space="0" w:color="auto"/>
            <w:bottom w:val="none" w:sz="0" w:space="0" w:color="auto"/>
            <w:right w:val="none" w:sz="0" w:space="0" w:color="auto"/>
          </w:divBdr>
        </w:div>
        <w:div w:id="1552379524">
          <w:marLeft w:val="0"/>
          <w:marRight w:val="0"/>
          <w:marTop w:val="0"/>
          <w:marBottom w:val="0"/>
          <w:divBdr>
            <w:top w:val="none" w:sz="0" w:space="0" w:color="auto"/>
            <w:left w:val="none" w:sz="0" w:space="0" w:color="auto"/>
            <w:bottom w:val="none" w:sz="0" w:space="0" w:color="auto"/>
            <w:right w:val="none" w:sz="0" w:space="0" w:color="auto"/>
          </w:divBdr>
        </w:div>
        <w:div w:id="2077436448">
          <w:marLeft w:val="0"/>
          <w:marRight w:val="0"/>
          <w:marTop w:val="0"/>
          <w:marBottom w:val="0"/>
          <w:divBdr>
            <w:top w:val="none" w:sz="0" w:space="0" w:color="auto"/>
            <w:left w:val="none" w:sz="0" w:space="0" w:color="auto"/>
            <w:bottom w:val="none" w:sz="0" w:space="0" w:color="auto"/>
            <w:right w:val="none" w:sz="0" w:space="0" w:color="auto"/>
          </w:divBdr>
        </w:div>
        <w:div w:id="1029532362">
          <w:marLeft w:val="0"/>
          <w:marRight w:val="0"/>
          <w:marTop w:val="0"/>
          <w:marBottom w:val="0"/>
          <w:divBdr>
            <w:top w:val="none" w:sz="0" w:space="0" w:color="auto"/>
            <w:left w:val="none" w:sz="0" w:space="0" w:color="auto"/>
            <w:bottom w:val="none" w:sz="0" w:space="0" w:color="auto"/>
            <w:right w:val="none" w:sz="0" w:space="0" w:color="auto"/>
          </w:divBdr>
        </w:div>
        <w:div w:id="1059205236">
          <w:marLeft w:val="0"/>
          <w:marRight w:val="0"/>
          <w:marTop w:val="0"/>
          <w:marBottom w:val="0"/>
          <w:divBdr>
            <w:top w:val="none" w:sz="0" w:space="0" w:color="auto"/>
            <w:left w:val="none" w:sz="0" w:space="0" w:color="auto"/>
            <w:bottom w:val="none" w:sz="0" w:space="0" w:color="auto"/>
            <w:right w:val="none" w:sz="0" w:space="0" w:color="auto"/>
          </w:divBdr>
        </w:div>
        <w:div w:id="1586573891">
          <w:marLeft w:val="0"/>
          <w:marRight w:val="0"/>
          <w:marTop w:val="0"/>
          <w:marBottom w:val="0"/>
          <w:divBdr>
            <w:top w:val="none" w:sz="0" w:space="0" w:color="auto"/>
            <w:left w:val="none" w:sz="0" w:space="0" w:color="auto"/>
            <w:bottom w:val="none" w:sz="0" w:space="0" w:color="auto"/>
            <w:right w:val="none" w:sz="0" w:space="0" w:color="auto"/>
          </w:divBdr>
        </w:div>
        <w:div w:id="1527599677">
          <w:marLeft w:val="0"/>
          <w:marRight w:val="0"/>
          <w:marTop w:val="0"/>
          <w:marBottom w:val="0"/>
          <w:divBdr>
            <w:top w:val="none" w:sz="0" w:space="0" w:color="auto"/>
            <w:left w:val="none" w:sz="0" w:space="0" w:color="auto"/>
            <w:bottom w:val="none" w:sz="0" w:space="0" w:color="auto"/>
            <w:right w:val="none" w:sz="0" w:space="0" w:color="auto"/>
          </w:divBdr>
        </w:div>
        <w:div w:id="1917859705">
          <w:marLeft w:val="0"/>
          <w:marRight w:val="0"/>
          <w:marTop w:val="0"/>
          <w:marBottom w:val="0"/>
          <w:divBdr>
            <w:top w:val="none" w:sz="0" w:space="0" w:color="auto"/>
            <w:left w:val="none" w:sz="0" w:space="0" w:color="auto"/>
            <w:bottom w:val="none" w:sz="0" w:space="0" w:color="auto"/>
            <w:right w:val="none" w:sz="0" w:space="0" w:color="auto"/>
          </w:divBdr>
        </w:div>
        <w:div w:id="1591159363">
          <w:marLeft w:val="0"/>
          <w:marRight w:val="0"/>
          <w:marTop w:val="0"/>
          <w:marBottom w:val="0"/>
          <w:divBdr>
            <w:top w:val="none" w:sz="0" w:space="0" w:color="auto"/>
            <w:left w:val="none" w:sz="0" w:space="0" w:color="auto"/>
            <w:bottom w:val="none" w:sz="0" w:space="0" w:color="auto"/>
            <w:right w:val="none" w:sz="0" w:space="0" w:color="auto"/>
          </w:divBdr>
        </w:div>
        <w:div w:id="189225128">
          <w:marLeft w:val="0"/>
          <w:marRight w:val="0"/>
          <w:marTop w:val="0"/>
          <w:marBottom w:val="0"/>
          <w:divBdr>
            <w:top w:val="none" w:sz="0" w:space="0" w:color="auto"/>
            <w:left w:val="none" w:sz="0" w:space="0" w:color="auto"/>
            <w:bottom w:val="none" w:sz="0" w:space="0" w:color="auto"/>
            <w:right w:val="none" w:sz="0" w:space="0" w:color="auto"/>
          </w:divBdr>
        </w:div>
      </w:divsChild>
    </w:div>
    <w:div w:id="1222328331">
      <w:bodyDiv w:val="1"/>
      <w:marLeft w:val="0"/>
      <w:marRight w:val="0"/>
      <w:marTop w:val="0"/>
      <w:marBottom w:val="0"/>
      <w:divBdr>
        <w:top w:val="none" w:sz="0" w:space="0" w:color="auto"/>
        <w:left w:val="none" w:sz="0" w:space="0" w:color="auto"/>
        <w:bottom w:val="none" w:sz="0" w:space="0" w:color="auto"/>
        <w:right w:val="none" w:sz="0" w:space="0" w:color="auto"/>
      </w:divBdr>
    </w:div>
    <w:div w:id="1284460805">
      <w:bodyDiv w:val="1"/>
      <w:marLeft w:val="0"/>
      <w:marRight w:val="0"/>
      <w:marTop w:val="0"/>
      <w:marBottom w:val="0"/>
      <w:divBdr>
        <w:top w:val="none" w:sz="0" w:space="0" w:color="auto"/>
        <w:left w:val="none" w:sz="0" w:space="0" w:color="auto"/>
        <w:bottom w:val="none" w:sz="0" w:space="0" w:color="auto"/>
        <w:right w:val="none" w:sz="0" w:space="0" w:color="auto"/>
      </w:divBdr>
    </w:div>
    <w:div w:id="1294171542">
      <w:bodyDiv w:val="1"/>
      <w:marLeft w:val="0"/>
      <w:marRight w:val="0"/>
      <w:marTop w:val="0"/>
      <w:marBottom w:val="0"/>
      <w:divBdr>
        <w:top w:val="none" w:sz="0" w:space="0" w:color="auto"/>
        <w:left w:val="none" w:sz="0" w:space="0" w:color="auto"/>
        <w:bottom w:val="none" w:sz="0" w:space="0" w:color="auto"/>
        <w:right w:val="none" w:sz="0" w:space="0" w:color="auto"/>
      </w:divBdr>
    </w:div>
    <w:div w:id="1365134391">
      <w:bodyDiv w:val="1"/>
      <w:marLeft w:val="0"/>
      <w:marRight w:val="0"/>
      <w:marTop w:val="0"/>
      <w:marBottom w:val="0"/>
      <w:divBdr>
        <w:top w:val="none" w:sz="0" w:space="0" w:color="auto"/>
        <w:left w:val="none" w:sz="0" w:space="0" w:color="auto"/>
        <w:bottom w:val="none" w:sz="0" w:space="0" w:color="auto"/>
        <w:right w:val="none" w:sz="0" w:space="0" w:color="auto"/>
      </w:divBdr>
    </w:div>
    <w:div w:id="1572886031">
      <w:bodyDiv w:val="1"/>
      <w:marLeft w:val="0"/>
      <w:marRight w:val="0"/>
      <w:marTop w:val="0"/>
      <w:marBottom w:val="0"/>
      <w:divBdr>
        <w:top w:val="none" w:sz="0" w:space="0" w:color="auto"/>
        <w:left w:val="none" w:sz="0" w:space="0" w:color="auto"/>
        <w:bottom w:val="none" w:sz="0" w:space="0" w:color="auto"/>
        <w:right w:val="none" w:sz="0" w:space="0" w:color="auto"/>
      </w:divBdr>
    </w:div>
    <w:div w:id="175107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1908-020-0713-6" TargetMode="External"/><Relationship Id="rId21" Type="http://schemas.openxmlformats.org/officeDocument/2006/relationships/hyperlink" Target="https://doi.org/10.3855/jidc.18716" TargetMode="External"/><Relationship Id="rId42" Type="http://schemas.openxmlformats.org/officeDocument/2006/relationships/hyperlink" Target="https://doi.org/10.4236/ojepi.2021.113018" TargetMode="External"/><Relationship Id="rId47" Type="http://schemas.openxmlformats.org/officeDocument/2006/relationships/hyperlink" Target="https://doi.org/10.56557/jodagh/2025/v18i29554" TargetMode="External"/><Relationship Id="rId63" Type="http://schemas.openxmlformats.org/officeDocument/2006/relationships/hyperlink" Target="https://doi.org/10.15580/GJAS.2018.10.082118119" TargetMode="External"/><Relationship Id="rId68" Type="http://schemas.openxmlformats.org/officeDocument/2006/relationships/hyperlink" Target="https://www.who.int/news-room/fact-sheets/detail/diarrhoeal-disease" TargetMode="External"/><Relationship Id="rId16" Type="http://schemas.openxmlformats.org/officeDocument/2006/relationships/hyperlink" Target="https://doi.org/10.1128/IAI.00183-18" TargetMode="External"/><Relationship Id="rId11" Type="http://schemas.openxmlformats.org/officeDocument/2006/relationships/hyperlink" Target="https://doi.org/10.7189/jogh.14.04212" TargetMode="External"/><Relationship Id="rId24" Type="http://schemas.openxmlformats.org/officeDocument/2006/relationships/hyperlink" Target="https://doi.org/10.3389/fmed.2022.892265" TargetMode="External"/><Relationship Id="rId32" Type="http://schemas.openxmlformats.org/officeDocument/2006/relationships/hyperlink" Target="https://doi.org/10.4236/aim.2024.1410034" TargetMode="External"/><Relationship Id="rId37" Type="http://schemas.openxmlformats.org/officeDocument/2006/relationships/hyperlink" Target="https://doi.org/10.1152/ajpgi.00316.2021" TargetMode="External"/><Relationship Id="rId40" Type="http://schemas.openxmlformats.org/officeDocument/2006/relationships/hyperlink" Target="https://doi.org/10.1155/2022/2655801" TargetMode="External"/><Relationship Id="rId45" Type="http://schemas.openxmlformats.org/officeDocument/2006/relationships/hyperlink" Target="https://www.questjournals.org/jmdsr/v8-i8.html" TargetMode="External"/><Relationship Id="rId53" Type="http://schemas.openxmlformats.org/officeDocument/2006/relationships/hyperlink" Target="https://doi.org/10.1016/j.emc.2023.07.005" TargetMode="External"/><Relationship Id="rId58" Type="http://schemas.openxmlformats.org/officeDocument/2006/relationships/hyperlink" Target="https://doi.org/10.1128/microbiolspec.BAI-0023-2019" TargetMode="External"/><Relationship Id="rId66" Type="http://schemas.openxmlformats.org/officeDocument/2006/relationships/hyperlink" Target="https://doi.org/10.1080/17474124.2017.1343143" TargetMode="External"/><Relationship Id="rId74"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doi.org/10.54117/gjpas.v1i1.10" TargetMode="External"/><Relationship Id="rId19" Type="http://schemas.openxmlformats.org/officeDocument/2006/relationships/hyperlink" Target="https://doi.org/10.9734/jamb/2023/v23i12773" TargetMode="External"/><Relationship Id="rId14" Type="http://schemas.openxmlformats.org/officeDocument/2006/relationships/hyperlink" Target="https://doi.org/10.15406/mojph.2018.07.00248" TargetMode="External"/><Relationship Id="rId22" Type="http://schemas.openxmlformats.org/officeDocument/2006/relationships/hyperlink" Target="https://doi.org/10.11648/j.sjph.20140205.24" TargetMode="External"/><Relationship Id="rId27" Type="http://schemas.openxmlformats.org/officeDocument/2006/relationships/hyperlink" Target="https://doi.org/10.1016/S1473-3099(24)00691-1" TargetMode="External"/><Relationship Id="rId30" Type="http://schemas.openxmlformats.org/officeDocument/2006/relationships/hyperlink" Target="https://doi.org/10.1128/ecosalplus.esp-0001-2023" TargetMode="External"/><Relationship Id="rId35" Type="http://schemas.openxmlformats.org/officeDocument/2006/relationships/hyperlink" Target="https://doi.org/10.18203/2349-3291.ijcp20230088" TargetMode="External"/><Relationship Id="rId43" Type="http://schemas.openxmlformats.org/officeDocument/2006/relationships/hyperlink" Target="https://doi.org/10.3934/publichealth.2025039" TargetMode="External"/><Relationship Id="rId48" Type="http://schemas.openxmlformats.org/officeDocument/2006/relationships/hyperlink" Target="https://doi.org/10.11604/pamj.2020.37.115.17735" TargetMode="External"/><Relationship Id="rId56" Type="http://schemas.openxmlformats.org/officeDocument/2006/relationships/hyperlink" Target="https://doi.org/10.1073/pnas.2400226121" TargetMode="External"/><Relationship Id="rId64" Type="http://schemas.openxmlformats.org/officeDocument/2006/relationships/hyperlink" Target="https://doi.org/10.1016/j.heliyon.2020.e03690" TargetMode="External"/><Relationship Id="rId69" Type="http://schemas.openxmlformats.org/officeDocument/2006/relationships/hyperlink" Target="https://doi.org/10.2166/wh.2024.186" TargetMode="External"/><Relationship Id="rId77" Type="http://schemas.openxmlformats.org/officeDocument/2006/relationships/theme" Target="theme/theme1.xml"/><Relationship Id="rId8" Type="http://schemas.openxmlformats.org/officeDocument/2006/relationships/hyperlink" Target="https://doi.org/10.1371/journal.pone.0275495" TargetMode="External"/><Relationship Id="rId51" Type="http://schemas.openxmlformats.org/officeDocument/2006/relationships/hyperlink" Target="https://doi.org/10.3390/ijms24032448"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oi.org/10.46619/joccr.2022.5-S8.1048" TargetMode="External"/><Relationship Id="rId17" Type="http://schemas.openxmlformats.org/officeDocument/2006/relationships/hyperlink" Target="https://doi.org/10.3390/nu15194093" TargetMode="External"/><Relationship Id="rId25" Type="http://schemas.openxmlformats.org/officeDocument/2006/relationships/hyperlink" Target="https://doi.org/10.3389/fnut.2024.1494348" TargetMode="External"/><Relationship Id="rId33" Type="http://schemas.openxmlformats.org/officeDocument/2006/relationships/hyperlink" Target="https://doi.org/10.3390/diseases13110380" TargetMode="External"/><Relationship Id="rId38" Type="http://schemas.openxmlformats.org/officeDocument/2006/relationships/hyperlink" Target="https://doi.org/10.1371/journal.pgph.0004588" TargetMode="External"/><Relationship Id="rId46" Type="http://schemas.openxmlformats.org/officeDocument/2006/relationships/hyperlink" Target="https://doi.org/10.59298/RIJPP/2025/416670" TargetMode="External"/><Relationship Id="rId59" Type="http://schemas.openxmlformats.org/officeDocument/2006/relationships/hyperlink" Target="https://doi.org/10.53350/pjmhs221610828" TargetMode="External"/><Relationship Id="rId67" Type="http://schemas.openxmlformats.org/officeDocument/2006/relationships/hyperlink" Target="https://doi.org/10.3390/biom12070900" TargetMode="External"/><Relationship Id="rId20" Type="http://schemas.openxmlformats.org/officeDocument/2006/relationships/hyperlink" Target="https://doi.org/10.7189/jogh.14.04168" TargetMode="External"/><Relationship Id="rId41" Type="http://schemas.openxmlformats.org/officeDocument/2006/relationships/hyperlink" Target="https://doi.org/10.1016/S0140-6736(16)31529-X" TargetMode="External"/><Relationship Id="rId54" Type="http://schemas.openxmlformats.org/officeDocument/2006/relationships/hyperlink" Target="https://doi.org/10.3390/toxins16040182" TargetMode="External"/><Relationship Id="rId62" Type="http://schemas.openxmlformats.org/officeDocument/2006/relationships/hyperlink" Target="https://doi.org/10.11648/j.wjph.20251004.17"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86/s12889-020-08595-8" TargetMode="External"/><Relationship Id="rId23" Type="http://schemas.openxmlformats.org/officeDocument/2006/relationships/hyperlink" Target="https://doi.org/10.56557/ajmab/2025/v10i29848" TargetMode="External"/><Relationship Id="rId28" Type="http://schemas.openxmlformats.org/officeDocument/2006/relationships/hyperlink" Target="https://doi.org/10.1186/s41256-025-00428-8" TargetMode="External"/><Relationship Id="rId36" Type="http://schemas.openxmlformats.org/officeDocument/2006/relationships/hyperlink" Target="https://doi.org/10.4103/1115-2613.278772" TargetMode="External"/><Relationship Id="rId49" Type="http://schemas.openxmlformats.org/officeDocument/2006/relationships/hyperlink" Target="https://doi.org/10.3153/FH24030" TargetMode="External"/><Relationship Id="rId57" Type="http://schemas.openxmlformats.org/officeDocument/2006/relationships/hyperlink" Target="https://doi.org/10.7189/jogh.15.04350" TargetMode="External"/><Relationship Id="rId10" Type="http://schemas.openxmlformats.org/officeDocument/2006/relationships/hyperlink" Target="https://doi.org/10.4269/ajtmh.22-0532" TargetMode="External"/><Relationship Id="rId31" Type="http://schemas.openxmlformats.org/officeDocument/2006/relationships/hyperlink" Target="https://doi.org/10.21203/rs.2.22226/v1" TargetMode="External"/><Relationship Id="rId44" Type="http://schemas.openxmlformats.org/officeDocument/2006/relationships/hyperlink" Target="https://doi.org/10.3389/fmed.2023.1155751" TargetMode="External"/><Relationship Id="rId52" Type="http://schemas.openxmlformats.org/officeDocument/2006/relationships/hyperlink" Target="https://doi.org/10.33846/sf170514" TargetMode="External"/><Relationship Id="rId60" Type="http://schemas.openxmlformats.org/officeDocument/2006/relationships/hyperlink" Target="https://doi.org/10.3389/fneur.2021.805643" TargetMode="External"/><Relationship Id="rId65" Type="http://schemas.openxmlformats.org/officeDocument/2006/relationships/hyperlink" Target="https://data.unicef.org/topic/child-health/diarrhoeal-disease/" TargetMode="External"/><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7759/cureus.83475" TargetMode="External"/><Relationship Id="rId13" Type="http://schemas.openxmlformats.org/officeDocument/2006/relationships/hyperlink" Target="https://doi.org/10.3390/toxins9020060" TargetMode="External"/><Relationship Id="rId18" Type="http://schemas.openxmlformats.org/officeDocument/2006/relationships/hyperlink" Target="https://doi.org/10.53555/AJBR.v28i3S.7264" TargetMode="External"/><Relationship Id="rId39" Type="http://schemas.openxmlformats.org/officeDocument/2006/relationships/hyperlink" Target="https://doi.org/10.1136/bmjopen-2021-051744" TargetMode="External"/><Relationship Id="rId34" Type="http://schemas.openxmlformats.org/officeDocument/2006/relationships/hyperlink" Target="https://doi.org/10.9734/ajrrga/2026/v9i1210" TargetMode="External"/><Relationship Id="rId50" Type="http://schemas.openxmlformats.org/officeDocument/2006/relationships/hyperlink" Target="https://doi.org/10.31579/2835-9232/036" TargetMode="External"/><Relationship Id="rId55" Type="http://schemas.openxmlformats.org/officeDocument/2006/relationships/hyperlink" Target="https://doi.org/10.1038/s41579-022-00794-x" TargetMode="External"/><Relationship Id="rId76" Type="http://schemas.openxmlformats.org/officeDocument/2006/relationships/fontTable" Target="fontTable.xml"/><Relationship Id="rId7" Type="http://schemas.openxmlformats.org/officeDocument/2006/relationships/hyperlink" Target="https://doi.org/10.9734/mrji/2025/v35i31554" TargetMode="External"/><Relationship Id="rId71" Type="http://schemas.openxmlformats.org/officeDocument/2006/relationships/header" Target="header2.xml"/><Relationship Id="rId2" Type="http://schemas.openxmlformats.org/officeDocument/2006/relationships/styles" Target="styles.xml"/><Relationship Id="rId29" Type="http://schemas.openxmlformats.org/officeDocument/2006/relationships/hyperlink" Target="https://doi.org/10.1021/acsinfecdis.0c008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9410</Words>
  <Characters>53639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Owo Gogo</dc:creator>
  <cp:keywords/>
  <dc:description/>
  <cp:lastModifiedBy>SDI 1087</cp:lastModifiedBy>
  <cp:revision>15</cp:revision>
  <dcterms:created xsi:type="dcterms:W3CDTF">2026-07-24T15:51:00Z</dcterms:created>
  <dcterms:modified xsi:type="dcterms:W3CDTF">2026-07-30T05:01:00Z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0a22aade-4e87-46a7-9a02-c961df9a3370</vt:lpwstr>
  </property>
</Properties>
</file>