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06DC6C" w14:textId="77777777" w:rsidR="00FF0471" w:rsidRDefault="00FF0471" w:rsidP="00FF0471">
      <w:pPr>
        <w:pStyle w:val="Title"/>
        <w:spacing w:after="0"/>
        <w:jc w:val="both"/>
        <w:rPr>
          <w:rFonts w:ascii="Arial" w:hAnsi="Arial" w:cs="Arial"/>
        </w:rPr>
      </w:pPr>
    </w:p>
    <w:p w14:paraId="0342EE56" w14:textId="77777777" w:rsidR="00712C7B" w:rsidRPr="00E0573F" w:rsidRDefault="00712C7B" w:rsidP="00EE765B">
      <w:pPr>
        <w:jc w:val="right"/>
        <w:rPr>
          <w:b/>
        </w:rPr>
      </w:pPr>
      <w:r w:rsidRPr="00E0573F">
        <w:rPr>
          <w:b/>
        </w:rPr>
        <w:t xml:space="preserve">Original Research </w:t>
      </w:r>
      <w:r w:rsidR="00DF07A7" w:rsidRPr="00E0573F">
        <w:rPr>
          <w:b/>
        </w:rPr>
        <w:t>Article</w:t>
      </w:r>
    </w:p>
    <w:p w14:paraId="39BE02AE" w14:textId="77777777" w:rsidR="009639DD" w:rsidRPr="00E0573F" w:rsidRDefault="009639DD" w:rsidP="00EE765B">
      <w:pPr>
        <w:jc w:val="right"/>
        <w:rPr>
          <w:rFonts w:ascii="Arial" w:hAnsi="Arial" w:cs="Arial"/>
          <w:b/>
          <w:sz w:val="36"/>
          <w:szCs w:val="36"/>
        </w:rPr>
      </w:pPr>
    </w:p>
    <w:p w14:paraId="497991D9" w14:textId="77777777" w:rsidR="00EE765B" w:rsidRPr="00E0573F" w:rsidRDefault="00EE765B" w:rsidP="00EE765B">
      <w:pPr>
        <w:jc w:val="right"/>
        <w:rPr>
          <w:rFonts w:ascii="Arial" w:hAnsi="Arial" w:cs="Arial"/>
          <w:b/>
          <w:sz w:val="36"/>
          <w:szCs w:val="36"/>
        </w:rPr>
      </w:pPr>
      <w:r w:rsidRPr="00E0573F">
        <w:rPr>
          <w:rFonts w:ascii="Arial" w:hAnsi="Arial" w:cs="Arial"/>
          <w:b/>
          <w:sz w:val="36"/>
          <w:szCs w:val="36"/>
        </w:rPr>
        <w:t>Assessment of the Prevalence Rate and Risk Factors of Tuberculosis among High-Risk Populations in</w:t>
      </w:r>
      <w:r w:rsidR="00E10072" w:rsidRPr="00E0573F">
        <w:rPr>
          <w:rFonts w:ascii="Arial" w:hAnsi="Arial" w:cs="Arial"/>
          <w:b/>
          <w:sz w:val="36"/>
          <w:szCs w:val="36"/>
        </w:rPr>
        <w:t xml:space="preserve"> Makurdi Local Government Area o</w:t>
      </w:r>
      <w:r w:rsidRPr="00E0573F">
        <w:rPr>
          <w:rFonts w:ascii="Arial" w:hAnsi="Arial" w:cs="Arial"/>
          <w:b/>
          <w:sz w:val="36"/>
          <w:szCs w:val="36"/>
        </w:rPr>
        <w:t>f Benue State</w:t>
      </w:r>
      <w:r w:rsidR="00E10072" w:rsidRPr="00E0573F">
        <w:rPr>
          <w:rFonts w:ascii="Arial" w:hAnsi="Arial" w:cs="Arial"/>
          <w:b/>
          <w:sz w:val="36"/>
          <w:szCs w:val="36"/>
        </w:rPr>
        <w:t>, Nigeria</w:t>
      </w:r>
    </w:p>
    <w:p w14:paraId="57DD0AFF" w14:textId="77777777" w:rsidR="002F22AC" w:rsidRPr="00E0573F" w:rsidRDefault="002F22AC" w:rsidP="002F22AC">
      <w:pPr>
        <w:pStyle w:val="Footer"/>
      </w:pPr>
    </w:p>
    <w:p w14:paraId="55FBB852" w14:textId="77777777" w:rsidR="002F22AC" w:rsidRPr="00E0573F" w:rsidRDefault="002F22AC" w:rsidP="00FF0471">
      <w:pPr>
        <w:pStyle w:val="Affiliation"/>
        <w:spacing w:after="0" w:line="240" w:lineRule="auto"/>
        <w:rPr>
          <w:rFonts w:ascii="Arial" w:hAnsi="Arial" w:cs="Arial"/>
          <w:i/>
        </w:rPr>
      </w:pPr>
    </w:p>
    <w:p w14:paraId="34DAF9E8" w14:textId="77777777" w:rsidR="00FF0471" w:rsidRPr="00E0573F" w:rsidRDefault="00000000" w:rsidP="00FF0471">
      <w:pPr>
        <w:pStyle w:val="Affiliation"/>
        <w:spacing w:after="0" w:line="240" w:lineRule="auto"/>
        <w:jc w:val="both"/>
        <w:rPr>
          <w:rFonts w:ascii="Arial" w:hAnsi="Arial" w:cs="Arial"/>
        </w:rPr>
      </w:pPr>
      <w:r>
        <w:rPr>
          <w:rFonts w:ascii="Arial" w:hAnsi="Arial" w:cs="Arial"/>
        </w:rPr>
      </w:r>
      <w:r>
        <w:rPr>
          <w:rFonts w:ascii="Arial" w:hAnsi="Arial" w:cs="Arial"/>
        </w:rPr>
        <w:pict w14:anchorId="41612FE2">
          <v:shapetype id="_x0000_t32" coordsize="21600,21600" o:spt="32" o:oned="t" path="m,l21600,21600e" filled="f">
            <v:path arrowok="t" fillok="f" o:connecttype="none"/>
            <o:lock v:ext="edit" shapetype="t"/>
          </v:shapetype>
          <v:shape id="_x0000_s2050" type="#_x0000_t32" style="width:417.6pt;height:0;mso-left-percent:-10001;mso-top-percent:-10001;mso-position-horizontal:absolute;mso-position-horizontal-relative:char;mso-position-vertical:absolute;mso-position-vertical-relative:line;mso-left-percent:-10001;mso-top-percent:-10001" o:connectortype="straight" strokeweight="1.5pt">
            <w10:anchorlock/>
          </v:shape>
        </w:pict>
      </w:r>
    </w:p>
    <w:p w14:paraId="4FB20422" w14:textId="77777777" w:rsidR="00FF0471" w:rsidRPr="00E0573F" w:rsidRDefault="00FF0471" w:rsidP="00FF0471">
      <w:pPr>
        <w:pStyle w:val="Copyright"/>
        <w:spacing w:after="0" w:line="240" w:lineRule="auto"/>
        <w:jc w:val="both"/>
        <w:rPr>
          <w:rFonts w:ascii="Arial" w:hAnsi="Arial" w:cs="Arial"/>
        </w:rPr>
        <w:sectPr w:rsidR="00FF0471" w:rsidRPr="00E0573F" w:rsidSect="0002145A">
          <w:headerReference w:type="even" r:id="rId8"/>
          <w:headerReference w:type="default" r:id="rId9"/>
          <w:footerReference w:type="even" r:id="rId10"/>
          <w:footerReference w:type="default" r:id="rId11"/>
          <w:headerReference w:type="first" r:id="rId12"/>
          <w:footerReference w:type="first" r:id="rId13"/>
          <w:pgSz w:w="12240" w:h="15840" w:code="1"/>
          <w:pgMar w:top="1440" w:right="2016" w:bottom="2016" w:left="2016" w:header="720" w:footer="1296" w:gutter="0"/>
          <w:cols w:space="720"/>
          <w:docGrid w:linePitch="272"/>
        </w:sectPr>
      </w:pPr>
      <w:r w:rsidRPr="00E0573F">
        <w:rPr>
          <w:rFonts w:ascii="Arial" w:hAnsi="Arial" w:cs="Arial"/>
        </w:rPr>
        <w:t>.</w:t>
      </w:r>
    </w:p>
    <w:p w14:paraId="7B5577CC" w14:textId="77777777" w:rsidR="00FF0471" w:rsidRPr="00E0573F" w:rsidRDefault="00FF0471" w:rsidP="005F6060">
      <w:pPr>
        <w:pStyle w:val="AbstHead"/>
        <w:spacing w:after="0"/>
        <w:jc w:val="center"/>
        <w:rPr>
          <w:rFonts w:ascii="Arial" w:hAnsi="Arial" w:cs="Arial"/>
        </w:rPr>
      </w:pPr>
      <w:r w:rsidRPr="00E0573F">
        <w:rPr>
          <w:rFonts w:ascii="Arial" w:hAnsi="Arial" w:cs="Arial"/>
        </w:rPr>
        <w:t>ABSTRACT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firstRow="1" w:lastRow="0" w:firstColumn="1" w:lastColumn="0" w:noHBand="0" w:noVBand="1"/>
      </w:tblPr>
      <w:tblGrid>
        <w:gridCol w:w="8424"/>
      </w:tblGrid>
      <w:tr w:rsidR="00FF0471" w:rsidRPr="00E0573F" w14:paraId="73C4AE42" w14:textId="77777777" w:rsidTr="00FF0471">
        <w:tc>
          <w:tcPr>
            <w:tcW w:w="9576" w:type="dxa"/>
            <w:shd w:val="clear" w:color="auto" w:fill="F2F2F2"/>
          </w:tcPr>
          <w:p w14:paraId="18E1B915" w14:textId="77777777" w:rsidR="005F6060" w:rsidRPr="00E0573F" w:rsidRDefault="005F6060" w:rsidP="005F6060">
            <w:pPr>
              <w:pStyle w:val="NormalWeb"/>
              <w:spacing w:before="0" w:beforeAutospacing="0" w:after="0" w:afterAutospacing="0"/>
              <w:jc w:val="both"/>
              <w:rPr>
                <w:rFonts w:ascii="Arial" w:hAnsi="Arial" w:cs="Arial"/>
                <w:bCs/>
                <w:sz w:val="20"/>
                <w:szCs w:val="20"/>
              </w:rPr>
            </w:pPr>
            <w:r w:rsidRPr="00E0573F">
              <w:rPr>
                <w:rFonts w:ascii="Arial" w:hAnsi="Arial" w:cs="Arial"/>
                <w:b/>
                <w:sz w:val="20"/>
                <w:szCs w:val="20"/>
              </w:rPr>
              <w:t>Aim</w:t>
            </w:r>
            <w:r w:rsidRPr="00E0573F">
              <w:rPr>
                <w:rFonts w:ascii="Arial" w:hAnsi="Arial" w:cs="Arial"/>
                <w:bCs/>
                <w:sz w:val="20"/>
                <w:szCs w:val="20"/>
              </w:rPr>
              <w:t>: This study aimed to assess the prevalence and risk factors of tuberculosis (TB) among high-risk populations in Makurdi Local Government Area (LGA), Benue State, Nigeria.</w:t>
            </w:r>
          </w:p>
          <w:p w14:paraId="26862ABB" w14:textId="77777777" w:rsidR="005F6060" w:rsidRPr="00E0573F" w:rsidRDefault="005F6060" w:rsidP="005F6060">
            <w:pPr>
              <w:pStyle w:val="NormalWeb"/>
              <w:spacing w:before="0" w:beforeAutospacing="0" w:after="0" w:afterAutospacing="0"/>
              <w:jc w:val="both"/>
              <w:rPr>
                <w:rFonts w:ascii="Arial" w:hAnsi="Arial" w:cs="Arial"/>
                <w:bCs/>
                <w:sz w:val="20"/>
                <w:szCs w:val="20"/>
              </w:rPr>
            </w:pPr>
            <w:r w:rsidRPr="00E0573F">
              <w:rPr>
                <w:rFonts w:ascii="Arial" w:hAnsi="Arial" w:cs="Arial"/>
                <w:b/>
                <w:sz w:val="20"/>
                <w:szCs w:val="20"/>
              </w:rPr>
              <w:t>Study Design</w:t>
            </w:r>
            <w:r w:rsidRPr="00E0573F">
              <w:rPr>
                <w:rFonts w:ascii="Arial" w:hAnsi="Arial" w:cs="Arial"/>
                <w:bCs/>
                <w:sz w:val="20"/>
                <w:szCs w:val="20"/>
              </w:rPr>
              <w:t>: A descriptive cross-sectional study design was adopted.</w:t>
            </w:r>
          </w:p>
          <w:p w14:paraId="04220215" w14:textId="77777777" w:rsidR="005F6060" w:rsidRPr="00E0573F" w:rsidRDefault="005F6060" w:rsidP="005F6060">
            <w:pPr>
              <w:pStyle w:val="NormalWeb"/>
              <w:spacing w:before="0" w:beforeAutospacing="0" w:after="0" w:afterAutospacing="0"/>
              <w:jc w:val="both"/>
              <w:rPr>
                <w:rFonts w:ascii="Arial" w:hAnsi="Arial" w:cs="Arial"/>
                <w:bCs/>
                <w:sz w:val="20"/>
                <w:szCs w:val="20"/>
              </w:rPr>
            </w:pPr>
            <w:r w:rsidRPr="00E0573F">
              <w:rPr>
                <w:rFonts w:ascii="Arial" w:hAnsi="Arial" w:cs="Arial"/>
                <w:bCs/>
                <w:sz w:val="20"/>
                <w:szCs w:val="20"/>
              </w:rPr>
              <w:t>Place and Duration of Study: The study was conducted in five selected health facilities in Makurdi Local Government Area, Benue State, Nigeria, using questionnaire responses obtained from patients attending the selected facilities between January 2023 and June 2026.</w:t>
            </w:r>
          </w:p>
          <w:p w14:paraId="27B6914F" w14:textId="77777777" w:rsidR="005F6060" w:rsidRPr="00E0573F" w:rsidRDefault="005F6060" w:rsidP="005F6060">
            <w:pPr>
              <w:pStyle w:val="NormalWeb"/>
              <w:spacing w:before="0" w:beforeAutospacing="0" w:after="0" w:afterAutospacing="0"/>
              <w:jc w:val="both"/>
              <w:rPr>
                <w:rFonts w:ascii="Arial" w:hAnsi="Arial" w:cs="Arial"/>
                <w:bCs/>
                <w:sz w:val="20"/>
                <w:szCs w:val="20"/>
              </w:rPr>
            </w:pPr>
            <w:r w:rsidRPr="00E0573F">
              <w:rPr>
                <w:rFonts w:ascii="Arial" w:hAnsi="Arial" w:cs="Arial"/>
                <w:b/>
                <w:sz w:val="20"/>
                <w:szCs w:val="20"/>
              </w:rPr>
              <w:t>Methodology</w:t>
            </w:r>
            <w:r w:rsidRPr="00E0573F">
              <w:rPr>
                <w:rFonts w:ascii="Arial" w:hAnsi="Arial" w:cs="Arial"/>
                <w:bCs/>
                <w:sz w:val="20"/>
                <w:szCs w:val="20"/>
              </w:rPr>
              <w:t>: Data were collected from 252 patients and analysed to examine socio-demographic, environmental, behavioural, awareness-related, preventive, and HIV-associated factors linked to TB infection. Descriptive statistics and multivariable logistic regression analysis were used to identify factors independently associated with TB.</w:t>
            </w:r>
          </w:p>
          <w:p w14:paraId="21F14796" w14:textId="77777777" w:rsidR="005F6060" w:rsidRPr="00E0573F" w:rsidRDefault="005F6060" w:rsidP="005F6060">
            <w:pPr>
              <w:pStyle w:val="NormalWeb"/>
              <w:spacing w:before="0" w:beforeAutospacing="0" w:after="0" w:afterAutospacing="0"/>
              <w:jc w:val="both"/>
              <w:rPr>
                <w:rFonts w:ascii="Arial" w:hAnsi="Arial" w:cs="Arial"/>
                <w:bCs/>
                <w:sz w:val="20"/>
                <w:szCs w:val="20"/>
              </w:rPr>
            </w:pPr>
            <w:r w:rsidRPr="00E0573F">
              <w:rPr>
                <w:rFonts w:ascii="Arial" w:hAnsi="Arial" w:cs="Arial"/>
                <w:b/>
                <w:sz w:val="20"/>
                <w:szCs w:val="20"/>
              </w:rPr>
              <w:t>Results</w:t>
            </w:r>
            <w:r w:rsidRPr="00E0573F">
              <w:rPr>
                <w:rFonts w:ascii="Arial" w:hAnsi="Arial" w:cs="Arial"/>
                <w:bCs/>
                <w:sz w:val="20"/>
                <w:szCs w:val="20"/>
              </w:rPr>
              <w:t>: The overall prevalence of TB was 61.1%, indicating a substantial disease burden in the study population. Significant socio-demographic risk factors included age, sex, educational attainment, and monthly income, with males and individuals of lower socio-economic status being more affected. Environmental factors, including overcrowding, poor ventilation, inadequate lighting, and reliance on firewood or charcoal for cooking, were strongly associated with TB infection. Behavioural risk factors, including smoking, alcohol consumption, undernutrition, and drug use, significantly increased the likelihood of TB. Conversely, awareness and preventive measures demonstrated protective effects: knowledge that TB is infectious, consistent use of face masks, and receipt of TB health education were associated with lower infection rates. HIV infection emerged as a major biological risk factor, with HIV-positive individuals being almost twice as likely to develop TB. Multivariable logistic regression identified male sex, rural residence, low income, overcrowding, inadequate ventilation, smoking, HIV-positive status, and undernutrition as independent predictors of TB infection.</w:t>
            </w:r>
          </w:p>
          <w:p w14:paraId="40540EB3" w14:textId="77777777" w:rsidR="005F6060" w:rsidRPr="00E0573F" w:rsidRDefault="005F6060" w:rsidP="005F6060">
            <w:pPr>
              <w:pStyle w:val="NormalWeb"/>
              <w:spacing w:before="0" w:beforeAutospacing="0" w:after="0" w:afterAutospacing="0"/>
              <w:jc w:val="both"/>
              <w:rPr>
                <w:rFonts w:ascii="Arial" w:hAnsi="Arial" w:cs="Arial"/>
                <w:sz w:val="20"/>
                <w:szCs w:val="20"/>
              </w:rPr>
            </w:pPr>
            <w:r w:rsidRPr="00E0573F">
              <w:rPr>
                <w:rFonts w:ascii="Arial" w:hAnsi="Arial" w:cs="Arial"/>
                <w:b/>
                <w:sz w:val="20"/>
                <w:szCs w:val="20"/>
              </w:rPr>
              <w:t>Conclusion</w:t>
            </w:r>
            <w:r w:rsidRPr="00E0573F">
              <w:rPr>
                <w:rFonts w:ascii="Arial" w:hAnsi="Arial" w:cs="Arial"/>
                <w:bCs/>
                <w:sz w:val="20"/>
                <w:szCs w:val="20"/>
              </w:rPr>
              <w:t>: The findings indicate that TB transmission in Makurdi LGA is influenced by a complex interplay of socio-economic, environmental, behavioural, and biological factors. Integrated interventions focusing on improved housing conditions, poverty reduction, behaviour change, enhanced TB awareness, and strengthened TB–HIV collaborative services are recommended to reduce TB transmission and improve health outcomes among high-risk populations.</w:t>
            </w:r>
          </w:p>
        </w:tc>
      </w:tr>
    </w:tbl>
    <w:p w14:paraId="5B5E13E2" w14:textId="77777777" w:rsidR="00FF0471" w:rsidRPr="00E0573F" w:rsidRDefault="00FF0471" w:rsidP="00FF0471">
      <w:pPr>
        <w:pStyle w:val="Body"/>
        <w:spacing w:after="0"/>
        <w:rPr>
          <w:rFonts w:ascii="Arial" w:hAnsi="Arial" w:cs="Arial"/>
          <w:i/>
        </w:rPr>
      </w:pPr>
    </w:p>
    <w:p w14:paraId="432DB352" w14:textId="77777777" w:rsidR="002D5E62" w:rsidRPr="00E0573F" w:rsidRDefault="00FF0471" w:rsidP="002D5E62">
      <w:pPr>
        <w:pStyle w:val="NormalWeb"/>
        <w:spacing w:before="0" w:beforeAutospacing="0" w:after="0" w:afterAutospacing="0"/>
        <w:jc w:val="both"/>
      </w:pPr>
      <w:r w:rsidRPr="00E0573F">
        <w:rPr>
          <w:rFonts w:ascii="Arial" w:hAnsi="Arial" w:cs="Arial"/>
          <w:i/>
        </w:rPr>
        <w:t xml:space="preserve">Keywords: </w:t>
      </w:r>
      <w:r w:rsidR="002D5E62" w:rsidRPr="00E0573F">
        <w:rPr>
          <w:rFonts w:ascii="Arial" w:hAnsi="Arial" w:cs="Arial"/>
          <w:sz w:val="20"/>
          <w:szCs w:val="20"/>
        </w:rPr>
        <w:t xml:space="preserve">Tuberculosis, Prevalence, High-risk populations, Socio-demographic factors, Environmental risk factors, </w:t>
      </w:r>
      <w:proofErr w:type="spellStart"/>
      <w:r w:rsidR="002D5E62" w:rsidRPr="00E0573F">
        <w:rPr>
          <w:rFonts w:ascii="Arial" w:hAnsi="Arial" w:cs="Arial"/>
          <w:sz w:val="20"/>
          <w:szCs w:val="20"/>
        </w:rPr>
        <w:t>Behavioural</w:t>
      </w:r>
      <w:proofErr w:type="spellEnd"/>
      <w:r w:rsidR="002D5E62" w:rsidRPr="00E0573F">
        <w:rPr>
          <w:rFonts w:ascii="Arial" w:hAnsi="Arial" w:cs="Arial"/>
          <w:sz w:val="20"/>
          <w:szCs w:val="20"/>
        </w:rPr>
        <w:t xml:space="preserve"> risk factors, HIV co-infection, Makurdi, Nigeria</w:t>
      </w:r>
    </w:p>
    <w:p w14:paraId="4B45320C" w14:textId="77777777" w:rsidR="00FF0471" w:rsidRPr="00E0573F" w:rsidRDefault="00FF0471" w:rsidP="00FF0471">
      <w:pPr>
        <w:pStyle w:val="Body"/>
        <w:spacing w:after="0"/>
        <w:rPr>
          <w:rFonts w:ascii="Arial" w:hAnsi="Arial" w:cs="Arial"/>
          <w:i/>
        </w:rPr>
      </w:pPr>
    </w:p>
    <w:p w14:paraId="389DC75C" w14:textId="77777777" w:rsidR="00FF0471" w:rsidRPr="00E0573F" w:rsidRDefault="00FF0471" w:rsidP="00543686">
      <w:pPr>
        <w:pStyle w:val="AbstHead"/>
        <w:spacing w:after="0"/>
        <w:jc w:val="both"/>
        <w:rPr>
          <w:rFonts w:ascii="Arial" w:hAnsi="Arial" w:cs="Arial"/>
        </w:rPr>
      </w:pPr>
      <w:r w:rsidRPr="00E0573F">
        <w:rPr>
          <w:rFonts w:ascii="Arial" w:hAnsi="Arial" w:cs="Arial"/>
        </w:rPr>
        <w:lastRenderedPageBreak/>
        <w:t xml:space="preserve">1. INTRODUCTION </w:t>
      </w:r>
    </w:p>
    <w:p w14:paraId="17F5D576" w14:textId="77777777" w:rsidR="00541719" w:rsidRPr="00E0573F" w:rsidRDefault="00541719" w:rsidP="00543686">
      <w:pPr>
        <w:jc w:val="both"/>
        <w:rPr>
          <w:rFonts w:ascii="Arial" w:hAnsi="Arial" w:cs="Arial"/>
          <w:b/>
        </w:rPr>
      </w:pPr>
      <w:r w:rsidRPr="00E0573F">
        <w:rPr>
          <w:rFonts w:ascii="Arial" w:hAnsi="Arial" w:cs="Arial"/>
          <w:b/>
        </w:rPr>
        <w:t>1.1 Background of the Study</w:t>
      </w:r>
    </w:p>
    <w:p w14:paraId="4D0ADCD1" w14:textId="14289DC3" w:rsidR="002D5E62" w:rsidRPr="00E0573F" w:rsidRDefault="002D5E62" w:rsidP="00543686">
      <w:pPr>
        <w:jc w:val="both"/>
        <w:rPr>
          <w:rFonts w:ascii="Arial" w:hAnsi="Arial" w:cs="Arial"/>
        </w:rPr>
      </w:pPr>
      <w:r w:rsidRPr="00E0573F">
        <w:rPr>
          <w:rFonts w:ascii="Arial" w:hAnsi="Arial" w:cs="Arial"/>
        </w:rPr>
        <w:t xml:space="preserve">Tuberculosis (TB) is a contagious and potentially life-threatening infectious disease caused by </w:t>
      </w:r>
      <w:r w:rsidRPr="00E0573F">
        <w:rPr>
          <w:rFonts w:ascii="Arial" w:hAnsi="Arial" w:cs="Arial"/>
          <w:i/>
          <w:iCs/>
        </w:rPr>
        <w:t>Mycobacterium tuberculosis</w:t>
      </w:r>
      <w:r w:rsidRPr="00E0573F">
        <w:rPr>
          <w:rFonts w:ascii="Arial" w:hAnsi="Arial" w:cs="Arial"/>
        </w:rPr>
        <w:t>, primarily affecting the lungs but capable of spreading to other organs as extrapulmonary TB. Transmission occurs through inhalation of airborne droplets from individuals with active disease, while latent TB infections remain asymptomatic and non-infectious but may reactivate, particularly in immunocompromised individuals. Globally, TB remains a major public health challenge, with about one-quarter of the world’s population infected and millions developing active disease annually. The burden is highest in low- and middle-income countries, driven by factors such as HIV co-infection, malnutrition, smoking, diabetes, and weak health systems</w:t>
      </w:r>
      <w:r w:rsidR="00B572E0" w:rsidRPr="00E0573F">
        <w:rPr>
          <w:rFonts w:ascii="Arial" w:hAnsi="Arial" w:cs="Arial"/>
        </w:rPr>
        <w:t xml:space="preserve"> (WHO, 202</w:t>
      </w:r>
      <w:r w:rsidR="00B53B7A">
        <w:rPr>
          <w:rFonts w:ascii="Arial" w:hAnsi="Arial" w:cs="Arial"/>
        </w:rPr>
        <w:t>6</w:t>
      </w:r>
      <w:r w:rsidR="00B572E0" w:rsidRPr="00E0573F">
        <w:rPr>
          <w:rFonts w:ascii="Arial" w:hAnsi="Arial" w:cs="Arial"/>
        </w:rPr>
        <w:t>)</w:t>
      </w:r>
      <w:r w:rsidRPr="00E0573F">
        <w:rPr>
          <w:rFonts w:ascii="Arial" w:hAnsi="Arial" w:cs="Arial"/>
        </w:rPr>
        <w:t>.</w:t>
      </w:r>
    </w:p>
    <w:p w14:paraId="34C62CAC" w14:textId="26C023BC" w:rsidR="002D5E62" w:rsidRPr="00E0573F" w:rsidRDefault="002D5E62" w:rsidP="002D5E62">
      <w:pPr>
        <w:spacing w:before="100" w:beforeAutospacing="1"/>
        <w:jc w:val="both"/>
        <w:rPr>
          <w:rFonts w:ascii="Arial" w:hAnsi="Arial" w:cs="Arial"/>
        </w:rPr>
      </w:pPr>
      <w:r w:rsidRPr="00E0573F">
        <w:rPr>
          <w:rFonts w:ascii="Arial" w:hAnsi="Arial" w:cs="Arial"/>
        </w:rPr>
        <w:t>Nigeria ranks among the countries with the highest TB burdens worldwide (WHO, 202</w:t>
      </w:r>
      <w:r w:rsidR="00B53B7A">
        <w:rPr>
          <w:rFonts w:ascii="Arial" w:hAnsi="Arial" w:cs="Arial"/>
        </w:rPr>
        <w:t>6</w:t>
      </w:r>
      <w:r w:rsidRPr="00E0573F">
        <w:rPr>
          <w:rFonts w:ascii="Arial" w:hAnsi="Arial" w:cs="Arial"/>
        </w:rPr>
        <w:t>), and Benue State has emerged as an important hotspot. Recent reports indicate that the state contributes roughly 10% of Nigeria’s TB burden, with a substantial proportion of cases co-infected with HIV. The TB–HIV synergy is particularly concerning because HIV-related immune suppression substantially increases the risk of progression from latent to active TB and worsens disease outcomes. Urban centres such as Makurdi record a higher TB prevalence than rural areas, largely because of population density, overcrowded housing, poor ventilation, and greater exposure to behavioural risk factors. The emergence of rifampicin-resistant TB further complicates disease control, underscoring the need for effective surveillance and treatment strategies (Ejeh et al., 2021).</w:t>
      </w:r>
    </w:p>
    <w:p w14:paraId="31AC87CB" w14:textId="77777777" w:rsidR="002D5E62" w:rsidRPr="00E0573F" w:rsidRDefault="002D5E62" w:rsidP="002D5E62">
      <w:pPr>
        <w:spacing w:before="240"/>
        <w:jc w:val="both"/>
        <w:rPr>
          <w:rFonts w:ascii="Arial" w:hAnsi="Arial" w:cs="Arial"/>
        </w:rPr>
      </w:pPr>
      <w:r w:rsidRPr="00E0573F">
        <w:rPr>
          <w:rFonts w:ascii="Arial" w:hAnsi="Arial" w:cs="Arial"/>
        </w:rPr>
        <w:t>Beyond biological factors, socio-economic and structural determinants play a critical role in sustaining TB transmission in Benue State. Poverty, malnutrition, limited awareness of TB risk factors, and inadequate health-seeking behaviour weaken individual and community resilience to the disease. Although Nigeria has implemented Directly Observed Treatment, Short-course (DOTS) services, gaps persist because of insufficient funding, limited diagnostic capacity, and poor coordination among stakeholders. Low levels of public awareness, particularly regarding TB risk factors such as HIV and diabetes, also delay diagnosis and increase community transmission, especially among high-risk populations (Ejeh et al., 2021).</w:t>
      </w:r>
    </w:p>
    <w:p w14:paraId="42E25142" w14:textId="77777777" w:rsidR="002D5E62" w:rsidRPr="00E0573F" w:rsidRDefault="002D5E62" w:rsidP="002D5E62">
      <w:pPr>
        <w:spacing w:before="240" w:after="100" w:afterAutospacing="1"/>
        <w:jc w:val="both"/>
        <w:rPr>
          <w:rFonts w:ascii="Arial" w:hAnsi="Arial" w:cs="Arial"/>
        </w:rPr>
      </w:pPr>
      <w:r w:rsidRPr="00E0573F">
        <w:rPr>
          <w:rFonts w:ascii="Arial" w:hAnsi="Arial" w:cs="Arial"/>
        </w:rPr>
        <w:t>Against this background, this study sought to assess the prevalence of TB and identify its associated risk factors among high-risk populations in Makurdi Local Government Area, Benue State. High-risk populations comprised individuals attending selected healthcare facilities in Makurdi Local Government Area who were newly diagnosed with TB, receiving TB treatment, or presenting with symptoms suggestive of tuberculosis and who had one or more socio-demographic, environmental, behavioural, or biological factors that increased their likelihood of developing TB infection. These groups included males, people of low socio-economic status, residents of overcrowded or poorly ventilated homes, smokers, alcohol users, undernourished individuals, drug users, and people living with HIV (Adhikari et al., 2022). Using appropriate statistical techniques, including descriptive analysis, chi-square tests, and binary logistic regression, the study examined socio-demographic, environmental, behavioural, and biological determinants of TB infection, as well as levels of awareness and preventive practices. By generating localised evidence, the study aimed to address existing knowledge gaps and provide actionable insights to guide targeted public health interventions, resource allocation, and policy formulation towards reducing the TB burden and supporting Nigeria’s goal of ending TB as a public health threat by 2030.</w:t>
      </w:r>
    </w:p>
    <w:p w14:paraId="7F543AFF" w14:textId="77777777" w:rsidR="00541719" w:rsidRPr="00E0573F" w:rsidRDefault="00541719" w:rsidP="00541719">
      <w:pPr>
        <w:pStyle w:val="ListParagraph"/>
        <w:spacing w:before="240" w:after="0" w:line="240" w:lineRule="auto"/>
        <w:ind w:left="0"/>
        <w:jc w:val="both"/>
        <w:rPr>
          <w:rFonts w:ascii="Arial" w:hAnsi="Arial" w:cs="Arial"/>
          <w:b/>
          <w:sz w:val="20"/>
          <w:szCs w:val="20"/>
        </w:rPr>
      </w:pPr>
      <w:r w:rsidRPr="00E0573F">
        <w:rPr>
          <w:rFonts w:ascii="Arial" w:eastAsia="Times New Roman" w:hAnsi="Arial" w:cs="Arial"/>
          <w:b/>
          <w:sz w:val="20"/>
          <w:szCs w:val="20"/>
        </w:rPr>
        <w:t>1.2</w:t>
      </w:r>
      <w:r w:rsidRPr="00E0573F">
        <w:rPr>
          <w:rFonts w:ascii="Arial" w:eastAsia="Times New Roman" w:hAnsi="Arial" w:cs="Arial"/>
          <w:b/>
          <w:sz w:val="20"/>
          <w:szCs w:val="20"/>
        </w:rPr>
        <w:tab/>
      </w:r>
      <w:r w:rsidRPr="00E0573F">
        <w:rPr>
          <w:rFonts w:ascii="Arial" w:hAnsi="Arial" w:cs="Arial"/>
          <w:b/>
          <w:sz w:val="20"/>
          <w:szCs w:val="20"/>
        </w:rPr>
        <w:t>Research Questions</w:t>
      </w:r>
    </w:p>
    <w:p w14:paraId="5D6849A9" w14:textId="77777777" w:rsidR="00541719" w:rsidRPr="00E0573F" w:rsidRDefault="00541719" w:rsidP="00541719">
      <w:pPr>
        <w:pStyle w:val="ListParagraph"/>
        <w:spacing w:before="240" w:after="0" w:line="240" w:lineRule="auto"/>
        <w:ind w:left="0"/>
        <w:jc w:val="both"/>
        <w:rPr>
          <w:rFonts w:ascii="Arial" w:hAnsi="Arial" w:cs="Arial"/>
          <w:sz w:val="20"/>
          <w:szCs w:val="20"/>
        </w:rPr>
      </w:pPr>
      <w:r w:rsidRPr="00E0573F">
        <w:rPr>
          <w:rFonts w:ascii="Arial" w:hAnsi="Arial" w:cs="Arial"/>
          <w:sz w:val="20"/>
          <w:szCs w:val="20"/>
        </w:rPr>
        <w:t>This study was designed to answer the following research questions:</w:t>
      </w:r>
    </w:p>
    <w:p w14:paraId="04DED082" w14:textId="77777777" w:rsidR="00541719" w:rsidRPr="00E0573F" w:rsidRDefault="00541719" w:rsidP="00541719">
      <w:pPr>
        <w:pStyle w:val="ListParagraph"/>
        <w:numPr>
          <w:ilvl w:val="0"/>
          <w:numId w:val="20"/>
        </w:numPr>
        <w:spacing w:after="0" w:line="240" w:lineRule="auto"/>
        <w:jc w:val="both"/>
        <w:rPr>
          <w:rFonts w:ascii="Arial" w:hAnsi="Arial" w:cs="Arial"/>
          <w:b/>
          <w:sz w:val="20"/>
          <w:szCs w:val="20"/>
        </w:rPr>
      </w:pPr>
      <w:r w:rsidRPr="00E0573F">
        <w:rPr>
          <w:rFonts w:ascii="Arial" w:eastAsia="Times New Roman" w:hAnsi="Arial" w:cs="Arial"/>
          <w:sz w:val="20"/>
          <w:szCs w:val="20"/>
        </w:rPr>
        <w:lastRenderedPageBreak/>
        <w:t>What is the prevalence rate of tuberculosis among high-risk populations in Makurdi LGA?</w:t>
      </w:r>
    </w:p>
    <w:p w14:paraId="72F1C538" w14:textId="77777777" w:rsidR="00541719" w:rsidRPr="00E0573F" w:rsidRDefault="00541719" w:rsidP="00541719">
      <w:pPr>
        <w:pStyle w:val="ListParagraph"/>
        <w:numPr>
          <w:ilvl w:val="0"/>
          <w:numId w:val="20"/>
        </w:numPr>
        <w:spacing w:after="0" w:line="240" w:lineRule="auto"/>
        <w:jc w:val="both"/>
        <w:rPr>
          <w:rFonts w:ascii="Arial" w:hAnsi="Arial" w:cs="Arial"/>
          <w:b/>
          <w:sz w:val="20"/>
          <w:szCs w:val="20"/>
        </w:rPr>
      </w:pPr>
      <w:r w:rsidRPr="00E0573F">
        <w:rPr>
          <w:rFonts w:ascii="Arial" w:eastAsia="Times New Roman" w:hAnsi="Arial" w:cs="Arial"/>
          <w:sz w:val="20"/>
          <w:szCs w:val="20"/>
        </w:rPr>
        <w:t>What socio-demographic factors are significantly associated with TB infection in the study population?</w:t>
      </w:r>
    </w:p>
    <w:p w14:paraId="4027E5D0" w14:textId="77777777" w:rsidR="00541719" w:rsidRPr="00E0573F" w:rsidRDefault="00541719" w:rsidP="00541719">
      <w:pPr>
        <w:pStyle w:val="ListParagraph"/>
        <w:numPr>
          <w:ilvl w:val="0"/>
          <w:numId w:val="20"/>
        </w:numPr>
        <w:spacing w:after="0" w:line="240" w:lineRule="auto"/>
        <w:jc w:val="both"/>
        <w:rPr>
          <w:rFonts w:ascii="Arial" w:hAnsi="Arial" w:cs="Arial"/>
          <w:b/>
          <w:sz w:val="20"/>
          <w:szCs w:val="20"/>
        </w:rPr>
      </w:pPr>
      <w:r w:rsidRPr="00E0573F">
        <w:rPr>
          <w:rFonts w:ascii="Arial" w:eastAsia="Times New Roman" w:hAnsi="Arial" w:cs="Arial"/>
          <w:sz w:val="20"/>
          <w:szCs w:val="20"/>
        </w:rPr>
        <w:t xml:space="preserve">What environmental and </w:t>
      </w:r>
      <w:proofErr w:type="spellStart"/>
      <w:r w:rsidRPr="00E0573F">
        <w:rPr>
          <w:rFonts w:ascii="Arial" w:eastAsia="Times New Roman" w:hAnsi="Arial" w:cs="Arial"/>
          <w:sz w:val="20"/>
          <w:szCs w:val="20"/>
        </w:rPr>
        <w:t>behavioural</w:t>
      </w:r>
      <w:proofErr w:type="spellEnd"/>
      <w:r w:rsidRPr="00E0573F">
        <w:rPr>
          <w:rFonts w:ascii="Arial" w:eastAsia="Times New Roman" w:hAnsi="Arial" w:cs="Arial"/>
          <w:sz w:val="20"/>
          <w:szCs w:val="20"/>
        </w:rPr>
        <w:t xml:space="preserve"> factors contribute to the risk of TB among high-risk groups in Makurdi?</w:t>
      </w:r>
    </w:p>
    <w:p w14:paraId="55A828C3" w14:textId="77777777" w:rsidR="00541719" w:rsidRPr="00E0573F" w:rsidRDefault="00541719" w:rsidP="00541719">
      <w:pPr>
        <w:pStyle w:val="ListParagraph"/>
        <w:numPr>
          <w:ilvl w:val="0"/>
          <w:numId w:val="20"/>
        </w:numPr>
        <w:spacing w:after="0" w:line="240" w:lineRule="auto"/>
        <w:jc w:val="both"/>
        <w:rPr>
          <w:rFonts w:ascii="Arial" w:hAnsi="Arial" w:cs="Arial"/>
          <w:b/>
          <w:sz w:val="20"/>
          <w:szCs w:val="20"/>
        </w:rPr>
      </w:pPr>
      <w:r w:rsidRPr="00E0573F">
        <w:rPr>
          <w:rFonts w:ascii="Arial" w:eastAsia="Times New Roman" w:hAnsi="Arial" w:cs="Arial"/>
          <w:sz w:val="20"/>
          <w:szCs w:val="20"/>
        </w:rPr>
        <w:t>Is there a significant association between HIV status and tuberculosis infection in the study area?</w:t>
      </w:r>
    </w:p>
    <w:p w14:paraId="2F30B6A1" w14:textId="77777777" w:rsidR="00541719" w:rsidRPr="00E0573F" w:rsidRDefault="00541719" w:rsidP="00541719">
      <w:pPr>
        <w:pStyle w:val="ListParagraph"/>
        <w:numPr>
          <w:ilvl w:val="0"/>
          <w:numId w:val="20"/>
        </w:numPr>
        <w:spacing w:after="0" w:line="240" w:lineRule="auto"/>
        <w:jc w:val="both"/>
        <w:rPr>
          <w:rFonts w:ascii="Arial" w:hAnsi="Arial" w:cs="Arial"/>
          <w:b/>
          <w:sz w:val="20"/>
          <w:szCs w:val="20"/>
        </w:rPr>
      </w:pPr>
      <w:r w:rsidRPr="00E0573F">
        <w:rPr>
          <w:rFonts w:ascii="Arial" w:eastAsia="Times New Roman" w:hAnsi="Arial" w:cs="Arial"/>
          <w:sz w:val="20"/>
          <w:szCs w:val="20"/>
        </w:rPr>
        <w:t>What is the level of awareness of TB and the adoption of related preventive practices among high-risk populations in the study area?</w:t>
      </w:r>
    </w:p>
    <w:p w14:paraId="7ADB06A4" w14:textId="77777777" w:rsidR="00541719" w:rsidRPr="00E0573F" w:rsidRDefault="00541719" w:rsidP="00541719">
      <w:pPr>
        <w:jc w:val="both"/>
        <w:rPr>
          <w:rFonts w:ascii="Arial" w:hAnsi="Arial" w:cs="Arial"/>
          <w:b/>
        </w:rPr>
      </w:pPr>
      <w:r w:rsidRPr="00E0573F">
        <w:rPr>
          <w:rFonts w:ascii="Arial" w:hAnsi="Arial" w:cs="Arial"/>
          <w:b/>
        </w:rPr>
        <w:t>1.3</w:t>
      </w:r>
      <w:r w:rsidRPr="00E0573F">
        <w:rPr>
          <w:rFonts w:ascii="Arial" w:hAnsi="Arial" w:cs="Arial"/>
          <w:b/>
        </w:rPr>
        <w:tab/>
        <w:t>Research Hypotheses</w:t>
      </w:r>
    </w:p>
    <w:p w14:paraId="3F9ABEB5" w14:textId="77777777" w:rsidR="00541719" w:rsidRPr="00E0573F" w:rsidRDefault="00541719" w:rsidP="00541719">
      <w:pPr>
        <w:jc w:val="both"/>
        <w:rPr>
          <w:rFonts w:ascii="Arial" w:hAnsi="Arial" w:cs="Arial"/>
        </w:rPr>
      </w:pPr>
      <w:r w:rsidRPr="00E0573F">
        <w:rPr>
          <w:rFonts w:ascii="Arial" w:hAnsi="Arial" w:cs="Arial"/>
        </w:rPr>
        <w:t>This study was designed to test the following null and alternative research hypotheses. The null hypotheses (H₀) were stated as follows:</w:t>
      </w:r>
    </w:p>
    <w:p w14:paraId="2E930CC8" w14:textId="77777777" w:rsidR="00541719" w:rsidRPr="00E0573F" w:rsidRDefault="00541719" w:rsidP="00541719">
      <w:pPr>
        <w:numPr>
          <w:ilvl w:val="0"/>
          <w:numId w:val="21"/>
        </w:numPr>
        <w:jc w:val="both"/>
        <w:rPr>
          <w:rFonts w:ascii="Arial" w:hAnsi="Arial" w:cs="Arial"/>
        </w:rPr>
      </w:pPr>
      <w:r w:rsidRPr="00E0573F">
        <w:rPr>
          <w:rFonts w:ascii="Arial" w:hAnsi="Arial" w:cs="Arial"/>
        </w:rPr>
        <w:t xml:space="preserve">H₀₁: </w:t>
      </w:r>
      <w:r w:rsidRPr="00E0573F">
        <w:rPr>
          <w:rFonts w:ascii="Arial" w:hAnsi="Arial" w:cs="Arial"/>
          <w:i/>
        </w:rPr>
        <w:t>There is no significant relationship between socio-demographic factors and tuberculosis infection among high-risk populations in Makurdi LGA.</w:t>
      </w:r>
    </w:p>
    <w:p w14:paraId="5A5E2521" w14:textId="77777777" w:rsidR="00541719" w:rsidRPr="00E0573F" w:rsidRDefault="00541719" w:rsidP="00541719">
      <w:pPr>
        <w:numPr>
          <w:ilvl w:val="0"/>
          <w:numId w:val="21"/>
        </w:numPr>
        <w:jc w:val="both"/>
        <w:rPr>
          <w:rFonts w:ascii="Arial" w:hAnsi="Arial" w:cs="Arial"/>
        </w:rPr>
      </w:pPr>
      <w:r w:rsidRPr="00E0573F">
        <w:rPr>
          <w:rFonts w:ascii="Arial" w:hAnsi="Arial" w:cs="Arial"/>
        </w:rPr>
        <w:t xml:space="preserve">H₀₂: </w:t>
      </w:r>
      <w:r w:rsidRPr="00E0573F">
        <w:rPr>
          <w:rFonts w:ascii="Arial" w:hAnsi="Arial" w:cs="Arial"/>
          <w:i/>
        </w:rPr>
        <w:t>There is no significant association between environmental and behavioural risk factors (e.g. overcrowding and smoking) and TB infection.</w:t>
      </w:r>
    </w:p>
    <w:p w14:paraId="68C33FF9" w14:textId="77777777" w:rsidR="00541719" w:rsidRPr="00E0573F" w:rsidRDefault="00541719" w:rsidP="00541719">
      <w:pPr>
        <w:numPr>
          <w:ilvl w:val="0"/>
          <w:numId w:val="21"/>
        </w:numPr>
        <w:jc w:val="both"/>
        <w:rPr>
          <w:rFonts w:ascii="Arial" w:hAnsi="Arial" w:cs="Arial"/>
        </w:rPr>
      </w:pPr>
      <w:r w:rsidRPr="00E0573F">
        <w:rPr>
          <w:rFonts w:ascii="Arial" w:hAnsi="Arial" w:cs="Arial"/>
        </w:rPr>
        <w:t xml:space="preserve">H₀₃: </w:t>
      </w:r>
      <w:r w:rsidRPr="00E0573F">
        <w:rPr>
          <w:rFonts w:ascii="Arial" w:hAnsi="Arial" w:cs="Arial"/>
          <w:i/>
        </w:rPr>
        <w:t>HIV status is not significantly associated with tuberculosis infection among high-risk groups.</w:t>
      </w:r>
    </w:p>
    <w:p w14:paraId="257A1D42" w14:textId="77777777" w:rsidR="002D5E62" w:rsidRPr="00E0573F" w:rsidRDefault="00541719" w:rsidP="00A732AE">
      <w:pPr>
        <w:numPr>
          <w:ilvl w:val="0"/>
          <w:numId w:val="21"/>
        </w:numPr>
        <w:jc w:val="both"/>
        <w:rPr>
          <w:rFonts w:ascii="Arial" w:hAnsi="Arial" w:cs="Arial"/>
        </w:rPr>
      </w:pPr>
      <w:r w:rsidRPr="00E0573F">
        <w:rPr>
          <w:rFonts w:ascii="Arial" w:hAnsi="Arial" w:cs="Arial"/>
        </w:rPr>
        <w:t xml:space="preserve">H₀₄: </w:t>
      </w:r>
      <w:r w:rsidRPr="00E0573F">
        <w:rPr>
          <w:rFonts w:ascii="Arial" w:hAnsi="Arial" w:cs="Arial"/>
          <w:i/>
        </w:rPr>
        <w:t>There is no significant relationship between the level of TB awareness and the adoption of preventive practices.</w:t>
      </w:r>
    </w:p>
    <w:p w14:paraId="58C132BC" w14:textId="77777777" w:rsidR="006A318C" w:rsidRPr="00E0573F" w:rsidRDefault="006A318C" w:rsidP="00D422CC">
      <w:pPr>
        <w:spacing w:before="100" w:beforeAutospacing="1"/>
        <w:jc w:val="both"/>
        <w:rPr>
          <w:rFonts w:ascii="Arial" w:hAnsi="Arial" w:cs="Arial"/>
        </w:rPr>
      </w:pPr>
      <w:r w:rsidRPr="00E0573F">
        <w:rPr>
          <w:rFonts w:ascii="Arial" w:hAnsi="Arial" w:cs="Arial"/>
        </w:rPr>
        <w:t>This study is significant because it contributes to an understanding of the epidemiology of tuberculosis (TB) among high-risk populations in Makurdi Local Government Area, Benue State, a region with a persistently high TB prevalence. By generating localised evidence on the TB burden and associated risk factors, the study provides useful insights for health policymakers, programme managers, and implementing partners involved in TB control. The findings may inform targeted interventions, such as improved case detection, focused screening of vulnerable groups, and better integration of TB and HIV services within primary healthcare systems. In addition, the study enriches the existing academic and public health literature by providing empirical data that may support further research, policy formulation, and innovations aimed at reducing TB transmission and improving treatment outcomes, in line with national priorities and global targets such as the WHO End TB Strategy and the Sustainable Development Goals.</w:t>
      </w:r>
    </w:p>
    <w:p w14:paraId="06C43443" w14:textId="77777777" w:rsidR="006A318C" w:rsidRPr="00E0573F" w:rsidRDefault="006A318C" w:rsidP="00D422CC">
      <w:pPr>
        <w:spacing w:before="100" w:beforeAutospacing="1"/>
        <w:jc w:val="both"/>
        <w:rPr>
          <w:rFonts w:ascii="Arial" w:hAnsi="Arial" w:cs="Arial"/>
        </w:rPr>
      </w:pPr>
      <w:r w:rsidRPr="00E0573F">
        <w:rPr>
          <w:rFonts w:ascii="Arial" w:hAnsi="Arial" w:cs="Arial"/>
        </w:rPr>
        <w:t>The scope of the study was limited to high-risk individuals attending selected health facilities in Makurdi LGA and to retrospective hospital records containing relevant information on socio-demographic, environmental, behavioural, preventive, and HIV-related factors. As a facility-based cross-sectional study that partly relied on secondary data, it was constrained by the quality and completeness of the medical records and lacked certain clinical details, such as comprehensive HIV treatment indicators. Consequently, the findings are primarily applicable to high-risk populations attending hospitals in Makurdi and may not be generalisable to the wider community or other settings. Furthermore, causal relationships between the risk factors and TB infection could not be established.</w:t>
      </w:r>
    </w:p>
    <w:p w14:paraId="30159946" w14:textId="77777777" w:rsidR="00BB1CDB" w:rsidRPr="00E0573F" w:rsidRDefault="00BB1CDB" w:rsidP="00BB1CDB">
      <w:pPr>
        <w:pStyle w:val="NormalWeb"/>
        <w:spacing w:after="0" w:afterAutospacing="0"/>
        <w:jc w:val="both"/>
        <w:rPr>
          <w:rFonts w:ascii="Arial" w:hAnsi="Arial" w:cs="Arial"/>
          <w:sz w:val="20"/>
          <w:szCs w:val="20"/>
        </w:rPr>
      </w:pPr>
      <w:r w:rsidRPr="00E0573F">
        <w:rPr>
          <w:rFonts w:ascii="Arial" w:hAnsi="Arial" w:cs="Arial"/>
          <w:sz w:val="20"/>
          <w:szCs w:val="20"/>
        </w:rPr>
        <w:t xml:space="preserve">Considerable empirical evidence on the subject is documented in the literature. For example, Ejeh et al. (2021) reported a moderate TB prevalence among HIV-positive patients in Benue State, with significantly higher rates in rural areas and among young adults. The study highlighted rifampicin resistance and the presence of non-tuberculous mycobacteria, emphasising the need for improved diagnostics and early integrated TB–HIV care. Danladi et al. (2024) reported that bovine tuberculosis is endemic in Nigeria, with seasonal peaks during the rainy season and a higher prevalence in southern regions. The study underscored major gaps in surveillance and reporting and recommended a One Health approach to </w:t>
      </w:r>
      <w:r w:rsidRPr="00E0573F">
        <w:rPr>
          <w:rFonts w:ascii="Arial" w:hAnsi="Arial" w:cs="Arial"/>
          <w:sz w:val="20"/>
          <w:szCs w:val="20"/>
        </w:rPr>
        <w:lastRenderedPageBreak/>
        <w:t>controlling zoonotic transmission. Adhikari et al. (2022) found a TB prevalence of 9.9% among people living with HIV in Nepal, with a higher risk among males, marginalised ethnic groups, and those with advanced HIV disease. The study emphasised the importance of integrated TB–HIV screening and targeted interventions for high-risk subgroups.</w:t>
      </w:r>
    </w:p>
    <w:p w14:paraId="47A5EF57" w14:textId="77777777" w:rsidR="00BB1CDB" w:rsidRPr="00E0573F" w:rsidRDefault="00BB1CDB" w:rsidP="00BB1CDB">
      <w:pPr>
        <w:pStyle w:val="NormalWeb"/>
        <w:spacing w:after="0" w:afterAutospacing="0"/>
        <w:jc w:val="both"/>
        <w:rPr>
          <w:rFonts w:ascii="Arial" w:hAnsi="Arial" w:cs="Arial"/>
          <w:sz w:val="20"/>
          <w:szCs w:val="20"/>
        </w:rPr>
      </w:pPr>
      <w:r w:rsidRPr="00E0573F">
        <w:rPr>
          <w:rFonts w:ascii="Arial" w:hAnsi="Arial" w:cs="Arial"/>
          <w:sz w:val="20"/>
          <w:szCs w:val="20"/>
        </w:rPr>
        <w:t>Ogbeyi et al. (2020) reported a TB treatment success rate below national targets in a rural health facility in Benue State, with outcomes significantly influenced by HIV status and cotrimoxazole use. The study recommended strengthening adherence support under the DOTS strategy. Muttamba et al. (2019) identified smoking, biosmoke exposure, male sex, and alcohol use as key risk factors for bacteriologically confirmed TB in Uganda. The study highlighted the importance of addressing lifestyle and environmental exposures in TB control programmes. Zhang et al. (2019) documented a high TB prevalence among older populations in China, with increased risk associated with male sex, undernutrition, diabetes, rural residence, and a history of TB. Active case-finding among vulnerable older groups was recommended as a cost-effective control strategy.</w:t>
      </w:r>
    </w:p>
    <w:p w14:paraId="43DBBF70" w14:textId="77777777" w:rsidR="00BB1CDB" w:rsidRPr="00E0573F" w:rsidRDefault="00BB1CDB" w:rsidP="00BB1CDB">
      <w:pPr>
        <w:pStyle w:val="NormalWeb"/>
        <w:spacing w:after="0" w:afterAutospacing="0"/>
        <w:jc w:val="both"/>
        <w:rPr>
          <w:rFonts w:ascii="Arial" w:hAnsi="Arial" w:cs="Arial"/>
          <w:sz w:val="20"/>
          <w:szCs w:val="20"/>
        </w:rPr>
      </w:pPr>
      <w:r w:rsidRPr="00E0573F">
        <w:rPr>
          <w:rFonts w:ascii="Arial" w:hAnsi="Arial" w:cs="Arial"/>
          <w:sz w:val="20"/>
          <w:szCs w:val="20"/>
        </w:rPr>
        <w:t>Onyemocho et al. (2020) demonstrated that community-based TB interventions significantly improved case detection and treatment success compared with facility-based approaches. The study highlighted community engagement as a critical pillar of the End TB Strategy. Wang et al. (2018) used a national survey in China and reported a higher TB prevalence among healthcare workers than among the general population, largely because of inadequate infection-control measures. Strengthening ventilation and TB management practices was strongly recommended. Olatunji et al. (2023) found a high TB prevalence among presumptive patients in Kaduna, with strong associations with HIV infection, smoking, and previous contact with a person with TB. The study supported the routine use of GeneXpert for the early detection of TB and drug resistance. Vange et al. (2019) reported a high TB prevalence and substantial rifampicin resistance in Makurdi, Benue State. The study emphasised increased funding, molecular diagnostics, and vaccine research to strengthen TB control.</w:t>
      </w:r>
    </w:p>
    <w:p w14:paraId="604BF591" w14:textId="77777777" w:rsidR="00BB1CDB" w:rsidRPr="00E0573F" w:rsidRDefault="00BB1CDB" w:rsidP="00BB1CDB">
      <w:pPr>
        <w:pStyle w:val="NormalWeb"/>
        <w:spacing w:after="0" w:afterAutospacing="0"/>
        <w:jc w:val="both"/>
        <w:rPr>
          <w:rFonts w:ascii="Arial" w:hAnsi="Arial" w:cs="Arial"/>
          <w:sz w:val="20"/>
          <w:szCs w:val="20"/>
        </w:rPr>
      </w:pPr>
      <w:r w:rsidRPr="00E0573F">
        <w:rPr>
          <w:rFonts w:ascii="Arial" w:hAnsi="Arial" w:cs="Arial"/>
          <w:sz w:val="20"/>
          <w:szCs w:val="20"/>
        </w:rPr>
        <w:t>Odagboyi et al. (2024) reported a high burden of aspergillosis among presumptive TB patients, with notable TB–</w:t>
      </w:r>
      <w:r w:rsidRPr="00E0573F">
        <w:rPr>
          <w:rFonts w:ascii="Arial" w:hAnsi="Arial" w:cs="Arial"/>
          <w:i/>
          <w:sz w:val="20"/>
          <w:szCs w:val="20"/>
        </w:rPr>
        <w:t>Aspergillus</w:t>
      </w:r>
      <w:r w:rsidRPr="00E0573F">
        <w:rPr>
          <w:rFonts w:ascii="Arial" w:hAnsi="Arial" w:cs="Arial"/>
          <w:sz w:val="20"/>
          <w:szCs w:val="20"/>
        </w:rPr>
        <w:t xml:space="preserve"> co-infection. The study stressed the need for routine fungal screening to avoid misdiagnosis and inappropriate TB treatment. Ogbo et al. (2018) used national burden estimates and found declining TB incidence and mortality in Nigeria but persistently high disability-adjusted life years. Alcohol use, diabetes, and smoking were identified as leading modifiable risk factors. Nwalozie et al. (2024) found no significant association between TB infection and demographic factors in Rivers State but identified clinical symptoms and hepatitis co-infection as important correlates. The study recommended symptom-focused screening strategies. Ameh et al. (2022) reported a substantial prevalence of bovine TB in Benue State, particularly in livestock-dense areas. The study raised concerns about zoonotic transmission and called for strengthened veterinary surveillance.</w:t>
      </w:r>
    </w:p>
    <w:p w14:paraId="5D189943" w14:textId="77777777" w:rsidR="00BB1CDB" w:rsidRPr="00E0573F" w:rsidRDefault="00BB1CDB" w:rsidP="00BB1CDB">
      <w:pPr>
        <w:pStyle w:val="NormalWeb"/>
        <w:spacing w:after="0" w:afterAutospacing="0"/>
        <w:jc w:val="both"/>
        <w:rPr>
          <w:rFonts w:ascii="Arial" w:hAnsi="Arial" w:cs="Arial"/>
          <w:sz w:val="20"/>
          <w:szCs w:val="20"/>
        </w:rPr>
      </w:pPr>
      <w:r w:rsidRPr="00E0573F">
        <w:rPr>
          <w:rFonts w:ascii="Arial" w:hAnsi="Arial" w:cs="Arial"/>
          <w:sz w:val="20"/>
          <w:szCs w:val="20"/>
        </w:rPr>
        <w:t xml:space="preserve">Hajar et al. (2023) demonstrated that TB incidence in Indonesia was influenced by socio-economic deprivation, poor housing, population density, and gaps in health infrastructure. The study emphasised multisectoral interventions to achieve TB elimination goals. Adane et al. (2020) found a high TB prevalence among adult household contacts in Ethiopia, with strong associations with undernutrition, poor ventilation, overcrowding, and raw-milk consumption. The study highlighted the importance of contact tracing and household-level interventions. In a meta-analysis, Qi et al. (2023) estimated a pooled TB–HIV co-infection prevalence of 6%, with smoking, low CD4 counts, and drug use as major risk factors; BCG vaccination was identified as protective. Mokhtar et al. (2025) identified high mortality among </w:t>
      </w:r>
      <w:r w:rsidRPr="00E0573F">
        <w:rPr>
          <w:rFonts w:ascii="Arial" w:hAnsi="Arial" w:cs="Arial"/>
          <w:sz w:val="20"/>
          <w:szCs w:val="20"/>
        </w:rPr>
        <w:lastRenderedPageBreak/>
        <w:t>TB patients with drug resistance and comorbidities such as HIV, diabetes, and renal failure. The study emphasised early detection and intensive management of multidrug-resistant and extensively drug-resistant TB.</w:t>
      </w:r>
    </w:p>
    <w:p w14:paraId="13BC7429" w14:textId="77777777" w:rsidR="00BB1CDB" w:rsidRPr="00E0573F" w:rsidRDefault="00BB1CDB" w:rsidP="00BB1CDB">
      <w:pPr>
        <w:pStyle w:val="NormalWeb"/>
        <w:spacing w:after="0" w:afterAutospacing="0"/>
        <w:jc w:val="both"/>
        <w:rPr>
          <w:rFonts w:ascii="Arial" w:hAnsi="Arial" w:cs="Arial"/>
          <w:sz w:val="20"/>
          <w:szCs w:val="20"/>
        </w:rPr>
      </w:pPr>
      <w:r w:rsidRPr="00E0573F">
        <w:rPr>
          <w:rFonts w:ascii="Arial" w:hAnsi="Arial" w:cs="Arial"/>
          <w:sz w:val="20"/>
          <w:szCs w:val="20"/>
        </w:rPr>
        <w:t>Alavi et al. (2014) showed that TB prevalence among prisoners was markedly higher than that in the general population and was associated with close contact, injecting drug use, and HIV infection. The study identified prisons as important settings for TB transmission. Yu et al. (2024) found declining TB incidence among students in China but identified urban centres and higher education institutions as hotspots. Socio-economic inequality played a major role in shaping TB distribution. Haritebieke et al. (2025) conducted a long-term analysis that revealed a high TB incidence in southern Xinjiang, driven mainly by low socio-economic status, air pollution, and limited health resources. The study emphasised region-specific TB control strategies. Diriba and Awulachew (2022) identified low income, limited education, smoking, khat use, HIV infection, and close contact with a person with TB as major risk factors, whereas BCG vaccination was protective. Their findings reinforced the need for targeted screening and preventive interventions.</w:t>
      </w:r>
    </w:p>
    <w:p w14:paraId="3FC1140C" w14:textId="77777777" w:rsidR="00821F76" w:rsidRPr="00E0573F" w:rsidRDefault="00000000">
      <w:pPr>
        <w:pStyle w:val="NormalWeb"/>
        <w:spacing w:after="0" w:afterAutospacing="0"/>
        <w:jc w:val="both"/>
        <w:rPr>
          <w:rFonts w:ascii="Arial" w:hAnsi="Arial" w:cs="Arial"/>
          <w:sz w:val="20"/>
          <w:szCs w:val="20"/>
        </w:rPr>
      </w:pPr>
      <w:r w:rsidRPr="00E0573F">
        <w:rPr>
          <w:b/>
          <w:bCs/>
        </w:rPr>
        <w:t>Recent evidence further supports the multidimensional nature of tuberculosis risk among populations exposed to social, environmental, and clinical vulnerabilities. In Nigeria, Okechukwu et al. (2026) reported a high burden of tuberculosis infection among child and adolescent household contacts of sputum-positive adults, reinforcing the importance of household exposure and contact tracing in high-risk groups. Similarly, Ajutor et al. (2026) documented sustained tuberculosis positivity and rifampicin resistance among presumptive patients attending a Nigerian chest hospital, indicating the continuing importance of surveillance, timely diagnosis, and treatment adherence. Shah et al. (2024) identified low socio-economic status, household crowding, undernutrition, smoking, and indoor air pollution as factors associated with drug-sensitive and drug-resistant tuberculosis. A global burden analysis further showed that tuberculosis remains disproportionately concentrated among males and populations in lower-income settings, with tobacco and alcohol use contributing to the disease burden (Yang et al., 2024). In addition, a recent meta-analysis found that alcohol consumption, smoking, and substance use were associated with poorer tuberculosis treatment outcomes (Heshmati et al., 2025).</w:t>
      </w:r>
    </w:p>
    <w:p w14:paraId="6D2AF150" w14:textId="77777777" w:rsidR="00821F76" w:rsidRPr="00E0573F" w:rsidRDefault="00000000">
      <w:pPr>
        <w:jc w:val="both"/>
        <w:rPr>
          <w:rFonts w:ascii="Arial" w:hAnsi="Arial" w:cs="Arial"/>
          <w:b/>
        </w:rPr>
      </w:pPr>
      <w:r w:rsidRPr="00E0573F">
        <w:rPr>
          <w:b/>
          <w:bCs/>
        </w:rPr>
        <w:t>1.4</w:t>
      </w:r>
      <w:r w:rsidRPr="00E0573F">
        <w:rPr>
          <w:b/>
          <w:bCs/>
        </w:rPr>
        <w:tab/>
        <w:t>Research Gap</w:t>
      </w:r>
    </w:p>
    <w:p w14:paraId="23788BEA" w14:textId="77777777" w:rsidR="00821F76" w:rsidRPr="00E0573F" w:rsidRDefault="00000000">
      <w:pPr>
        <w:pStyle w:val="NormalWeb"/>
        <w:spacing w:after="0" w:afterAutospacing="0"/>
        <w:jc w:val="both"/>
        <w:rPr>
          <w:rFonts w:ascii="Arial" w:hAnsi="Arial" w:cs="Arial"/>
          <w:sz w:val="20"/>
          <w:szCs w:val="20"/>
        </w:rPr>
      </w:pPr>
      <w:r w:rsidRPr="00E0573F">
        <w:rPr>
          <w:b/>
          <w:bCs/>
        </w:rPr>
        <w:t>Despite the breadth of the existing literature, evidence remains fragmented regarding the combined contributions of socio-demographic, environmental, behavioural, awareness-related, preventive, and HIV-associated factors among facility-attending high-risk populations in Makurdi Local Government Area. In particular, the available literature does not provide an integrated local assessment that jointly estimates tuberculosis prevalence and examines these interrelated determinants using multivariable analysis across the selected health facilities. This contextual gap limits the evidence available for prioritising locally responsive screening, prevention, and integrated TB–HIV service strategies.</w:t>
      </w:r>
    </w:p>
    <w:p w14:paraId="629C619A" w14:textId="77777777" w:rsidR="00821F76" w:rsidRPr="00E0573F" w:rsidRDefault="00000000">
      <w:pPr>
        <w:jc w:val="both"/>
        <w:rPr>
          <w:rFonts w:ascii="Arial" w:hAnsi="Arial" w:cs="Arial"/>
          <w:b/>
        </w:rPr>
      </w:pPr>
      <w:r w:rsidRPr="00E0573F">
        <w:rPr>
          <w:b/>
          <w:bCs/>
        </w:rPr>
        <w:t>1.5</w:t>
      </w:r>
      <w:r w:rsidRPr="00E0573F">
        <w:rPr>
          <w:b/>
          <w:bCs/>
        </w:rPr>
        <w:tab/>
        <w:t>Objective of the Study</w:t>
      </w:r>
    </w:p>
    <w:p w14:paraId="245949BB" w14:textId="77777777" w:rsidR="00821F76" w:rsidRPr="00E0573F" w:rsidRDefault="00000000">
      <w:pPr>
        <w:pStyle w:val="NormalWeb"/>
        <w:spacing w:after="0" w:afterAutospacing="0"/>
        <w:jc w:val="both"/>
        <w:rPr>
          <w:rFonts w:ascii="Arial" w:hAnsi="Arial" w:cs="Arial"/>
          <w:sz w:val="20"/>
          <w:szCs w:val="20"/>
        </w:rPr>
      </w:pPr>
      <w:r w:rsidRPr="00E0573F">
        <w:rPr>
          <w:b/>
          <w:bCs/>
        </w:rPr>
        <w:lastRenderedPageBreak/>
        <w:t>The objective of this study was to assess the prevalence of tuberculosis and identify the socio-demographic, environmental, behavioural, awareness-related, preventive, and HIV-associated factors linked to tuberculosis infection among high-risk populations attending selected health facilities in Makurdi Local Government Area, Benue State, Nigeria.</w:t>
      </w:r>
    </w:p>
    <w:p w14:paraId="106E5D48" w14:textId="77777777" w:rsidR="006A318C" w:rsidRPr="00E0573F" w:rsidRDefault="006A318C" w:rsidP="00BB1CDB">
      <w:pPr>
        <w:pBdr>
          <w:top w:val="single" w:sz="6" w:space="1" w:color="auto"/>
        </w:pBdr>
        <w:jc w:val="both"/>
        <w:rPr>
          <w:rFonts w:ascii="Arial" w:hAnsi="Arial" w:cs="Arial"/>
          <w:vanish/>
        </w:rPr>
      </w:pPr>
    </w:p>
    <w:p w14:paraId="74FD5E88" w14:textId="77777777" w:rsidR="006A318C" w:rsidRPr="00E0573F" w:rsidRDefault="006A318C" w:rsidP="00BB1CDB">
      <w:pPr>
        <w:pStyle w:val="AbstHead"/>
        <w:spacing w:after="0"/>
        <w:jc w:val="both"/>
        <w:rPr>
          <w:rFonts w:ascii="Arial" w:hAnsi="Arial" w:cs="Arial"/>
          <w:sz w:val="20"/>
        </w:rPr>
      </w:pPr>
    </w:p>
    <w:p w14:paraId="37207D45" w14:textId="77777777" w:rsidR="00FF0471" w:rsidRPr="00E0573F" w:rsidRDefault="00FF0471" w:rsidP="00543686">
      <w:pPr>
        <w:pStyle w:val="AbstHead"/>
        <w:spacing w:after="0"/>
        <w:jc w:val="both"/>
        <w:rPr>
          <w:rFonts w:ascii="Arial" w:hAnsi="Arial" w:cs="Arial"/>
        </w:rPr>
      </w:pPr>
      <w:r w:rsidRPr="00E0573F">
        <w:rPr>
          <w:rFonts w:ascii="Arial" w:hAnsi="Arial" w:cs="Arial"/>
        </w:rPr>
        <w:t>2. MATERIALS AND METHODS</w:t>
      </w:r>
    </w:p>
    <w:p w14:paraId="74728F43" w14:textId="77777777" w:rsidR="00F42BDE" w:rsidRPr="00E0573F" w:rsidRDefault="00F42BDE" w:rsidP="00543686">
      <w:pPr>
        <w:pStyle w:val="NormalWeb"/>
        <w:spacing w:before="0" w:beforeAutospacing="0" w:after="0" w:afterAutospacing="0"/>
        <w:rPr>
          <w:rFonts w:ascii="Arial" w:hAnsi="Arial" w:cs="Arial"/>
          <w:b/>
          <w:sz w:val="20"/>
          <w:szCs w:val="20"/>
        </w:rPr>
      </w:pPr>
      <w:r w:rsidRPr="00E0573F">
        <w:rPr>
          <w:rFonts w:ascii="Arial" w:hAnsi="Arial" w:cs="Arial"/>
          <w:b/>
          <w:sz w:val="20"/>
          <w:szCs w:val="20"/>
        </w:rPr>
        <w:t>2.1</w:t>
      </w:r>
      <w:r w:rsidRPr="00E0573F">
        <w:rPr>
          <w:rFonts w:ascii="Arial" w:hAnsi="Arial" w:cs="Arial"/>
          <w:b/>
          <w:sz w:val="20"/>
          <w:szCs w:val="20"/>
        </w:rPr>
        <w:tab/>
        <w:t>Study Area</w:t>
      </w:r>
    </w:p>
    <w:p w14:paraId="69EEFD51" w14:textId="77777777" w:rsidR="00624B29" w:rsidRPr="00E0573F" w:rsidRDefault="00624B29" w:rsidP="00543686">
      <w:pPr>
        <w:pStyle w:val="NormalWeb"/>
        <w:spacing w:before="0" w:beforeAutospacing="0" w:after="0" w:afterAutospacing="0"/>
        <w:jc w:val="both"/>
        <w:rPr>
          <w:rFonts w:ascii="Arial" w:hAnsi="Arial" w:cs="Arial"/>
          <w:sz w:val="20"/>
          <w:szCs w:val="20"/>
        </w:rPr>
      </w:pPr>
      <w:r w:rsidRPr="00E0573F">
        <w:rPr>
          <w:rFonts w:ascii="Arial" w:hAnsi="Arial" w:cs="Arial"/>
          <w:sz w:val="20"/>
          <w:szCs w:val="20"/>
        </w:rPr>
        <w:t>The study was conducted in Makurdi, the capital of Benue State, Nigeria, and the administrative headquarters of Makurdi Local Government Area in the North-Central (Middle Belt) region. The city lies at approximately 7°44′ N latitude and 8°30′ E longitude, within the Benue Valley, at an elevation of about 104 metres above sea level, and covers an estimated land area of approximately 804–937 km². Makurdi LGA is bordered by Guma LGA to the north, Gwer East LGA to the south, Gwer West LGA to the west, and Doma LGA of Nasarawa State to the north-west. The River Benue divides the city into North Bank and South Bank, which are connected by major bridges, while the generally flat and low-lying terrain makes some areas prone to seasonal flooding. The city has a tropical humid climate, with a wet season from March or April to October and a dry season from November to March, and average temperatures ranging from 23°C to 37°C. Owing to its location along the river and railway corridor, Makurdi serves as an important transport and agricultural hub, facilitating the movement of commodities such as yams, rice, and livestock and contributing to Benue State’s reputation as Nigeria’s “Food Basket of the Nation”.</w:t>
      </w:r>
    </w:p>
    <w:p w14:paraId="1078EF8F" w14:textId="77777777" w:rsidR="00F42BDE" w:rsidRPr="00E0573F" w:rsidRDefault="00F42BDE" w:rsidP="00F42BDE">
      <w:pPr>
        <w:pStyle w:val="NormalWeb"/>
        <w:spacing w:after="0" w:afterAutospacing="0" w:line="480" w:lineRule="auto"/>
        <w:jc w:val="both"/>
      </w:pPr>
      <w:r w:rsidRPr="00E0573F">
        <w:rPr>
          <w:noProof/>
        </w:rPr>
        <w:drawing>
          <wp:inline distT="0" distB="0" distL="0" distR="0" wp14:anchorId="4876DA27" wp14:editId="129BD6F9">
            <wp:extent cx="5235414" cy="2640787"/>
            <wp:effectExtent l="0" t="0" r="0" b="0"/>
            <wp:docPr id="1" name="Picture 1" descr="https://www.researchgate.net/profile/Terwase-Shabu/publication/258858863/figure/fig6/AS:668629452455946@1536425092492/Map-of-Makurdi-Town-Showing-The-Study-Areas-Source-Benue-State-Ministry-for-Lands-a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researchgate.net/profile/Terwase-Shabu/publication/258858863/figure/fig6/AS:668629452455946@1536425092492/Map-of-Makurdi-Town-Showing-The-Study-Areas-Source-Benue-State-Ministry-for-Lands-and.png"/>
                    <pic:cNvPicPr>
                      <a:picLocks noChangeAspect="1" noChangeArrowheads="1"/>
                    </pic:cNvPicPr>
                  </pic:nvPicPr>
                  <pic:blipFill>
                    <a:blip r:embed="rId14"/>
                    <a:srcRect/>
                    <a:stretch>
                      <a:fillRect/>
                    </a:stretch>
                  </pic:blipFill>
                  <pic:spPr bwMode="auto">
                    <a:xfrm>
                      <a:off x="0" y="0"/>
                      <a:ext cx="5251269" cy="2648784"/>
                    </a:xfrm>
                    <a:prstGeom prst="rect">
                      <a:avLst/>
                    </a:prstGeom>
                    <a:noFill/>
                    <a:ln w="9525">
                      <a:noFill/>
                      <a:miter lim="800000"/>
                      <a:headEnd/>
                      <a:tailEnd/>
                    </a:ln>
                  </pic:spPr>
                </pic:pic>
              </a:graphicData>
            </a:graphic>
          </wp:inline>
        </w:drawing>
      </w:r>
    </w:p>
    <w:p w14:paraId="0A8B0058" w14:textId="77777777" w:rsidR="00F42BDE" w:rsidRPr="00E0573F" w:rsidRDefault="00F42BDE" w:rsidP="00F42BDE">
      <w:pPr>
        <w:pStyle w:val="Heading1"/>
        <w:shd w:val="clear" w:color="auto" w:fill="FFFFFF"/>
        <w:spacing w:before="0" w:beforeAutospacing="0" w:after="0" w:afterAutospacing="0"/>
        <w:jc w:val="both"/>
        <w:rPr>
          <w:rFonts w:ascii="Arial" w:hAnsi="Arial" w:cs="Arial"/>
          <w:bCs w:val="0"/>
          <w:color w:val="111111"/>
          <w:sz w:val="20"/>
          <w:szCs w:val="20"/>
        </w:rPr>
      </w:pPr>
      <w:r w:rsidRPr="00E0573F">
        <w:rPr>
          <w:rFonts w:ascii="Arial" w:hAnsi="Arial" w:cs="Arial"/>
          <w:sz w:val="20"/>
          <w:szCs w:val="20"/>
        </w:rPr>
        <w:t xml:space="preserve">Figure 1: </w:t>
      </w:r>
      <w:r w:rsidRPr="00E0573F">
        <w:rPr>
          <w:rFonts w:ascii="Arial" w:hAnsi="Arial" w:cs="Arial"/>
          <w:bCs w:val="0"/>
          <w:color w:val="111111"/>
          <w:sz w:val="20"/>
          <w:szCs w:val="20"/>
        </w:rPr>
        <w:t xml:space="preserve">Map of Makurdi Town Showing the Study Areas (Source: Benue State </w:t>
      </w:r>
    </w:p>
    <w:p w14:paraId="1198D6B6" w14:textId="77777777" w:rsidR="00F42BDE" w:rsidRPr="00E0573F" w:rsidRDefault="00F42BDE" w:rsidP="00F42BDE">
      <w:pPr>
        <w:pStyle w:val="Heading1"/>
        <w:shd w:val="clear" w:color="auto" w:fill="FFFFFF"/>
        <w:spacing w:before="0" w:beforeAutospacing="0" w:after="0" w:afterAutospacing="0"/>
        <w:jc w:val="both"/>
        <w:rPr>
          <w:rFonts w:ascii="Arial" w:hAnsi="Arial" w:cs="Arial"/>
          <w:b w:val="0"/>
          <w:bCs w:val="0"/>
          <w:color w:val="111111"/>
          <w:sz w:val="20"/>
          <w:szCs w:val="20"/>
        </w:rPr>
      </w:pPr>
      <w:r w:rsidRPr="00E0573F">
        <w:rPr>
          <w:rFonts w:ascii="Arial" w:hAnsi="Arial" w:cs="Arial"/>
          <w:bCs w:val="0"/>
          <w:color w:val="111111"/>
          <w:sz w:val="20"/>
          <w:szCs w:val="20"/>
        </w:rPr>
        <w:tab/>
        <w:t>Ministry for Lands and Survey, 2011)</w:t>
      </w:r>
    </w:p>
    <w:p w14:paraId="2F71B413" w14:textId="77777777" w:rsidR="00F62D3C" w:rsidRPr="00E0573F" w:rsidRDefault="00543686" w:rsidP="00F62D3C">
      <w:pPr>
        <w:spacing w:before="240"/>
        <w:jc w:val="both"/>
        <w:rPr>
          <w:rFonts w:ascii="Arial" w:hAnsi="Arial" w:cs="Arial"/>
          <w:b/>
        </w:rPr>
      </w:pPr>
      <w:r w:rsidRPr="00E0573F">
        <w:rPr>
          <w:rFonts w:ascii="Arial" w:hAnsi="Arial" w:cs="Arial"/>
          <w:b/>
        </w:rPr>
        <w:t>2</w:t>
      </w:r>
      <w:r w:rsidR="00F62D3C" w:rsidRPr="00E0573F">
        <w:rPr>
          <w:rFonts w:ascii="Arial" w:hAnsi="Arial" w:cs="Arial"/>
          <w:b/>
        </w:rPr>
        <w:t>.2</w:t>
      </w:r>
      <w:r w:rsidR="00F62D3C" w:rsidRPr="00E0573F">
        <w:rPr>
          <w:rFonts w:ascii="Arial" w:hAnsi="Arial" w:cs="Arial"/>
          <w:b/>
        </w:rPr>
        <w:tab/>
        <w:t>Research Design</w:t>
      </w:r>
    </w:p>
    <w:p w14:paraId="3815F9F8" w14:textId="77777777" w:rsidR="00F62D3C" w:rsidRPr="00E0573F" w:rsidRDefault="00F62D3C" w:rsidP="00A43658">
      <w:pPr>
        <w:pStyle w:val="NormalWeb"/>
        <w:spacing w:before="0" w:beforeAutospacing="0" w:after="0" w:afterAutospacing="0"/>
        <w:jc w:val="both"/>
        <w:rPr>
          <w:rFonts w:ascii="Arial" w:hAnsi="Arial" w:cs="Arial"/>
          <w:sz w:val="20"/>
          <w:szCs w:val="20"/>
        </w:rPr>
      </w:pPr>
      <w:r w:rsidRPr="00E0573F">
        <w:rPr>
          <w:rFonts w:ascii="Arial" w:hAnsi="Arial" w:cs="Arial"/>
          <w:sz w:val="20"/>
          <w:szCs w:val="20"/>
        </w:rPr>
        <w:t xml:space="preserve">This study employed a descriptive cross-sectional survey design. The design was considered appropriate for assessing the prevalence and associated risk factors of tuberculosis among high-risk populations through the direct collection of information from patients using a structured questionnaire at the point of contact in selected healthcare facilities in Makurdi, Nigeria. The cross-sectional nature of the study enabled the researcher </w:t>
      </w:r>
      <w:r w:rsidRPr="00E0573F">
        <w:rPr>
          <w:rFonts w:ascii="Arial" w:hAnsi="Arial" w:cs="Arial"/>
          <w:sz w:val="20"/>
          <w:szCs w:val="20"/>
        </w:rPr>
        <w:lastRenderedPageBreak/>
        <w:t>to obtain relevant demographic, clinical, and behavioural data from respondents within a defined period.</w:t>
      </w:r>
    </w:p>
    <w:p w14:paraId="3E237A5B" w14:textId="77777777" w:rsidR="00F62D3C" w:rsidRPr="00E0573F" w:rsidRDefault="00543686" w:rsidP="00F62D3C">
      <w:pPr>
        <w:jc w:val="both"/>
        <w:rPr>
          <w:rFonts w:ascii="Arial" w:hAnsi="Arial" w:cs="Arial"/>
          <w:b/>
        </w:rPr>
      </w:pPr>
      <w:r w:rsidRPr="00E0573F">
        <w:rPr>
          <w:rFonts w:ascii="Arial" w:hAnsi="Arial" w:cs="Arial"/>
          <w:b/>
        </w:rPr>
        <w:t>2</w:t>
      </w:r>
      <w:r w:rsidR="00F62D3C" w:rsidRPr="00E0573F">
        <w:rPr>
          <w:rFonts w:ascii="Arial" w:hAnsi="Arial" w:cs="Arial"/>
          <w:b/>
        </w:rPr>
        <w:t>.3</w:t>
      </w:r>
      <w:r w:rsidR="00F62D3C" w:rsidRPr="00E0573F">
        <w:rPr>
          <w:rFonts w:ascii="Arial" w:hAnsi="Arial" w:cs="Arial"/>
          <w:b/>
        </w:rPr>
        <w:tab/>
        <w:t>Population of the Study</w:t>
      </w:r>
    </w:p>
    <w:p w14:paraId="7219D809" w14:textId="77777777" w:rsidR="00F62D3C" w:rsidRPr="00E0573F" w:rsidRDefault="00F62D3C" w:rsidP="00A43658">
      <w:pPr>
        <w:pStyle w:val="NormalWeb"/>
        <w:spacing w:before="0" w:beforeAutospacing="0" w:after="0" w:afterAutospacing="0"/>
        <w:jc w:val="both"/>
        <w:rPr>
          <w:rFonts w:ascii="Arial" w:hAnsi="Arial" w:cs="Arial"/>
          <w:sz w:val="20"/>
          <w:szCs w:val="20"/>
        </w:rPr>
      </w:pPr>
      <w:r w:rsidRPr="00E0573F">
        <w:rPr>
          <w:rFonts w:ascii="Arial" w:hAnsi="Arial" w:cs="Arial"/>
          <w:sz w:val="20"/>
          <w:szCs w:val="20"/>
        </w:rPr>
        <w:t>The study population consisted of patients attending five selected healthcare facilities in Makurdi Local Government Area during the period of data collection. The selected facilities were Benue State University Teaching Hospital, Makurdi; Federal Medical Centre, Makurdi; General Hospital North Bank; Bishop Murray Medical Centre, Makurdi; and Madonna Hospital, Makurdi.</w:t>
      </w:r>
    </w:p>
    <w:p w14:paraId="6481CF72" w14:textId="77777777" w:rsidR="00F62D3C" w:rsidRPr="00E0573F" w:rsidRDefault="00F62D3C" w:rsidP="00A43658">
      <w:pPr>
        <w:pStyle w:val="NormalWeb"/>
        <w:spacing w:before="0" w:beforeAutospacing="0" w:after="0" w:afterAutospacing="0"/>
        <w:jc w:val="both"/>
        <w:rPr>
          <w:rFonts w:ascii="Arial" w:hAnsi="Arial" w:cs="Arial"/>
          <w:sz w:val="20"/>
          <w:szCs w:val="20"/>
        </w:rPr>
      </w:pPr>
      <w:r w:rsidRPr="00E0573F">
        <w:rPr>
          <w:rFonts w:ascii="Arial" w:hAnsi="Arial" w:cs="Arial"/>
          <w:sz w:val="20"/>
          <w:szCs w:val="20"/>
        </w:rPr>
        <w:t>These hospitals were selected because of their high patient attendance and their roles as referral centres for tuberculosis diagnosis and treatment within the region. The population included individuals identified as belonging to high-risk groups for tuberculosis, whether newly diagnosed, receiving treatment, or presenting with symptoms suggestive of TB, who were willing to participate in the study.</w:t>
      </w:r>
    </w:p>
    <w:p w14:paraId="6300441E" w14:textId="77777777" w:rsidR="00F62D3C" w:rsidRPr="00E0573F" w:rsidRDefault="00543686" w:rsidP="00F62D3C">
      <w:pPr>
        <w:jc w:val="both"/>
        <w:rPr>
          <w:rFonts w:ascii="Arial" w:hAnsi="Arial" w:cs="Arial"/>
          <w:b/>
        </w:rPr>
      </w:pPr>
      <w:r w:rsidRPr="00E0573F">
        <w:rPr>
          <w:rFonts w:ascii="Arial" w:hAnsi="Arial" w:cs="Arial"/>
          <w:b/>
        </w:rPr>
        <w:t>2</w:t>
      </w:r>
      <w:r w:rsidR="00F62D3C" w:rsidRPr="00E0573F">
        <w:rPr>
          <w:rFonts w:ascii="Arial" w:hAnsi="Arial" w:cs="Arial"/>
          <w:b/>
        </w:rPr>
        <w:t>.4</w:t>
      </w:r>
      <w:r w:rsidR="00F62D3C" w:rsidRPr="00E0573F">
        <w:rPr>
          <w:rFonts w:ascii="Arial" w:hAnsi="Arial" w:cs="Arial"/>
          <w:b/>
        </w:rPr>
        <w:tab/>
        <w:t>Sample and Sampling Techniques</w:t>
      </w:r>
    </w:p>
    <w:p w14:paraId="1C422ED5" w14:textId="77777777" w:rsidR="00F62D3C" w:rsidRPr="00E0573F" w:rsidRDefault="00F62D3C" w:rsidP="00A43658">
      <w:pPr>
        <w:pStyle w:val="NormalWeb"/>
        <w:spacing w:before="0" w:beforeAutospacing="0" w:after="0" w:afterAutospacing="0"/>
        <w:jc w:val="both"/>
        <w:rPr>
          <w:rFonts w:ascii="Arial" w:hAnsi="Arial" w:cs="Arial"/>
          <w:sz w:val="20"/>
          <w:szCs w:val="20"/>
        </w:rPr>
      </w:pPr>
      <w:r w:rsidRPr="00E0573F">
        <w:rPr>
          <w:rFonts w:ascii="Arial" w:hAnsi="Arial" w:cs="Arial"/>
          <w:sz w:val="20"/>
          <w:szCs w:val="20"/>
        </w:rPr>
        <w:t>A purposive sampling technique was adopted to recruit respondents who met the study inclusion criteria from the selected health facilities. Eligible participants included patients within the high-risk population for tuberculosis who were present at the facilities during the data collection period, provided informed consent, and were able to complete the questionnaire.</w:t>
      </w:r>
    </w:p>
    <w:p w14:paraId="320B657D" w14:textId="77777777" w:rsidR="00F62D3C" w:rsidRPr="00E0573F" w:rsidRDefault="00F62D3C" w:rsidP="00A43658">
      <w:pPr>
        <w:pStyle w:val="NormalWeb"/>
        <w:spacing w:before="0" w:beforeAutospacing="0" w:after="0" w:afterAutospacing="0"/>
        <w:jc w:val="both"/>
        <w:rPr>
          <w:rFonts w:ascii="Arial" w:hAnsi="Arial" w:cs="Arial"/>
          <w:sz w:val="20"/>
          <w:szCs w:val="20"/>
        </w:rPr>
      </w:pPr>
      <w:r w:rsidRPr="00E0573F">
        <w:rPr>
          <w:rFonts w:ascii="Arial" w:hAnsi="Arial" w:cs="Arial"/>
          <w:sz w:val="20"/>
          <w:szCs w:val="20"/>
        </w:rPr>
        <w:t>Patients who were critically ill, unwilling to participate, or unable to provide reliable responses were excluded from the study. The sampling approach ensured that respondents possessed relevant exposure or clinical characteristics necessary for assessing TB prevalence and associated risk factors.</w:t>
      </w:r>
    </w:p>
    <w:p w14:paraId="7A414A84" w14:textId="77777777" w:rsidR="00F62D3C" w:rsidRPr="00E0573F" w:rsidRDefault="00543686" w:rsidP="00F62D3C">
      <w:pPr>
        <w:jc w:val="both"/>
        <w:rPr>
          <w:rFonts w:ascii="Arial" w:hAnsi="Arial" w:cs="Arial"/>
          <w:b/>
        </w:rPr>
      </w:pPr>
      <w:r w:rsidRPr="00E0573F">
        <w:rPr>
          <w:rFonts w:ascii="Arial" w:hAnsi="Arial" w:cs="Arial"/>
          <w:b/>
        </w:rPr>
        <w:t>2</w:t>
      </w:r>
      <w:r w:rsidR="00F62D3C" w:rsidRPr="00E0573F">
        <w:rPr>
          <w:rFonts w:ascii="Arial" w:hAnsi="Arial" w:cs="Arial"/>
          <w:b/>
        </w:rPr>
        <w:t>.5</w:t>
      </w:r>
      <w:r w:rsidR="00F62D3C" w:rsidRPr="00E0573F">
        <w:rPr>
          <w:rFonts w:ascii="Arial" w:hAnsi="Arial" w:cs="Arial"/>
          <w:b/>
        </w:rPr>
        <w:tab/>
        <w:t>Instrument for Data Collection</w:t>
      </w:r>
    </w:p>
    <w:p w14:paraId="35D4AF8D" w14:textId="77777777" w:rsidR="00F62D3C" w:rsidRPr="00E0573F" w:rsidRDefault="00F62D3C" w:rsidP="00A43658">
      <w:pPr>
        <w:pStyle w:val="NormalWeb"/>
        <w:spacing w:before="0" w:beforeAutospacing="0" w:after="0" w:afterAutospacing="0"/>
        <w:jc w:val="both"/>
        <w:rPr>
          <w:rFonts w:ascii="Arial" w:hAnsi="Arial" w:cs="Arial"/>
          <w:sz w:val="20"/>
          <w:szCs w:val="20"/>
        </w:rPr>
      </w:pPr>
      <w:r w:rsidRPr="00E0573F">
        <w:rPr>
          <w:rFonts w:ascii="Arial" w:hAnsi="Arial" w:cs="Arial"/>
          <w:sz w:val="20"/>
          <w:szCs w:val="20"/>
        </w:rPr>
        <w:t>Data were collected using a structured questionnaire designed by the researcher in accordance with the study objectives. The questionnaire was used to elicit responses from patients immediately after the doctor’s consultation and to extract data from existing patients’ medical records covering January 2023 to June 2026. The questionnaire contained sections covering socio-demographic characteristics (age, sex, residence, occupation, education, and related variables), clinical information (history of tuberculosis diagnosis, treatment status, symptoms, and HIV status, where disclosed), and behavioural and environmental risk factors (smoking history, alcohol use, overcrowded living conditions, contact with people with TB, and other relevant exposures). The instrument was developed in consultation with public health experts and clinicians to ensure the clarity, relevance, and comprehensiveness of the variables measured.</w:t>
      </w:r>
    </w:p>
    <w:p w14:paraId="3B5F88F8" w14:textId="77777777" w:rsidR="00F62D3C" w:rsidRPr="00E0573F" w:rsidRDefault="00543686" w:rsidP="00A43658">
      <w:pPr>
        <w:jc w:val="both"/>
        <w:rPr>
          <w:rFonts w:ascii="Arial" w:hAnsi="Arial" w:cs="Arial"/>
          <w:b/>
        </w:rPr>
      </w:pPr>
      <w:r w:rsidRPr="00E0573F">
        <w:rPr>
          <w:rFonts w:ascii="Arial" w:hAnsi="Arial" w:cs="Arial"/>
          <w:b/>
        </w:rPr>
        <w:t>2</w:t>
      </w:r>
      <w:r w:rsidR="00F62D3C" w:rsidRPr="00E0573F">
        <w:rPr>
          <w:rFonts w:ascii="Arial" w:hAnsi="Arial" w:cs="Arial"/>
          <w:b/>
        </w:rPr>
        <w:t>.6</w:t>
      </w:r>
      <w:r w:rsidR="00F62D3C" w:rsidRPr="00E0573F">
        <w:rPr>
          <w:rFonts w:ascii="Arial" w:hAnsi="Arial" w:cs="Arial"/>
          <w:b/>
        </w:rPr>
        <w:tab/>
        <w:t>Validity of the Instrument</w:t>
      </w:r>
    </w:p>
    <w:p w14:paraId="5B165647" w14:textId="77777777" w:rsidR="00F62D3C" w:rsidRPr="00E0573F" w:rsidRDefault="00F62D3C" w:rsidP="00A43658">
      <w:pPr>
        <w:pStyle w:val="NormalWeb"/>
        <w:spacing w:before="0" w:beforeAutospacing="0" w:after="0" w:afterAutospacing="0"/>
        <w:jc w:val="both"/>
        <w:rPr>
          <w:rFonts w:ascii="Arial" w:hAnsi="Arial" w:cs="Arial"/>
          <w:sz w:val="20"/>
          <w:szCs w:val="20"/>
        </w:rPr>
      </w:pPr>
      <w:r w:rsidRPr="00E0573F">
        <w:rPr>
          <w:rFonts w:ascii="Arial" w:hAnsi="Arial" w:cs="Arial"/>
          <w:sz w:val="20"/>
          <w:szCs w:val="20"/>
        </w:rPr>
        <w:t>Content validity of the questionnaire was established through expert review by tuberculosis control officers, epidemiologists, and clinicians, who assessed the adequacy, clarity, and relevance of the questionnaire items in addressing the study objectives. Necessary corrections and modifications were incorporated before final administration.</w:t>
      </w:r>
    </w:p>
    <w:p w14:paraId="02F8C6E0" w14:textId="77777777" w:rsidR="00F62D3C" w:rsidRPr="00E0573F" w:rsidRDefault="00543686" w:rsidP="00A43658">
      <w:pPr>
        <w:jc w:val="both"/>
        <w:rPr>
          <w:rFonts w:ascii="Arial" w:hAnsi="Arial" w:cs="Arial"/>
          <w:b/>
        </w:rPr>
      </w:pPr>
      <w:r w:rsidRPr="00E0573F">
        <w:rPr>
          <w:rFonts w:ascii="Arial" w:hAnsi="Arial" w:cs="Arial"/>
          <w:b/>
        </w:rPr>
        <w:t>2</w:t>
      </w:r>
      <w:r w:rsidR="00F62D3C" w:rsidRPr="00E0573F">
        <w:rPr>
          <w:rFonts w:ascii="Arial" w:hAnsi="Arial" w:cs="Arial"/>
          <w:b/>
        </w:rPr>
        <w:t>.7</w:t>
      </w:r>
      <w:r w:rsidR="00F62D3C" w:rsidRPr="00E0573F">
        <w:rPr>
          <w:rFonts w:ascii="Arial" w:hAnsi="Arial" w:cs="Arial"/>
          <w:b/>
        </w:rPr>
        <w:tab/>
        <w:t>Reliability of the Instrument</w:t>
      </w:r>
    </w:p>
    <w:p w14:paraId="1CF23421" w14:textId="77777777" w:rsidR="00F62D3C" w:rsidRPr="00E0573F" w:rsidRDefault="00F62D3C" w:rsidP="00A43658">
      <w:pPr>
        <w:pStyle w:val="NormalWeb"/>
        <w:spacing w:before="0" w:beforeAutospacing="0" w:after="0" w:afterAutospacing="0"/>
        <w:jc w:val="both"/>
        <w:rPr>
          <w:rFonts w:ascii="Arial" w:hAnsi="Arial" w:cs="Arial"/>
          <w:sz w:val="20"/>
          <w:szCs w:val="20"/>
        </w:rPr>
      </w:pPr>
      <w:r w:rsidRPr="00E0573F">
        <w:rPr>
          <w:rFonts w:ascii="Arial" w:hAnsi="Arial" w:cs="Arial"/>
          <w:sz w:val="20"/>
          <w:szCs w:val="20"/>
        </w:rPr>
        <w:t>To ensure reliability, the questionnaire was pre-tested among a small group of patients in a health facility outside the selected study sites. Feedback from the pilot testing was used to refine ambiguous items and improve internal consistency. The final instrument demonstrated acceptable reliability for data collection.</w:t>
      </w:r>
    </w:p>
    <w:p w14:paraId="12C684AD" w14:textId="77777777" w:rsidR="00F62D3C" w:rsidRPr="00E0573F" w:rsidRDefault="00543686" w:rsidP="00F62D3C">
      <w:pPr>
        <w:jc w:val="both"/>
        <w:rPr>
          <w:rFonts w:ascii="Arial" w:hAnsi="Arial" w:cs="Arial"/>
          <w:b/>
        </w:rPr>
      </w:pPr>
      <w:r w:rsidRPr="00E0573F">
        <w:rPr>
          <w:rFonts w:ascii="Arial" w:hAnsi="Arial" w:cs="Arial"/>
          <w:b/>
        </w:rPr>
        <w:t>2</w:t>
      </w:r>
      <w:r w:rsidR="00F62D3C" w:rsidRPr="00E0573F">
        <w:rPr>
          <w:rFonts w:ascii="Arial" w:hAnsi="Arial" w:cs="Arial"/>
          <w:b/>
        </w:rPr>
        <w:t>.8</w:t>
      </w:r>
      <w:r w:rsidR="00F62D3C" w:rsidRPr="00E0573F">
        <w:rPr>
          <w:rFonts w:ascii="Arial" w:hAnsi="Arial" w:cs="Arial"/>
          <w:b/>
        </w:rPr>
        <w:tab/>
        <w:t>Procedure for Data Collection</w:t>
      </w:r>
    </w:p>
    <w:p w14:paraId="64DC8B2E" w14:textId="77777777" w:rsidR="00F62D3C" w:rsidRPr="00E0573F" w:rsidRDefault="00F62D3C" w:rsidP="00A43658">
      <w:pPr>
        <w:pStyle w:val="NormalWeb"/>
        <w:tabs>
          <w:tab w:val="left" w:pos="1080"/>
        </w:tabs>
        <w:spacing w:before="0" w:beforeAutospacing="0" w:after="0" w:afterAutospacing="0"/>
        <w:jc w:val="both"/>
        <w:rPr>
          <w:rFonts w:ascii="Arial" w:hAnsi="Arial" w:cs="Arial"/>
          <w:sz w:val="20"/>
          <w:szCs w:val="20"/>
        </w:rPr>
      </w:pPr>
      <w:r w:rsidRPr="00E0573F">
        <w:rPr>
          <w:rFonts w:ascii="Arial" w:hAnsi="Arial" w:cs="Arial"/>
          <w:sz w:val="20"/>
          <w:szCs w:val="20"/>
        </w:rPr>
        <w:t>Data collection was conducted through direct administration of the structured questionnaire to eligible patients in the selected healthcare facilities. The researcher, assisted by trained research assistants, explained the study purpose, obtained informed consent, and guided respondents in completing the questionnaire where necessary. Confidentiality and anonymity of participants were strictly maintained throughout the process. Data collection was completed within a two-week period across the five hospitals.</w:t>
      </w:r>
    </w:p>
    <w:p w14:paraId="7BD45599" w14:textId="77777777" w:rsidR="00A43658" w:rsidRPr="00E0573F" w:rsidRDefault="00543686" w:rsidP="00A43658">
      <w:pPr>
        <w:jc w:val="both"/>
        <w:rPr>
          <w:rFonts w:ascii="Arial" w:hAnsi="Arial" w:cs="Arial"/>
          <w:b/>
        </w:rPr>
      </w:pPr>
      <w:r w:rsidRPr="00E0573F">
        <w:rPr>
          <w:rFonts w:ascii="Arial" w:hAnsi="Arial" w:cs="Arial"/>
          <w:b/>
        </w:rPr>
        <w:t>2</w:t>
      </w:r>
      <w:r w:rsidR="00F62D3C" w:rsidRPr="00E0573F">
        <w:rPr>
          <w:rFonts w:ascii="Arial" w:hAnsi="Arial" w:cs="Arial"/>
          <w:b/>
        </w:rPr>
        <w:t>.9</w:t>
      </w:r>
      <w:r w:rsidR="00F62D3C" w:rsidRPr="00E0573F">
        <w:rPr>
          <w:rFonts w:ascii="Arial" w:hAnsi="Arial" w:cs="Arial"/>
          <w:b/>
        </w:rPr>
        <w:tab/>
        <w:t xml:space="preserve">Method of Data Analysis  </w:t>
      </w:r>
    </w:p>
    <w:p w14:paraId="1BE4D262" w14:textId="77777777" w:rsidR="00F62D3C" w:rsidRPr="00E0573F" w:rsidRDefault="00F62D3C" w:rsidP="00A43658">
      <w:pPr>
        <w:jc w:val="both"/>
        <w:rPr>
          <w:rFonts w:ascii="Arial" w:hAnsi="Arial" w:cs="Arial"/>
          <w:b/>
        </w:rPr>
      </w:pPr>
      <w:r w:rsidRPr="00E0573F">
        <w:rPr>
          <w:rFonts w:ascii="Arial" w:hAnsi="Arial" w:cs="Arial"/>
        </w:rPr>
        <w:lastRenderedPageBreak/>
        <w:t>Completed questionnaires were coded, entered, and cleaned using SPSS (Statistical Package for the Social Sciences), version 25.0. Descriptive statistics and percentages were analysed using SPSS, whereas bivariate and binary logistic regression analyses were conducted using the Python programming language. Descriptive statistics, including frequencies, percentages, means, and standard deviations, were used to summarise the respondents’ socio-demographic characteristics and estimate the prevalence of tuberculosis among the high-risk population.</w:t>
      </w:r>
    </w:p>
    <w:p w14:paraId="3467C08F" w14:textId="77777777" w:rsidR="00F62D3C" w:rsidRPr="00E0573F" w:rsidRDefault="00F62D3C" w:rsidP="00F62D3C">
      <w:pPr>
        <w:pStyle w:val="NormalWeb"/>
        <w:spacing w:after="0" w:afterAutospacing="0"/>
        <w:jc w:val="both"/>
        <w:rPr>
          <w:rFonts w:ascii="Arial" w:hAnsi="Arial" w:cs="Arial"/>
          <w:sz w:val="20"/>
          <w:szCs w:val="20"/>
        </w:rPr>
      </w:pPr>
      <w:r w:rsidRPr="00E0573F">
        <w:rPr>
          <w:rFonts w:ascii="Arial" w:hAnsi="Arial" w:cs="Arial"/>
          <w:sz w:val="20"/>
          <w:szCs w:val="20"/>
        </w:rPr>
        <w:t>To examine associations between tuberculosis status and categorical risk factors (e.g. age group, sex, HIV status, smoking, and overcrowding), the chi-square test of independence was applied, with statistical significance set at p &lt; 0.05. Binary logistic regression analysis was then performed to identify independent predictors of tuberculosis occurrence. Tuberculosis status (positive or negative) served as the dependent variable (coded as 1 = TB positive and 0 = TB negative), while socio-demographic and risk-related variables were included as independent predictors.</w:t>
      </w:r>
    </w:p>
    <w:p w14:paraId="0B530851" w14:textId="77777777" w:rsidR="00F62D3C" w:rsidRPr="00E0573F" w:rsidRDefault="00F62D3C" w:rsidP="00F62D3C">
      <w:pPr>
        <w:pStyle w:val="NormalWeb"/>
        <w:spacing w:after="0" w:afterAutospacing="0"/>
        <w:jc w:val="both"/>
        <w:rPr>
          <w:rFonts w:ascii="Arial" w:hAnsi="Arial" w:cs="Arial"/>
          <w:sz w:val="20"/>
          <w:szCs w:val="20"/>
        </w:rPr>
      </w:pPr>
      <w:r w:rsidRPr="00E0573F">
        <w:rPr>
          <w:rFonts w:ascii="Arial" w:hAnsi="Arial" w:cs="Arial"/>
          <w:sz w:val="20"/>
          <w:szCs w:val="20"/>
        </w:rPr>
        <w:t>Adjusted odds ratios (AORs) with 95% confidence intervals (CIs) were calculated to determine the strength and direction of associations while controlling for confounding variables. This multivariable analysis provided a deeper understanding of the key risk factors influencing tuberculosis occurrence among high-risk populations in Makurdi.</w:t>
      </w:r>
    </w:p>
    <w:p w14:paraId="0B72C127" w14:textId="77777777" w:rsidR="00E0032D" w:rsidRPr="00E0573F" w:rsidRDefault="00543686" w:rsidP="00E0032D">
      <w:pPr>
        <w:jc w:val="both"/>
        <w:rPr>
          <w:rFonts w:ascii="Arial" w:hAnsi="Arial" w:cs="Arial"/>
          <w:b/>
        </w:rPr>
      </w:pPr>
      <w:r w:rsidRPr="00E0573F">
        <w:rPr>
          <w:rFonts w:ascii="Arial" w:hAnsi="Arial" w:cs="Arial"/>
          <w:b/>
        </w:rPr>
        <w:t>2</w:t>
      </w:r>
      <w:r w:rsidR="00E0032D" w:rsidRPr="00E0573F">
        <w:rPr>
          <w:rFonts w:ascii="Arial" w:hAnsi="Arial" w:cs="Arial"/>
          <w:b/>
        </w:rPr>
        <w:t>.9.1 Descriptive statistics</w:t>
      </w:r>
    </w:p>
    <w:p w14:paraId="4C68B1B6" w14:textId="77777777" w:rsidR="00E0032D" w:rsidRPr="00E0573F" w:rsidRDefault="00E0032D" w:rsidP="00E0032D">
      <w:pPr>
        <w:jc w:val="both"/>
        <w:rPr>
          <w:rFonts w:ascii="Arial" w:hAnsi="Arial" w:cs="Arial"/>
        </w:rPr>
      </w:pPr>
      <w:r w:rsidRPr="00E0573F">
        <w:rPr>
          <w:rFonts w:ascii="Arial" w:hAnsi="Arial" w:cs="Arial"/>
        </w:rPr>
        <w:t xml:space="preserve">Descriptive statistics were used to summarise the socio-demographic characteristics of respondents, </w:t>
      </w:r>
      <w:r w:rsidR="00974474" w:rsidRPr="00E0573F">
        <w:rPr>
          <w:rFonts w:ascii="Arial" w:hAnsi="Arial" w:cs="Arial"/>
        </w:rPr>
        <w:t>the occurrence of tuberculosis</w:t>
      </w:r>
      <w:r w:rsidRPr="00E0573F">
        <w:rPr>
          <w:rFonts w:ascii="Arial" w:hAnsi="Arial" w:cs="Arial"/>
        </w:rPr>
        <w:t>, and the livelihoods</w:t>
      </w:r>
      <w:r w:rsidR="00974474" w:rsidRPr="00E0573F">
        <w:rPr>
          <w:rFonts w:ascii="Arial" w:hAnsi="Arial" w:cs="Arial"/>
        </w:rPr>
        <w:t xml:space="preserve"> of the occurrence of the infection in the population</w:t>
      </w:r>
      <w:r w:rsidRPr="00E0573F">
        <w:rPr>
          <w:rFonts w:ascii="Arial" w:hAnsi="Arial" w:cs="Arial"/>
        </w:rPr>
        <w:t xml:space="preserve">. Let </w:t>
      </w:r>
      <m:oMath>
        <m:r>
          <w:rPr>
            <w:rFonts w:ascii="Cambria Math" w:hAnsi="Cambria Math" w:cs="Arial"/>
          </w:rPr>
          <m:t>n</m:t>
        </m:r>
      </m:oMath>
      <w:r w:rsidRPr="00E0573F">
        <w:rPr>
          <w:rFonts w:ascii="Arial" w:hAnsi="Arial" w:cs="Arial"/>
        </w:rPr>
        <w:t xml:space="preserve"> denote the total number of respondents and </w:t>
      </w:r>
      <m:oMath>
        <m:sSub>
          <m:sSubPr>
            <m:ctrlPr>
              <w:rPr>
                <w:rFonts w:ascii="Cambria Math" w:hAnsi="Cambria Math" w:cs="Arial"/>
                <w:i/>
              </w:rPr>
            </m:ctrlPr>
          </m:sSubPr>
          <m:e>
            <m:r>
              <w:rPr>
                <w:rFonts w:ascii="Cambria Math" w:hAnsi="Cambria Math" w:cs="Arial"/>
              </w:rPr>
              <m:t>x</m:t>
            </m:r>
          </m:e>
          <m:sub>
            <m:r>
              <w:rPr>
                <w:rFonts w:ascii="Cambria Math" w:hAnsi="Cambria Math" w:cs="Arial"/>
              </w:rPr>
              <m:t>i</m:t>
            </m:r>
          </m:sub>
        </m:sSub>
      </m:oMath>
      <w:r w:rsidRPr="00E0573F">
        <w:rPr>
          <w:rFonts w:ascii="Arial" w:hAnsi="Arial" w:cs="Arial"/>
        </w:rPr>
        <w:t xml:space="preserve"> represent the observed value of a variable for the </w:t>
      </w:r>
      <m:oMath>
        <m:r>
          <w:rPr>
            <w:rFonts w:ascii="Cambria Math" w:hAnsi="Cambria Math" w:cs="Arial"/>
          </w:rPr>
          <m:t>i</m:t>
        </m:r>
      </m:oMath>
      <w:r w:rsidRPr="00E0573F">
        <w:rPr>
          <w:rFonts w:ascii="Arial" w:hAnsi="Arial" w:cs="Arial"/>
        </w:rPr>
        <w:t xml:space="preserve">th respondent, where </w:t>
      </w:r>
      <m:oMath>
        <m:r>
          <w:rPr>
            <w:rFonts w:ascii="Cambria Math" w:hAnsi="Cambria Math" w:cs="Arial"/>
          </w:rPr>
          <m:t>i=1,2,…,n</m:t>
        </m:r>
      </m:oMath>
      <w:r w:rsidRPr="00E0573F">
        <w:rPr>
          <w:rFonts w:ascii="Arial" w:hAnsi="Arial" w:cs="Arial"/>
        </w:rPr>
        <w:t>. The frequency of a categorical variable is given by</w:t>
      </w:r>
    </w:p>
    <w:p w14:paraId="677663F6" w14:textId="77777777" w:rsidR="00E0032D" w:rsidRPr="00E0573F" w:rsidRDefault="00000000" w:rsidP="00E0032D">
      <w:pPr>
        <w:jc w:val="both"/>
        <w:rPr>
          <w:rFonts w:ascii="Arial" w:hAnsi="Arial" w:cs="Arial"/>
        </w:rPr>
      </w:pPr>
      <m:oMathPara>
        <m:oMath>
          <m:sSub>
            <m:sSubPr>
              <m:ctrlPr>
                <w:rPr>
                  <w:rFonts w:ascii="Cambria Math" w:hAnsi="Cambria Math" w:cs="Arial"/>
                  <w:i/>
                </w:rPr>
              </m:ctrlPr>
            </m:sSubPr>
            <m:e>
              <m:r>
                <w:rPr>
                  <w:rFonts w:ascii="Cambria Math" w:hAnsi="Cambria Math" w:cs="Arial"/>
                </w:rPr>
                <m:t>f</m:t>
              </m:r>
            </m:e>
            <m:sub>
              <m:r>
                <w:rPr>
                  <w:rFonts w:ascii="Cambria Math" w:hAnsi="Cambria Math" w:cs="Arial"/>
                </w:rPr>
                <m:t>j</m:t>
              </m:r>
            </m:sub>
          </m:sSub>
          <m:r>
            <w:rPr>
              <w:rFonts w:ascii="Cambria Math" w:hAnsi="Cambria Math" w:cs="Arial"/>
            </w:rPr>
            <m:t>=</m:t>
          </m:r>
          <m:nary>
            <m:naryPr>
              <m:chr m:val="∑"/>
              <m:limLoc m:val="undOvr"/>
              <m:ctrlPr>
                <w:rPr>
                  <w:rFonts w:ascii="Cambria Math" w:hAnsi="Cambria Math" w:cs="Arial"/>
                  <w:i/>
                </w:rPr>
              </m:ctrlPr>
            </m:naryPr>
            <m:sub>
              <m:r>
                <w:rPr>
                  <w:rFonts w:ascii="Cambria Math" w:hAnsi="Cambria Math" w:cs="Arial"/>
                </w:rPr>
                <m:t>i=1</m:t>
              </m:r>
            </m:sub>
            <m:sup>
              <m:r>
                <w:rPr>
                  <w:rFonts w:ascii="Cambria Math" w:hAnsi="Cambria Math" w:cs="Arial"/>
                </w:rPr>
                <m:t>n</m:t>
              </m:r>
            </m:sup>
            <m:e>
              <m:r>
                <w:rPr>
                  <w:rFonts w:ascii="Cambria Math" w:hAnsi="Cambria Math" w:cs="Arial"/>
                </w:rPr>
                <m:t>I(</m:t>
              </m:r>
              <m:sSub>
                <m:sSubPr>
                  <m:ctrlPr>
                    <w:rPr>
                      <w:rFonts w:ascii="Cambria Math" w:hAnsi="Cambria Math" w:cs="Arial"/>
                      <w:i/>
                    </w:rPr>
                  </m:ctrlPr>
                </m:sSubPr>
                <m:e>
                  <m:r>
                    <w:rPr>
                      <w:rFonts w:ascii="Cambria Math" w:hAnsi="Cambria Math" w:cs="Arial"/>
                    </w:rPr>
                    <m:t>x</m:t>
                  </m:r>
                </m:e>
                <m:sub>
                  <m:r>
                    <w:rPr>
                      <w:rFonts w:ascii="Cambria Math" w:hAnsi="Cambria Math" w:cs="Arial"/>
                    </w:rPr>
                    <m:t>i</m:t>
                  </m:r>
                </m:sub>
              </m:sSub>
              <m:r>
                <w:rPr>
                  <w:rFonts w:ascii="Cambria Math" w:hAnsi="Cambria Math" w:cs="Arial"/>
                </w:rPr>
                <m:t>=j)</m:t>
              </m:r>
            </m:e>
          </m:nary>
          <m:r>
            <w:rPr>
              <w:rFonts w:ascii="Cambria Math" w:hAnsi="Cambria Math" w:cs="Arial"/>
            </w:rPr>
            <m:t xml:space="preserve">                                                                                                              (1)</m:t>
          </m:r>
        </m:oMath>
      </m:oMathPara>
    </w:p>
    <w:p w14:paraId="43E5D432" w14:textId="77777777" w:rsidR="00E0032D" w:rsidRPr="00E0573F" w:rsidRDefault="00E0032D" w:rsidP="00E0032D">
      <w:pPr>
        <w:jc w:val="both"/>
        <w:rPr>
          <w:rFonts w:ascii="Arial" w:hAnsi="Arial" w:cs="Arial"/>
        </w:rPr>
      </w:pPr>
      <w:r w:rsidRPr="00E0573F">
        <w:rPr>
          <w:rFonts w:ascii="Arial" w:hAnsi="Arial" w:cs="Arial"/>
        </w:rPr>
        <w:t xml:space="preserve">where </w:t>
      </w:r>
      <m:oMath>
        <m:r>
          <w:rPr>
            <w:rFonts w:ascii="Cambria Math" w:hAnsi="Cambria Math" w:cs="Arial"/>
          </w:rPr>
          <m:t>I(⋅)</m:t>
        </m:r>
      </m:oMath>
      <w:r w:rsidRPr="00E0573F">
        <w:rPr>
          <w:rFonts w:ascii="Arial" w:hAnsi="Arial" w:cs="Arial"/>
        </w:rPr>
        <w:t xml:space="preserve"> is an indicator function. The percentage is computed as:</w:t>
      </w:r>
    </w:p>
    <w:p w14:paraId="630A575B" w14:textId="77777777" w:rsidR="00E0032D" w:rsidRPr="00E0573F" w:rsidRDefault="00000000" w:rsidP="00E0032D">
      <w:pPr>
        <w:jc w:val="both"/>
        <w:rPr>
          <w:rFonts w:ascii="Arial" w:hAnsi="Arial" w:cs="Arial"/>
        </w:rPr>
      </w:pPr>
      <m:oMathPara>
        <m:oMath>
          <m:sSub>
            <m:sSubPr>
              <m:ctrlPr>
                <w:rPr>
                  <w:rFonts w:ascii="Cambria Math" w:hAnsi="Cambria Math" w:cs="Arial"/>
                  <w:i/>
                </w:rPr>
              </m:ctrlPr>
            </m:sSubPr>
            <m:e>
              <m:r>
                <w:rPr>
                  <w:rFonts w:ascii="Cambria Math" w:hAnsi="Cambria Math" w:cs="Arial"/>
                </w:rPr>
                <m:t>Percentage</m:t>
              </m:r>
            </m:e>
            <m:sub>
              <m:r>
                <w:rPr>
                  <w:rFonts w:ascii="Cambria Math" w:hAnsi="Cambria Math" w:cs="Arial"/>
                </w:rPr>
                <m:t>j</m:t>
              </m:r>
            </m:sub>
          </m:sSub>
          <m:r>
            <w:rPr>
              <w:rFonts w:ascii="Cambria Math" w:hAnsi="Cambria Math" w:cs="Arial"/>
            </w:rPr>
            <m:t>=</m:t>
          </m:r>
          <m:f>
            <m:fPr>
              <m:ctrlPr>
                <w:rPr>
                  <w:rFonts w:ascii="Cambria Math" w:hAnsi="Cambria Math" w:cs="Arial"/>
                  <w:i/>
                </w:rPr>
              </m:ctrlPr>
            </m:fPr>
            <m:num>
              <m:sSub>
                <m:sSubPr>
                  <m:ctrlPr>
                    <w:rPr>
                      <w:rFonts w:ascii="Cambria Math" w:hAnsi="Cambria Math" w:cs="Arial"/>
                      <w:i/>
                    </w:rPr>
                  </m:ctrlPr>
                </m:sSubPr>
                <m:e>
                  <m:r>
                    <w:rPr>
                      <w:rFonts w:ascii="Cambria Math" w:hAnsi="Cambria Math" w:cs="Arial"/>
                    </w:rPr>
                    <m:t>f</m:t>
                  </m:r>
                </m:e>
                <m:sub>
                  <m:r>
                    <w:rPr>
                      <w:rFonts w:ascii="Cambria Math" w:hAnsi="Cambria Math" w:cs="Arial"/>
                    </w:rPr>
                    <m:t>j</m:t>
                  </m:r>
                </m:sub>
              </m:sSub>
            </m:num>
            <m:den>
              <m:r>
                <w:rPr>
                  <w:rFonts w:ascii="Cambria Math" w:hAnsi="Cambria Math" w:cs="Arial"/>
                </w:rPr>
                <m:t>n</m:t>
              </m:r>
            </m:den>
          </m:f>
          <m:r>
            <w:rPr>
              <w:rFonts w:ascii="Cambria Math" w:hAnsi="Cambria Math" w:cs="Arial"/>
            </w:rPr>
            <m:t>×100                                                                                                  (2)</m:t>
          </m:r>
        </m:oMath>
      </m:oMathPara>
    </w:p>
    <w:p w14:paraId="1EC62C0E" w14:textId="77777777" w:rsidR="00E0032D" w:rsidRPr="00E0573F" w:rsidRDefault="00E0032D" w:rsidP="00E0032D">
      <w:pPr>
        <w:jc w:val="both"/>
        <w:rPr>
          <w:rFonts w:ascii="Arial" w:hAnsi="Arial" w:cs="Arial"/>
        </w:rPr>
      </w:pPr>
      <w:r w:rsidRPr="00E0573F">
        <w:rPr>
          <w:rFonts w:ascii="Arial" w:hAnsi="Arial" w:cs="Arial"/>
        </w:rPr>
        <w:t>The results were presented in tables showing frequencies and percentages.</w:t>
      </w:r>
    </w:p>
    <w:p w14:paraId="3394E170" w14:textId="77777777" w:rsidR="00E0032D" w:rsidRPr="00E0573F" w:rsidRDefault="00543686" w:rsidP="00E0032D">
      <w:pPr>
        <w:jc w:val="both"/>
        <w:rPr>
          <w:rFonts w:ascii="Arial" w:hAnsi="Arial" w:cs="Arial"/>
          <w:b/>
        </w:rPr>
      </w:pPr>
      <w:r w:rsidRPr="00E0573F">
        <w:rPr>
          <w:rFonts w:ascii="Arial" w:hAnsi="Arial" w:cs="Arial"/>
          <w:b/>
        </w:rPr>
        <w:t>2</w:t>
      </w:r>
      <w:r w:rsidR="00E0032D" w:rsidRPr="00E0573F">
        <w:rPr>
          <w:rFonts w:ascii="Arial" w:hAnsi="Arial" w:cs="Arial"/>
          <w:b/>
        </w:rPr>
        <w:t>.9.2 Chi-Square test of association</w:t>
      </w:r>
    </w:p>
    <w:p w14:paraId="7199630C" w14:textId="77777777" w:rsidR="00E0032D" w:rsidRPr="00E0573F" w:rsidRDefault="00E0032D" w:rsidP="00E0032D">
      <w:pPr>
        <w:jc w:val="both"/>
        <w:rPr>
          <w:rFonts w:ascii="Arial" w:hAnsi="Arial" w:cs="Arial"/>
        </w:rPr>
      </w:pPr>
      <w:r w:rsidRPr="00E0573F">
        <w:rPr>
          <w:rFonts w:ascii="Arial" w:hAnsi="Arial" w:cs="Arial"/>
        </w:rPr>
        <w:t>The Pearson chi-square (</w:t>
      </w:r>
      <m:oMath>
        <m:sSup>
          <m:sSupPr>
            <m:ctrlPr>
              <w:rPr>
                <w:rFonts w:ascii="Cambria Math" w:hAnsi="Cambria Math" w:cs="Arial"/>
                <w:i/>
              </w:rPr>
            </m:ctrlPr>
          </m:sSupPr>
          <m:e>
            <m:r>
              <m:rPr>
                <m:scr m:val="script"/>
              </m:rPr>
              <w:rPr>
                <w:rFonts w:ascii="Cambria Math" w:hAnsi="Cambria Math" w:cs="Arial"/>
              </w:rPr>
              <m:t>X</m:t>
            </m:r>
          </m:e>
          <m:sup>
            <m:r>
              <w:rPr>
                <w:rFonts w:ascii="Cambria Math" w:hAnsi="Cambria Math" w:cs="Arial"/>
              </w:rPr>
              <m:t>2</m:t>
            </m:r>
          </m:sup>
        </m:sSup>
      </m:oMath>
      <w:r w:rsidRPr="00E0573F">
        <w:rPr>
          <w:rFonts w:ascii="Arial" w:hAnsi="Arial" w:cs="Arial"/>
        </w:rPr>
        <w:t>) test was employed to examine the association between explanatory variables (socio-demographic c</w:t>
      </w:r>
      <w:r w:rsidR="002D1939" w:rsidRPr="00E0573F">
        <w:rPr>
          <w:rFonts w:ascii="Arial" w:hAnsi="Arial" w:cs="Arial"/>
        </w:rPr>
        <w:t xml:space="preserve">haracteristics and </w:t>
      </w:r>
      <w:r w:rsidR="00974474" w:rsidRPr="00E0573F">
        <w:rPr>
          <w:rFonts w:ascii="Arial" w:hAnsi="Arial" w:cs="Arial"/>
        </w:rPr>
        <w:t>risk</w:t>
      </w:r>
      <w:r w:rsidR="002D1939" w:rsidRPr="00E0573F">
        <w:rPr>
          <w:rFonts w:ascii="Arial" w:hAnsi="Arial" w:cs="Arial"/>
        </w:rPr>
        <w:t xml:space="preserve"> factors</w:t>
      </w:r>
      <w:r w:rsidRPr="00E0573F">
        <w:rPr>
          <w:rFonts w:ascii="Arial" w:hAnsi="Arial" w:cs="Arial"/>
        </w:rPr>
        <w:t>) and the binary outcome variable</w:t>
      </w:r>
      <w:r w:rsidR="002D1939" w:rsidRPr="00E0573F">
        <w:rPr>
          <w:rFonts w:ascii="Arial" w:hAnsi="Arial" w:cs="Arial"/>
        </w:rPr>
        <w:t>,</w:t>
      </w:r>
      <w:r w:rsidRPr="00E0573F">
        <w:rPr>
          <w:rFonts w:ascii="Arial" w:hAnsi="Arial" w:cs="Arial"/>
        </w:rPr>
        <w:t xml:space="preserve"> </w:t>
      </w:r>
      <w:r w:rsidR="002D1939" w:rsidRPr="00E0573F">
        <w:rPr>
          <w:rFonts w:ascii="Arial" w:hAnsi="Arial" w:cs="Arial"/>
        </w:rPr>
        <w:t>the occurrence or absence of TB infection</w:t>
      </w:r>
      <w:r w:rsidRPr="00E0573F">
        <w:rPr>
          <w:rFonts w:ascii="Arial" w:hAnsi="Arial" w:cs="Arial"/>
        </w:rPr>
        <w:t xml:space="preserve">. For a </w:t>
      </w:r>
      <m:oMath>
        <m:r>
          <w:rPr>
            <w:rFonts w:ascii="Cambria Math" w:hAnsi="Cambria Math" w:cs="Arial"/>
          </w:rPr>
          <m:t>r×c</m:t>
        </m:r>
      </m:oMath>
      <w:r w:rsidRPr="00E0573F">
        <w:rPr>
          <w:rFonts w:ascii="Arial" w:hAnsi="Arial" w:cs="Arial"/>
        </w:rPr>
        <w:t xml:space="preserve"> contingency table, the chi-square statistic is defined as</w:t>
      </w:r>
    </w:p>
    <w:p w14:paraId="2479A9A3" w14:textId="77777777" w:rsidR="00E0032D" w:rsidRPr="00E0573F" w:rsidRDefault="00000000" w:rsidP="00E0032D">
      <w:pPr>
        <w:jc w:val="both"/>
        <w:rPr>
          <w:rFonts w:ascii="Arial" w:eastAsiaTheme="minorEastAsia" w:hAnsi="Arial" w:cs="Arial"/>
        </w:rPr>
      </w:pPr>
      <m:oMathPara>
        <m:oMath>
          <m:sSup>
            <m:sSupPr>
              <m:ctrlPr>
                <w:rPr>
                  <w:rFonts w:ascii="Cambria Math" w:eastAsiaTheme="minorHAnsi" w:hAnsi="Cambria Math" w:cs="Arial"/>
                  <w:i/>
                </w:rPr>
              </m:ctrlPr>
            </m:sSupPr>
            <m:e>
              <m:r>
                <m:rPr>
                  <m:scr m:val="script"/>
                </m:rPr>
                <w:rPr>
                  <w:rFonts w:ascii="Cambria Math" w:eastAsiaTheme="minorHAnsi" w:hAnsi="Cambria Math" w:cs="Arial"/>
                </w:rPr>
                <m:t>X</m:t>
              </m:r>
            </m:e>
            <m:sup>
              <m:r>
                <w:rPr>
                  <w:rFonts w:ascii="Cambria Math" w:eastAsiaTheme="minorHAnsi" w:hAnsi="Cambria Math" w:cs="Arial"/>
                </w:rPr>
                <m:t>2</m:t>
              </m:r>
            </m:sup>
          </m:sSup>
          <m:r>
            <w:rPr>
              <w:rFonts w:ascii="Cambria Math" w:eastAsiaTheme="minorHAnsi" w:hAnsi="Cambria Math" w:cs="Arial"/>
            </w:rPr>
            <m:t>=</m:t>
          </m:r>
          <m:nary>
            <m:naryPr>
              <m:chr m:val="∑"/>
              <m:limLoc m:val="undOvr"/>
              <m:ctrlPr>
                <w:rPr>
                  <w:rFonts w:ascii="Cambria Math" w:eastAsiaTheme="minorHAnsi" w:hAnsi="Cambria Math" w:cs="Arial"/>
                  <w:i/>
                </w:rPr>
              </m:ctrlPr>
            </m:naryPr>
            <m:sub>
              <m:r>
                <w:rPr>
                  <w:rFonts w:ascii="Cambria Math" w:eastAsiaTheme="minorHAnsi" w:hAnsi="Cambria Math" w:cs="Arial"/>
                </w:rPr>
                <m:t>i=1</m:t>
              </m:r>
            </m:sub>
            <m:sup>
              <m:r>
                <w:rPr>
                  <w:rFonts w:ascii="Cambria Math" w:eastAsiaTheme="minorHAnsi" w:hAnsi="Cambria Math" w:cs="Arial"/>
                </w:rPr>
                <m:t>r</m:t>
              </m:r>
            </m:sup>
            <m:e>
              <m:nary>
                <m:naryPr>
                  <m:chr m:val="∑"/>
                  <m:limLoc m:val="undOvr"/>
                  <m:ctrlPr>
                    <w:rPr>
                      <w:rFonts w:ascii="Cambria Math" w:eastAsiaTheme="minorHAnsi" w:hAnsi="Cambria Math" w:cs="Arial"/>
                      <w:i/>
                    </w:rPr>
                  </m:ctrlPr>
                </m:naryPr>
                <m:sub>
                  <m:r>
                    <w:rPr>
                      <w:rFonts w:ascii="Cambria Math" w:eastAsiaTheme="minorHAnsi" w:hAnsi="Cambria Math" w:cs="Arial"/>
                    </w:rPr>
                    <m:t>j=1</m:t>
                  </m:r>
                </m:sub>
                <m:sup>
                  <m:r>
                    <w:rPr>
                      <w:rFonts w:ascii="Cambria Math" w:eastAsiaTheme="minorHAnsi" w:hAnsi="Cambria Math" w:cs="Arial"/>
                    </w:rPr>
                    <m:t>c</m:t>
                  </m:r>
                </m:sup>
                <m:e>
                  <m:f>
                    <m:fPr>
                      <m:ctrlPr>
                        <w:rPr>
                          <w:rFonts w:ascii="Cambria Math" w:eastAsiaTheme="minorHAnsi" w:hAnsi="Cambria Math" w:cs="Arial"/>
                          <w:i/>
                        </w:rPr>
                      </m:ctrlPr>
                    </m:fPr>
                    <m:num>
                      <m:d>
                        <m:dPr>
                          <m:ctrlPr>
                            <w:rPr>
                              <w:rFonts w:ascii="Cambria Math" w:eastAsiaTheme="minorHAnsi" w:hAnsi="Cambria Math" w:cs="Arial"/>
                              <w:i/>
                            </w:rPr>
                          </m:ctrlPr>
                        </m:dPr>
                        <m:e>
                          <m:sSub>
                            <m:sSubPr>
                              <m:ctrlPr>
                                <w:rPr>
                                  <w:rFonts w:ascii="Cambria Math" w:eastAsiaTheme="minorHAnsi" w:hAnsi="Cambria Math" w:cs="Arial"/>
                                  <w:i/>
                                </w:rPr>
                              </m:ctrlPr>
                            </m:sSubPr>
                            <m:e>
                              <m:r>
                                <w:rPr>
                                  <w:rFonts w:ascii="Cambria Math" w:eastAsiaTheme="minorHAnsi" w:hAnsi="Cambria Math" w:cs="Arial"/>
                                </w:rPr>
                                <m:t>O</m:t>
                              </m:r>
                            </m:e>
                            <m:sub>
                              <m:r>
                                <w:rPr>
                                  <w:rFonts w:ascii="Cambria Math" w:eastAsiaTheme="minorHAnsi" w:hAnsi="Cambria Math" w:cs="Arial"/>
                                </w:rPr>
                                <m:t>ij</m:t>
                              </m:r>
                            </m:sub>
                          </m:sSub>
                          <m:r>
                            <w:rPr>
                              <w:rFonts w:ascii="Cambria Math" w:eastAsiaTheme="minorHAnsi" w:hAnsi="Cambria Math" w:cs="Arial"/>
                            </w:rPr>
                            <m:t>-</m:t>
                          </m:r>
                          <m:sSub>
                            <m:sSubPr>
                              <m:ctrlPr>
                                <w:rPr>
                                  <w:rFonts w:ascii="Cambria Math" w:eastAsiaTheme="minorHAnsi" w:hAnsi="Cambria Math" w:cs="Arial"/>
                                  <w:i/>
                                </w:rPr>
                              </m:ctrlPr>
                            </m:sSubPr>
                            <m:e>
                              <m:r>
                                <w:rPr>
                                  <w:rFonts w:ascii="Cambria Math" w:eastAsiaTheme="minorHAnsi" w:hAnsi="Cambria Math" w:cs="Arial"/>
                                </w:rPr>
                                <m:t>E</m:t>
                              </m:r>
                            </m:e>
                            <m:sub>
                              <m:r>
                                <w:rPr>
                                  <w:rFonts w:ascii="Cambria Math" w:eastAsiaTheme="minorHAnsi" w:hAnsi="Cambria Math" w:cs="Arial"/>
                                </w:rPr>
                                <m:t>ij</m:t>
                              </m:r>
                            </m:sub>
                          </m:sSub>
                        </m:e>
                      </m:d>
                    </m:num>
                    <m:den>
                      <m:sSub>
                        <m:sSubPr>
                          <m:ctrlPr>
                            <w:rPr>
                              <w:rFonts w:ascii="Cambria Math" w:eastAsiaTheme="minorHAnsi" w:hAnsi="Cambria Math" w:cs="Arial"/>
                              <w:i/>
                            </w:rPr>
                          </m:ctrlPr>
                        </m:sSubPr>
                        <m:e>
                          <m:r>
                            <w:rPr>
                              <w:rFonts w:ascii="Cambria Math" w:eastAsiaTheme="minorHAnsi" w:hAnsi="Cambria Math" w:cs="Arial"/>
                            </w:rPr>
                            <m:t>E</m:t>
                          </m:r>
                        </m:e>
                        <m:sub>
                          <m:r>
                            <w:rPr>
                              <w:rFonts w:ascii="Cambria Math" w:eastAsiaTheme="minorHAnsi" w:hAnsi="Cambria Math" w:cs="Arial"/>
                            </w:rPr>
                            <m:t>ij</m:t>
                          </m:r>
                        </m:sub>
                      </m:sSub>
                    </m:den>
                  </m:f>
                </m:e>
              </m:nary>
            </m:e>
          </m:nary>
          <m:r>
            <w:rPr>
              <w:rFonts w:ascii="Cambria Math" w:eastAsiaTheme="minorEastAsia" w:hAnsi="Cambria Math" w:cs="Arial"/>
            </w:rPr>
            <m:t xml:space="preserve">                                                                                                  (3)</m:t>
          </m:r>
        </m:oMath>
      </m:oMathPara>
    </w:p>
    <w:p w14:paraId="6A6DA9CE" w14:textId="77777777" w:rsidR="00E0032D" w:rsidRPr="00E0573F" w:rsidRDefault="00E0032D" w:rsidP="00E0032D">
      <w:pPr>
        <w:jc w:val="both"/>
        <w:rPr>
          <w:rFonts w:ascii="Arial" w:hAnsi="Arial" w:cs="Arial"/>
        </w:rPr>
      </w:pPr>
      <w:r w:rsidRPr="00E0573F">
        <w:rPr>
          <w:rFonts w:ascii="Arial" w:hAnsi="Arial" w:cs="Arial"/>
        </w:rPr>
        <w:t xml:space="preserve">where </w:t>
      </w:r>
      <m:oMath>
        <m:sSub>
          <m:sSubPr>
            <m:ctrlPr>
              <w:rPr>
                <w:rFonts w:ascii="Cambria Math" w:hAnsi="Cambria Math" w:cs="Arial"/>
                <w:i/>
              </w:rPr>
            </m:ctrlPr>
          </m:sSubPr>
          <m:e>
            <m:r>
              <w:rPr>
                <w:rFonts w:ascii="Cambria Math" w:hAnsi="Cambria Math" w:cs="Arial"/>
              </w:rPr>
              <m:t>O</m:t>
            </m:r>
          </m:e>
          <m:sub>
            <m:r>
              <w:rPr>
                <w:rFonts w:ascii="Cambria Math" w:hAnsi="Cambria Math" w:cs="Arial"/>
              </w:rPr>
              <m:t>ij</m:t>
            </m:r>
          </m:sub>
        </m:sSub>
      </m:oMath>
      <w:r w:rsidRPr="00E0573F">
        <w:rPr>
          <w:rFonts w:ascii="Arial" w:hAnsi="Arial" w:cs="Arial"/>
        </w:rPr>
        <w:t>= observed frequency in cell (</w:t>
      </w:r>
      <m:oMath>
        <m:r>
          <w:rPr>
            <w:rFonts w:ascii="Cambria Math" w:hAnsi="Cambria Math" w:cs="Arial"/>
          </w:rPr>
          <m:t>i,j</m:t>
        </m:r>
      </m:oMath>
      <w:r w:rsidRPr="00E0573F">
        <w:rPr>
          <w:rFonts w:ascii="Arial" w:hAnsi="Arial" w:cs="Arial"/>
        </w:rPr>
        <w:t xml:space="preserve">), </w:t>
      </w:r>
      <m:oMath>
        <m:sSub>
          <m:sSubPr>
            <m:ctrlPr>
              <w:rPr>
                <w:rFonts w:ascii="Cambria Math" w:hAnsi="Cambria Math" w:cs="Arial"/>
                <w:i/>
              </w:rPr>
            </m:ctrlPr>
          </m:sSubPr>
          <m:e>
            <m:r>
              <w:rPr>
                <w:rFonts w:ascii="Cambria Math" w:hAnsi="Cambria Math" w:cs="Arial"/>
              </w:rPr>
              <m:t>E</m:t>
            </m:r>
          </m:e>
          <m:sub>
            <m:r>
              <w:rPr>
                <w:rFonts w:ascii="Cambria Math" w:hAnsi="Cambria Math" w:cs="Arial"/>
              </w:rPr>
              <m:t>ij</m:t>
            </m:r>
          </m:sub>
        </m:sSub>
      </m:oMath>
      <w:r w:rsidRPr="00E0573F">
        <w:rPr>
          <w:rFonts w:ascii="Arial" w:hAnsi="Arial" w:cs="Arial"/>
        </w:rPr>
        <w:t>​ = expected frequency under the null hypothesis, computed as:</w:t>
      </w:r>
    </w:p>
    <w:p w14:paraId="0C182AA4" w14:textId="77777777" w:rsidR="00E0032D" w:rsidRPr="00E0573F" w:rsidRDefault="00000000" w:rsidP="00E0032D">
      <w:pPr>
        <w:jc w:val="both"/>
        <w:rPr>
          <w:rFonts w:ascii="Arial" w:hAnsi="Arial" w:cs="Arial"/>
        </w:rPr>
      </w:pPr>
      <m:oMathPara>
        <m:oMath>
          <m:sSub>
            <m:sSubPr>
              <m:ctrlPr>
                <w:rPr>
                  <w:rFonts w:ascii="Cambria Math" w:hAnsi="Cambria Math" w:cs="Arial"/>
                  <w:i/>
                </w:rPr>
              </m:ctrlPr>
            </m:sSubPr>
            <m:e>
              <m:r>
                <w:rPr>
                  <w:rFonts w:ascii="Cambria Math" w:hAnsi="Cambria Math" w:cs="Arial"/>
                </w:rPr>
                <m:t>E</m:t>
              </m:r>
            </m:e>
            <m:sub>
              <m:r>
                <w:rPr>
                  <w:rFonts w:ascii="Cambria Math" w:hAnsi="Cambria Math" w:cs="Arial"/>
                </w:rPr>
                <m:t>ij</m:t>
              </m:r>
            </m:sub>
          </m:sSub>
          <m:r>
            <w:rPr>
              <w:rFonts w:ascii="Cambria Math" w:hAnsi="Cambria Math" w:cs="Arial"/>
            </w:rPr>
            <m:t>=</m:t>
          </m:r>
          <m:f>
            <m:fPr>
              <m:ctrlPr>
                <w:rPr>
                  <w:rFonts w:ascii="Cambria Math" w:hAnsi="Cambria Math" w:cs="Arial"/>
                  <w:i/>
                </w:rPr>
              </m:ctrlPr>
            </m:fPr>
            <m:num>
              <m:sSub>
                <m:sSubPr>
                  <m:ctrlPr>
                    <w:rPr>
                      <w:rFonts w:ascii="Cambria Math" w:hAnsi="Cambria Math" w:cs="Arial"/>
                      <w:i/>
                    </w:rPr>
                  </m:ctrlPr>
                </m:sSubPr>
                <m:e>
                  <m:d>
                    <m:dPr>
                      <m:ctrlPr>
                        <w:rPr>
                          <w:rFonts w:ascii="Cambria Math" w:hAnsi="Cambria Math" w:cs="Arial"/>
                          <w:i/>
                        </w:rPr>
                      </m:ctrlPr>
                    </m:dPr>
                    <m:e>
                      <m:r>
                        <w:rPr>
                          <w:rFonts w:ascii="Cambria Math" w:hAnsi="Cambria Math" w:cs="Arial"/>
                        </w:rPr>
                        <m:t>Row Total</m:t>
                      </m:r>
                    </m:e>
                  </m:d>
                </m:e>
                <m:sub>
                  <m:r>
                    <w:rPr>
                      <w:rFonts w:ascii="Cambria Math" w:hAnsi="Cambria Math" w:cs="Arial"/>
                    </w:rPr>
                    <m:t>i</m:t>
                  </m:r>
                </m:sub>
              </m:sSub>
              <m:r>
                <w:rPr>
                  <w:rFonts w:ascii="Cambria Math" w:hAnsi="Cambria Math" w:cs="Arial"/>
                </w:rPr>
                <m:t>×</m:t>
              </m:r>
              <m:sSub>
                <m:sSubPr>
                  <m:ctrlPr>
                    <w:rPr>
                      <w:rFonts w:ascii="Cambria Math" w:hAnsi="Cambria Math" w:cs="Arial"/>
                      <w:i/>
                    </w:rPr>
                  </m:ctrlPr>
                </m:sSubPr>
                <m:e>
                  <m:d>
                    <m:dPr>
                      <m:ctrlPr>
                        <w:rPr>
                          <w:rFonts w:ascii="Cambria Math" w:hAnsi="Cambria Math" w:cs="Arial"/>
                          <w:i/>
                        </w:rPr>
                      </m:ctrlPr>
                    </m:dPr>
                    <m:e>
                      <m:r>
                        <w:rPr>
                          <w:rFonts w:ascii="Cambria Math" w:hAnsi="Cambria Math" w:cs="Arial"/>
                        </w:rPr>
                        <m:t>Column Total</m:t>
                      </m:r>
                    </m:e>
                  </m:d>
                </m:e>
                <m:sub>
                  <m:r>
                    <w:rPr>
                      <w:rFonts w:ascii="Cambria Math" w:hAnsi="Cambria Math" w:cs="Arial"/>
                    </w:rPr>
                    <m:t>j</m:t>
                  </m:r>
                </m:sub>
              </m:sSub>
            </m:num>
            <m:den>
              <m:r>
                <w:rPr>
                  <w:rFonts w:ascii="Cambria Math" w:hAnsi="Cambria Math" w:cs="Arial"/>
                </w:rPr>
                <m:t>N</m:t>
              </m:r>
            </m:den>
          </m:f>
          <m:r>
            <w:rPr>
              <w:rFonts w:ascii="Cambria Math" w:hAnsi="Cambria Math" w:cs="Arial"/>
            </w:rPr>
            <m:t xml:space="preserve">                                                                       (4)</m:t>
          </m:r>
        </m:oMath>
      </m:oMathPara>
    </w:p>
    <w:p w14:paraId="16289126" w14:textId="77777777" w:rsidR="00E0032D" w:rsidRPr="00E0573F" w:rsidRDefault="00E0032D" w:rsidP="00E0032D">
      <w:pPr>
        <w:jc w:val="both"/>
        <w:rPr>
          <w:rFonts w:ascii="Arial" w:hAnsi="Arial" w:cs="Arial"/>
        </w:rPr>
      </w:pPr>
      <w:r w:rsidRPr="00E0573F">
        <w:rPr>
          <w:rFonts w:ascii="Arial" w:hAnsi="Arial" w:cs="Arial"/>
        </w:rPr>
        <w:t>Degrees of freedom (</w:t>
      </w:r>
      <m:oMath>
        <m:r>
          <w:rPr>
            <w:rFonts w:ascii="Cambria Math" w:hAnsi="Cambria Math" w:cs="Arial"/>
          </w:rPr>
          <m:t>df</m:t>
        </m:r>
      </m:oMath>
      <w:r w:rsidRPr="00E0573F">
        <w:rPr>
          <w:rFonts w:ascii="Arial" w:hAnsi="Arial" w:cs="Arial"/>
        </w:rPr>
        <w:t xml:space="preserve">) were calculated as: </w:t>
      </w:r>
      <m:oMath>
        <m:r>
          <w:rPr>
            <w:rFonts w:ascii="Cambria Math" w:hAnsi="Cambria Math" w:cs="Arial"/>
          </w:rPr>
          <m:t>df=</m:t>
        </m:r>
        <m:d>
          <m:dPr>
            <m:ctrlPr>
              <w:rPr>
                <w:rFonts w:ascii="Cambria Math" w:hAnsi="Cambria Math" w:cs="Arial"/>
                <w:i/>
              </w:rPr>
            </m:ctrlPr>
          </m:dPr>
          <m:e>
            <m:r>
              <w:rPr>
                <w:rFonts w:ascii="Cambria Math" w:hAnsi="Cambria Math" w:cs="Arial"/>
              </w:rPr>
              <m:t>r-1</m:t>
            </m:r>
          </m:e>
        </m:d>
        <m:d>
          <m:dPr>
            <m:ctrlPr>
              <w:rPr>
                <w:rFonts w:ascii="Cambria Math" w:hAnsi="Cambria Math" w:cs="Arial"/>
                <w:i/>
              </w:rPr>
            </m:ctrlPr>
          </m:dPr>
          <m:e>
            <m:r>
              <w:rPr>
                <w:rFonts w:ascii="Cambria Math" w:hAnsi="Cambria Math" w:cs="Arial"/>
              </w:rPr>
              <m:t>c-1</m:t>
            </m:r>
          </m:e>
        </m:d>
      </m:oMath>
      <w:r w:rsidRPr="00E0573F">
        <w:rPr>
          <w:rFonts w:ascii="Arial" w:hAnsi="Arial" w:cs="Arial"/>
        </w:rPr>
        <w:t xml:space="preserve">. Statistical significance was assessed at </w:t>
      </w:r>
      <m:oMath>
        <m:r>
          <w:rPr>
            <w:rFonts w:ascii="Cambria Math" w:hAnsi="Cambria Math" w:cs="Arial"/>
          </w:rPr>
          <m:t>α=0.05</m:t>
        </m:r>
      </m:oMath>
      <w:r w:rsidR="00C245AF" w:rsidRPr="00E0573F">
        <w:rPr>
          <w:rFonts w:ascii="Arial" w:hAnsi="Arial" w:cs="Arial"/>
        </w:rPr>
        <w:t xml:space="preserve"> (Allison, 2012).</w:t>
      </w:r>
    </w:p>
    <w:p w14:paraId="2D5521CB" w14:textId="77777777" w:rsidR="00E0032D" w:rsidRPr="00E0573F" w:rsidRDefault="00E0032D" w:rsidP="00E0032D">
      <w:pPr>
        <w:jc w:val="both"/>
        <w:rPr>
          <w:rFonts w:ascii="Arial" w:hAnsi="Arial" w:cs="Arial"/>
        </w:rPr>
      </w:pPr>
      <w:r w:rsidRPr="00E0573F">
        <w:rPr>
          <w:rFonts w:ascii="Arial" w:hAnsi="Arial" w:cs="Arial"/>
        </w:rPr>
        <w:t>To quantify the strength of association, Cramér’s V is used:</w:t>
      </w:r>
    </w:p>
    <w:p w14:paraId="35FE2B0F" w14:textId="77777777" w:rsidR="00E0032D" w:rsidRPr="00E0573F" w:rsidRDefault="00E0032D" w:rsidP="00E0032D">
      <w:pPr>
        <w:jc w:val="both"/>
        <w:rPr>
          <w:rFonts w:ascii="Arial" w:hAnsi="Arial" w:cs="Arial"/>
        </w:rPr>
      </w:pPr>
      <m:oMathPara>
        <m:oMath>
          <m:r>
            <w:rPr>
              <w:rFonts w:ascii="Cambria Math" w:hAnsi="Cambria Math" w:cs="Arial"/>
            </w:rPr>
            <m:t>V=</m:t>
          </m:r>
          <m:rad>
            <m:radPr>
              <m:degHide m:val="1"/>
              <m:ctrlPr>
                <w:rPr>
                  <w:rFonts w:ascii="Cambria Math" w:hAnsi="Cambria Math" w:cs="Arial"/>
                  <w:i/>
                </w:rPr>
              </m:ctrlPr>
            </m:radPr>
            <m:deg/>
            <m:e>
              <m:f>
                <m:fPr>
                  <m:ctrlPr>
                    <w:rPr>
                      <w:rFonts w:ascii="Cambria Math" w:hAnsi="Cambria Math" w:cs="Arial"/>
                      <w:i/>
                    </w:rPr>
                  </m:ctrlPr>
                </m:fPr>
                <m:num>
                  <m:sSup>
                    <m:sSupPr>
                      <m:ctrlPr>
                        <w:rPr>
                          <w:rFonts w:ascii="Cambria Math" w:hAnsi="Cambria Math" w:cs="Arial"/>
                          <w:i/>
                        </w:rPr>
                      </m:ctrlPr>
                    </m:sSupPr>
                    <m:e>
                      <m:r>
                        <m:rPr>
                          <m:scr m:val="script"/>
                        </m:rPr>
                        <w:rPr>
                          <w:rFonts w:ascii="Cambria Math" w:hAnsi="Cambria Math" w:cs="Arial"/>
                        </w:rPr>
                        <m:t>X</m:t>
                      </m:r>
                    </m:e>
                    <m:sup>
                      <m:r>
                        <w:rPr>
                          <w:rFonts w:ascii="Cambria Math" w:hAnsi="Cambria Math" w:cs="Arial"/>
                        </w:rPr>
                        <m:t>2</m:t>
                      </m:r>
                    </m:sup>
                  </m:sSup>
                </m:num>
                <m:den>
                  <m:r>
                    <w:rPr>
                      <w:rFonts w:ascii="Cambria Math" w:hAnsi="Cambria Math" w:cs="Arial"/>
                    </w:rPr>
                    <m:t>n(k-1)</m:t>
                  </m:r>
                </m:den>
              </m:f>
            </m:e>
          </m:rad>
          <m:r>
            <w:rPr>
              <w:rFonts w:ascii="Cambria Math" w:hAnsi="Cambria Math" w:cs="Arial"/>
            </w:rPr>
            <m:t xml:space="preserve">                                                                                                                          (5)</m:t>
          </m:r>
        </m:oMath>
      </m:oMathPara>
    </w:p>
    <w:p w14:paraId="72C6AEC5" w14:textId="77777777" w:rsidR="00E0032D" w:rsidRPr="00E0573F" w:rsidRDefault="00E0032D" w:rsidP="00E0032D">
      <w:pPr>
        <w:jc w:val="both"/>
        <w:rPr>
          <w:rFonts w:ascii="Arial" w:hAnsi="Arial" w:cs="Arial"/>
        </w:rPr>
      </w:pPr>
      <w:r w:rsidRPr="00E0573F">
        <w:rPr>
          <w:rFonts w:ascii="Arial" w:hAnsi="Arial" w:cs="Arial"/>
        </w:rPr>
        <w:t xml:space="preserve">where </w:t>
      </w:r>
      <m:oMath>
        <m:r>
          <w:rPr>
            <w:rFonts w:ascii="Cambria Math" w:hAnsi="Cambria Math" w:cs="Arial"/>
          </w:rPr>
          <m:t>k=min(r,c)</m:t>
        </m:r>
      </m:oMath>
      <w:r w:rsidRPr="00E0573F">
        <w:rPr>
          <w:rFonts w:ascii="Arial" w:hAnsi="Arial" w:cs="Arial"/>
        </w:rPr>
        <w:t>.</w:t>
      </w:r>
    </w:p>
    <w:p w14:paraId="4B2BB0FB" w14:textId="77777777" w:rsidR="00E0032D" w:rsidRPr="00E0573F" w:rsidRDefault="00E0032D" w:rsidP="00E0032D">
      <w:pPr>
        <w:jc w:val="both"/>
        <w:rPr>
          <w:rFonts w:ascii="Arial" w:hAnsi="Arial" w:cs="Arial"/>
        </w:rPr>
      </w:pPr>
      <w:r w:rsidRPr="00E0573F">
        <w:rPr>
          <w:rFonts w:ascii="Arial" w:hAnsi="Arial" w:cs="Arial"/>
          <w:i/>
        </w:rPr>
        <w:lastRenderedPageBreak/>
        <w:t>Interpretation</w:t>
      </w:r>
      <w:r w:rsidRPr="00E0573F">
        <w:rPr>
          <w:rFonts w:ascii="Arial" w:hAnsi="Arial" w:cs="Arial"/>
        </w:rPr>
        <w:t xml:space="preserve">: </w:t>
      </w:r>
      <m:oMath>
        <m:r>
          <w:rPr>
            <w:rFonts w:ascii="Cambria Math" w:hAnsi="Cambria Math" w:cs="Arial"/>
          </w:rPr>
          <m:t>V&lt;0.1</m:t>
        </m:r>
      </m:oMath>
      <w:r w:rsidRPr="00E0573F">
        <w:rPr>
          <w:rFonts w:ascii="Arial" w:hAnsi="Arial" w:cs="Arial"/>
        </w:rPr>
        <w:t xml:space="preserve"> implies weak association, </w:t>
      </w:r>
      <m:oMath>
        <m:r>
          <w:rPr>
            <w:rFonts w:ascii="Cambria Math" w:hAnsi="Cambria Math" w:cs="Arial"/>
          </w:rPr>
          <m:t>0.1≤V&lt;0.30</m:t>
        </m:r>
      </m:oMath>
      <w:r w:rsidRPr="00E0573F">
        <w:rPr>
          <w:rFonts w:ascii="Arial" w:hAnsi="Arial" w:cs="Arial"/>
        </w:rPr>
        <w:t xml:space="preserve"> implies moderate association and</w:t>
      </w:r>
      <m:oMath>
        <m:r>
          <w:rPr>
            <w:rFonts w:ascii="Cambria Math" w:hAnsi="Cambria Math" w:cs="Arial"/>
          </w:rPr>
          <m:t xml:space="preserve"> V≥0.3 </m:t>
        </m:r>
      </m:oMath>
      <w:r w:rsidRPr="00E0573F">
        <w:rPr>
          <w:rFonts w:ascii="Arial" w:hAnsi="Arial" w:cs="Arial"/>
        </w:rPr>
        <w:t>implies strong association.</w:t>
      </w:r>
    </w:p>
    <w:p w14:paraId="663158EF" w14:textId="77777777" w:rsidR="00E0032D" w:rsidRPr="00E0573F" w:rsidRDefault="00543686" w:rsidP="00E0032D">
      <w:pPr>
        <w:jc w:val="both"/>
        <w:rPr>
          <w:rFonts w:ascii="Arial" w:hAnsi="Arial" w:cs="Arial"/>
          <w:b/>
        </w:rPr>
      </w:pPr>
      <w:r w:rsidRPr="00E0573F">
        <w:rPr>
          <w:rFonts w:ascii="Arial" w:hAnsi="Arial" w:cs="Arial"/>
          <w:b/>
        </w:rPr>
        <w:t>2</w:t>
      </w:r>
      <w:r w:rsidR="00E0032D" w:rsidRPr="00E0573F">
        <w:rPr>
          <w:rFonts w:ascii="Arial" w:hAnsi="Arial" w:cs="Arial"/>
          <w:b/>
        </w:rPr>
        <w:t>.9.3 Crude Odds Ratio (COR)</w:t>
      </w:r>
    </w:p>
    <w:p w14:paraId="0E2DBB2B" w14:textId="77777777" w:rsidR="00E0032D" w:rsidRPr="00E0573F" w:rsidRDefault="00E0032D" w:rsidP="00E0032D">
      <w:pPr>
        <w:jc w:val="both"/>
        <w:rPr>
          <w:rFonts w:ascii="Arial" w:hAnsi="Arial" w:cs="Arial"/>
        </w:rPr>
      </w:pPr>
      <w:r w:rsidRPr="00E0573F">
        <w:rPr>
          <w:rFonts w:ascii="Arial" w:hAnsi="Arial" w:cs="Arial"/>
        </w:rPr>
        <w:t xml:space="preserve">For each binary explanatory variable, the Crude Odds Ratio (COR) was computed from a </w:t>
      </w:r>
      <m:oMath>
        <m:r>
          <w:rPr>
            <w:rFonts w:ascii="Cambria Math" w:hAnsi="Cambria Math" w:cs="Arial"/>
          </w:rPr>
          <m:t>2×2</m:t>
        </m:r>
      </m:oMath>
      <w:r w:rsidRPr="00E0573F">
        <w:rPr>
          <w:rFonts w:ascii="Arial" w:hAnsi="Arial" w:cs="Arial"/>
        </w:rPr>
        <w:t xml:space="preserve"> contingency table as follows:</w:t>
      </w:r>
    </w:p>
    <w:tbl>
      <w:tblPr>
        <w:tblStyle w:val="TableGrid"/>
        <w:tblW w:w="0" w:type="auto"/>
        <w:tblLook w:val="04A0" w:firstRow="1" w:lastRow="0" w:firstColumn="1" w:lastColumn="0" w:noHBand="0" w:noVBand="1"/>
      </w:tblPr>
      <w:tblGrid>
        <w:gridCol w:w="2806"/>
        <w:gridCol w:w="2809"/>
        <w:gridCol w:w="2809"/>
      </w:tblGrid>
      <w:tr w:rsidR="00E0032D" w:rsidRPr="00E0573F" w14:paraId="21BB9B27" w14:textId="77777777" w:rsidTr="00E0032D">
        <w:tc>
          <w:tcPr>
            <w:tcW w:w="3192" w:type="dxa"/>
            <w:vAlign w:val="center"/>
          </w:tcPr>
          <w:p w14:paraId="0B721B25" w14:textId="77777777" w:rsidR="00E0032D" w:rsidRPr="00E0573F" w:rsidRDefault="00E0032D" w:rsidP="00E0032D">
            <w:pPr>
              <w:jc w:val="both"/>
              <w:rPr>
                <w:rFonts w:ascii="Arial" w:hAnsi="Arial" w:cs="Arial"/>
                <w:b/>
                <w:bCs/>
              </w:rPr>
            </w:pPr>
          </w:p>
        </w:tc>
        <w:tc>
          <w:tcPr>
            <w:tcW w:w="3192" w:type="dxa"/>
            <w:vAlign w:val="center"/>
          </w:tcPr>
          <w:p w14:paraId="33880899" w14:textId="77777777" w:rsidR="00E0032D" w:rsidRPr="00E0573F" w:rsidRDefault="00E0032D" w:rsidP="00E0032D">
            <w:pPr>
              <w:jc w:val="both"/>
              <w:rPr>
                <w:rFonts w:ascii="Arial" w:hAnsi="Arial" w:cs="Arial"/>
                <w:b/>
                <w:bCs/>
              </w:rPr>
            </w:pPr>
            <w:r w:rsidRPr="00E0573F">
              <w:rPr>
                <w:rFonts w:ascii="Arial" w:hAnsi="Arial" w:cs="Arial"/>
                <w:b/>
                <w:bCs/>
              </w:rPr>
              <w:t>Outcome = Yes</w:t>
            </w:r>
          </w:p>
        </w:tc>
        <w:tc>
          <w:tcPr>
            <w:tcW w:w="3192" w:type="dxa"/>
            <w:vAlign w:val="center"/>
          </w:tcPr>
          <w:p w14:paraId="04BEAB3B" w14:textId="77777777" w:rsidR="00E0032D" w:rsidRPr="00E0573F" w:rsidRDefault="00E0032D" w:rsidP="00E0032D">
            <w:pPr>
              <w:jc w:val="both"/>
              <w:rPr>
                <w:rFonts w:ascii="Arial" w:hAnsi="Arial" w:cs="Arial"/>
                <w:b/>
                <w:bCs/>
              </w:rPr>
            </w:pPr>
            <w:r w:rsidRPr="00E0573F">
              <w:rPr>
                <w:rFonts w:ascii="Arial" w:hAnsi="Arial" w:cs="Arial"/>
                <w:b/>
                <w:bCs/>
              </w:rPr>
              <w:t>Outcome = No</w:t>
            </w:r>
          </w:p>
        </w:tc>
      </w:tr>
      <w:tr w:rsidR="00E0032D" w:rsidRPr="00E0573F" w14:paraId="1BC1093B" w14:textId="77777777" w:rsidTr="00E0032D">
        <w:tc>
          <w:tcPr>
            <w:tcW w:w="3192" w:type="dxa"/>
            <w:vAlign w:val="center"/>
          </w:tcPr>
          <w:p w14:paraId="353BDACB" w14:textId="77777777" w:rsidR="00E0032D" w:rsidRPr="00E0573F" w:rsidRDefault="00E0032D" w:rsidP="00E0032D">
            <w:pPr>
              <w:jc w:val="both"/>
              <w:rPr>
                <w:rFonts w:ascii="Arial" w:hAnsi="Arial" w:cs="Arial"/>
              </w:rPr>
            </w:pPr>
            <w:r w:rsidRPr="00E0573F">
              <w:rPr>
                <w:rFonts w:ascii="Arial" w:hAnsi="Arial" w:cs="Arial"/>
              </w:rPr>
              <w:t>Exposure = Yes</w:t>
            </w:r>
          </w:p>
        </w:tc>
        <w:tc>
          <w:tcPr>
            <w:tcW w:w="3192" w:type="dxa"/>
            <w:vAlign w:val="center"/>
          </w:tcPr>
          <w:p w14:paraId="54457D5B" w14:textId="77777777" w:rsidR="00E0032D" w:rsidRPr="00E0573F" w:rsidRDefault="00E0032D" w:rsidP="00E0032D">
            <w:pPr>
              <w:jc w:val="both"/>
              <w:rPr>
                <w:rFonts w:ascii="Arial" w:hAnsi="Arial" w:cs="Arial"/>
              </w:rPr>
            </w:pPr>
            <w:r w:rsidRPr="00E0573F">
              <w:rPr>
                <w:rFonts w:ascii="Arial" w:hAnsi="Arial" w:cs="Arial"/>
              </w:rPr>
              <w:t>( a )</w:t>
            </w:r>
          </w:p>
        </w:tc>
        <w:tc>
          <w:tcPr>
            <w:tcW w:w="3192" w:type="dxa"/>
            <w:vAlign w:val="center"/>
          </w:tcPr>
          <w:p w14:paraId="08E6DD36" w14:textId="77777777" w:rsidR="00E0032D" w:rsidRPr="00E0573F" w:rsidRDefault="00E0032D" w:rsidP="00E0032D">
            <w:pPr>
              <w:jc w:val="both"/>
              <w:rPr>
                <w:rFonts w:ascii="Arial" w:hAnsi="Arial" w:cs="Arial"/>
              </w:rPr>
            </w:pPr>
            <w:r w:rsidRPr="00E0573F">
              <w:rPr>
                <w:rFonts w:ascii="Arial" w:hAnsi="Arial" w:cs="Arial"/>
              </w:rPr>
              <w:t>( b )</w:t>
            </w:r>
          </w:p>
        </w:tc>
      </w:tr>
      <w:tr w:rsidR="00E0032D" w:rsidRPr="00E0573F" w14:paraId="05F161CB" w14:textId="77777777" w:rsidTr="00E0032D">
        <w:tc>
          <w:tcPr>
            <w:tcW w:w="3192" w:type="dxa"/>
            <w:vAlign w:val="center"/>
          </w:tcPr>
          <w:p w14:paraId="578BE124" w14:textId="77777777" w:rsidR="00E0032D" w:rsidRPr="00E0573F" w:rsidRDefault="00E0032D" w:rsidP="00E0032D">
            <w:pPr>
              <w:jc w:val="both"/>
              <w:rPr>
                <w:rFonts w:ascii="Arial" w:hAnsi="Arial" w:cs="Arial"/>
              </w:rPr>
            </w:pPr>
            <w:r w:rsidRPr="00E0573F">
              <w:rPr>
                <w:rFonts w:ascii="Arial" w:hAnsi="Arial" w:cs="Arial"/>
              </w:rPr>
              <w:t>Exposure = No</w:t>
            </w:r>
          </w:p>
        </w:tc>
        <w:tc>
          <w:tcPr>
            <w:tcW w:w="3192" w:type="dxa"/>
            <w:vAlign w:val="center"/>
          </w:tcPr>
          <w:p w14:paraId="2C491193" w14:textId="77777777" w:rsidR="00E0032D" w:rsidRPr="00E0573F" w:rsidRDefault="00E0032D" w:rsidP="00E0032D">
            <w:pPr>
              <w:jc w:val="both"/>
              <w:rPr>
                <w:rFonts w:ascii="Arial" w:hAnsi="Arial" w:cs="Arial"/>
              </w:rPr>
            </w:pPr>
            <w:r w:rsidRPr="00E0573F">
              <w:rPr>
                <w:rFonts w:ascii="Arial" w:hAnsi="Arial" w:cs="Arial"/>
              </w:rPr>
              <w:t>( c )</w:t>
            </w:r>
          </w:p>
        </w:tc>
        <w:tc>
          <w:tcPr>
            <w:tcW w:w="3192" w:type="dxa"/>
            <w:vAlign w:val="center"/>
          </w:tcPr>
          <w:p w14:paraId="0A33F2AC" w14:textId="77777777" w:rsidR="00E0032D" w:rsidRPr="00E0573F" w:rsidRDefault="00E0032D" w:rsidP="00E0032D">
            <w:pPr>
              <w:jc w:val="both"/>
              <w:rPr>
                <w:rFonts w:ascii="Arial" w:hAnsi="Arial" w:cs="Arial"/>
              </w:rPr>
            </w:pPr>
            <w:r w:rsidRPr="00E0573F">
              <w:rPr>
                <w:rFonts w:ascii="Arial" w:hAnsi="Arial" w:cs="Arial"/>
              </w:rPr>
              <w:t>( d )</w:t>
            </w:r>
          </w:p>
        </w:tc>
      </w:tr>
    </w:tbl>
    <w:p w14:paraId="184149CB" w14:textId="77777777" w:rsidR="00E0032D" w:rsidRPr="00E0573F" w:rsidRDefault="00E0032D" w:rsidP="00E0032D">
      <w:pPr>
        <w:jc w:val="both"/>
        <w:rPr>
          <w:rFonts w:ascii="Arial" w:hAnsi="Arial" w:cs="Arial"/>
        </w:rPr>
      </w:pPr>
      <w:r w:rsidRPr="00E0573F">
        <w:rPr>
          <w:rFonts w:ascii="Arial" w:hAnsi="Arial" w:cs="Arial"/>
        </w:rPr>
        <w:t xml:space="preserve">The odds of the outcome among exposed respondents are </w:t>
      </w:r>
      <m:oMath>
        <m:d>
          <m:dPr>
            <m:ctrlPr>
              <w:rPr>
                <w:rFonts w:ascii="Cambria Math" w:hAnsi="Cambria Math" w:cs="Arial"/>
                <w:i/>
              </w:rPr>
            </m:ctrlPr>
          </m:dPr>
          <m:e>
            <m:sSub>
              <m:sSubPr>
                <m:ctrlPr>
                  <w:rPr>
                    <w:rFonts w:ascii="Cambria Math" w:hAnsi="Cambria Math" w:cs="Arial"/>
                    <w:i/>
                  </w:rPr>
                </m:ctrlPr>
              </m:sSubPr>
              <m:e>
                <m:r>
                  <w:rPr>
                    <w:rFonts w:ascii="Cambria Math" w:hAnsi="Cambria Math" w:cs="Arial"/>
                  </w:rPr>
                  <m:t>Odds</m:t>
                </m:r>
              </m:e>
              <m:sub>
                <m:r>
                  <w:rPr>
                    <w:rFonts w:ascii="Cambria Math" w:hAnsi="Cambria Math" w:cs="Arial"/>
                  </w:rPr>
                  <m:t>1</m:t>
                </m:r>
              </m:sub>
            </m:sSub>
          </m:e>
        </m:d>
        <m:r>
          <w:rPr>
            <w:rFonts w:ascii="Cambria Math" w:hAnsi="Cambria Math" w:cs="Arial"/>
          </w:rPr>
          <m:t xml:space="preserve"> </m:t>
        </m:r>
      </m:oMath>
      <w:r w:rsidRPr="00E0573F">
        <w:rPr>
          <w:rFonts w:ascii="Arial" w:hAnsi="Arial" w:cs="Arial"/>
        </w:rPr>
        <w:t xml:space="preserve">whereas the odds among unexposed respondents are </w:t>
      </w:r>
      <m:oMath>
        <m:d>
          <m:dPr>
            <m:ctrlPr>
              <w:rPr>
                <w:rFonts w:ascii="Cambria Math" w:hAnsi="Cambria Math" w:cs="Arial"/>
                <w:i/>
              </w:rPr>
            </m:ctrlPr>
          </m:dPr>
          <m:e>
            <m:sSub>
              <m:sSubPr>
                <m:ctrlPr>
                  <w:rPr>
                    <w:rFonts w:ascii="Cambria Math" w:hAnsi="Cambria Math" w:cs="Arial"/>
                    <w:i/>
                  </w:rPr>
                </m:ctrlPr>
              </m:sSubPr>
              <m:e>
                <m:r>
                  <w:rPr>
                    <w:rFonts w:ascii="Cambria Math" w:hAnsi="Cambria Math" w:cs="Arial"/>
                  </w:rPr>
                  <m:t>Odss</m:t>
                </m:r>
              </m:e>
              <m:sub>
                <m:r>
                  <w:rPr>
                    <w:rFonts w:ascii="Cambria Math" w:hAnsi="Cambria Math" w:cs="Arial"/>
                  </w:rPr>
                  <m:t>0</m:t>
                </m:r>
              </m:sub>
            </m:sSub>
          </m:e>
        </m:d>
      </m:oMath>
      <w:r w:rsidRPr="00E0573F">
        <w:rPr>
          <w:rFonts w:ascii="Arial" w:hAnsi="Arial" w:cs="Arial"/>
        </w:rPr>
        <w:t>, respectively, expressed as:</w:t>
      </w:r>
    </w:p>
    <w:p w14:paraId="1BB8A832" w14:textId="77777777" w:rsidR="00E0032D" w:rsidRPr="00E0573F" w:rsidRDefault="00000000" w:rsidP="00E0032D">
      <w:pPr>
        <w:jc w:val="both"/>
        <w:rPr>
          <w:rFonts w:ascii="Arial" w:hAnsi="Arial" w:cs="Arial"/>
        </w:rPr>
      </w:pPr>
      <m:oMathPara>
        <m:oMath>
          <m:sSub>
            <m:sSubPr>
              <m:ctrlPr>
                <w:rPr>
                  <w:rFonts w:ascii="Cambria Math" w:hAnsi="Cambria Math" w:cs="Arial"/>
                  <w:i/>
                </w:rPr>
              </m:ctrlPr>
            </m:sSubPr>
            <m:e>
              <m:r>
                <w:rPr>
                  <w:rFonts w:ascii="Cambria Math" w:hAnsi="Cambria Math" w:cs="Arial"/>
                </w:rPr>
                <m:t>Odds</m:t>
              </m:r>
            </m:e>
            <m:sub>
              <m:r>
                <w:rPr>
                  <w:rFonts w:ascii="Cambria Math" w:hAnsi="Cambria Math" w:cs="Arial"/>
                </w:rPr>
                <m:t>1</m:t>
              </m:r>
            </m:sub>
          </m:sSub>
          <m:r>
            <w:rPr>
              <w:rFonts w:ascii="Cambria Math" w:hAnsi="Cambria Math" w:cs="Arial"/>
            </w:rPr>
            <m:t>=</m:t>
          </m:r>
          <m:f>
            <m:fPr>
              <m:ctrlPr>
                <w:rPr>
                  <w:rFonts w:ascii="Cambria Math" w:hAnsi="Cambria Math" w:cs="Arial"/>
                  <w:i/>
                </w:rPr>
              </m:ctrlPr>
            </m:fPr>
            <m:num>
              <m:r>
                <w:rPr>
                  <w:rFonts w:ascii="Cambria Math" w:hAnsi="Cambria Math" w:cs="Arial"/>
                </w:rPr>
                <m:t>a</m:t>
              </m:r>
            </m:num>
            <m:den>
              <m:r>
                <w:rPr>
                  <w:rFonts w:ascii="Cambria Math" w:hAnsi="Cambria Math" w:cs="Arial"/>
                </w:rPr>
                <m:t>b</m:t>
              </m:r>
            </m:den>
          </m:f>
          <m:r>
            <w:rPr>
              <w:rFonts w:ascii="Cambria Math" w:hAnsi="Cambria Math" w:cs="Arial"/>
            </w:rPr>
            <m:t xml:space="preserve">  </m:t>
          </m:r>
          <m:r>
            <m:rPr>
              <m:sty m:val="p"/>
            </m:rPr>
            <w:rPr>
              <w:rFonts w:ascii="Cambria Math" w:hAnsi="Cambria Math" w:cs="Arial"/>
            </w:rPr>
            <m:t>and</m:t>
          </m:r>
          <m:r>
            <w:rPr>
              <w:rFonts w:ascii="Cambria Math" w:hAnsi="Cambria Math" w:cs="Arial"/>
            </w:rPr>
            <m:t xml:space="preserve"> </m:t>
          </m:r>
          <m:sSub>
            <m:sSubPr>
              <m:ctrlPr>
                <w:rPr>
                  <w:rFonts w:ascii="Cambria Math" w:hAnsi="Cambria Math" w:cs="Arial"/>
                  <w:i/>
                </w:rPr>
              </m:ctrlPr>
            </m:sSubPr>
            <m:e>
              <m:r>
                <w:rPr>
                  <w:rFonts w:ascii="Cambria Math" w:hAnsi="Cambria Math" w:cs="Arial"/>
                </w:rPr>
                <m:t>Odds</m:t>
              </m:r>
            </m:e>
            <m:sub>
              <m:r>
                <w:rPr>
                  <w:rFonts w:ascii="Cambria Math" w:hAnsi="Cambria Math" w:cs="Arial"/>
                </w:rPr>
                <m:t>0</m:t>
              </m:r>
            </m:sub>
          </m:sSub>
          <m:r>
            <w:rPr>
              <w:rFonts w:ascii="Cambria Math" w:hAnsi="Cambria Math" w:cs="Arial"/>
            </w:rPr>
            <m:t>=</m:t>
          </m:r>
          <m:f>
            <m:fPr>
              <m:ctrlPr>
                <w:rPr>
                  <w:rFonts w:ascii="Cambria Math" w:hAnsi="Cambria Math" w:cs="Arial"/>
                  <w:i/>
                </w:rPr>
              </m:ctrlPr>
            </m:fPr>
            <m:num>
              <m:r>
                <w:rPr>
                  <w:rFonts w:ascii="Cambria Math" w:hAnsi="Cambria Math" w:cs="Arial"/>
                </w:rPr>
                <m:t>c</m:t>
              </m:r>
            </m:num>
            <m:den>
              <m:r>
                <w:rPr>
                  <w:rFonts w:ascii="Cambria Math" w:hAnsi="Cambria Math" w:cs="Arial"/>
                </w:rPr>
                <m:t>d</m:t>
              </m:r>
            </m:den>
          </m:f>
          <m:r>
            <w:rPr>
              <w:rFonts w:ascii="Cambria Math" w:hAnsi="Cambria Math" w:cs="Arial"/>
            </w:rPr>
            <m:t xml:space="preserve">                                                                                                    (6)</m:t>
          </m:r>
        </m:oMath>
      </m:oMathPara>
    </w:p>
    <w:p w14:paraId="16194987" w14:textId="77777777" w:rsidR="00E0032D" w:rsidRPr="00E0573F" w:rsidRDefault="00E0032D" w:rsidP="00E0032D">
      <w:pPr>
        <w:jc w:val="both"/>
        <w:rPr>
          <w:rFonts w:ascii="Arial" w:hAnsi="Arial" w:cs="Arial"/>
        </w:rPr>
      </w:pPr>
      <w:r w:rsidRPr="00E0573F">
        <w:rPr>
          <w:rFonts w:ascii="Arial" w:hAnsi="Arial" w:cs="Arial"/>
        </w:rPr>
        <w:t>Thus, the Crude Odds Ratio (COR) is computed as:</w:t>
      </w:r>
    </w:p>
    <w:p w14:paraId="63267ED5" w14:textId="77777777" w:rsidR="00E0032D" w:rsidRPr="00E0573F" w:rsidRDefault="00E0032D" w:rsidP="00E0032D">
      <w:pPr>
        <w:jc w:val="both"/>
        <w:rPr>
          <w:rFonts w:ascii="Arial" w:hAnsi="Arial" w:cs="Arial"/>
        </w:rPr>
      </w:pPr>
      <m:oMathPara>
        <m:oMath>
          <m:r>
            <w:rPr>
              <w:rFonts w:ascii="Cambria Math" w:hAnsi="Cambria Math" w:cs="Arial"/>
            </w:rPr>
            <m:t>COR=</m:t>
          </m:r>
          <m:f>
            <m:fPr>
              <m:ctrlPr>
                <w:rPr>
                  <w:rFonts w:ascii="Cambria Math" w:hAnsi="Cambria Math" w:cs="Arial"/>
                  <w:i/>
                </w:rPr>
              </m:ctrlPr>
            </m:fPr>
            <m:num>
              <m:f>
                <m:fPr>
                  <m:type m:val="lin"/>
                  <m:ctrlPr>
                    <w:rPr>
                      <w:rFonts w:ascii="Cambria Math" w:hAnsi="Cambria Math" w:cs="Arial"/>
                      <w:i/>
                    </w:rPr>
                  </m:ctrlPr>
                </m:fPr>
                <m:num>
                  <m:r>
                    <w:rPr>
                      <w:rFonts w:ascii="Cambria Math" w:hAnsi="Cambria Math" w:cs="Arial"/>
                    </w:rPr>
                    <m:t>a</m:t>
                  </m:r>
                </m:num>
                <m:den>
                  <m:r>
                    <w:rPr>
                      <w:rFonts w:ascii="Cambria Math" w:hAnsi="Cambria Math" w:cs="Arial"/>
                    </w:rPr>
                    <m:t>b</m:t>
                  </m:r>
                </m:den>
              </m:f>
            </m:num>
            <m:den>
              <m:f>
                <m:fPr>
                  <m:type m:val="lin"/>
                  <m:ctrlPr>
                    <w:rPr>
                      <w:rFonts w:ascii="Cambria Math" w:hAnsi="Cambria Math" w:cs="Arial"/>
                      <w:i/>
                    </w:rPr>
                  </m:ctrlPr>
                </m:fPr>
                <m:num>
                  <m:r>
                    <w:rPr>
                      <w:rFonts w:ascii="Cambria Math" w:hAnsi="Cambria Math" w:cs="Arial"/>
                    </w:rPr>
                    <m:t>c</m:t>
                  </m:r>
                </m:num>
                <m:den>
                  <m:r>
                    <w:rPr>
                      <w:rFonts w:ascii="Cambria Math" w:hAnsi="Cambria Math" w:cs="Arial"/>
                    </w:rPr>
                    <m:t>d</m:t>
                  </m:r>
                </m:den>
              </m:f>
            </m:den>
          </m:f>
          <m:r>
            <w:rPr>
              <w:rFonts w:ascii="Cambria Math" w:hAnsi="Cambria Math" w:cs="Arial"/>
            </w:rPr>
            <m:t>=</m:t>
          </m:r>
          <m:f>
            <m:fPr>
              <m:ctrlPr>
                <w:rPr>
                  <w:rFonts w:ascii="Cambria Math" w:hAnsi="Cambria Math" w:cs="Arial"/>
                  <w:i/>
                </w:rPr>
              </m:ctrlPr>
            </m:fPr>
            <m:num>
              <m:r>
                <w:rPr>
                  <w:rFonts w:ascii="Cambria Math" w:hAnsi="Cambria Math" w:cs="Arial"/>
                </w:rPr>
                <m:t>ad</m:t>
              </m:r>
            </m:num>
            <m:den>
              <m:r>
                <w:rPr>
                  <w:rFonts w:ascii="Cambria Math" w:hAnsi="Cambria Math" w:cs="Arial"/>
                </w:rPr>
                <m:t>bc</m:t>
              </m:r>
            </m:den>
          </m:f>
          <m:r>
            <w:rPr>
              <w:rFonts w:ascii="Cambria Math" w:hAnsi="Cambria Math" w:cs="Arial"/>
            </w:rPr>
            <m:t xml:space="preserve">                                                                                                                        (7)</m:t>
          </m:r>
        </m:oMath>
      </m:oMathPara>
    </w:p>
    <w:p w14:paraId="56DC9375" w14:textId="77777777" w:rsidR="00E0032D" w:rsidRPr="00E0573F" w:rsidRDefault="00E0032D" w:rsidP="00E0032D">
      <w:pPr>
        <w:jc w:val="both"/>
        <w:rPr>
          <w:rFonts w:ascii="Arial" w:hAnsi="Arial" w:cs="Arial"/>
        </w:rPr>
      </w:pPr>
      <w:r w:rsidRPr="00E0573F">
        <w:rPr>
          <w:rFonts w:ascii="Arial" w:hAnsi="Arial" w:cs="Arial"/>
        </w:rPr>
        <w:t>The 95% confidence interval (CI) for COR is given by</w:t>
      </w:r>
    </w:p>
    <w:p w14:paraId="6711E6CA" w14:textId="77777777" w:rsidR="00E0032D" w:rsidRPr="00E0573F" w:rsidRDefault="00E0032D" w:rsidP="00E0032D">
      <w:pPr>
        <w:jc w:val="both"/>
        <w:rPr>
          <w:rFonts w:ascii="Arial" w:hAnsi="Arial" w:cs="Arial"/>
        </w:rPr>
      </w:pPr>
      <m:oMathPara>
        <m:oMath>
          <m:r>
            <w:rPr>
              <w:rFonts w:ascii="Cambria Math" w:hAnsi="Cambria Math" w:cs="Arial"/>
            </w:rPr>
            <m:t>95% CI=</m:t>
          </m:r>
          <m:func>
            <m:funcPr>
              <m:ctrlPr>
                <w:rPr>
                  <w:rFonts w:ascii="Cambria Math" w:hAnsi="Cambria Math" w:cs="Arial"/>
                  <w:i/>
                </w:rPr>
              </m:ctrlPr>
            </m:funcPr>
            <m:fName>
              <m:r>
                <m:rPr>
                  <m:sty m:val="p"/>
                </m:rPr>
                <w:rPr>
                  <w:rFonts w:ascii="Cambria Math" w:hAnsi="Cambria Math" w:cs="Arial"/>
                </w:rPr>
                <m:t>exp</m:t>
              </m:r>
            </m:fName>
            <m:e>
              <m:d>
                <m:dPr>
                  <m:begChr m:val="["/>
                  <m:endChr m:val="]"/>
                  <m:ctrlPr>
                    <w:rPr>
                      <w:rFonts w:ascii="Cambria Math" w:hAnsi="Cambria Math" w:cs="Arial"/>
                      <w:i/>
                    </w:rPr>
                  </m:ctrlPr>
                </m:dPr>
                <m:e>
                  <m:func>
                    <m:funcPr>
                      <m:ctrlPr>
                        <w:rPr>
                          <w:rFonts w:ascii="Cambria Math" w:hAnsi="Cambria Math" w:cs="Arial"/>
                          <w:i/>
                        </w:rPr>
                      </m:ctrlPr>
                    </m:funcPr>
                    <m:fName>
                      <m:r>
                        <m:rPr>
                          <m:sty m:val="p"/>
                        </m:rPr>
                        <w:rPr>
                          <w:rFonts w:ascii="Cambria Math" w:hAnsi="Cambria Math" w:cs="Arial"/>
                        </w:rPr>
                        <m:t>ln</m:t>
                      </m:r>
                    </m:fName>
                    <m:e>
                      <m:d>
                        <m:dPr>
                          <m:ctrlPr>
                            <w:rPr>
                              <w:rFonts w:ascii="Cambria Math" w:hAnsi="Cambria Math" w:cs="Arial"/>
                              <w:i/>
                            </w:rPr>
                          </m:ctrlPr>
                        </m:dPr>
                        <m:e>
                          <m:r>
                            <w:rPr>
                              <w:rFonts w:ascii="Cambria Math" w:hAnsi="Cambria Math" w:cs="Arial"/>
                            </w:rPr>
                            <m:t>COR</m:t>
                          </m:r>
                        </m:e>
                      </m:d>
                    </m:e>
                  </m:func>
                  <m:r>
                    <w:rPr>
                      <w:rFonts w:ascii="Cambria Math" w:hAnsi="Cambria Math" w:cs="Arial"/>
                    </w:rPr>
                    <m:t>±1.96</m:t>
                  </m:r>
                  <m:rad>
                    <m:radPr>
                      <m:degHide m:val="1"/>
                      <m:ctrlPr>
                        <w:rPr>
                          <w:rFonts w:ascii="Cambria Math" w:hAnsi="Cambria Math" w:cs="Arial"/>
                          <w:i/>
                        </w:rPr>
                      </m:ctrlPr>
                    </m:radPr>
                    <m:deg/>
                    <m:e>
                      <m:f>
                        <m:fPr>
                          <m:ctrlPr>
                            <w:rPr>
                              <w:rFonts w:ascii="Cambria Math" w:hAnsi="Cambria Math" w:cs="Arial"/>
                              <w:i/>
                            </w:rPr>
                          </m:ctrlPr>
                        </m:fPr>
                        <m:num>
                          <m:r>
                            <w:rPr>
                              <w:rFonts w:ascii="Cambria Math" w:hAnsi="Cambria Math" w:cs="Arial"/>
                            </w:rPr>
                            <m:t>1</m:t>
                          </m:r>
                        </m:num>
                        <m:den>
                          <m:r>
                            <w:rPr>
                              <w:rFonts w:ascii="Cambria Math" w:hAnsi="Cambria Math" w:cs="Arial"/>
                            </w:rPr>
                            <m:t>a</m:t>
                          </m:r>
                        </m:den>
                      </m:f>
                      <m:r>
                        <w:rPr>
                          <w:rFonts w:ascii="Cambria Math" w:hAnsi="Cambria Math" w:cs="Arial"/>
                        </w:rPr>
                        <m:t>+</m:t>
                      </m:r>
                      <m:f>
                        <m:fPr>
                          <m:ctrlPr>
                            <w:rPr>
                              <w:rFonts w:ascii="Cambria Math" w:hAnsi="Cambria Math" w:cs="Arial"/>
                              <w:i/>
                            </w:rPr>
                          </m:ctrlPr>
                        </m:fPr>
                        <m:num>
                          <m:r>
                            <w:rPr>
                              <w:rFonts w:ascii="Cambria Math" w:hAnsi="Cambria Math" w:cs="Arial"/>
                            </w:rPr>
                            <m:t>1</m:t>
                          </m:r>
                        </m:num>
                        <m:den>
                          <m:r>
                            <w:rPr>
                              <w:rFonts w:ascii="Cambria Math" w:hAnsi="Cambria Math" w:cs="Arial"/>
                            </w:rPr>
                            <m:t>b</m:t>
                          </m:r>
                        </m:den>
                      </m:f>
                      <m:r>
                        <w:rPr>
                          <w:rFonts w:ascii="Cambria Math" w:hAnsi="Cambria Math" w:cs="Arial"/>
                        </w:rPr>
                        <m:t>+</m:t>
                      </m:r>
                      <m:f>
                        <m:fPr>
                          <m:ctrlPr>
                            <w:rPr>
                              <w:rFonts w:ascii="Cambria Math" w:hAnsi="Cambria Math" w:cs="Arial"/>
                              <w:i/>
                            </w:rPr>
                          </m:ctrlPr>
                        </m:fPr>
                        <m:num>
                          <m:r>
                            <w:rPr>
                              <w:rFonts w:ascii="Cambria Math" w:hAnsi="Cambria Math" w:cs="Arial"/>
                            </w:rPr>
                            <m:t>1</m:t>
                          </m:r>
                        </m:num>
                        <m:den>
                          <m:r>
                            <w:rPr>
                              <w:rFonts w:ascii="Cambria Math" w:hAnsi="Cambria Math" w:cs="Arial"/>
                            </w:rPr>
                            <m:t>c</m:t>
                          </m:r>
                        </m:den>
                      </m:f>
                      <m:r>
                        <w:rPr>
                          <w:rFonts w:ascii="Cambria Math" w:hAnsi="Cambria Math" w:cs="Arial"/>
                        </w:rPr>
                        <m:t>+</m:t>
                      </m:r>
                      <m:f>
                        <m:fPr>
                          <m:ctrlPr>
                            <w:rPr>
                              <w:rFonts w:ascii="Cambria Math" w:hAnsi="Cambria Math" w:cs="Arial"/>
                              <w:i/>
                            </w:rPr>
                          </m:ctrlPr>
                        </m:fPr>
                        <m:num>
                          <m:r>
                            <w:rPr>
                              <w:rFonts w:ascii="Cambria Math" w:hAnsi="Cambria Math" w:cs="Arial"/>
                            </w:rPr>
                            <m:t>1</m:t>
                          </m:r>
                        </m:num>
                        <m:den>
                          <m:r>
                            <w:rPr>
                              <w:rFonts w:ascii="Cambria Math" w:hAnsi="Cambria Math" w:cs="Arial"/>
                            </w:rPr>
                            <m:t>d</m:t>
                          </m:r>
                        </m:den>
                      </m:f>
                    </m:e>
                  </m:rad>
                </m:e>
              </m:d>
            </m:e>
          </m:func>
          <m:r>
            <w:rPr>
              <w:rFonts w:ascii="Cambria Math" w:hAnsi="Cambria Math" w:cs="Arial"/>
            </w:rPr>
            <m:t xml:space="preserve">                                                                (8)</m:t>
          </m:r>
        </m:oMath>
      </m:oMathPara>
    </w:p>
    <w:p w14:paraId="34CFB3D1" w14:textId="77777777" w:rsidR="00E0032D" w:rsidRPr="00E0573F" w:rsidRDefault="00E0032D" w:rsidP="00E0032D">
      <w:pPr>
        <w:jc w:val="both"/>
        <w:rPr>
          <w:rFonts w:ascii="Arial" w:hAnsi="Arial" w:cs="Arial"/>
        </w:rPr>
      </w:pPr>
      <w:r w:rsidRPr="00E0573F">
        <w:rPr>
          <w:rFonts w:ascii="Arial" w:hAnsi="Arial" w:cs="Arial"/>
        </w:rPr>
        <w:t>Variables with statistically significant chi-square results (</w:t>
      </w:r>
      <m:oMath>
        <m:r>
          <w:rPr>
            <w:rFonts w:ascii="Cambria Math" w:hAnsi="Cambria Math" w:cs="Arial"/>
          </w:rPr>
          <m:t>p&lt;0.05</m:t>
        </m:r>
      </m:oMath>
      <w:r w:rsidRPr="00E0573F">
        <w:rPr>
          <w:rFonts w:ascii="Arial" w:hAnsi="Arial" w:cs="Arial"/>
        </w:rPr>
        <w:t>) were considered eligible for multivariate analysis.</w:t>
      </w:r>
    </w:p>
    <w:p w14:paraId="1F322A00" w14:textId="77777777" w:rsidR="00E0032D" w:rsidRPr="00E0573F" w:rsidRDefault="00543686" w:rsidP="00E0032D">
      <w:pPr>
        <w:jc w:val="both"/>
        <w:rPr>
          <w:rFonts w:ascii="Arial" w:hAnsi="Arial" w:cs="Arial"/>
          <w:b/>
        </w:rPr>
      </w:pPr>
      <w:r w:rsidRPr="00E0573F">
        <w:rPr>
          <w:rFonts w:ascii="Arial" w:hAnsi="Arial" w:cs="Arial"/>
          <w:b/>
        </w:rPr>
        <w:t>2</w:t>
      </w:r>
      <w:r w:rsidR="00E0032D" w:rsidRPr="00E0573F">
        <w:rPr>
          <w:rFonts w:ascii="Arial" w:hAnsi="Arial" w:cs="Arial"/>
          <w:b/>
        </w:rPr>
        <w:t>.9.4 Binary Logistic Regression Analysis</w:t>
      </w:r>
    </w:p>
    <w:p w14:paraId="62820A01" w14:textId="77777777" w:rsidR="00E0032D" w:rsidRPr="00E0573F" w:rsidRDefault="00E0032D" w:rsidP="00E0032D">
      <w:pPr>
        <w:jc w:val="both"/>
        <w:rPr>
          <w:rFonts w:ascii="Arial" w:hAnsi="Arial" w:cs="Arial"/>
        </w:rPr>
      </w:pPr>
      <w:r w:rsidRPr="00E0573F">
        <w:rPr>
          <w:rFonts w:ascii="Arial" w:hAnsi="Arial" w:cs="Arial"/>
        </w:rPr>
        <w:t xml:space="preserve">Binary logistic regression was used to determine the adjusted effects of significant predictors on the likelihood of </w:t>
      </w:r>
      <w:r w:rsidR="002D1939" w:rsidRPr="00E0573F">
        <w:rPr>
          <w:rFonts w:ascii="Arial" w:hAnsi="Arial" w:cs="Arial"/>
        </w:rPr>
        <w:t>the occurrence of TB</w:t>
      </w:r>
      <w:r w:rsidRPr="00E0573F">
        <w:rPr>
          <w:rFonts w:ascii="Arial" w:hAnsi="Arial" w:cs="Arial"/>
        </w:rPr>
        <w:t xml:space="preserve">. Let the binary dependent variable </w:t>
      </w:r>
      <m:oMath>
        <m:r>
          <w:rPr>
            <w:rFonts w:ascii="Cambria Math" w:hAnsi="Cambria Math" w:cs="Arial"/>
          </w:rPr>
          <m:t>Y</m:t>
        </m:r>
      </m:oMath>
      <w:r w:rsidRPr="00E0573F">
        <w:rPr>
          <w:rFonts w:ascii="Arial" w:hAnsi="Arial" w:cs="Arial"/>
        </w:rPr>
        <w:t xml:space="preserve"> be defined as:</w:t>
      </w:r>
    </w:p>
    <w:p w14:paraId="31C6B78F" w14:textId="77777777" w:rsidR="00E0032D" w:rsidRPr="00E0573F" w:rsidRDefault="00000000" w:rsidP="00E0032D">
      <w:pPr>
        <w:jc w:val="both"/>
        <w:rPr>
          <w:rFonts w:ascii="Arial" w:hAnsi="Arial" w:cs="Arial"/>
        </w:rPr>
      </w:pPr>
      <m:oMathPara>
        <m:oMath>
          <m:sSub>
            <m:sSubPr>
              <m:ctrlPr>
                <w:rPr>
                  <w:rFonts w:ascii="Cambria Math" w:hAnsi="Cambria Math" w:cs="Arial"/>
                  <w:i/>
                </w:rPr>
              </m:ctrlPr>
            </m:sSubPr>
            <m:e>
              <m:r>
                <w:rPr>
                  <w:rFonts w:ascii="Cambria Math" w:hAnsi="Cambria Math" w:cs="Arial"/>
                </w:rPr>
                <m:t>Y</m:t>
              </m:r>
            </m:e>
            <m:sub>
              <m:r>
                <w:rPr>
                  <w:rFonts w:ascii="Cambria Math" w:hAnsi="Cambria Math" w:cs="Arial"/>
                </w:rPr>
                <m:t>i</m:t>
              </m:r>
            </m:sub>
          </m:sSub>
          <m:r>
            <w:rPr>
              <w:rFonts w:ascii="Cambria Math" w:hAnsi="Cambria Math" w:cs="Arial"/>
            </w:rPr>
            <m:t>=</m:t>
          </m:r>
          <m:d>
            <m:dPr>
              <m:begChr m:val="{"/>
              <m:endChr m:val=""/>
              <m:ctrlPr>
                <w:rPr>
                  <w:rFonts w:ascii="Cambria Math" w:hAnsi="Cambria Math" w:cs="Arial"/>
                  <w:i/>
                </w:rPr>
              </m:ctrlPr>
            </m:dPr>
            <m:e>
              <m:m>
                <m:mPr>
                  <m:mcs>
                    <m:mc>
                      <m:mcPr>
                        <m:count m:val="1"/>
                        <m:mcJc m:val="center"/>
                      </m:mcPr>
                    </m:mc>
                  </m:mcs>
                  <m:ctrlPr>
                    <w:rPr>
                      <w:rFonts w:ascii="Cambria Math" w:hAnsi="Cambria Math" w:cs="Arial"/>
                      <w:i/>
                    </w:rPr>
                  </m:ctrlPr>
                </m:mPr>
                <m:mr>
                  <m:e>
                    <m:r>
                      <w:rPr>
                        <w:rFonts w:ascii="Cambria Math" w:hAnsi="Cambria Math" w:cs="Arial"/>
                      </w:rPr>
                      <m:t xml:space="preserve">1, </m:t>
                    </m:r>
                    <m:r>
                      <m:rPr>
                        <m:sty m:val="p"/>
                      </m:rPr>
                      <w:rPr>
                        <w:rFonts w:ascii="Cambria Math" w:hAnsi="Cambria Math" w:cs="Arial"/>
                      </w:rPr>
                      <m:t>if the outcome of TB is positive</m:t>
                    </m:r>
                  </m:e>
                </m:mr>
                <m:mr>
                  <m:e>
                    <m:r>
                      <w:rPr>
                        <w:rFonts w:ascii="Cambria Math" w:hAnsi="Cambria Math" w:cs="Arial"/>
                      </w:rPr>
                      <m:t xml:space="preserve">0, </m:t>
                    </m:r>
                    <m:r>
                      <m:rPr>
                        <m:sty m:val="p"/>
                      </m:rPr>
                      <w:rPr>
                        <w:rFonts w:ascii="Cambria Math" w:hAnsi="Cambria Math" w:cs="Arial"/>
                      </w:rPr>
                      <m:t>if the outcome of TB is negative</m:t>
                    </m:r>
                  </m:e>
                </m:mr>
              </m:m>
            </m:e>
          </m:d>
        </m:oMath>
      </m:oMathPara>
    </w:p>
    <w:p w14:paraId="2F7CB1B5" w14:textId="77777777" w:rsidR="00E0032D" w:rsidRPr="00E0573F" w:rsidRDefault="00E0032D" w:rsidP="00E0032D">
      <w:pPr>
        <w:jc w:val="both"/>
        <w:rPr>
          <w:rFonts w:ascii="Arial" w:hAnsi="Arial" w:cs="Arial"/>
        </w:rPr>
      </w:pPr>
      <w:r w:rsidRPr="00E0573F">
        <w:rPr>
          <w:rFonts w:ascii="Arial" w:hAnsi="Arial" w:cs="Arial"/>
        </w:rPr>
        <w:t xml:space="preserve">Let </w:t>
      </w:r>
      <m:oMath>
        <m:sSub>
          <m:sSubPr>
            <m:ctrlPr>
              <w:rPr>
                <w:rFonts w:ascii="Cambria Math" w:hAnsi="Cambria Math" w:cs="Arial"/>
                <w:i/>
              </w:rPr>
            </m:ctrlPr>
          </m:sSubPr>
          <m:e>
            <m:r>
              <w:rPr>
                <w:rFonts w:ascii="Cambria Math" w:hAnsi="Cambria Math" w:cs="Arial"/>
              </w:rPr>
              <m:t>X</m:t>
            </m:r>
          </m:e>
          <m:sub>
            <m:r>
              <w:rPr>
                <w:rFonts w:ascii="Cambria Math" w:hAnsi="Cambria Math" w:cs="Arial"/>
              </w:rPr>
              <m:t>1</m:t>
            </m:r>
          </m:sub>
        </m:sSub>
        <m:r>
          <w:rPr>
            <w:rFonts w:ascii="Cambria Math" w:hAnsi="Cambria Math" w:cs="Arial"/>
          </w:rPr>
          <m:t xml:space="preserve">, </m:t>
        </m:r>
        <m:sSub>
          <m:sSubPr>
            <m:ctrlPr>
              <w:rPr>
                <w:rFonts w:ascii="Cambria Math" w:hAnsi="Cambria Math" w:cs="Arial"/>
                <w:i/>
              </w:rPr>
            </m:ctrlPr>
          </m:sSubPr>
          <m:e>
            <m:r>
              <w:rPr>
                <w:rFonts w:ascii="Cambria Math" w:hAnsi="Cambria Math" w:cs="Arial"/>
              </w:rPr>
              <m:t>X</m:t>
            </m:r>
          </m:e>
          <m:sub>
            <m:r>
              <w:rPr>
                <w:rFonts w:ascii="Cambria Math" w:hAnsi="Cambria Math" w:cs="Arial"/>
              </w:rPr>
              <m:t>2</m:t>
            </m:r>
          </m:sub>
        </m:sSub>
        <m:r>
          <w:rPr>
            <w:rFonts w:ascii="Cambria Math" w:hAnsi="Cambria Math" w:cs="Arial"/>
          </w:rPr>
          <m:t xml:space="preserve">, …, </m:t>
        </m:r>
        <m:sSub>
          <m:sSubPr>
            <m:ctrlPr>
              <w:rPr>
                <w:rFonts w:ascii="Cambria Math" w:hAnsi="Cambria Math" w:cs="Arial"/>
                <w:i/>
              </w:rPr>
            </m:ctrlPr>
          </m:sSubPr>
          <m:e>
            <m:r>
              <w:rPr>
                <w:rFonts w:ascii="Cambria Math" w:hAnsi="Cambria Math" w:cs="Arial"/>
              </w:rPr>
              <m:t>X</m:t>
            </m:r>
          </m:e>
          <m:sub>
            <m:r>
              <w:rPr>
                <w:rFonts w:ascii="Cambria Math" w:hAnsi="Cambria Math" w:cs="Arial"/>
              </w:rPr>
              <m:t>k</m:t>
            </m:r>
          </m:sub>
        </m:sSub>
      </m:oMath>
      <w:r w:rsidRPr="00E0573F">
        <w:rPr>
          <w:rFonts w:ascii="Arial" w:hAnsi="Arial" w:cs="Arial"/>
        </w:rPr>
        <w:t xml:space="preserve"> represent the set of explanatory variables retaine</w:t>
      </w:r>
      <w:r w:rsidR="002D1939" w:rsidRPr="00E0573F">
        <w:rPr>
          <w:rFonts w:ascii="Arial" w:hAnsi="Arial" w:cs="Arial"/>
        </w:rPr>
        <w:t xml:space="preserve">d from the chi-square analysis. </w:t>
      </w:r>
      <w:r w:rsidRPr="00E0573F">
        <w:rPr>
          <w:rFonts w:ascii="Arial" w:hAnsi="Arial" w:cs="Arial"/>
        </w:rPr>
        <w:t>The logistic regression model is specified as:</w:t>
      </w:r>
    </w:p>
    <w:p w14:paraId="5DBA2E8A" w14:textId="77777777" w:rsidR="00E0032D" w:rsidRPr="00E0573F" w:rsidRDefault="00000000" w:rsidP="00E0032D">
      <w:pPr>
        <w:jc w:val="both"/>
        <w:rPr>
          <w:rFonts w:ascii="Arial" w:hAnsi="Arial" w:cs="Arial"/>
        </w:rPr>
      </w:pPr>
      <m:oMathPara>
        <m:oMath>
          <m:func>
            <m:funcPr>
              <m:ctrlPr>
                <w:rPr>
                  <w:rFonts w:ascii="Cambria Math" w:hAnsi="Cambria Math" w:cs="Arial"/>
                  <w:i/>
                </w:rPr>
              </m:ctrlPr>
            </m:funcPr>
            <m:fName>
              <m:r>
                <m:rPr>
                  <m:sty m:val="p"/>
                </m:rPr>
                <w:rPr>
                  <w:rFonts w:ascii="Cambria Math" w:hAnsi="Cambria Math" w:cs="Arial"/>
                </w:rPr>
                <m:t>log</m:t>
              </m:r>
            </m:fName>
            <m:e>
              <m:d>
                <m:dPr>
                  <m:ctrlPr>
                    <w:rPr>
                      <w:rFonts w:ascii="Cambria Math" w:hAnsi="Cambria Math" w:cs="Arial"/>
                      <w:i/>
                    </w:rPr>
                  </m:ctrlPr>
                </m:dPr>
                <m:e>
                  <m:f>
                    <m:fPr>
                      <m:ctrlPr>
                        <w:rPr>
                          <w:rFonts w:ascii="Cambria Math" w:hAnsi="Cambria Math" w:cs="Arial"/>
                          <w:i/>
                        </w:rPr>
                      </m:ctrlPr>
                    </m:fPr>
                    <m:num>
                      <m:r>
                        <w:rPr>
                          <w:rFonts w:ascii="Cambria Math" w:hAnsi="Cambria Math" w:cs="Arial"/>
                        </w:rPr>
                        <m:t>P(Y=1)</m:t>
                      </m:r>
                    </m:num>
                    <m:den>
                      <m:r>
                        <w:rPr>
                          <w:rFonts w:ascii="Cambria Math" w:hAnsi="Cambria Math" w:cs="Arial"/>
                        </w:rPr>
                        <m:t>1-P(Y=1)</m:t>
                      </m:r>
                    </m:den>
                  </m:f>
                </m:e>
              </m:d>
              <m:r>
                <w:rPr>
                  <w:rFonts w:ascii="Cambria Math" w:hAnsi="Cambria Math" w:cs="Arial"/>
                </w:rPr>
                <m:t>=</m:t>
              </m:r>
            </m:e>
          </m:func>
          <m:sSub>
            <m:sSubPr>
              <m:ctrlPr>
                <w:rPr>
                  <w:rFonts w:ascii="Cambria Math" w:hAnsi="Cambria Math" w:cs="Arial"/>
                  <w:i/>
                </w:rPr>
              </m:ctrlPr>
            </m:sSubPr>
            <m:e>
              <m:r>
                <w:rPr>
                  <w:rFonts w:ascii="Cambria Math" w:hAnsi="Cambria Math" w:cs="Arial"/>
                </w:rPr>
                <m:t>β</m:t>
              </m:r>
            </m:e>
            <m:sub>
              <m:r>
                <w:rPr>
                  <w:rFonts w:ascii="Cambria Math" w:hAnsi="Cambria Math" w:cs="Arial"/>
                </w:rPr>
                <m:t>0</m:t>
              </m:r>
            </m:sub>
          </m:sSub>
          <m:r>
            <w:rPr>
              <w:rFonts w:ascii="Cambria Math" w:hAnsi="Cambria Math" w:cs="Arial"/>
            </w:rPr>
            <m:t>+</m:t>
          </m:r>
          <m:sSub>
            <m:sSubPr>
              <m:ctrlPr>
                <w:rPr>
                  <w:rFonts w:ascii="Cambria Math" w:hAnsi="Cambria Math" w:cs="Arial"/>
                  <w:i/>
                </w:rPr>
              </m:ctrlPr>
            </m:sSubPr>
            <m:e>
              <m:r>
                <w:rPr>
                  <w:rFonts w:ascii="Cambria Math" w:hAnsi="Cambria Math" w:cs="Arial"/>
                </w:rPr>
                <m:t>β</m:t>
              </m:r>
            </m:e>
            <m:sub>
              <m:r>
                <w:rPr>
                  <w:rFonts w:ascii="Cambria Math" w:hAnsi="Cambria Math" w:cs="Arial"/>
                </w:rPr>
                <m:t>1</m:t>
              </m:r>
            </m:sub>
          </m:sSub>
          <m:sSub>
            <m:sSubPr>
              <m:ctrlPr>
                <w:rPr>
                  <w:rFonts w:ascii="Cambria Math" w:hAnsi="Cambria Math" w:cs="Arial"/>
                  <w:i/>
                </w:rPr>
              </m:ctrlPr>
            </m:sSubPr>
            <m:e>
              <m:r>
                <w:rPr>
                  <w:rFonts w:ascii="Cambria Math" w:hAnsi="Cambria Math" w:cs="Arial"/>
                </w:rPr>
                <m:t>X</m:t>
              </m:r>
            </m:e>
            <m:sub>
              <m:r>
                <w:rPr>
                  <w:rFonts w:ascii="Cambria Math" w:hAnsi="Cambria Math" w:cs="Arial"/>
                </w:rPr>
                <m:t>1</m:t>
              </m:r>
            </m:sub>
          </m:sSub>
          <m:r>
            <w:rPr>
              <w:rFonts w:ascii="Cambria Math" w:hAnsi="Cambria Math" w:cs="Arial"/>
            </w:rPr>
            <m:t>+</m:t>
          </m:r>
          <m:sSub>
            <m:sSubPr>
              <m:ctrlPr>
                <w:rPr>
                  <w:rFonts w:ascii="Cambria Math" w:hAnsi="Cambria Math" w:cs="Arial"/>
                  <w:i/>
                </w:rPr>
              </m:ctrlPr>
            </m:sSubPr>
            <m:e>
              <m:r>
                <w:rPr>
                  <w:rFonts w:ascii="Cambria Math" w:hAnsi="Cambria Math" w:cs="Arial"/>
                </w:rPr>
                <m:t>β</m:t>
              </m:r>
            </m:e>
            <m:sub>
              <m:r>
                <w:rPr>
                  <w:rFonts w:ascii="Cambria Math" w:hAnsi="Cambria Math" w:cs="Arial"/>
                </w:rPr>
                <m:t>2</m:t>
              </m:r>
            </m:sub>
          </m:sSub>
          <m:sSub>
            <m:sSubPr>
              <m:ctrlPr>
                <w:rPr>
                  <w:rFonts w:ascii="Cambria Math" w:hAnsi="Cambria Math" w:cs="Arial"/>
                  <w:i/>
                </w:rPr>
              </m:ctrlPr>
            </m:sSubPr>
            <m:e>
              <m:r>
                <w:rPr>
                  <w:rFonts w:ascii="Cambria Math" w:hAnsi="Cambria Math" w:cs="Arial"/>
                </w:rPr>
                <m:t>X</m:t>
              </m:r>
            </m:e>
            <m:sub>
              <m:r>
                <w:rPr>
                  <w:rFonts w:ascii="Cambria Math" w:hAnsi="Cambria Math" w:cs="Arial"/>
                </w:rPr>
                <m:t>2</m:t>
              </m:r>
            </m:sub>
          </m:sSub>
          <m:r>
            <w:rPr>
              <w:rFonts w:ascii="Cambria Math" w:hAnsi="Cambria Math" w:cs="Arial"/>
            </w:rPr>
            <m:t>+</m:t>
          </m:r>
          <m:sSub>
            <m:sSubPr>
              <m:ctrlPr>
                <w:rPr>
                  <w:rFonts w:ascii="Cambria Math" w:hAnsi="Cambria Math" w:cs="Arial"/>
                  <w:i/>
                </w:rPr>
              </m:ctrlPr>
            </m:sSubPr>
            <m:e>
              <m:r>
                <w:rPr>
                  <w:rFonts w:ascii="Cambria Math" w:hAnsi="Cambria Math" w:cs="Arial"/>
                </w:rPr>
                <m:t>β</m:t>
              </m:r>
            </m:e>
            <m:sub>
              <m:r>
                <w:rPr>
                  <w:rFonts w:ascii="Cambria Math" w:hAnsi="Cambria Math" w:cs="Arial"/>
                </w:rPr>
                <m:t>3</m:t>
              </m:r>
            </m:sub>
          </m:sSub>
          <m:sSub>
            <m:sSubPr>
              <m:ctrlPr>
                <w:rPr>
                  <w:rFonts w:ascii="Cambria Math" w:hAnsi="Cambria Math" w:cs="Arial"/>
                  <w:i/>
                </w:rPr>
              </m:ctrlPr>
            </m:sSubPr>
            <m:e>
              <m:r>
                <w:rPr>
                  <w:rFonts w:ascii="Cambria Math" w:hAnsi="Cambria Math" w:cs="Arial"/>
                </w:rPr>
                <m:t>X</m:t>
              </m:r>
            </m:e>
            <m:sub>
              <m:r>
                <w:rPr>
                  <w:rFonts w:ascii="Cambria Math" w:hAnsi="Cambria Math" w:cs="Arial"/>
                </w:rPr>
                <m:t>3</m:t>
              </m:r>
            </m:sub>
          </m:sSub>
          <m:r>
            <w:rPr>
              <w:rFonts w:ascii="Cambria Math" w:hAnsi="Cambria Math" w:cs="Arial"/>
            </w:rPr>
            <m:t>+</m:t>
          </m:r>
          <m:sSub>
            <m:sSubPr>
              <m:ctrlPr>
                <w:rPr>
                  <w:rFonts w:ascii="Cambria Math" w:hAnsi="Cambria Math" w:cs="Arial"/>
                  <w:i/>
                </w:rPr>
              </m:ctrlPr>
            </m:sSubPr>
            <m:e>
              <m:r>
                <w:rPr>
                  <w:rFonts w:ascii="Cambria Math" w:hAnsi="Cambria Math" w:cs="Arial"/>
                </w:rPr>
                <m:t>β</m:t>
              </m:r>
            </m:e>
            <m:sub>
              <m:r>
                <w:rPr>
                  <w:rFonts w:ascii="Cambria Math" w:hAnsi="Cambria Math" w:cs="Arial"/>
                </w:rPr>
                <m:t>4</m:t>
              </m:r>
            </m:sub>
          </m:sSub>
          <m:sSub>
            <m:sSubPr>
              <m:ctrlPr>
                <w:rPr>
                  <w:rFonts w:ascii="Cambria Math" w:hAnsi="Cambria Math" w:cs="Arial"/>
                  <w:i/>
                </w:rPr>
              </m:ctrlPr>
            </m:sSubPr>
            <m:e>
              <m:r>
                <w:rPr>
                  <w:rFonts w:ascii="Cambria Math" w:hAnsi="Cambria Math" w:cs="Arial"/>
                </w:rPr>
                <m:t>X</m:t>
              </m:r>
            </m:e>
            <m:sub>
              <m:r>
                <w:rPr>
                  <w:rFonts w:ascii="Cambria Math" w:hAnsi="Cambria Math" w:cs="Arial"/>
                </w:rPr>
                <m:t>4</m:t>
              </m:r>
            </m:sub>
          </m:sSub>
          <m:r>
            <w:rPr>
              <w:rFonts w:ascii="Cambria Math" w:hAnsi="Cambria Math" w:cs="Arial"/>
            </w:rPr>
            <m:t>+…+</m:t>
          </m:r>
          <m:sSub>
            <m:sSubPr>
              <m:ctrlPr>
                <w:rPr>
                  <w:rFonts w:ascii="Cambria Math" w:hAnsi="Cambria Math" w:cs="Arial"/>
                  <w:i/>
                </w:rPr>
              </m:ctrlPr>
            </m:sSubPr>
            <m:e>
              <m:r>
                <w:rPr>
                  <w:rFonts w:ascii="Cambria Math" w:hAnsi="Cambria Math" w:cs="Arial"/>
                </w:rPr>
                <m:t>β</m:t>
              </m:r>
            </m:e>
            <m:sub>
              <m:r>
                <w:rPr>
                  <w:rFonts w:ascii="Cambria Math" w:hAnsi="Cambria Math" w:cs="Arial"/>
                </w:rPr>
                <m:t>k</m:t>
              </m:r>
            </m:sub>
          </m:sSub>
          <m:sSub>
            <m:sSubPr>
              <m:ctrlPr>
                <w:rPr>
                  <w:rFonts w:ascii="Cambria Math" w:hAnsi="Cambria Math" w:cs="Arial"/>
                  <w:i/>
                </w:rPr>
              </m:ctrlPr>
            </m:sSubPr>
            <m:e>
              <m:r>
                <w:rPr>
                  <w:rFonts w:ascii="Cambria Math" w:hAnsi="Cambria Math" w:cs="Arial"/>
                </w:rPr>
                <m:t>X</m:t>
              </m:r>
            </m:e>
            <m:sub>
              <m:r>
                <w:rPr>
                  <w:rFonts w:ascii="Cambria Math" w:hAnsi="Cambria Math" w:cs="Arial"/>
                </w:rPr>
                <m:t>k</m:t>
              </m:r>
            </m:sub>
          </m:sSub>
          <m:r>
            <w:rPr>
              <w:rFonts w:ascii="Cambria Math" w:hAnsi="Cambria Math" w:cs="Arial"/>
            </w:rPr>
            <m:t xml:space="preserve">                           (9)</m:t>
          </m:r>
        </m:oMath>
      </m:oMathPara>
    </w:p>
    <w:p w14:paraId="4A985067" w14:textId="77777777" w:rsidR="00E0032D" w:rsidRPr="00E0573F" w:rsidRDefault="00E0032D" w:rsidP="00E0032D">
      <w:pPr>
        <w:jc w:val="both"/>
        <w:rPr>
          <w:rFonts w:ascii="Arial" w:hAnsi="Arial" w:cs="Arial"/>
        </w:rPr>
      </w:pPr>
      <w:r w:rsidRPr="00E0573F">
        <w:rPr>
          <w:rFonts w:ascii="Arial" w:hAnsi="Arial" w:cs="Arial"/>
        </w:rPr>
        <w:t xml:space="preserve">where </w:t>
      </w:r>
      <m:oMath>
        <m:r>
          <w:rPr>
            <w:rFonts w:ascii="Cambria Math" w:hAnsi="Cambria Math" w:cs="Arial"/>
          </w:rPr>
          <m:t>P(Y=1)</m:t>
        </m:r>
      </m:oMath>
      <w:r w:rsidRPr="00E0573F">
        <w:rPr>
          <w:rFonts w:ascii="Arial" w:hAnsi="Arial" w:cs="Arial"/>
        </w:rPr>
        <w:t xml:space="preserve"> is the probability of </w:t>
      </w:r>
      <w:r w:rsidR="002D1939" w:rsidRPr="00E0573F">
        <w:rPr>
          <w:rFonts w:ascii="Arial" w:hAnsi="Arial" w:cs="Arial"/>
        </w:rPr>
        <w:t>the occurrence of TB</w:t>
      </w:r>
      <w:r w:rsidRPr="00E0573F">
        <w:rPr>
          <w:rFonts w:ascii="Arial" w:hAnsi="Arial" w:cs="Arial"/>
        </w:rPr>
        <w:t xml:space="preserve">, </w:t>
      </w:r>
      <m:oMath>
        <m:sSub>
          <m:sSubPr>
            <m:ctrlPr>
              <w:rPr>
                <w:rFonts w:ascii="Cambria Math" w:hAnsi="Cambria Math" w:cs="Arial"/>
                <w:i/>
              </w:rPr>
            </m:ctrlPr>
          </m:sSubPr>
          <m:e>
            <m:r>
              <w:rPr>
                <w:rFonts w:ascii="Cambria Math" w:hAnsi="Cambria Math" w:cs="Arial"/>
              </w:rPr>
              <m:t>β</m:t>
            </m:r>
          </m:e>
          <m:sub>
            <m:r>
              <w:rPr>
                <w:rFonts w:ascii="Cambria Math" w:hAnsi="Cambria Math" w:cs="Arial"/>
              </w:rPr>
              <m:t>0</m:t>
            </m:r>
          </m:sub>
        </m:sSub>
      </m:oMath>
      <w:r w:rsidRPr="00E0573F">
        <w:rPr>
          <w:rFonts w:ascii="Arial" w:hAnsi="Arial" w:cs="Arial"/>
        </w:rPr>
        <w:t xml:space="preserve"> is the intercept, </w:t>
      </w:r>
      <m:oMath>
        <m:sSub>
          <m:sSubPr>
            <m:ctrlPr>
              <w:rPr>
                <w:rFonts w:ascii="Cambria Math" w:hAnsi="Cambria Math" w:cs="Arial"/>
                <w:i/>
              </w:rPr>
            </m:ctrlPr>
          </m:sSubPr>
          <m:e>
            <m:r>
              <w:rPr>
                <w:rFonts w:ascii="Cambria Math" w:hAnsi="Cambria Math" w:cs="Arial"/>
              </w:rPr>
              <m:t>β</m:t>
            </m:r>
          </m:e>
          <m:sub>
            <m:r>
              <w:rPr>
                <w:rFonts w:ascii="Cambria Math" w:hAnsi="Cambria Math" w:cs="Arial"/>
              </w:rPr>
              <m:t>i</m:t>
            </m:r>
          </m:sub>
        </m:sSub>
      </m:oMath>
      <w:r w:rsidRPr="00E0573F">
        <w:rPr>
          <w:rFonts w:ascii="Arial" w:hAnsi="Arial" w:cs="Arial"/>
        </w:rPr>
        <w:t>(</w:t>
      </w:r>
      <m:oMath>
        <m:r>
          <w:rPr>
            <w:rFonts w:ascii="Cambria Math" w:hAnsi="Cambria Math" w:cs="Arial"/>
          </w:rPr>
          <m:t>i=1,2,…,k</m:t>
        </m:r>
      </m:oMath>
      <w:r w:rsidR="002D1939" w:rsidRPr="00E0573F">
        <w:rPr>
          <w:rFonts w:ascii="Arial" w:hAnsi="Arial" w:cs="Arial"/>
        </w:rPr>
        <w:t xml:space="preserve">) are regression coefficients. </w:t>
      </w:r>
      <w:r w:rsidRPr="00E0573F">
        <w:rPr>
          <w:rFonts w:ascii="Arial" w:hAnsi="Arial" w:cs="Arial"/>
        </w:rPr>
        <w:t>The model parameters were estimated using Maximum Likelihood Estim</w:t>
      </w:r>
      <w:r w:rsidR="00310869" w:rsidRPr="00E0573F">
        <w:rPr>
          <w:rFonts w:ascii="Arial" w:hAnsi="Arial" w:cs="Arial"/>
        </w:rPr>
        <w:t xml:space="preserve">ation (MLE). </w:t>
      </w:r>
      <w:r w:rsidRPr="00E0573F">
        <w:rPr>
          <w:rFonts w:ascii="Arial" w:hAnsi="Arial" w:cs="Arial"/>
        </w:rPr>
        <w:t>The adjusted odds ratio (AOR) is obtained as:</w:t>
      </w:r>
    </w:p>
    <w:p w14:paraId="50516B50" w14:textId="77777777" w:rsidR="00E0032D" w:rsidRPr="00E0573F" w:rsidRDefault="00000000" w:rsidP="00E0032D">
      <w:pPr>
        <w:jc w:val="both"/>
        <w:rPr>
          <w:rFonts w:ascii="Arial" w:hAnsi="Arial" w:cs="Arial"/>
        </w:rPr>
      </w:pPr>
      <m:oMathPara>
        <m:oMath>
          <m:sSub>
            <m:sSubPr>
              <m:ctrlPr>
                <w:rPr>
                  <w:rFonts w:ascii="Cambria Math" w:eastAsiaTheme="minorHAnsi" w:hAnsi="Cambria Math" w:cs="Arial"/>
                  <w:i/>
                </w:rPr>
              </m:ctrlPr>
            </m:sSubPr>
            <m:e>
              <m:r>
                <w:rPr>
                  <w:rFonts w:ascii="Cambria Math" w:eastAsiaTheme="minorHAnsi" w:hAnsi="Cambria Math" w:cs="Arial"/>
                </w:rPr>
                <m:t>AOR</m:t>
              </m:r>
            </m:e>
            <m:sub>
              <m:r>
                <w:rPr>
                  <w:rFonts w:ascii="Cambria Math" w:eastAsiaTheme="minorHAnsi" w:hAnsi="Cambria Math" w:cs="Arial"/>
                </w:rPr>
                <m:t>i</m:t>
              </m:r>
            </m:sub>
          </m:sSub>
          <m:r>
            <w:rPr>
              <w:rFonts w:ascii="Cambria Math" w:eastAsiaTheme="minorHAnsi" w:hAnsi="Cambria Math" w:cs="Arial"/>
            </w:rPr>
            <m:t>=</m:t>
          </m:r>
          <m:sSup>
            <m:sSupPr>
              <m:ctrlPr>
                <w:rPr>
                  <w:rFonts w:ascii="Cambria Math" w:eastAsiaTheme="minorHAnsi" w:hAnsi="Cambria Math" w:cs="Arial"/>
                  <w:i/>
                </w:rPr>
              </m:ctrlPr>
            </m:sSupPr>
            <m:e>
              <m:r>
                <w:rPr>
                  <w:rFonts w:ascii="Cambria Math" w:eastAsiaTheme="minorHAnsi" w:hAnsi="Cambria Math" w:cs="Arial"/>
                </w:rPr>
                <m:t>e</m:t>
              </m:r>
            </m:e>
            <m:sup>
              <m:sSub>
                <m:sSubPr>
                  <m:ctrlPr>
                    <w:rPr>
                      <w:rFonts w:ascii="Cambria Math" w:eastAsiaTheme="minorHAnsi" w:hAnsi="Cambria Math" w:cs="Arial"/>
                      <w:i/>
                    </w:rPr>
                  </m:ctrlPr>
                </m:sSubPr>
                <m:e>
                  <m:r>
                    <w:rPr>
                      <w:rFonts w:ascii="Cambria Math" w:eastAsiaTheme="minorHAnsi" w:hAnsi="Cambria Math" w:cs="Arial"/>
                    </w:rPr>
                    <m:t>β</m:t>
                  </m:r>
                </m:e>
                <m:sub>
                  <m:r>
                    <w:rPr>
                      <w:rFonts w:ascii="Cambria Math" w:eastAsiaTheme="minorHAnsi" w:hAnsi="Cambria Math" w:cs="Arial"/>
                    </w:rPr>
                    <m:t>i</m:t>
                  </m:r>
                </m:sub>
              </m:sSub>
            </m:sup>
          </m:sSup>
          <m:r>
            <w:rPr>
              <w:rFonts w:ascii="Cambria Math" w:eastAsiaTheme="minorHAnsi" w:hAnsi="Cambria Math" w:cs="Arial"/>
            </w:rPr>
            <m:t xml:space="preserve">                                                                                                                                                 </m:t>
          </m:r>
          <m:d>
            <m:dPr>
              <m:ctrlPr>
                <w:rPr>
                  <w:rFonts w:ascii="Cambria Math" w:eastAsiaTheme="minorHAnsi" w:hAnsi="Cambria Math" w:cs="Arial"/>
                  <w:i/>
                </w:rPr>
              </m:ctrlPr>
            </m:dPr>
            <m:e>
              <m:r>
                <w:rPr>
                  <w:rFonts w:ascii="Cambria Math" w:eastAsiaTheme="minorHAnsi" w:hAnsi="Cambria Math" w:cs="Arial"/>
                </w:rPr>
                <m:t>10</m:t>
              </m:r>
            </m:e>
          </m:d>
        </m:oMath>
      </m:oMathPara>
    </w:p>
    <w:p w14:paraId="5E8ECB7B" w14:textId="77777777" w:rsidR="00E0032D" w:rsidRPr="00E0573F" w:rsidRDefault="00E0032D" w:rsidP="00E0032D">
      <w:pPr>
        <w:jc w:val="both"/>
        <w:rPr>
          <w:rFonts w:ascii="Arial" w:hAnsi="Arial" w:cs="Arial"/>
        </w:rPr>
      </w:pPr>
      <w:r w:rsidRPr="00E0573F">
        <w:rPr>
          <w:rFonts w:ascii="Arial" w:eastAsiaTheme="minorHAnsi" w:hAnsi="Arial" w:cs="Arial"/>
        </w:rPr>
        <w:t xml:space="preserve">If AOR&gt;1, the predictor increases the likelihood of </w:t>
      </w:r>
      <w:r w:rsidR="002D1939" w:rsidRPr="00E0573F">
        <w:rPr>
          <w:rFonts w:ascii="Arial" w:eastAsiaTheme="minorHAnsi" w:hAnsi="Arial" w:cs="Arial"/>
        </w:rPr>
        <w:t>TB infection</w:t>
      </w:r>
      <w:r w:rsidRPr="00E0573F">
        <w:rPr>
          <w:rFonts w:ascii="Arial" w:eastAsiaTheme="minorHAnsi" w:hAnsi="Arial" w:cs="Arial"/>
        </w:rPr>
        <w:t xml:space="preserve">; if AOR&lt;1, the predictor decreases the likelihood of </w:t>
      </w:r>
      <w:r w:rsidR="002D1939" w:rsidRPr="00E0573F">
        <w:rPr>
          <w:rFonts w:ascii="Arial" w:eastAsiaTheme="minorHAnsi" w:hAnsi="Arial" w:cs="Arial"/>
        </w:rPr>
        <w:t>TB infection</w:t>
      </w:r>
      <w:r w:rsidRPr="00E0573F">
        <w:rPr>
          <w:rFonts w:ascii="Arial" w:eastAsiaTheme="minorHAnsi" w:hAnsi="Arial" w:cs="Arial"/>
        </w:rPr>
        <w:t>, and if AOR=1, there is no effect</w:t>
      </w:r>
      <w:r w:rsidR="00310869" w:rsidRPr="00E0573F">
        <w:rPr>
          <w:rFonts w:ascii="Arial" w:eastAsiaTheme="minorHAnsi" w:hAnsi="Arial" w:cs="Arial"/>
        </w:rPr>
        <w:t xml:space="preserve"> (Allison, 2012)</w:t>
      </w:r>
      <w:r w:rsidRPr="00E0573F">
        <w:rPr>
          <w:rFonts w:ascii="Arial" w:eastAsiaTheme="minorHAnsi" w:hAnsi="Arial" w:cs="Arial"/>
        </w:rPr>
        <w:t>.</w:t>
      </w:r>
      <w:r w:rsidR="002D1939" w:rsidRPr="00E0573F">
        <w:rPr>
          <w:rFonts w:ascii="Arial" w:hAnsi="Arial" w:cs="Arial"/>
        </w:rPr>
        <w:t xml:space="preserve"> </w:t>
      </w:r>
      <w:r w:rsidRPr="00E0573F">
        <w:rPr>
          <w:rFonts w:ascii="Arial" w:hAnsi="Arial" w:cs="Arial"/>
        </w:rPr>
        <w:t>The 95% confidence interval for the AOR is</w:t>
      </w:r>
      <w:r w:rsidR="002D1939" w:rsidRPr="00E0573F">
        <w:rPr>
          <w:rFonts w:ascii="Arial" w:hAnsi="Arial" w:cs="Arial"/>
        </w:rPr>
        <w:t xml:space="preserve"> computed as</w:t>
      </w:r>
      <w:r w:rsidRPr="00E0573F">
        <w:rPr>
          <w:rFonts w:ascii="Arial" w:hAnsi="Arial" w:cs="Arial"/>
        </w:rPr>
        <w:t>:</w:t>
      </w:r>
    </w:p>
    <w:p w14:paraId="27210B59" w14:textId="77777777" w:rsidR="00E0032D" w:rsidRPr="00E0573F" w:rsidRDefault="00000000" w:rsidP="00E0032D">
      <w:pPr>
        <w:jc w:val="both"/>
        <w:rPr>
          <w:rFonts w:ascii="Arial" w:hAnsi="Arial" w:cs="Arial"/>
        </w:rPr>
      </w:pPr>
      <m:oMathPara>
        <m:oMath>
          <m:func>
            <m:funcPr>
              <m:ctrlPr>
                <w:rPr>
                  <w:rFonts w:ascii="Cambria Math" w:hAnsi="Cambria Math" w:cs="Arial"/>
                  <w:i/>
                </w:rPr>
              </m:ctrlPr>
            </m:funcPr>
            <m:fName>
              <m:r>
                <m:rPr>
                  <m:sty m:val="p"/>
                </m:rPr>
                <w:rPr>
                  <w:rFonts w:ascii="Cambria Math" w:hAnsi="Cambria Math" w:cs="Arial"/>
                </w:rPr>
                <m:t>exp</m:t>
              </m:r>
            </m:fName>
            <m:e>
              <m:d>
                <m:dPr>
                  <m:ctrlPr>
                    <w:rPr>
                      <w:rFonts w:ascii="Cambria Math" w:hAnsi="Cambria Math" w:cs="Arial"/>
                      <w:i/>
                    </w:rPr>
                  </m:ctrlPr>
                </m:dPr>
                <m:e>
                  <m:sSub>
                    <m:sSubPr>
                      <m:ctrlPr>
                        <w:rPr>
                          <w:rFonts w:ascii="Cambria Math" w:hAnsi="Cambria Math" w:cs="Arial"/>
                          <w:i/>
                        </w:rPr>
                      </m:ctrlPr>
                    </m:sSubPr>
                    <m:e>
                      <m:acc>
                        <m:accPr>
                          <m:ctrlPr>
                            <w:rPr>
                              <w:rFonts w:ascii="Cambria Math" w:hAnsi="Cambria Math" w:cs="Arial"/>
                              <w:i/>
                            </w:rPr>
                          </m:ctrlPr>
                        </m:accPr>
                        <m:e>
                          <m:r>
                            <w:rPr>
                              <w:rFonts w:ascii="Cambria Math" w:hAnsi="Cambria Math" w:cs="Arial"/>
                            </w:rPr>
                            <m:t>β</m:t>
                          </m:r>
                        </m:e>
                      </m:acc>
                    </m:e>
                    <m:sub>
                      <m:r>
                        <w:rPr>
                          <w:rFonts w:ascii="Cambria Math" w:hAnsi="Cambria Math" w:cs="Arial"/>
                        </w:rPr>
                        <m:t>i</m:t>
                      </m:r>
                    </m:sub>
                  </m:sSub>
                  <m:r>
                    <w:rPr>
                      <w:rFonts w:ascii="Cambria Math" w:hAnsi="Cambria Math" w:cs="Arial"/>
                    </w:rPr>
                    <m:t>±1.96×SE</m:t>
                  </m:r>
                  <m:d>
                    <m:dPr>
                      <m:ctrlPr>
                        <w:rPr>
                          <w:rFonts w:ascii="Cambria Math" w:hAnsi="Cambria Math" w:cs="Arial"/>
                          <w:i/>
                        </w:rPr>
                      </m:ctrlPr>
                    </m:dPr>
                    <m:e>
                      <m:sSub>
                        <m:sSubPr>
                          <m:ctrlPr>
                            <w:rPr>
                              <w:rFonts w:ascii="Cambria Math" w:hAnsi="Cambria Math" w:cs="Arial"/>
                              <w:i/>
                            </w:rPr>
                          </m:ctrlPr>
                        </m:sSubPr>
                        <m:e>
                          <m:acc>
                            <m:accPr>
                              <m:ctrlPr>
                                <w:rPr>
                                  <w:rFonts w:ascii="Cambria Math" w:hAnsi="Cambria Math" w:cs="Arial"/>
                                  <w:i/>
                                </w:rPr>
                              </m:ctrlPr>
                            </m:accPr>
                            <m:e>
                              <m:r>
                                <w:rPr>
                                  <w:rFonts w:ascii="Cambria Math" w:hAnsi="Cambria Math" w:cs="Arial"/>
                                </w:rPr>
                                <m:t>β</m:t>
                              </m:r>
                            </m:e>
                          </m:acc>
                        </m:e>
                        <m:sub>
                          <m:r>
                            <w:rPr>
                              <w:rFonts w:ascii="Cambria Math" w:hAnsi="Cambria Math" w:cs="Arial"/>
                            </w:rPr>
                            <m:t>i</m:t>
                          </m:r>
                        </m:sub>
                      </m:sSub>
                    </m:e>
                  </m:d>
                </m:e>
              </m:d>
            </m:e>
          </m:func>
          <m:r>
            <w:rPr>
              <w:rFonts w:ascii="Cambria Math" w:hAnsi="Cambria Math" w:cs="Arial"/>
            </w:rPr>
            <m:t xml:space="preserve">                                                                                                              (11)</m:t>
          </m:r>
        </m:oMath>
      </m:oMathPara>
    </w:p>
    <w:p w14:paraId="39BD0AC2" w14:textId="77777777" w:rsidR="00E0032D" w:rsidRPr="00E0573F" w:rsidRDefault="00E0032D" w:rsidP="00E0032D">
      <w:pPr>
        <w:jc w:val="both"/>
        <w:rPr>
          <w:rFonts w:ascii="Arial" w:hAnsi="Arial" w:cs="Arial"/>
        </w:rPr>
      </w:pPr>
      <w:r w:rsidRPr="00E0573F">
        <w:rPr>
          <w:rFonts w:ascii="Arial" w:hAnsi="Arial" w:cs="Arial"/>
        </w:rPr>
        <w:t xml:space="preserve">where </w:t>
      </w:r>
      <m:oMath>
        <m:r>
          <w:rPr>
            <w:rFonts w:ascii="Cambria Math" w:hAnsi="Cambria Math" w:cs="Arial"/>
          </w:rPr>
          <m:t>SE</m:t>
        </m:r>
        <m:d>
          <m:dPr>
            <m:ctrlPr>
              <w:rPr>
                <w:rFonts w:ascii="Cambria Math" w:hAnsi="Cambria Math" w:cs="Arial"/>
                <w:i/>
              </w:rPr>
            </m:ctrlPr>
          </m:dPr>
          <m:e>
            <m:sSub>
              <m:sSubPr>
                <m:ctrlPr>
                  <w:rPr>
                    <w:rFonts w:ascii="Cambria Math" w:hAnsi="Cambria Math" w:cs="Arial"/>
                    <w:i/>
                  </w:rPr>
                </m:ctrlPr>
              </m:sSubPr>
              <m:e>
                <m:acc>
                  <m:accPr>
                    <m:ctrlPr>
                      <w:rPr>
                        <w:rFonts w:ascii="Cambria Math" w:hAnsi="Cambria Math" w:cs="Arial"/>
                        <w:i/>
                      </w:rPr>
                    </m:ctrlPr>
                  </m:accPr>
                  <m:e>
                    <m:r>
                      <w:rPr>
                        <w:rFonts w:ascii="Cambria Math" w:hAnsi="Cambria Math" w:cs="Arial"/>
                      </w:rPr>
                      <m:t>β</m:t>
                    </m:r>
                  </m:e>
                </m:acc>
              </m:e>
              <m:sub>
                <m:r>
                  <w:rPr>
                    <w:rFonts w:ascii="Cambria Math" w:hAnsi="Cambria Math" w:cs="Arial"/>
                  </w:rPr>
                  <m:t>i</m:t>
                </m:r>
              </m:sub>
            </m:sSub>
          </m:e>
        </m:d>
      </m:oMath>
      <w:r w:rsidRPr="00E0573F">
        <w:rPr>
          <w:rFonts w:ascii="Arial" w:hAnsi="Arial" w:cs="Arial"/>
        </w:rPr>
        <w:t xml:space="preserve"> is the standard error of the coefficient </w:t>
      </w:r>
      <m:oMath>
        <m:sSub>
          <m:sSubPr>
            <m:ctrlPr>
              <w:rPr>
                <w:rFonts w:ascii="Cambria Math" w:hAnsi="Cambria Math" w:cs="Arial"/>
                <w:i/>
              </w:rPr>
            </m:ctrlPr>
          </m:sSubPr>
          <m:e>
            <m:acc>
              <m:accPr>
                <m:ctrlPr>
                  <w:rPr>
                    <w:rFonts w:ascii="Cambria Math" w:hAnsi="Cambria Math" w:cs="Arial"/>
                    <w:i/>
                  </w:rPr>
                </m:ctrlPr>
              </m:accPr>
              <m:e>
                <m:r>
                  <w:rPr>
                    <w:rFonts w:ascii="Cambria Math" w:hAnsi="Cambria Math" w:cs="Arial"/>
                  </w:rPr>
                  <m:t>β</m:t>
                </m:r>
              </m:e>
            </m:acc>
          </m:e>
          <m:sub>
            <m:r>
              <w:rPr>
                <w:rFonts w:ascii="Cambria Math" w:hAnsi="Cambria Math" w:cs="Arial"/>
              </w:rPr>
              <m:t>i</m:t>
            </m:r>
          </m:sub>
        </m:sSub>
      </m:oMath>
      <w:r w:rsidRPr="00E0573F">
        <w:rPr>
          <w:rFonts w:ascii="Arial" w:hAnsi="Arial" w:cs="Arial"/>
        </w:rPr>
        <w:t>​. A 95% confidence interval (CI) for each odds ratio provides a range of plausible values:</w:t>
      </w:r>
    </w:p>
    <w:p w14:paraId="24527B83" w14:textId="77777777" w:rsidR="00E0032D" w:rsidRPr="00E0573F" w:rsidRDefault="00000000" w:rsidP="00E0032D">
      <w:pPr>
        <w:jc w:val="both"/>
        <w:rPr>
          <w:rFonts w:ascii="Arial" w:hAnsi="Arial" w:cs="Arial"/>
        </w:rPr>
      </w:pPr>
      <m:oMathPara>
        <m:oMath>
          <m:sSub>
            <m:sSubPr>
              <m:ctrlPr>
                <w:rPr>
                  <w:rFonts w:ascii="Cambria Math" w:hAnsi="Cambria Math" w:cs="Arial"/>
                  <w:i/>
                </w:rPr>
              </m:ctrlPr>
            </m:sSubPr>
            <m:e>
              <m:r>
                <w:rPr>
                  <w:rFonts w:ascii="Cambria Math" w:hAnsi="Cambria Math" w:cs="Arial"/>
                </w:rPr>
                <m:t>CI</m:t>
              </m:r>
            </m:e>
            <m:sub>
              <m:r>
                <w:rPr>
                  <w:rFonts w:ascii="Cambria Math" w:hAnsi="Cambria Math" w:cs="Arial"/>
                </w:rPr>
                <m:t>95%</m:t>
              </m:r>
            </m:sub>
          </m:sSub>
          <m:r>
            <w:rPr>
              <w:rFonts w:ascii="Cambria Math" w:hAnsi="Cambria Math" w:cs="Arial"/>
            </w:rPr>
            <m:t>=</m:t>
          </m:r>
          <m:d>
            <m:dPr>
              <m:begChr m:val="["/>
              <m:endChr m:val="]"/>
              <m:ctrlPr>
                <w:rPr>
                  <w:rFonts w:ascii="Cambria Math" w:hAnsi="Cambria Math" w:cs="Arial"/>
                  <w:i/>
                </w:rPr>
              </m:ctrlPr>
            </m:dPr>
            <m:e>
              <m:sSup>
                <m:sSupPr>
                  <m:ctrlPr>
                    <w:rPr>
                      <w:rFonts w:ascii="Cambria Math" w:hAnsi="Cambria Math" w:cs="Arial"/>
                      <w:i/>
                    </w:rPr>
                  </m:ctrlPr>
                </m:sSupPr>
                <m:e>
                  <m:r>
                    <w:rPr>
                      <w:rFonts w:ascii="Cambria Math" w:hAnsi="Cambria Math" w:cs="Arial"/>
                    </w:rPr>
                    <m:t>e</m:t>
                  </m:r>
                </m:e>
                <m:sup>
                  <m:sSub>
                    <m:sSubPr>
                      <m:ctrlPr>
                        <w:rPr>
                          <w:rFonts w:ascii="Cambria Math" w:hAnsi="Cambria Math" w:cs="Arial"/>
                          <w:i/>
                        </w:rPr>
                      </m:ctrlPr>
                    </m:sSubPr>
                    <m:e>
                      <m:acc>
                        <m:accPr>
                          <m:ctrlPr>
                            <w:rPr>
                              <w:rFonts w:ascii="Cambria Math" w:hAnsi="Cambria Math" w:cs="Arial"/>
                              <w:i/>
                            </w:rPr>
                          </m:ctrlPr>
                        </m:accPr>
                        <m:e>
                          <m:r>
                            <w:rPr>
                              <w:rFonts w:ascii="Cambria Math" w:hAnsi="Cambria Math" w:cs="Arial"/>
                            </w:rPr>
                            <m:t>β</m:t>
                          </m:r>
                        </m:e>
                      </m:acc>
                    </m:e>
                    <m:sub>
                      <m:r>
                        <w:rPr>
                          <w:rFonts w:ascii="Cambria Math" w:hAnsi="Cambria Math" w:cs="Arial"/>
                        </w:rPr>
                        <m:t>i</m:t>
                      </m:r>
                    </m:sub>
                  </m:sSub>
                  <m:r>
                    <w:rPr>
                      <w:rFonts w:ascii="Cambria Math" w:hAnsi="Cambria Math" w:cs="Arial"/>
                    </w:rPr>
                    <m:t>-1.96×SE</m:t>
                  </m:r>
                  <m:d>
                    <m:dPr>
                      <m:ctrlPr>
                        <w:rPr>
                          <w:rFonts w:ascii="Cambria Math" w:hAnsi="Cambria Math" w:cs="Arial"/>
                          <w:i/>
                        </w:rPr>
                      </m:ctrlPr>
                    </m:dPr>
                    <m:e>
                      <m:sSub>
                        <m:sSubPr>
                          <m:ctrlPr>
                            <w:rPr>
                              <w:rFonts w:ascii="Cambria Math" w:hAnsi="Cambria Math" w:cs="Arial"/>
                              <w:i/>
                            </w:rPr>
                          </m:ctrlPr>
                        </m:sSubPr>
                        <m:e>
                          <m:acc>
                            <m:accPr>
                              <m:ctrlPr>
                                <w:rPr>
                                  <w:rFonts w:ascii="Cambria Math" w:hAnsi="Cambria Math" w:cs="Arial"/>
                                  <w:i/>
                                </w:rPr>
                              </m:ctrlPr>
                            </m:accPr>
                            <m:e>
                              <m:r>
                                <w:rPr>
                                  <w:rFonts w:ascii="Cambria Math" w:hAnsi="Cambria Math" w:cs="Arial"/>
                                </w:rPr>
                                <m:t>β</m:t>
                              </m:r>
                            </m:e>
                          </m:acc>
                        </m:e>
                        <m:sub>
                          <m:r>
                            <w:rPr>
                              <w:rFonts w:ascii="Cambria Math" w:hAnsi="Cambria Math" w:cs="Arial"/>
                            </w:rPr>
                            <m:t>i</m:t>
                          </m:r>
                        </m:sub>
                      </m:sSub>
                    </m:e>
                  </m:d>
                </m:sup>
              </m:sSup>
              <m:r>
                <w:rPr>
                  <w:rFonts w:ascii="Cambria Math" w:hAnsi="Cambria Math" w:cs="Arial"/>
                </w:rPr>
                <m:t xml:space="preserve">, </m:t>
              </m:r>
              <m:sSup>
                <m:sSupPr>
                  <m:ctrlPr>
                    <w:rPr>
                      <w:rFonts w:ascii="Cambria Math" w:hAnsi="Cambria Math" w:cs="Arial"/>
                      <w:i/>
                    </w:rPr>
                  </m:ctrlPr>
                </m:sSupPr>
                <m:e>
                  <m:r>
                    <w:rPr>
                      <w:rFonts w:ascii="Cambria Math" w:hAnsi="Cambria Math" w:cs="Arial"/>
                    </w:rPr>
                    <m:t xml:space="preserve"> e</m:t>
                  </m:r>
                </m:e>
                <m:sup>
                  <m:sSub>
                    <m:sSubPr>
                      <m:ctrlPr>
                        <w:rPr>
                          <w:rFonts w:ascii="Cambria Math" w:hAnsi="Cambria Math" w:cs="Arial"/>
                          <w:i/>
                        </w:rPr>
                      </m:ctrlPr>
                    </m:sSubPr>
                    <m:e>
                      <m:acc>
                        <m:accPr>
                          <m:ctrlPr>
                            <w:rPr>
                              <w:rFonts w:ascii="Cambria Math" w:hAnsi="Cambria Math" w:cs="Arial"/>
                              <w:i/>
                            </w:rPr>
                          </m:ctrlPr>
                        </m:accPr>
                        <m:e>
                          <m:r>
                            <w:rPr>
                              <w:rFonts w:ascii="Cambria Math" w:hAnsi="Cambria Math" w:cs="Arial"/>
                            </w:rPr>
                            <m:t>β</m:t>
                          </m:r>
                        </m:e>
                      </m:acc>
                    </m:e>
                    <m:sub>
                      <m:r>
                        <w:rPr>
                          <w:rFonts w:ascii="Cambria Math" w:hAnsi="Cambria Math" w:cs="Arial"/>
                        </w:rPr>
                        <m:t>i</m:t>
                      </m:r>
                    </m:sub>
                  </m:sSub>
                  <m:r>
                    <w:rPr>
                      <w:rFonts w:ascii="Cambria Math" w:hAnsi="Cambria Math" w:cs="Arial"/>
                    </w:rPr>
                    <m:t>+1.96×SE</m:t>
                  </m:r>
                  <m:d>
                    <m:dPr>
                      <m:ctrlPr>
                        <w:rPr>
                          <w:rFonts w:ascii="Cambria Math" w:hAnsi="Cambria Math" w:cs="Arial"/>
                          <w:i/>
                        </w:rPr>
                      </m:ctrlPr>
                    </m:dPr>
                    <m:e>
                      <m:sSub>
                        <m:sSubPr>
                          <m:ctrlPr>
                            <w:rPr>
                              <w:rFonts w:ascii="Cambria Math" w:hAnsi="Cambria Math" w:cs="Arial"/>
                              <w:i/>
                            </w:rPr>
                          </m:ctrlPr>
                        </m:sSubPr>
                        <m:e>
                          <m:acc>
                            <m:accPr>
                              <m:ctrlPr>
                                <w:rPr>
                                  <w:rFonts w:ascii="Cambria Math" w:hAnsi="Cambria Math" w:cs="Arial"/>
                                  <w:i/>
                                </w:rPr>
                              </m:ctrlPr>
                            </m:accPr>
                            <m:e>
                              <m:r>
                                <w:rPr>
                                  <w:rFonts w:ascii="Cambria Math" w:hAnsi="Cambria Math" w:cs="Arial"/>
                                </w:rPr>
                                <m:t>β</m:t>
                              </m:r>
                            </m:e>
                          </m:acc>
                        </m:e>
                        <m:sub>
                          <m:r>
                            <w:rPr>
                              <w:rFonts w:ascii="Cambria Math" w:hAnsi="Cambria Math" w:cs="Arial"/>
                            </w:rPr>
                            <m:t>i</m:t>
                          </m:r>
                        </m:sub>
                      </m:sSub>
                    </m:e>
                  </m:d>
                </m:sup>
              </m:sSup>
            </m:e>
          </m:d>
          <m:r>
            <w:rPr>
              <w:rFonts w:ascii="Cambria Math" w:hAnsi="Cambria Math" w:cs="Arial"/>
            </w:rPr>
            <m:t xml:space="preserve">                                                                                   (12)</m:t>
          </m:r>
        </m:oMath>
      </m:oMathPara>
    </w:p>
    <w:p w14:paraId="0B590B90" w14:textId="77777777" w:rsidR="00E0032D" w:rsidRPr="00E0573F" w:rsidRDefault="00E0032D" w:rsidP="00E0032D">
      <w:pPr>
        <w:jc w:val="both"/>
        <w:rPr>
          <w:rFonts w:ascii="Arial" w:hAnsi="Arial" w:cs="Arial"/>
        </w:rPr>
      </w:pPr>
      <w:r w:rsidRPr="00E0573F">
        <w:rPr>
          <w:rFonts w:ascii="Arial" w:hAnsi="Arial" w:cs="Arial"/>
        </w:rPr>
        <w:t>A predictor was considered statistically significant when the p-value was &lt; 0.05 or when the 95% CI did not include 1.</w:t>
      </w:r>
    </w:p>
    <w:p w14:paraId="721D44EA" w14:textId="77777777" w:rsidR="00E0032D" w:rsidRPr="00E0573F" w:rsidRDefault="00E0032D" w:rsidP="00543686">
      <w:pPr>
        <w:pStyle w:val="ListParagraph"/>
        <w:numPr>
          <w:ilvl w:val="2"/>
          <w:numId w:val="38"/>
        </w:numPr>
        <w:spacing w:after="0"/>
        <w:jc w:val="both"/>
        <w:rPr>
          <w:rFonts w:ascii="Arial" w:hAnsi="Arial" w:cs="Arial"/>
          <w:b/>
        </w:rPr>
      </w:pPr>
      <w:r w:rsidRPr="00E0573F">
        <w:rPr>
          <w:rFonts w:ascii="Arial" w:hAnsi="Arial" w:cs="Arial"/>
          <w:b/>
        </w:rPr>
        <w:t>Model Diagnostic Checks</w:t>
      </w:r>
    </w:p>
    <w:p w14:paraId="67E9A849" w14:textId="77777777" w:rsidR="00E0032D" w:rsidRPr="00E0573F" w:rsidRDefault="00E0032D" w:rsidP="00543686">
      <w:pPr>
        <w:numPr>
          <w:ilvl w:val="0"/>
          <w:numId w:val="36"/>
        </w:numPr>
        <w:spacing w:line="276" w:lineRule="auto"/>
        <w:jc w:val="both"/>
        <w:rPr>
          <w:rFonts w:ascii="Arial" w:hAnsi="Arial" w:cs="Arial"/>
          <w:b/>
        </w:rPr>
      </w:pPr>
      <w:r w:rsidRPr="00E0573F">
        <w:rPr>
          <w:rFonts w:ascii="Arial" w:hAnsi="Arial" w:cs="Arial"/>
          <w:b/>
        </w:rPr>
        <w:t>Wald Test</w:t>
      </w:r>
    </w:p>
    <w:p w14:paraId="09E9EC4A" w14:textId="77777777" w:rsidR="00E0032D" w:rsidRPr="00E0573F" w:rsidRDefault="00E0032D" w:rsidP="00543686">
      <w:pPr>
        <w:jc w:val="both"/>
        <w:rPr>
          <w:rFonts w:ascii="Arial" w:hAnsi="Arial" w:cs="Arial"/>
        </w:rPr>
      </w:pPr>
      <w:r w:rsidRPr="00E0573F">
        <w:rPr>
          <w:rFonts w:ascii="Arial" w:hAnsi="Arial" w:cs="Arial"/>
        </w:rPr>
        <w:t>The Wald test was used to determine whether each predictor contributed significantly to the model:</w:t>
      </w:r>
    </w:p>
    <w:p w14:paraId="6E1A7858" w14:textId="77777777" w:rsidR="00E0032D" w:rsidRPr="00E0573F" w:rsidRDefault="00E0032D" w:rsidP="00E0032D">
      <w:pPr>
        <w:jc w:val="both"/>
        <w:rPr>
          <w:rFonts w:ascii="Arial" w:hAnsi="Arial" w:cs="Arial"/>
        </w:rPr>
      </w:pPr>
      <m:oMathPara>
        <m:oMath>
          <m:r>
            <w:rPr>
              <w:rFonts w:ascii="Cambria Math" w:hAnsi="Cambria Math" w:cs="Arial"/>
            </w:rPr>
            <m:t>W=</m:t>
          </m:r>
          <m:sSup>
            <m:sSupPr>
              <m:ctrlPr>
                <w:rPr>
                  <w:rFonts w:ascii="Cambria Math" w:hAnsi="Cambria Math" w:cs="Arial"/>
                  <w:i/>
                </w:rPr>
              </m:ctrlPr>
            </m:sSupPr>
            <m:e>
              <m:d>
                <m:dPr>
                  <m:ctrlPr>
                    <w:rPr>
                      <w:rFonts w:ascii="Cambria Math" w:hAnsi="Cambria Math" w:cs="Arial"/>
                      <w:i/>
                    </w:rPr>
                  </m:ctrlPr>
                </m:dPr>
                <m:e>
                  <m:f>
                    <m:fPr>
                      <m:ctrlPr>
                        <w:rPr>
                          <w:rFonts w:ascii="Cambria Math" w:hAnsi="Cambria Math" w:cs="Arial"/>
                          <w:i/>
                        </w:rPr>
                      </m:ctrlPr>
                    </m:fPr>
                    <m:num>
                      <m:sSub>
                        <m:sSubPr>
                          <m:ctrlPr>
                            <w:rPr>
                              <w:rFonts w:ascii="Cambria Math" w:hAnsi="Cambria Math" w:cs="Arial"/>
                              <w:i/>
                            </w:rPr>
                          </m:ctrlPr>
                        </m:sSubPr>
                        <m:e>
                          <m:acc>
                            <m:accPr>
                              <m:ctrlPr>
                                <w:rPr>
                                  <w:rFonts w:ascii="Cambria Math" w:hAnsi="Cambria Math" w:cs="Arial"/>
                                  <w:i/>
                                </w:rPr>
                              </m:ctrlPr>
                            </m:accPr>
                            <m:e>
                              <m:r>
                                <w:rPr>
                                  <w:rFonts w:ascii="Cambria Math" w:hAnsi="Cambria Math" w:cs="Arial"/>
                                </w:rPr>
                                <m:t>β</m:t>
                              </m:r>
                            </m:e>
                          </m:acc>
                        </m:e>
                        <m:sub>
                          <m:r>
                            <w:rPr>
                              <w:rFonts w:ascii="Cambria Math" w:hAnsi="Cambria Math" w:cs="Arial"/>
                            </w:rPr>
                            <m:t>j</m:t>
                          </m:r>
                        </m:sub>
                      </m:sSub>
                    </m:num>
                    <m:den>
                      <m:r>
                        <w:rPr>
                          <w:rFonts w:ascii="Cambria Math" w:hAnsi="Cambria Math" w:cs="Arial"/>
                        </w:rPr>
                        <m:t>SE</m:t>
                      </m:r>
                      <m:d>
                        <m:dPr>
                          <m:ctrlPr>
                            <w:rPr>
                              <w:rFonts w:ascii="Cambria Math" w:hAnsi="Cambria Math" w:cs="Arial"/>
                              <w:i/>
                            </w:rPr>
                          </m:ctrlPr>
                        </m:dPr>
                        <m:e>
                          <m:sSub>
                            <m:sSubPr>
                              <m:ctrlPr>
                                <w:rPr>
                                  <w:rFonts w:ascii="Cambria Math" w:hAnsi="Cambria Math" w:cs="Arial"/>
                                  <w:i/>
                                </w:rPr>
                              </m:ctrlPr>
                            </m:sSubPr>
                            <m:e>
                              <m:acc>
                                <m:accPr>
                                  <m:ctrlPr>
                                    <w:rPr>
                                      <w:rFonts w:ascii="Cambria Math" w:hAnsi="Cambria Math" w:cs="Arial"/>
                                      <w:i/>
                                    </w:rPr>
                                  </m:ctrlPr>
                                </m:accPr>
                                <m:e>
                                  <m:r>
                                    <w:rPr>
                                      <w:rFonts w:ascii="Cambria Math" w:hAnsi="Cambria Math" w:cs="Arial"/>
                                    </w:rPr>
                                    <m:t>β</m:t>
                                  </m:r>
                                </m:e>
                              </m:acc>
                            </m:e>
                            <m:sub>
                              <m:r>
                                <w:rPr>
                                  <w:rFonts w:ascii="Cambria Math" w:hAnsi="Cambria Math" w:cs="Arial"/>
                                </w:rPr>
                                <m:t>j</m:t>
                              </m:r>
                            </m:sub>
                          </m:sSub>
                        </m:e>
                      </m:d>
                    </m:den>
                  </m:f>
                </m:e>
              </m:d>
            </m:e>
            <m:sup>
              <m:r>
                <w:rPr>
                  <w:rFonts w:ascii="Cambria Math" w:hAnsi="Cambria Math" w:cs="Arial"/>
                </w:rPr>
                <m:t>2</m:t>
              </m:r>
            </m:sup>
          </m:sSup>
          <m:r>
            <w:rPr>
              <w:rFonts w:ascii="Cambria Math" w:hAnsi="Cambria Math" w:cs="Arial"/>
            </w:rPr>
            <m:t>~</m:t>
          </m:r>
          <m:sSubSup>
            <m:sSubSupPr>
              <m:ctrlPr>
                <w:rPr>
                  <w:rFonts w:ascii="Cambria Math" w:hAnsi="Cambria Math" w:cs="Arial"/>
                  <w:i/>
                </w:rPr>
              </m:ctrlPr>
            </m:sSubSupPr>
            <m:e>
              <m:r>
                <m:rPr>
                  <m:scr m:val="script"/>
                </m:rPr>
                <w:rPr>
                  <w:rFonts w:ascii="Cambria Math" w:hAnsi="Cambria Math" w:cs="Arial"/>
                </w:rPr>
                <m:t>X</m:t>
              </m:r>
            </m:e>
            <m:sub>
              <m:r>
                <w:rPr>
                  <w:rFonts w:ascii="Cambria Math" w:hAnsi="Cambria Math" w:cs="Arial"/>
                </w:rPr>
                <m:t>1</m:t>
              </m:r>
            </m:sub>
            <m:sup>
              <m:r>
                <w:rPr>
                  <w:rFonts w:ascii="Cambria Math" w:hAnsi="Cambria Math" w:cs="Arial"/>
                </w:rPr>
                <m:t>2</m:t>
              </m:r>
            </m:sup>
          </m:sSubSup>
          <m:r>
            <w:rPr>
              <w:rFonts w:ascii="Cambria Math" w:hAnsi="Cambria Math" w:cs="Arial"/>
            </w:rPr>
            <m:t xml:space="preserve">                                                                                                                        (13)</m:t>
          </m:r>
        </m:oMath>
      </m:oMathPara>
    </w:p>
    <w:p w14:paraId="0887C148" w14:textId="77777777" w:rsidR="00E0032D" w:rsidRPr="00E0573F" w:rsidRDefault="00E0032D" w:rsidP="00E0032D">
      <w:pPr>
        <w:jc w:val="both"/>
        <w:rPr>
          <w:rFonts w:ascii="Arial" w:hAnsi="Arial" w:cs="Arial"/>
        </w:rPr>
      </w:pPr>
      <w:r w:rsidRPr="00E0573F">
        <w:rPr>
          <w:rFonts w:ascii="Arial" w:hAnsi="Arial" w:cs="Arial"/>
        </w:rPr>
        <w:t>The Wald test examined the following pair of hypotheses:</w:t>
      </w:r>
    </w:p>
    <w:p w14:paraId="5B0E9DA1" w14:textId="77777777" w:rsidR="00E0032D" w:rsidRPr="00E0573F" w:rsidRDefault="00000000" w:rsidP="00E0032D">
      <w:pPr>
        <w:jc w:val="both"/>
        <w:rPr>
          <w:rFonts w:ascii="Arial" w:hAnsi="Arial" w:cs="Arial"/>
        </w:rPr>
      </w:pPr>
      <m:oMath>
        <m:sSub>
          <m:sSubPr>
            <m:ctrlPr>
              <w:rPr>
                <w:rFonts w:ascii="Cambria Math" w:hAnsi="Cambria Math" w:cs="Arial"/>
                <w:i/>
              </w:rPr>
            </m:ctrlPr>
          </m:sSubPr>
          <m:e>
            <m:r>
              <w:rPr>
                <w:rFonts w:ascii="Cambria Math" w:hAnsi="Cambria Math" w:cs="Arial"/>
              </w:rPr>
              <m:t>H</m:t>
            </m:r>
          </m:e>
          <m:sub>
            <m:r>
              <w:rPr>
                <w:rFonts w:ascii="Cambria Math" w:hAnsi="Cambria Math" w:cs="Arial"/>
              </w:rPr>
              <m:t>0</m:t>
            </m:r>
          </m:sub>
        </m:sSub>
        <m:r>
          <w:rPr>
            <w:rFonts w:ascii="Cambria Math" w:hAnsi="Cambria Math" w:cs="Arial"/>
          </w:rPr>
          <m:t xml:space="preserve">: </m:t>
        </m:r>
        <m:sSub>
          <m:sSubPr>
            <m:ctrlPr>
              <w:rPr>
                <w:rFonts w:ascii="Cambria Math" w:hAnsi="Cambria Math" w:cs="Arial"/>
                <w:i/>
              </w:rPr>
            </m:ctrlPr>
          </m:sSubPr>
          <m:e>
            <m:r>
              <w:rPr>
                <w:rFonts w:ascii="Cambria Math" w:hAnsi="Cambria Math" w:cs="Arial"/>
              </w:rPr>
              <m:t>β</m:t>
            </m:r>
          </m:e>
          <m:sub>
            <m:r>
              <w:rPr>
                <w:rFonts w:ascii="Cambria Math" w:hAnsi="Cambria Math" w:cs="Arial"/>
              </w:rPr>
              <m:t>j</m:t>
            </m:r>
          </m:sub>
        </m:sSub>
        <m:r>
          <w:rPr>
            <w:rFonts w:ascii="Cambria Math" w:hAnsi="Cambria Math" w:cs="Arial"/>
          </w:rPr>
          <m:t>=0</m:t>
        </m:r>
      </m:oMath>
      <w:r w:rsidR="00E0032D" w:rsidRPr="00E0573F">
        <w:rPr>
          <w:rFonts w:ascii="Arial" w:hAnsi="Arial" w:cs="Arial"/>
        </w:rPr>
        <w:t xml:space="preserve"> (predictor has no effect) versus </w:t>
      </w:r>
      <m:oMath>
        <m:sSub>
          <m:sSubPr>
            <m:ctrlPr>
              <w:rPr>
                <w:rFonts w:ascii="Cambria Math" w:hAnsi="Cambria Math" w:cs="Arial"/>
                <w:i/>
              </w:rPr>
            </m:ctrlPr>
          </m:sSubPr>
          <m:e>
            <m:r>
              <w:rPr>
                <w:rFonts w:ascii="Cambria Math" w:hAnsi="Cambria Math" w:cs="Arial"/>
              </w:rPr>
              <m:t>H</m:t>
            </m:r>
          </m:e>
          <m:sub>
            <m:r>
              <w:rPr>
                <w:rFonts w:ascii="Cambria Math" w:hAnsi="Cambria Math" w:cs="Arial"/>
              </w:rPr>
              <m:t>1</m:t>
            </m:r>
          </m:sub>
        </m:sSub>
        <m:r>
          <w:rPr>
            <w:rFonts w:ascii="Cambria Math" w:hAnsi="Cambria Math" w:cs="Arial"/>
          </w:rPr>
          <m:t xml:space="preserve">: </m:t>
        </m:r>
        <m:sSub>
          <m:sSubPr>
            <m:ctrlPr>
              <w:rPr>
                <w:rFonts w:ascii="Cambria Math" w:hAnsi="Cambria Math" w:cs="Arial"/>
                <w:i/>
              </w:rPr>
            </m:ctrlPr>
          </m:sSubPr>
          <m:e>
            <m:r>
              <w:rPr>
                <w:rFonts w:ascii="Cambria Math" w:hAnsi="Cambria Math" w:cs="Arial"/>
              </w:rPr>
              <m:t>β</m:t>
            </m:r>
          </m:e>
          <m:sub>
            <m:r>
              <w:rPr>
                <w:rFonts w:ascii="Cambria Math" w:hAnsi="Cambria Math" w:cs="Arial"/>
              </w:rPr>
              <m:t>j</m:t>
            </m:r>
          </m:sub>
        </m:sSub>
        <m:r>
          <w:rPr>
            <w:rFonts w:ascii="Cambria Math" w:hAnsi="Cambria Math" w:cs="Arial"/>
          </w:rPr>
          <m:t>≠0</m:t>
        </m:r>
      </m:oMath>
      <w:r w:rsidR="00E0032D" w:rsidRPr="00E0573F">
        <w:rPr>
          <w:rFonts w:ascii="Arial" w:hAnsi="Arial" w:cs="Arial"/>
        </w:rPr>
        <w:t xml:space="preserve"> (predictor has an effect). A p-value &lt; 0.05 indicates that the predictor is statistically significant.</w:t>
      </w:r>
    </w:p>
    <w:p w14:paraId="5AC20559" w14:textId="77777777" w:rsidR="00301DFF" w:rsidRPr="00E0573F" w:rsidRDefault="00E0032D" w:rsidP="00301DFF">
      <w:pPr>
        <w:numPr>
          <w:ilvl w:val="0"/>
          <w:numId w:val="36"/>
        </w:numPr>
        <w:jc w:val="both"/>
        <w:rPr>
          <w:rFonts w:ascii="Arial" w:hAnsi="Arial" w:cs="Arial"/>
          <w:b/>
        </w:rPr>
      </w:pPr>
      <w:r w:rsidRPr="00E0573F">
        <w:rPr>
          <w:rFonts w:ascii="Arial" w:hAnsi="Arial" w:cs="Arial"/>
          <w:b/>
        </w:rPr>
        <w:t>Hosmer–Lemeshow Goodness-of-Fit Test</w:t>
      </w:r>
    </w:p>
    <w:p w14:paraId="60541BB2" w14:textId="77777777" w:rsidR="00E0032D" w:rsidRPr="00E0573F" w:rsidRDefault="00E0032D" w:rsidP="00301DFF">
      <w:pPr>
        <w:jc w:val="both"/>
        <w:rPr>
          <w:rFonts w:ascii="Arial" w:hAnsi="Arial" w:cs="Arial"/>
          <w:b/>
        </w:rPr>
      </w:pPr>
      <w:r w:rsidRPr="00E0573F">
        <w:rPr>
          <w:rFonts w:ascii="Arial" w:hAnsi="Arial" w:cs="Arial"/>
        </w:rPr>
        <w:t>This test evaluated the fit of the logistic regression model:</w:t>
      </w:r>
    </w:p>
    <w:p w14:paraId="15B758E1" w14:textId="77777777" w:rsidR="00E0032D" w:rsidRPr="00E0573F" w:rsidRDefault="00000000" w:rsidP="00E0032D">
      <w:pPr>
        <w:jc w:val="both"/>
        <w:rPr>
          <w:rFonts w:ascii="Arial" w:hAnsi="Arial" w:cs="Arial"/>
        </w:rPr>
      </w:pPr>
      <m:oMathPara>
        <m:oMath>
          <m:sSubSup>
            <m:sSubSupPr>
              <m:ctrlPr>
                <w:rPr>
                  <w:rFonts w:ascii="Cambria Math" w:hAnsi="Cambria Math" w:cs="Arial"/>
                  <w:i/>
                </w:rPr>
              </m:ctrlPr>
            </m:sSubSupPr>
            <m:e>
              <m:r>
                <m:rPr>
                  <m:scr m:val="script"/>
                </m:rPr>
                <w:rPr>
                  <w:rFonts w:ascii="Cambria Math" w:hAnsi="Cambria Math" w:cs="Arial"/>
                </w:rPr>
                <m:t>X</m:t>
              </m:r>
            </m:e>
            <m:sub>
              <m:r>
                <w:rPr>
                  <w:rFonts w:ascii="Cambria Math" w:hAnsi="Cambria Math" w:cs="Arial"/>
                </w:rPr>
                <m:t>PHL</m:t>
              </m:r>
            </m:sub>
            <m:sup>
              <m:r>
                <w:rPr>
                  <w:rFonts w:ascii="Cambria Math" w:hAnsi="Cambria Math" w:cs="Arial"/>
                </w:rPr>
                <m:t>2</m:t>
              </m:r>
            </m:sup>
          </m:sSubSup>
          <m:r>
            <w:rPr>
              <w:rFonts w:ascii="Cambria Math" w:hAnsi="Cambria Math" w:cs="Arial"/>
            </w:rPr>
            <m:t>=</m:t>
          </m:r>
          <m:nary>
            <m:naryPr>
              <m:chr m:val="∑"/>
              <m:limLoc m:val="undOvr"/>
              <m:ctrlPr>
                <w:rPr>
                  <w:rFonts w:ascii="Cambria Math" w:hAnsi="Cambria Math" w:cs="Arial"/>
                  <w:i/>
                </w:rPr>
              </m:ctrlPr>
            </m:naryPr>
            <m:sub>
              <m:r>
                <w:rPr>
                  <w:rFonts w:ascii="Cambria Math" w:hAnsi="Cambria Math" w:cs="Arial"/>
                </w:rPr>
                <m:t>g=1</m:t>
              </m:r>
            </m:sub>
            <m:sup>
              <m:r>
                <w:rPr>
                  <w:rFonts w:ascii="Cambria Math" w:hAnsi="Cambria Math" w:cs="Arial"/>
                </w:rPr>
                <m:t>G</m:t>
              </m:r>
            </m:sup>
            <m:e>
              <m:f>
                <m:fPr>
                  <m:ctrlPr>
                    <w:rPr>
                      <w:rFonts w:ascii="Cambria Math" w:hAnsi="Cambria Math" w:cs="Arial"/>
                      <w:i/>
                    </w:rPr>
                  </m:ctrlPr>
                </m:fPr>
                <m:num>
                  <m:sSup>
                    <m:sSupPr>
                      <m:ctrlPr>
                        <w:rPr>
                          <w:rFonts w:ascii="Cambria Math" w:hAnsi="Cambria Math" w:cs="Arial"/>
                          <w:i/>
                        </w:rPr>
                      </m:ctrlPr>
                    </m:sSupPr>
                    <m:e>
                      <m:d>
                        <m:dPr>
                          <m:ctrlPr>
                            <w:rPr>
                              <w:rFonts w:ascii="Cambria Math" w:hAnsi="Cambria Math" w:cs="Arial"/>
                              <w:i/>
                            </w:rPr>
                          </m:ctrlPr>
                        </m:dPr>
                        <m:e>
                          <m:sSub>
                            <m:sSubPr>
                              <m:ctrlPr>
                                <w:rPr>
                                  <w:rFonts w:ascii="Cambria Math" w:hAnsi="Cambria Math" w:cs="Arial"/>
                                  <w:i/>
                                </w:rPr>
                              </m:ctrlPr>
                            </m:sSubPr>
                            <m:e>
                              <m:r>
                                <w:rPr>
                                  <w:rFonts w:ascii="Cambria Math" w:hAnsi="Cambria Math" w:cs="Arial"/>
                                </w:rPr>
                                <m:t>O</m:t>
                              </m:r>
                            </m:e>
                            <m:sub>
                              <m:r>
                                <w:rPr>
                                  <w:rFonts w:ascii="Cambria Math" w:hAnsi="Cambria Math" w:cs="Arial"/>
                                </w:rPr>
                                <m:t>g</m:t>
                              </m:r>
                            </m:sub>
                          </m:sSub>
                          <m:r>
                            <w:rPr>
                              <w:rFonts w:ascii="Cambria Math" w:hAnsi="Cambria Math" w:cs="Arial"/>
                            </w:rPr>
                            <m:t>-</m:t>
                          </m:r>
                          <m:sSub>
                            <m:sSubPr>
                              <m:ctrlPr>
                                <w:rPr>
                                  <w:rFonts w:ascii="Cambria Math" w:hAnsi="Cambria Math" w:cs="Arial"/>
                                  <w:i/>
                                </w:rPr>
                              </m:ctrlPr>
                            </m:sSubPr>
                            <m:e>
                              <m:r>
                                <w:rPr>
                                  <w:rFonts w:ascii="Cambria Math" w:hAnsi="Cambria Math" w:cs="Arial"/>
                                </w:rPr>
                                <m:t>E</m:t>
                              </m:r>
                            </m:e>
                            <m:sub>
                              <m:r>
                                <w:rPr>
                                  <w:rFonts w:ascii="Cambria Math" w:hAnsi="Cambria Math" w:cs="Arial"/>
                                </w:rPr>
                                <m:t>g</m:t>
                              </m:r>
                            </m:sub>
                          </m:sSub>
                        </m:e>
                      </m:d>
                    </m:e>
                    <m:sup>
                      <m:r>
                        <w:rPr>
                          <w:rFonts w:ascii="Cambria Math" w:hAnsi="Cambria Math" w:cs="Arial"/>
                        </w:rPr>
                        <m:t>2</m:t>
                      </m:r>
                    </m:sup>
                  </m:sSup>
                </m:num>
                <m:den>
                  <m:sSub>
                    <m:sSubPr>
                      <m:ctrlPr>
                        <w:rPr>
                          <w:rFonts w:ascii="Cambria Math" w:hAnsi="Cambria Math" w:cs="Arial"/>
                          <w:i/>
                        </w:rPr>
                      </m:ctrlPr>
                    </m:sSubPr>
                    <m:e>
                      <m:r>
                        <w:rPr>
                          <w:rFonts w:ascii="Cambria Math" w:hAnsi="Cambria Math" w:cs="Arial"/>
                        </w:rPr>
                        <m:t>E</m:t>
                      </m:r>
                    </m:e>
                    <m:sub>
                      <m:r>
                        <w:rPr>
                          <w:rFonts w:ascii="Cambria Math" w:hAnsi="Cambria Math" w:cs="Arial"/>
                        </w:rPr>
                        <m:t>g</m:t>
                      </m:r>
                    </m:sub>
                  </m:sSub>
                  <m:r>
                    <w:rPr>
                      <w:rFonts w:ascii="Cambria Math" w:hAnsi="Cambria Math" w:cs="Arial"/>
                    </w:rPr>
                    <m:t>(1-</m:t>
                  </m:r>
                  <m:f>
                    <m:fPr>
                      <m:type m:val="lin"/>
                      <m:ctrlPr>
                        <w:rPr>
                          <w:rFonts w:ascii="Cambria Math" w:hAnsi="Cambria Math" w:cs="Arial"/>
                          <w:i/>
                        </w:rPr>
                      </m:ctrlPr>
                    </m:fPr>
                    <m:num>
                      <m:sSub>
                        <m:sSubPr>
                          <m:ctrlPr>
                            <w:rPr>
                              <w:rFonts w:ascii="Cambria Math" w:hAnsi="Cambria Math" w:cs="Arial"/>
                              <w:i/>
                            </w:rPr>
                          </m:ctrlPr>
                        </m:sSubPr>
                        <m:e>
                          <m:r>
                            <w:rPr>
                              <w:rFonts w:ascii="Cambria Math" w:hAnsi="Cambria Math" w:cs="Arial"/>
                            </w:rPr>
                            <m:t>E</m:t>
                          </m:r>
                        </m:e>
                        <m:sub>
                          <m:r>
                            <w:rPr>
                              <w:rFonts w:ascii="Cambria Math" w:hAnsi="Cambria Math" w:cs="Arial"/>
                            </w:rPr>
                            <m:t>g</m:t>
                          </m:r>
                        </m:sub>
                      </m:sSub>
                    </m:num>
                    <m:den>
                      <m:sSub>
                        <m:sSubPr>
                          <m:ctrlPr>
                            <w:rPr>
                              <w:rFonts w:ascii="Cambria Math" w:hAnsi="Cambria Math" w:cs="Arial"/>
                              <w:i/>
                            </w:rPr>
                          </m:ctrlPr>
                        </m:sSubPr>
                        <m:e>
                          <m:r>
                            <w:rPr>
                              <w:rFonts w:ascii="Cambria Math" w:hAnsi="Cambria Math" w:cs="Arial"/>
                            </w:rPr>
                            <m:t>n</m:t>
                          </m:r>
                        </m:e>
                        <m:sub>
                          <m:r>
                            <w:rPr>
                              <w:rFonts w:ascii="Cambria Math" w:hAnsi="Cambria Math" w:cs="Arial"/>
                            </w:rPr>
                            <m:t>g</m:t>
                          </m:r>
                        </m:sub>
                      </m:sSub>
                    </m:den>
                  </m:f>
                  <m:r>
                    <w:rPr>
                      <w:rFonts w:ascii="Cambria Math" w:hAnsi="Cambria Math" w:cs="Arial"/>
                    </w:rPr>
                    <m:t>)</m:t>
                  </m:r>
                </m:den>
              </m:f>
            </m:e>
          </m:nary>
          <m:r>
            <w:rPr>
              <w:rFonts w:ascii="Cambria Math" w:hAnsi="Cambria Math" w:cs="Arial"/>
            </w:rPr>
            <m:t xml:space="preserve">                                                                                                           (14)</m:t>
          </m:r>
        </m:oMath>
      </m:oMathPara>
    </w:p>
    <w:p w14:paraId="35D961B7" w14:textId="77777777" w:rsidR="00E0032D" w:rsidRPr="00E0573F" w:rsidRDefault="00E0032D" w:rsidP="00301DFF">
      <w:pPr>
        <w:jc w:val="both"/>
        <w:rPr>
          <w:rFonts w:ascii="Arial" w:hAnsi="Arial" w:cs="Arial"/>
        </w:rPr>
      </w:pPr>
      <w:r w:rsidRPr="00E0573F">
        <w:rPr>
          <w:rFonts w:ascii="Arial" w:hAnsi="Arial" w:cs="Arial"/>
        </w:rPr>
        <w:t xml:space="preserve">where G is the number of risk groups, </w:t>
      </w:r>
      <m:oMath>
        <m:sSub>
          <m:sSubPr>
            <m:ctrlPr>
              <w:rPr>
                <w:rFonts w:ascii="Cambria Math" w:hAnsi="Cambria Math" w:cs="Arial"/>
                <w:i/>
              </w:rPr>
            </m:ctrlPr>
          </m:sSubPr>
          <m:e>
            <m:r>
              <w:rPr>
                <w:rFonts w:ascii="Cambria Math" w:hAnsi="Cambria Math" w:cs="Arial"/>
              </w:rPr>
              <m:t>O</m:t>
            </m:r>
          </m:e>
          <m:sub>
            <m:r>
              <w:rPr>
                <w:rFonts w:ascii="Cambria Math" w:hAnsi="Cambria Math" w:cs="Arial"/>
              </w:rPr>
              <m:t>g</m:t>
            </m:r>
          </m:sub>
        </m:sSub>
      </m:oMath>
      <w:r w:rsidRPr="00E0573F">
        <w:rPr>
          <w:rFonts w:ascii="Arial" w:hAnsi="Arial" w:cs="Arial"/>
        </w:rPr>
        <w:t xml:space="preserve"> is the observed events in group </w:t>
      </w:r>
      <m:oMath>
        <m:r>
          <w:rPr>
            <w:rFonts w:ascii="Cambria Math" w:hAnsi="Cambria Math" w:cs="Arial"/>
          </w:rPr>
          <m:t>g</m:t>
        </m:r>
      </m:oMath>
      <w:r w:rsidRPr="00E0573F">
        <w:rPr>
          <w:rFonts w:ascii="Arial" w:hAnsi="Arial" w:cs="Arial"/>
        </w:rPr>
        <w:t xml:space="preserve">, </w:t>
      </w:r>
      <m:oMath>
        <m:sSub>
          <m:sSubPr>
            <m:ctrlPr>
              <w:rPr>
                <w:rFonts w:ascii="Cambria Math" w:hAnsi="Cambria Math" w:cs="Arial"/>
                <w:i/>
              </w:rPr>
            </m:ctrlPr>
          </m:sSubPr>
          <m:e>
            <m:r>
              <w:rPr>
                <w:rFonts w:ascii="Cambria Math" w:hAnsi="Cambria Math" w:cs="Arial"/>
              </w:rPr>
              <m:t>E</m:t>
            </m:r>
          </m:e>
          <m:sub>
            <m:r>
              <w:rPr>
                <w:rFonts w:ascii="Cambria Math" w:hAnsi="Cambria Math" w:cs="Arial"/>
              </w:rPr>
              <m:t>g</m:t>
            </m:r>
          </m:sub>
        </m:sSub>
      </m:oMath>
      <w:r w:rsidRPr="00E0573F">
        <w:rPr>
          <w:rFonts w:ascii="Arial" w:hAnsi="Arial" w:cs="Arial"/>
        </w:rPr>
        <w:t xml:space="preserve"> is the expected events in group </w:t>
      </w:r>
      <m:oMath>
        <m:r>
          <w:rPr>
            <w:rFonts w:ascii="Cambria Math" w:hAnsi="Cambria Math" w:cs="Arial"/>
          </w:rPr>
          <m:t>g</m:t>
        </m:r>
      </m:oMath>
      <w:r w:rsidRPr="00E0573F">
        <w:rPr>
          <w:rFonts w:ascii="Arial" w:hAnsi="Arial" w:cs="Arial"/>
        </w:rPr>
        <w:t xml:space="preserve">, </w:t>
      </w:r>
      <m:oMath>
        <m:sSub>
          <m:sSubPr>
            <m:ctrlPr>
              <w:rPr>
                <w:rFonts w:ascii="Cambria Math" w:hAnsi="Cambria Math" w:cs="Arial"/>
                <w:i/>
              </w:rPr>
            </m:ctrlPr>
          </m:sSubPr>
          <m:e>
            <m:r>
              <w:rPr>
                <w:rFonts w:ascii="Cambria Math" w:hAnsi="Cambria Math" w:cs="Arial"/>
              </w:rPr>
              <m:t>n</m:t>
            </m:r>
          </m:e>
          <m:sub>
            <m:r>
              <w:rPr>
                <w:rFonts w:ascii="Cambria Math" w:hAnsi="Cambria Math" w:cs="Arial"/>
              </w:rPr>
              <m:t>g</m:t>
            </m:r>
          </m:sub>
        </m:sSub>
      </m:oMath>
      <w:r w:rsidRPr="00E0573F">
        <w:rPr>
          <w:rFonts w:ascii="Arial" w:hAnsi="Arial" w:cs="Arial"/>
        </w:rPr>
        <w:t xml:space="preserve"> is the total observations in group </w:t>
      </w:r>
      <m:oMath>
        <m:r>
          <w:rPr>
            <w:rFonts w:ascii="Cambria Math" w:hAnsi="Cambria Math" w:cs="Arial"/>
          </w:rPr>
          <m:t>g</m:t>
        </m:r>
      </m:oMath>
      <w:r w:rsidRPr="00E0573F">
        <w:rPr>
          <w:rFonts w:ascii="Arial" w:hAnsi="Arial" w:cs="Arial"/>
        </w:rPr>
        <w:t>. A p-value &gt; 0.05 indicates the model fits the data adequately</w:t>
      </w:r>
      <w:r w:rsidR="008E6335" w:rsidRPr="00E0573F">
        <w:rPr>
          <w:rFonts w:ascii="Arial" w:hAnsi="Arial" w:cs="Arial"/>
        </w:rPr>
        <w:t xml:space="preserve"> (Hosmer et al., 2013)</w:t>
      </w:r>
      <w:r w:rsidRPr="00E0573F">
        <w:rPr>
          <w:rFonts w:ascii="Arial" w:hAnsi="Arial" w:cs="Arial"/>
        </w:rPr>
        <w:t>.</w:t>
      </w:r>
    </w:p>
    <w:p w14:paraId="6F86893C" w14:textId="77777777" w:rsidR="00E0032D" w:rsidRPr="00E0573F" w:rsidRDefault="00E0032D" w:rsidP="00301DFF">
      <w:pPr>
        <w:numPr>
          <w:ilvl w:val="0"/>
          <w:numId w:val="36"/>
        </w:numPr>
        <w:jc w:val="both"/>
        <w:rPr>
          <w:rFonts w:ascii="Arial" w:hAnsi="Arial" w:cs="Arial"/>
          <w:b/>
        </w:rPr>
      </w:pPr>
      <w:r w:rsidRPr="00E0573F">
        <w:rPr>
          <w:rFonts w:ascii="Arial" w:hAnsi="Arial" w:cs="Arial"/>
          <w:b/>
        </w:rPr>
        <w:t>−2 Log Likelihood (−2LL)</w:t>
      </w:r>
    </w:p>
    <w:p w14:paraId="174BC83F" w14:textId="77777777" w:rsidR="00E0032D" w:rsidRPr="00E0573F" w:rsidRDefault="00E0032D" w:rsidP="00E0032D">
      <w:pPr>
        <w:jc w:val="both"/>
        <w:rPr>
          <w:rFonts w:ascii="Arial" w:hAnsi="Arial" w:cs="Arial"/>
        </w:rPr>
      </w:pPr>
      <w:r w:rsidRPr="00E0573F">
        <w:rPr>
          <w:rFonts w:ascii="Arial" w:hAnsi="Arial" w:cs="Arial"/>
        </w:rPr>
        <w:t>The −2 log likelihood is a measure of model fit in logistic regression, with smaller values indicating a better fit. Differences in −2LL between nested models follow a chi-square distribution and are used to test the contribution of predictor variables (Magee, 1990). For a logistic regression model, the log-likelihood function is given by:</w:t>
      </w:r>
    </w:p>
    <w:p w14:paraId="514DDFB1" w14:textId="77777777" w:rsidR="00E0032D" w:rsidRPr="00E0573F" w:rsidRDefault="00E0032D" w:rsidP="00E0032D">
      <w:pPr>
        <w:jc w:val="both"/>
        <w:rPr>
          <w:rFonts w:ascii="Arial" w:hAnsi="Arial" w:cs="Arial"/>
        </w:rPr>
      </w:pPr>
      <m:oMathPara>
        <m:oMath>
          <m:r>
            <m:rPr>
              <m:scr m:val="script"/>
            </m:rPr>
            <w:rPr>
              <w:rFonts w:ascii="Cambria Math" w:hAnsi="Cambria Math" w:cs="Arial"/>
            </w:rPr>
            <m:t>l</m:t>
          </m:r>
          <m:d>
            <m:dPr>
              <m:ctrlPr>
                <w:rPr>
                  <w:rFonts w:ascii="Cambria Math" w:hAnsi="Cambria Math" w:cs="Arial"/>
                  <w:i/>
                </w:rPr>
              </m:ctrlPr>
            </m:dPr>
            <m:e>
              <m:r>
                <w:rPr>
                  <w:rFonts w:ascii="Cambria Math" w:hAnsi="Cambria Math" w:cs="Arial"/>
                </w:rPr>
                <m:t>β</m:t>
              </m:r>
            </m:e>
          </m:d>
          <m:r>
            <w:rPr>
              <w:rFonts w:ascii="Cambria Math" w:hAnsi="Cambria Math" w:cs="Arial"/>
            </w:rPr>
            <m:t>=</m:t>
          </m:r>
          <m:nary>
            <m:naryPr>
              <m:chr m:val="∑"/>
              <m:limLoc m:val="undOvr"/>
              <m:ctrlPr>
                <w:rPr>
                  <w:rFonts w:ascii="Cambria Math" w:hAnsi="Cambria Math" w:cs="Arial"/>
                  <w:i/>
                </w:rPr>
              </m:ctrlPr>
            </m:naryPr>
            <m:sub>
              <m:r>
                <w:rPr>
                  <w:rFonts w:ascii="Cambria Math" w:hAnsi="Cambria Math" w:cs="Arial"/>
                </w:rPr>
                <m:t>i=1</m:t>
              </m:r>
            </m:sub>
            <m:sup>
              <m:r>
                <w:rPr>
                  <w:rFonts w:ascii="Cambria Math" w:hAnsi="Cambria Math" w:cs="Arial"/>
                </w:rPr>
                <m:t>n</m:t>
              </m:r>
            </m:sup>
            <m:e>
              <m:d>
                <m:dPr>
                  <m:begChr m:val="["/>
                  <m:endChr m:val="]"/>
                  <m:ctrlPr>
                    <w:rPr>
                      <w:rFonts w:ascii="Cambria Math" w:hAnsi="Cambria Math" w:cs="Arial"/>
                      <w:i/>
                    </w:rPr>
                  </m:ctrlPr>
                </m:dPr>
                <m:e>
                  <m:sSub>
                    <m:sSubPr>
                      <m:ctrlPr>
                        <w:rPr>
                          <w:rFonts w:ascii="Cambria Math" w:hAnsi="Cambria Math" w:cs="Arial"/>
                          <w:i/>
                        </w:rPr>
                      </m:ctrlPr>
                    </m:sSubPr>
                    <m:e>
                      <m:r>
                        <w:rPr>
                          <w:rFonts w:ascii="Cambria Math" w:hAnsi="Cambria Math" w:cs="Arial"/>
                        </w:rPr>
                        <m:t>Y</m:t>
                      </m:r>
                    </m:e>
                    <m:sub>
                      <m:r>
                        <w:rPr>
                          <w:rFonts w:ascii="Cambria Math" w:hAnsi="Cambria Math" w:cs="Arial"/>
                        </w:rPr>
                        <m:t>i</m:t>
                      </m:r>
                    </m:sub>
                  </m:sSub>
                  <m:func>
                    <m:funcPr>
                      <m:ctrlPr>
                        <w:rPr>
                          <w:rFonts w:ascii="Cambria Math" w:hAnsi="Cambria Math" w:cs="Arial"/>
                          <w:i/>
                        </w:rPr>
                      </m:ctrlPr>
                    </m:funcPr>
                    <m:fName>
                      <m:r>
                        <m:rPr>
                          <m:sty m:val="p"/>
                        </m:rPr>
                        <w:rPr>
                          <w:rFonts w:ascii="Cambria Math" w:hAnsi="Cambria Math" w:cs="Arial"/>
                        </w:rPr>
                        <m:t>ln</m:t>
                      </m:r>
                    </m:fName>
                    <m:e>
                      <m:r>
                        <w:rPr>
                          <w:rFonts w:ascii="Cambria Math" w:hAnsi="Cambria Math" w:cs="Arial"/>
                        </w:rPr>
                        <m:t>(</m:t>
                      </m:r>
                      <m:sSub>
                        <m:sSubPr>
                          <m:ctrlPr>
                            <w:rPr>
                              <w:rFonts w:ascii="Cambria Math" w:hAnsi="Cambria Math" w:cs="Arial"/>
                              <w:i/>
                            </w:rPr>
                          </m:ctrlPr>
                        </m:sSubPr>
                        <m:e>
                          <m:r>
                            <w:rPr>
                              <w:rFonts w:ascii="Cambria Math" w:hAnsi="Cambria Math" w:cs="Arial"/>
                            </w:rPr>
                            <m:t>p</m:t>
                          </m:r>
                        </m:e>
                        <m:sub>
                          <m:r>
                            <w:rPr>
                              <w:rFonts w:ascii="Cambria Math" w:hAnsi="Cambria Math" w:cs="Arial"/>
                            </w:rPr>
                            <m:t>i</m:t>
                          </m:r>
                        </m:sub>
                      </m:sSub>
                      <m:r>
                        <w:rPr>
                          <w:rFonts w:ascii="Cambria Math" w:hAnsi="Cambria Math" w:cs="Arial"/>
                        </w:rPr>
                        <m:t>)</m:t>
                      </m:r>
                    </m:e>
                  </m:func>
                  <m:r>
                    <w:rPr>
                      <w:rFonts w:ascii="Cambria Math" w:hAnsi="Cambria Math" w:cs="Arial"/>
                    </w:rPr>
                    <m:t>+(1-</m:t>
                  </m:r>
                  <m:sSub>
                    <m:sSubPr>
                      <m:ctrlPr>
                        <w:rPr>
                          <w:rFonts w:ascii="Cambria Math" w:hAnsi="Cambria Math" w:cs="Arial"/>
                          <w:i/>
                        </w:rPr>
                      </m:ctrlPr>
                    </m:sSubPr>
                    <m:e>
                      <m:r>
                        <w:rPr>
                          <w:rFonts w:ascii="Cambria Math" w:hAnsi="Cambria Math" w:cs="Arial"/>
                        </w:rPr>
                        <m:t>Y</m:t>
                      </m:r>
                    </m:e>
                    <m:sub>
                      <m:r>
                        <w:rPr>
                          <w:rFonts w:ascii="Cambria Math" w:hAnsi="Cambria Math" w:cs="Arial"/>
                        </w:rPr>
                        <m:t>i</m:t>
                      </m:r>
                    </m:sub>
                  </m:sSub>
                  <m:r>
                    <w:rPr>
                      <w:rFonts w:ascii="Cambria Math" w:hAnsi="Cambria Math" w:cs="Arial"/>
                    </w:rPr>
                    <m:t>)</m:t>
                  </m:r>
                  <m:func>
                    <m:funcPr>
                      <m:ctrlPr>
                        <w:rPr>
                          <w:rFonts w:ascii="Cambria Math" w:hAnsi="Cambria Math" w:cs="Arial"/>
                          <w:i/>
                        </w:rPr>
                      </m:ctrlPr>
                    </m:funcPr>
                    <m:fName>
                      <m:r>
                        <m:rPr>
                          <m:sty m:val="p"/>
                        </m:rPr>
                        <w:rPr>
                          <w:rFonts w:ascii="Cambria Math" w:hAnsi="Cambria Math" w:cs="Arial"/>
                        </w:rPr>
                        <m:t>ln</m:t>
                      </m:r>
                    </m:fName>
                    <m:e>
                      <m:r>
                        <w:rPr>
                          <w:rFonts w:ascii="Cambria Math" w:hAnsi="Cambria Math" w:cs="Arial"/>
                        </w:rPr>
                        <m:t>(1-</m:t>
                      </m:r>
                      <m:sSub>
                        <m:sSubPr>
                          <m:ctrlPr>
                            <w:rPr>
                              <w:rFonts w:ascii="Cambria Math" w:hAnsi="Cambria Math" w:cs="Arial"/>
                              <w:i/>
                            </w:rPr>
                          </m:ctrlPr>
                        </m:sSubPr>
                        <m:e>
                          <m:r>
                            <w:rPr>
                              <w:rFonts w:ascii="Cambria Math" w:hAnsi="Cambria Math" w:cs="Arial"/>
                            </w:rPr>
                            <m:t>p</m:t>
                          </m:r>
                        </m:e>
                        <m:sub>
                          <m:r>
                            <w:rPr>
                              <w:rFonts w:ascii="Cambria Math" w:hAnsi="Cambria Math" w:cs="Arial"/>
                            </w:rPr>
                            <m:t>i</m:t>
                          </m:r>
                        </m:sub>
                      </m:sSub>
                      <m:r>
                        <w:rPr>
                          <w:rFonts w:ascii="Cambria Math" w:hAnsi="Cambria Math" w:cs="Arial"/>
                        </w:rPr>
                        <m:t>)</m:t>
                      </m:r>
                    </m:e>
                  </m:func>
                </m:e>
              </m:d>
            </m:e>
          </m:nary>
          <m:r>
            <w:rPr>
              <w:rFonts w:ascii="Cambria Math" w:hAnsi="Cambria Math" w:cs="Arial"/>
            </w:rPr>
            <m:t xml:space="preserve">                                                                       (15)</m:t>
          </m:r>
        </m:oMath>
      </m:oMathPara>
    </w:p>
    <w:p w14:paraId="338B7C18" w14:textId="77777777" w:rsidR="00E0032D" w:rsidRPr="00E0573F" w:rsidRDefault="00E0032D" w:rsidP="00E0032D">
      <w:pPr>
        <w:jc w:val="both"/>
        <w:rPr>
          <w:rFonts w:ascii="Arial" w:hAnsi="Arial" w:cs="Arial"/>
        </w:rPr>
      </w:pPr>
      <w:r w:rsidRPr="00E0573F">
        <w:rPr>
          <w:rFonts w:ascii="Arial" w:hAnsi="Arial" w:cs="Arial"/>
        </w:rPr>
        <w:t xml:space="preserve">where the predicted probability </w:t>
      </w:r>
      <m:oMath>
        <m:sSub>
          <m:sSubPr>
            <m:ctrlPr>
              <w:rPr>
                <w:rFonts w:ascii="Cambria Math" w:hAnsi="Cambria Math" w:cs="Arial"/>
                <w:i/>
              </w:rPr>
            </m:ctrlPr>
          </m:sSubPr>
          <m:e>
            <m:r>
              <w:rPr>
                <w:rFonts w:ascii="Cambria Math" w:hAnsi="Cambria Math" w:cs="Arial"/>
              </w:rPr>
              <m:t>p</m:t>
            </m:r>
          </m:e>
          <m:sub>
            <m:r>
              <w:rPr>
                <w:rFonts w:ascii="Cambria Math" w:hAnsi="Cambria Math" w:cs="Arial"/>
              </w:rPr>
              <m:t>i</m:t>
            </m:r>
          </m:sub>
        </m:sSub>
      </m:oMath>
      <w:r w:rsidRPr="00E0573F">
        <w:rPr>
          <w:rFonts w:ascii="Arial" w:hAnsi="Arial" w:cs="Arial"/>
        </w:rPr>
        <w:t xml:space="preserve"> is defined as:</w:t>
      </w:r>
    </w:p>
    <w:p w14:paraId="092462B0" w14:textId="77777777" w:rsidR="00E0032D" w:rsidRPr="00E0573F" w:rsidRDefault="00000000" w:rsidP="00E0032D">
      <w:pPr>
        <w:jc w:val="both"/>
        <w:rPr>
          <w:rFonts w:ascii="Arial" w:hAnsi="Arial" w:cs="Arial"/>
        </w:rPr>
      </w:pPr>
      <m:oMathPara>
        <m:oMath>
          <m:sSub>
            <m:sSubPr>
              <m:ctrlPr>
                <w:rPr>
                  <w:rFonts w:ascii="Cambria Math" w:hAnsi="Cambria Math" w:cs="Arial"/>
                  <w:i/>
                </w:rPr>
              </m:ctrlPr>
            </m:sSubPr>
            <m:e>
              <m:r>
                <w:rPr>
                  <w:rFonts w:ascii="Cambria Math" w:hAnsi="Cambria Math" w:cs="Arial"/>
                </w:rPr>
                <m:t>p</m:t>
              </m:r>
            </m:e>
            <m:sub>
              <m:r>
                <w:rPr>
                  <w:rFonts w:ascii="Cambria Math" w:hAnsi="Cambria Math" w:cs="Arial"/>
                </w:rPr>
                <m:t>i</m:t>
              </m:r>
            </m:sub>
          </m:sSub>
          <m:r>
            <w:rPr>
              <w:rFonts w:ascii="Cambria Math" w:hAnsi="Cambria Math" w:cs="Arial"/>
            </w:rPr>
            <m:t>=</m:t>
          </m:r>
          <m:f>
            <m:fPr>
              <m:ctrlPr>
                <w:rPr>
                  <w:rFonts w:ascii="Cambria Math" w:hAnsi="Cambria Math" w:cs="Arial"/>
                  <w:i/>
                </w:rPr>
              </m:ctrlPr>
            </m:fPr>
            <m:num>
              <m:r>
                <w:rPr>
                  <w:rFonts w:ascii="Cambria Math" w:hAnsi="Cambria Math" w:cs="Arial"/>
                </w:rPr>
                <m:t>1</m:t>
              </m:r>
            </m:num>
            <m:den>
              <m:r>
                <w:rPr>
                  <w:rFonts w:ascii="Cambria Math" w:hAnsi="Cambria Math" w:cs="Arial"/>
                </w:rPr>
                <m:t>1+</m:t>
              </m:r>
              <m:sSup>
                <m:sSupPr>
                  <m:ctrlPr>
                    <w:rPr>
                      <w:rFonts w:ascii="Cambria Math" w:hAnsi="Cambria Math" w:cs="Arial"/>
                      <w:i/>
                    </w:rPr>
                  </m:ctrlPr>
                </m:sSupPr>
                <m:e>
                  <m:r>
                    <w:rPr>
                      <w:rFonts w:ascii="Cambria Math" w:hAnsi="Cambria Math" w:cs="Arial"/>
                    </w:rPr>
                    <m:t>e</m:t>
                  </m:r>
                </m:e>
                <m:sup>
                  <m:r>
                    <w:rPr>
                      <w:rFonts w:ascii="Cambria Math" w:hAnsi="Cambria Math" w:cs="Arial"/>
                    </w:rPr>
                    <m:t>-</m:t>
                  </m:r>
                  <m:d>
                    <m:dPr>
                      <m:ctrlPr>
                        <w:rPr>
                          <w:rFonts w:ascii="Cambria Math" w:hAnsi="Cambria Math" w:cs="Arial"/>
                          <w:i/>
                        </w:rPr>
                      </m:ctrlPr>
                    </m:dPr>
                    <m:e>
                      <m:sSub>
                        <m:sSubPr>
                          <m:ctrlPr>
                            <w:rPr>
                              <w:rFonts w:ascii="Cambria Math" w:hAnsi="Cambria Math" w:cs="Arial"/>
                              <w:i/>
                            </w:rPr>
                          </m:ctrlPr>
                        </m:sSubPr>
                        <m:e>
                          <m:r>
                            <w:rPr>
                              <w:rFonts w:ascii="Cambria Math" w:hAnsi="Cambria Math" w:cs="Arial"/>
                            </w:rPr>
                            <m:t>β</m:t>
                          </m:r>
                        </m:e>
                        <m:sub>
                          <m:r>
                            <w:rPr>
                              <w:rFonts w:ascii="Cambria Math" w:hAnsi="Cambria Math" w:cs="Arial"/>
                            </w:rPr>
                            <m:t>0</m:t>
                          </m:r>
                        </m:sub>
                      </m:sSub>
                      <m:r>
                        <w:rPr>
                          <w:rFonts w:ascii="Cambria Math" w:hAnsi="Cambria Math" w:cs="Arial"/>
                        </w:rPr>
                        <m:t>+</m:t>
                      </m:r>
                      <m:sSub>
                        <m:sSubPr>
                          <m:ctrlPr>
                            <w:rPr>
                              <w:rFonts w:ascii="Cambria Math" w:hAnsi="Cambria Math" w:cs="Arial"/>
                              <w:i/>
                            </w:rPr>
                          </m:ctrlPr>
                        </m:sSubPr>
                        <m:e>
                          <m:r>
                            <w:rPr>
                              <w:rFonts w:ascii="Cambria Math" w:hAnsi="Cambria Math" w:cs="Arial"/>
                            </w:rPr>
                            <m:t>β</m:t>
                          </m:r>
                        </m:e>
                        <m:sub>
                          <m:r>
                            <w:rPr>
                              <w:rFonts w:ascii="Cambria Math" w:hAnsi="Cambria Math" w:cs="Arial"/>
                            </w:rPr>
                            <m:t>1</m:t>
                          </m:r>
                        </m:sub>
                      </m:sSub>
                      <m:sSub>
                        <m:sSubPr>
                          <m:ctrlPr>
                            <w:rPr>
                              <w:rFonts w:ascii="Cambria Math" w:hAnsi="Cambria Math" w:cs="Arial"/>
                              <w:i/>
                            </w:rPr>
                          </m:ctrlPr>
                        </m:sSubPr>
                        <m:e>
                          <m:r>
                            <w:rPr>
                              <w:rFonts w:ascii="Cambria Math" w:hAnsi="Cambria Math" w:cs="Arial"/>
                            </w:rPr>
                            <m:t>X</m:t>
                          </m:r>
                        </m:e>
                        <m:sub>
                          <m:r>
                            <w:rPr>
                              <w:rFonts w:ascii="Cambria Math" w:hAnsi="Cambria Math" w:cs="Arial"/>
                            </w:rPr>
                            <m:t>i1</m:t>
                          </m:r>
                        </m:sub>
                      </m:sSub>
                      <m:r>
                        <w:rPr>
                          <w:rFonts w:ascii="Cambria Math" w:hAnsi="Cambria Math" w:cs="Arial"/>
                        </w:rPr>
                        <m:t>+</m:t>
                      </m:r>
                      <m:sSub>
                        <m:sSubPr>
                          <m:ctrlPr>
                            <w:rPr>
                              <w:rFonts w:ascii="Cambria Math" w:hAnsi="Cambria Math" w:cs="Arial"/>
                              <w:i/>
                            </w:rPr>
                          </m:ctrlPr>
                        </m:sSubPr>
                        <m:e>
                          <m:r>
                            <w:rPr>
                              <w:rFonts w:ascii="Cambria Math" w:hAnsi="Cambria Math" w:cs="Arial"/>
                            </w:rPr>
                            <m:t>β</m:t>
                          </m:r>
                        </m:e>
                        <m:sub>
                          <m:r>
                            <w:rPr>
                              <w:rFonts w:ascii="Cambria Math" w:hAnsi="Cambria Math" w:cs="Arial"/>
                            </w:rPr>
                            <m:t>2</m:t>
                          </m:r>
                        </m:sub>
                      </m:sSub>
                      <m:sSub>
                        <m:sSubPr>
                          <m:ctrlPr>
                            <w:rPr>
                              <w:rFonts w:ascii="Cambria Math" w:hAnsi="Cambria Math" w:cs="Arial"/>
                              <w:i/>
                            </w:rPr>
                          </m:ctrlPr>
                        </m:sSubPr>
                        <m:e>
                          <m:r>
                            <w:rPr>
                              <w:rFonts w:ascii="Cambria Math" w:hAnsi="Cambria Math" w:cs="Arial"/>
                            </w:rPr>
                            <m:t>X</m:t>
                          </m:r>
                        </m:e>
                        <m:sub>
                          <m:r>
                            <w:rPr>
                              <w:rFonts w:ascii="Cambria Math" w:hAnsi="Cambria Math" w:cs="Arial"/>
                            </w:rPr>
                            <m:t>i2</m:t>
                          </m:r>
                        </m:sub>
                      </m:sSub>
                      <m:r>
                        <w:rPr>
                          <w:rFonts w:ascii="Cambria Math" w:hAnsi="Cambria Math" w:cs="Arial"/>
                        </w:rPr>
                        <m:t>+…+</m:t>
                      </m:r>
                      <m:sSub>
                        <m:sSubPr>
                          <m:ctrlPr>
                            <w:rPr>
                              <w:rFonts w:ascii="Cambria Math" w:hAnsi="Cambria Math" w:cs="Arial"/>
                              <w:i/>
                            </w:rPr>
                          </m:ctrlPr>
                        </m:sSubPr>
                        <m:e>
                          <m:r>
                            <w:rPr>
                              <w:rFonts w:ascii="Cambria Math" w:hAnsi="Cambria Math" w:cs="Arial"/>
                            </w:rPr>
                            <m:t>β</m:t>
                          </m:r>
                        </m:e>
                        <m:sub>
                          <m:r>
                            <w:rPr>
                              <w:rFonts w:ascii="Cambria Math" w:hAnsi="Cambria Math" w:cs="Arial"/>
                            </w:rPr>
                            <m:t>k</m:t>
                          </m:r>
                        </m:sub>
                      </m:sSub>
                      <m:sSub>
                        <m:sSubPr>
                          <m:ctrlPr>
                            <w:rPr>
                              <w:rFonts w:ascii="Cambria Math" w:hAnsi="Cambria Math" w:cs="Arial"/>
                              <w:i/>
                            </w:rPr>
                          </m:ctrlPr>
                        </m:sSubPr>
                        <m:e>
                          <m:r>
                            <w:rPr>
                              <w:rFonts w:ascii="Cambria Math" w:hAnsi="Cambria Math" w:cs="Arial"/>
                            </w:rPr>
                            <m:t>X</m:t>
                          </m:r>
                        </m:e>
                        <m:sub>
                          <m:r>
                            <w:rPr>
                              <w:rFonts w:ascii="Cambria Math" w:hAnsi="Cambria Math" w:cs="Arial"/>
                            </w:rPr>
                            <m:t>ik</m:t>
                          </m:r>
                        </m:sub>
                      </m:sSub>
                    </m:e>
                  </m:d>
                </m:sup>
              </m:sSup>
            </m:den>
          </m:f>
          <m:r>
            <w:rPr>
              <w:rFonts w:ascii="Cambria Math" w:hAnsi="Cambria Math" w:cs="Arial"/>
            </w:rPr>
            <m:t xml:space="preserve">                                                                                      (16)</m:t>
          </m:r>
        </m:oMath>
      </m:oMathPara>
    </w:p>
    <w:p w14:paraId="53EAB5BB" w14:textId="77777777" w:rsidR="00E0032D" w:rsidRPr="00E0573F" w:rsidRDefault="00E0032D" w:rsidP="00E0032D">
      <w:pPr>
        <w:jc w:val="both"/>
        <w:rPr>
          <w:rFonts w:ascii="Arial" w:hAnsi="Arial" w:cs="Arial"/>
        </w:rPr>
      </w:pPr>
      <w:r w:rsidRPr="00E0573F">
        <w:rPr>
          <w:rFonts w:ascii="Arial" w:hAnsi="Arial" w:cs="Arial"/>
        </w:rPr>
        <w:t>The −2 log likelihood is then defined as:</w:t>
      </w:r>
    </w:p>
    <w:p w14:paraId="6E4A9ED2" w14:textId="77777777" w:rsidR="00E0032D" w:rsidRPr="00E0573F" w:rsidRDefault="00E0032D" w:rsidP="00E0032D">
      <w:pPr>
        <w:jc w:val="both"/>
        <w:rPr>
          <w:rFonts w:ascii="Arial" w:hAnsi="Arial" w:cs="Arial"/>
        </w:rPr>
      </w:pPr>
      <m:oMathPara>
        <m:oMath>
          <m:r>
            <w:rPr>
              <w:rFonts w:ascii="Cambria Math" w:hAnsi="Cambria Math" w:cs="Arial"/>
            </w:rPr>
            <m:t>-2LL=-2</m:t>
          </m:r>
          <m:r>
            <m:rPr>
              <m:scr m:val="script"/>
            </m:rPr>
            <w:rPr>
              <w:rFonts w:ascii="Cambria Math" w:hAnsi="Cambria Math" w:cs="Arial"/>
            </w:rPr>
            <m:t>l</m:t>
          </m:r>
          <m:d>
            <m:dPr>
              <m:ctrlPr>
                <w:rPr>
                  <w:rFonts w:ascii="Cambria Math" w:hAnsi="Cambria Math" w:cs="Arial"/>
                  <w:i/>
                </w:rPr>
              </m:ctrlPr>
            </m:dPr>
            <m:e>
              <m:r>
                <w:rPr>
                  <w:rFonts w:ascii="Cambria Math" w:hAnsi="Cambria Math" w:cs="Arial"/>
                </w:rPr>
                <m:t>β</m:t>
              </m:r>
            </m:e>
          </m:d>
          <m:r>
            <w:rPr>
              <w:rFonts w:ascii="Cambria Math" w:hAnsi="Cambria Math" w:cs="Arial"/>
            </w:rPr>
            <m:t>=-2</m:t>
          </m:r>
          <m:nary>
            <m:naryPr>
              <m:chr m:val="∑"/>
              <m:limLoc m:val="undOvr"/>
              <m:ctrlPr>
                <w:rPr>
                  <w:rFonts w:ascii="Cambria Math" w:hAnsi="Cambria Math" w:cs="Arial"/>
                  <w:i/>
                </w:rPr>
              </m:ctrlPr>
            </m:naryPr>
            <m:sub>
              <m:r>
                <w:rPr>
                  <w:rFonts w:ascii="Cambria Math" w:hAnsi="Cambria Math" w:cs="Arial"/>
                </w:rPr>
                <m:t>i=1</m:t>
              </m:r>
            </m:sub>
            <m:sup>
              <m:r>
                <w:rPr>
                  <w:rFonts w:ascii="Cambria Math" w:hAnsi="Cambria Math" w:cs="Arial"/>
                </w:rPr>
                <m:t>n</m:t>
              </m:r>
            </m:sup>
            <m:e>
              <m:d>
                <m:dPr>
                  <m:begChr m:val="["/>
                  <m:endChr m:val="]"/>
                  <m:ctrlPr>
                    <w:rPr>
                      <w:rFonts w:ascii="Cambria Math" w:hAnsi="Cambria Math" w:cs="Arial"/>
                      <w:i/>
                    </w:rPr>
                  </m:ctrlPr>
                </m:dPr>
                <m:e>
                  <m:sSub>
                    <m:sSubPr>
                      <m:ctrlPr>
                        <w:rPr>
                          <w:rFonts w:ascii="Cambria Math" w:hAnsi="Cambria Math" w:cs="Arial"/>
                          <w:i/>
                        </w:rPr>
                      </m:ctrlPr>
                    </m:sSubPr>
                    <m:e>
                      <m:r>
                        <w:rPr>
                          <w:rFonts w:ascii="Cambria Math" w:hAnsi="Cambria Math" w:cs="Arial"/>
                        </w:rPr>
                        <m:t>Y</m:t>
                      </m:r>
                    </m:e>
                    <m:sub>
                      <m:r>
                        <w:rPr>
                          <w:rFonts w:ascii="Cambria Math" w:hAnsi="Cambria Math" w:cs="Arial"/>
                        </w:rPr>
                        <m:t>i</m:t>
                      </m:r>
                    </m:sub>
                  </m:sSub>
                  <m:func>
                    <m:funcPr>
                      <m:ctrlPr>
                        <w:rPr>
                          <w:rFonts w:ascii="Cambria Math" w:hAnsi="Cambria Math" w:cs="Arial"/>
                          <w:i/>
                        </w:rPr>
                      </m:ctrlPr>
                    </m:funcPr>
                    <m:fName>
                      <m:r>
                        <m:rPr>
                          <m:sty m:val="p"/>
                        </m:rPr>
                        <w:rPr>
                          <w:rFonts w:ascii="Cambria Math" w:hAnsi="Cambria Math" w:cs="Arial"/>
                        </w:rPr>
                        <m:t>ln</m:t>
                      </m:r>
                    </m:fName>
                    <m:e>
                      <m:r>
                        <w:rPr>
                          <w:rFonts w:ascii="Cambria Math" w:hAnsi="Cambria Math" w:cs="Arial"/>
                        </w:rPr>
                        <m:t>(</m:t>
                      </m:r>
                      <m:sSub>
                        <m:sSubPr>
                          <m:ctrlPr>
                            <w:rPr>
                              <w:rFonts w:ascii="Cambria Math" w:hAnsi="Cambria Math" w:cs="Arial"/>
                              <w:i/>
                            </w:rPr>
                          </m:ctrlPr>
                        </m:sSubPr>
                        <m:e>
                          <m:r>
                            <w:rPr>
                              <w:rFonts w:ascii="Cambria Math" w:hAnsi="Cambria Math" w:cs="Arial"/>
                            </w:rPr>
                            <m:t>p</m:t>
                          </m:r>
                        </m:e>
                        <m:sub>
                          <m:r>
                            <w:rPr>
                              <w:rFonts w:ascii="Cambria Math" w:hAnsi="Cambria Math" w:cs="Arial"/>
                            </w:rPr>
                            <m:t>i</m:t>
                          </m:r>
                        </m:sub>
                      </m:sSub>
                      <m:r>
                        <w:rPr>
                          <w:rFonts w:ascii="Cambria Math" w:hAnsi="Cambria Math" w:cs="Arial"/>
                        </w:rPr>
                        <m:t>)</m:t>
                      </m:r>
                    </m:e>
                  </m:func>
                  <m:r>
                    <w:rPr>
                      <w:rFonts w:ascii="Cambria Math" w:hAnsi="Cambria Math" w:cs="Arial"/>
                    </w:rPr>
                    <m:t>+(1-</m:t>
                  </m:r>
                  <m:sSub>
                    <m:sSubPr>
                      <m:ctrlPr>
                        <w:rPr>
                          <w:rFonts w:ascii="Cambria Math" w:hAnsi="Cambria Math" w:cs="Arial"/>
                          <w:i/>
                        </w:rPr>
                      </m:ctrlPr>
                    </m:sSubPr>
                    <m:e>
                      <m:r>
                        <w:rPr>
                          <w:rFonts w:ascii="Cambria Math" w:hAnsi="Cambria Math" w:cs="Arial"/>
                        </w:rPr>
                        <m:t>Y</m:t>
                      </m:r>
                    </m:e>
                    <m:sub>
                      <m:r>
                        <w:rPr>
                          <w:rFonts w:ascii="Cambria Math" w:hAnsi="Cambria Math" w:cs="Arial"/>
                        </w:rPr>
                        <m:t>i</m:t>
                      </m:r>
                    </m:sub>
                  </m:sSub>
                  <m:r>
                    <w:rPr>
                      <w:rFonts w:ascii="Cambria Math" w:hAnsi="Cambria Math" w:cs="Arial"/>
                    </w:rPr>
                    <m:t>)</m:t>
                  </m:r>
                  <m:func>
                    <m:funcPr>
                      <m:ctrlPr>
                        <w:rPr>
                          <w:rFonts w:ascii="Cambria Math" w:hAnsi="Cambria Math" w:cs="Arial"/>
                          <w:i/>
                        </w:rPr>
                      </m:ctrlPr>
                    </m:funcPr>
                    <m:fName>
                      <m:r>
                        <m:rPr>
                          <m:sty m:val="p"/>
                        </m:rPr>
                        <w:rPr>
                          <w:rFonts w:ascii="Cambria Math" w:hAnsi="Cambria Math" w:cs="Arial"/>
                        </w:rPr>
                        <m:t>ln</m:t>
                      </m:r>
                    </m:fName>
                    <m:e>
                      <m:r>
                        <w:rPr>
                          <w:rFonts w:ascii="Cambria Math" w:hAnsi="Cambria Math" w:cs="Arial"/>
                        </w:rPr>
                        <m:t>(1-</m:t>
                      </m:r>
                      <m:sSub>
                        <m:sSubPr>
                          <m:ctrlPr>
                            <w:rPr>
                              <w:rFonts w:ascii="Cambria Math" w:hAnsi="Cambria Math" w:cs="Arial"/>
                              <w:i/>
                            </w:rPr>
                          </m:ctrlPr>
                        </m:sSubPr>
                        <m:e>
                          <m:r>
                            <w:rPr>
                              <w:rFonts w:ascii="Cambria Math" w:hAnsi="Cambria Math" w:cs="Arial"/>
                            </w:rPr>
                            <m:t>p</m:t>
                          </m:r>
                        </m:e>
                        <m:sub>
                          <m:r>
                            <w:rPr>
                              <w:rFonts w:ascii="Cambria Math" w:hAnsi="Cambria Math" w:cs="Arial"/>
                            </w:rPr>
                            <m:t>i</m:t>
                          </m:r>
                        </m:sub>
                      </m:sSub>
                      <m:r>
                        <w:rPr>
                          <w:rFonts w:ascii="Cambria Math" w:hAnsi="Cambria Math" w:cs="Arial"/>
                        </w:rPr>
                        <m:t>)</m:t>
                      </m:r>
                    </m:e>
                  </m:func>
                </m:e>
              </m:d>
            </m:e>
          </m:nary>
          <m:r>
            <w:rPr>
              <w:rFonts w:ascii="Cambria Math" w:hAnsi="Cambria Math" w:cs="Arial"/>
            </w:rPr>
            <m:t xml:space="preserve">                                               (17)  </m:t>
          </m:r>
        </m:oMath>
      </m:oMathPara>
    </w:p>
    <w:p w14:paraId="3FBBE0F7" w14:textId="77777777" w:rsidR="00E0032D" w:rsidRPr="00E0573F" w:rsidRDefault="00E0032D" w:rsidP="00E0032D">
      <w:pPr>
        <w:jc w:val="both"/>
        <w:rPr>
          <w:rFonts w:ascii="Arial" w:hAnsi="Arial" w:cs="Arial"/>
        </w:rPr>
      </w:pPr>
      <w:r w:rsidRPr="00E0573F">
        <w:rPr>
          <w:rFonts w:ascii="Arial" w:hAnsi="Arial" w:cs="Arial"/>
        </w:rPr>
        <w:t xml:space="preserve">where </w:t>
      </w:r>
      <m:oMath>
        <m:r>
          <w:rPr>
            <w:rFonts w:ascii="Cambria Math" w:hAnsi="Cambria Math" w:cs="Arial"/>
          </w:rPr>
          <m:t>n</m:t>
        </m:r>
      </m:oMath>
      <w:r w:rsidRPr="00E0573F">
        <w:rPr>
          <w:rFonts w:ascii="Arial" w:hAnsi="Arial" w:cs="Arial"/>
        </w:rPr>
        <w:t xml:space="preserve"> is the number of observations, </w:t>
      </w:r>
      <m:oMath>
        <m:sSub>
          <m:sSubPr>
            <m:ctrlPr>
              <w:rPr>
                <w:rFonts w:ascii="Cambria Math" w:hAnsi="Cambria Math" w:cs="Arial"/>
                <w:i/>
              </w:rPr>
            </m:ctrlPr>
          </m:sSubPr>
          <m:e>
            <m:r>
              <w:rPr>
                <w:rFonts w:ascii="Cambria Math" w:hAnsi="Cambria Math" w:cs="Arial"/>
              </w:rPr>
              <m:t>Y</m:t>
            </m:r>
          </m:e>
          <m:sub>
            <m:r>
              <w:rPr>
                <w:rFonts w:ascii="Cambria Math" w:hAnsi="Cambria Math" w:cs="Arial"/>
              </w:rPr>
              <m:t>i</m:t>
            </m:r>
          </m:sub>
        </m:sSub>
        <m:r>
          <w:rPr>
            <w:rFonts w:ascii="Cambria Math" w:hAnsi="Cambria Math" w:cs="Arial"/>
          </w:rPr>
          <m:t>∈[0, 1]</m:t>
        </m:r>
      </m:oMath>
      <w:r w:rsidRPr="00E0573F">
        <w:rPr>
          <w:rFonts w:ascii="Arial" w:hAnsi="Arial" w:cs="Arial"/>
        </w:rPr>
        <w:t xml:space="preserve"> is the observed outcome for the </w:t>
      </w:r>
      <m:oMath>
        <m:r>
          <w:rPr>
            <w:rFonts w:ascii="Cambria Math" w:hAnsi="Cambria Math" w:cs="Arial"/>
          </w:rPr>
          <m:t>i-</m:t>
        </m:r>
      </m:oMath>
      <w:r w:rsidRPr="00E0573F">
        <w:rPr>
          <w:rFonts w:ascii="Arial" w:hAnsi="Arial" w:cs="Arial"/>
        </w:rPr>
        <w:t xml:space="preserve">th subject, </w:t>
      </w:r>
      <m:oMath>
        <m:sSub>
          <m:sSubPr>
            <m:ctrlPr>
              <w:rPr>
                <w:rFonts w:ascii="Cambria Math" w:hAnsi="Cambria Math" w:cs="Arial"/>
                <w:i/>
              </w:rPr>
            </m:ctrlPr>
          </m:sSubPr>
          <m:e>
            <m:r>
              <w:rPr>
                <w:rFonts w:ascii="Cambria Math" w:hAnsi="Cambria Math" w:cs="Arial"/>
              </w:rPr>
              <m:t>p</m:t>
            </m:r>
          </m:e>
          <m:sub>
            <m:r>
              <w:rPr>
                <w:rFonts w:ascii="Cambria Math" w:hAnsi="Cambria Math" w:cs="Arial"/>
              </w:rPr>
              <m:t>i</m:t>
            </m:r>
          </m:sub>
        </m:sSub>
      </m:oMath>
      <w:r w:rsidRPr="00E0573F">
        <w:rPr>
          <w:rFonts w:ascii="Arial" w:hAnsi="Arial" w:cs="Arial"/>
        </w:rPr>
        <w:t xml:space="preserve"> is the predicted probability of the event, </w:t>
      </w:r>
      <m:oMath>
        <m:sSub>
          <m:sSubPr>
            <m:ctrlPr>
              <w:rPr>
                <w:rFonts w:ascii="Cambria Math" w:hAnsi="Cambria Math" w:cs="Arial"/>
                <w:i/>
              </w:rPr>
            </m:ctrlPr>
          </m:sSubPr>
          <m:e>
            <m:r>
              <w:rPr>
                <w:rFonts w:ascii="Cambria Math" w:hAnsi="Cambria Math" w:cs="Arial"/>
              </w:rPr>
              <m:t>β</m:t>
            </m:r>
          </m:e>
          <m:sub>
            <m:r>
              <w:rPr>
                <w:rFonts w:ascii="Cambria Math" w:hAnsi="Cambria Math" w:cs="Arial"/>
              </w:rPr>
              <m:t>0</m:t>
            </m:r>
          </m:sub>
        </m:sSub>
      </m:oMath>
      <w:r w:rsidRPr="00E0573F">
        <w:rPr>
          <w:rFonts w:ascii="Arial" w:hAnsi="Arial" w:cs="Arial"/>
        </w:rPr>
        <w:t xml:space="preserve"> is the intercept, </w:t>
      </w:r>
      <m:oMath>
        <m:sSub>
          <m:sSubPr>
            <m:ctrlPr>
              <w:rPr>
                <w:rFonts w:ascii="Cambria Math" w:hAnsi="Cambria Math" w:cs="Arial"/>
                <w:i/>
              </w:rPr>
            </m:ctrlPr>
          </m:sSubPr>
          <m:e>
            <m:r>
              <w:rPr>
                <w:rFonts w:ascii="Cambria Math" w:hAnsi="Cambria Math" w:cs="Arial"/>
              </w:rPr>
              <m:t>β</m:t>
            </m:r>
          </m:e>
          <m:sub>
            <m:r>
              <w:rPr>
                <w:rFonts w:ascii="Cambria Math" w:hAnsi="Cambria Math" w:cs="Arial"/>
              </w:rPr>
              <m:t>1</m:t>
            </m:r>
          </m:sub>
        </m:sSub>
        <m:r>
          <w:rPr>
            <w:rFonts w:ascii="Cambria Math" w:hAnsi="Cambria Math" w:cs="Arial"/>
          </w:rPr>
          <m:t xml:space="preserve">, </m:t>
        </m:r>
        <m:sSub>
          <m:sSubPr>
            <m:ctrlPr>
              <w:rPr>
                <w:rFonts w:ascii="Cambria Math" w:hAnsi="Cambria Math" w:cs="Arial"/>
                <w:i/>
              </w:rPr>
            </m:ctrlPr>
          </m:sSubPr>
          <m:e>
            <m:r>
              <w:rPr>
                <w:rFonts w:ascii="Cambria Math" w:hAnsi="Cambria Math" w:cs="Arial"/>
              </w:rPr>
              <m:t>β</m:t>
            </m:r>
          </m:e>
          <m:sub>
            <m:r>
              <w:rPr>
                <w:rFonts w:ascii="Cambria Math" w:hAnsi="Cambria Math" w:cs="Arial"/>
              </w:rPr>
              <m:t>2</m:t>
            </m:r>
          </m:sub>
        </m:sSub>
        <m:r>
          <w:rPr>
            <w:rFonts w:ascii="Cambria Math" w:hAnsi="Cambria Math" w:cs="Arial"/>
          </w:rPr>
          <m:t xml:space="preserve">, …, </m:t>
        </m:r>
        <m:sSub>
          <m:sSubPr>
            <m:ctrlPr>
              <w:rPr>
                <w:rFonts w:ascii="Cambria Math" w:hAnsi="Cambria Math" w:cs="Arial"/>
                <w:i/>
              </w:rPr>
            </m:ctrlPr>
          </m:sSubPr>
          <m:e>
            <m:r>
              <w:rPr>
                <w:rFonts w:ascii="Cambria Math" w:hAnsi="Cambria Math" w:cs="Arial"/>
              </w:rPr>
              <m:t>β</m:t>
            </m:r>
          </m:e>
          <m:sub>
            <m:r>
              <w:rPr>
                <w:rFonts w:ascii="Cambria Math" w:hAnsi="Cambria Math" w:cs="Arial"/>
              </w:rPr>
              <m:t>k</m:t>
            </m:r>
          </m:sub>
        </m:sSub>
      </m:oMath>
      <w:r w:rsidRPr="00E0573F">
        <w:rPr>
          <w:rFonts w:ascii="Arial" w:hAnsi="Arial" w:cs="Arial"/>
        </w:rPr>
        <w:t xml:space="preserve"> are the regression coefficients and </w:t>
      </w:r>
      <m:oMath>
        <m:sSub>
          <m:sSubPr>
            <m:ctrlPr>
              <w:rPr>
                <w:rFonts w:ascii="Cambria Math" w:hAnsi="Cambria Math" w:cs="Arial"/>
                <w:i/>
              </w:rPr>
            </m:ctrlPr>
          </m:sSubPr>
          <m:e>
            <m:r>
              <w:rPr>
                <w:rFonts w:ascii="Cambria Math" w:hAnsi="Cambria Math" w:cs="Arial"/>
              </w:rPr>
              <m:t>X</m:t>
            </m:r>
          </m:e>
          <m:sub>
            <m:r>
              <w:rPr>
                <w:rFonts w:ascii="Cambria Math" w:hAnsi="Cambria Math" w:cs="Arial"/>
              </w:rPr>
              <m:t>i1</m:t>
            </m:r>
          </m:sub>
        </m:sSub>
        <m:r>
          <w:rPr>
            <w:rFonts w:ascii="Cambria Math" w:hAnsi="Cambria Math" w:cs="Arial"/>
          </w:rPr>
          <m:t xml:space="preserve">, </m:t>
        </m:r>
        <m:sSub>
          <m:sSubPr>
            <m:ctrlPr>
              <w:rPr>
                <w:rFonts w:ascii="Cambria Math" w:hAnsi="Cambria Math" w:cs="Arial"/>
                <w:i/>
              </w:rPr>
            </m:ctrlPr>
          </m:sSubPr>
          <m:e>
            <m:r>
              <w:rPr>
                <w:rFonts w:ascii="Cambria Math" w:hAnsi="Cambria Math" w:cs="Arial"/>
              </w:rPr>
              <m:t>X</m:t>
            </m:r>
          </m:e>
          <m:sub>
            <m:r>
              <w:rPr>
                <w:rFonts w:ascii="Cambria Math" w:hAnsi="Cambria Math" w:cs="Arial"/>
              </w:rPr>
              <m:t>i2</m:t>
            </m:r>
          </m:sub>
        </m:sSub>
        <m:r>
          <w:rPr>
            <w:rFonts w:ascii="Cambria Math" w:hAnsi="Cambria Math" w:cs="Arial"/>
          </w:rPr>
          <m:t xml:space="preserve">, …, </m:t>
        </m:r>
        <m:sSub>
          <m:sSubPr>
            <m:ctrlPr>
              <w:rPr>
                <w:rFonts w:ascii="Cambria Math" w:hAnsi="Cambria Math" w:cs="Arial"/>
                <w:i/>
              </w:rPr>
            </m:ctrlPr>
          </m:sSubPr>
          <m:e>
            <m:r>
              <w:rPr>
                <w:rFonts w:ascii="Cambria Math" w:hAnsi="Cambria Math" w:cs="Arial"/>
              </w:rPr>
              <m:t>X</m:t>
            </m:r>
          </m:e>
          <m:sub>
            <m:r>
              <w:rPr>
                <w:rFonts w:ascii="Cambria Math" w:hAnsi="Cambria Math" w:cs="Arial"/>
              </w:rPr>
              <m:t>ik</m:t>
            </m:r>
          </m:sub>
        </m:sSub>
      </m:oMath>
      <w:r w:rsidRPr="00E0573F">
        <w:rPr>
          <w:rFonts w:ascii="Arial" w:hAnsi="Arial" w:cs="Arial"/>
        </w:rPr>
        <w:t xml:space="preserve"> are the predictor variables. For the constant-only (null) model where only the intercept </w:t>
      </w:r>
      <m:oMath>
        <m:sSub>
          <m:sSubPr>
            <m:ctrlPr>
              <w:rPr>
                <w:rFonts w:ascii="Cambria Math" w:hAnsi="Cambria Math" w:cs="Arial"/>
                <w:i/>
              </w:rPr>
            </m:ctrlPr>
          </m:sSubPr>
          <m:e>
            <m:r>
              <w:rPr>
                <w:rFonts w:ascii="Cambria Math" w:hAnsi="Cambria Math" w:cs="Arial"/>
              </w:rPr>
              <m:t>β</m:t>
            </m:r>
          </m:e>
          <m:sub>
            <m:r>
              <w:rPr>
                <w:rFonts w:ascii="Cambria Math" w:hAnsi="Cambria Math" w:cs="Arial"/>
              </w:rPr>
              <m:t>0</m:t>
            </m:r>
          </m:sub>
        </m:sSub>
      </m:oMath>
      <w:r w:rsidRPr="00E0573F">
        <w:rPr>
          <w:rFonts w:ascii="Arial" w:hAnsi="Arial" w:cs="Arial"/>
        </w:rPr>
        <w:t xml:space="preserve"> is included:</w:t>
      </w:r>
    </w:p>
    <w:p w14:paraId="25B2352E" w14:textId="77777777" w:rsidR="00E0032D" w:rsidRPr="00E0573F" w:rsidRDefault="00000000" w:rsidP="00E0032D">
      <w:pPr>
        <w:jc w:val="both"/>
        <w:rPr>
          <w:rFonts w:ascii="Arial" w:hAnsi="Arial" w:cs="Arial"/>
        </w:rPr>
      </w:pPr>
      <m:oMathPara>
        <m:oMath>
          <m:sSub>
            <m:sSubPr>
              <m:ctrlPr>
                <w:rPr>
                  <w:rFonts w:ascii="Cambria Math" w:hAnsi="Cambria Math" w:cs="Arial"/>
                  <w:i/>
                </w:rPr>
              </m:ctrlPr>
            </m:sSubPr>
            <m:e>
              <m:r>
                <w:rPr>
                  <w:rFonts w:ascii="Cambria Math" w:hAnsi="Cambria Math" w:cs="Arial"/>
                </w:rPr>
                <m:t>p</m:t>
              </m:r>
            </m:e>
            <m:sub>
              <m:r>
                <w:rPr>
                  <w:rFonts w:ascii="Cambria Math" w:hAnsi="Cambria Math" w:cs="Arial"/>
                </w:rPr>
                <m:t>i</m:t>
              </m:r>
            </m:sub>
          </m:sSub>
          <m:r>
            <w:rPr>
              <w:rFonts w:ascii="Cambria Math" w:hAnsi="Cambria Math" w:cs="Arial"/>
            </w:rPr>
            <m:t>=</m:t>
          </m:r>
          <m:f>
            <m:fPr>
              <m:ctrlPr>
                <w:rPr>
                  <w:rFonts w:ascii="Cambria Math" w:hAnsi="Cambria Math" w:cs="Arial"/>
                  <w:i/>
                </w:rPr>
              </m:ctrlPr>
            </m:fPr>
            <m:num>
              <m:r>
                <w:rPr>
                  <w:rFonts w:ascii="Cambria Math" w:hAnsi="Cambria Math" w:cs="Arial"/>
                </w:rPr>
                <m:t>1</m:t>
              </m:r>
            </m:num>
            <m:den>
              <m:r>
                <w:rPr>
                  <w:rFonts w:ascii="Cambria Math" w:hAnsi="Cambria Math" w:cs="Arial"/>
                </w:rPr>
                <m:t>1+</m:t>
              </m:r>
              <m:sSup>
                <m:sSupPr>
                  <m:ctrlPr>
                    <w:rPr>
                      <w:rFonts w:ascii="Cambria Math" w:hAnsi="Cambria Math" w:cs="Arial"/>
                      <w:i/>
                    </w:rPr>
                  </m:ctrlPr>
                </m:sSupPr>
                <m:e>
                  <m:r>
                    <w:rPr>
                      <w:rFonts w:ascii="Cambria Math" w:hAnsi="Cambria Math" w:cs="Arial"/>
                    </w:rPr>
                    <m:t>e</m:t>
                  </m:r>
                </m:e>
                <m:sup>
                  <m:r>
                    <w:rPr>
                      <w:rFonts w:ascii="Cambria Math" w:hAnsi="Cambria Math" w:cs="Arial"/>
                    </w:rPr>
                    <m:t>-</m:t>
                  </m:r>
                  <m:sSub>
                    <m:sSubPr>
                      <m:ctrlPr>
                        <w:rPr>
                          <w:rFonts w:ascii="Cambria Math" w:hAnsi="Cambria Math" w:cs="Arial"/>
                          <w:i/>
                        </w:rPr>
                      </m:ctrlPr>
                    </m:sSubPr>
                    <m:e>
                      <m:r>
                        <w:rPr>
                          <w:rFonts w:ascii="Cambria Math" w:hAnsi="Cambria Math" w:cs="Arial"/>
                        </w:rPr>
                        <m:t>β</m:t>
                      </m:r>
                    </m:e>
                    <m:sub>
                      <m:r>
                        <w:rPr>
                          <w:rFonts w:ascii="Cambria Math" w:hAnsi="Cambria Math" w:cs="Arial"/>
                        </w:rPr>
                        <m:t>0</m:t>
                      </m:r>
                    </m:sub>
                  </m:sSub>
                </m:sup>
              </m:sSup>
            </m:den>
          </m:f>
          <m:r>
            <w:rPr>
              <w:rFonts w:ascii="Cambria Math" w:hAnsi="Cambria Math" w:cs="Arial"/>
            </w:rPr>
            <m:t xml:space="preserve">                                                                                                                                 (18)</m:t>
          </m:r>
        </m:oMath>
      </m:oMathPara>
    </w:p>
    <w:p w14:paraId="40AEEA32" w14:textId="77777777" w:rsidR="00E0032D" w:rsidRPr="00E0573F" w:rsidRDefault="00E0032D" w:rsidP="00E0032D">
      <w:pPr>
        <w:jc w:val="both"/>
        <w:rPr>
          <w:rFonts w:ascii="Arial" w:hAnsi="Arial" w:cs="Arial"/>
        </w:rPr>
      </w:pPr>
      <m:oMathPara>
        <m:oMath>
          <m:r>
            <w:rPr>
              <w:rFonts w:ascii="Cambria Math" w:hAnsi="Cambria Math" w:cs="Arial"/>
            </w:rPr>
            <m:t>-2L</m:t>
          </m:r>
          <m:sSub>
            <m:sSubPr>
              <m:ctrlPr>
                <w:rPr>
                  <w:rFonts w:ascii="Cambria Math" w:hAnsi="Cambria Math" w:cs="Arial"/>
                  <w:i/>
                </w:rPr>
              </m:ctrlPr>
            </m:sSubPr>
            <m:e>
              <m:r>
                <w:rPr>
                  <w:rFonts w:ascii="Cambria Math" w:hAnsi="Cambria Math" w:cs="Arial"/>
                </w:rPr>
                <m:t>L</m:t>
              </m:r>
            </m:e>
            <m:sub>
              <m:r>
                <w:rPr>
                  <w:rFonts w:ascii="Cambria Math" w:hAnsi="Cambria Math" w:cs="Arial"/>
                </w:rPr>
                <m:t>0</m:t>
              </m:r>
            </m:sub>
          </m:sSub>
          <m:r>
            <w:rPr>
              <w:rFonts w:ascii="Cambria Math" w:hAnsi="Cambria Math" w:cs="Arial"/>
            </w:rPr>
            <m:t>=-2</m:t>
          </m:r>
          <m:nary>
            <m:naryPr>
              <m:chr m:val="∑"/>
              <m:limLoc m:val="undOvr"/>
              <m:ctrlPr>
                <w:rPr>
                  <w:rFonts w:ascii="Cambria Math" w:hAnsi="Cambria Math" w:cs="Arial"/>
                  <w:i/>
                </w:rPr>
              </m:ctrlPr>
            </m:naryPr>
            <m:sub>
              <m:r>
                <w:rPr>
                  <w:rFonts w:ascii="Cambria Math" w:hAnsi="Cambria Math" w:cs="Arial"/>
                </w:rPr>
                <m:t>i=1</m:t>
              </m:r>
            </m:sub>
            <m:sup>
              <m:r>
                <w:rPr>
                  <w:rFonts w:ascii="Cambria Math" w:hAnsi="Cambria Math" w:cs="Arial"/>
                </w:rPr>
                <m:t>n</m:t>
              </m:r>
            </m:sup>
            <m:e>
              <m:d>
                <m:dPr>
                  <m:begChr m:val="["/>
                  <m:endChr m:val="]"/>
                  <m:ctrlPr>
                    <w:rPr>
                      <w:rFonts w:ascii="Cambria Math" w:hAnsi="Cambria Math" w:cs="Arial"/>
                      <w:i/>
                    </w:rPr>
                  </m:ctrlPr>
                </m:dPr>
                <m:e>
                  <m:sSub>
                    <m:sSubPr>
                      <m:ctrlPr>
                        <w:rPr>
                          <w:rFonts w:ascii="Cambria Math" w:hAnsi="Cambria Math" w:cs="Arial"/>
                          <w:i/>
                        </w:rPr>
                      </m:ctrlPr>
                    </m:sSubPr>
                    <m:e>
                      <m:r>
                        <w:rPr>
                          <w:rFonts w:ascii="Cambria Math" w:hAnsi="Cambria Math" w:cs="Arial"/>
                        </w:rPr>
                        <m:t>Y</m:t>
                      </m:r>
                    </m:e>
                    <m:sub>
                      <m:r>
                        <w:rPr>
                          <w:rFonts w:ascii="Cambria Math" w:hAnsi="Cambria Math" w:cs="Arial"/>
                        </w:rPr>
                        <m:t>i</m:t>
                      </m:r>
                    </m:sub>
                  </m:sSub>
                  <m:func>
                    <m:funcPr>
                      <m:ctrlPr>
                        <w:rPr>
                          <w:rFonts w:ascii="Cambria Math" w:hAnsi="Cambria Math" w:cs="Arial"/>
                          <w:i/>
                        </w:rPr>
                      </m:ctrlPr>
                    </m:funcPr>
                    <m:fName>
                      <m:r>
                        <m:rPr>
                          <m:sty m:val="p"/>
                        </m:rPr>
                        <w:rPr>
                          <w:rFonts w:ascii="Cambria Math" w:hAnsi="Cambria Math" w:cs="Arial"/>
                        </w:rPr>
                        <m:t>ln</m:t>
                      </m:r>
                    </m:fName>
                    <m:e>
                      <m:r>
                        <w:rPr>
                          <w:rFonts w:ascii="Cambria Math" w:hAnsi="Cambria Math" w:cs="Arial"/>
                        </w:rPr>
                        <m:t>(</m:t>
                      </m:r>
                      <m:sSub>
                        <m:sSubPr>
                          <m:ctrlPr>
                            <w:rPr>
                              <w:rFonts w:ascii="Cambria Math" w:hAnsi="Cambria Math" w:cs="Arial"/>
                              <w:i/>
                            </w:rPr>
                          </m:ctrlPr>
                        </m:sSubPr>
                        <m:e>
                          <m:r>
                            <w:rPr>
                              <w:rFonts w:ascii="Cambria Math" w:hAnsi="Cambria Math" w:cs="Arial"/>
                            </w:rPr>
                            <m:t>p</m:t>
                          </m:r>
                        </m:e>
                        <m:sub>
                          <m:r>
                            <w:rPr>
                              <w:rFonts w:ascii="Cambria Math" w:hAnsi="Cambria Math" w:cs="Arial"/>
                            </w:rPr>
                            <m:t>i</m:t>
                          </m:r>
                        </m:sub>
                      </m:sSub>
                      <m:r>
                        <w:rPr>
                          <w:rFonts w:ascii="Cambria Math" w:hAnsi="Cambria Math" w:cs="Arial"/>
                        </w:rPr>
                        <m:t>)</m:t>
                      </m:r>
                    </m:e>
                  </m:func>
                  <m:r>
                    <w:rPr>
                      <w:rFonts w:ascii="Cambria Math" w:hAnsi="Cambria Math" w:cs="Arial"/>
                    </w:rPr>
                    <m:t>+(1-</m:t>
                  </m:r>
                  <m:sSub>
                    <m:sSubPr>
                      <m:ctrlPr>
                        <w:rPr>
                          <w:rFonts w:ascii="Cambria Math" w:hAnsi="Cambria Math" w:cs="Arial"/>
                          <w:i/>
                        </w:rPr>
                      </m:ctrlPr>
                    </m:sSubPr>
                    <m:e>
                      <m:r>
                        <w:rPr>
                          <w:rFonts w:ascii="Cambria Math" w:hAnsi="Cambria Math" w:cs="Arial"/>
                        </w:rPr>
                        <m:t>Y</m:t>
                      </m:r>
                    </m:e>
                    <m:sub>
                      <m:r>
                        <w:rPr>
                          <w:rFonts w:ascii="Cambria Math" w:hAnsi="Cambria Math" w:cs="Arial"/>
                        </w:rPr>
                        <m:t>i</m:t>
                      </m:r>
                    </m:sub>
                  </m:sSub>
                  <m:r>
                    <w:rPr>
                      <w:rFonts w:ascii="Cambria Math" w:hAnsi="Cambria Math" w:cs="Arial"/>
                    </w:rPr>
                    <m:t>)</m:t>
                  </m:r>
                  <m:func>
                    <m:funcPr>
                      <m:ctrlPr>
                        <w:rPr>
                          <w:rFonts w:ascii="Cambria Math" w:hAnsi="Cambria Math" w:cs="Arial"/>
                          <w:i/>
                        </w:rPr>
                      </m:ctrlPr>
                    </m:funcPr>
                    <m:fName>
                      <m:r>
                        <m:rPr>
                          <m:sty m:val="p"/>
                        </m:rPr>
                        <w:rPr>
                          <w:rFonts w:ascii="Cambria Math" w:hAnsi="Cambria Math" w:cs="Arial"/>
                        </w:rPr>
                        <m:t>ln</m:t>
                      </m:r>
                    </m:fName>
                    <m:e>
                      <m:r>
                        <w:rPr>
                          <w:rFonts w:ascii="Cambria Math" w:hAnsi="Cambria Math" w:cs="Arial"/>
                        </w:rPr>
                        <m:t>(1-</m:t>
                      </m:r>
                      <m:sSub>
                        <m:sSubPr>
                          <m:ctrlPr>
                            <w:rPr>
                              <w:rFonts w:ascii="Cambria Math" w:hAnsi="Cambria Math" w:cs="Arial"/>
                              <w:i/>
                            </w:rPr>
                          </m:ctrlPr>
                        </m:sSubPr>
                        <m:e>
                          <m:r>
                            <w:rPr>
                              <w:rFonts w:ascii="Cambria Math" w:hAnsi="Cambria Math" w:cs="Arial"/>
                            </w:rPr>
                            <m:t>p</m:t>
                          </m:r>
                        </m:e>
                        <m:sub>
                          <m:r>
                            <w:rPr>
                              <w:rFonts w:ascii="Cambria Math" w:hAnsi="Cambria Math" w:cs="Arial"/>
                            </w:rPr>
                            <m:t>i</m:t>
                          </m:r>
                        </m:sub>
                      </m:sSub>
                      <m:r>
                        <w:rPr>
                          <w:rFonts w:ascii="Cambria Math" w:hAnsi="Cambria Math" w:cs="Arial"/>
                        </w:rPr>
                        <m:t>)</m:t>
                      </m:r>
                    </m:e>
                  </m:func>
                </m:e>
              </m:d>
            </m:e>
          </m:nary>
          <m:r>
            <w:rPr>
              <w:rFonts w:ascii="Cambria Math" w:hAnsi="Cambria Math" w:cs="Arial"/>
            </w:rPr>
            <m:t xml:space="preserve">                                                                (19)</m:t>
          </m:r>
        </m:oMath>
      </m:oMathPara>
    </w:p>
    <w:p w14:paraId="115B5AC1" w14:textId="77777777" w:rsidR="00E0032D" w:rsidRPr="00E0573F" w:rsidRDefault="00E0032D" w:rsidP="00E0032D">
      <w:pPr>
        <w:numPr>
          <w:ilvl w:val="0"/>
          <w:numId w:val="36"/>
        </w:numPr>
        <w:spacing w:after="200" w:line="276" w:lineRule="auto"/>
        <w:jc w:val="both"/>
        <w:rPr>
          <w:rFonts w:ascii="Arial" w:hAnsi="Arial" w:cs="Arial"/>
          <w:b/>
        </w:rPr>
      </w:pPr>
      <w:r w:rsidRPr="00E0573F">
        <w:rPr>
          <w:rFonts w:ascii="Arial" w:hAnsi="Arial" w:cs="Arial"/>
          <w:b/>
        </w:rPr>
        <w:t>Pseudo-R²</w:t>
      </w:r>
    </w:p>
    <w:p w14:paraId="78B568BD" w14:textId="77777777" w:rsidR="00E0032D" w:rsidRPr="00E0573F" w:rsidRDefault="00E0032D" w:rsidP="00E0032D">
      <w:pPr>
        <w:jc w:val="both"/>
        <w:rPr>
          <w:rFonts w:ascii="Arial" w:hAnsi="Arial" w:cs="Arial"/>
        </w:rPr>
      </w:pPr>
      <w:r w:rsidRPr="00E0573F">
        <w:rPr>
          <w:rFonts w:ascii="Arial" w:hAnsi="Arial" w:cs="Arial"/>
        </w:rPr>
        <w:t>Because logistic regression does not have a traditional R², pseudo-R² measures provide an indication of the model’s explanatory power. Cox and Snell R² measures the proportional improvement in the likelihood of the fitted model over the null model but is bounded below 1 (Cox &amp; Snell, 1989). Nagelkerke R² corrects this limitation by rescaling Cox and Snell R², thereby providing a pseudo-R² measure that ranges from 0 to 1 and is easier to interpret (Nagelkerke, 1991). The Cox and Snell pseudo-R² is defined as:</w:t>
      </w:r>
    </w:p>
    <w:p w14:paraId="62801790" w14:textId="77777777" w:rsidR="00E0032D" w:rsidRPr="00E0573F" w:rsidRDefault="00000000" w:rsidP="00E0032D">
      <w:pPr>
        <w:jc w:val="both"/>
        <w:rPr>
          <w:rFonts w:ascii="Arial" w:eastAsiaTheme="minorEastAsia" w:hAnsi="Arial" w:cs="Arial"/>
        </w:rPr>
      </w:pPr>
      <m:oMathPara>
        <m:oMath>
          <m:sSubSup>
            <m:sSubSupPr>
              <m:ctrlPr>
                <w:rPr>
                  <w:rFonts w:ascii="Cambria Math" w:eastAsiaTheme="minorHAnsi" w:hAnsi="Cambria Math" w:cs="Arial"/>
                  <w:i/>
                </w:rPr>
              </m:ctrlPr>
            </m:sSubSupPr>
            <m:e>
              <m:r>
                <w:rPr>
                  <w:rFonts w:ascii="Cambria Math" w:eastAsiaTheme="minorHAnsi" w:hAnsi="Cambria Math" w:cs="Arial"/>
                </w:rPr>
                <m:t>R</m:t>
              </m:r>
            </m:e>
            <m:sub>
              <m:r>
                <w:rPr>
                  <w:rFonts w:ascii="Cambria Math" w:eastAsiaTheme="minorHAnsi" w:hAnsi="Cambria Math" w:cs="Arial"/>
                </w:rPr>
                <m:t>CS</m:t>
              </m:r>
            </m:sub>
            <m:sup>
              <m:r>
                <w:rPr>
                  <w:rFonts w:ascii="Cambria Math" w:eastAsiaTheme="minorHAnsi" w:hAnsi="Cambria Math" w:cs="Arial"/>
                </w:rPr>
                <m:t>2</m:t>
              </m:r>
            </m:sup>
          </m:sSubSup>
          <m:r>
            <w:rPr>
              <w:rFonts w:ascii="Cambria Math" w:eastAsiaTheme="minorHAnsi" w:hAnsi="Cambria Math" w:cs="Arial"/>
            </w:rPr>
            <m:t>=1-</m:t>
          </m:r>
          <m:sSup>
            <m:sSupPr>
              <m:ctrlPr>
                <w:rPr>
                  <w:rFonts w:ascii="Cambria Math" w:eastAsiaTheme="minorHAnsi" w:hAnsi="Cambria Math" w:cs="Arial"/>
                  <w:i/>
                </w:rPr>
              </m:ctrlPr>
            </m:sSupPr>
            <m:e>
              <m:d>
                <m:dPr>
                  <m:ctrlPr>
                    <w:rPr>
                      <w:rFonts w:ascii="Cambria Math" w:eastAsiaTheme="minorHAnsi" w:hAnsi="Cambria Math" w:cs="Arial"/>
                      <w:i/>
                    </w:rPr>
                  </m:ctrlPr>
                </m:dPr>
                <m:e>
                  <m:f>
                    <m:fPr>
                      <m:ctrlPr>
                        <w:rPr>
                          <w:rFonts w:ascii="Cambria Math" w:eastAsiaTheme="minorHAnsi" w:hAnsi="Cambria Math" w:cs="Arial"/>
                          <w:i/>
                        </w:rPr>
                      </m:ctrlPr>
                    </m:fPr>
                    <m:num>
                      <m:sSub>
                        <m:sSubPr>
                          <m:ctrlPr>
                            <w:rPr>
                              <w:rFonts w:ascii="Cambria Math" w:eastAsiaTheme="minorHAnsi" w:hAnsi="Cambria Math" w:cs="Arial"/>
                              <w:i/>
                            </w:rPr>
                          </m:ctrlPr>
                        </m:sSubPr>
                        <m:e>
                          <m:r>
                            <w:rPr>
                              <w:rFonts w:ascii="Cambria Math" w:eastAsiaTheme="minorHAnsi" w:hAnsi="Cambria Math" w:cs="Arial"/>
                            </w:rPr>
                            <m:t>L</m:t>
                          </m:r>
                        </m:e>
                        <m:sub>
                          <m:r>
                            <w:rPr>
                              <w:rFonts w:ascii="Cambria Math" w:eastAsiaTheme="minorHAnsi" w:hAnsi="Cambria Math" w:cs="Arial"/>
                            </w:rPr>
                            <m:t>0</m:t>
                          </m:r>
                        </m:sub>
                      </m:sSub>
                    </m:num>
                    <m:den>
                      <m:sSub>
                        <m:sSubPr>
                          <m:ctrlPr>
                            <w:rPr>
                              <w:rFonts w:ascii="Cambria Math" w:eastAsiaTheme="minorHAnsi" w:hAnsi="Cambria Math" w:cs="Arial"/>
                              <w:i/>
                            </w:rPr>
                          </m:ctrlPr>
                        </m:sSubPr>
                        <m:e>
                          <m:r>
                            <w:rPr>
                              <w:rFonts w:ascii="Cambria Math" w:eastAsiaTheme="minorHAnsi" w:hAnsi="Cambria Math" w:cs="Arial"/>
                            </w:rPr>
                            <m:t>L</m:t>
                          </m:r>
                        </m:e>
                        <m:sub>
                          <m:r>
                            <w:rPr>
                              <w:rFonts w:ascii="Cambria Math" w:eastAsiaTheme="minorHAnsi" w:hAnsi="Cambria Math" w:cs="Arial"/>
                            </w:rPr>
                            <m:t>M</m:t>
                          </m:r>
                        </m:sub>
                      </m:sSub>
                    </m:den>
                  </m:f>
                </m:e>
              </m:d>
            </m:e>
            <m:sup>
              <m:f>
                <m:fPr>
                  <m:type m:val="lin"/>
                  <m:ctrlPr>
                    <w:rPr>
                      <w:rFonts w:ascii="Cambria Math" w:eastAsiaTheme="minorHAnsi" w:hAnsi="Cambria Math" w:cs="Arial"/>
                      <w:i/>
                    </w:rPr>
                  </m:ctrlPr>
                </m:fPr>
                <m:num>
                  <m:r>
                    <w:rPr>
                      <w:rFonts w:ascii="Cambria Math" w:eastAsiaTheme="minorHAnsi" w:hAnsi="Cambria Math" w:cs="Arial"/>
                    </w:rPr>
                    <m:t>2</m:t>
                  </m:r>
                </m:num>
                <m:den>
                  <m:r>
                    <w:rPr>
                      <w:rFonts w:ascii="Cambria Math" w:eastAsiaTheme="minorHAnsi" w:hAnsi="Cambria Math" w:cs="Arial"/>
                    </w:rPr>
                    <m:t>n</m:t>
                  </m:r>
                </m:den>
              </m:f>
            </m:sup>
          </m:sSup>
          <m:r>
            <w:rPr>
              <w:rFonts w:ascii="Cambria Math" w:eastAsiaTheme="minorHAnsi" w:hAnsi="Cambria Math" w:cs="Arial"/>
            </w:rPr>
            <m:t xml:space="preserve">                                                                                                                                     (20)</m:t>
          </m:r>
        </m:oMath>
      </m:oMathPara>
    </w:p>
    <w:p w14:paraId="6714E7B8" w14:textId="77777777" w:rsidR="00E0032D" w:rsidRPr="00E0573F" w:rsidRDefault="00E0032D" w:rsidP="00E0032D">
      <w:pPr>
        <w:jc w:val="both"/>
        <w:rPr>
          <w:rFonts w:ascii="Arial" w:hAnsi="Arial" w:cs="Arial"/>
        </w:rPr>
      </w:pPr>
      <w:r w:rsidRPr="00E0573F">
        <w:rPr>
          <w:rFonts w:ascii="Arial" w:hAnsi="Arial" w:cs="Arial"/>
        </w:rPr>
        <w:t xml:space="preserve">where </w:t>
      </w:r>
      <m:oMath>
        <m:sSub>
          <m:sSubPr>
            <m:ctrlPr>
              <w:rPr>
                <w:rFonts w:ascii="Cambria Math" w:hAnsi="Cambria Math" w:cs="Arial"/>
                <w:i/>
              </w:rPr>
            </m:ctrlPr>
          </m:sSubPr>
          <m:e>
            <m:r>
              <w:rPr>
                <w:rFonts w:ascii="Cambria Math" w:hAnsi="Cambria Math" w:cs="Arial"/>
              </w:rPr>
              <m:t>L</m:t>
            </m:r>
          </m:e>
          <m:sub>
            <m:r>
              <w:rPr>
                <w:rFonts w:ascii="Cambria Math" w:hAnsi="Cambria Math" w:cs="Arial"/>
              </w:rPr>
              <m:t>0</m:t>
            </m:r>
          </m:sub>
        </m:sSub>
      </m:oMath>
      <w:r w:rsidRPr="00E0573F">
        <w:rPr>
          <w:rFonts w:ascii="Arial" w:hAnsi="Arial" w:cs="Arial"/>
        </w:rPr>
        <w:t xml:space="preserve"> is the likelihood of the null (constant-only) model </w:t>
      </w:r>
      <m:oMath>
        <m:sSub>
          <m:sSubPr>
            <m:ctrlPr>
              <w:rPr>
                <w:rFonts w:ascii="Cambria Math" w:hAnsi="Cambria Math" w:cs="Arial"/>
                <w:i/>
              </w:rPr>
            </m:ctrlPr>
          </m:sSubPr>
          <m:e>
            <m:r>
              <w:rPr>
                <w:rFonts w:ascii="Cambria Math" w:hAnsi="Cambria Math" w:cs="Arial"/>
              </w:rPr>
              <m:t>L</m:t>
            </m:r>
          </m:e>
          <m:sub>
            <m:r>
              <w:rPr>
                <w:rFonts w:ascii="Cambria Math" w:hAnsi="Cambria Math" w:cs="Arial"/>
              </w:rPr>
              <m:t>M</m:t>
            </m:r>
          </m:sub>
        </m:sSub>
      </m:oMath>
      <w:r w:rsidRPr="00E0573F">
        <w:rPr>
          <w:rFonts w:ascii="Arial" w:hAnsi="Arial" w:cs="Arial"/>
        </w:rPr>
        <w:t xml:space="preserve"> is the likelihood of the fitted (full) model </w:t>
      </w:r>
      <m:oMath>
        <m:r>
          <w:rPr>
            <w:rFonts w:ascii="Cambria Math" w:hAnsi="Cambria Math" w:cs="Arial"/>
          </w:rPr>
          <m:t>n</m:t>
        </m:r>
      </m:oMath>
      <w:r w:rsidRPr="00E0573F">
        <w:rPr>
          <w:rFonts w:ascii="Arial" w:hAnsi="Arial" w:cs="Arial"/>
        </w:rPr>
        <w:t xml:space="preserve"> is the sample size. An alternative expression using −2 Log Li</w:t>
      </w:r>
      <w:r w:rsidR="00301DFF" w:rsidRPr="00E0573F">
        <w:rPr>
          <w:rFonts w:ascii="Arial" w:hAnsi="Arial" w:cs="Arial"/>
        </w:rPr>
        <w:t>kelihood is given by Equation (2</w:t>
      </w:r>
      <w:r w:rsidRPr="00E0573F">
        <w:rPr>
          <w:rFonts w:ascii="Arial" w:hAnsi="Arial" w:cs="Arial"/>
        </w:rPr>
        <w:t>1):</w:t>
      </w:r>
    </w:p>
    <w:p w14:paraId="280A7A14" w14:textId="77777777" w:rsidR="00E0032D" w:rsidRPr="00E0573F" w:rsidRDefault="00000000" w:rsidP="00E0032D">
      <w:pPr>
        <w:jc w:val="both"/>
        <w:rPr>
          <w:rFonts w:ascii="Arial" w:hAnsi="Arial" w:cs="Arial"/>
        </w:rPr>
      </w:pPr>
      <m:oMathPara>
        <m:oMath>
          <m:sSubSup>
            <m:sSubSupPr>
              <m:ctrlPr>
                <w:rPr>
                  <w:rFonts w:ascii="Cambria Math" w:hAnsi="Cambria Math" w:cs="Arial"/>
                  <w:i/>
                </w:rPr>
              </m:ctrlPr>
            </m:sSubSupPr>
            <m:e>
              <m:r>
                <w:rPr>
                  <w:rFonts w:ascii="Cambria Math" w:hAnsi="Cambria Math" w:cs="Arial"/>
                </w:rPr>
                <m:t>R</m:t>
              </m:r>
            </m:e>
            <m:sub>
              <m:r>
                <w:rPr>
                  <w:rFonts w:ascii="Cambria Math" w:hAnsi="Cambria Math" w:cs="Arial"/>
                </w:rPr>
                <m:t>CS</m:t>
              </m:r>
            </m:sub>
            <m:sup>
              <m:r>
                <w:rPr>
                  <w:rFonts w:ascii="Cambria Math" w:hAnsi="Cambria Math" w:cs="Arial"/>
                </w:rPr>
                <m:t>2</m:t>
              </m:r>
            </m:sup>
          </m:sSubSup>
          <m:r>
            <w:rPr>
              <w:rFonts w:ascii="Cambria Math" w:hAnsi="Cambria Math" w:cs="Arial"/>
            </w:rPr>
            <m:t>=1-</m:t>
          </m:r>
          <m:func>
            <m:funcPr>
              <m:ctrlPr>
                <w:rPr>
                  <w:rFonts w:ascii="Cambria Math" w:hAnsi="Cambria Math" w:cs="Arial"/>
                  <w:i/>
                </w:rPr>
              </m:ctrlPr>
            </m:funcPr>
            <m:fName>
              <m:r>
                <m:rPr>
                  <m:sty m:val="p"/>
                </m:rPr>
                <w:rPr>
                  <w:rFonts w:ascii="Cambria Math" w:hAnsi="Cambria Math" w:cs="Arial"/>
                </w:rPr>
                <m:t>exp</m:t>
              </m:r>
            </m:fName>
            <m:e>
              <m:d>
                <m:dPr>
                  <m:ctrlPr>
                    <w:rPr>
                      <w:rFonts w:ascii="Cambria Math" w:hAnsi="Cambria Math" w:cs="Arial"/>
                      <w:i/>
                    </w:rPr>
                  </m:ctrlPr>
                </m:dPr>
                <m:e>
                  <m:f>
                    <m:fPr>
                      <m:ctrlPr>
                        <w:rPr>
                          <w:rFonts w:ascii="Cambria Math" w:hAnsi="Cambria Math" w:cs="Arial"/>
                          <w:i/>
                        </w:rPr>
                      </m:ctrlPr>
                    </m:fPr>
                    <m:num>
                      <m:r>
                        <w:rPr>
                          <w:rFonts w:ascii="Cambria Math" w:hAnsi="Cambria Math" w:cs="Arial"/>
                        </w:rPr>
                        <m:t>-2</m:t>
                      </m:r>
                    </m:num>
                    <m:den>
                      <m:r>
                        <w:rPr>
                          <w:rFonts w:ascii="Cambria Math" w:hAnsi="Cambria Math" w:cs="Arial"/>
                        </w:rPr>
                        <m:t>n</m:t>
                      </m:r>
                    </m:den>
                  </m:f>
                  <m:d>
                    <m:dPr>
                      <m:ctrlPr>
                        <w:rPr>
                          <w:rFonts w:ascii="Cambria Math" w:hAnsi="Cambria Math" w:cs="Arial"/>
                          <w:i/>
                        </w:rPr>
                      </m:ctrlPr>
                    </m:dPr>
                    <m:e>
                      <m:func>
                        <m:funcPr>
                          <m:ctrlPr>
                            <w:rPr>
                              <w:rFonts w:ascii="Cambria Math" w:hAnsi="Cambria Math" w:cs="Arial"/>
                              <w:i/>
                            </w:rPr>
                          </m:ctrlPr>
                        </m:funcPr>
                        <m:fName>
                          <m:r>
                            <m:rPr>
                              <m:sty m:val="p"/>
                            </m:rPr>
                            <w:rPr>
                              <w:rFonts w:ascii="Cambria Math" w:hAnsi="Cambria Math" w:cs="Arial"/>
                            </w:rPr>
                            <m:t>log</m:t>
                          </m:r>
                        </m:fName>
                        <m:e>
                          <m:d>
                            <m:dPr>
                              <m:ctrlPr>
                                <w:rPr>
                                  <w:rFonts w:ascii="Cambria Math" w:hAnsi="Cambria Math" w:cs="Arial"/>
                                  <w:i/>
                                </w:rPr>
                              </m:ctrlPr>
                            </m:dPr>
                            <m:e>
                              <m:sSub>
                                <m:sSubPr>
                                  <m:ctrlPr>
                                    <w:rPr>
                                      <w:rFonts w:ascii="Cambria Math" w:hAnsi="Cambria Math" w:cs="Arial"/>
                                      <w:i/>
                                    </w:rPr>
                                  </m:ctrlPr>
                                </m:sSubPr>
                                <m:e>
                                  <m:r>
                                    <w:rPr>
                                      <w:rFonts w:ascii="Cambria Math" w:hAnsi="Cambria Math" w:cs="Arial"/>
                                    </w:rPr>
                                    <m:t>L</m:t>
                                  </m:r>
                                </m:e>
                                <m:sub>
                                  <m:r>
                                    <w:rPr>
                                      <w:rFonts w:ascii="Cambria Math" w:hAnsi="Cambria Math" w:cs="Arial"/>
                                    </w:rPr>
                                    <m:t>M</m:t>
                                  </m:r>
                                </m:sub>
                              </m:sSub>
                            </m:e>
                          </m:d>
                        </m:e>
                      </m:func>
                      <m:r>
                        <w:rPr>
                          <w:rFonts w:ascii="Cambria Math" w:hAnsi="Cambria Math" w:cs="Arial"/>
                        </w:rPr>
                        <m:t>-</m:t>
                      </m:r>
                      <m:func>
                        <m:funcPr>
                          <m:ctrlPr>
                            <w:rPr>
                              <w:rFonts w:ascii="Cambria Math" w:hAnsi="Cambria Math" w:cs="Arial"/>
                              <w:i/>
                            </w:rPr>
                          </m:ctrlPr>
                        </m:funcPr>
                        <m:fName>
                          <m:r>
                            <m:rPr>
                              <m:sty m:val="p"/>
                            </m:rPr>
                            <w:rPr>
                              <w:rFonts w:ascii="Cambria Math" w:hAnsi="Cambria Math" w:cs="Arial"/>
                            </w:rPr>
                            <m:t>log</m:t>
                          </m:r>
                        </m:fName>
                        <m:e>
                          <m:d>
                            <m:dPr>
                              <m:ctrlPr>
                                <w:rPr>
                                  <w:rFonts w:ascii="Cambria Math" w:hAnsi="Cambria Math" w:cs="Arial"/>
                                  <w:i/>
                                </w:rPr>
                              </m:ctrlPr>
                            </m:dPr>
                            <m:e>
                              <m:sSub>
                                <m:sSubPr>
                                  <m:ctrlPr>
                                    <w:rPr>
                                      <w:rFonts w:ascii="Cambria Math" w:hAnsi="Cambria Math" w:cs="Arial"/>
                                      <w:i/>
                                    </w:rPr>
                                  </m:ctrlPr>
                                </m:sSubPr>
                                <m:e>
                                  <m:r>
                                    <w:rPr>
                                      <w:rFonts w:ascii="Cambria Math" w:hAnsi="Cambria Math" w:cs="Arial"/>
                                    </w:rPr>
                                    <m:t>L</m:t>
                                  </m:r>
                                </m:e>
                                <m:sub>
                                  <m:r>
                                    <w:rPr>
                                      <w:rFonts w:ascii="Cambria Math" w:hAnsi="Cambria Math" w:cs="Arial"/>
                                    </w:rPr>
                                    <m:t>0</m:t>
                                  </m:r>
                                </m:sub>
                              </m:sSub>
                            </m:e>
                          </m:d>
                        </m:e>
                      </m:func>
                    </m:e>
                  </m:d>
                </m:e>
              </m:d>
            </m:e>
          </m:func>
          <m:r>
            <w:rPr>
              <w:rFonts w:ascii="Cambria Math" w:hAnsi="Cambria Math" w:cs="Arial"/>
            </w:rPr>
            <m:t xml:space="preserve">                                                                              (21)</m:t>
          </m:r>
        </m:oMath>
      </m:oMathPara>
    </w:p>
    <w:p w14:paraId="34FA0AE3" w14:textId="77777777" w:rsidR="00E0032D" w:rsidRPr="00E0573F" w:rsidRDefault="00E0032D" w:rsidP="00E0032D">
      <w:pPr>
        <w:jc w:val="both"/>
        <w:rPr>
          <w:rFonts w:ascii="Arial" w:hAnsi="Arial" w:cs="Arial"/>
        </w:rPr>
      </w:pPr>
      <w:r w:rsidRPr="00E0573F">
        <w:rPr>
          <w:rFonts w:ascii="Arial" w:hAnsi="Arial" w:cs="Arial"/>
        </w:rPr>
        <w:t>The key feature of Cox &amp; Snell R² is that it does not reach 1, even for a perfect model (i.e.,</w:t>
      </w:r>
      <m:oMath>
        <m:r>
          <w:rPr>
            <w:rFonts w:ascii="Cambria Math" w:hAnsi="Cambria Math" w:cs="Arial"/>
          </w:rPr>
          <m:t>0≤</m:t>
        </m:r>
        <m:sSubSup>
          <m:sSubSupPr>
            <m:ctrlPr>
              <w:rPr>
                <w:rFonts w:ascii="Cambria Math" w:hAnsi="Cambria Math" w:cs="Arial"/>
                <w:i/>
              </w:rPr>
            </m:ctrlPr>
          </m:sSubSupPr>
          <m:e>
            <m:r>
              <w:rPr>
                <w:rFonts w:ascii="Cambria Math" w:hAnsi="Cambria Math" w:cs="Arial"/>
              </w:rPr>
              <m:t>R</m:t>
            </m:r>
          </m:e>
          <m:sub>
            <m:r>
              <w:rPr>
                <w:rFonts w:ascii="Cambria Math" w:hAnsi="Cambria Math" w:cs="Arial"/>
              </w:rPr>
              <m:t>CS</m:t>
            </m:r>
          </m:sub>
          <m:sup>
            <m:r>
              <w:rPr>
                <w:rFonts w:ascii="Cambria Math" w:hAnsi="Cambria Math" w:cs="Arial"/>
              </w:rPr>
              <m:t>2</m:t>
            </m:r>
          </m:sup>
        </m:sSubSup>
        <m:r>
          <w:rPr>
            <w:rFonts w:ascii="Cambria Math" w:hAnsi="Cambria Math" w:cs="Arial"/>
          </w:rPr>
          <m:t>&lt;1</m:t>
        </m:r>
      </m:oMath>
      <w:r w:rsidRPr="00E0573F">
        <w:rPr>
          <w:rFonts w:ascii="Arial" w:hAnsi="Arial" w:cs="Arial"/>
        </w:rPr>
        <w:t>).</w:t>
      </w:r>
    </w:p>
    <w:p w14:paraId="77807416" w14:textId="77777777" w:rsidR="00E0032D" w:rsidRPr="00E0573F" w:rsidRDefault="00E0032D" w:rsidP="00E0032D">
      <w:pPr>
        <w:jc w:val="both"/>
        <w:rPr>
          <w:rFonts w:ascii="Arial" w:hAnsi="Arial" w:cs="Arial"/>
        </w:rPr>
      </w:pPr>
      <w:r w:rsidRPr="00E0573F">
        <w:rPr>
          <w:rFonts w:ascii="Arial" w:hAnsi="Arial" w:cs="Arial"/>
        </w:rPr>
        <w:t>Nagelkerke R² is an adjusted version of Cox and Snell R² that scales it to the interval [0, 1]:</w:t>
      </w:r>
    </w:p>
    <w:p w14:paraId="15F27717" w14:textId="77777777" w:rsidR="00E0032D" w:rsidRPr="00E0573F" w:rsidRDefault="00000000" w:rsidP="00E0032D">
      <w:pPr>
        <w:jc w:val="both"/>
        <w:rPr>
          <w:rFonts w:ascii="Arial" w:hAnsi="Arial" w:cs="Arial"/>
        </w:rPr>
      </w:pPr>
      <m:oMathPara>
        <m:oMath>
          <m:sSubSup>
            <m:sSubSupPr>
              <m:ctrlPr>
                <w:rPr>
                  <w:rFonts w:ascii="Cambria Math" w:hAnsi="Cambria Math" w:cs="Arial"/>
                  <w:i/>
                </w:rPr>
              </m:ctrlPr>
            </m:sSubSupPr>
            <m:e>
              <m:r>
                <w:rPr>
                  <w:rFonts w:ascii="Cambria Math" w:hAnsi="Cambria Math" w:cs="Arial"/>
                </w:rPr>
                <m:t>R</m:t>
              </m:r>
            </m:e>
            <m:sub>
              <m:r>
                <w:rPr>
                  <w:rFonts w:ascii="Cambria Math" w:hAnsi="Cambria Math" w:cs="Arial"/>
                </w:rPr>
                <m:t>N</m:t>
              </m:r>
            </m:sub>
            <m:sup>
              <m:r>
                <w:rPr>
                  <w:rFonts w:ascii="Cambria Math" w:hAnsi="Cambria Math" w:cs="Arial"/>
                </w:rPr>
                <m:t>2</m:t>
              </m:r>
            </m:sup>
          </m:sSubSup>
          <m:r>
            <w:rPr>
              <w:rFonts w:ascii="Cambria Math" w:hAnsi="Cambria Math" w:cs="Arial"/>
            </w:rPr>
            <m:t>=</m:t>
          </m:r>
          <m:f>
            <m:fPr>
              <m:ctrlPr>
                <w:rPr>
                  <w:rFonts w:ascii="Cambria Math" w:hAnsi="Cambria Math" w:cs="Arial"/>
                  <w:i/>
                </w:rPr>
              </m:ctrlPr>
            </m:fPr>
            <m:num>
              <m:sSubSup>
                <m:sSubSupPr>
                  <m:ctrlPr>
                    <w:rPr>
                      <w:rFonts w:ascii="Cambria Math" w:hAnsi="Cambria Math" w:cs="Arial"/>
                      <w:i/>
                    </w:rPr>
                  </m:ctrlPr>
                </m:sSubSupPr>
                <m:e>
                  <m:r>
                    <w:rPr>
                      <w:rFonts w:ascii="Cambria Math" w:hAnsi="Cambria Math" w:cs="Arial"/>
                    </w:rPr>
                    <m:t>R</m:t>
                  </m:r>
                </m:e>
                <m:sub>
                  <m:r>
                    <w:rPr>
                      <w:rFonts w:ascii="Cambria Math" w:hAnsi="Cambria Math" w:cs="Arial"/>
                    </w:rPr>
                    <m:t>CS</m:t>
                  </m:r>
                </m:sub>
                <m:sup>
                  <m:r>
                    <w:rPr>
                      <w:rFonts w:ascii="Cambria Math" w:hAnsi="Cambria Math" w:cs="Arial"/>
                    </w:rPr>
                    <m:t>2</m:t>
                  </m:r>
                </m:sup>
              </m:sSubSup>
            </m:num>
            <m:den>
              <m:r>
                <w:rPr>
                  <w:rFonts w:ascii="Cambria Math" w:hAnsi="Cambria Math" w:cs="Arial"/>
                </w:rPr>
                <m:t>1-</m:t>
              </m:r>
              <m:sSubSup>
                <m:sSubSupPr>
                  <m:ctrlPr>
                    <w:rPr>
                      <w:rFonts w:ascii="Cambria Math" w:hAnsi="Cambria Math" w:cs="Arial"/>
                      <w:i/>
                    </w:rPr>
                  </m:ctrlPr>
                </m:sSubSupPr>
                <m:e>
                  <m:r>
                    <w:rPr>
                      <w:rFonts w:ascii="Cambria Math" w:hAnsi="Cambria Math" w:cs="Arial"/>
                    </w:rPr>
                    <m:t>L</m:t>
                  </m:r>
                </m:e>
                <m:sub>
                  <m:r>
                    <w:rPr>
                      <w:rFonts w:ascii="Cambria Math" w:hAnsi="Cambria Math" w:cs="Arial"/>
                    </w:rPr>
                    <m:t>0</m:t>
                  </m:r>
                </m:sub>
                <m:sup>
                  <m:box>
                    <m:boxPr>
                      <m:ctrlPr>
                        <w:rPr>
                          <w:rFonts w:ascii="Cambria Math" w:hAnsi="Cambria Math" w:cs="Arial"/>
                          <w:i/>
                        </w:rPr>
                      </m:ctrlPr>
                    </m:boxPr>
                    <m:e>
                      <m:argPr>
                        <m:argSz m:val="-1"/>
                      </m:argPr>
                      <m:f>
                        <m:fPr>
                          <m:ctrlPr>
                            <w:rPr>
                              <w:rFonts w:ascii="Cambria Math" w:hAnsi="Cambria Math" w:cs="Arial"/>
                              <w:i/>
                            </w:rPr>
                          </m:ctrlPr>
                        </m:fPr>
                        <m:num>
                          <m:r>
                            <w:rPr>
                              <w:rFonts w:ascii="Cambria Math" w:hAnsi="Cambria Math" w:cs="Arial"/>
                            </w:rPr>
                            <m:t>2</m:t>
                          </m:r>
                        </m:num>
                        <m:den>
                          <m:r>
                            <w:rPr>
                              <w:rFonts w:ascii="Cambria Math" w:hAnsi="Cambria Math" w:cs="Arial"/>
                            </w:rPr>
                            <m:t>n</m:t>
                          </m:r>
                        </m:den>
                      </m:f>
                    </m:e>
                  </m:box>
                </m:sup>
              </m:sSubSup>
            </m:den>
          </m:f>
          <m:r>
            <w:rPr>
              <w:rFonts w:ascii="Cambria Math" w:hAnsi="Cambria Math" w:cs="Arial"/>
            </w:rPr>
            <m:t xml:space="preserve">                                                                                                                           (22)</m:t>
          </m:r>
        </m:oMath>
      </m:oMathPara>
    </w:p>
    <w:p w14:paraId="11CF7404" w14:textId="77777777" w:rsidR="00E0032D" w:rsidRPr="00E0573F" w:rsidRDefault="00E0032D" w:rsidP="00E0032D">
      <w:pPr>
        <w:jc w:val="both"/>
        <w:rPr>
          <w:rFonts w:ascii="Arial" w:hAnsi="Arial" w:cs="Arial"/>
        </w:rPr>
      </w:pPr>
      <w:r w:rsidRPr="00E0573F">
        <w:rPr>
          <w:rFonts w:ascii="Arial" w:hAnsi="Arial" w:cs="Arial"/>
        </w:rPr>
        <w:t>The expanded form of Nagelkerke R² is given in Equation (23):</w:t>
      </w:r>
    </w:p>
    <w:p w14:paraId="5EA27BF1" w14:textId="77777777" w:rsidR="00E0032D" w:rsidRPr="00E0573F" w:rsidRDefault="00000000" w:rsidP="00E0032D">
      <w:pPr>
        <w:jc w:val="both"/>
        <w:rPr>
          <w:rFonts w:ascii="Arial" w:hAnsi="Arial" w:cs="Arial"/>
        </w:rPr>
      </w:pPr>
      <m:oMathPara>
        <m:oMath>
          <m:sSubSup>
            <m:sSubSupPr>
              <m:ctrlPr>
                <w:rPr>
                  <w:rFonts w:ascii="Cambria Math" w:hAnsi="Cambria Math" w:cs="Arial"/>
                  <w:i/>
                </w:rPr>
              </m:ctrlPr>
            </m:sSubSupPr>
            <m:e>
              <m:r>
                <w:rPr>
                  <w:rFonts w:ascii="Cambria Math" w:hAnsi="Cambria Math" w:cs="Arial"/>
                </w:rPr>
                <m:t>R</m:t>
              </m:r>
            </m:e>
            <m:sub>
              <m:r>
                <w:rPr>
                  <w:rFonts w:ascii="Cambria Math" w:hAnsi="Cambria Math" w:cs="Arial"/>
                </w:rPr>
                <m:t>N</m:t>
              </m:r>
            </m:sub>
            <m:sup>
              <m:r>
                <w:rPr>
                  <w:rFonts w:ascii="Cambria Math" w:hAnsi="Cambria Math" w:cs="Arial"/>
                </w:rPr>
                <m:t>2</m:t>
              </m:r>
            </m:sup>
          </m:sSubSup>
          <m:r>
            <w:rPr>
              <w:rFonts w:ascii="Cambria Math" w:hAnsi="Cambria Math" w:cs="Arial"/>
            </w:rPr>
            <m:t>=</m:t>
          </m:r>
          <m:f>
            <m:fPr>
              <m:ctrlPr>
                <w:rPr>
                  <w:rFonts w:ascii="Cambria Math" w:hAnsi="Cambria Math" w:cs="Arial"/>
                  <w:i/>
                </w:rPr>
              </m:ctrlPr>
            </m:fPr>
            <m:num>
              <m:r>
                <w:rPr>
                  <w:rFonts w:ascii="Cambria Math" w:hAnsi="Cambria Math" w:cs="Arial"/>
                </w:rPr>
                <m:t>1-</m:t>
              </m:r>
              <m:sSup>
                <m:sSupPr>
                  <m:ctrlPr>
                    <w:rPr>
                      <w:rFonts w:ascii="Cambria Math" w:eastAsiaTheme="minorHAnsi" w:hAnsi="Cambria Math" w:cs="Arial"/>
                      <w:i/>
                    </w:rPr>
                  </m:ctrlPr>
                </m:sSupPr>
                <m:e>
                  <m:d>
                    <m:dPr>
                      <m:ctrlPr>
                        <w:rPr>
                          <w:rFonts w:ascii="Cambria Math" w:hAnsi="Cambria Math" w:cs="Arial"/>
                          <w:i/>
                        </w:rPr>
                      </m:ctrlPr>
                    </m:dPr>
                    <m:e>
                      <m:f>
                        <m:fPr>
                          <m:ctrlPr>
                            <w:rPr>
                              <w:rFonts w:ascii="Cambria Math" w:eastAsiaTheme="minorHAnsi" w:hAnsi="Cambria Math" w:cs="Arial"/>
                              <w:i/>
                            </w:rPr>
                          </m:ctrlPr>
                        </m:fPr>
                        <m:num>
                          <m:sSub>
                            <m:sSubPr>
                              <m:ctrlPr>
                                <w:rPr>
                                  <w:rFonts w:ascii="Cambria Math" w:eastAsiaTheme="minorHAnsi" w:hAnsi="Cambria Math" w:cs="Arial"/>
                                  <w:i/>
                                </w:rPr>
                              </m:ctrlPr>
                            </m:sSubPr>
                            <m:e>
                              <m:r>
                                <w:rPr>
                                  <w:rFonts w:ascii="Cambria Math" w:hAnsi="Cambria Math" w:cs="Arial"/>
                                </w:rPr>
                                <m:t>L</m:t>
                              </m:r>
                            </m:e>
                            <m:sub>
                              <m:r>
                                <w:rPr>
                                  <w:rFonts w:ascii="Cambria Math" w:hAnsi="Cambria Math" w:cs="Arial"/>
                                </w:rPr>
                                <m:t>0</m:t>
                              </m:r>
                            </m:sub>
                          </m:sSub>
                        </m:num>
                        <m:den>
                          <m:sSub>
                            <m:sSubPr>
                              <m:ctrlPr>
                                <w:rPr>
                                  <w:rFonts w:ascii="Cambria Math" w:eastAsiaTheme="minorHAnsi" w:hAnsi="Cambria Math" w:cs="Arial"/>
                                  <w:i/>
                                </w:rPr>
                              </m:ctrlPr>
                            </m:sSubPr>
                            <m:e>
                              <m:r>
                                <w:rPr>
                                  <w:rFonts w:ascii="Cambria Math" w:hAnsi="Cambria Math" w:cs="Arial"/>
                                </w:rPr>
                                <m:t>L</m:t>
                              </m:r>
                            </m:e>
                            <m:sub>
                              <m:r>
                                <w:rPr>
                                  <w:rFonts w:ascii="Cambria Math" w:hAnsi="Cambria Math" w:cs="Arial"/>
                                </w:rPr>
                                <m:t>M</m:t>
                              </m:r>
                            </m:sub>
                          </m:sSub>
                        </m:den>
                      </m:f>
                    </m:e>
                  </m:d>
                </m:e>
                <m:sup>
                  <m:f>
                    <m:fPr>
                      <m:type m:val="lin"/>
                      <m:ctrlPr>
                        <w:rPr>
                          <w:rFonts w:ascii="Cambria Math" w:eastAsiaTheme="minorHAnsi" w:hAnsi="Cambria Math" w:cs="Arial"/>
                          <w:i/>
                        </w:rPr>
                      </m:ctrlPr>
                    </m:fPr>
                    <m:num>
                      <m:r>
                        <w:rPr>
                          <w:rFonts w:ascii="Cambria Math" w:hAnsi="Cambria Math" w:cs="Arial"/>
                        </w:rPr>
                        <m:t>2</m:t>
                      </m:r>
                    </m:num>
                    <m:den>
                      <m:r>
                        <w:rPr>
                          <w:rFonts w:ascii="Cambria Math" w:hAnsi="Cambria Math" w:cs="Arial"/>
                        </w:rPr>
                        <m:t>n</m:t>
                      </m:r>
                    </m:den>
                  </m:f>
                </m:sup>
              </m:sSup>
            </m:num>
            <m:den>
              <m:r>
                <w:rPr>
                  <w:rFonts w:ascii="Cambria Math" w:hAnsi="Cambria Math" w:cs="Arial"/>
                </w:rPr>
                <m:t>1-</m:t>
              </m:r>
              <m:sSubSup>
                <m:sSubSupPr>
                  <m:ctrlPr>
                    <w:rPr>
                      <w:rFonts w:ascii="Cambria Math" w:hAnsi="Cambria Math" w:cs="Arial"/>
                      <w:i/>
                    </w:rPr>
                  </m:ctrlPr>
                </m:sSubSupPr>
                <m:e>
                  <m:r>
                    <w:rPr>
                      <w:rFonts w:ascii="Cambria Math" w:hAnsi="Cambria Math" w:cs="Arial"/>
                    </w:rPr>
                    <m:t>L</m:t>
                  </m:r>
                </m:e>
                <m:sub>
                  <m:r>
                    <w:rPr>
                      <w:rFonts w:ascii="Cambria Math" w:hAnsi="Cambria Math" w:cs="Arial"/>
                    </w:rPr>
                    <m:t>0</m:t>
                  </m:r>
                </m:sub>
                <m:sup>
                  <m:box>
                    <m:boxPr>
                      <m:ctrlPr>
                        <w:rPr>
                          <w:rFonts w:ascii="Cambria Math" w:hAnsi="Cambria Math" w:cs="Arial"/>
                          <w:i/>
                        </w:rPr>
                      </m:ctrlPr>
                    </m:boxPr>
                    <m:e>
                      <m:argPr>
                        <m:argSz m:val="-1"/>
                      </m:argPr>
                      <m:f>
                        <m:fPr>
                          <m:ctrlPr>
                            <w:rPr>
                              <w:rFonts w:ascii="Cambria Math" w:hAnsi="Cambria Math" w:cs="Arial"/>
                              <w:i/>
                            </w:rPr>
                          </m:ctrlPr>
                        </m:fPr>
                        <m:num>
                          <m:r>
                            <w:rPr>
                              <w:rFonts w:ascii="Cambria Math" w:hAnsi="Cambria Math" w:cs="Arial"/>
                            </w:rPr>
                            <m:t>2</m:t>
                          </m:r>
                        </m:num>
                        <m:den>
                          <m:r>
                            <w:rPr>
                              <w:rFonts w:ascii="Cambria Math" w:hAnsi="Cambria Math" w:cs="Arial"/>
                            </w:rPr>
                            <m:t>n</m:t>
                          </m:r>
                        </m:den>
                      </m:f>
                    </m:e>
                  </m:box>
                </m:sup>
              </m:sSubSup>
            </m:den>
          </m:f>
          <m:r>
            <w:rPr>
              <w:rFonts w:ascii="Cambria Math" w:hAnsi="Cambria Math" w:cs="Arial"/>
            </w:rPr>
            <m:t xml:space="preserve">                                                                                                           (23)</m:t>
          </m:r>
        </m:oMath>
      </m:oMathPara>
    </w:p>
    <w:p w14:paraId="1A79B920" w14:textId="77777777" w:rsidR="00E0032D" w:rsidRPr="00E0573F" w:rsidRDefault="00E0032D" w:rsidP="00E0032D">
      <w:pPr>
        <w:jc w:val="both"/>
        <w:rPr>
          <w:rFonts w:ascii="Arial" w:hAnsi="Arial" w:cs="Arial"/>
        </w:rPr>
      </w:pPr>
      <w:r w:rsidRPr="00E0573F">
        <w:rPr>
          <w:rFonts w:ascii="Arial" w:hAnsi="Arial" w:cs="Arial"/>
        </w:rPr>
        <w:t>The key property of Nagelkerke R² is that it ranges between 0 and 1 (</w:t>
      </w:r>
      <m:oMath>
        <m:r>
          <w:rPr>
            <w:rFonts w:ascii="Cambria Math" w:hAnsi="Cambria Math" w:cs="Arial"/>
          </w:rPr>
          <m:t>0≤</m:t>
        </m:r>
        <m:sSubSup>
          <m:sSubSupPr>
            <m:ctrlPr>
              <w:rPr>
                <w:rFonts w:ascii="Cambria Math" w:hAnsi="Cambria Math" w:cs="Arial"/>
                <w:i/>
              </w:rPr>
            </m:ctrlPr>
          </m:sSubSupPr>
          <m:e>
            <m:r>
              <w:rPr>
                <w:rFonts w:ascii="Cambria Math" w:hAnsi="Cambria Math" w:cs="Arial"/>
              </w:rPr>
              <m:t>R</m:t>
            </m:r>
          </m:e>
          <m:sub>
            <m:r>
              <w:rPr>
                <w:rFonts w:ascii="Cambria Math" w:hAnsi="Cambria Math" w:cs="Arial"/>
              </w:rPr>
              <m:t>N</m:t>
            </m:r>
          </m:sub>
          <m:sup>
            <m:r>
              <w:rPr>
                <w:rFonts w:ascii="Cambria Math" w:hAnsi="Cambria Math" w:cs="Arial"/>
              </w:rPr>
              <m:t>2</m:t>
            </m:r>
          </m:sup>
        </m:sSubSup>
        <m:r>
          <w:rPr>
            <w:rFonts w:ascii="Cambria Math" w:hAnsi="Cambria Math" w:cs="Arial"/>
          </w:rPr>
          <m:t>≤1</m:t>
        </m:r>
      </m:oMath>
      <w:r w:rsidRPr="00E0573F">
        <w:rPr>
          <w:rFonts w:ascii="Arial" w:hAnsi="Arial" w:cs="Arial"/>
        </w:rPr>
        <w:t xml:space="preserve">). Nagelkerke R² allows comparison with the traditional </w:t>
      </w:r>
      <m:oMath>
        <m:sSup>
          <m:sSupPr>
            <m:ctrlPr>
              <w:rPr>
                <w:rFonts w:ascii="Cambria Math" w:hAnsi="Cambria Math" w:cs="Arial"/>
                <w:i/>
              </w:rPr>
            </m:ctrlPr>
          </m:sSupPr>
          <m:e>
            <m:r>
              <w:rPr>
                <w:rFonts w:ascii="Cambria Math" w:hAnsi="Cambria Math" w:cs="Arial"/>
              </w:rPr>
              <m:t>R</m:t>
            </m:r>
          </m:e>
          <m:sup>
            <m:r>
              <w:rPr>
                <w:rFonts w:ascii="Cambria Math" w:hAnsi="Cambria Math" w:cs="Arial"/>
              </w:rPr>
              <m:t>2</m:t>
            </m:r>
          </m:sup>
        </m:sSup>
      </m:oMath>
      <w:r w:rsidRPr="00E0573F">
        <w:rPr>
          <w:rFonts w:ascii="Arial" w:hAnsi="Arial" w:cs="Arial"/>
        </w:rPr>
        <w:t xml:space="preserve"> used in linear regression</w:t>
      </w:r>
      <w:r w:rsidR="001F3E5F" w:rsidRPr="00E0573F">
        <w:t xml:space="preserve"> (</w:t>
      </w:r>
      <w:r w:rsidR="001F3E5F" w:rsidRPr="00E0573F">
        <w:rPr>
          <w:rFonts w:ascii="Arial" w:hAnsi="Arial" w:cs="Arial"/>
        </w:rPr>
        <w:t>Nagelkerke, 1991)</w:t>
      </w:r>
      <w:r w:rsidRPr="00E0573F">
        <w:rPr>
          <w:rFonts w:ascii="Arial" w:hAnsi="Arial" w:cs="Arial"/>
        </w:rPr>
        <w:t>.</w:t>
      </w:r>
    </w:p>
    <w:p w14:paraId="4ABFBBAB" w14:textId="77777777" w:rsidR="00FF0471" w:rsidRPr="00E0573F" w:rsidRDefault="00FF0471" w:rsidP="00F42BDE">
      <w:pPr>
        <w:pStyle w:val="Body"/>
        <w:spacing w:after="0"/>
        <w:rPr>
          <w:rFonts w:ascii="Arial" w:hAnsi="Arial" w:cs="Arial"/>
        </w:rPr>
      </w:pPr>
    </w:p>
    <w:p w14:paraId="388F6E0E" w14:textId="77777777" w:rsidR="00FF0471" w:rsidRPr="00E0573F" w:rsidRDefault="00FF0471" w:rsidP="00384AC9">
      <w:pPr>
        <w:pStyle w:val="Head1"/>
        <w:spacing w:after="0"/>
        <w:jc w:val="both"/>
        <w:rPr>
          <w:rFonts w:ascii="Arial" w:hAnsi="Arial" w:cs="Arial"/>
        </w:rPr>
      </w:pPr>
      <w:r w:rsidRPr="00E0573F">
        <w:rPr>
          <w:rFonts w:ascii="Arial" w:hAnsi="Arial" w:cs="Arial"/>
        </w:rPr>
        <w:t>3. RESULTS AND DISCUSSION</w:t>
      </w:r>
    </w:p>
    <w:p w14:paraId="717DEE3E" w14:textId="77777777" w:rsidR="0039705F" w:rsidRPr="00E0573F" w:rsidRDefault="000B2241" w:rsidP="00384AC9">
      <w:pPr>
        <w:pStyle w:val="NormalWeb"/>
        <w:spacing w:before="0" w:beforeAutospacing="0" w:after="0" w:afterAutospacing="0"/>
        <w:jc w:val="both"/>
        <w:rPr>
          <w:rFonts w:ascii="Arial" w:hAnsi="Arial" w:cs="Arial"/>
          <w:b/>
          <w:sz w:val="20"/>
          <w:szCs w:val="20"/>
        </w:rPr>
      </w:pPr>
      <w:r w:rsidRPr="00E0573F">
        <w:rPr>
          <w:rFonts w:ascii="Arial" w:hAnsi="Arial" w:cs="Arial"/>
          <w:b/>
          <w:sz w:val="20"/>
          <w:szCs w:val="20"/>
        </w:rPr>
        <w:t>3.1 Prevalence and Risk Factors of Tuberculosis in the Study Area</w:t>
      </w:r>
    </w:p>
    <w:p w14:paraId="0729B497" w14:textId="77777777" w:rsidR="00FF0471" w:rsidRPr="00E0573F" w:rsidRDefault="00FF0471" w:rsidP="00384AC9">
      <w:pPr>
        <w:pStyle w:val="NormalWeb"/>
        <w:spacing w:before="0" w:beforeAutospacing="0" w:after="0" w:afterAutospacing="0"/>
        <w:jc w:val="both"/>
        <w:rPr>
          <w:rFonts w:ascii="Arial" w:hAnsi="Arial" w:cs="Arial"/>
          <w:sz w:val="20"/>
          <w:szCs w:val="20"/>
        </w:rPr>
      </w:pPr>
      <w:r w:rsidRPr="00E0573F">
        <w:rPr>
          <w:rFonts w:ascii="Arial" w:hAnsi="Arial" w:cs="Arial"/>
          <w:sz w:val="20"/>
          <w:szCs w:val="20"/>
        </w:rPr>
        <w:t>Table 1 presents the prevalence of tuberculosis among high-risk populations in Makurdi LGA based on laboratory-confirmed diagnoses. Of the 252 individuals examined in this study, 154 were confirmed to have tuberculosis, while 98 tested negative.</w:t>
      </w:r>
    </w:p>
    <w:p w14:paraId="6601C644" w14:textId="77777777" w:rsidR="00FF0471" w:rsidRPr="00E0573F" w:rsidRDefault="00FF0471" w:rsidP="00FF0471">
      <w:pPr>
        <w:rPr>
          <w:rFonts w:ascii="Arial" w:hAnsi="Arial" w:cs="Arial"/>
          <w:b/>
        </w:rPr>
      </w:pPr>
      <w:r w:rsidRPr="00E0573F">
        <w:rPr>
          <w:rFonts w:ascii="Arial" w:hAnsi="Arial" w:cs="Arial"/>
          <w:b/>
        </w:rPr>
        <w:t>Table 1: Prevalence of Tuberculosis among High-Risk Populations in Makurdi LGA</w:t>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803"/>
        <w:gridCol w:w="2808"/>
        <w:gridCol w:w="2813"/>
      </w:tblGrid>
      <w:tr w:rsidR="00FF0471" w:rsidRPr="00E0573F" w14:paraId="16E5599A" w14:textId="77777777" w:rsidTr="00382EB1">
        <w:tc>
          <w:tcPr>
            <w:tcW w:w="2803" w:type="dxa"/>
            <w:tcBorders>
              <w:top w:val="single" w:sz="4" w:space="0" w:color="auto"/>
              <w:bottom w:val="single" w:sz="4" w:space="0" w:color="auto"/>
            </w:tcBorders>
            <w:vAlign w:val="center"/>
          </w:tcPr>
          <w:p w14:paraId="6D200E7E" w14:textId="77777777" w:rsidR="00FF0471" w:rsidRPr="00E0573F" w:rsidRDefault="00FF0471" w:rsidP="00D13387">
            <w:pPr>
              <w:jc w:val="center"/>
              <w:rPr>
                <w:rFonts w:ascii="Arial" w:hAnsi="Arial" w:cs="Arial"/>
                <w:b/>
                <w:bCs/>
              </w:rPr>
            </w:pPr>
            <w:r w:rsidRPr="00E0573F">
              <w:rPr>
                <w:rFonts w:ascii="Arial" w:hAnsi="Arial" w:cs="Arial"/>
                <w:b/>
                <w:bCs/>
              </w:rPr>
              <w:t>TB Diagnosis Status</w:t>
            </w:r>
          </w:p>
        </w:tc>
        <w:tc>
          <w:tcPr>
            <w:tcW w:w="2808" w:type="dxa"/>
            <w:tcBorders>
              <w:top w:val="single" w:sz="4" w:space="0" w:color="auto"/>
              <w:bottom w:val="single" w:sz="4" w:space="0" w:color="auto"/>
            </w:tcBorders>
            <w:vAlign w:val="center"/>
          </w:tcPr>
          <w:p w14:paraId="01D8F848" w14:textId="77777777" w:rsidR="00FF0471" w:rsidRPr="00E0573F" w:rsidRDefault="00FF0471" w:rsidP="00D13387">
            <w:pPr>
              <w:jc w:val="center"/>
              <w:rPr>
                <w:rFonts w:ascii="Arial" w:hAnsi="Arial" w:cs="Arial"/>
                <w:b/>
                <w:bCs/>
              </w:rPr>
            </w:pPr>
            <w:r w:rsidRPr="00E0573F">
              <w:rPr>
                <w:rFonts w:ascii="Arial" w:hAnsi="Arial" w:cs="Arial"/>
                <w:b/>
                <w:bCs/>
              </w:rPr>
              <w:t>Frequency (n)</w:t>
            </w:r>
          </w:p>
        </w:tc>
        <w:tc>
          <w:tcPr>
            <w:tcW w:w="2813" w:type="dxa"/>
            <w:tcBorders>
              <w:top w:val="single" w:sz="4" w:space="0" w:color="auto"/>
              <w:bottom w:val="single" w:sz="4" w:space="0" w:color="auto"/>
            </w:tcBorders>
            <w:vAlign w:val="center"/>
          </w:tcPr>
          <w:p w14:paraId="7BB9830C" w14:textId="77777777" w:rsidR="00FF0471" w:rsidRPr="00E0573F" w:rsidRDefault="00FF0471" w:rsidP="00D13387">
            <w:pPr>
              <w:jc w:val="center"/>
              <w:rPr>
                <w:rFonts w:ascii="Arial" w:hAnsi="Arial" w:cs="Arial"/>
                <w:b/>
                <w:bCs/>
              </w:rPr>
            </w:pPr>
            <w:r w:rsidRPr="00E0573F">
              <w:rPr>
                <w:rFonts w:ascii="Arial" w:hAnsi="Arial" w:cs="Arial"/>
                <w:b/>
                <w:bCs/>
              </w:rPr>
              <w:t>Percentage (%)</w:t>
            </w:r>
          </w:p>
        </w:tc>
      </w:tr>
      <w:tr w:rsidR="00FF0471" w:rsidRPr="00E0573F" w14:paraId="5CEA21B6" w14:textId="77777777" w:rsidTr="00382EB1">
        <w:tc>
          <w:tcPr>
            <w:tcW w:w="2803" w:type="dxa"/>
            <w:tcBorders>
              <w:top w:val="single" w:sz="4" w:space="0" w:color="auto"/>
            </w:tcBorders>
            <w:vAlign w:val="center"/>
          </w:tcPr>
          <w:p w14:paraId="77AB2542" w14:textId="77777777" w:rsidR="00FF0471" w:rsidRPr="00E0573F" w:rsidRDefault="00FF0471" w:rsidP="00D13387">
            <w:pPr>
              <w:rPr>
                <w:rFonts w:ascii="Arial" w:hAnsi="Arial" w:cs="Arial"/>
              </w:rPr>
            </w:pPr>
            <w:r w:rsidRPr="00E0573F">
              <w:rPr>
                <w:rFonts w:ascii="Arial" w:hAnsi="Arial" w:cs="Arial"/>
              </w:rPr>
              <w:t>Confirmed TB</w:t>
            </w:r>
          </w:p>
        </w:tc>
        <w:tc>
          <w:tcPr>
            <w:tcW w:w="2808" w:type="dxa"/>
            <w:tcBorders>
              <w:top w:val="single" w:sz="4" w:space="0" w:color="auto"/>
            </w:tcBorders>
            <w:vAlign w:val="center"/>
          </w:tcPr>
          <w:p w14:paraId="7BC15DA4" w14:textId="77777777" w:rsidR="00FF0471" w:rsidRPr="00E0573F" w:rsidRDefault="00FF0471" w:rsidP="00D13387">
            <w:pPr>
              <w:jc w:val="center"/>
              <w:rPr>
                <w:rFonts w:ascii="Arial" w:hAnsi="Arial" w:cs="Arial"/>
              </w:rPr>
            </w:pPr>
            <w:r w:rsidRPr="00E0573F">
              <w:rPr>
                <w:rFonts w:ascii="Arial" w:hAnsi="Arial" w:cs="Arial"/>
              </w:rPr>
              <w:t>154</w:t>
            </w:r>
          </w:p>
        </w:tc>
        <w:tc>
          <w:tcPr>
            <w:tcW w:w="2813" w:type="dxa"/>
            <w:tcBorders>
              <w:top w:val="single" w:sz="4" w:space="0" w:color="auto"/>
            </w:tcBorders>
            <w:vAlign w:val="center"/>
          </w:tcPr>
          <w:p w14:paraId="443268C5" w14:textId="77777777" w:rsidR="00FF0471" w:rsidRPr="00E0573F" w:rsidRDefault="00FF0471" w:rsidP="00D13387">
            <w:pPr>
              <w:jc w:val="center"/>
              <w:rPr>
                <w:rFonts w:ascii="Arial" w:hAnsi="Arial" w:cs="Arial"/>
              </w:rPr>
            </w:pPr>
            <w:r w:rsidRPr="00E0573F">
              <w:rPr>
                <w:rFonts w:ascii="Arial" w:hAnsi="Arial" w:cs="Arial"/>
              </w:rPr>
              <w:t>61.1</w:t>
            </w:r>
          </w:p>
        </w:tc>
      </w:tr>
      <w:tr w:rsidR="00FF0471" w:rsidRPr="00E0573F" w14:paraId="1A996290" w14:textId="77777777" w:rsidTr="00382EB1">
        <w:tc>
          <w:tcPr>
            <w:tcW w:w="2803" w:type="dxa"/>
            <w:vAlign w:val="center"/>
          </w:tcPr>
          <w:p w14:paraId="1D1C1C49" w14:textId="77777777" w:rsidR="00FF0471" w:rsidRPr="00E0573F" w:rsidRDefault="00FF0471" w:rsidP="00D13387">
            <w:pPr>
              <w:rPr>
                <w:rFonts w:ascii="Arial" w:hAnsi="Arial" w:cs="Arial"/>
              </w:rPr>
            </w:pPr>
            <w:r w:rsidRPr="00E0573F">
              <w:rPr>
                <w:rFonts w:ascii="Arial" w:hAnsi="Arial" w:cs="Arial"/>
              </w:rPr>
              <w:t>Not Confirmed TB</w:t>
            </w:r>
          </w:p>
        </w:tc>
        <w:tc>
          <w:tcPr>
            <w:tcW w:w="2808" w:type="dxa"/>
            <w:vAlign w:val="center"/>
          </w:tcPr>
          <w:p w14:paraId="5A75D5D7" w14:textId="77777777" w:rsidR="00FF0471" w:rsidRPr="00E0573F" w:rsidRDefault="00FF0471" w:rsidP="00D13387">
            <w:pPr>
              <w:jc w:val="center"/>
              <w:rPr>
                <w:rFonts w:ascii="Arial" w:hAnsi="Arial" w:cs="Arial"/>
              </w:rPr>
            </w:pPr>
            <w:r w:rsidRPr="00E0573F">
              <w:rPr>
                <w:rFonts w:ascii="Arial" w:hAnsi="Arial" w:cs="Arial"/>
              </w:rPr>
              <w:t>98</w:t>
            </w:r>
          </w:p>
        </w:tc>
        <w:tc>
          <w:tcPr>
            <w:tcW w:w="2813" w:type="dxa"/>
            <w:vAlign w:val="center"/>
          </w:tcPr>
          <w:p w14:paraId="75997138" w14:textId="77777777" w:rsidR="00FF0471" w:rsidRPr="00E0573F" w:rsidRDefault="00FF0471" w:rsidP="00D13387">
            <w:pPr>
              <w:jc w:val="center"/>
              <w:rPr>
                <w:rFonts w:ascii="Arial" w:hAnsi="Arial" w:cs="Arial"/>
              </w:rPr>
            </w:pPr>
            <w:r w:rsidRPr="00E0573F">
              <w:rPr>
                <w:rFonts w:ascii="Arial" w:hAnsi="Arial" w:cs="Arial"/>
              </w:rPr>
              <w:t>38.9</w:t>
            </w:r>
          </w:p>
        </w:tc>
      </w:tr>
      <w:tr w:rsidR="00FF0471" w:rsidRPr="00E0573F" w14:paraId="016D6467" w14:textId="77777777" w:rsidTr="00382EB1">
        <w:tc>
          <w:tcPr>
            <w:tcW w:w="2803" w:type="dxa"/>
            <w:vAlign w:val="center"/>
          </w:tcPr>
          <w:p w14:paraId="0966F37A" w14:textId="77777777" w:rsidR="00FF0471" w:rsidRPr="00E0573F" w:rsidRDefault="00FF0471" w:rsidP="00D13387">
            <w:pPr>
              <w:jc w:val="center"/>
              <w:rPr>
                <w:rFonts w:ascii="Arial" w:hAnsi="Arial" w:cs="Arial"/>
              </w:rPr>
            </w:pPr>
            <w:r w:rsidRPr="00E0573F">
              <w:rPr>
                <w:rFonts w:ascii="Arial" w:hAnsi="Arial" w:cs="Arial"/>
                <w:b/>
                <w:bCs/>
              </w:rPr>
              <w:t>Total</w:t>
            </w:r>
          </w:p>
        </w:tc>
        <w:tc>
          <w:tcPr>
            <w:tcW w:w="2808" w:type="dxa"/>
            <w:vAlign w:val="center"/>
          </w:tcPr>
          <w:p w14:paraId="4D973589" w14:textId="77777777" w:rsidR="00FF0471" w:rsidRPr="00E0573F" w:rsidRDefault="00FF0471" w:rsidP="00D13387">
            <w:pPr>
              <w:jc w:val="center"/>
              <w:rPr>
                <w:rFonts w:ascii="Arial" w:hAnsi="Arial" w:cs="Arial"/>
              </w:rPr>
            </w:pPr>
            <w:r w:rsidRPr="00E0573F">
              <w:rPr>
                <w:rFonts w:ascii="Arial" w:hAnsi="Arial" w:cs="Arial"/>
                <w:b/>
                <w:bCs/>
              </w:rPr>
              <w:t>252</w:t>
            </w:r>
          </w:p>
        </w:tc>
        <w:tc>
          <w:tcPr>
            <w:tcW w:w="2813" w:type="dxa"/>
            <w:vAlign w:val="center"/>
          </w:tcPr>
          <w:p w14:paraId="3CED94AC" w14:textId="77777777" w:rsidR="00FF0471" w:rsidRPr="00E0573F" w:rsidRDefault="00FF0471" w:rsidP="00D13387">
            <w:pPr>
              <w:jc w:val="center"/>
              <w:rPr>
                <w:rFonts w:ascii="Arial" w:hAnsi="Arial" w:cs="Arial"/>
              </w:rPr>
            </w:pPr>
            <w:r w:rsidRPr="00E0573F">
              <w:rPr>
                <w:rFonts w:ascii="Arial" w:hAnsi="Arial" w:cs="Arial"/>
                <w:b/>
                <w:bCs/>
              </w:rPr>
              <w:t>100.0</w:t>
            </w:r>
          </w:p>
        </w:tc>
      </w:tr>
    </w:tbl>
    <w:p w14:paraId="5CB175B2" w14:textId="77777777" w:rsidR="00382EB1" w:rsidRPr="00E0573F" w:rsidRDefault="00382EB1" w:rsidP="00382EB1">
      <w:pPr>
        <w:pStyle w:val="NormalWeb"/>
        <w:spacing w:after="0" w:afterAutospacing="0"/>
        <w:jc w:val="both"/>
        <w:rPr>
          <w:rFonts w:ascii="Arial" w:hAnsi="Arial" w:cs="Arial"/>
          <w:sz w:val="20"/>
          <w:szCs w:val="20"/>
        </w:rPr>
      </w:pPr>
      <w:r w:rsidRPr="00E0573F">
        <w:rPr>
          <w:rFonts w:ascii="Arial" w:hAnsi="Arial" w:cs="Arial"/>
          <w:sz w:val="20"/>
          <w:szCs w:val="20"/>
        </w:rPr>
        <w:t>The results the prevalence of TB among high-risk populations in Makurdi LGA of Benue state reported in Table 1 show that 154(61.1%) of the respondents were confirmed to be positive for tuberculosis, while 98(38.9%) tested negative. This finding indicates a high prevalence of tuberculosis among the high-risk population in Makurdi LGA. The high burden of TB observed in this study indicates the persistent public health challenge posed by tuberculosis in the area. It suggests ongoing transmission, likely driven by factors such as overcrowding, poor ventilation, low socio-economic status, inadequate nutrition, and co-morbid conditions such as HIV. This result highlights the urgent need for strengthened TB control measures, early case detection, and improved access to effective treatment services within the study population.</w:t>
      </w:r>
    </w:p>
    <w:p w14:paraId="1EFD02F0" w14:textId="77777777" w:rsidR="00FF0471" w:rsidRPr="00E0573F" w:rsidRDefault="00FF0471" w:rsidP="00384AC9">
      <w:pPr>
        <w:pStyle w:val="NormalWeb"/>
        <w:spacing w:after="0" w:afterAutospacing="0"/>
        <w:jc w:val="both"/>
        <w:rPr>
          <w:rFonts w:ascii="Arial" w:hAnsi="Arial" w:cs="Arial"/>
          <w:sz w:val="20"/>
          <w:szCs w:val="20"/>
        </w:rPr>
      </w:pPr>
      <w:r w:rsidRPr="00E0573F">
        <w:rPr>
          <w:rFonts w:ascii="Arial" w:hAnsi="Arial" w:cs="Arial"/>
          <w:sz w:val="20"/>
          <w:szCs w:val="20"/>
        </w:rPr>
        <w:t>The results on the prevalence of TB among high-risk populations in Makurdi LGA, Benue State, reported in Table 1 show that 154 (61.1%) respondents were confirmed to be positive for tuberculosis, while 98 (38.9%) tested negative. This finding indicates a high prevalence of tuberculosis among the high-risk population in Makurdi LGA. The observed burden of TB demonstrates the continuing public health challenge posed by tuberculosis in the area. It suggests ongoing transmission, potentially driven by factors such as overcrowding, poor ventilation, low socio-economic status, inadequate nutrition, and comorbid conditions such as HIV. This result highlights the need for strengthened TB control measures, early case detection, and improved access to effective treatment services within the study population.</w:t>
      </w:r>
    </w:p>
    <w:p w14:paraId="6B6664E3" w14:textId="77777777" w:rsidR="00FF0471" w:rsidRPr="00E0573F" w:rsidRDefault="00FF0471" w:rsidP="00FF0471">
      <w:pPr>
        <w:rPr>
          <w:rFonts w:ascii="Arial" w:hAnsi="Arial" w:cs="Arial"/>
          <w:b/>
        </w:rPr>
      </w:pPr>
      <w:r w:rsidRPr="00E0573F">
        <w:rPr>
          <w:rFonts w:ascii="Arial" w:hAnsi="Arial" w:cs="Arial"/>
          <w:b/>
        </w:rPr>
        <w:t>Table 2: Socio-Demographic Risk Factors of Tuberculosis (n = 252)</w:t>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1486"/>
        <w:gridCol w:w="1801"/>
        <w:gridCol w:w="2191"/>
        <w:gridCol w:w="966"/>
      </w:tblGrid>
      <w:tr w:rsidR="00FF0471" w:rsidRPr="00E0573F" w14:paraId="16CE14AF" w14:textId="77777777" w:rsidTr="00382EB1">
        <w:tc>
          <w:tcPr>
            <w:tcW w:w="1980" w:type="dxa"/>
            <w:tcBorders>
              <w:top w:val="single" w:sz="4" w:space="0" w:color="auto"/>
              <w:bottom w:val="single" w:sz="4" w:space="0" w:color="auto"/>
            </w:tcBorders>
            <w:vAlign w:val="center"/>
          </w:tcPr>
          <w:p w14:paraId="52393F0A" w14:textId="77777777" w:rsidR="00FF0471" w:rsidRPr="00E0573F" w:rsidRDefault="00FF0471" w:rsidP="00D13387">
            <w:pPr>
              <w:jc w:val="center"/>
              <w:rPr>
                <w:rFonts w:ascii="Arial" w:hAnsi="Arial" w:cs="Arial"/>
                <w:b/>
                <w:bCs/>
              </w:rPr>
            </w:pPr>
            <w:r w:rsidRPr="00E0573F">
              <w:rPr>
                <w:rFonts w:ascii="Arial" w:hAnsi="Arial" w:cs="Arial"/>
                <w:b/>
                <w:bCs/>
              </w:rPr>
              <w:t>Variable</w:t>
            </w:r>
          </w:p>
        </w:tc>
        <w:tc>
          <w:tcPr>
            <w:tcW w:w="1486" w:type="dxa"/>
            <w:tcBorders>
              <w:top w:val="single" w:sz="4" w:space="0" w:color="auto"/>
              <w:bottom w:val="single" w:sz="4" w:space="0" w:color="auto"/>
            </w:tcBorders>
            <w:vAlign w:val="center"/>
          </w:tcPr>
          <w:p w14:paraId="79345618" w14:textId="77777777" w:rsidR="00FF0471" w:rsidRPr="00E0573F" w:rsidRDefault="00FF0471" w:rsidP="00D13387">
            <w:pPr>
              <w:jc w:val="center"/>
              <w:rPr>
                <w:rFonts w:ascii="Arial" w:hAnsi="Arial" w:cs="Arial"/>
                <w:b/>
                <w:bCs/>
              </w:rPr>
            </w:pPr>
            <w:r w:rsidRPr="00E0573F">
              <w:rPr>
                <w:rFonts w:ascii="Arial" w:hAnsi="Arial" w:cs="Arial"/>
                <w:b/>
                <w:bCs/>
              </w:rPr>
              <w:t>Category</w:t>
            </w:r>
          </w:p>
        </w:tc>
        <w:tc>
          <w:tcPr>
            <w:tcW w:w="1801" w:type="dxa"/>
            <w:tcBorders>
              <w:top w:val="single" w:sz="4" w:space="0" w:color="auto"/>
              <w:bottom w:val="single" w:sz="4" w:space="0" w:color="auto"/>
            </w:tcBorders>
            <w:vAlign w:val="center"/>
          </w:tcPr>
          <w:p w14:paraId="67D7D366" w14:textId="77777777" w:rsidR="00FF0471" w:rsidRPr="00E0573F" w:rsidRDefault="00FF0471" w:rsidP="00D13387">
            <w:pPr>
              <w:jc w:val="center"/>
              <w:rPr>
                <w:rFonts w:ascii="Arial" w:hAnsi="Arial" w:cs="Arial"/>
                <w:b/>
                <w:bCs/>
              </w:rPr>
            </w:pPr>
            <w:r w:rsidRPr="00E0573F">
              <w:rPr>
                <w:rFonts w:ascii="Arial" w:hAnsi="Arial" w:cs="Arial"/>
                <w:b/>
                <w:bCs/>
              </w:rPr>
              <w:t>Confirmed TB n (%)</w:t>
            </w:r>
          </w:p>
        </w:tc>
        <w:tc>
          <w:tcPr>
            <w:tcW w:w="2191" w:type="dxa"/>
            <w:tcBorders>
              <w:top w:val="single" w:sz="4" w:space="0" w:color="auto"/>
              <w:bottom w:val="single" w:sz="4" w:space="0" w:color="auto"/>
            </w:tcBorders>
            <w:vAlign w:val="center"/>
          </w:tcPr>
          <w:p w14:paraId="5DD5D37C" w14:textId="77777777" w:rsidR="00FF0471" w:rsidRPr="00E0573F" w:rsidRDefault="00FF0471" w:rsidP="00D13387">
            <w:pPr>
              <w:jc w:val="center"/>
              <w:rPr>
                <w:rFonts w:ascii="Arial" w:hAnsi="Arial" w:cs="Arial"/>
                <w:b/>
                <w:bCs/>
              </w:rPr>
            </w:pPr>
            <w:r w:rsidRPr="00E0573F">
              <w:rPr>
                <w:rFonts w:ascii="Arial" w:hAnsi="Arial" w:cs="Arial"/>
                <w:b/>
                <w:bCs/>
              </w:rPr>
              <w:t>Not Confirmed TB n (%)</w:t>
            </w:r>
          </w:p>
        </w:tc>
        <w:tc>
          <w:tcPr>
            <w:tcW w:w="966" w:type="dxa"/>
            <w:tcBorders>
              <w:top w:val="single" w:sz="4" w:space="0" w:color="auto"/>
              <w:bottom w:val="single" w:sz="4" w:space="0" w:color="auto"/>
            </w:tcBorders>
            <w:vAlign w:val="center"/>
          </w:tcPr>
          <w:p w14:paraId="6F1F174F" w14:textId="77777777" w:rsidR="00FF0471" w:rsidRPr="00E0573F" w:rsidRDefault="00FF0471" w:rsidP="00D13387">
            <w:pPr>
              <w:jc w:val="center"/>
              <w:rPr>
                <w:rFonts w:ascii="Arial" w:hAnsi="Arial" w:cs="Arial"/>
                <w:b/>
                <w:bCs/>
              </w:rPr>
            </w:pPr>
            <w:r w:rsidRPr="00E0573F">
              <w:rPr>
                <w:rFonts w:ascii="Arial" w:hAnsi="Arial" w:cs="Arial"/>
                <w:b/>
                <w:bCs/>
              </w:rPr>
              <w:t>Total</w:t>
            </w:r>
          </w:p>
        </w:tc>
      </w:tr>
      <w:tr w:rsidR="00FF0471" w:rsidRPr="00E0573F" w14:paraId="364E1E8C" w14:textId="77777777" w:rsidTr="00382EB1">
        <w:tc>
          <w:tcPr>
            <w:tcW w:w="1980" w:type="dxa"/>
            <w:vMerge w:val="restart"/>
            <w:tcBorders>
              <w:top w:val="single" w:sz="4" w:space="0" w:color="auto"/>
            </w:tcBorders>
            <w:vAlign w:val="center"/>
          </w:tcPr>
          <w:p w14:paraId="7AFC2F19" w14:textId="77777777" w:rsidR="00FF0471" w:rsidRPr="00E0573F" w:rsidRDefault="00FF0471" w:rsidP="00D13387">
            <w:pPr>
              <w:jc w:val="center"/>
              <w:rPr>
                <w:rFonts w:ascii="Arial" w:hAnsi="Arial" w:cs="Arial"/>
              </w:rPr>
            </w:pPr>
            <w:r w:rsidRPr="00E0573F">
              <w:rPr>
                <w:rFonts w:ascii="Arial" w:hAnsi="Arial" w:cs="Arial"/>
                <w:bCs/>
              </w:rPr>
              <w:t>Age Group (years)</w:t>
            </w:r>
          </w:p>
        </w:tc>
        <w:tc>
          <w:tcPr>
            <w:tcW w:w="1486" w:type="dxa"/>
            <w:tcBorders>
              <w:top w:val="single" w:sz="4" w:space="0" w:color="auto"/>
            </w:tcBorders>
            <w:vAlign w:val="center"/>
          </w:tcPr>
          <w:p w14:paraId="37A7D4C2" w14:textId="77777777" w:rsidR="00FF0471" w:rsidRPr="00E0573F" w:rsidRDefault="00FF0471" w:rsidP="00D13387">
            <w:pPr>
              <w:jc w:val="center"/>
              <w:rPr>
                <w:rFonts w:ascii="Arial" w:hAnsi="Arial" w:cs="Arial"/>
              </w:rPr>
            </w:pPr>
            <w:r w:rsidRPr="00E0573F">
              <w:rPr>
                <w:rFonts w:ascii="Arial" w:hAnsi="Arial" w:cs="Arial"/>
              </w:rPr>
              <w:t>&lt; 30</w:t>
            </w:r>
          </w:p>
        </w:tc>
        <w:tc>
          <w:tcPr>
            <w:tcW w:w="1801" w:type="dxa"/>
            <w:tcBorders>
              <w:top w:val="single" w:sz="4" w:space="0" w:color="auto"/>
            </w:tcBorders>
            <w:vAlign w:val="center"/>
          </w:tcPr>
          <w:p w14:paraId="3C99E7ED" w14:textId="77777777" w:rsidR="00FF0471" w:rsidRPr="00E0573F" w:rsidRDefault="00FF0471" w:rsidP="00D13387">
            <w:pPr>
              <w:jc w:val="center"/>
              <w:rPr>
                <w:rFonts w:ascii="Arial" w:hAnsi="Arial" w:cs="Arial"/>
              </w:rPr>
            </w:pPr>
            <w:r w:rsidRPr="00E0573F">
              <w:rPr>
                <w:rFonts w:ascii="Arial" w:hAnsi="Arial" w:cs="Arial"/>
              </w:rPr>
              <w:t>34 (22.1)</w:t>
            </w:r>
          </w:p>
        </w:tc>
        <w:tc>
          <w:tcPr>
            <w:tcW w:w="2191" w:type="dxa"/>
            <w:tcBorders>
              <w:top w:val="single" w:sz="4" w:space="0" w:color="auto"/>
            </w:tcBorders>
            <w:vAlign w:val="center"/>
          </w:tcPr>
          <w:p w14:paraId="77633394" w14:textId="77777777" w:rsidR="00FF0471" w:rsidRPr="00E0573F" w:rsidRDefault="00FF0471" w:rsidP="00D13387">
            <w:pPr>
              <w:jc w:val="center"/>
              <w:rPr>
                <w:rFonts w:ascii="Arial" w:hAnsi="Arial" w:cs="Arial"/>
              </w:rPr>
            </w:pPr>
            <w:r w:rsidRPr="00E0573F">
              <w:rPr>
                <w:rFonts w:ascii="Arial" w:hAnsi="Arial" w:cs="Arial"/>
              </w:rPr>
              <w:t>41 (41.8)</w:t>
            </w:r>
          </w:p>
        </w:tc>
        <w:tc>
          <w:tcPr>
            <w:tcW w:w="966" w:type="dxa"/>
            <w:tcBorders>
              <w:top w:val="single" w:sz="4" w:space="0" w:color="auto"/>
            </w:tcBorders>
            <w:vAlign w:val="center"/>
          </w:tcPr>
          <w:p w14:paraId="33BEB5B8" w14:textId="77777777" w:rsidR="00FF0471" w:rsidRPr="00E0573F" w:rsidRDefault="00FF0471" w:rsidP="00D13387">
            <w:pPr>
              <w:jc w:val="center"/>
              <w:rPr>
                <w:rFonts w:ascii="Arial" w:hAnsi="Arial" w:cs="Arial"/>
              </w:rPr>
            </w:pPr>
            <w:r w:rsidRPr="00E0573F">
              <w:rPr>
                <w:rFonts w:ascii="Arial" w:hAnsi="Arial" w:cs="Arial"/>
              </w:rPr>
              <w:t>75</w:t>
            </w:r>
          </w:p>
        </w:tc>
      </w:tr>
      <w:tr w:rsidR="00FF0471" w:rsidRPr="00E0573F" w14:paraId="136B5F57" w14:textId="77777777" w:rsidTr="00382EB1">
        <w:tc>
          <w:tcPr>
            <w:tcW w:w="1980" w:type="dxa"/>
            <w:vMerge/>
            <w:vAlign w:val="center"/>
          </w:tcPr>
          <w:p w14:paraId="6DF6BE5E" w14:textId="77777777" w:rsidR="00FF0471" w:rsidRPr="00E0573F" w:rsidRDefault="00FF0471" w:rsidP="00D13387">
            <w:pPr>
              <w:jc w:val="center"/>
              <w:rPr>
                <w:rFonts w:ascii="Arial" w:hAnsi="Arial" w:cs="Arial"/>
              </w:rPr>
            </w:pPr>
          </w:p>
        </w:tc>
        <w:tc>
          <w:tcPr>
            <w:tcW w:w="1486" w:type="dxa"/>
            <w:vAlign w:val="center"/>
          </w:tcPr>
          <w:p w14:paraId="2DF2105D" w14:textId="77777777" w:rsidR="00FF0471" w:rsidRPr="00E0573F" w:rsidRDefault="00FF0471" w:rsidP="00D13387">
            <w:pPr>
              <w:jc w:val="center"/>
              <w:rPr>
                <w:rFonts w:ascii="Arial" w:hAnsi="Arial" w:cs="Arial"/>
              </w:rPr>
            </w:pPr>
            <w:r w:rsidRPr="00E0573F">
              <w:rPr>
                <w:rFonts w:ascii="Arial" w:hAnsi="Arial" w:cs="Arial"/>
              </w:rPr>
              <w:t>30–49</w:t>
            </w:r>
          </w:p>
        </w:tc>
        <w:tc>
          <w:tcPr>
            <w:tcW w:w="1801" w:type="dxa"/>
            <w:vAlign w:val="center"/>
          </w:tcPr>
          <w:p w14:paraId="3A6A8F23" w14:textId="77777777" w:rsidR="00FF0471" w:rsidRPr="00E0573F" w:rsidRDefault="00FF0471" w:rsidP="00D13387">
            <w:pPr>
              <w:jc w:val="center"/>
              <w:rPr>
                <w:rFonts w:ascii="Arial" w:hAnsi="Arial" w:cs="Arial"/>
              </w:rPr>
            </w:pPr>
            <w:r w:rsidRPr="00E0573F">
              <w:rPr>
                <w:rFonts w:ascii="Arial" w:hAnsi="Arial" w:cs="Arial"/>
              </w:rPr>
              <w:t>68 (44.2)</w:t>
            </w:r>
          </w:p>
        </w:tc>
        <w:tc>
          <w:tcPr>
            <w:tcW w:w="2191" w:type="dxa"/>
            <w:vAlign w:val="center"/>
          </w:tcPr>
          <w:p w14:paraId="2501F2E8" w14:textId="77777777" w:rsidR="00FF0471" w:rsidRPr="00E0573F" w:rsidRDefault="00FF0471" w:rsidP="00D13387">
            <w:pPr>
              <w:jc w:val="center"/>
              <w:rPr>
                <w:rFonts w:ascii="Arial" w:hAnsi="Arial" w:cs="Arial"/>
              </w:rPr>
            </w:pPr>
            <w:r w:rsidRPr="00E0573F">
              <w:rPr>
                <w:rFonts w:ascii="Arial" w:hAnsi="Arial" w:cs="Arial"/>
              </w:rPr>
              <w:t>36 (36.7)</w:t>
            </w:r>
          </w:p>
        </w:tc>
        <w:tc>
          <w:tcPr>
            <w:tcW w:w="966" w:type="dxa"/>
            <w:vAlign w:val="center"/>
          </w:tcPr>
          <w:p w14:paraId="56D062CE" w14:textId="77777777" w:rsidR="00FF0471" w:rsidRPr="00E0573F" w:rsidRDefault="00FF0471" w:rsidP="00D13387">
            <w:pPr>
              <w:jc w:val="center"/>
              <w:rPr>
                <w:rFonts w:ascii="Arial" w:hAnsi="Arial" w:cs="Arial"/>
              </w:rPr>
            </w:pPr>
            <w:r w:rsidRPr="00E0573F">
              <w:rPr>
                <w:rFonts w:ascii="Arial" w:hAnsi="Arial" w:cs="Arial"/>
              </w:rPr>
              <w:t>104</w:t>
            </w:r>
          </w:p>
        </w:tc>
      </w:tr>
      <w:tr w:rsidR="00FF0471" w:rsidRPr="00E0573F" w14:paraId="550E8551" w14:textId="77777777" w:rsidTr="00382EB1">
        <w:tc>
          <w:tcPr>
            <w:tcW w:w="1980" w:type="dxa"/>
            <w:vMerge/>
            <w:vAlign w:val="center"/>
          </w:tcPr>
          <w:p w14:paraId="193552AB" w14:textId="77777777" w:rsidR="00FF0471" w:rsidRPr="00E0573F" w:rsidRDefault="00FF0471" w:rsidP="00D13387">
            <w:pPr>
              <w:jc w:val="center"/>
              <w:rPr>
                <w:rFonts w:ascii="Arial" w:hAnsi="Arial" w:cs="Arial"/>
              </w:rPr>
            </w:pPr>
          </w:p>
        </w:tc>
        <w:tc>
          <w:tcPr>
            <w:tcW w:w="1486" w:type="dxa"/>
            <w:vAlign w:val="center"/>
          </w:tcPr>
          <w:p w14:paraId="2DB1173B" w14:textId="77777777" w:rsidR="00FF0471" w:rsidRPr="00E0573F" w:rsidRDefault="00FF0471" w:rsidP="00D13387">
            <w:pPr>
              <w:jc w:val="center"/>
              <w:rPr>
                <w:rFonts w:ascii="Arial" w:hAnsi="Arial" w:cs="Arial"/>
              </w:rPr>
            </w:pPr>
            <w:r w:rsidRPr="00E0573F">
              <w:rPr>
                <w:rFonts w:ascii="Arial" w:hAnsi="Arial" w:cs="Arial"/>
              </w:rPr>
              <w:t>≥ 50</w:t>
            </w:r>
          </w:p>
        </w:tc>
        <w:tc>
          <w:tcPr>
            <w:tcW w:w="1801" w:type="dxa"/>
            <w:vAlign w:val="center"/>
          </w:tcPr>
          <w:p w14:paraId="7DD4F33E" w14:textId="77777777" w:rsidR="00FF0471" w:rsidRPr="00E0573F" w:rsidRDefault="00FF0471" w:rsidP="00D13387">
            <w:pPr>
              <w:jc w:val="center"/>
              <w:rPr>
                <w:rFonts w:ascii="Arial" w:hAnsi="Arial" w:cs="Arial"/>
              </w:rPr>
            </w:pPr>
            <w:r w:rsidRPr="00E0573F">
              <w:rPr>
                <w:rFonts w:ascii="Arial" w:hAnsi="Arial" w:cs="Arial"/>
              </w:rPr>
              <w:t>52 (33.7)</w:t>
            </w:r>
          </w:p>
        </w:tc>
        <w:tc>
          <w:tcPr>
            <w:tcW w:w="2191" w:type="dxa"/>
            <w:vAlign w:val="center"/>
          </w:tcPr>
          <w:p w14:paraId="6D84964B" w14:textId="77777777" w:rsidR="00FF0471" w:rsidRPr="00E0573F" w:rsidRDefault="00FF0471" w:rsidP="00D13387">
            <w:pPr>
              <w:jc w:val="center"/>
              <w:rPr>
                <w:rFonts w:ascii="Arial" w:hAnsi="Arial" w:cs="Arial"/>
              </w:rPr>
            </w:pPr>
            <w:r w:rsidRPr="00E0573F">
              <w:rPr>
                <w:rFonts w:ascii="Arial" w:hAnsi="Arial" w:cs="Arial"/>
              </w:rPr>
              <w:t>21 (21.4)</w:t>
            </w:r>
          </w:p>
        </w:tc>
        <w:tc>
          <w:tcPr>
            <w:tcW w:w="966" w:type="dxa"/>
            <w:vAlign w:val="center"/>
          </w:tcPr>
          <w:p w14:paraId="1286B65B" w14:textId="77777777" w:rsidR="00FF0471" w:rsidRPr="00E0573F" w:rsidRDefault="00FF0471" w:rsidP="00D13387">
            <w:pPr>
              <w:jc w:val="center"/>
              <w:rPr>
                <w:rFonts w:ascii="Arial" w:hAnsi="Arial" w:cs="Arial"/>
              </w:rPr>
            </w:pPr>
            <w:r w:rsidRPr="00E0573F">
              <w:rPr>
                <w:rFonts w:ascii="Arial" w:hAnsi="Arial" w:cs="Arial"/>
              </w:rPr>
              <w:t>73</w:t>
            </w:r>
          </w:p>
        </w:tc>
      </w:tr>
      <w:tr w:rsidR="00FF0471" w:rsidRPr="00E0573F" w14:paraId="2240DC3A" w14:textId="77777777" w:rsidTr="00382EB1">
        <w:tc>
          <w:tcPr>
            <w:tcW w:w="1980" w:type="dxa"/>
            <w:vMerge w:val="restart"/>
            <w:vAlign w:val="center"/>
          </w:tcPr>
          <w:p w14:paraId="291D6079" w14:textId="77777777" w:rsidR="00FF0471" w:rsidRPr="00E0573F" w:rsidRDefault="00FF0471" w:rsidP="00D13387">
            <w:pPr>
              <w:jc w:val="center"/>
              <w:rPr>
                <w:rFonts w:ascii="Arial" w:hAnsi="Arial" w:cs="Arial"/>
              </w:rPr>
            </w:pPr>
            <w:r w:rsidRPr="00E0573F">
              <w:rPr>
                <w:rFonts w:ascii="Arial" w:hAnsi="Arial" w:cs="Arial"/>
                <w:bCs/>
              </w:rPr>
              <w:t>Sex</w:t>
            </w:r>
          </w:p>
        </w:tc>
        <w:tc>
          <w:tcPr>
            <w:tcW w:w="1486" w:type="dxa"/>
            <w:vAlign w:val="center"/>
          </w:tcPr>
          <w:p w14:paraId="670AD8F2" w14:textId="77777777" w:rsidR="00FF0471" w:rsidRPr="00E0573F" w:rsidRDefault="00FF0471" w:rsidP="00D13387">
            <w:pPr>
              <w:jc w:val="center"/>
              <w:rPr>
                <w:rFonts w:ascii="Arial" w:hAnsi="Arial" w:cs="Arial"/>
              </w:rPr>
            </w:pPr>
            <w:r w:rsidRPr="00E0573F">
              <w:rPr>
                <w:rFonts w:ascii="Arial" w:hAnsi="Arial" w:cs="Arial"/>
              </w:rPr>
              <w:t>Male</w:t>
            </w:r>
          </w:p>
        </w:tc>
        <w:tc>
          <w:tcPr>
            <w:tcW w:w="1801" w:type="dxa"/>
            <w:vAlign w:val="center"/>
          </w:tcPr>
          <w:p w14:paraId="2631B7B3" w14:textId="77777777" w:rsidR="00FF0471" w:rsidRPr="00E0573F" w:rsidRDefault="00FF0471" w:rsidP="00D13387">
            <w:pPr>
              <w:jc w:val="center"/>
              <w:rPr>
                <w:rFonts w:ascii="Arial" w:hAnsi="Arial" w:cs="Arial"/>
              </w:rPr>
            </w:pPr>
            <w:r w:rsidRPr="00E0573F">
              <w:rPr>
                <w:rFonts w:ascii="Arial" w:hAnsi="Arial" w:cs="Arial"/>
              </w:rPr>
              <w:t>102 (66.2)</w:t>
            </w:r>
          </w:p>
        </w:tc>
        <w:tc>
          <w:tcPr>
            <w:tcW w:w="2191" w:type="dxa"/>
            <w:vAlign w:val="center"/>
          </w:tcPr>
          <w:p w14:paraId="5C610433" w14:textId="77777777" w:rsidR="00FF0471" w:rsidRPr="00E0573F" w:rsidRDefault="00FF0471" w:rsidP="00D13387">
            <w:pPr>
              <w:jc w:val="center"/>
              <w:rPr>
                <w:rFonts w:ascii="Arial" w:hAnsi="Arial" w:cs="Arial"/>
              </w:rPr>
            </w:pPr>
            <w:r w:rsidRPr="00E0573F">
              <w:rPr>
                <w:rFonts w:ascii="Arial" w:hAnsi="Arial" w:cs="Arial"/>
              </w:rPr>
              <w:t>51 (52.0)</w:t>
            </w:r>
          </w:p>
        </w:tc>
        <w:tc>
          <w:tcPr>
            <w:tcW w:w="966" w:type="dxa"/>
            <w:vAlign w:val="center"/>
          </w:tcPr>
          <w:p w14:paraId="10EAFEE2" w14:textId="77777777" w:rsidR="00FF0471" w:rsidRPr="00E0573F" w:rsidRDefault="00FF0471" w:rsidP="00D13387">
            <w:pPr>
              <w:jc w:val="center"/>
              <w:rPr>
                <w:rFonts w:ascii="Arial" w:hAnsi="Arial" w:cs="Arial"/>
              </w:rPr>
            </w:pPr>
            <w:r w:rsidRPr="00E0573F">
              <w:rPr>
                <w:rFonts w:ascii="Arial" w:hAnsi="Arial" w:cs="Arial"/>
              </w:rPr>
              <w:t>153</w:t>
            </w:r>
          </w:p>
        </w:tc>
      </w:tr>
      <w:tr w:rsidR="00FF0471" w:rsidRPr="00E0573F" w14:paraId="723ADF46" w14:textId="77777777" w:rsidTr="00382EB1">
        <w:tc>
          <w:tcPr>
            <w:tcW w:w="1980" w:type="dxa"/>
            <w:vMerge/>
            <w:vAlign w:val="center"/>
          </w:tcPr>
          <w:p w14:paraId="2D4D526C" w14:textId="77777777" w:rsidR="00FF0471" w:rsidRPr="00E0573F" w:rsidRDefault="00FF0471" w:rsidP="00D13387">
            <w:pPr>
              <w:jc w:val="center"/>
              <w:rPr>
                <w:rFonts w:ascii="Arial" w:hAnsi="Arial" w:cs="Arial"/>
              </w:rPr>
            </w:pPr>
          </w:p>
        </w:tc>
        <w:tc>
          <w:tcPr>
            <w:tcW w:w="1486" w:type="dxa"/>
            <w:vAlign w:val="center"/>
          </w:tcPr>
          <w:p w14:paraId="0A5FB94D" w14:textId="77777777" w:rsidR="00FF0471" w:rsidRPr="00E0573F" w:rsidRDefault="00FF0471" w:rsidP="00D13387">
            <w:pPr>
              <w:jc w:val="center"/>
              <w:rPr>
                <w:rFonts w:ascii="Arial" w:hAnsi="Arial" w:cs="Arial"/>
              </w:rPr>
            </w:pPr>
            <w:r w:rsidRPr="00E0573F">
              <w:rPr>
                <w:rFonts w:ascii="Arial" w:hAnsi="Arial" w:cs="Arial"/>
              </w:rPr>
              <w:t>Female</w:t>
            </w:r>
          </w:p>
        </w:tc>
        <w:tc>
          <w:tcPr>
            <w:tcW w:w="1801" w:type="dxa"/>
            <w:vAlign w:val="center"/>
          </w:tcPr>
          <w:p w14:paraId="15547E11" w14:textId="77777777" w:rsidR="00FF0471" w:rsidRPr="00E0573F" w:rsidRDefault="00FF0471" w:rsidP="00D13387">
            <w:pPr>
              <w:jc w:val="center"/>
              <w:rPr>
                <w:rFonts w:ascii="Arial" w:hAnsi="Arial" w:cs="Arial"/>
              </w:rPr>
            </w:pPr>
            <w:r w:rsidRPr="00E0573F">
              <w:rPr>
                <w:rFonts w:ascii="Arial" w:hAnsi="Arial" w:cs="Arial"/>
              </w:rPr>
              <w:t>52 (33.8)</w:t>
            </w:r>
          </w:p>
        </w:tc>
        <w:tc>
          <w:tcPr>
            <w:tcW w:w="2191" w:type="dxa"/>
            <w:vAlign w:val="center"/>
          </w:tcPr>
          <w:p w14:paraId="65750367" w14:textId="77777777" w:rsidR="00FF0471" w:rsidRPr="00E0573F" w:rsidRDefault="00FF0471" w:rsidP="00D13387">
            <w:pPr>
              <w:jc w:val="center"/>
              <w:rPr>
                <w:rFonts w:ascii="Arial" w:hAnsi="Arial" w:cs="Arial"/>
              </w:rPr>
            </w:pPr>
            <w:r w:rsidRPr="00E0573F">
              <w:rPr>
                <w:rFonts w:ascii="Arial" w:hAnsi="Arial" w:cs="Arial"/>
              </w:rPr>
              <w:t>47 (48.0)</w:t>
            </w:r>
          </w:p>
        </w:tc>
        <w:tc>
          <w:tcPr>
            <w:tcW w:w="966" w:type="dxa"/>
            <w:vAlign w:val="center"/>
          </w:tcPr>
          <w:p w14:paraId="55106D38" w14:textId="77777777" w:rsidR="00FF0471" w:rsidRPr="00E0573F" w:rsidRDefault="00FF0471" w:rsidP="00D13387">
            <w:pPr>
              <w:jc w:val="center"/>
              <w:rPr>
                <w:rFonts w:ascii="Arial" w:hAnsi="Arial" w:cs="Arial"/>
              </w:rPr>
            </w:pPr>
            <w:r w:rsidRPr="00E0573F">
              <w:rPr>
                <w:rFonts w:ascii="Arial" w:hAnsi="Arial" w:cs="Arial"/>
              </w:rPr>
              <w:t>99</w:t>
            </w:r>
          </w:p>
        </w:tc>
      </w:tr>
      <w:tr w:rsidR="00FF0471" w:rsidRPr="00E0573F" w14:paraId="3865AEE8" w14:textId="77777777" w:rsidTr="00382EB1">
        <w:tc>
          <w:tcPr>
            <w:tcW w:w="1980" w:type="dxa"/>
            <w:vMerge w:val="restart"/>
            <w:vAlign w:val="center"/>
          </w:tcPr>
          <w:p w14:paraId="579469C7" w14:textId="77777777" w:rsidR="00FF0471" w:rsidRPr="00E0573F" w:rsidRDefault="00FF0471" w:rsidP="00D13387">
            <w:pPr>
              <w:jc w:val="center"/>
              <w:rPr>
                <w:rFonts w:ascii="Arial" w:hAnsi="Arial" w:cs="Arial"/>
              </w:rPr>
            </w:pPr>
            <w:r w:rsidRPr="00E0573F">
              <w:rPr>
                <w:rFonts w:ascii="Arial" w:hAnsi="Arial" w:cs="Arial"/>
                <w:bCs/>
              </w:rPr>
              <w:t>Educational Level</w:t>
            </w:r>
          </w:p>
        </w:tc>
        <w:tc>
          <w:tcPr>
            <w:tcW w:w="1486" w:type="dxa"/>
            <w:vAlign w:val="center"/>
          </w:tcPr>
          <w:p w14:paraId="73AAE01D" w14:textId="77777777" w:rsidR="00FF0471" w:rsidRPr="00E0573F" w:rsidRDefault="00FF0471" w:rsidP="00D13387">
            <w:pPr>
              <w:jc w:val="center"/>
              <w:rPr>
                <w:rFonts w:ascii="Arial" w:hAnsi="Arial" w:cs="Arial"/>
              </w:rPr>
            </w:pPr>
            <w:r w:rsidRPr="00E0573F">
              <w:rPr>
                <w:rFonts w:ascii="Arial" w:hAnsi="Arial" w:cs="Arial"/>
              </w:rPr>
              <w:t>None</w:t>
            </w:r>
          </w:p>
        </w:tc>
        <w:tc>
          <w:tcPr>
            <w:tcW w:w="1801" w:type="dxa"/>
            <w:vAlign w:val="center"/>
          </w:tcPr>
          <w:p w14:paraId="7D64BD28" w14:textId="77777777" w:rsidR="00FF0471" w:rsidRPr="00E0573F" w:rsidRDefault="00FF0471" w:rsidP="00D13387">
            <w:pPr>
              <w:jc w:val="center"/>
              <w:rPr>
                <w:rFonts w:ascii="Arial" w:hAnsi="Arial" w:cs="Arial"/>
              </w:rPr>
            </w:pPr>
            <w:r w:rsidRPr="00E0573F">
              <w:rPr>
                <w:rFonts w:ascii="Arial" w:hAnsi="Arial" w:cs="Arial"/>
              </w:rPr>
              <w:t>41 (26.6)</w:t>
            </w:r>
          </w:p>
        </w:tc>
        <w:tc>
          <w:tcPr>
            <w:tcW w:w="2191" w:type="dxa"/>
            <w:vAlign w:val="center"/>
          </w:tcPr>
          <w:p w14:paraId="1CB994DB" w14:textId="77777777" w:rsidR="00FF0471" w:rsidRPr="00E0573F" w:rsidRDefault="00FF0471" w:rsidP="00D13387">
            <w:pPr>
              <w:jc w:val="center"/>
              <w:rPr>
                <w:rFonts w:ascii="Arial" w:hAnsi="Arial" w:cs="Arial"/>
              </w:rPr>
            </w:pPr>
            <w:r w:rsidRPr="00E0573F">
              <w:rPr>
                <w:rFonts w:ascii="Arial" w:hAnsi="Arial" w:cs="Arial"/>
              </w:rPr>
              <w:t>17 (17.3)</w:t>
            </w:r>
          </w:p>
        </w:tc>
        <w:tc>
          <w:tcPr>
            <w:tcW w:w="966" w:type="dxa"/>
            <w:vAlign w:val="center"/>
          </w:tcPr>
          <w:p w14:paraId="169049A3" w14:textId="77777777" w:rsidR="00FF0471" w:rsidRPr="00E0573F" w:rsidRDefault="00FF0471" w:rsidP="00D13387">
            <w:pPr>
              <w:jc w:val="center"/>
              <w:rPr>
                <w:rFonts w:ascii="Arial" w:hAnsi="Arial" w:cs="Arial"/>
              </w:rPr>
            </w:pPr>
            <w:r w:rsidRPr="00E0573F">
              <w:rPr>
                <w:rFonts w:ascii="Arial" w:hAnsi="Arial" w:cs="Arial"/>
              </w:rPr>
              <w:t>58</w:t>
            </w:r>
          </w:p>
        </w:tc>
      </w:tr>
      <w:tr w:rsidR="00FF0471" w:rsidRPr="00E0573F" w14:paraId="084D5988" w14:textId="77777777" w:rsidTr="00382EB1">
        <w:tc>
          <w:tcPr>
            <w:tcW w:w="1980" w:type="dxa"/>
            <w:vMerge/>
            <w:vAlign w:val="center"/>
          </w:tcPr>
          <w:p w14:paraId="2FF3D911" w14:textId="77777777" w:rsidR="00FF0471" w:rsidRPr="00E0573F" w:rsidRDefault="00FF0471" w:rsidP="00D13387">
            <w:pPr>
              <w:jc w:val="center"/>
              <w:rPr>
                <w:rFonts w:ascii="Arial" w:hAnsi="Arial" w:cs="Arial"/>
              </w:rPr>
            </w:pPr>
          </w:p>
        </w:tc>
        <w:tc>
          <w:tcPr>
            <w:tcW w:w="1486" w:type="dxa"/>
            <w:vAlign w:val="center"/>
          </w:tcPr>
          <w:p w14:paraId="38DB3266" w14:textId="77777777" w:rsidR="00FF0471" w:rsidRPr="00E0573F" w:rsidRDefault="00FF0471" w:rsidP="00D13387">
            <w:pPr>
              <w:jc w:val="center"/>
              <w:rPr>
                <w:rFonts w:ascii="Arial" w:hAnsi="Arial" w:cs="Arial"/>
              </w:rPr>
            </w:pPr>
            <w:r w:rsidRPr="00E0573F">
              <w:rPr>
                <w:rFonts w:ascii="Arial" w:hAnsi="Arial" w:cs="Arial"/>
              </w:rPr>
              <w:t>Primary</w:t>
            </w:r>
          </w:p>
        </w:tc>
        <w:tc>
          <w:tcPr>
            <w:tcW w:w="1801" w:type="dxa"/>
            <w:vAlign w:val="center"/>
          </w:tcPr>
          <w:p w14:paraId="4C2948FF" w14:textId="77777777" w:rsidR="00FF0471" w:rsidRPr="00E0573F" w:rsidRDefault="00FF0471" w:rsidP="00D13387">
            <w:pPr>
              <w:jc w:val="center"/>
              <w:rPr>
                <w:rFonts w:ascii="Arial" w:hAnsi="Arial" w:cs="Arial"/>
              </w:rPr>
            </w:pPr>
            <w:r w:rsidRPr="00E0573F">
              <w:rPr>
                <w:rFonts w:ascii="Arial" w:hAnsi="Arial" w:cs="Arial"/>
              </w:rPr>
              <w:t>39 (25.3)</w:t>
            </w:r>
          </w:p>
        </w:tc>
        <w:tc>
          <w:tcPr>
            <w:tcW w:w="2191" w:type="dxa"/>
            <w:vAlign w:val="center"/>
          </w:tcPr>
          <w:p w14:paraId="66E24596" w14:textId="77777777" w:rsidR="00FF0471" w:rsidRPr="00E0573F" w:rsidRDefault="00FF0471" w:rsidP="00D13387">
            <w:pPr>
              <w:jc w:val="center"/>
              <w:rPr>
                <w:rFonts w:ascii="Arial" w:hAnsi="Arial" w:cs="Arial"/>
              </w:rPr>
            </w:pPr>
            <w:r w:rsidRPr="00E0573F">
              <w:rPr>
                <w:rFonts w:ascii="Arial" w:hAnsi="Arial" w:cs="Arial"/>
              </w:rPr>
              <w:t>29 (29.6)</w:t>
            </w:r>
          </w:p>
        </w:tc>
        <w:tc>
          <w:tcPr>
            <w:tcW w:w="966" w:type="dxa"/>
            <w:vAlign w:val="center"/>
          </w:tcPr>
          <w:p w14:paraId="11947B5D" w14:textId="77777777" w:rsidR="00FF0471" w:rsidRPr="00E0573F" w:rsidRDefault="00FF0471" w:rsidP="00D13387">
            <w:pPr>
              <w:jc w:val="center"/>
              <w:rPr>
                <w:rFonts w:ascii="Arial" w:hAnsi="Arial" w:cs="Arial"/>
              </w:rPr>
            </w:pPr>
            <w:r w:rsidRPr="00E0573F">
              <w:rPr>
                <w:rFonts w:ascii="Arial" w:hAnsi="Arial" w:cs="Arial"/>
              </w:rPr>
              <w:t>68</w:t>
            </w:r>
          </w:p>
        </w:tc>
      </w:tr>
      <w:tr w:rsidR="00FF0471" w:rsidRPr="00E0573F" w14:paraId="11E24FC6" w14:textId="77777777" w:rsidTr="00382EB1">
        <w:tc>
          <w:tcPr>
            <w:tcW w:w="1980" w:type="dxa"/>
            <w:vMerge/>
            <w:vAlign w:val="center"/>
          </w:tcPr>
          <w:p w14:paraId="1A707978" w14:textId="77777777" w:rsidR="00FF0471" w:rsidRPr="00E0573F" w:rsidRDefault="00FF0471" w:rsidP="00D13387">
            <w:pPr>
              <w:jc w:val="center"/>
              <w:rPr>
                <w:rFonts w:ascii="Arial" w:hAnsi="Arial" w:cs="Arial"/>
              </w:rPr>
            </w:pPr>
          </w:p>
        </w:tc>
        <w:tc>
          <w:tcPr>
            <w:tcW w:w="1486" w:type="dxa"/>
            <w:vAlign w:val="center"/>
          </w:tcPr>
          <w:p w14:paraId="67F0B9DF" w14:textId="77777777" w:rsidR="00FF0471" w:rsidRPr="00E0573F" w:rsidRDefault="00FF0471" w:rsidP="00D13387">
            <w:pPr>
              <w:jc w:val="center"/>
              <w:rPr>
                <w:rFonts w:ascii="Arial" w:hAnsi="Arial" w:cs="Arial"/>
              </w:rPr>
            </w:pPr>
            <w:r w:rsidRPr="00E0573F">
              <w:rPr>
                <w:rFonts w:ascii="Arial" w:hAnsi="Arial" w:cs="Arial"/>
              </w:rPr>
              <w:t>Secondary</w:t>
            </w:r>
          </w:p>
        </w:tc>
        <w:tc>
          <w:tcPr>
            <w:tcW w:w="1801" w:type="dxa"/>
            <w:vAlign w:val="center"/>
          </w:tcPr>
          <w:p w14:paraId="19179294" w14:textId="77777777" w:rsidR="00FF0471" w:rsidRPr="00E0573F" w:rsidRDefault="00FF0471" w:rsidP="00D13387">
            <w:pPr>
              <w:jc w:val="center"/>
              <w:rPr>
                <w:rFonts w:ascii="Arial" w:hAnsi="Arial" w:cs="Arial"/>
              </w:rPr>
            </w:pPr>
            <w:r w:rsidRPr="00E0573F">
              <w:rPr>
                <w:rFonts w:ascii="Arial" w:hAnsi="Arial" w:cs="Arial"/>
              </w:rPr>
              <w:t>49 (31.8)</w:t>
            </w:r>
          </w:p>
        </w:tc>
        <w:tc>
          <w:tcPr>
            <w:tcW w:w="2191" w:type="dxa"/>
            <w:vAlign w:val="center"/>
          </w:tcPr>
          <w:p w14:paraId="385F0731" w14:textId="77777777" w:rsidR="00FF0471" w:rsidRPr="00E0573F" w:rsidRDefault="00FF0471" w:rsidP="00D13387">
            <w:pPr>
              <w:jc w:val="center"/>
              <w:rPr>
                <w:rFonts w:ascii="Arial" w:hAnsi="Arial" w:cs="Arial"/>
              </w:rPr>
            </w:pPr>
            <w:r w:rsidRPr="00E0573F">
              <w:rPr>
                <w:rFonts w:ascii="Arial" w:hAnsi="Arial" w:cs="Arial"/>
              </w:rPr>
              <w:t>36 (36.7)</w:t>
            </w:r>
          </w:p>
        </w:tc>
        <w:tc>
          <w:tcPr>
            <w:tcW w:w="966" w:type="dxa"/>
            <w:vAlign w:val="center"/>
          </w:tcPr>
          <w:p w14:paraId="30A3AAF5" w14:textId="77777777" w:rsidR="00FF0471" w:rsidRPr="00E0573F" w:rsidRDefault="00FF0471" w:rsidP="00D13387">
            <w:pPr>
              <w:jc w:val="center"/>
              <w:rPr>
                <w:rFonts w:ascii="Arial" w:hAnsi="Arial" w:cs="Arial"/>
              </w:rPr>
            </w:pPr>
            <w:r w:rsidRPr="00E0573F">
              <w:rPr>
                <w:rFonts w:ascii="Arial" w:hAnsi="Arial" w:cs="Arial"/>
              </w:rPr>
              <w:t>85</w:t>
            </w:r>
          </w:p>
        </w:tc>
      </w:tr>
      <w:tr w:rsidR="00FF0471" w:rsidRPr="00E0573F" w14:paraId="4221D902" w14:textId="77777777" w:rsidTr="00382EB1">
        <w:tc>
          <w:tcPr>
            <w:tcW w:w="1980" w:type="dxa"/>
            <w:vMerge/>
            <w:vAlign w:val="center"/>
          </w:tcPr>
          <w:p w14:paraId="321B1F72" w14:textId="77777777" w:rsidR="00FF0471" w:rsidRPr="00E0573F" w:rsidRDefault="00FF0471" w:rsidP="00D13387">
            <w:pPr>
              <w:jc w:val="center"/>
              <w:rPr>
                <w:rFonts w:ascii="Arial" w:hAnsi="Arial" w:cs="Arial"/>
              </w:rPr>
            </w:pPr>
          </w:p>
        </w:tc>
        <w:tc>
          <w:tcPr>
            <w:tcW w:w="1486" w:type="dxa"/>
            <w:vAlign w:val="center"/>
          </w:tcPr>
          <w:p w14:paraId="55921AF3" w14:textId="77777777" w:rsidR="00FF0471" w:rsidRPr="00E0573F" w:rsidRDefault="00FF0471" w:rsidP="00D13387">
            <w:pPr>
              <w:jc w:val="center"/>
              <w:rPr>
                <w:rFonts w:ascii="Arial" w:hAnsi="Arial" w:cs="Arial"/>
              </w:rPr>
            </w:pPr>
            <w:r w:rsidRPr="00E0573F">
              <w:rPr>
                <w:rFonts w:ascii="Arial" w:hAnsi="Arial" w:cs="Arial"/>
              </w:rPr>
              <w:t>Tertiary</w:t>
            </w:r>
          </w:p>
        </w:tc>
        <w:tc>
          <w:tcPr>
            <w:tcW w:w="1801" w:type="dxa"/>
            <w:vAlign w:val="center"/>
          </w:tcPr>
          <w:p w14:paraId="6120C181" w14:textId="77777777" w:rsidR="00FF0471" w:rsidRPr="00E0573F" w:rsidRDefault="00FF0471" w:rsidP="00D13387">
            <w:pPr>
              <w:jc w:val="center"/>
              <w:rPr>
                <w:rFonts w:ascii="Arial" w:hAnsi="Arial" w:cs="Arial"/>
              </w:rPr>
            </w:pPr>
            <w:r w:rsidRPr="00E0573F">
              <w:rPr>
                <w:rFonts w:ascii="Arial" w:hAnsi="Arial" w:cs="Arial"/>
              </w:rPr>
              <w:t>25 (16.2)</w:t>
            </w:r>
          </w:p>
        </w:tc>
        <w:tc>
          <w:tcPr>
            <w:tcW w:w="2191" w:type="dxa"/>
            <w:vAlign w:val="center"/>
          </w:tcPr>
          <w:p w14:paraId="40AC5AEA" w14:textId="77777777" w:rsidR="00FF0471" w:rsidRPr="00E0573F" w:rsidRDefault="00FF0471" w:rsidP="00D13387">
            <w:pPr>
              <w:jc w:val="center"/>
              <w:rPr>
                <w:rFonts w:ascii="Arial" w:hAnsi="Arial" w:cs="Arial"/>
              </w:rPr>
            </w:pPr>
            <w:r w:rsidRPr="00E0573F">
              <w:rPr>
                <w:rFonts w:ascii="Arial" w:hAnsi="Arial" w:cs="Arial"/>
              </w:rPr>
              <w:t>16 (16.4)</w:t>
            </w:r>
          </w:p>
        </w:tc>
        <w:tc>
          <w:tcPr>
            <w:tcW w:w="966" w:type="dxa"/>
            <w:vAlign w:val="center"/>
          </w:tcPr>
          <w:p w14:paraId="2F288FD0" w14:textId="77777777" w:rsidR="00FF0471" w:rsidRPr="00E0573F" w:rsidRDefault="00FF0471" w:rsidP="00D13387">
            <w:pPr>
              <w:jc w:val="center"/>
              <w:rPr>
                <w:rFonts w:ascii="Arial" w:hAnsi="Arial" w:cs="Arial"/>
              </w:rPr>
            </w:pPr>
            <w:r w:rsidRPr="00E0573F">
              <w:rPr>
                <w:rFonts w:ascii="Arial" w:hAnsi="Arial" w:cs="Arial"/>
              </w:rPr>
              <w:t>41</w:t>
            </w:r>
          </w:p>
        </w:tc>
      </w:tr>
      <w:tr w:rsidR="00FF0471" w:rsidRPr="00E0573F" w14:paraId="69847996" w14:textId="77777777" w:rsidTr="00382EB1">
        <w:tc>
          <w:tcPr>
            <w:tcW w:w="1980" w:type="dxa"/>
            <w:vMerge w:val="restart"/>
            <w:vAlign w:val="center"/>
          </w:tcPr>
          <w:p w14:paraId="278EEF47" w14:textId="77777777" w:rsidR="00FF0471" w:rsidRPr="00E0573F" w:rsidRDefault="00FF0471" w:rsidP="00D13387">
            <w:pPr>
              <w:jc w:val="center"/>
              <w:rPr>
                <w:rFonts w:ascii="Arial" w:hAnsi="Arial" w:cs="Arial"/>
              </w:rPr>
            </w:pPr>
            <w:r w:rsidRPr="00E0573F">
              <w:rPr>
                <w:rFonts w:ascii="Arial" w:hAnsi="Arial" w:cs="Arial"/>
                <w:bCs/>
              </w:rPr>
              <w:t>Monthly Income</w:t>
            </w:r>
          </w:p>
        </w:tc>
        <w:tc>
          <w:tcPr>
            <w:tcW w:w="1486" w:type="dxa"/>
            <w:vAlign w:val="center"/>
          </w:tcPr>
          <w:p w14:paraId="317E508F" w14:textId="77777777" w:rsidR="00FF0471" w:rsidRPr="00E0573F" w:rsidRDefault="00FF0471" w:rsidP="00D13387">
            <w:pPr>
              <w:jc w:val="center"/>
              <w:rPr>
                <w:rFonts w:ascii="Arial" w:hAnsi="Arial" w:cs="Arial"/>
              </w:rPr>
            </w:pPr>
            <w:r w:rsidRPr="00E0573F">
              <w:rPr>
                <w:rFonts w:ascii="Arial" w:hAnsi="Arial" w:cs="Arial"/>
              </w:rPr>
              <w:t>&lt;₦50,000</w:t>
            </w:r>
          </w:p>
        </w:tc>
        <w:tc>
          <w:tcPr>
            <w:tcW w:w="1801" w:type="dxa"/>
            <w:vAlign w:val="center"/>
          </w:tcPr>
          <w:p w14:paraId="55E548A7" w14:textId="77777777" w:rsidR="00FF0471" w:rsidRPr="00E0573F" w:rsidRDefault="00FF0471" w:rsidP="00D13387">
            <w:pPr>
              <w:jc w:val="center"/>
              <w:rPr>
                <w:rFonts w:ascii="Arial" w:hAnsi="Arial" w:cs="Arial"/>
              </w:rPr>
            </w:pPr>
            <w:r w:rsidRPr="00E0573F">
              <w:rPr>
                <w:rFonts w:ascii="Arial" w:hAnsi="Arial" w:cs="Arial"/>
              </w:rPr>
              <w:t>79 (51.3)</w:t>
            </w:r>
          </w:p>
        </w:tc>
        <w:tc>
          <w:tcPr>
            <w:tcW w:w="2191" w:type="dxa"/>
            <w:vAlign w:val="center"/>
          </w:tcPr>
          <w:p w14:paraId="58210C2D" w14:textId="77777777" w:rsidR="00FF0471" w:rsidRPr="00E0573F" w:rsidRDefault="00FF0471" w:rsidP="00D13387">
            <w:pPr>
              <w:jc w:val="center"/>
              <w:rPr>
                <w:rFonts w:ascii="Arial" w:hAnsi="Arial" w:cs="Arial"/>
              </w:rPr>
            </w:pPr>
            <w:r w:rsidRPr="00E0573F">
              <w:rPr>
                <w:rFonts w:ascii="Arial" w:hAnsi="Arial" w:cs="Arial"/>
              </w:rPr>
              <w:t>34 (34.7)</w:t>
            </w:r>
          </w:p>
        </w:tc>
        <w:tc>
          <w:tcPr>
            <w:tcW w:w="966" w:type="dxa"/>
            <w:vAlign w:val="center"/>
          </w:tcPr>
          <w:p w14:paraId="06DD0E91" w14:textId="77777777" w:rsidR="00FF0471" w:rsidRPr="00E0573F" w:rsidRDefault="00FF0471" w:rsidP="00D13387">
            <w:pPr>
              <w:jc w:val="center"/>
              <w:rPr>
                <w:rFonts w:ascii="Arial" w:hAnsi="Arial" w:cs="Arial"/>
              </w:rPr>
            </w:pPr>
            <w:r w:rsidRPr="00E0573F">
              <w:rPr>
                <w:rFonts w:ascii="Arial" w:hAnsi="Arial" w:cs="Arial"/>
              </w:rPr>
              <w:t>113</w:t>
            </w:r>
          </w:p>
        </w:tc>
      </w:tr>
      <w:tr w:rsidR="00FF0471" w:rsidRPr="00E0573F" w14:paraId="16F8CA47" w14:textId="77777777" w:rsidTr="00382EB1">
        <w:tc>
          <w:tcPr>
            <w:tcW w:w="1980" w:type="dxa"/>
            <w:vMerge/>
            <w:vAlign w:val="center"/>
          </w:tcPr>
          <w:p w14:paraId="1A395014" w14:textId="77777777" w:rsidR="00FF0471" w:rsidRPr="00E0573F" w:rsidRDefault="00FF0471" w:rsidP="00D13387">
            <w:pPr>
              <w:jc w:val="center"/>
              <w:rPr>
                <w:rFonts w:ascii="Arial" w:hAnsi="Arial" w:cs="Arial"/>
              </w:rPr>
            </w:pPr>
          </w:p>
        </w:tc>
        <w:tc>
          <w:tcPr>
            <w:tcW w:w="1486" w:type="dxa"/>
            <w:vAlign w:val="center"/>
          </w:tcPr>
          <w:p w14:paraId="23C1C7EA" w14:textId="77777777" w:rsidR="00FF0471" w:rsidRPr="00E0573F" w:rsidRDefault="00FF0471" w:rsidP="00D13387">
            <w:pPr>
              <w:jc w:val="center"/>
              <w:rPr>
                <w:rFonts w:ascii="Arial" w:hAnsi="Arial" w:cs="Arial"/>
              </w:rPr>
            </w:pPr>
            <w:r w:rsidRPr="00E0573F">
              <w:rPr>
                <w:rFonts w:ascii="Arial" w:hAnsi="Arial" w:cs="Arial"/>
              </w:rPr>
              <w:t>₦50,000–₦100,000</w:t>
            </w:r>
          </w:p>
        </w:tc>
        <w:tc>
          <w:tcPr>
            <w:tcW w:w="1801" w:type="dxa"/>
            <w:vAlign w:val="center"/>
          </w:tcPr>
          <w:p w14:paraId="5C1F1BC5" w14:textId="77777777" w:rsidR="00FF0471" w:rsidRPr="00E0573F" w:rsidRDefault="00FF0471" w:rsidP="00D13387">
            <w:pPr>
              <w:jc w:val="center"/>
              <w:rPr>
                <w:rFonts w:ascii="Arial" w:hAnsi="Arial" w:cs="Arial"/>
              </w:rPr>
            </w:pPr>
            <w:r w:rsidRPr="00E0573F">
              <w:rPr>
                <w:rFonts w:ascii="Arial" w:hAnsi="Arial" w:cs="Arial"/>
              </w:rPr>
              <w:t>49 (31.8)</w:t>
            </w:r>
          </w:p>
        </w:tc>
        <w:tc>
          <w:tcPr>
            <w:tcW w:w="2191" w:type="dxa"/>
            <w:vAlign w:val="center"/>
          </w:tcPr>
          <w:p w14:paraId="30794483" w14:textId="77777777" w:rsidR="00FF0471" w:rsidRPr="00E0573F" w:rsidRDefault="00FF0471" w:rsidP="00D13387">
            <w:pPr>
              <w:jc w:val="center"/>
              <w:rPr>
                <w:rFonts w:ascii="Arial" w:hAnsi="Arial" w:cs="Arial"/>
              </w:rPr>
            </w:pPr>
            <w:r w:rsidRPr="00E0573F">
              <w:rPr>
                <w:rFonts w:ascii="Arial" w:hAnsi="Arial" w:cs="Arial"/>
              </w:rPr>
              <w:t>39 (39.8)</w:t>
            </w:r>
          </w:p>
        </w:tc>
        <w:tc>
          <w:tcPr>
            <w:tcW w:w="966" w:type="dxa"/>
            <w:vAlign w:val="center"/>
          </w:tcPr>
          <w:p w14:paraId="3746174E" w14:textId="77777777" w:rsidR="00FF0471" w:rsidRPr="00E0573F" w:rsidRDefault="00FF0471" w:rsidP="00D13387">
            <w:pPr>
              <w:jc w:val="center"/>
              <w:rPr>
                <w:rFonts w:ascii="Arial" w:hAnsi="Arial" w:cs="Arial"/>
              </w:rPr>
            </w:pPr>
            <w:r w:rsidRPr="00E0573F">
              <w:rPr>
                <w:rFonts w:ascii="Arial" w:hAnsi="Arial" w:cs="Arial"/>
              </w:rPr>
              <w:t>88</w:t>
            </w:r>
          </w:p>
        </w:tc>
      </w:tr>
      <w:tr w:rsidR="00FF0471" w:rsidRPr="00E0573F" w14:paraId="769D8230" w14:textId="77777777" w:rsidTr="00382EB1">
        <w:tc>
          <w:tcPr>
            <w:tcW w:w="1980" w:type="dxa"/>
            <w:vMerge/>
            <w:vAlign w:val="center"/>
          </w:tcPr>
          <w:p w14:paraId="6174CF72" w14:textId="77777777" w:rsidR="00FF0471" w:rsidRPr="00E0573F" w:rsidRDefault="00FF0471" w:rsidP="00D13387">
            <w:pPr>
              <w:jc w:val="center"/>
              <w:rPr>
                <w:rFonts w:ascii="Arial" w:hAnsi="Arial" w:cs="Arial"/>
              </w:rPr>
            </w:pPr>
          </w:p>
        </w:tc>
        <w:tc>
          <w:tcPr>
            <w:tcW w:w="1486" w:type="dxa"/>
            <w:vAlign w:val="center"/>
          </w:tcPr>
          <w:p w14:paraId="59473775" w14:textId="77777777" w:rsidR="00FF0471" w:rsidRPr="00E0573F" w:rsidRDefault="00FF0471" w:rsidP="00D13387">
            <w:pPr>
              <w:jc w:val="center"/>
              <w:rPr>
                <w:rFonts w:ascii="Arial" w:hAnsi="Arial" w:cs="Arial"/>
              </w:rPr>
            </w:pPr>
            <w:r w:rsidRPr="00E0573F">
              <w:rPr>
                <w:rFonts w:ascii="Arial" w:hAnsi="Arial" w:cs="Arial"/>
              </w:rPr>
              <w:t>&gt;₦100,000</w:t>
            </w:r>
          </w:p>
        </w:tc>
        <w:tc>
          <w:tcPr>
            <w:tcW w:w="1801" w:type="dxa"/>
            <w:vAlign w:val="center"/>
          </w:tcPr>
          <w:p w14:paraId="1C2764B0" w14:textId="77777777" w:rsidR="00FF0471" w:rsidRPr="00E0573F" w:rsidRDefault="00FF0471" w:rsidP="00D13387">
            <w:pPr>
              <w:jc w:val="center"/>
              <w:rPr>
                <w:rFonts w:ascii="Arial" w:hAnsi="Arial" w:cs="Arial"/>
              </w:rPr>
            </w:pPr>
            <w:r w:rsidRPr="00E0573F">
              <w:rPr>
                <w:rFonts w:ascii="Arial" w:hAnsi="Arial" w:cs="Arial"/>
              </w:rPr>
              <w:t>26 (16.9)</w:t>
            </w:r>
          </w:p>
        </w:tc>
        <w:tc>
          <w:tcPr>
            <w:tcW w:w="2191" w:type="dxa"/>
            <w:vAlign w:val="center"/>
          </w:tcPr>
          <w:p w14:paraId="2E4E7DF8" w14:textId="77777777" w:rsidR="00FF0471" w:rsidRPr="00E0573F" w:rsidRDefault="00FF0471" w:rsidP="00D13387">
            <w:pPr>
              <w:jc w:val="center"/>
              <w:rPr>
                <w:rFonts w:ascii="Arial" w:hAnsi="Arial" w:cs="Arial"/>
              </w:rPr>
            </w:pPr>
            <w:r w:rsidRPr="00E0573F">
              <w:rPr>
                <w:rFonts w:ascii="Arial" w:hAnsi="Arial" w:cs="Arial"/>
              </w:rPr>
              <w:t>25 (25.5)</w:t>
            </w:r>
          </w:p>
        </w:tc>
        <w:tc>
          <w:tcPr>
            <w:tcW w:w="966" w:type="dxa"/>
            <w:vAlign w:val="center"/>
          </w:tcPr>
          <w:p w14:paraId="14435841" w14:textId="77777777" w:rsidR="00FF0471" w:rsidRPr="00E0573F" w:rsidRDefault="00FF0471" w:rsidP="00D13387">
            <w:pPr>
              <w:jc w:val="center"/>
              <w:rPr>
                <w:rFonts w:ascii="Arial" w:hAnsi="Arial" w:cs="Arial"/>
              </w:rPr>
            </w:pPr>
            <w:r w:rsidRPr="00E0573F">
              <w:rPr>
                <w:rFonts w:ascii="Arial" w:hAnsi="Arial" w:cs="Arial"/>
              </w:rPr>
              <w:t>51</w:t>
            </w:r>
          </w:p>
        </w:tc>
      </w:tr>
    </w:tbl>
    <w:p w14:paraId="13985DB5" w14:textId="77777777" w:rsidR="00382EB1" w:rsidRPr="00E0573F" w:rsidRDefault="00382EB1" w:rsidP="00382EB1">
      <w:pPr>
        <w:pStyle w:val="NormalWeb"/>
        <w:spacing w:after="0" w:afterAutospacing="0"/>
        <w:jc w:val="both"/>
        <w:rPr>
          <w:rFonts w:ascii="Arial" w:hAnsi="Arial" w:cs="Arial"/>
          <w:sz w:val="20"/>
          <w:szCs w:val="20"/>
        </w:rPr>
      </w:pPr>
      <w:r w:rsidRPr="00E0573F">
        <w:rPr>
          <w:rFonts w:ascii="Arial" w:hAnsi="Arial" w:cs="Arial"/>
          <w:sz w:val="20"/>
          <w:szCs w:val="20"/>
        </w:rPr>
        <w:t>The results for the socio-demographic risk factors for tuberculosis reported in Table 2 show that tuberculosis was most prevalent among respondents aged 30–49 years, with 68 (44.2%) confirmed cases in this age group, followed by those aged 50 years and above, with 52 (33.7%); the lowest proportion of confirmed cases occurred among those aged below 30 years, with 34 (22.1%). This suggests that individuals in the economically active and older age groups bear a higher burden of TB, possibly because of prolonged exposure to high-risk environments and occupational hazards.</w:t>
      </w:r>
    </w:p>
    <w:p w14:paraId="574F9C61" w14:textId="77777777" w:rsidR="00382EB1" w:rsidRPr="00E0573F" w:rsidRDefault="00382EB1" w:rsidP="00382EB1">
      <w:pPr>
        <w:pStyle w:val="NormalWeb"/>
        <w:spacing w:after="0" w:afterAutospacing="0"/>
        <w:jc w:val="both"/>
        <w:rPr>
          <w:rFonts w:ascii="Arial" w:hAnsi="Arial" w:cs="Arial"/>
          <w:sz w:val="20"/>
          <w:szCs w:val="20"/>
        </w:rPr>
      </w:pPr>
      <w:r w:rsidRPr="00E0573F">
        <w:rPr>
          <w:rFonts w:ascii="Arial" w:hAnsi="Arial" w:cs="Arial"/>
          <w:sz w:val="20"/>
          <w:szCs w:val="20"/>
        </w:rPr>
        <w:t>With respect to sex, males accounted for a higher proportion of confirmed TB cases, at 102 (66.2%), than females, at 52 (33.8%). This finding suggests that males are more affected by tuberculosis than females in the study area, which may be related to greater exposure to high-risk conditions such as outdoor occupations, smoking, alcohol consumption, and delayed health-seeking behaviour.</w:t>
      </w:r>
    </w:p>
    <w:p w14:paraId="242F14D9" w14:textId="77777777" w:rsidR="00382EB1" w:rsidRPr="00E0573F" w:rsidRDefault="00382EB1" w:rsidP="00382EB1">
      <w:pPr>
        <w:pStyle w:val="NormalWeb"/>
        <w:spacing w:after="0" w:afterAutospacing="0"/>
        <w:jc w:val="both"/>
        <w:rPr>
          <w:rFonts w:ascii="Arial" w:hAnsi="Arial" w:cs="Arial"/>
          <w:sz w:val="20"/>
          <w:szCs w:val="20"/>
        </w:rPr>
      </w:pPr>
      <w:r w:rsidRPr="00E0573F">
        <w:rPr>
          <w:rFonts w:ascii="Arial" w:hAnsi="Arial" w:cs="Arial"/>
          <w:sz w:val="20"/>
          <w:szCs w:val="20"/>
        </w:rPr>
        <w:t>In terms of educational level, respondents with secondary education recorded the highest proportion of confirmed TB cases, at 49 (31.8%), followed closely by those with no formal education, at 41 (26.6%), and primary education, at 39 (25.3%), while those with tertiary education had the lowest proportion, at 25 (16.2%). This trend indicates that lower levels of education may be associated with a higher TB burden, possibly because of limited awareness of preventive measures and delayed presentation to health facilities.</w:t>
      </w:r>
    </w:p>
    <w:p w14:paraId="3D3F99FB" w14:textId="77777777" w:rsidR="00382EB1" w:rsidRPr="00E0573F" w:rsidRDefault="00382EB1" w:rsidP="00382EB1">
      <w:pPr>
        <w:pStyle w:val="NormalWeb"/>
        <w:jc w:val="both"/>
        <w:rPr>
          <w:rFonts w:ascii="Arial" w:hAnsi="Arial" w:cs="Arial"/>
          <w:sz w:val="20"/>
          <w:szCs w:val="20"/>
        </w:rPr>
      </w:pPr>
      <w:r w:rsidRPr="00E0573F">
        <w:rPr>
          <w:rFonts w:ascii="Arial" w:hAnsi="Arial" w:cs="Arial"/>
          <w:sz w:val="20"/>
          <w:szCs w:val="20"/>
        </w:rPr>
        <w:t>Regarding monthly income, the highest proportion of confirmed TB cases was observed among respondents earning less than ₦50,000 per month, at 79 (51.3%), while those earning ₦50,000–₦100,000 accounted for 49 (31.8%); the lowest proportion was recorded among those earning more than ₦100,000, at 26 (16.9%). This pattern suggests that tuberculosis is more prevalent among individuals of lower socio-economic status, potentially because of poor living conditions, overcrowding, undernutrition, and limited access to quality healthcare.</w:t>
      </w:r>
    </w:p>
    <w:p w14:paraId="4C030128" w14:textId="77777777" w:rsidR="00FF0471" w:rsidRPr="00E0573F" w:rsidRDefault="00FF0471" w:rsidP="00D13387">
      <w:pPr>
        <w:pStyle w:val="NormalWeb"/>
        <w:spacing w:after="0" w:afterAutospacing="0"/>
        <w:jc w:val="both"/>
        <w:rPr>
          <w:rFonts w:ascii="Arial" w:hAnsi="Arial" w:cs="Arial"/>
          <w:sz w:val="20"/>
          <w:szCs w:val="20"/>
        </w:rPr>
      </w:pPr>
      <w:r w:rsidRPr="00E0573F">
        <w:rPr>
          <w:rFonts w:ascii="Arial" w:hAnsi="Arial" w:cs="Arial"/>
          <w:sz w:val="20"/>
          <w:szCs w:val="20"/>
        </w:rPr>
        <w:t>Table 3 presents the distribution of tuberculosis infection according to selected environmental risk factors, including overcrowding, ventilation, lighting conditions, and the type of cooking fuel used by respondents. The table compares the proportions of confirmed and unconfirmed TB cases across these environmental conditions.</w:t>
      </w:r>
    </w:p>
    <w:p w14:paraId="2A50469B" w14:textId="77777777" w:rsidR="00FF0471" w:rsidRPr="00E0573F" w:rsidRDefault="00FF0471" w:rsidP="00FF0471">
      <w:pPr>
        <w:rPr>
          <w:rFonts w:ascii="Arial" w:hAnsi="Arial" w:cs="Arial"/>
          <w:b/>
        </w:rPr>
      </w:pPr>
      <w:r w:rsidRPr="00E0573F">
        <w:rPr>
          <w:rFonts w:ascii="Arial" w:hAnsi="Arial" w:cs="Arial"/>
          <w:b/>
        </w:rPr>
        <w:t>Table 3: Environmental Risk Factors of Tuberculosis</w:t>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959"/>
        <w:gridCol w:w="1631"/>
        <w:gridCol w:w="1785"/>
        <w:gridCol w:w="2014"/>
        <w:gridCol w:w="1035"/>
      </w:tblGrid>
      <w:tr w:rsidR="00FF0471" w:rsidRPr="00E0573F" w14:paraId="7C05120B" w14:textId="77777777" w:rsidTr="00FF0471">
        <w:tc>
          <w:tcPr>
            <w:tcW w:w="2052" w:type="dxa"/>
            <w:tcBorders>
              <w:top w:val="single" w:sz="4" w:space="0" w:color="auto"/>
              <w:bottom w:val="single" w:sz="4" w:space="0" w:color="auto"/>
            </w:tcBorders>
            <w:vAlign w:val="center"/>
          </w:tcPr>
          <w:p w14:paraId="64B17170" w14:textId="77777777" w:rsidR="00FF0471" w:rsidRPr="00E0573F" w:rsidRDefault="00FF0471" w:rsidP="00845DFF">
            <w:pPr>
              <w:jc w:val="center"/>
              <w:rPr>
                <w:rFonts w:ascii="Arial" w:hAnsi="Arial" w:cs="Arial"/>
                <w:b/>
                <w:bCs/>
              </w:rPr>
            </w:pPr>
            <w:r w:rsidRPr="00E0573F">
              <w:rPr>
                <w:rFonts w:ascii="Arial" w:hAnsi="Arial" w:cs="Arial"/>
                <w:b/>
                <w:bCs/>
              </w:rPr>
              <w:t>Variable</w:t>
            </w:r>
          </w:p>
        </w:tc>
        <w:tc>
          <w:tcPr>
            <w:tcW w:w="1656" w:type="dxa"/>
            <w:tcBorders>
              <w:top w:val="single" w:sz="4" w:space="0" w:color="auto"/>
              <w:bottom w:val="single" w:sz="4" w:space="0" w:color="auto"/>
            </w:tcBorders>
            <w:vAlign w:val="center"/>
          </w:tcPr>
          <w:p w14:paraId="0659BA52" w14:textId="77777777" w:rsidR="00FF0471" w:rsidRPr="00E0573F" w:rsidRDefault="00FF0471" w:rsidP="00845DFF">
            <w:pPr>
              <w:jc w:val="center"/>
              <w:rPr>
                <w:rFonts w:ascii="Arial" w:hAnsi="Arial" w:cs="Arial"/>
                <w:b/>
                <w:bCs/>
              </w:rPr>
            </w:pPr>
            <w:r w:rsidRPr="00E0573F">
              <w:rPr>
                <w:rFonts w:ascii="Arial" w:hAnsi="Arial" w:cs="Arial"/>
                <w:b/>
                <w:bCs/>
              </w:rPr>
              <w:t>Category</w:t>
            </w:r>
          </w:p>
        </w:tc>
        <w:tc>
          <w:tcPr>
            <w:tcW w:w="1890" w:type="dxa"/>
            <w:tcBorders>
              <w:top w:val="single" w:sz="4" w:space="0" w:color="auto"/>
              <w:bottom w:val="single" w:sz="4" w:space="0" w:color="auto"/>
            </w:tcBorders>
            <w:vAlign w:val="center"/>
          </w:tcPr>
          <w:p w14:paraId="3B4D8D18" w14:textId="77777777" w:rsidR="00FF0471" w:rsidRPr="00E0573F" w:rsidRDefault="00FF0471" w:rsidP="00845DFF">
            <w:pPr>
              <w:jc w:val="center"/>
              <w:rPr>
                <w:rFonts w:ascii="Arial" w:hAnsi="Arial" w:cs="Arial"/>
                <w:b/>
                <w:bCs/>
              </w:rPr>
            </w:pPr>
            <w:r w:rsidRPr="00E0573F">
              <w:rPr>
                <w:rFonts w:ascii="Arial" w:hAnsi="Arial" w:cs="Arial"/>
                <w:b/>
                <w:bCs/>
              </w:rPr>
              <w:t>Confirmed TB n (%)</w:t>
            </w:r>
          </w:p>
        </w:tc>
        <w:tc>
          <w:tcPr>
            <w:tcW w:w="2160" w:type="dxa"/>
            <w:tcBorders>
              <w:top w:val="single" w:sz="4" w:space="0" w:color="auto"/>
              <w:bottom w:val="single" w:sz="4" w:space="0" w:color="auto"/>
            </w:tcBorders>
            <w:vAlign w:val="center"/>
          </w:tcPr>
          <w:p w14:paraId="292A9921" w14:textId="77777777" w:rsidR="00FF0471" w:rsidRPr="00E0573F" w:rsidRDefault="00FF0471" w:rsidP="00845DFF">
            <w:pPr>
              <w:jc w:val="center"/>
              <w:rPr>
                <w:rFonts w:ascii="Arial" w:hAnsi="Arial" w:cs="Arial"/>
                <w:b/>
                <w:bCs/>
              </w:rPr>
            </w:pPr>
            <w:r w:rsidRPr="00E0573F">
              <w:rPr>
                <w:rFonts w:ascii="Arial" w:hAnsi="Arial" w:cs="Arial"/>
                <w:b/>
                <w:bCs/>
              </w:rPr>
              <w:t>Not Confirmed TB n (%)</w:t>
            </w:r>
          </w:p>
        </w:tc>
        <w:tc>
          <w:tcPr>
            <w:tcW w:w="1098" w:type="dxa"/>
            <w:tcBorders>
              <w:top w:val="single" w:sz="4" w:space="0" w:color="auto"/>
              <w:bottom w:val="single" w:sz="4" w:space="0" w:color="auto"/>
            </w:tcBorders>
            <w:vAlign w:val="center"/>
          </w:tcPr>
          <w:p w14:paraId="62413E6F" w14:textId="77777777" w:rsidR="00FF0471" w:rsidRPr="00E0573F" w:rsidRDefault="00FF0471" w:rsidP="00845DFF">
            <w:pPr>
              <w:jc w:val="center"/>
              <w:rPr>
                <w:rFonts w:ascii="Arial" w:hAnsi="Arial" w:cs="Arial"/>
                <w:b/>
                <w:bCs/>
              </w:rPr>
            </w:pPr>
            <w:r w:rsidRPr="00E0573F">
              <w:rPr>
                <w:rFonts w:ascii="Arial" w:hAnsi="Arial" w:cs="Arial"/>
                <w:b/>
                <w:bCs/>
              </w:rPr>
              <w:t>Total</w:t>
            </w:r>
          </w:p>
        </w:tc>
      </w:tr>
      <w:tr w:rsidR="00FF0471" w:rsidRPr="00E0573F" w14:paraId="6C552DD4" w14:textId="77777777" w:rsidTr="00FF0471">
        <w:tc>
          <w:tcPr>
            <w:tcW w:w="2052" w:type="dxa"/>
            <w:vMerge w:val="restart"/>
            <w:tcBorders>
              <w:top w:val="single" w:sz="4" w:space="0" w:color="auto"/>
            </w:tcBorders>
            <w:vAlign w:val="center"/>
          </w:tcPr>
          <w:p w14:paraId="69923B83" w14:textId="77777777" w:rsidR="00FF0471" w:rsidRPr="00E0573F" w:rsidRDefault="00FF0471" w:rsidP="00845DFF">
            <w:pPr>
              <w:jc w:val="center"/>
              <w:rPr>
                <w:rFonts w:ascii="Arial" w:hAnsi="Arial" w:cs="Arial"/>
              </w:rPr>
            </w:pPr>
            <w:r w:rsidRPr="00E0573F">
              <w:rPr>
                <w:rFonts w:ascii="Arial" w:hAnsi="Arial" w:cs="Arial"/>
                <w:bCs/>
              </w:rPr>
              <w:t>Overcrowding</w:t>
            </w:r>
          </w:p>
        </w:tc>
        <w:tc>
          <w:tcPr>
            <w:tcW w:w="1656" w:type="dxa"/>
            <w:tcBorders>
              <w:top w:val="single" w:sz="4" w:space="0" w:color="auto"/>
            </w:tcBorders>
            <w:vAlign w:val="center"/>
          </w:tcPr>
          <w:p w14:paraId="2A01F2D3" w14:textId="77777777" w:rsidR="00FF0471" w:rsidRPr="00E0573F" w:rsidRDefault="00FF0471" w:rsidP="00845DFF">
            <w:pPr>
              <w:jc w:val="center"/>
              <w:rPr>
                <w:rFonts w:ascii="Arial" w:hAnsi="Arial" w:cs="Arial"/>
              </w:rPr>
            </w:pPr>
            <w:r w:rsidRPr="00E0573F">
              <w:rPr>
                <w:rFonts w:ascii="Arial" w:hAnsi="Arial" w:cs="Arial"/>
              </w:rPr>
              <w:t>Yes</w:t>
            </w:r>
          </w:p>
        </w:tc>
        <w:tc>
          <w:tcPr>
            <w:tcW w:w="1890" w:type="dxa"/>
            <w:tcBorders>
              <w:top w:val="single" w:sz="4" w:space="0" w:color="auto"/>
            </w:tcBorders>
            <w:vAlign w:val="center"/>
          </w:tcPr>
          <w:p w14:paraId="27CD4126" w14:textId="77777777" w:rsidR="00FF0471" w:rsidRPr="00E0573F" w:rsidRDefault="00FF0471" w:rsidP="00845DFF">
            <w:pPr>
              <w:jc w:val="center"/>
              <w:rPr>
                <w:rFonts w:ascii="Arial" w:hAnsi="Arial" w:cs="Arial"/>
              </w:rPr>
            </w:pPr>
            <w:r w:rsidRPr="00E0573F">
              <w:rPr>
                <w:rFonts w:ascii="Arial" w:hAnsi="Arial" w:cs="Arial"/>
              </w:rPr>
              <w:t>94 (61.0)</w:t>
            </w:r>
          </w:p>
        </w:tc>
        <w:tc>
          <w:tcPr>
            <w:tcW w:w="2160" w:type="dxa"/>
            <w:tcBorders>
              <w:top w:val="single" w:sz="4" w:space="0" w:color="auto"/>
            </w:tcBorders>
            <w:vAlign w:val="center"/>
          </w:tcPr>
          <w:p w14:paraId="08492700" w14:textId="77777777" w:rsidR="00FF0471" w:rsidRPr="00E0573F" w:rsidRDefault="00FF0471" w:rsidP="00845DFF">
            <w:pPr>
              <w:jc w:val="center"/>
              <w:rPr>
                <w:rFonts w:ascii="Arial" w:hAnsi="Arial" w:cs="Arial"/>
              </w:rPr>
            </w:pPr>
            <w:r w:rsidRPr="00E0573F">
              <w:rPr>
                <w:rFonts w:ascii="Arial" w:hAnsi="Arial" w:cs="Arial"/>
              </w:rPr>
              <w:t>26 (26.5)</w:t>
            </w:r>
          </w:p>
        </w:tc>
        <w:tc>
          <w:tcPr>
            <w:tcW w:w="1098" w:type="dxa"/>
            <w:tcBorders>
              <w:top w:val="single" w:sz="4" w:space="0" w:color="auto"/>
            </w:tcBorders>
            <w:vAlign w:val="center"/>
          </w:tcPr>
          <w:p w14:paraId="7969D675" w14:textId="77777777" w:rsidR="00FF0471" w:rsidRPr="00E0573F" w:rsidRDefault="00FF0471" w:rsidP="00845DFF">
            <w:pPr>
              <w:jc w:val="center"/>
              <w:rPr>
                <w:rFonts w:ascii="Arial" w:hAnsi="Arial" w:cs="Arial"/>
              </w:rPr>
            </w:pPr>
            <w:r w:rsidRPr="00E0573F">
              <w:rPr>
                <w:rFonts w:ascii="Arial" w:hAnsi="Arial" w:cs="Arial"/>
              </w:rPr>
              <w:t>120</w:t>
            </w:r>
          </w:p>
        </w:tc>
      </w:tr>
      <w:tr w:rsidR="00FF0471" w:rsidRPr="00E0573F" w14:paraId="31C3C6CA" w14:textId="77777777" w:rsidTr="00FF0471">
        <w:tc>
          <w:tcPr>
            <w:tcW w:w="2052" w:type="dxa"/>
            <w:vMerge/>
            <w:vAlign w:val="center"/>
          </w:tcPr>
          <w:p w14:paraId="1ACC0A71" w14:textId="77777777" w:rsidR="00FF0471" w:rsidRPr="00E0573F" w:rsidRDefault="00FF0471" w:rsidP="00845DFF">
            <w:pPr>
              <w:jc w:val="center"/>
              <w:rPr>
                <w:rFonts w:ascii="Arial" w:hAnsi="Arial" w:cs="Arial"/>
              </w:rPr>
            </w:pPr>
          </w:p>
        </w:tc>
        <w:tc>
          <w:tcPr>
            <w:tcW w:w="1656" w:type="dxa"/>
            <w:vAlign w:val="center"/>
          </w:tcPr>
          <w:p w14:paraId="20B93E3C" w14:textId="77777777" w:rsidR="00FF0471" w:rsidRPr="00E0573F" w:rsidRDefault="00FF0471" w:rsidP="00845DFF">
            <w:pPr>
              <w:jc w:val="center"/>
              <w:rPr>
                <w:rFonts w:ascii="Arial" w:hAnsi="Arial" w:cs="Arial"/>
              </w:rPr>
            </w:pPr>
            <w:r w:rsidRPr="00E0573F">
              <w:rPr>
                <w:rFonts w:ascii="Arial" w:hAnsi="Arial" w:cs="Arial"/>
              </w:rPr>
              <w:t>No</w:t>
            </w:r>
          </w:p>
        </w:tc>
        <w:tc>
          <w:tcPr>
            <w:tcW w:w="1890" w:type="dxa"/>
            <w:vAlign w:val="center"/>
          </w:tcPr>
          <w:p w14:paraId="7D954B93" w14:textId="77777777" w:rsidR="00FF0471" w:rsidRPr="00E0573F" w:rsidRDefault="00FF0471" w:rsidP="00845DFF">
            <w:pPr>
              <w:jc w:val="center"/>
              <w:rPr>
                <w:rFonts w:ascii="Arial" w:hAnsi="Arial" w:cs="Arial"/>
              </w:rPr>
            </w:pPr>
            <w:r w:rsidRPr="00E0573F">
              <w:rPr>
                <w:rFonts w:ascii="Arial" w:hAnsi="Arial" w:cs="Arial"/>
              </w:rPr>
              <w:t>60 (39.0)</w:t>
            </w:r>
          </w:p>
        </w:tc>
        <w:tc>
          <w:tcPr>
            <w:tcW w:w="2160" w:type="dxa"/>
            <w:vAlign w:val="center"/>
          </w:tcPr>
          <w:p w14:paraId="6381470D" w14:textId="77777777" w:rsidR="00FF0471" w:rsidRPr="00E0573F" w:rsidRDefault="00FF0471" w:rsidP="00845DFF">
            <w:pPr>
              <w:jc w:val="center"/>
              <w:rPr>
                <w:rFonts w:ascii="Arial" w:hAnsi="Arial" w:cs="Arial"/>
              </w:rPr>
            </w:pPr>
            <w:r w:rsidRPr="00E0573F">
              <w:rPr>
                <w:rFonts w:ascii="Arial" w:hAnsi="Arial" w:cs="Arial"/>
              </w:rPr>
              <w:t>72 (73.5)</w:t>
            </w:r>
          </w:p>
        </w:tc>
        <w:tc>
          <w:tcPr>
            <w:tcW w:w="1098" w:type="dxa"/>
            <w:vAlign w:val="center"/>
          </w:tcPr>
          <w:p w14:paraId="718FB947" w14:textId="77777777" w:rsidR="00FF0471" w:rsidRPr="00E0573F" w:rsidRDefault="00FF0471" w:rsidP="00845DFF">
            <w:pPr>
              <w:jc w:val="center"/>
              <w:rPr>
                <w:rFonts w:ascii="Arial" w:hAnsi="Arial" w:cs="Arial"/>
              </w:rPr>
            </w:pPr>
            <w:r w:rsidRPr="00E0573F">
              <w:rPr>
                <w:rFonts w:ascii="Arial" w:hAnsi="Arial" w:cs="Arial"/>
              </w:rPr>
              <w:t>132</w:t>
            </w:r>
          </w:p>
        </w:tc>
      </w:tr>
      <w:tr w:rsidR="00FF0471" w:rsidRPr="00E0573F" w14:paraId="440B039D" w14:textId="77777777" w:rsidTr="00FF0471">
        <w:tc>
          <w:tcPr>
            <w:tcW w:w="2052" w:type="dxa"/>
            <w:vMerge w:val="restart"/>
            <w:vAlign w:val="center"/>
          </w:tcPr>
          <w:p w14:paraId="3EADFFBC" w14:textId="77777777" w:rsidR="00FF0471" w:rsidRPr="00E0573F" w:rsidRDefault="00FF0471" w:rsidP="00845DFF">
            <w:pPr>
              <w:jc w:val="center"/>
              <w:rPr>
                <w:rFonts w:ascii="Arial" w:hAnsi="Arial" w:cs="Arial"/>
              </w:rPr>
            </w:pPr>
            <w:r w:rsidRPr="00E0573F">
              <w:rPr>
                <w:rFonts w:ascii="Arial" w:hAnsi="Arial" w:cs="Arial"/>
                <w:bCs/>
              </w:rPr>
              <w:t>Ventilation</w:t>
            </w:r>
          </w:p>
        </w:tc>
        <w:tc>
          <w:tcPr>
            <w:tcW w:w="1656" w:type="dxa"/>
            <w:vAlign w:val="center"/>
          </w:tcPr>
          <w:p w14:paraId="3438ACA9" w14:textId="77777777" w:rsidR="00FF0471" w:rsidRPr="00E0573F" w:rsidRDefault="00FF0471" w:rsidP="00845DFF">
            <w:pPr>
              <w:jc w:val="center"/>
              <w:rPr>
                <w:rFonts w:ascii="Arial" w:hAnsi="Arial" w:cs="Arial"/>
              </w:rPr>
            </w:pPr>
            <w:r w:rsidRPr="00E0573F">
              <w:rPr>
                <w:rFonts w:ascii="Arial" w:hAnsi="Arial" w:cs="Arial"/>
              </w:rPr>
              <w:t>Adequate</w:t>
            </w:r>
          </w:p>
        </w:tc>
        <w:tc>
          <w:tcPr>
            <w:tcW w:w="1890" w:type="dxa"/>
            <w:vAlign w:val="center"/>
          </w:tcPr>
          <w:p w14:paraId="7D448F4E" w14:textId="77777777" w:rsidR="00FF0471" w:rsidRPr="00E0573F" w:rsidRDefault="00FF0471" w:rsidP="00845DFF">
            <w:pPr>
              <w:jc w:val="center"/>
              <w:rPr>
                <w:rFonts w:ascii="Arial" w:hAnsi="Arial" w:cs="Arial"/>
              </w:rPr>
            </w:pPr>
            <w:r w:rsidRPr="00E0573F">
              <w:rPr>
                <w:rFonts w:ascii="Arial" w:hAnsi="Arial" w:cs="Arial"/>
              </w:rPr>
              <w:t>48 (31.2)</w:t>
            </w:r>
          </w:p>
        </w:tc>
        <w:tc>
          <w:tcPr>
            <w:tcW w:w="2160" w:type="dxa"/>
            <w:vAlign w:val="center"/>
          </w:tcPr>
          <w:p w14:paraId="4A3AA137" w14:textId="77777777" w:rsidR="00FF0471" w:rsidRPr="00E0573F" w:rsidRDefault="00FF0471" w:rsidP="00845DFF">
            <w:pPr>
              <w:jc w:val="center"/>
              <w:rPr>
                <w:rFonts w:ascii="Arial" w:hAnsi="Arial" w:cs="Arial"/>
              </w:rPr>
            </w:pPr>
            <w:r w:rsidRPr="00E0573F">
              <w:rPr>
                <w:rFonts w:ascii="Arial" w:hAnsi="Arial" w:cs="Arial"/>
              </w:rPr>
              <w:t>63 (64.3)</w:t>
            </w:r>
          </w:p>
        </w:tc>
        <w:tc>
          <w:tcPr>
            <w:tcW w:w="1098" w:type="dxa"/>
            <w:vAlign w:val="center"/>
          </w:tcPr>
          <w:p w14:paraId="46479AD0" w14:textId="77777777" w:rsidR="00FF0471" w:rsidRPr="00E0573F" w:rsidRDefault="00FF0471" w:rsidP="00845DFF">
            <w:pPr>
              <w:jc w:val="center"/>
              <w:rPr>
                <w:rFonts w:ascii="Arial" w:hAnsi="Arial" w:cs="Arial"/>
              </w:rPr>
            </w:pPr>
            <w:r w:rsidRPr="00E0573F">
              <w:rPr>
                <w:rFonts w:ascii="Arial" w:hAnsi="Arial" w:cs="Arial"/>
              </w:rPr>
              <w:t>111</w:t>
            </w:r>
          </w:p>
        </w:tc>
      </w:tr>
      <w:tr w:rsidR="00FF0471" w:rsidRPr="00E0573F" w14:paraId="34A23A7B" w14:textId="77777777" w:rsidTr="00FF0471">
        <w:tc>
          <w:tcPr>
            <w:tcW w:w="2052" w:type="dxa"/>
            <w:vMerge/>
            <w:vAlign w:val="center"/>
          </w:tcPr>
          <w:p w14:paraId="75968702" w14:textId="77777777" w:rsidR="00FF0471" w:rsidRPr="00E0573F" w:rsidRDefault="00FF0471" w:rsidP="00845DFF">
            <w:pPr>
              <w:jc w:val="center"/>
              <w:rPr>
                <w:rFonts w:ascii="Arial" w:hAnsi="Arial" w:cs="Arial"/>
              </w:rPr>
            </w:pPr>
          </w:p>
        </w:tc>
        <w:tc>
          <w:tcPr>
            <w:tcW w:w="1656" w:type="dxa"/>
            <w:vAlign w:val="center"/>
          </w:tcPr>
          <w:p w14:paraId="2AC643ED" w14:textId="77777777" w:rsidR="00FF0471" w:rsidRPr="00E0573F" w:rsidRDefault="00FF0471" w:rsidP="00845DFF">
            <w:pPr>
              <w:jc w:val="center"/>
              <w:rPr>
                <w:rFonts w:ascii="Arial" w:hAnsi="Arial" w:cs="Arial"/>
              </w:rPr>
            </w:pPr>
            <w:r w:rsidRPr="00E0573F">
              <w:rPr>
                <w:rFonts w:ascii="Arial" w:hAnsi="Arial" w:cs="Arial"/>
              </w:rPr>
              <w:t>Inadequate</w:t>
            </w:r>
          </w:p>
        </w:tc>
        <w:tc>
          <w:tcPr>
            <w:tcW w:w="1890" w:type="dxa"/>
            <w:vAlign w:val="center"/>
          </w:tcPr>
          <w:p w14:paraId="132899AA" w14:textId="77777777" w:rsidR="00FF0471" w:rsidRPr="00E0573F" w:rsidRDefault="00FF0471" w:rsidP="00845DFF">
            <w:pPr>
              <w:jc w:val="center"/>
              <w:rPr>
                <w:rFonts w:ascii="Arial" w:hAnsi="Arial" w:cs="Arial"/>
              </w:rPr>
            </w:pPr>
            <w:r w:rsidRPr="00E0573F">
              <w:rPr>
                <w:rFonts w:ascii="Arial" w:hAnsi="Arial" w:cs="Arial"/>
              </w:rPr>
              <w:t>106 (68.8)</w:t>
            </w:r>
          </w:p>
        </w:tc>
        <w:tc>
          <w:tcPr>
            <w:tcW w:w="2160" w:type="dxa"/>
            <w:vAlign w:val="center"/>
          </w:tcPr>
          <w:p w14:paraId="179BDBF0" w14:textId="77777777" w:rsidR="00FF0471" w:rsidRPr="00E0573F" w:rsidRDefault="00FF0471" w:rsidP="00845DFF">
            <w:pPr>
              <w:jc w:val="center"/>
              <w:rPr>
                <w:rFonts w:ascii="Arial" w:hAnsi="Arial" w:cs="Arial"/>
              </w:rPr>
            </w:pPr>
            <w:r w:rsidRPr="00E0573F">
              <w:rPr>
                <w:rFonts w:ascii="Arial" w:hAnsi="Arial" w:cs="Arial"/>
              </w:rPr>
              <w:t>35 (35.7)</w:t>
            </w:r>
          </w:p>
        </w:tc>
        <w:tc>
          <w:tcPr>
            <w:tcW w:w="1098" w:type="dxa"/>
            <w:vAlign w:val="center"/>
          </w:tcPr>
          <w:p w14:paraId="51513D1C" w14:textId="77777777" w:rsidR="00FF0471" w:rsidRPr="00E0573F" w:rsidRDefault="00FF0471" w:rsidP="00845DFF">
            <w:pPr>
              <w:jc w:val="center"/>
              <w:rPr>
                <w:rFonts w:ascii="Arial" w:hAnsi="Arial" w:cs="Arial"/>
              </w:rPr>
            </w:pPr>
            <w:r w:rsidRPr="00E0573F">
              <w:rPr>
                <w:rFonts w:ascii="Arial" w:hAnsi="Arial" w:cs="Arial"/>
              </w:rPr>
              <w:t>141</w:t>
            </w:r>
          </w:p>
        </w:tc>
      </w:tr>
      <w:tr w:rsidR="00FF0471" w:rsidRPr="00E0573F" w14:paraId="107CDAB5" w14:textId="77777777" w:rsidTr="00FF0471">
        <w:tc>
          <w:tcPr>
            <w:tcW w:w="2052" w:type="dxa"/>
            <w:vMerge w:val="restart"/>
            <w:vAlign w:val="center"/>
          </w:tcPr>
          <w:p w14:paraId="4EAA5C52" w14:textId="77777777" w:rsidR="00FF0471" w:rsidRPr="00E0573F" w:rsidRDefault="00FF0471" w:rsidP="00845DFF">
            <w:pPr>
              <w:jc w:val="center"/>
              <w:rPr>
                <w:rFonts w:ascii="Arial" w:hAnsi="Arial" w:cs="Arial"/>
              </w:rPr>
            </w:pPr>
            <w:r w:rsidRPr="00E0573F">
              <w:rPr>
                <w:rFonts w:ascii="Arial" w:hAnsi="Arial" w:cs="Arial"/>
                <w:bCs/>
              </w:rPr>
              <w:t>Lighting Status</w:t>
            </w:r>
          </w:p>
        </w:tc>
        <w:tc>
          <w:tcPr>
            <w:tcW w:w="1656" w:type="dxa"/>
            <w:vAlign w:val="center"/>
          </w:tcPr>
          <w:p w14:paraId="78A4953F" w14:textId="77777777" w:rsidR="00FF0471" w:rsidRPr="00E0573F" w:rsidRDefault="00FF0471" w:rsidP="00845DFF">
            <w:pPr>
              <w:jc w:val="center"/>
              <w:rPr>
                <w:rFonts w:ascii="Arial" w:hAnsi="Arial" w:cs="Arial"/>
              </w:rPr>
            </w:pPr>
            <w:r w:rsidRPr="00E0573F">
              <w:rPr>
                <w:rFonts w:ascii="Arial" w:hAnsi="Arial" w:cs="Arial"/>
              </w:rPr>
              <w:t>Good</w:t>
            </w:r>
          </w:p>
        </w:tc>
        <w:tc>
          <w:tcPr>
            <w:tcW w:w="1890" w:type="dxa"/>
            <w:vAlign w:val="center"/>
          </w:tcPr>
          <w:p w14:paraId="5CFE7B76" w14:textId="77777777" w:rsidR="00FF0471" w:rsidRPr="00E0573F" w:rsidRDefault="00FF0471" w:rsidP="00845DFF">
            <w:pPr>
              <w:jc w:val="center"/>
              <w:rPr>
                <w:rFonts w:ascii="Arial" w:hAnsi="Arial" w:cs="Arial"/>
              </w:rPr>
            </w:pPr>
            <w:r w:rsidRPr="00E0573F">
              <w:rPr>
                <w:rFonts w:ascii="Arial" w:hAnsi="Arial" w:cs="Arial"/>
              </w:rPr>
              <w:t>61 (39.6)</w:t>
            </w:r>
          </w:p>
        </w:tc>
        <w:tc>
          <w:tcPr>
            <w:tcW w:w="2160" w:type="dxa"/>
            <w:vAlign w:val="center"/>
          </w:tcPr>
          <w:p w14:paraId="29D33529" w14:textId="77777777" w:rsidR="00FF0471" w:rsidRPr="00E0573F" w:rsidRDefault="00FF0471" w:rsidP="00845DFF">
            <w:pPr>
              <w:jc w:val="center"/>
              <w:rPr>
                <w:rFonts w:ascii="Arial" w:hAnsi="Arial" w:cs="Arial"/>
              </w:rPr>
            </w:pPr>
            <w:r w:rsidRPr="00E0573F">
              <w:rPr>
                <w:rFonts w:ascii="Arial" w:hAnsi="Arial" w:cs="Arial"/>
              </w:rPr>
              <w:t>70 (71.4)</w:t>
            </w:r>
          </w:p>
        </w:tc>
        <w:tc>
          <w:tcPr>
            <w:tcW w:w="1098" w:type="dxa"/>
            <w:vAlign w:val="center"/>
          </w:tcPr>
          <w:p w14:paraId="26AB30D3" w14:textId="77777777" w:rsidR="00FF0471" w:rsidRPr="00E0573F" w:rsidRDefault="00FF0471" w:rsidP="00845DFF">
            <w:pPr>
              <w:jc w:val="center"/>
              <w:rPr>
                <w:rFonts w:ascii="Arial" w:hAnsi="Arial" w:cs="Arial"/>
              </w:rPr>
            </w:pPr>
            <w:r w:rsidRPr="00E0573F">
              <w:rPr>
                <w:rFonts w:ascii="Arial" w:hAnsi="Arial" w:cs="Arial"/>
              </w:rPr>
              <w:t>131</w:t>
            </w:r>
          </w:p>
        </w:tc>
      </w:tr>
      <w:tr w:rsidR="00FF0471" w:rsidRPr="00E0573F" w14:paraId="7F780020" w14:textId="77777777" w:rsidTr="00FF0471">
        <w:tc>
          <w:tcPr>
            <w:tcW w:w="2052" w:type="dxa"/>
            <w:vMerge/>
            <w:vAlign w:val="center"/>
          </w:tcPr>
          <w:p w14:paraId="20DF133E" w14:textId="77777777" w:rsidR="00FF0471" w:rsidRPr="00E0573F" w:rsidRDefault="00FF0471" w:rsidP="00845DFF">
            <w:pPr>
              <w:jc w:val="center"/>
              <w:rPr>
                <w:rFonts w:ascii="Arial" w:hAnsi="Arial" w:cs="Arial"/>
              </w:rPr>
            </w:pPr>
          </w:p>
        </w:tc>
        <w:tc>
          <w:tcPr>
            <w:tcW w:w="1656" w:type="dxa"/>
            <w:vAlign w:val="center"/>
          </w:tcPr>
          <w:p w14:paraId="28F201EC" w14:textId="77777777" w:rsidR="00FF0471" w:rsidRPr="00E0573F" w:rsidRDefault="00FF0471" w:rsidP="00845DFF">
            <w:pPr>
              <w:jc w:val="center"/>
              <w:rPr>
                <w:rFonts w:ascii="Arial" w:hAnsi="Arial" w:cs="Arial"/>
              </w:rPr>
            </w:pPr>
            <w:r w:rsidRPr="00E0573F">
              <w:rPr>
                <w:rFonts w:ascii="Arial" w:hAnsi="Arial" w:cs="Arial"/>
              </w:rPr>
              <w:t>Poor</w:t>
            </w:r>
          </w:p>
        </w:tc>
        <w:tc>
          <w:tcPr>
            <w:tcW w:w="1890" w:type="dxa"/>
            <w:vAlign w:val="center"/>
          </w:tcPr>
          <w:p w14:paraId="674090C0" w14:textId="77777777" w:rsidR="00FF0471" w:rsidRPr="00E0573F" w:rsidRDefault="00FF0471" w:rsidP="00845DFF">
            <w:pPr>
              <w:jc w:val="center"/>
              <w:rPr>
                <w:rFonts w:ascii="Arial" w:hAnsi="Arial" w:cs="Arial"/>
              </w:rPr>
            </w:pPr>
            <w:r w:rsidRPr="00E0573F">
              <w:rPr>
                <w:rFonts w:ascii="Arial" w:hAnsi="Arial" w:cs="Arial"/>
              </w:rPr>
              <w:t>93 (60.4)</w:t>
            </w:r>
          </w:p>
        </w:tc>
        <w:tc>
          <w:tcPr>
            <w:tcW w:w="2160" w:type="dxa"/>
            <w:vAlign w:val="center"/>
          </w:tcPr>
          <w:p w14:paraId="32FE03AC" w14:textId="77777777" w:rsidR="00FF0471" w:rsidRPr="00E0573F" w:rsidRDefault="00FF0471" w:rsidP="00845DFF">
            <w:pPr>
              <w:jc w:val="center"/>
              <w:rPr>
                <w:rFonts w:ascii="Arial" w:hAnsi="Arial" w:cs="Arial"/>
              </w:rPr>
            </w:pPr>
            <w:r w:rsidRPr="00E0573F">
              <w:rPr>
                <w:rFonts w:ascii="Arial" w:hAnsi="Arial" w:cs="Arial"/>
              </w:rPr>
              <w:t>28 (28.6)</w:t>
            </w:r>
          </w:p>
        </w:tc>
        <w:tc>
          <w:tcPr>
            <w:tcW w:w="1098" w:type="dxa"/>
            <w:vAlign w:val="center"/>
          </w:tcPr>
          <w:p w14:paraId="55DFA2DE" w14:textId="77777777" w:rsidR="00FF0471" w:rsidRPr="00E0573F" w:rsidRDefault="00FF0471" w:rsidP="00845DFF">
            <w:pPr>
              <w:jc w:val="center"/>
              <w:rPr>
                <w:rFonts w:ascii="Arial" w:hAnsi="Arial" w:cs="Arial"/>
              </w:rPr>
            </w:pPr>
            <w:r w:rsidRPr="00E0573F">
              <w:rPr>
                <w:rFonts w:ascii="Arial" w:hAnsi="Arial" w:cs="Arial"/>
              </w:rPr>
              <w:t>121</w:t>
            </w:r>
          </w:p>
        </w:tc>
      </w:tr>
      <w:tr w:rsidR="00FF0471" w:rsidRPr="00E0573F" w14:paraId="57A56C35" w14:textId="77777777" w:rsidTr="00FF0471">
        <w:tc>
          <w:tcPr>
            <w:tcW w:w="2052" w:type="dxa"/>
            <w:vMerge w:val="restart"/>
            <w:vAlign w:val="center"/>
          </w:tcPr>
          <w:p w14:paraId="39A9D7E4" w14:textId="77777777" w:rsidR="00FF0471" w:rsidRPr="00E0573F" w:rsidRDefault="00FF0471" w:rsidP="00845DFF">
            <w:pPr>
              <w:jc w:val="center"/>
              <w:rPr>
                <w:rFonts w:ascii="Arial" w:hAnsi="Arial" w:cs="Arial"/>
              </w:rPr>
            </w:pPr>
            <w:r w:rsidRPr="00E0573F">
              <w:rPr>
                <w:rFonts w:ascii="Arial" w:hAnsi="Arial" w:cs="Arial"/>
                <w:bCs/>
              </w:rPr>
              <w:t>Cooking Fuel</w:t>
            </w:r>
          </w:p>
        </w:tc>
        <w:tc>
          <w:tcPr>
            <w:tcW w:w="1656" w:type="dxa"/>
            <w:vAlign w:val="center"/>
          </w:tcPr>
          <w:p w14:paraId="43CC20DE" w14:textId="77777777" w:rsidR="00FF0471" w:rsidRPr="00E0573F" w:rsidRDefault="00FF0471" w:rsidP="00845DFF">
            <w:pPr>
              <w:jc w:val="center"/>
              <w:rPr>
                <w:rFonts w:ascii="Arial" w:hAnsi="Arial" w:cs="Arial"/>
              </w:rPr>
            </w:pPr>
            <w:r w:rsidRPr="00E0573F">
              <w:rPr>
                <w:rFonts w:ascii="Arial" w:hAnsi="Arial" w:cs="Arial"/>
              </w:rPr>
              <w:t>Firewood</w:t>
            </w:r>
          </w:p>
        </w:tc>
        <w:tc>
          <w:tcPr>
            <w:tcW w:w="1890" w:type="dxa"/>
            <w:vAlign w:val="center"/>
          </w:tcPr>
          <w:p w14:paraId="0915B2BA" w14:textId="77777777" w:rsidR="00FF0471" w:rsidRPr="00E0573F" w:rsidRDefault="00FF0471" w:rsidP="00845DFF">
            <w:pPr>
              <w:jc w:val="center"/>
              <w:rPr>
                <w:rFonts w:ascii="Arial" w:hAnsi="Arial" w:cs="Arial"/>
              </w:rPr>
            </w:pPr>
            <w:r w:rsidRPr="00E0573F">
              <w:rPr>
                <w:rFonts w:ascii="Arial" w:hAnsi="Arial" w:cs="Arial"/>
              </w:rPr>
              <w:t>68 (44.2)</w:t>
            </w:r>
          </w:p>
        </w:tc>
        <w:tc>
          <w:tcPr>
            <w:tcW w:w="2160" w:type="dxa"/>
            <w:vAlign w:val="center"/>
          </w:tcPr>
          <w:p w14:paraId="20764763" w14:textId="77777777" w:rsidR="00FF0471" w:rsidRPr="00E0573F" w:rsidRDefault="00FF0471" w:rsidP="00845DFF">
            <w:pPr>
              <w:jc w:val="center"/>
              <w:rPr>
                <w:rFonts w:ascii="Arial" w:hAnsi="Arial" w:cs="Arial"/>
              </w:rPr>
            </w:pPr>
            <w:r w:rsidRPr="00E0573F">
              <w:rPr>
                <w:rFonts w:ascii="Arial" w:hAnsi="Arial" w:cs="Arial"/>
              </w:rPr>
              <w:t>24 (24.5)</w:t>
            </w:r>
          </w:p>
        </w:tc>
        <w:tc>
          <w:tcPr>
            <w:tcW w:w="1098" w:type="dxa"/>
            <w:vAlign w:val="center"/>
          </w:tcPr>
          <w:p w14:paraId="749D752E" w14:textId="77777777" w:rsidR="00FF0471" w:rsidRPr="00E0573F" w:rsidRDefault="00FF0471" w:rsidP="00845DFF">
            <w:pPr>
              <w:jc w:val="center"/>
              <w:rPr>
                <w:rFonts w:ascii="Arial" w:hAnsi="Arial" w:cs="Arial"/>
              </w:rPr>
            </w:pPr>
            <w:r w:rsidRPr="00E0573F">
              <w:rPr>
                <w:rFonts w:ascii="Arial" w:hAnsi="Arial" w:cs="Arial"/>
              </w:rPr>
              <w:t>92</w:t>
            </w:r>
          </w:p>
        </w:tc>
      </w:tr>
      <w:tr w:rsidR="00FF0471" w:rsidRPr="00E0573F" w14:paraId="4CCDF47B" w14:textId="77777777" w:rsidTr="00FF0471">
        <w:tc>
          <w:tcPr>
            <w:tcW w:w="2052" w:type="dxa"/>
            <w:vMerge/>
            <w:vAlign w:val="center"/>
          </w:tcPr>
          <w:p w14:paraId="003508E5" w14:textId="77777777" w:rsidR="00FF0471" w:rsidRPr="00E0573F" w:rsidRDefault="00FF0471" w:rsidP="00845DFF">
            <w:pPr>
              <w:jc w:val="center"/>
              <w:rPr>
                <w:rFonts w:ascii="Arial" w:hAnsi="Arial" w:cs="Arial"/>
              </w:rPr>
            </w:pPr>
          </w:p>
        </w:tc>
        <w:tc>
          <w:tcPr>
            <w:tcW w:w="1656" w:type="dxa"/>
            <w:vAlign w:val="center"/>
          </w:tcPr>
          <w:p w14:paraId="0DA2F24A" w14:textId="77777777" w:rsidR="00FF0471" w:rsidRPr="00E0573F" w:rsidRDefault="00FF0471" w:rsidP="00845DFF">
            <w:pPr>
              <w:jc w:val="center"/>
              <w:rPr>
                <w:rFonts w:ascii="Arial" w:hAnsi="Arial" w:cs="Arial"/>
              </w:rPr>
            </w:pPr>
            <w:r w:rsidRPr="00E0573F">
              <w:rPr>
                <w:rFonts w:ascii="Arial" w:hAnsi="Arial" w:cs="Arial"/>
              </w:rPr>
              <w:t>Charcoal</w:t>
            </w:r>
          </w:p>
        </w:tc>
        <w:tc>
          <w:tcPr>
            <w:tcW w:w="1890" w:type="dxa"/>
            <w:vAlign w:val="center"/>
          </w:tcPr>
          <w:p w14:paraId="3F35C418" w14:textId="77777777" w:rsidR="00FF0471" w:rsidRPr="00E0573F" w:rsidRDefault="00FF0471" w:rsidP="00845DFF">
            <w:pPr>
              <w:jc w:val="center"/>
              <w:rPr>
                <w:rFonts w:ascii="Arial" w:hAnsi="Arial" w:cs="Arial"/>
              </w:rPr>
            </w:pPr>
            <w:r w:rsidRPr="00E0573F">
              <w:rPr>
                <w:rFonts w:ascii="Arial" w:hAnsi="Arial" w:cs="Arial"/>
              </w:rPr>
              <w:t>43 (27.9)</w:t>
            </w:r>
          </w:p>
        </w:tc>
        <w:tc>
          <w:tcPr>
            <w:tcW w:w="2160" w:type="dxa"/>
            <w:vAlign w:val="center"/>
          </w:tcPr>
          <w:p w14:paraId="0CB0B24E" w14:textId="77777777" w:rsidR="00FF0471" w:rsidRPr="00E0573F" w:rsidRDefault="00FF0471" w:rsidP="00845DFF">
            <w:pPr>
              <w:jc w:val="center"/>
              <w:rPr>
                <w:rFonts w:ascii="Arial" w:hAnsi="Arial" w:cs="Arial"/>
              </w:rPr>
            </w:pPr>
            <w:r w:rsidRPr="00E0573F">
              <w:rPr>
                <w:rFonts w:ascii="Arial" w:hAnsi="Arial" w:cs="Arial"/>
              </w:rPr>
              <w:t>29 (29.6)</w:t>
            </w:r>
          </w:p>
        </w:tc>
        <w:tc>
          <w:tcPr>
            <w:tcW w:w="1098" w:type="dxa"/>
            <w:vAlign w:val="center"/>
          </w:tcPr>
          <w:p w14:paraId="71B5215E" w14:textId="77777777" w:rsidR="00FF0471" w:rsidRPr="00E0573F" w:rsidRDefault="00FF0471" w:rsidP="00845DFF">
            <w:pPr>
              <w:jc w:val="center"/>
              <w:rPr>
                <w:rFonts w:ascii="Arial" w:hAnsi="Arial" w:cs="Arial"/>
              </w:rPr>
            </w:pPr>
            <w:r w:rsidRPr="00E0573F">
              <w:rPr>
                <w:rFonts w:ascii="Arial" w:hAnsi="Arial" w:cs="Arial"/>
              </w:rPr>
              <w:t>72</w:t>
            </w:r>
          </w:p>
        </w:tc>
      </w:tr>
      <w:tr w:rsidR="00FF0471" w:rsidRPr="00E0573F" w14:paraId="16284B75" w14:textId="77777777" w:rsidTr="00FF0471">
        <w:tc>
          <w:tcPr>
            <w:tcW w:w="2052" w:type="dxa"/>
            <w:vMerge/>
            <w:vAlign w:val="center"/>
          </w:tcPr>
          <w:p w14:paraId="1428EABA" w14:textId="77777777" w:rsidR="00FF0471" w:rsidRPr="00E0573F" w:rsidRDefault="00FF0471" w:rsidP="00845DFF">
            <w:pPr>
              <w:jc w:val="center"/>
              <w:rPr>
                <w:rFonts w:ascii="Arial" w:hAnsi="Arial" w:cs="Arial"/>
              </w:rPr>
            </w:pPr>
          </w:p>
        </w:tc>
        <w:tc>
          <w:tcPr>
            <w:tcW w:w="1656" w:type="dxa"/>
            <w:vAlign w:val="center"/>
          </w:tcPr>
          <w:p w14:paraId="00C1A576" w14:textId="77777777" w:rsidR="00FF0471" w:rsidRPr="00E0573F" w:rsidRDefault="00FF0471" w:rsidP="00845DFF">
            <w:pPr>
              <w:jc w:val="center"/>
              <w:rPr>
                <w:rFonts w:ascii="Arial" w:hAnsi="Arial" w:cs="Arial"/>
              </w:rPr>
            </w:pPr>
            <w:r w:rsidRPr="00E0573F">
              <w:rPr>
                <w:rFonts w:ascii="Arial" w:hAnsi="Arial" w:cs="Arial"/>
              </w:rPr>
              <w:t>Gas/Electricity</w:t>
            </w:r>
          </w:p>
        </w:tc>
        <w:tc>
          <w:tcPr>
            <w:tcW w:w="1890" w:type="dxa"/>
            <w:vAlign w:val="center"/>
          </w:tcPr>
          <w:p w14:paraId="1FF542B6" w14:textId="77777777" w:rsidR="00FF0471" w:rsidRPr="00E0573F" w:rsidRDefault="00FF0471" w:rsidP="00845DFF">
            <w:pPr>
              <w:jc w:val="center"/>
              <w:rPr>
                <w:rFonts w:ascii="Arial" w:hAnsi="Arial" w:cs="Arial"/>
              </w:rPr>
            </w:pPr>
            <w:r w:rsidRPr="00E0573F">
              <w:rPr>
                <w:rFonts w:ascii="Arial" w:hAnsi="Arial" w:cs="Arial"/>
              </w:rPr>
              <w:t>43 (27.9)</w:t>
            </w:r>
          </w:p>
        </w:tc>
        <w:tc>
          <w:tcPr>
            <w:tcW w:w="2160" w:type="dxa"/>
            <w:vAlign w:val="center"/>
          </w:tcPr>
          <w:p w14:paraId="1F0D055B" w14:textId="77777777" w:rsidR="00FF0471" w:rsidRPr="00E0573F" w:rsidRDefault="00FF0471" w:rsidP="00845DFF">
            <w:pPr>
              <w:jc w:val="center"/>
              <w:rPr>
                <w:rFonts w:ascii="Arial" w:hAnsi="Arial" w:cs="Arial"/>
              </w:rPr>
            </w:pPr>
            <w:r w:rsidRPr="00E0573F">
              <w:rPr>
                <w:rFonts w:ascii="Arial" w:hAnsi="Arial" w:cs="Arial"/>
              </w:rPr>
              <w:t>45 (45.9)</w:t>
            </w:r>
          </w:p>
        </w:tc>
        <w:tc>
          <w:tcPr>
            <w:tcW w:w="1098" w:type="dxa"/>
            <w:vAlign w:val="center"/>
          </w:tcPr>
          <w:p w14:paraId="51932CBE" w14:textId="77777777" w:rsidR="00FF0471" w:rsidRPr="00E0573F" w:rsidRDefault="00FF0471" w:rsidP="00845DFF">
            <w:pPr>
              <w:jc w:val="center"/>
              <w:rPr>
                <w:rFonts w:ascii="Arial" w:hAnsi="Arial" w:cs="Arial"/>
              </w:rPr>
            </w:pPr>
            <w:r w:rsidRPr="00E0573F">
              <w:rPr>
                <w:rFonts w:ascii="Arial" w:hAnsi="Arial" w:cs="Arial"/>
              </w:rPr>
              <w:t>88</w:t>
            </w:r>
          </w:p>
        </w:tc>
      </w:tr>
    </w:tbl>
    <w:p w14:paraId="22E37BCE" w14:textId="77777777" w:rsidR="00FF0471" w:rsidRPr="00E0573F" w:rsidRDefault="00FF0471" w:rsidP="00FF0471"/>
    <w:p w14:paraId="0C115F70" w14:textId="77777777" w:rsidR="00382EB1" w:rsidRPr="00E0573F" w:rsidRDefault="00382EB1" w:rsidP="00382EB1">
      <w:pPr>
        <w:jc w:val="both"/>
        <w:rPr>
          <w:rFonts w:ascii="Arial" w:hAnsi="Arial" w:cs="Arial"/>
        </w:rPr>
      </w:pPr>
      <w:r w:rsidRPr="00E0573F">
        <w:rPr>
          <w:rFonts w:ascii="Arial" w:hAnsi="Arial" w:cs="Arial"/>
        </w:rPr>
        <w:t>The environmental risk-factor results reported in Table 3 indicate that overcrowding was common among confirmed TB cases: 94 (61.0%) individuals who tested positive for TB lived in overcrowded houses, compared with 26 (26.5%) among those whose diagnosis was not confirmed. Conversely, a larger proportion of unconfirmed cases lived in non-overcrowded environments, at 72 (73.5%), suggesting that overcrowding may play an important role in facilitating TB transmission through close and prolonged contact.</w:t>
      </w:r>
    </w:p>
    <w:p w14:paraId="1186F7C0" w14:textId="77777777" w:rsidR="00382EB1" w:rsidRPr="00E0573F" w:rsidRDefault="00382EB1" w:rsidP="00382EB1">
      <w:pPr>
        <w:pStyle w:val="NormalWeb"/>
        <w:jc w:val="both"/>
        <w:rPr>
          <w:rFonts w:ascii="Arial" w:hAnsi="Arial" w:cs="Arial"/>
          <w:sz w:val="20"/>
          <w:szCs w:val="20"/>
        </w:rPr>
      </w:pPr>
      <w:r w:rsidRPr="00E0573F">
        <w:rPr>
          <w:rFonts w:ascii="Arial" w:hAnsi="Arial" w:cs="Arial"/>
          <w:sz w:val="20"/>
          <w:szCs w:val="20"/>
        </w:rPr>
        <w:t>With respect to ventilation, a higher proportion of confirmed TB cases lived in houses with inadequate ventilation, at 106 (68.8%), than in houses with adequate ventilation, at 48 (31.2%). In contrast, most unconfirmed cases lived in adequately ventilated houses, at 63 (64.3%). This finding highlights poor ventilation as an environmental condition that favours the airborne transmission of tuberculosis.</w:t>
      </w:r>
    </w:p>
    <w:p w14:paraId="01DB2CBD" w14:textId="77777777" w:rsidR="00382EB1" w:rsidRPr="00E0573F" w:rsidRDefault="00382EB1" w:rsidP="00382EB1">
      <w:pPr>
        <w:pStyle w:val="NormalWeb"/>
        <w:jc w:val="both"/>
        <w:rPr>
          <w:rFonts w:ascii="Arial" w:hAnsi="Arial" w:cs="Arial"/>
          <w:sz w:val="20"/>
          <w:szCs w:val="20"/>
        </w:rPr>
      </w:pPr>
      <w:r w:rsidRPr="00E0573F">
        <w:rPr>
          <w:rFonts w:ascii="Arial" w:hAnsi="Arial" w:cs="Arial"/>
          <w:sz w:val="20"/>
          <w:szCs w:val="20"/>
        </w:rPr>
        <w:t>Regarding lighting, respondents living in houses with poor lighting accounted for 93 (60.4%) confirmed TB cases, while 61 (39.6%) confirmed cases resided in well-lit houses. Conversely, most unconfirmed cases lived in houses with good lighting, at 70 (71.4%), suggesting an association between poor housing conditions and the risk of TB infection.</w:t>
      </w:r>
    </w:p>
    <w:p w14:paraId="504FF3AD" w14:textId="77777777" w:rsidR="00382EB1" w:rsidRPr="00E0573F" w:rsidRDefault="00382EB1" w:rsidP="00382EB1">
      <w:pPr>
        <w:pStyle w:val="NormalWeb"/>
        <w:spacing w:after="0" w:afterAutospacing="0"/>
        <w:jc w:val="both"/>
        <w:rPr>
          <w:rFonts w:ascii="Arial" w:hAnsi="Arial" w:cs="Arial"/>
          <w:sz w:val="20"/>
          <w:szCs w:val="20"/>
        </w:rPr>
      </w:pPr>
      <w:r w:rsidRPr="00E0573F">
        <w:rPr>
          <w:rFonts w:ascii="Arial" w:hAnsi="Arial" w:cs="Arial"/>
          <w:sz w:val="20"/>
          <w:szCs w:val="20"/>
        </w:rPr>
        <w:t>Regarding cooking fuel, firewood use accounted for the highest proportion of confirmed TB cases, at 68 (44.2%), followed by charcoal, at 43 (27.9%), and gas or electricity, at 43 (27.9%). Among unconfirmed cases, the highest proportion used gas or electricity, at 45 (45.9%), while fewer relied on firewood. This pattern suggests that exposure to smoke from biomass fuels, such as firewood and charcoal, may increase vulnerability to respiratory infections, including tuberculosis. Overall, these findings emphasise the important role of poor housing conditions, indoor air pollution, and inadequate ventilation in tuberculosis transmission and burden in the study area.</w:t>
      </w:r>
    </w:p>
    <w:p w14:paraId="2644035A" w14:textId="77777777" w:rsidR="00382EB1" w:rsidRPr="00E0573F" w:rsidRDefault="00382EB1" w:rsidP="00845DFF">
      <w:pPr>
        <w:pStyle w:val="NormalWeb"/>
        <w:spacing w:before="0" w:beforeAutospacing="0" w:after="0" w:afterAutospacing="0"/>
        <w:jc w:val="both"/>
        <w:rPr>
          <w:rFonts w:ascii="Arial" w:hAnsi="Arial" w:cs="Arial"/>
          <w:sz w:val="20"/>
          <w:szCs w:val="20"/>
        </w:rPr>
      </w:pPr>
    </w:p>
    <w:p w14:paraId="1A415376" w14:textId="77777777" w:rsidR="00FF0471" w:rsidRPr="00E0573F" w:rsidRDefault="00FF0471" w:rsidP="00B121C3">
      <w:pPr>
        <w:pStyle w:val="NormalWeb"/>
        <w:spacing w:before="0" w:beforeAutospacing="0" w:after="0" w:afterAutospacing="0"/>
        <w:jc w:val="both"/>
        <w:rPr>
          <w:rFonts w:ascii="Arial" w:hAnsi="Arial" w:cs="Arial"/>
          <w:sz w:val="20"/>
          <w:szCs w:val="20"/>
        </w:rPr>
      </w:pPr>
      <w:r w:rsidRPr="00E0573F">
        <w:rPr>
          <w:rFonts w:ascii="Arial" w:hAnsi="Arial" w:cs="Arial"/>
          <w:sz w:val="20"/>
          <w:szCs w:val="20"/>
        </w:rPr>
        <w:t>Table 4 presents the distribution of tuberculosis infection according to selected behavioural risk factors, including smoking history, alcohol consumption, number of meals consumed per day, and drug use. The table compares the proportions of respondents with confirmed and unconfirmed TB across these behavioural practices.</w:t>
      </w:r>
    </w:p>
    <w:p w14:paraId="572B9F72" w14:textId="77777777" w:rsidR="00FF0471" w:rsidRPr="00E0573F" w:rsidRDefault="00FF0471" w:rsidP="00FF0471">
      <w:pPr>
        <w:rPr>
          <w:rFonts w:ascii="Arial" w:hAnsi="Arial" w:cs="Arial"/>
          <w:b/>
        </w:rPr>
      </w:pPr>
      <w:r w:rsidRPr="00E0573F">
        <w:rPr>
          <w:rFonts w:ascii="Arial" w:hAnsi="Arial" w:cs="Arial"/>
          <w:b/>
        </w:rPr>
        <w:t xml:space="preserve">Table 4: </w:t>
      </w:r>
      <w:proofErr w:type="spellStart"/>
      <w:r w:rsidRPr="00E0573F">
        <w:rPr>
          <w:rFonts w:ascii="Arial" w:hAnsi="Arial" w:cs="Arial"/>
          <w:b/>
        </w:rPr>
        <w:t>Behavioural</w:t>
      </w:r>
      <w:proofErr w:type="spellEnd"/>
      <w:r w:rsidRPr="00E0573F">
        <w:rPr>
          <w:rFonts w:ascii="Arial" w:hAnsi="Arial" w:cs="Arial"/>
          <w:b/>
        </w:rPr>
        <w:t xml:space="preserve"> Risk Factors of Tuberculosis</w:t>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386"/>
        <w:gridCol w:w="1315"/>
        <w:gridCol w:w="1722"/>
        <w:gridCol w:w="2035"/>
        <w:gridCol w:w="966"/>
      </w:tblGrid>
      <w:tr w:rsidR="00FF0471" w:rsidRPr="00E0573F" w14:paraId="5E4C5F67" w14:textId="77777777" w:rsidTr="00FF0471">
        <w:tc>
          <w:tcPr>
            <w:tcW w:w="2538" w:type="dxa"/>
            <w:tcBorders>
              <w:top w:val="single" w:sz="4" w:space="0" w:color="auto"/>
              <w:bottom w:val="single" w:sz="4" w:space="0" w:color="auto"/>
            </w:tcBorders>
            <w:vAlign w:val="center"/>
          </w:tcPr>
          <w:p w14:paraId="3F90C07D" w14:textId="77777777" w:rsidR="00FF0471" w:rsidRPr="00E0573F" w:rsidRDefault="00FF0471" w:rsidP="00845DFF">
            <w:pPr>
              <w:jc w:val="center"/>
              <w:rPr>
                <w:rFonts w:ascii="Arial" w:hAnsi="Arial" w:cs="Arial"/>
                <w:b/>
                <w:bCs/>
              </w:rPr>
            </w:pPr>
            <w:r w:rsidRPr="00E0573F">
              <w:rPr>
                <w:rFonts w:ascii="Arial" w:hAnsi="Arial" w:cs="Arial"/>
                <w:b/>
                <w:bCs/>
              </w:rPr>
              <w:t>Variable</w:t>
            </w:r>
          </w:p>
        </w:tc>
        <w:tc>
          <w:tcPr>
            <w:tcW w:w="1350" w:type="dxa"/>
            <w:tcBorders>
              <w:top w:val="single" w:sz="4" w:space="0" w:color="auto"/>
              <w:bottom w:val="single" w:sz="4" w:space="0" w:color="auto"/>
            </w:tcBorders>
            <w:vAlign w:val="center"/>
          </w:tcPr>
          <w:p w14:paraId="2F3560B7" w14:textId="77777777" w:rsidR="00FF0471" w:rsidRPr="00E0573F" w:rsidRDefault="00FF0471" w:rsidP="00845DFF">
            <w:pPr>
              <w:jc w:val="center"/>
              <w:rPr>
                <w:rFonts w:ascii="Arial" w:hAnsi="Arial" w:cs="Arial"/>
                <w:b/>
                <w:bCs/>
              </w:rPr>
            </w:pPr>
            <w:r w:rsidRPr="00E0573F">
              <w:rPr>
                <w:rFonts w:ascii="Arial" w:hAnsi="Arial" w:cs="Arial"/>
                <w:b/>
                <w:bCs/>
              </w:rPr>
              <w:t>Category</w:t>
            </w:r>
          </w:p>
        </w:tc>
        <w:tc>
          <w:tcPr>
            <w:tcW w:w="1800" w:type="dxa"/>
            <w:tcBorders>
              <w:top w:val="single" w:sz="4" w:space="0" w:color="auto"/>
              <w:bottom w:val="single" w:sz="4" w:space="0" w:color="auto"/>
            </w:tcBorders>
            <w:vAlign w:val="center"/>
          </w:tcPr>
          <w:p w14:paraId="2DCC1623" w14:textId="77777777" w:rsidR="00FF0471" w:rsidRPr="00E0573F" w:rsidRDefault="00FF0471" w:rsidP="00845DFF">
            <w:pPr>
              <w:jc w:val="center"/>
              <w:rPr>
                <w:rFonts w:ascii="Arial" w:hAnsi="Arial" w:cs="Arial"/>
                <w:b/>
                <w:bCs/>
              </w:rPr>
            </w:pPr>
            <w:r w:rsidRPr="00E0573F">
              <w:rPr>
                <w:rFonts w:ascii="Arial" w:hAnsi="Arial" w:cs="Arial"/>
                <w:b/>
                <w:bCs/>
              </w:rPr>
              <w:t>Confirmed TB n (%)</w:t>
            </w:r>
          </w:p>
        </w:tc>
        <w:tc>
          <w:tcPr>
            <w:tcW w:w="2160" w:type="dxa"/>
            <w:tcBorders>
              <w:top w:val="single" w:sz="4" w:space="0" w:color="auto"/>
              <w:bottom w:val="single" w:sz="4" w:space="0" w:color="auto"/>
            </w:tcBorders>
            <w:vAlign w:val="center"/>
          </w:tcPr>
          <w:p w14:paraId="097A0566" w14:textId="77777777" w:rsidR="00FF0471" w:rsidRPr="00E0573F" w:rsidRDefault="00FF0471" w:rsidP="00845DFF">
            <w:pPr>
              <w:jc w:val="center"/>
              <w:rPr>
                <w:rFonts w:ascii="Arial" w:hAnsi="Arial" w:cs="Arial"/>
                <w:b/>
                <w:bCs/>
              </w:rPr>
            </w:pPr>
            <w:r w:rsidRPr="00E0573F">
              <w:rPr>
                <w:rFonts w:ascii="Arial" w:hAnsi="Arial" w:cs="Arial"/>
                <w:b/>
                <w:bCs/>
              </w:rPr>
              <w:t>Not Confirmed TB n (%)</w:t>
            </w:r>
          </w:p>
        </w:tc>
        <w:tc>
          <w:tcPr>
            <w:tcW w:w="1008" w:type="dxa"/>
            <w:tcBorders>
              <w:top w:val="single" w:sz="4" w:space="0" w:color="auto"/>
              <w:bottom w:val="single" w:sz="4" w:space="0" w:color="auto"/>
            </w:tcBorders>
            <w:vAlign w:val="center"/>
          </w:tcPr>
          <w:p w14:paraId="292DD4E0" w14:textId="77777777" w:rsidR="00FF0471" w:rsidRPr="00E0573F" w:rsidRDefault="00FF0471" w:rsidP="00845DFF">
            <w:pPr>
              <w:jc w:val="center"/>
              <w:rPr>
                <w:rFonts w:ascii="Arial" w:hAnsi="Arial" w:cs="Arial"/>
                <w:b/>
                <w:bCs/>
              </w:rPr>
            </w:pPr>
            <w:r w:rsidRPr="00E0573F">
              <w:rPr>
                <w:rFonts w:ascii="Arial" w:hAnsi="Arial" w:cs="Arial"/>
                <w:b/>
                <w:bCs/>
              </w:rPr>
              <w:t>Total</w:t>
            </w:r>
          </w:p>
        </w:tc>
      </w:tr>
      <w:tr w:rsidR="00FF0471" w:rsidRPr="00E0573F" w14:paraId="13687DCA" w14:textId="77777777" w:rsidTr="00FF0471">
        <w:tc>
          <w:tcPr>
            <w:tcW w:w="2538" w:type="dxa"/>
            <w:vMerge w:val="restart"/>
            <w:tcBorders>
              <w:top w:val="single" w:sz="4" w:space="0" w:color="auto"/>
            </w:tcBorders>
            <w:vAlign w:val="center"/>
          </w:tcPr>
          <w:p w14:paraId="32F4DDF1" w14:textId="77777777" w:rsidR="00FF0471" w:rsidRPr="00E0573F" w:rsidRDefault="00FF0471" w:rsidP="00845DFF">
            <w:pPr>
              <w:jc w:val="center"/>
              <w:rPr>
                <w:rFonts w:ascii="Arial" w:hAnsi="Arial" w:cs="Arial"/>
              </w:rPr>
            </w:pPr>
            <w:r w:rsidRPr="00E0573F">
              <w:rPr>
                <w:rFonts w:ascii="Arial" w:hAnsi="Arial" w:cs="Arial"/>
                <w:bCs/>
              </w:rPr>
              <w:t>Smoking History</w:t>
            </w:r>
          </w:p>
        </w:tc>
        <w:tc>
          <w:tcPr>
            <w:tcW w:w="1350" w:type="dxa"/>
            <w:tcBorders>
              <w:top w:val="single" w:sz="4" w:space="0" w:color="auto"/>
            </w:tcBorders>
            <w:vAlign w:val="center"/>
          </w:tcPr>
          <w:p w14:paraId="76F33320" w14:textId="77777777" w:rsidR="00FF0471" w:rsidRPr="00E0573F" w:rsidRDefault="00FF0471" w:rsidP="00845DFF">
            <w:pPr>
              <w:jc w:val="center"/>
              <w:rPr>
                <w:rFonts w:ascii="Arial" w:hAnsi="Arial" w:cs="Arial"/>
              </w:rPr>
            </w:pPr>
            <w:r w:rsidRPr="00E0573F">
              <w:rPr>
                <w:rFonts w:ascii="Arial" w:hAnsi="Arial" w:cs="Arial"/>
              </w:rPr>
              <w:t>Yes</w:t>
            </w:r>
          </w:p>
        </w:tc>
        <w:tc>
          <w:tcPr>
            <w:tcW w:w="1800" w:type="dxa"/>
            <w:tcBorders>
              <w:top w:val="single" w:sz="4" w:space="0" w:color="auto"/>
            </w:tcBorders>
            <w:vAlign w:val="center"/>
          </w:tcPr>
          <w:p w14:paraId="6AFD44E3" w14:textId="77777777" w:rsidR="00FF0471" w:rsidRPr="00E0573F" w:rsidRDefault="00FF0471" w:rsidP="00845DFF">
            <w:pPr>
              <w:jc w:val="center"/>
              <w:rPr>
                <w:rFonts w:ascii="Arial" w:hAnsi="Arial" w:cs="Arial"/>
              </w:rPr>
            </w:pPr>
            <w:r w:rsidRPr="00E0573F">
              <w:rPr>
                <w:rFonts w:ascii="Arial" w:hAnsi="Arial" w:cs="Arial"/>
              </w:rPr>
              <w:t>72 (46.8)</w:t>
            </w:r>
          </w:p>
        </w:tc>
        <w:tc>
          <w:tcPr>
            <w:tcW w:w="2160" w:type="dxa"/>
            <w:tcBorders>
              <w:top w:val="single" w:sz="4" w:space="0" w:color="auto"/>
            </w:tcBorders>
            <w:vAlign w:val="center"/>
          </w:tcPr>
          <w:p w14:paraId="1148B8D2" w14:textId="77777777" w:rsidR="00FF0471" w:rsidRPr="00E0573F" w:rsidRDefault="00FF0471" w:rsidP="00845DFF">
            <w:pPr>
              <w:jc w:val="center"/>
              <w:rPr>
                <w:rFonts w:ascii="Arial" w:hAnsi="Arial" w:cs="Arial"/>
              </w:rPr>
            </w:pPr>
            <w:r w:rsidRPr="00E0573F">
              <w:rPr>
                <w:rFonts w:ascii="Arial" w:hAnsi="Arial" w:cs="Arial"/>
              </w:rPr>
              <w:t>18 (18.4)</w:t>
            </w:r>
          </w:p>
        </w:tc>
        <w:tc>
          <w:tcPr>
            <w:tcW w:w="1008" w:type="dxa"/>
            <w:tcBorders>
              <w:top w:val="single" w:sz="4" w:space="0" w:color="auto"/>
            </w:tcBorders>
            <w:vAlign w:val="center"/>
          </w:tcPr>
          <w:p w14:paraId="2DE7099C" w14:textId="77777777" w:rsidR="00FF0471" w:rsidRPr="00E0573F" w:rsidRDefault="00FF0471" w:rsidP="00845DFF">
            <w:pPr>
              <w:jc w:val="center"/>
              <w:rPr>
                <w:rFonts w:ascii="Arial" w:hAnsi="Arial" w:cs="Arial"/>
              </w:rPr>
            </w:pPr>
            <w:r w:rsidRPr="00E0573F">
              <w:rPr>
                <w:rFonts w:ascii="Arial" w:hAnsi="Arial" w:cs="Arial"/>
              </w:rPr>
              <w:t>90</w:t>
            </w:r>
          </w:p>
        </w:tc>
      </w:tr>
      <w:tr w:rsidR="00FF0471" w:rsidRPr="00E0573F" w14:paraId="104620C9" w14:textId="77777777" w:rsidTr="00FF0471">
        <w:tc>
          <w:tcPr>
            <w:tcW w:w="2538" w:type="dxa"/>
            <w:vMerge/>
            <w:vAlign w:val="center"/>
          </w:tcPr>
          <w:p w14:paraId="2AAE793D" w14:textId="77777777" w:rsidR="00FF0471" w:rsidRPr="00E0573F" w:rsidRDefault="00FF0471" w:rsidP="00845DFF">
            <w:pPr>
              <w:jc w:val="center"/>
              <w:rPr>
                <w:rFonts w:ascii="Arial" w:hAnsi="Arial" w:cs="Arial"/>
              </w:rPr>
            </w:pPr>
          </w:p>
        </w:tc>
        <w:tc>
          <w:tcPr>
            <w:tcW w:w="1350" w:type="dxa"/>
            <w:vAlign w:val="center"/>
          </w:tcPr>
          <w:p w14:paraId="026DDE40" w14:textId="77777777" w:rsidR="00FF0471" w:rsidRPr="00E0573F" w:rsidRDefault="00FF0471" w:rsidP="00845DFF">
            <w:pPr>
              <w:jc w:val="center"/>
              <w:rPr>
                <w:rFonts w:ascii="Arial" w:hAnsi="Arial" w:cs="Arial"/>
              </w:rPr>
            </w:pPr>
            <w:r w:rsidRPr="00E0573F">
              <w:rPr>
                <w:rFonts w:ascii="Arial" w:hAnsi="Arial" w:cs="Arial"/>
              </w:rPr>
              <w:t>No</w:t>
            </w:r>
          </w:p>
        </w:tc>
        <w:tc>
          <w:tcPr>
            <w:tcW w:w="1800" w:type="dxa"/>
            <w:vAlign w:val="center"/>
          </w:tcPr>
          <w:p w14:paraId="4BF3DC7F" w14:textId="77777777" w:rsidR="00FF0471" w:rsidRPr="00E0573F" w:rsidRDefault="00FF0471" w:rsidP="00845DFF">
            <w:pPr>
              <w:jc w:val="center"/>
              <w:rPr>
                <w:rFonts w:ascii="Arial" w:hAnsi="Arial" w:cs="Arial"/>
              </w:rPr>
            </w:pPr>
            <w:r w:rsidRPr="00E0573F">
              <w:rPr>
                <w:rFonts w:ascii="Arial" w:hAnsi="Arial" w:cs="Arial"/>
              </w:rPr>
              <w:t>82 (53.2)</w:t>
            </w:r>
          </w:p>
        </w:tc>
        <w:tc>
          <w:tcPr>
            <w:tcW w:w="2160" w:type="dxa"/>
            <w:vAlign w:val="center"/>
          </w:tcPr>
          <w:p w14:paraId="655EC429" w14:textId="77777777" w:rsidR="00FF0471" w:rsidRPr="00E0573F" w:rsidRDefault="00FF0471" w:rsidP="00845DFF">
            <w:pPr>
              <w:jc w:val="center"/>
              <w:rPr>
                <w:rFonts w:ascii="Arial" w:hAnsi="Arial" w:cs="Arial"/>
              </w:rPr>
            </w:pPr>
            <w:r w:rsidRPr="00E0573F">
              <w:rPr>
                <w:rFonts w:ascii="Arial" w:hAnsi="Arial" w:cs="Arial"/>
              </w:rPr>
              <w:t>80 (81.6)</w:t>
            </w:r>
          </w:p>
        </w:tc>
        <w:tc>
          <w:tcPr>
            <w:tcW w:w="1008" w:type="dxa"/>
            <w:vAlign w:val="center"/>
          </w:tcPr>
          <w:p w14:paraId="7F98496F" w14:textId="77777777" w:rsidR="00FF0471" w:rsidRPr="00E0573F" w:rsidRDefault="00FF0471" w:rsidP="00845DFF">
            <w:pPr>
              <w:jc w:val="center"/>
              <w:rPr>
                <w:rFonts w:ascii="Arial" w:hAnsi="Arial" w:cs="Arial"/>
              </w:rPr>
            </w:pPr>
            <w:r w:rsidRPr="00E0573F">
              <w:rPr>
                <w:rFonts w:ascii="Arial" w:hAnsi="Arial" w:cs="Arial"/>
              </w:rPr>
              <w:t>162</w:t>
            </w:r>
          </w:p>
        </w:tc>
      </w:tr>
      <w:tr w:rsidR="00FF0471" w:rsidRPr="00E0573F" w14:paraId="6308496F" w14:textId="77777777" w:rsidTr="00FF0471">
        <w:tc>
          <w:tcPr>
            <w:tcW w:w="2538" w:type="dxa"/>
            <w:vMerge w:val="restart"/>
            <w:vAlign w:val="center"/>
          </w:tcPr>
          <w:p w14:paraId="6D64836D" w14:textId="77777777" w:rsidR="00FF0471" w:rsidRPr="00E0573F" w:rsidRDefault="00FF0471" w:rsidP="00845DFF">
            <w:pPr>
              <w:jc w:val="center"/>
              <w:rPr>
                <w:rFonts w:ascii="Arial" w:hAnsi="Arial" w:cs="Arial"/>
              </w:rPr>
            </w:pPr>
            <w:r w:rsidRPr="00E0573F">
              <w:rPr>
                <w:rFonts w:ascii="Arial" w:hAnsi="Arial" w:cs="Arial"/>
                <w:bCs/>
              </w:rPr>
              <w:t>Alcohol Consumption</w:t>
            </w:r>
          </w:p>
        </w:tc>
        <w:tc>
          <w:tcPr>
            <w:tcW w:w="1350" w:type="dxa"/>
            <w:vAlign w:val="center"/>
          </w:tcPr>
          <w:p w14:paraId="4412E695" w14:textId="77777777" w:rsidR="00FF0471" w:rsidRPr="00E0573F" w:rsidRDefault="00FF0471" w:rsidP="00845DFF">
            <w:pPr>
              <w:jc w:val="center"/>
              <w:rPr>
                <w:rFonts w:ascii="Arial" w:hAnsi="Arial" w:cs="Arial"/>
              </w:rPr>
            </w:pPr>
            <w:r w:rsidRPr="00E0573F">
              <w:rPr>
                <w:rFonts w:ascii="Arial" w:hAnsi="Arial" w:cs="Arial"/>
              </w:rPr>
              <w:t>Yes</w:t>
            </w:r>
          </w:p>
        </w:tc>
        <w:tc>
          <w:tcPr>
            <w:tcW w:w="1800" w:type="dxa"/>
            <w:vAlign w:val="center"/>
          </w:tcPr>
          <w:p w14:paraId="2424B0E1" w14:textId="77777777" w:rsidR="00FF0471" w:rsidRPr="00E0573F" w:rsidRDefault="00FF0471" w:rsidP="00845DFF">
            <w:pPr>
              <w:jc w:val="center"/>
              <w:rPr>
                <w:rFonts w:ascii="Arial" w:hAnsi="Arial" w:cs="Arial"/>
              </w:rPr>
            </w:pPr>
            <w:r w:rsidRPr="00E0573F">
              <w:rPr>
                <w:rFonts w:ascii="Arial" w:hAnsi="Arial" w:cs="Arial"/>
              </w:rPr>
              <w:t>69 (44.8)</w:t>
            </w:r>
          </w:p>
        </w:tc>
        <w:tc>
          <w:tcPr>
            <w:tcW w:w="2160" w:type="dxa"/>
            <w:vAlign w:val="center"/>
          </w:tcPr>
          <w:p w14:paraId="2EA27DE8" w14:textId="77777777" w:rsidR="00FF0471" w:rsidRPr="00E0573F" w:rsidRDefault="00FF0471" w:rsidP="00845DFF">
            <w:pPr>
              <w:jc w:val="center"/>
              <w:rPr>
                <w:rFonts w:ascii="Arial" w:hAnsi="Arial" w:cs="Arial"/>
              </w:rPr>
            </w:pPr>
            <w:r w:rsidRPr="00E0573F">
              <w:rPr>
                <w:rFonts w:ascii="Arial" w:hAnsi="Arial" w:cs="Arial"/>
              </w:rPr>
              <w:t>27 (27.6)</w:t>
            </w:r>
          </w:p>
        </w:tc>
        <w:tc>
          <w:tcPr>
            <w:tcW w:w="1008" w:type="dxa"/>
            <w:vAlign w:val="center"/>
          </w:tcPr>
          <w:p w14:paraId="2AC502C7" w14:textId="77777777" w:rsidR="00FF0471" w:rsidRPr="00E0573F" w:rsidRDefault="00FF0471" w:rsidP="00845DFF">
            <w:pPr>
              <w:jc w:val="center"/>
              <w:rPr>
                <w:rFonts w:ascii="Arial" w:hAnsi="Arial" w:cs="Arial"/>
              </w:rPr>
            </w:pPr>
            <w:r w:rsidRPr="00E0573F">
              <w:rPr>
                <w:rFonts w:ascii="Arial" w:hAnsi="Arial" w:cs="Arial"/>
              </w:rPr>
              <w:t>96</w:t>
            </w:r>
          </w:p>
        </w:tc>
      </w:tr>
      <w:tr w:rsidR="00FF0471" w:rsidRPr="00E0573F" w14:paraId="2E3F267C" w14:textId="77777777" w:rsidTr="00FF0471">
        <w:tc>
          <w:tcPr>
            <w:tcW w:w="2538" w:type="dxa"/>
            <w:vMerge/>
            <w:vAlign w:val="center"/>
          </w:tcPr>
          <w:p w14:paraId="4FF6098E" w14:textId="77777777" w:rsidR="00FF0471" w:rsidRPr="00E0573F" w:rsidRDefault="00FF0471" w:rsidP="00845DFF">
            <w:pPr>
              <w:jc w:val="center"/>
              <w:rPr>
                <w:rFonts w:ascii="Arial" w:hAnsi="Arial" w:cs="Arial"/>
              </w:rPr>
            </w:pPr>
          </w:p>
        </w:tc>
        <w:tc>
          <w:tcPr>
            <w:tcW w:w="1350" w:type="dxa"/>
            <w:vAlign w:val="center"/>
          </w:tcPr>
          <w:p w14:paraId="2CD96B72" w14:textId="77777777" w:rsidR="00FF0471" w:rsidRPr="00E0573F" w:rsidRDefault="00FF0471" w:rsidP="00845DFF">
            <w:pPr>
              <w:jc w:val="center"/>
              <w:rPr>
                <w:rFonts w:ascii="Arial" w:hAnsi="Arial" w:cs="Arial"/>
              </w:rPr>
            </w:pPr>
            <w:r w:rsidRPr="00E0573F">
              <w:rPr>
                <w:rFonts w:ascii="Arial" w:hAnsi="Arial" w:cs="Arial"/>
              </w:rPr>
              <w:t>No</w:t>
            </w:r>
          </w:p>
        </w:tc>
        <w:tc>
          <w:tcPr>
            <w:tcW w:w="1800" w:type="dxa"/>
            <w:vAlign w:val="center"/>
          </w:tcPr>
          <w:p w14:paraId="2BFBCC9B" w14:textId="77777777" w:rsidR="00FF0471" w:rsidRPr="00E0573F" w:rsidRDefault="00FF0471" w:rsidP="00845DFF">
            <w:pPr>
              <w:jc w:val="center"/>
              <w:rPr>
                <w:rFonts w:ascii="Arial" w:hAnsi="Arial" w:cs="Arial"/>
              </w:rPr>
            </w:pPr>
            <w:r w:rsidRPr="00E0573F">
              <w:rPr>
                <w:rFonts w:ascii="Arial" w:hAnsi="Arial" w:cs="Arial"/>
              </w:rPr>
              <w:t>85 (55.2)</w:t>
            </w:r>
          </w:p>
        </w:tc>
        <w:tc>
          <w:tcPr>
            <w:tcW w:w="2160" w:type="dxa"/>
            <w:vAlign w:val="center"/>
          </w:tcPr>
          <w:p w14:paraId="75E52821" w14:textId="77777777" w:rsidR="00FF0471" w:rsidRPr="00E0573F" w:rsidRDefault="00FF0471" w:rsidP="00845DFF">
            <w:pPr>
              <w:jc w:val="center"/>
              <w:rPr>
                <w:rFonts w:ascii="Arial" w:hAnsi="Arial" w:cs="Arial"/>
              </w:rPr>
            </w:pPr>
            <w:r w:rsidRPr="00E0573F">
              <w:rPr>
                <w:rFonts w:ascii="Arial" w:hAnsi="Arial" w:cs="Arial"/>
              </w:rPr>
              <w:t>71 (72.4)</w:t>
            </w:r>
          </w:p>
        </w:tc>
        <w:tc>
          <w:tcPr>
            <w:tcW w:w="1008" w:type="dxa"/>
            <w:vAlign w:val="center"/>
          </w:tcPr>
          <w:p w14:paraId="73416150" w14:textId="77777777" w:rsidR="00FF0471" w:rsidRPr="00E0573F" w:rsidRDefault="00FF0471" w:rsidP="00845DFF">
            <w:pPr>
              <w:jc w:val="center"/>
              <w:rPr>
                <w:rFonts w:ascii="Arial" w:hAnsi="Arial" w:cs="Arial"/>
              </w:rPr>
            </w:pPr>
            <w:r w:rsidRPr="00E0573F">
              <w:rPr>
                <w:rFonts w:ascii="Arial" w:hAnsi="Arial" w:cs="Arial"/>
              </w:rPr>
              <w:t>156</w:t>
            </w:r>
          </w:p>
        </w:tc>
      </w:tr>
      <w:tr w:rsidR="00FF0471" w:rsidRPr="00E0573F" w14:paraId="5FAB1304" w14:textId="77777777" w:rsidTr="00FF0471">
        <w:tc>
          <w:tcPr>
            <w:tcW w:w="2538" w:type="dxa"/>
            <w:vMerge w:val="restart"/>
            <w:vAlign w:val="center"/>
          </w:tcPr>
          <w:p w14:paraId="47B43697" w14:textId="77777777" w:rsidR="00FF0471" w:rsidRPr="00E0573F" w:rsidRDefault="00FF0471" w:rsidP="00845DFF">
            <w:pPr>
              <w:jc w:val="center"/>
              <w:rPr>
                <w:rFonts w:ascii="Arial" w:hAnsi="Arial" w:cs="Arial"/>
              </w:rPr>
            </w:pPr>
            <w:r w:rsidRPr="00E0573F">
              <w:rPr>
                <w:rFonts w:ascii="Arial" w:hAnsi="Arial" w:cs="Arial"/>
                <w:bCs/>
              </w:rPr>
              <w:t>Meals per Day</w:t>
            </w:r>
          </w:p>
        </w:tc>
        <w:tc>
          <w:tcPr>
            <w:tcW w:w="1350" w:type="dxa"/>
            <w:vAlign w:val="center"/>
          </w:tcPr>
          <w:p w14:paraId="679F2CFF" w14:textId="77777777" w:rsidR="00FF0471" w:rsidRPr="00E0573F" w:rsidRDefault="00FF0471" w:rsidP="00845DFF">
            <w:pPr>
              <w:jc w:val="center"/>
              <w:rPr>
                <w:rFonts w:ascii="Arial" w:hAnsi="Arial" w:cs="Arial"/>
              </w:rPr>
            </w:pPr>
            <w:r w:rsidRPr="00E0573F">
              <w:rPr>
                <w:rFonts w:ascii="Arial" w:hAnsi="Arial" w:cs="Arial"/>
              </w:rPr>
              <w:t>&lt;3 Meals</w:t>
            </w:r>
          </w:p>
        </w:tc>
        <w:tc>
          <w:tcPr>
            <w:tcW w:w="1800" w:type="dxa"/>
            <w:vAlign w:val="center"/>
          </w:tcPr>
          <w:p w14:paraId="608E3349" w14:textId="77777777" w:rsidR="00FF0471" w:rsidRPr="00E0573F" w:rsidRDefault="00FF0471" w:rsidP="00845DFF">
            <w:pPr>
              <w:jc w:val="center"/>
              <w:rPr>
                <w:rFonts w:ascii="Arial" w:hAnsi="Arial" w:cs="Arial"/>
              </w:rPr>
            </w:pPr>
            <w:r w:rsidRPr="00E0573F">
              <w:rPr>
                <w:rFonts w:ascii="Arial" w:hAnsi="Arial" w:cs="Arial"/>
              </w:rPr>
              <w:t>77 (50.0)</w:t>
            </w:r>
          </w:p>
        </w:tc>
        <w:tc>
          <w:tcPr>
            <w:tcW w:w="2160" w:type="dxa"/>
            <w:vAlign w:val="center"/>
          </w:tcPr>
          <w:p w14:paraId="4A527300" w14:textId="77777777" w:rsidR="00FF0471" w:rsidRPr="00E0573F" w:rsidRDefault="00FF0471" w:rsidP="00845DFF">
            <w:pPr>
              <w:jc w:val="center"/>
              <w:rPr>
                <w:rFonts w:ascii="Arial" w:hAnsi="Arial" w:cs="Arial"/>
              </w:rPr>
            </w:pPr>
            <w:r w:rsidRPr="00E0573F">
              <w:rPr>
                <w:rFonts w:ascii="Arial" w:hAnsi="Arial" w:cs="Arial"/>
              </w:rPr>
              <w:t>19 (19.4)</w:t>
            </w:r>
          </w:p>
        </w:tc>
        <w:tc>
          <w:tcPr>
            <w:tcW w:w="1008" w:type="dxa"/>
            <w:vAlign w:val="center"/>
          </w:tcPr>
          <w:p w14:paraId="5812AE06" w14:textId="77777777" w:rsidR="00FF0471" w:rsidRPr="00E0573F" w:rsidRDefault="00FF0471" w:rsidP="00845DFF">
            <w:pPr>
              <w:jc w:val="center"/>
              <w:rPr>
                <w:rFonts w:ascii="Arial" w:hAnsi="Arial" w:cs="Arial"/>
              </w:rPr>
            </w:pPr>
            <w:r w:rsidRPr="00E0573F">
              <w:rPr>
                <w:rFonts w:ascii="Arial" w:hAnsi="Arial" w:cs="Arial"/>
              </w:rPr>
              <w:t>96</w:t>
            </w:r>
          </w:p>
        </w:tc>
      </w:tr>
      <w:tr w:rsidR="00FF0471" w:rsidRPr="00E0573F" w14:paraId="48609A82" w14:textId="77777777" w:rsidTr="00FF0471">
        <w:tc>
          <w:tcPr>
            <w:tcW w:w="2538" w:type="dxa"/>
            <w:vMerge/>
            <w:vAlign w:val="center"/>
          </w:tcPr>
          <w:p w14:paraId="41055D70" w14:textId="77777777" w:rsidR="00FF0471" w:rsidRPr="00E0573F" w:rsidRDefault="00FF0471" w:rsidP="00845DFF">
            <w:pPr>
              <w:jc w:val="center"/>
              <w:rPr>
                <w:rFonts w:ascii="Arial" w:hAnsi="Arial" w:cs="Arial"/>
              </w:rPr>
            </w:pPr>
          </w:p>
        </w:tc>
        <w:tc>
          <w:tcPr>
            <w:tcW w:w="1350" w:type="dxa"/>
            <w:vAlign w:val="center"/>
          </w:tcPr>
          <w:p w14:paraId="05DE7B7D" w14:textId="77777777" w:rsidR="00FF0471" w:rsidRPr="00E0573F" w:rsidRDefault="00FF0471" w:rsidP="00845DFF">
            <w:pPr>
              <w:jc w:val="center"/>
              <w:rPr>
                <w:rFonts w:ascii="Arial" w:hAnsi="Arial" w:cs="Arial"/>
              </w:rPr>
            </w:pPr>
            <w:r w:rsidRPr="00E0573F">
              <w:rPr>
                <w:rFonts w:ascii="Arial" w:hAnsi="Arial" w:cs="Arial"/>
              </w:rPr>
              <w:t>≥3 Meals</w:t>
            </w:r>
          </w:p>
        </w:tc>
        <w:tc>
          <w:tcPr>
            <w:tcW w:w="1800" w:type="dxa"/>
            <w:vAlign w:val="center"/>
          </w:tcPr>
          <w:p w14:paraId="4334302B" w14:textId="77777777" w:rsidR="00FF0471" w:rsidRPr="00E0573F" w:rsidRDefault="00FF0471" w:rsidP="00845DFF">
            <w:pPr>
              <w:jc w:val="center"/>
              <w:rPr>
                <w:rFonts w:ascii="Arial" w:hAnsi="Arial" w:cs="Arial"/>
              </w:rPr>
            </w:pPr>
            <w:r w:rsidRPr="00E0573F">
              <w:rPr>
                <w:rFonts w:ascii="Arial" w:hAnsi="Arial" w:cs="Arial"/>
              </w:rPr>
              <w:t>77 (50.0)</w:t>
            </w:r>
          </w:p>
        </w:tc>
        <w:tc>
          <w:tcPr>
            <w:tcW w:w="2160" w:type="dxa"/>
            <w:vAlign w:val="center"/>
          </w:tcPr>
          <w:p w14:paraId="4428BF95" w14:textId="77777777" w:rsidR="00FF0471" w:rsidRPr="00E0573F" w:rsidRDefault="00FF0471" w:rsidP="00845DFF">
            <w:pPr>
              <w:jc w:val="center"/>
              <w:rPr>
                <w:rFonts w:ascii="Arial" w:hAnsi="Arial" w:cs="Arial"/>
              </w:rPr>
            </w:pPr>
            <w:r w:rsidRPr="00E0573F">
              <w:rPr>
                <w:rFonts w:ascii="Arial" w:hAnsi="Arial" w:cs="Arial"/>
              </w:rPr>
              <w:t>79 (80.6)</w:t>
            </w:r>
          </w:p>
        </w:tc>
        <w:tc>
          <w:tcPr>
            <w:tcW w:w="1008" w:type="dxa"/>
            <w:vAlign w:val="center"/>
          </w:tcPr>
          <w:p w14:paraId="6A4A886D" w14:textId="77777777" w:rsidR="00FF0471" w:rsidRPr="00E0573F" w:rsidRDefault="00FF0471" w:rsidP="00845DFF">
            <w:pPr>
              <w:jc w:val="center"/>
              <w:rPr>
                <w:rFonts w:ascii="Arial" w:hAnsi="Arial" w:cs="Arial"/>
              </w:rPr>
            </w:pPr>
            <w:r w:rsidRPr="00E0573F">
              <w:rPr>
                <w:rFonts w:ascii="Arial" w:hAnsi="Arial" w:cs="Arial"/>
              </w:rPr>
              <w:t>156</w:t>
            </w:r>
          </w:p>
        </w:tc>
      </w:tr>
      <w:tr w:rsidR="00FF0471" w:rsidRPr="00E0573F" w14:paraId="5BCF9884" w14:textId="77777777" w:rsidTr="00FF0471">
        <w:tc>
          <w:tcPr>
            <w:tcW w:w="2538" w:type="dxa"/>
            <w:vMerge w:val="restart"/>
            <w:vAlign w:val="center"/>
          </w:tcPr>
          <w:p w14:paraId="3D14500F" w14:textId="77777777" w:rsidR="00FF0471" w:rsidRPr="00E0573F" w:rsidRDefault="00FF0471" w:rsidP="00845DFF">
            <w:pPr>
              <w:jc w:val="center"/>
              <w:rPr>
                <w:rFonts w:ascii="Arial" w:hAnsi="Arial" w:cs="Arial"/>
              </w:rPr>
            </w:pPr>
            <w:r w:rsidRPr="00E0573F">
              <w:rPr>
                <w:rFonts w:ascii="Arial" w:hAnsi="Arial" w:cs="Arial"/>
                <w:bCs/>
              </w:rPr>
              <w:t>Drug Use</w:t>
            </w:r>
          </w:p>
        </w:tc>
        <w:tc>
          <w:tcPr>
            <w:tcW w:w="1350" w:type="dxa"/>
            <w:vAlign w:val="center"/>
          </w:tcPr>
          <w:p w14:paraId="4F501954" w14:textId="77777777" w:rsidR="00FF0471" w:rsidRPr="00E0573F" w:rsidRDefault="00FF0471" w:rsidP="00845DFF">
            <w:pPr>
              <w:jc w:val="center"/>
              <w:rPr>
                <w:rFonts w:ascii="Arial" w:hAnsi="Arial" w:cs="Arial"/>
              </w:rPr>
            </w:pPr>
            <w:r w:rsidRPr="00E0573F">
              <w:rPr>
                <w:rFonts w:ascii="Arial" w:hAnsi="Arial" w:cs="Arial"/>
              </w:rPr>
              <w:t>Yes</w:t>
            </w:r>
          </w:p>
        </w:tc>
        <w:tc>
          <w:tcPr>
            <w:tcW w:w="1800" w:type="dxa"/>
            <w:vAlign w:val="center"/>
          </w:tcPr>
          <w:p w14:paraId="4EE8891A" w14:textId="77777777" w:rsidR="00FF0471" w:rsidRPr="00E0573F" w:rsidRDefault="00FF0471" w:rsidP="00845DFF">
            <w:pPr>
              <w:jc w:val="center"/>
              <w:rPr>
                <w:rFonts w:ascii="Arial" w:hAnsi="Arial" w:cs="Arial"/>
              </w:rPr>
            </w:pPr>
            <w:r w:rsidRPr="00E0573F">
              <w:rPr>
                <w:rFonts w:ascii="Arial" w:hAnsi="Arial" w:cs="Arial"/>
              </w:rPr>
              <w:t>48 (31.2)</w:t>
            </w:r>
          </w:p>
        </w:tc>
        <w:tc>
          <w:tcPr>
            <w:tcW w:w="2160" w:type="dxa"/>
            <w:vAlign w:val="center"/>
          </w:tcPr>
          <w:p w14:paraId="49E07F44" w14:textId="77777777" w:rsidR="00FF0471" w:rsidRPr="00E0573F" w:rsidRDefault="00FF0471" w:rsidP="00845DFF">
            <w:pPr>
              <w:jc w:val="center"/>
              <w:rPr>
                <w:rFonts w:ascii="Arial" w:hAnsi="Arial" w:cs="Arial"/>
              </w:rPr>
            </w:pPr>
            <w:r w:rsidRPr="00E0573F">
              <w:rPr>
                <w:rFonts w:ascii="Arial" w:hAnsi="Arial" w:cs="Arial"/>
              </w:rPr>
              <w:t>12 (12.2)</w:t>
            </w:r>
          </w:p>
        </w:tc>
        <w:tc>
          <w:tcPr>
            <w:tcW w:w="1008" w:type="dxa"/>
            <w:vAlign w:val="center"/>
          </w:tcPr>
          <w:p w14:paraId="447F1EDB" w14:textId="77777777" w:rsidR="00FF0471" w:rsidRPr="00E0573F" w:rsidRDefault="00FF0471" w:rsidP="00845DFF">
            <w:pPr>
              <w:jc w:val="center"/>
              <w:rPr>
                <w:rFonts w:ascii="Arial" w:hAnsi="Arial" w:cs="Arial"/>
              </w:rPr>
            </w:pPr>
            <w:r w:rsidRPr="00E0573F">
              <w:rPr>
                <w:rFonts w:ascii="Arial" w:hAnsi="Arial" w:cs="Arial"/>
              </w:rPr>
              <w:t>60</w:t>
            </w:r>
          </w:p>
        </w:tc>
      </w:tr>
      <w:tr w:rsidR="00FF0471" w:rsidRPr="00E0573F" w14:paraId="47EC69F4" w14:textId="77777777" w:rsidTr="00FF0471">
        <w:tc>
          <w:tcPr>
            <w:tcW w:w="2538" w:type="dxa"/>
            <w:vMerge/>
            <w:vAlign w:val="center"/>
          </w:tcPr>
          <w:p w14:paraId="461ADB71" w14:textId="77777777" w:rsidR="00FF0471" w:rsidRPr="00E0573F" w:rsidRDefault="00FF0471" w:rsidP="00845DFF">
            <w:pPr>
              <w:jc w:val="center"/>
              <w:rPr>
                <w:rFonts w:ascii="Arial" w:hAnsi="Arial" w:cs="Arial"/>
              </w:rPr>
            </w:pPr>
          </w:p>
        </w:tc>
        <w:tc>
          <w:tcPr>
            <w:tcW w:w="1350" w:type="dxa"/>
            <w:vAlign w:val="center"/>
          </w:tcPr>
          <w:p w14:paraId="0F614F93" w14:textId="77777777" w:rsidR="00FF0471" w:rsidRPr="00E0573F" w:rsidRDefault="00FF0471" w:rsidP="00845DFF">
            <w:pPr>
              <w:jc w:val="center"/>
              <w:rPr>
                <w:rFonts w:ascii="Arial" w:hAnsi="Arial" w:cs="Arial"/>
              </w:rPr>
            </w:pPr>
            <w:r w:rsidRPr="00E0573F">
              <w:rPr>
                <w:rFonts w:ascii="Arial" w:hAnsi="Arial" w:cs="Arial"/>
              </w:rPr>
              <w:t>No</w:t>
            </w:r>
          </w:p>
        </w:tc>
        <w:tc>
          <w:tcPr>
            <w:tcW w:w="1800" w:type="dxa"/>
            <w:vAlign w:val="center"/>
          </w:tcPr>
          <w:p w14:paraId="233685DB" w14:textId="77777777" w:rsidR="00FF0471" w:rsidRPr="00E0573F" w:rsidRDefault="00FF0471" w:rsidP="00845DFF">
            <w:pPr>
              <w:jc w:val="center"/>
              <w:rPr>
                <w:rFonts w:ascii="Arial" w:hAnsi="Arial" w:cs="Arial"/>
              </w:rPr>
            </w:pPr>
            <w:r w:rsidRPr="00E0573F">
              <w:rPr>
                <w:rFonts w:ascii="Arial" w:hAnsi="Arial" w:cs="Arial"/>
              </w:rPr>
              <w:t>106 (68.8)</w:t>
            </w:r>
          </w:p>
        </w:tc>
        <w:tc>
          <w:tcPr>
            <w:tcW w:w="2160" w:type="dxa"/>
            <w:vAlign w:val="center"/>
          </w:tcPr>
          <w:p w14:paraId="7DB9F906" w14:textId="77777777" w:rsidR="00FF0471" w:rsidRPr="00E0573F" w:rsidRDefault="00FF0471" w:rsidP="00845DFF">
            <w:pPr>
              <w:jc w:val="center"/>
              <w:rPr>
                <w:rFonts w:ascii="Arial" w:hAnsi="Arial" w:cs="Arial"/>
              </w:rPr>
            </w:pPr>
            <w:r w:rsidRPr="00E0573F">
              <w:rPr>
                <w:rFonts w:ascii="Arial" w:hAnsi="Arial" w:cs="Arial"/>
              </w:rPr>
              <w:t>86 (87.8)</w:t>
            </w:r>
          </w:p>
        </w:tc>
        <w:tc>
          <w:tcPr>
            <w:tcW w:w="1008" w:type="dxa"/>
            <w:vAlign w:val="center"/>
          </w:tcPr>
          <w:p w14:paraId="62934C8B" w14:textId="77777777" w:rsidR="00FF0471" w:rsidRPr="00E0573F" w:rsidRDefault="00FF0471" w:rsidP="00845DFF">
            <w:pPr>
              <w:jc w:val="center"/>
              <w:rPr>
                <w:rFonts w:ascii="Arial" w:hAnsi="Arial" w:cs="Arial"/>
              </w:rPr>
            </w:pPr>
            <w:r w:rsidRPr="00E0573F">
              <w:rPr>
                <w:rFonts w:ascii="Arial" w:hAnsi="Arial" w:cs="Arial"/>
              </w:rPr>
              <w:t>192</w:t>
            </w:r>
          </w:p>
        </w:tc>
      </w:tr>
    </w:tbl>
    <w:p w14:paraId="53A9A056" w14:textId="77777777" w:rsidR="0057051E" w:rsidRPr="00E0573F" w:rsidRDefault="0057051E" w:rsidP="0057051E">
      <w:pPr>
        <w:pStyle w:val="NormalWeb"/>
        <w:spacing w:after="0" w:afterAutospacing="0"/>
        <w:jc w:val="both"/>
        <w:rPr>
          <w:rFonts w:ascii="Arial" w:hAnsi="Arial" w:cs="Arial"/>
          <w:sz w:val="20"/>
          <w:szCs w:val="20"/>
        </w:rPr>
      </w:pPr>
      <w:r w:rsidRPr="00E0573F">
        <w:rPr>
          <w:rFonts w:ascii="Arial" w:hAnsi="Arial" w:cs="Arial"/>
          <w:sz w:val="20"/>
          <w:szCs w:val="20"/>
        </w:rPr>
        <w:t xml:space="preserve">The behavioural risk-factor results reported in Table 4 indicate that smoking was more common among confirmed TB cases, as 72 (46.8%) of those who tested positive had a history of smoking, compared with only 18 (18.4%) among unconfirmed cases. In contrast, a much higher proportion of respondents without confirmed TB were non-smokers, at 80 (81.6%), suggesting that smoking may increase susceptibility to tuberculosis by impairing pulmonary defence mechanisms. Similarly, alcohol consumption was more prevalent among confirmed TB cases, with 69 (44.8%) TB-positive respondents reporting alcohol use, compared with 27 (27.6%) among those who tested negative. This suggests that alcohol </w:t>
      </w:r>
      <w:r w:rsidRPr="00E0573F">
        <w:rPr>
          <w:rFonts w:ascii="Arial" w:hAnsi="Arial" w:cs="Arial"/>
          <w:sz w:val="20"/>
          <w:szCs w:val="20"/>
        </w:rPr>
        <w:lastRenderedPageBreak/>
        <w:t>consumption may contribute to increased vulnerability to TB through its effects on immunity and general health.</w:t>
      </w:r>
    </w:p>
    <w:p w14:paraId="2D78F642" w14:textId="77777777" w:rsidR="0057051E" w:rsidRPr="00E0573F" w:rsidRDefault="0057051E" w:rsidP="0057051E">
      <w:pPr>
        <w:pStyle w:val="NormalWeb"/>
        <w:spacing w:after="0" w:afterAutospacing="0"/>
        <w:jc w:val="both"/>
        <w:rPr>
          <w:rFonts w:ascii="Arial" w:hAnsi="Arial" w:cs="Arial"/>
          <w:sz w:val="20"/>
          <w:szCs w:val="20"/>
        </w:rPr>
      </w:pPr>
      <w:r w:rsidRPr="00E0573F">
        <w:rPr>
          <w:rFonts w:ascii="Arial" w:hAnsi="Arial" w:cs="Arial"/>
          <w:sz w:val="20"/>
          <w:szCs w:val="20"/>
        </w:rPr>
        <w:t>With regard to nutritional status, as indicated by the number of meals consumed per day, exactly half of the confirmed TB cases, 77 (50.0%), reported consuming fewer than three meals per day, whereas only 19 (19.4%) unconfirmed cases fell into this category. Conversely, a large proportion of those without TB, 79 (80.6%), reported consuming three or more meals per day, indicating that poor nutritional intake may be an important contributing factor to TB infection. Regarding drug use, 48 (31.2%) confirmed TB cases reported drug use, compared with only 12 (12.2%) unconfirmed cases. Conversely, most respondents without TB, 86 (87.8%), reported no drug use. This finding suggests that drug use may increase the risk of TB infection, possibly through weakened immunity and engagement in high-risk behaviours. Overall, these results highlight the important role of behavioural practices in determining vulnerability to tuberculosis among the study population.</w:t>
      </w:r>
    </w:p>
    <w:p w14:paraId="148C14DA" w14:textId="77777777" w:rsidR="0057051E" w:rsidRPr="00E0573F" w:rsidRDefault="0057051E" w:rsidP="00845DFF">
      <w:pPr>
        <w:pStyle w:val="NormalWeb"/>
        <w:spacing w:before="0" w:beforeAutospacing="0" w:after="0" w:afterAutospacing="0"/>
        <w:jc w:val="both"/>
        <w:rPr>
          <w:rFonts w:ascii="Arial" w:hAnsi="Arial" w:cs="Arial"/>
          <w:sz w:val="20"/>
          <w:szCs w:val="20"/>
        </w:rPr>
      </w:pPr>
    </w:p>
    <w:p w14:paraId="5D089EA0" w14:textId="77777777" w:rsidR="00FF0471" w:rsidRPr="00E0573F" w:rsidRDefault="00FF0471" w:rsidP="0057051E">
      <w:pPr>
        <w:pStyle w:val="NormalWeb"/>
        <w:spacing w:before="0" w:beforeAutospacing="0" w:after="0" w:afterAutospacing="0"/>
        <w:jc w:val="both"/>
        <w:rPr>
          <w:rFonts w:ascii="Arial" w:hAnsi="Arial" w:cs="Arial"/>
          <w:sz w:val="20"/>
          <w:szCs w:val="20"/>
        </w:rPr>
      </w:pPr>
      <w:r w:rsidRPr="00E0573F">
        <w:rPr>
          <w:rFonts w:ascii="Arial" w:hAnsi="Arial" w:cs="Arial"/>
          <w:sz w:val="20"/>
          <w:szCs w:val="20"/>
        </w:rPr>
        <w:t>Table 5 presents the distribution of tuberculosis infection according to HIV status among the study participants. The table was constructed to examine whether HIV infection was associated with tuberculosis among high-risk populations in Makurdi LGA.</w:t>
      </w:r>
    </w:p>
    <w:p w14:paraId="2EBA3924" w14:textId="77777777" w:rsidR="00FF0471" w:rsidRPr="00E0573F" w:rsidRDefault="00FF0471" w:rsidP="00FF0471">
      <w:pPr>
        <w:jc w:val="both"/>
        <w:rPr>
          <w:rFonts w:ascii="Arial" w:hAnsi="Arial" w:cs="Arial"/>
          <w:b/>
        </w:rPr>
      </w:pPr>
      <w:r w:rsidRPr="00E0573F">
        <w:rPr>
          <w:rFonts w:ascii="Arial" w:hAnsi="Arial" w:cs="Arial"/>
          <w:b/>
        </w:rPr>
        <w:t>Table 5: HIV Status vs Tuberculosis Infection</w:t>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864"/>
        <w:gridCol w:w="2453"/>
        <w:gridCol w:w="2134"/>
        <w:gridCol w:w="973"/>
      </w:tblGrid>
      <w:tr w:rsidR="00FF0471" w:rsidRPr="00E0573F" w14:paraId="62D222B3" w14:textId="77777777" w:rsidTr="0057051E">
        <w:tc>
          <w:tcPr>
            <w:tcW w:w="2864" w:type="dxa"/>
            <w:tcBorders>
              <w:top w:val="single" w:sz="4" w:space="0" w:color="auto"/>
              <w:bottom w:val="single" w:sz="4" w:space="0" w:color="auto"/>
            </w:tcBorders>
            <w:vAlign w:val="center"/>
          </w:tcPr>
          <w:p w14:paraId="392EEBD3" w14:textId="77777777" w:rsidR="00FF0471" w:rsidRPr="00E0573F" w:rsidRDefault="00FF0471" w:rsidP="00845DFF">
            <w:pPr>
              <w:jc w:val="center"/>
              <w:rPr>
                <w:rFonts w:ascii="Arial" w:hAnsi="Arial" w:cs="Arial"/>
                <w:b/>
                <w:bCs/>
              </w:rPr>
            </w:pPr>
            <w:r w:rsidRPr="00E0573F">
              <w:rPr>
                <w:rFonts w:ascii="Arial" w:hAnsi="Arial" w:cs="Arial"/>
                <w:b/>
                <w:bCs/>
              </w:rPr>
              <w:t>HIV Status</w:t>
            </w:r>
          </w:p>
        </w:tc>
        <w:tc>
          <w:tcPr>
            <w:tcW w:w="2453" w:type="dxa"/>
            <w:tcBorders>
              <w:top w:val="single" w:sz="4" w:space="0" w:color="auto"/>
              <w:bottom w:val="single" w:sz="4" w:space="0" w:color="auto"/>
            </w:tcBorders>
            <w:vAlign w:val="center"/>
          </w:tcPr>
          <w:p w14:paraId="5819DE02" w14:textId="77777777" w:rsidR="00FF0471" w:rsidRPr="00E0573F" w:rsidRDefault="00FF0471" w:rsidP="00845DFF">
            <w:pPr>
              <w:jc w:val="center"/>
              <w:rPr>
                <w:rFonts w:ascii="Arial" w:hAnsi="Arial" w:cs="Arial"/>
                <w:b/>
                <w:bCs/>
              </w:rPr>
            </w:pPr>
            <w:r w:rsidRPr="00E0573F">
              <w:rPr>
                <w:rFonts w:ascii="Arial" w:hAnsi="Arial" w:cs="Arial"/>
                <w:b/>
                <w:bCs/>
              </w:rPr>
              <w:t>Confirmed TB n (%)</w:t>
            </w:r>
          </w:p>
        </w:tc>
        <w:tc>
          <w:tcPr>
            <w:tcW w:w="2134" w:type="dxa"/>
            <w:tcBorders>
              <w:top w:val="single" w:sz="4" w:space="0" w:color="auto"/>
              <w:bottom w:val="single" w:sz="4" w:space="0" w:color="auto"/>
            </w:tcBorders>
            <w:vAlign w:val="center"/>
          </w:tcPr>
          <w:p w14:paraId="7366E331" w14:textId="77777777" w:rsidR="00FF0471" w:rsidRPr="00E0573F" w:rsidRDefault="00FF0471" w:rsidP="00845DFF">
            <w:pPr>
              <w:jc w:val="center"/>
              <w:rPr>
                <w:rFonts w:ascii="Arial" w:hAnsi="Arial" w:cs="Arial"/>
                <w:b/>
                <w:bCs/>
              </w:rPr>
            </w:pPr>
            <w:r w:rsidRPr="00E0573F">
              <w:rPr>
                <w:rFonts w:ascii="Arial" w:hAnsi="Arial" w:cs="Arial"/>
                <w:b/>
                <w:bCs/>
              </w:rPr>
              <w:t>Not Confirmed TB n (%)</w:t>
            </w:r>
          </w:p>
        </w:tc>
        <w:tc>
          <w:tcPr>
            <w:tcW w:w="973" w:type="dxa"/>
            <w:tcBorders>
              <w:top w:val="single" w:sz="4" w:space="0" w:color="auto"/>
              <w:bottom w:val="single" w:sz="4" w:space="0" w:color="auto"/>
            </w:tcBorders>
            <w:vAlign w:val="center"/>
          </w:tcPr>
          <w:p w14:paraId="4D26C14A" w14:textId="77777777" w:rsidR="00FF0471" w:rsidRPr="00E0573F" w:rsidRDefault="00FF0471" w:rsidP="00845DFF">
            <w:pPr>
              <w:jc w:val="center"/>
              <w:rPr>
                <w:rFonts w:ascii="Arial" w:hAnsi="Arial" w:cs="Arial"/>
                <w:b/>
                <w:bCs/>
              </w:rPr>
            </w:pPr>
            <w:r w:rsidRPr="00E0573F">
              <w:rPr>
                <w:rFonts w:ascii="Arial" w:hAnsi="Arial" w:cs="Arial"/>
                <w:b/>
                <w:bCs/>
              </w:rPr>
              <w:t>Total</w:t>
            </w:r>
          </w:p>
        </w:tc>
      </w:tr>
      <w:tr w:rsidR="00FF0471" w:rsidRPr="00E0573F" w14:paraId="187DB328" w14:textId="77777777" w:rsidTr="0057051E">
        <w:tc>
          <w:tcPr>
            <w:tcW w:w="2864" w:type="dxa"/>
            <w:tcBorders>
              <w:top w:val="single" w:sz="4" w:space="0" w:color="auto"/>
            </w:tcBorders>
            <w:vAlign w:val="center"/>
          </w:tcPr>
          <w:p w14:paraId="328A1FAB" w14:textId="77777777" w:rsidR="00FF0471" w:rsidRPr="00E0573F" w:rsidRDefault="00FF0471" w:rsidP="00845DFF">
            <w:pPr>
              <w:rPr>
                <w:rFonts w:ascii="Arial" w:hAnsi="Arial" w:cs="Arial"/>
              </w:rPr>
            </w:pPr>
            <w:r w:rsidRPr="00E0573F">
              <w:rPr>
                <w:rFonts w:ascii="Arial" w:hAnsi="Arial" w:cs="Arial"/>
              </w:rPr>
              <w:t>Positive</w:t>
            </w:r>
          </w:p>
        </w:tc>
        <w:tc>
          <w:tcPr>
            <w:tcW w:w="2453" w:type="dxa"/>
            <w:tcBorders>
              <w:top w:val="single" w:sz="4" w:space="0" w:color="auto"/>
            </w:tcBorders>
            <w:vAlign w:val="center"/>
          </w:tcPr>
          <w:p w14:paraId="77EDB983" w14:textId="77777777" w:rsidR="00FF0471" w:rsidRPr="00E0573F" w:rsidRDefault="00FF0471" w:rsidP="00845DFF">
            <w:pPr>
              <w:jc w:val="center"/>
              <w:rPr>
                <w:rFonts w:ascii="Arial" w:hAnsi="Arial" w:cs="Arial"/>
              </w:rPr>
            </w:pPr>
            <w:r w:rsidRPr="00E0573F">
              <w:rPr>
                <w:rFonts w:ascii="Arial" w:hAnsi="Arial" w:cs="Arial"/>
              </w:rPr>
              <w:t>22 (73.3)</w:t>
            </w:r>
          </w:p>
        </w:tc>
        <w:tc>
          <w:tcPr>
            <w:tcW w:w="2134" w:type="dxa"/>
            <w:tcBorders>
              <w:top w:val="single" w:sz="4" w:space="0" w:color="auto"/>
            </w:tcBorders>
            <w:vAlign w:val="center"/>
          </w:tcPr>
          <w:p w14:paraId="75F2C0FC" w14:textId="77777777" w:rsidR="00FF0471" w:rsidRPr="00E0573F" w:rsidRDefault="00FF0471" w:rsidP="00845DFF">
            <w:pPr>
              <w:jc w:val="center"/>
              <w:rPr>
                <w:rFonts w:ascii="Arial" w:hAnsi="Arial" w:cs="Arial"/>
              </w:rPr>
            </w:pPr>
            <w:r w:rsidRPr="00E0573F">
              <w:rPr>
                <w:rFonts w:ascii="Arial" w:hAnsi="Arial" w:cs="Arial"/>
              </w:rPr>
              <w:t>8 (26.7)</w:t>
            </w:r>
          </w:p>
        </w:tc>
        <w:tc>
          <w:tcPr>
            <w:tcW w:w="973" w:type="dxa"/>
            <w:tcBorders>
              <w:top w:val="single" w:sz="4" w:space="0" w:color="auto"/>
            </w:tcBorders>
            <w:vAlign w:val="center"/>
          </w:tcPr>
          <w:p w14:paraId="7CE2810C" w14:textId="77777777" w:rsidR="00FF0471" w:rsidRPr="00E0573F" w:rsidRDefault="00FF0471" w:rsidP="00845DFF">
            <w:pPr>
              <w:jc w:val="center"/>
              <w:rPr>
                <w:rFonts w:ascii="Arial" w:hAnsi="Arial" w:cs="Arial"/>
              </w:rPr>
            </w:pPr>
            <w:r w:rsidRPr="00E0573F">
              <w:rPr>
                <w:rFonts w:ascii="Arial" w:hAnsi="Arial" w:cs="Arial"/>
              </w:rPr>
              <w:t>30</w:t>
            </w:r>
          </w:p>
        </w:tc>
      </w:tr>
      <w:tr w:rsidR="00FF0471" w:rsidRPr="00E0573F" w14:paraId="5BD9FAB6" w14:textId="77777777" w:rsidTr="0057051E">
        <w:tc>
          <w:tcPr>
            <w:tcW w:w="2864" w:type="dxa"/>
            <w:vAlign w:val="center"/>
          </w:tcPr>
          <w:p w14:paraId="294EBA82" w14:textId="77777777" w:rsidR="00FF0471" w:rsidRPr="00E0573F" w:rsidRDefault="00FF0471" w:rsidP="00845DFF">
            <w:pPr>
              <w:rPr>
                <w:rFonts w:ascii="Arial" w:hAnsi="Arial" w:cs="Arial"/>
              </w:rPr>
            </w:pPr>
            <w:r w:rsidRPr="00E0573F">
              <w:rPr>
                <w:rFonts w:ascii="Arial" w:hAnsi="Arial" w:cs="Arial"/>
              </w:rPr>
              <w:t>Negative/Unknown</w:t>
            </w:r>
          </w:p>
        </w:tc>
        <w:tc>
          <w:tcPr>
            <w:tcW w:w="2453" w:type="dxa"/>
            <w:vAlign w:val="center"/>
          </w:tcPr>
          <w:p w14:paraId="4C55D0D0" w14:textId="77777777" w:rsidR="00FF0471" w:rsidRPr="00E0573F" w:rsidRDefault="00FF0471" w:rsidP="00845DFF">
            <w:pPr>
              <w:jc w:val="center"/>
              <w:rPr>
                <w:rFonts w:ascii="Arial" w:hAnsi="Arial" w:cs="Arial"/>
              </w:rPr>
            </w:pPr>
            <w:r w:rsidRPr="00E0573F">
              <w:rPr>
                <w:rFonts w:ascii="Arial" w:hAnsi="Arial" w:cs="Arial"/>
              </w:rPr>
              <w:t>132 (59.5)</w:t>
            </w:r>
          </w:p>
        </w:tc>
        <w:tc>
          <w:tcPr>
            <w:tcW w:w="2134" w:type="dxa"/>
            <w:vAlign w:val="center"/>
          </w:tcPr>
          <w:p w14:paraId="13388F43" w14:textId="77777777" w:rsidR="00FF0471" w:rsidRPr="00E0573F" w:rsidRDefault="00FF0471" w:rsidP="00845DFF">
            <w:pPr>
              <w:jc w:val="center"/>
              <w:rPr>
                <w:rFonts w:ascii="Arial" w:hAnsi="Arial" w:cs="Arial"/>
              </w:rPr>
            </w:pPr>
            <w:r w:rsidRPr="00E0573F">
              <w:rPr>
                <w:rFonts w:ascii="Arial" w:hAnsi="Arial" w:cs="Arial"/>
              </w:rPr>
              <w:t>90 (40.5)</w:t>
            </w:r>
          </w:p>
        </w:tc>
        <w:tc>
          <w:tcPr>
            <w:tcW w:w="973" w:type="dxa"/>
            <w:vAlign w:val="center"/>
          </w:tcPr>
          <w:p w14:paraId="7BDCACB1" w14:textId="77777777" w:rsidR="00FF0471" w:rsidRPr="00E0573F" w:rsidRDefault="00FF0471" w:rsidP="00845DFF">
            <w:pPr>
              <w:jc w:val="center"/>
              <w:rPr>
                <w:rFonts w:ascii="Arial" w:hAnsi="Arial" w:cs="Arial"/>
              </w:rPr>
            </w:pPr>
            <w:r w:rsidRPr="00E0573F">
              <w:rPr>
                <w:rFonts w:ascii="Arial" w:hAnsi="Arial" w:cs="Arial"/>
              </w:rPr>
              <w:t>222</w:t>
            </w:r>
          </w:p>
        </w:tc>
      </w:tr>
      <w:tr w:rsidR="00FF0471" w:rsidRPr="00E0573F" w14:paraId="11CD8B67" w14:textId="77777777" w:rsidTr="0057051E">
        <w:tc>
          <w:tcPr>
            <w:tcW w:w="2864" w:type="dxa"/>
            <w:vAlign w:val="center"/>
          </w:tcPr>
          <w:p w14:paraId="5473EE0F" w14:textId="77777777" w:rsidR="00FF0471" w:rsidRPr="00E0573F" w:rsidRDefault="00FF0471" w:rsidP="00845DFF">
            <w:pPr>
              <w:jc w:val="center"/>
              <w:rPr>
                <w:rFonts w:ascii="Arial" w:hAnsi="Arial" w:cs="Arial"/>
              </w:rPr>
            </w:pPr>
            <w:r w:rsidRPr="00E0573F">
              <w:rPr>
                <w:rFonts w:ascii="Arial" w:hAnsi="Arial" w:cs="Arial"/>
                <w:b/>
                <w:bCs/>
              </w:rPr>
              <w:t>Total</w:t>
            </w:r>
          </w:p>
        </w:tc>
        <w:tc>
          <w:tcPr>
            <w:tcW w:w="2453" w:type="dxa"/>
            <w:vAlign w:val="center"/>
          </w:tcPr>
          <w:p w14:paraId="7E809C66" w14:textId="77777777" w:rsidR="00FF0471" w:rsidRPr="00E0573F" w:rsidRDefault="00FF0471" w:rsidP="00845DFF">
            <w:pPr>
              <w:jc w:val="center"/>
              <w:rPr>
                <w:rFonts w:ascii="Arial" w:hAnsi="Arial" w:cs="Arial"/>
              </w:rPr>
            </w:pPr>
            <w:r w:rsidRPr="00E0573F">
              <w:rPr>
                <w:rFonts w:ascii="Arial" w:hAnsi="Arial" w:cs="Arial"/>
              </w:rPr>
              <w:t>154</w:t>
            </w:r>
          </w:p>
        </w:tc>
        <w:tc>
          <w:tcPr>
            <w:tcW w:w="2134" w:type="dxa"/>
            <w:vAlign w:val="center"/>
          </w:tcPr>
          <w:p w14:paraId="26FCE4ED" w14:textId="77777777" w:rsidR="00FF0471" w:rsidRPr="00E0573F" w:rsidRDefault="00FF0471" w:rsidP="00845DFF">
            <w:pPr>
              <w:jc w:val="center"/>
              <w:rPr>
                <w:rFonts w:ascii="Arial" w:hAnsi="Arial" w:cs="Arial"/>
              </w:rPr>
            </w:pPr>
            <w:r w:rsidRPr="00E0573F">
              <w:rPr>
                <w:rFonts w:ascii="Arial" w:hAnsi="Arial" w:cs="Arial"/>
              </w:rPr>
              <w:t>98</w:t>
            </w:r>
          </w:p>
        </w:tc>
        <w:tc>
          <w:tcPr>
            <w:tcW w:w="973" w:type="dxa"/>
            <w:vAlign w:val="center"/>
          </w:tcPr>
          <w:p w14:paraId="4EE712EA" w14:textId="77777777" w:rsidR="00FF0471" w:rsidRPr="00E0573F" w:rsidRDefault="00FF0471" w:rsidP="00845DFF">
            <w:pPr>
              <w:jc w:val="center"/>
              <w:rPr>
                <w:rFonts w:ascii="Arial" w:hAnsi="Arial" w:cs="Arial"/>
              </w:rPr>
            </w:pPr>
            <w:r w:rsidRPr="00E0573F">
              <w:rPr>
                <w:rFonts w:ascii="Arial" w:hAnsi="Arial" w:cs="Arial"/>
              </w:rPr>
              <w:t>252</w:t>
            </w:r>
          </w:p>
        </w:tc>
      </w:tr>
    </w:tbl>
    <w:p w14:paraId="1569B394" w14:textId="77777777" w:rsidR="0057051E" w:rsidRPr="00E0573F" w:rsidRDefault="0057051E" w:rsidP="0057051E">
      <w:pPr>
        <w:pStyle w:val="NormalWeb"/>
        <w:spacing w:after="0" w:afterAutospacing="0"/>
        <w:jc w:val="both"/>
        <w:rPr>
          <w:rFonts w:ascii="Arial" w:hAnsi="Arial" w:cs="Arial"/>
          <w:sz w:val="20"/>
          <w:szCs w:val="20"/>
        </w:rPr>
      </w:pPr>
      <w:r w:rsidRPr="00E0573F">
        <w:rPr>
          <w:rFonts w:ascii="Arial" w:hAnsi="Arial" w:cs="Arial"/>
          <w:sz w:val="20"/>
          <w:szCs w:val="20"/>
        </w:rPr>
        <w:t>The results for HIV status and TB infection reported in Table 5 indicate that a higher proportion of HIV-positive participants, 22 (73.3%), were confirmed to have TB than participants who were HIV-negative or whose status was unknown, 132 (59.5%). This suggests a possible association between HIV infection and increased susceptibility to tuberculosis.</w:t>
      </w:r>
    </w:p>
    <w:p w14:paraId="131B0158" w14:textId="77777777" w:rsidR="00FF0471" w:rsidRPr="00E0573F" w:rsidRDefault="00FF0471" w:rsidP="0057051E">
      <w:pPr>
        <w:pStyle w:val="NormalWeb"/>
        <w:spacing w:after="0" w:afterAutospacing="0"/>
        <w:jc w:val="both"/>
        <w:rPr>
          <w:rFonts w:ascii="Arial" w:hAnsi="Arial" w:cs="Arial"/>
          <w:sz w:val="20"/>
          <w:szCs w:val="20"/>
        </w:rPr>
      </w:pPr>
      <w:r w:rsidRPr="00E0573F">
        <w:rPr>
          <w:rFonts w:ascii="Arial" w:hAnsi="Arial" w:cs="Arial"/>
          <w:sz w:val="20"/>
          <w:szCs w:val="20"/>
        </w:rPr>
        <w:t>Table 6 presents the distribution of tuberculosis infection according to selected awareness and preventive-practice factors, including awareness that TB is infectious, the use of face masks in crowded places, and receipt of TB health education. The table compares the proportions of confirmed and unconfirmed TB cases across these preventive indicators.</w:t>
      </w:r>
    </w:p>
    <w:p w14:paraId="0E0F58E0" w14:textId="77777777" w:rsidR="00FF0471" w:rsidRPr="00E0573F" w:rsidRDefault="00FF0471" w:rsidP="00FF0471">
      <w:pPr>
        <w:rPr>
          <w:rFonts w:ascii="Arial" w:hAnsi="Arial" w:cs="Arial"/>
          <w:b/>
        </w:rPr>
      </w:pPr>
      <w:r w:rsidRPr="00E0573F">
        <w:rPr>
          <w:rFonts w:ascii="Arial" w:hAnsi="Arial" w:cs="Arial"/>
          <w:b/>
        </w:rPr>
        <w:t>Table 6: Awareness and Preventive Risk Factors of Tuberculosis</w:t>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964"/>
        <w:gridCol w:w="1424"/>
        <w:gridCol w:w="1792"/>
        <w:gridCol w:w="2119"/>
        <w:gridCol w:w="1125"/>
      </w:tblGrid>
      <w:tr w:rsidR="00FF0471" w:rsidRPr="00E0573F" w14:paraId="029FF5F0" w14:textId="77777777" w:rsidTr="00FF0471">
        <w:tc>
          <w:tcPr>
            <w:tcW w:w="2088" w:type="dxa"/>
            <w:tcBorders>
              <w:top w:val="single" w:sz="4" w:space="0" w:color="auto"/>
              <w:bottom w:val="single" w:sz="4" w:space="0" w:color="auto"/>
            </w:tcBorders>
            <w:vAlign w:val="center"/>
          </w:tcPr>
          <w:p w14:paraId="7DD13CEC" w14:textId="77777777" w:rsidR="00FF0471" w:rsidRPr="00E0573F" w:rsidRDefault="00FF0471" w:rsidP="00845DFF">
            <w:pPr>
              <w:jc w:val="center"/>
              <w:rPr>
                <w:rFonts w:ascii="Arial" w:hAnsi="Arial" w:cs="Arial"/>
                <w:b/>
                <w:bCs/>
              </w:rPr>
            </w:pPr>
            <w:r w:rsidRPr="00E0573F">
              <w:rPr>
                <w:rFonts w:ascii="Arial" w:hAnsi="Arial" w:cs="Arial"/>
                <w:b/>
                <w:bCs/>
              </w:rPr>
              <w:t>Variable</w:t>
            </w:r>
          </w:p>
        </w:tc>
        <w:tc>
          <w:tcPr>
            <w:tcW w:w="1454" w:type="dxa"/>
            <w:tcBorders>
              <w:top w:val="single" w:sz="4" w:space="0" w:color="auto"/>
              <w:bottom w:val="single" w:sz="4" w:space="0" w:color="auto"/>
            </w:tcBorders>
            <w:vAlign w:val="center"/>
          </w:tcPr>
          <w:p w14:paraId="5F1B28BC" w14:textId="77777777" w:rsidR="00FF0471" w:rsidRPr="00E0573F" w:rsidRDefault="00FF0471" w:rsidP="00845DFF">
            <w:pPr>
              <w:jc w:val="center"/>
              <w:rPr>
                <w:rFonts w:ascii="Arial" w:hAnsi="Arial" w:cs="Arial"/>
                <w:b/>
                <w:bCs/>
              </w:rPr>
            </w:pPr>
            <w:r w:rsidRPr="00E0573F">
              <w:rPr>
                <w:rFonts w:ascii="Arial" w:hAnsi="Arial" w:cs="Arial"/>
                <w:b/>
                <w:bCs/>
              </w:rPr>
              <w:t>Category</w:t>
            </w:r>
          </w:p>
        </w:tc>
        <w:tc>
          <w:tcPr>
            <w:tcW w:w="1876" w:type="dxa"/>
            <w:tcBorders>
              <w:top w:val="single" w:sz="4" w:space="0" w:color="auto"/>
              <w:bottom w:val="single" w:sz="4" w:space="0" w:color="auto"/>
            </w:tcBorders>
            <w:vAlign w:val="center"/>
          </w:tcPr>
          <w:p w14:paraId="2FF6B001" w14:textId="77777777" w:rsidR="00FF0471" w:rsidRPr="00E0573F" w:rsidRDefault="00FF0471" w:rsidP="00845DFF">
            <w:pPr>
              <w:jc w:val="center"/>
              <w:rPr>
                <w:rFonts w:ascii="Arial" w:hAnsi="Arial" w:cs="Arial"/>
                <w:b/>
                <w:bCs/>
              </w:rPr>
            </w:pPr>
            <w:r w:rsidRPr="00E0573F">
              <w:rPr>
                <w:rFonts w:ascii="Arial" w:hAnsi="Arial" w:cs="Arial"/>
                <w:b/>
                <w:bCs/>
              </w:rPr>
              <w:t>Confirmed TB n (%)</w:t>
            </w:r>
          </w:p>
        </w:tc>
        <w:tc>
          <w:tcPr>
            <w:tcW w:w="2250" w:type="dxa"/>
            <w:tcBorders>
              <w:top w:val="single" w:sz="4" w:space="0" w:color="auto"/>
              <w:bottom w:val="single" w:sz="4" w:space="0" w:color="auto"/>
            </w:tcBorders>
            <w:vAlign w:val="center"/>
          </w:tcPr>
          <w:p w14:paraId="25CAEBEF" w14:textId="77777777" w:rsidR="00FF0471" w:rsidRPr="00E0573F" w:rsidRDefault="00FF0471" w:rsidP="00845DFF">
            <w:pPr>
              <w:jc w:val="center"/>
              <w:rPr>
                <w:rFonts w:ascii="Arial" w:hAnsi="Arial" w:cs="Arial"/>
                <w:b/>
                <w:bCs/>
              </w:rPr>
            </w:pPr>
            <w:r w:rsidRPr="00E0573F">
              <w:rPr>
                <w:rFonts w:ascii="Arial" w:hAnsi="Arial" w:cs="Arial"/>
                <w:b/>
                <w:bCs/>
              </w:rPr>
              <w:t>Not Confirmed TB n (%)</w:t>
            </w:r>
          </w:p>
        </w:tc>
        <w:tc>
          <w:tcPr>
            <w:tcW w:w="1188" w:type="dxa"/>
            <w:tcBorders>
              <w:top w:val="single" w:sz="4" w:space="0" w:color="auto"/>
              <w:bottom w:val="single" w:sz="4" w:space="0" w:color="auto"/>
            </w:tcBorders>
            <w:vAlign w:val="center"/>
          </w:tcPr>
          <w:p w14:paraId="74C9F3EE" w14:textId="77777777" w:rsidR="00FF0471" w:rsidRPr="00E0573F" w:rsidRDefault="00FF0471" w:rsidP="00845DFF">
            <w:pPr>
              <w:jc w:val="center"/>
              <w:rPr>
                <w:rFonts w:ascii="Arial" w:hAnsi="Arial" w:cs="Arial"/>
                <w:b/>
                <w:bCs/>
              </w:rPr>
            </w:pPr>
            <w:r w:rsidRPr="00E0573F">
              <w:rPr>
                <w:rFonts w:ascii="Arial" w:hAnsi="Arial" w:cs="Arial"/>
                <w:b/>
                <w:bCs/>
              </w:rPr>
              <w:t>Total</w:t>
            </w:r>
          </w:p>
        </w:tc>
      </w:tr>
      <w:tr w:rsidR="00FF0471" w:rsidRPr="00E0573F" w14:paraId="4340B8E7" w14:textId="77777777" w:rsidTr="00FF0471">
        <w:tc>
          <w:tcPr>
            <w:tcW w:w="2088" w:type="dxa"/>
            <w:vMerge w:val="restart"/>
            <w:tcBorders>
              <w:top w:val="single" w:sz="4" w:space="0" w:color="auto"/>
            </w:tcBorders>
            <w:vAlign w:val="center"/>
          </w:tcPr>
          <w:p w14:paraId="4DAAB10F" w14:textId="77777777" w:rsidR="00FF0471" w:rsidRPr="00E0573F" w:rsidRDefault="00FF0471" w:rsidP="00845DFF">
            <w:pPr>
              <w:jc w:val="center"/>
              <w:rPr>
                <w:rFonts w:ascii="Arial" w:hAnsi="Arial" w:cs="Arial"/>
              </w:rPr>
            </w:pPr>
            <w:r w:rsidRPr="00E0573F">
              <w:rPr>
                <w:rFonts w:ascii="Arial" w:hAnsi="Arial" w:cs="Arial"/>
                <w:bCs/>
              </w:rPr>
              <w:t>Aware TB is Infectious</w:t>
            </w:r>
          </w:p>
        </w:tc>
        <w:tc>
          <w:tcPr>
            <w:tcW w:w="1454" w:type="dxa"/>
            <w:tcBorders>
              <w:top w:val="single" w:sz="4" w:space="0" w:color="auto"/>
            </w:tcBorders>
            <w:vAlign w:val="center"/>
          </w:tcPr>
          <w:p w14:paraId="2857611F" w14:textId="77777777" w:rsidR="00FF0471" w:rsidRPr="00E0573F" w:rsidRDefault="00FF0471" w:rsidP="00845DFF">
            <w:pPr>
              <w:jc w:val="center"/>
              <w:rPr>
                <w:rFonts w:ascii="Arial" w:hAnsi="Arial" w:cs="Arial"/>
              </w:rPr>
            </w:pPr>
            <w:r w:rsidRPr="00E0573F">
              <w:rPr>
                <w:rFonts w:ascii="Arial" w:hAnsi="Arial" w:cs="Arial"/>
              </w:rPr>
              <w:t>Yes</w:t>
            </w:r>
          </w:p>
        </w:tc>
        <w:tc>
          <w:tcPr>
            <w:tcW w:w="1876" w:type="dxa"/>
            <w:tcBorders>
              <w:top w:val="single" w:sz="4" w:space="0" w:color="auto"/>
            </w:tcBorders>
            <w:vAlign w:val="center"/>
          </w:tcPr>
          <w:p w14:paraId="3B35B67B" w14:textId="77777777" w:rsidR="00FF0471" w:rsidRPr="00E0573F" w:rsidRDefault="00FF0471" w:rsidP="00845DFF">
            <w:pPr>
              <w:jc w:val="center"/>
              <w:rPr>
                <w:rFonts w:ascii="Arial" w:hAnsi="Arial" w:cs="Arial"/>
              </w:rPr>
            </w:pPr>
            <w:r w:rsidRPr="00E0573F">
              <w:rPr>
                <w:rFonts w:ascii="Arial" w:hAnsi="Arial" w:cs="Arial"/>
              </w:rPr>
              <w:t>74 (48.1)</w:t>
            </w:r>
          </w:p>
        </w:tc>
        <w:tc>
          <w:tcPr>
            <w:tcW w:w="2250" w:type="dxa"/>
            <w:tcBorders>
              <w:top w:val="single" w:sz="4" w:space="0" w:color="auto"/>
            </w:tcBorders>
            <w:vAlign w:val="center"/>
          </w:tcPr>
          <w:p w14:paraId="16A66CD2" w14:textId="77777777" w:rsidR="00FF0471" w:rsidRPr="00E0573F" w:rsidRDefault="00FF0471" w:rsidP="00845DFF">
            <w:pPr>
              <w:jc w:val="center"/>
              <w:rPr>
                <w:rFonts w:ascii="Arial" w:hAnsi="Arial" w:cs="Arial"/>
              </w:rPr>
            </w:pPr>
            <w:r w:rsidRPr="00E0573F">
              <w:rPr>
                <w:rFonts w:ascii="Arial" w:hAnsi="Arial" w:cs="Arial"/>
              </w:rPr>
              <w:t>81 (82.7)</w:t>
            </w:r>
          </w:p>
        </w:tc>
        <w:tc>
          <w:tcPr>
            <w:tcW w:w="1188" w:type="dxa"/>
            <w:tcBorders>
              <w:top w:val="single" w:sz="4" w:space="0" w:color="auto"/>
            </w:tcBorders>
            <w:vAlign w:val="center"/>
          </w:tcPr>
          <w:p w14:paraId="09A9697E" w14:textId="77777777" w:rsidR="00FF0471" w:rsidRPr="00E0573F" w:rsidRDefault="00FF0471" w:rsidP="00845DFF">
            <w:pPr>
              <w:jc w:val="center"/>
              <w:rPr>
                <w:rFonts w:ascii="Arial" w:hAnsi="Arial" w:cs="Arial"/>
              </w:rPr>
            </w:pPr>
            <w:r w:rsidRPr="00E0573F">
              <w:rPr>
                <w:rFonts w:ascii="Arial" w:hAnsi="Arial" w:cs="Arial"/>
              </w:rPr>
              <w:t>155</w:t>
            </w:r>
          </w:p>
        </w:tc>
      </w:tr>
      <w:tr w:rsidR="00FF0471" w:rsidRPr="00E0573F" w14:paraId="70469595" w14:textId="77777777" w:rsidTr="00FF0471">
        <w:tc>
          <w:tcPr>
            <w:tcW w:w="2088" w:type="dxa"/>
            <w:vMerge/>
            <w:vAlign w:val="center"/>
          </w:tcPr>
          <w:p w14:paraId="25023D40" w14:textId="77777777" w:rsidR="00FF0471" w:rsidRPr="00E0573F" w:rsidRDefault="00FF0471" w:rsidP="00845DFF">
            <w:pPr>
              <w:jc w:val="center"/>
              <w:rPr>
                <w:rFonts w:ascii="Arial" w:hAnsi="Arial" w:cs="Arial"/>
              </w:rPr>
            </w:pPr>
          </w:p>
        </w:tc>
        <w:tc>
          <w:tcPr>
            <w:tcW w:w="1454" w:type="dxa"/>
            <w:vAlign w:val="center"/>
          </w:tcPr>
          <w:p w14:paraId="61F49717" w14:textId="77777777" w:rsidR="00FF0471" w:rsidRPr="00E0573F" w:rsidRDefault="00FF0471" w:rsidP="00845DFF">
            <w:pPr>
              <w:jc w:val="center"/>
              <w:rPr>
                <w:rFonts w:ascii="Arial" w:hAnsi="Arial" w:cs="Arial"/>
              </w:rPr>
            </w:pPr>
            <w:r w:rsidRPr="00E0573F">
              <w:rPr>
                <w:rFonts w:ascii="Arial" w:hAnsi="Arial" w:cs="Arial"/>
              </w:rPr>
              <w:t>No</w:t>
            </w:r>
          </w:p>
        </w:tc>
        <w:tc>
          <w:tcPr>
            <w:tcW w:w="1876" w:type="dxa"/>
            <w:vAlign w:val="center"/>
          </w:tcPr>
          <w:p w14:paraId="7F553B32" w14:textId="77777777" w:rsidR="00FF0471" w:rsidRPr="00E0573F" w:rsidRDefault="00FF0471" w:rsidP="00845DFF">
            <w:pPr>
              <w:jc w:val="center"/>
              <w:rPr>
                <w:rFonts w:ascii="Arial" w:hAnsi="Arial" w:cs="Arial"/>
              </w:rPr>
            </w:pPr>
            <w:r w:rsidRPr="00E0573F">
              <w:rPr>
                <w:rFonts w:ascii="Arial" w:hAnsi="Arial" w:cs="Arial"/>
              </w:rPr>
              <w:t>80 (51.9)</w:t>
            </w:r>
          </w:p>
        </w:tc>
        <w:tc>
          <w:tcPr>
            <w:tcW w:w="2250" w:type="dxa"/>
            <w:vAlign w:val="center"/>
          </w:tcPr>
          <w:p w14:paraId="03CCF84F" w14:textId="77777777" w:rsidR="00FF0471" w:rsidRPr="00E0573F" w:rsidRDefault="00FF0471" w:rsidP="00845DFF">
            <w:pPr>
              <w:jc w:val="center"/>
              <w:rPr>
                <w:rFonts w:ascii="Arial" w:hAnsi="Arial" w:cs="Arial"/>
              </w:rPr>
            </w:pPr>
            <w:r w:rsidRPr="00E0573F">
              <w:rPr>
                <w:rFonts w:ascii="Arial" w:hAnsi="Arial" w:cs="Arial"/>
              </w:rPr>
              <w:t>17 (17.3)</w:t>
            </w:r>
          </w:p>
        </w:tc>
        <w:tc>
          <w:tcPr>
            <w:tcW w:w="1188" w:type="dxa"/>
            <w:vAlign w:val="center"/>
          </w:tcPr>
          <w:p w14:paraId="695EAE03" w14:textId="77777777" w:rsidR="00FF0471" w:rsidRPr="00E0573F" w:rsidRDefault="00FF0471" w:rsidP="00845DFF">
            <w:pPr>
              <w:jc w:val="center"/>
              <w:rPr>
                <w:rFonts w:ascii="Arial" w:hAnsi="Arial" w:cs="Arial"/>
              </w:rPr>
            </w:pPr>
            <w:r w:rsidRPr="00E0573F">
              <w:rPr>
                <w:rFonts w:ascii="Arial" w:hAnsi="Arial" w:cs="Arial"/>
              </w:rPr>
              <w:t>97</w:t>
            </w:r>
          </w:p>
        </w:tc>
      </w:tr>
      <w:tr w:rsidR="00FF0471" w:rsidRPr="00E0573F" w14:paraId="588CEF51" w14:textId="77777777" w:rsidTr="00FF0471">
        <w:tc>
          <w:tcPr>
            <w:tcW w:w="2088" w:type="dxa"/>
            <w:vMerge w:val="restart"/>
            <w:vAlign w:val="center"/>
          </w:tcPr>
          <w:p w14:paraId="5EE575EE" w14:textId="77777777" w:rsidR="00FF0471" w:rsidRPr="00E0573F" w:rsidRDefault="00FF0471" w:rsidP="00845DFF">
            <w:pPr>
              <w:jc w:val="center"/>
              <w:rPr>
                <w:rFonts w:ascii="Arial" w:hAnsi="Arial" w:cs="Arial"/>
              </w:rPr>
            </w:pPr>
            <w:r w:rsidRPr="00E0573F">
              <w:rPr>
                <w:rFonts w:ascii="Arial" w:hAnsi="Arial" w:cs="Arial"/>
                <w:bCs/>
              </w:rPr>
              <w:t>Use of Face Mask</w:t>
            </w:r>
          </w:p>
        </w:tc>
        <w:tc>
          <w:tcPr>
            <w:tcW w:w="1454" w:type="dxa"/>
            <w:vAlign w:val="center"/>
          </w:tcPr>
          <w:p w14:paraId="23EA0E98" w14:textId="77777777" w:rsidR="00FF0471" w:rsidRPr="00E0573F" w:rsidRDefault="00FF0471" w:rsidP="00845DFF">
            <w:pPr>
              <w:jc w:val="center"/>
              <w:rPr>
                <w:rFonts w:ascii="Arial" w:hAnsi="Arial" w:cs="Arial"/>
              </w:rPr>
            </w:pPr>
            <w:r w:rsidRPr="00E0573F">
              <w:rPr>
                <w:rFonts w:ascii="Arial" w:hAnsi="Arial" w:cs="Arial"/>
              </w:rPr>
              <w:t>Always</w:t>
            </w:r>
          </w:p>
        </w:tc>
        <w:tc>
          <w:tcPr>
            <w:tcW w:w="1876" w:type="dxa"/>
            <w:vAlign w:val="center"/>
          </w:tcPr>
          <w:p w14:paraId="653E9C9B" w14:textId="77777777" w:rsidR="00FF0471" w:rsidRPr="00E0573F" w:rsidRDefault="00FF0471" w:rsidP="00845DFF">
            <w:pPr>
              <w:jc w:val="center"/>
              <w:rPr>
                <w:rFonts w:ascii="Arial" w:hAnsi="Arial" w:cs="Arial"/>
              </w:rPr>
            </w:pPr>
            <w:r w:rsidRPr="00E0573F">
              <w:rPr>
                <w:rFonts w:ascii="Arial" w:hAnsi="Arial" w:cs="Arial"/>
              </w:rPr>
              <w:t>19 (12.3)</w:t>
            </w:r>
          </w:p>
        </w:tc>
        <w:tc>
          <w:tcPr>
            <w:tcW w:w="2250" w:type="dxa"/>
            <w:vAlign w:val="center"/>
          </w:tcPr>
          <w:p w14:paraId="2E0AD9C6" w14:textId="77777777" w:rsidR="00FF0471" w:rsidRPr="00E0573F" w:rsidRDefault="00FF0471" w:rsidP="00845DFF">
            <w:pPr>
              <w:jc w:val="center"/>
              <w:rPr>
                <w:rFonts w:ascii="Arial" w:hAnsi="Arial" w:cs="Arial"/>
              </w:rPr>
            </w:pPr>
            <w:r w:rsidRPr="00E0573F">
              <w:rPr>
                <w:rFonts w:ascii="Arial" w:hAnsi="Arial" w:cs="Arial"/>
              </w:rPr>
              <w:t>41 (41.8)</w:t>
            </w:r>
          </w:p>
        </w:tc>
        <w:tc>
          <w:tcPr>
            <w:tcW w:w="1188" w:type="dxa"/>
            <w:vAlign w:val="center"/>
          </w:tcPr>
          <w:p w14:paraId="7151573F" w14:textId="77777777" w:rsidR="00FF0471" w:rsidRPr="00E0573F" w:rsidRDefault="00FF0471" w:rsidP="00845DFF">
            <w:pPr>
              <w:jc w:val="center"/>
              <w:rPr>
                <w:rFonts w:ascii="Arial" w:hAnsi="Arial" w:cs="Arial"/>
              </w:rPr>
            </w:pPr>
            <w:r w:rsidRPr="00E0573F">
              <w:rPr>
                <w:rFonts w:ascii="Arial" w:hAnsi="Arial" w:cs="Arial"/>
              </w:rPr>
              <w:t>60</w:t>
            </w:r>
          </w:p>
        </w:tc>
      </w:tr>
      <w:tr w:rsidR="00FF0471" w:rsidRPr="00E0573F" w14:paraId="30A4EE2A" w14:textId="77777777" w:rsidTr="00FF0471">
        <w:tc>
          <w:tcPr>
            <w:tcW w:w="2088" w:type="dxa"/>
            <w:vMerge/>
            <w:vAlign w:val="center"/>
          </w:tcPr>
          <w:p w14:paraId="31C5D1C4" w14:textId="77777777" w:rsidR="00FF0471" w:rsidRPr="00E0573F" w:rsidRDefault="00FF0471" w:rsidP="00845DFF">
            <w:pPr>
              <w:jc w:val="center"/>
              <w:rPr>
                <w:rFonts w:ascii="Arial" w:hAnsi="Arial" w:cs="Arial"/>
              </w:rPr>
            </w:pPr>
          </w:p>
        </w:tc>
        <w:tc>
          <w:tcPr>
            <w:tcW w:w="1454" w:type="dxa"/>
            <w:vAlign w:val="center"/>
          </w:tcPr>
          <w:p w14:paraId="0D0D0FCB" w14:textId="77777777" w:rsidR="00FF0471" w:rsidRPr="00E0573F" w:rsidRDefault="00FF0471" w:rsidP="00845DFF">
            <w:pPr>
              <w:jc w:val="center"/>
              <w:rPr>
                <w:rFonts w:ascii="Arial" w:hAnsi="Arial" w:cs="Arial"/>
              </w:rPr>
            </w:pPr>
            <w:r w:rsidRPr="00E0573F">
              <w:rPr>
                <w:rFonts w:ascii="Arial" w:hAnsi="Arial" w:cs="Arial"/>
              </w:rPr>
              <w:t>Sometimes</w:t>
            </w:r>
          </w:p>
        </w:tc>
        <w:tc>
          <w:tcPr>
            <w:tcW w:w="1876" w:type="dxa"/>
            <w:vAlign w:val="center"/>
          </w:tcPr>
          <w:p w14:paraId="49238C14" w14:textId="77777777" w:rsidR="00FF0471" w:rsidRPr="00E0573F" w:rsidRDefault="00FF0471" w:rsidP="00845DFF">
            <w:pPr>
              <w:jc w:val="center"/>
              <w:rPr>
                <w:rFonts w:ascii="Arial" w:hAnsi="Arial" w:cs="Arial"/>
              </w:rPr>
            </w:pPr>
            <w:r w:rsidRPr="00E0573F">
              <w:rPr>
                <w:rFonts w:ascii="Arial" w:hAnsi="Arial" w:cs="Arial"/>
              </w:rPr>
              <w:t>43 (27.9)</w:t>
            </w:r>
          </w:p>
        </w:tc>
        <w:tc>
          <w:tcPr>
            <w:tcW w:w="2250" w:type="dxa"/>
            <w:vAlign w:val="center"/>
          </w:tcPr>
          <w:p w14:paraId="73C1B0FB" w14:textId="77777777" w:rsidR="00FF0471" w:rsidRPr="00E0573F" w:rsidRDefault="00FF0471" w:rsidP="00845DFF">
            <w:pPr>
              <w:jc w:val="center"/>
              <w:rPr>
                <w:rFonts w:ascii="Arial" w:hAnsi="Arial" w:cs="Arial"/>
              </w:rPr>
            </w:pPr>
            <w:r w:rsidRPr="00E0573F">
              <w:rPr>
                <w:rFonts w:ascii="Arial" w:hAnsi="Arial" w:cs="Arial"/>
              </w:rPr>
              <w:t>37 (37.8)</w:t>
            </w:r>
          </w:p>
        </w:tc>
        <w:tc>
          <w:tcPr>
            <w:tcW w:w="1188" w:type="dxa"/>
            <w:vAlign w:val="center"/>
          </w:tcPr>
          <w:p w14:paraId="68AF8597" w14:textId="77777777" w:rsidR="00FF0471" w:rsidRPr="00E0573F" w:rsidRDefault="00FF0471" w:rsidP="00845DFF">
            <w:pPr>
              <w:jc w:val="center"/>
              <w:rPr>
                <w:rFonts w:ascii="Arial" w:hAnsi="Arial" w:cs="Arial"/>
              </w:rPr>
            </w:pPr>
            <w:r w:rsidRPr="00E0573F">
              <w:rPr>
                <w:rFonts w:ascii="Arial" w:hAnsi="Arial" w:cs="Arial"/>
              </w:rPr>
              <w:t>80</w:t>
            </w:r>
          </w:p>
        </w:tc>
      </w:tr>
      <w:tr w:rsidR="00FF0471" w:rsidRPr="00E0573F" w14:paraId="262ED3AE" w14:textId="77777777" w:rsidTr="00FF0471">
        <w:tc>
          <w:tcPr>
            <w:tcW w:w="2088" w:type="dxa"/>
            <w:vMerge/>
            <w:vAlign w:val="center"/>
          </w:tcPr>
          <w:p w14:paraId="425181D9" w14:textId="77777777" w:rsidR="00FF0471" w:rsidRPr="00E0573F" w:rsidRDefault="00FF0471" w:rsidP="00845DFF">
            <w:pPr>
              <w:jc w:val="center"/>
              <w:rPr>
                <w:rFonts w:ascii="Arial" w:hAnsi="Arial" w:cs="Arial"/>
              </w:rPr>
            </w:pPr>
          </w:p>
        </w:tc>
        <w:tc>
          <w:tcPr>
            <w:tcW w:w="1454" w:type="dxa"/>
            <w:vAlign w:val="center"/>
          </w:tcPr>
          <w:p w14:paraId="4BEF2B56" w14:textId="77777777" w:rsidR="00FF0471" w:rsidRPr="00E0573F" w:rsidRDefault="00FF0471" w:rsidP="00845DFF">
            <w:pPr>
              <w:jc w:val="center"/>
              <w:rPr>
                <w:rFonts w:ascii="Arial" w:hAnsi="Arial" w:cs="Arial"/>
              </w:rPr>
            </w:pPr>
            <w:r w:rsidRPr="00E0573F">
              <w:rPr>
                <w:rFonts w:ascii="Arial" w:hAnsi="Arial" w:cs="Arial"/>
              </w:rPr>
              <w:t>Never</w:t>
            </w:r>
          </w:p>
        </w:tc>
        <w:tc>
          <w:tcPr>
            <w:tcW w:w="1876" w:type="dxa"/>
            <w:vAlign w:val="center"/>
          </w:tcPr>
          <w:p w14:paraId="315E635A" w14:textId="77777777" w:rsidR="00FF0471" w:rsidRPr="00E0573F" w:rsidRDefault="00FF0471" w:rsidP="00845DFF">
            <w:pPr>
              <w:jc w:val="center"/>
              <w:rPr>
                <w:rFonts w:ascii="Arial" w:hAnsi="Arial" w:cs="Arial"/>
              </w:rPr>
            </w:pPr>
            <w:r w:rsidRPr="00E0573F">
              <w:rPr>
                <w:rFonts w:ascii="Arial" w:hAnsi="Arial" w:cs="Arial"/>
              </w:rPr>
              <w:t>92 (59.8)</w:t>
            </w:r>
          </w:p>
        </w:tc>
        <w:tc>
          <w:tcPr>
            <w:tcW w:w="2250" w:type="dxa"/>
            <w:vAlign w:val="center"/>
          </w:tcPr>
          <w:p w14:paraId="0D1636C2" w14:textId="77777777" w:rsidR="00FF0471" w:rsidRPr="00E0573F" w:rsidRDefault="00FF0471" w:rsidP="00845DFF">
            <w:pPr>
              <w:jc w:val="center"/>
              <w:rPr>
                <w:rFonts w:ascii="Arial" w:hAnsi="Arial" w:cs="Arial"/>
              </w:rPr>
            </w:pPr>
            <w:r w:rsidRPr="00E0573F">
              <w:rPr>
                <w:rFonts w:ascii="Arial" w:hAnsi="Arial" w:cs="Arial"/>
              </w:rPr>
              <w:t>20 (20.4)</w:t>
            </w:r>
          </w:p>
        </w:tc>
        <w:tc>
          <w:tcPr>
            <w:tcW w:w="1188" w:type="dxa"/>
            <w:vAlign w:val="center"/>
          </w:tcPr>
          <w:p w14:paraId="283F79C2" w14:textId="77777777" w:rsidR="00FF0471" w:rsidRPr="00E0573F" w:rsidRDefault="00FF0471" w:rsidP="00845DFF">
            <w:pPr>
              <w:jc w:val="center"/>
              <w:rPr>
                <w:rFonts w:ascii="Arial" w:hAnsi="Arial" w:cs="Arial"/>
              </w:rPr>
            </w:pPr>
            <w:r w:rsidRPr="00E0573F">
              <w:rPr>
                <w:rFonts w:ascii="Arial" w:hAnsi="Arial" w:cs="Arial"/>
              </w:rPr>
              <w:t>112</w:t>
            </w:r>
          </w:p>
        </w:tc>
      </w:tr>
      <w:tr w:rsidR="00FF0471" w:rsidRPr="00E0573F" w14:paraId="1B198D40" w14:textId="77777777" w:rsidTr="00FF0471">
        <w:tc>
          <w:tcPr>
            <w:tcW w:w="2088" w:type="dxa"/>
            <w:vMerge w:val="restart"/>
            <w:vAlign w:val="center"/>
          </w:tcPr>
          <w:p w14:paraId="6D7B89A2" w14:textId="77777777" w:rsidR="00FF0471" w:rsidRPr="00E0573F" w:rsidRDefault="00FF0471" w:rsidP="00845DFF">
            <w:pPr>
              <w:jc w:val="center"/>
              <w:rPr>
                <w:rFonts w:ascii="Arial" w:hAnsi="Arial" w:cs="Arial"/>
              </w:rPr>
            </w:pPr>
            <w:r w:rsidRPr="00E0573F">
              <w:rPr>
                <w:rFonts w:ascii="Arial" w:hAnsi="Arial" w:cs="Arial"/>
                <w:bCs/>
              </w:rPr>
              <w:t>Received TB Health Education</w:t>
            </w:r>
          </w:p>
        </w:tc>
        <w:tc>
          <w:tcPr>
            <w:tcW w:w="1454" w:type="dxa"/>
            <w:vAlign w:val="center"/>
          </w:tcPr>
          <w:p w14:paraId="375BFA5F" w14:textId="77777777" w:rsidR="00FF0471" w:rsidRPr="00E0573F" w:rsidRDefault="00FF0471" w:rsidP="00845DFF">
            <w:pPr>
              <w:jc w:val="center"/>
              <w:rPr>
                <w:rFonts w:ascii="Arial" w:hAnsi="Arial" w:cs="Arial"/>
              </w:rPr>
            </w:pPr>
            <w:r w:rsidRPr="00E0573F">
              <w:rPr>
                <w:rFonts w:ascii="Arial" w:hAnsi="Arial" w:cs="Arial"/>
              </w:rPr>
              <w:t>Yes</w:t>
            </w:r>
          </w:p>
        </w:tc>
        <w:tc>
          <w:tcPr>
            <w:tcW w:w="1876" w:type="dxa"/>
            <w:vAlign w:val="center"/>
          </w:tcPr>
          <w:p w14:paraId="5EA0E55A" w14:textId="77777777" w:rsidR="00FF0471" w:rsidRPr="00E0573F" w:rsidRDefault="00FF0471" w:rsidP="00845DFF">
            <w:pPr>
              <w:jc w:val="center"/>
              <w:rPr>
                <w:rFonts w:ascii="Arial" w:hAnsi="Arial" w:cs="Arial"/>
              </w:rPr>
            </w:pPr>
            <w:r w:rsidRPr="00E0573F">
              <w:rPr>
                <w:rFonts w:ascii="Arial" w:hAnsi="Arial" w:cs="Arial"/>
              </w:rPr>
              <w:t>46 (29.9)</w:t>
            </w:r>
          </w:p>
        </w:tc>
        <w:tc>
          <w:tcPr>
            <w:tcW w:w="2250" w:type="dxa"/>
            <w:vAlign w:val="center"/>
          </w:tcPr>
          <w:p w14:paraId="5D8B9B8A" w14:textId="77777777" w:rsidR="00FF0471" w:rsidRPr="00E0573F" w:rsidRDefault="00FF0471" w:rsidP="00845DFF">
            <w:pPr>
              <w:jc w:val="center"/>
              <w:rPr>
                <w:rFonts w:ascii="Arial" w:hAnsi="Arial" w:cs="Arial"/>
              </w:rPr>
            </w:pPr>
            <w:r w:rsidRPr="00E0573F">
              <w:rPr>
                <w:rFonts w:ascii="Arial" w:hAnsi="Arial" w:cs="Arial"/>
              </w:rPr>
              <w:t>73 (74.5)</w:t>
            </w:r>
          </w:p>
        </w:tc>
        <w:tc>
          <w:tcPr>
            <w:tcW w:w="1188" w:type="dxa"/>
            <w:vAlign w:val="center"/>
          </w:tcPr>
          <w:p w14:paraId="4FDAE1E9" w14:textId="77777777" w:rsidR="00FF0471" w:rsidRPr="00E0573F" w:rsidRDefault="00FF0471" w:rsidP="00845DFF">
            <w:pPr>
              <w:jc w:val="center"/>
              <w:rPr>
                <w:rFonts w:ascii="Arial" w:hAnsi="Arial" w:cs="Arial"/>
              </w:rPr>
            </w:pPr>
            <w:r w:rsidRPr="00E0573F">
              <w:rPr>
                <w:rFonts w:ascii="Arial" w:hAnsi="Arial" w:cs="Arial"/>
              </w:rPr>
              <w:t>119</w:t>
            </w:r>
          </w:p>
        </w:tc>
      </w:tr>
      <w:tr w:rsidR="00FF0471" w:rsidRPr="00E0573F" w14:paraId="1BAB459B" w14:textId="77777777" w:rsidTr="00FF0471">
        <w:tc>
          <w:tcPr>
            <w:tcW w:w="2088" w:type="dxa"/>
            <w:vMerge/>
            <w:vAlign w:val="center"/>
          </w:tcPr>
          <w:p w14:paraId="3E4C8F6A" w14:textId="77777777" w:rsidR="00FF0471" w:rsidRPr="00E0573F" w:rsidRDefault="00FF0471" w:rsidP="00845DFF">
            <w:pPr>
              <w:jc w:val="center"/>
              <w:rPr>
                <w:rFonts w:ascii="Arial" w:hAnsi="Arial" w:cs="Arial"/>
              </w:rPr>
            </w:pPr>
          </w:p>
        </w:tc>
        <w:tc>
          <w:tcPr>
            <w:tcW w:w="1454" w:type="dxa"/>
            <w:vAlign w:val="center"/>
          </w:tcPr>
          <w:p w14:paraId="1A26B412" w14:textId="77777777" w:rsidR="00FF0471" w:rsidRPr="00E0573F" w:rsidRDefault="00FF0471" w:rsidP="00845DFF">
            <w:pPr>
              <w:jc w:val="center"/>
              <w:rPr>
                <w:rFonts w:ascii="Arial" w:hAnsi="Arial" w:cs="Arial"/>
              </w:rPr>
            </w:pPr>
            <w:r w:rsidRPr="00E0573F">
              <w:rPr>
                <w:rFonts w:ascii="Arial" w:hAnsi="Arial" w:cs="Arial"/>
              </w:rPr>
              <w:t>No</w:t>
            </w:r>
          </w:p>
        </w:tc>
        <w:tc>
          <w:tcPr>
            <w:tcW w:w="1876" w:type="dxa"/>
            <w:vAlign w:val="center"/>
          </w:tcPr>
          <w:p w14:paraId="59D6D2DB" w14:textId="77777777" w:rsidR="00FF0471" w:rsidRPr="00E0573F" w:rsidRDefault="00FF0471" w:rsidP="00845DFF">
            <w:pPr>
              <w:jc w:val="center"/>
              <w:rPr>
                <w:rFonts w:ascii="Arial" w:hAnsi="Arial" w:cs="Arial"/>
              </w:rPr>
            </w:pPr>
            <w:r w:rsidRPr="00E0573F">
              <w:rPr>
                <w:rFonts w:ascii="Arial" w:hAnsi="Arial" w:cs="Arial"/>
              </w:rPr>
              <w:t>108 (70.1)</w:t>
            </w:r>
          </w:p>
        </w:tc>
        <w:tc>
          <w:tcPr>
            <w:tcW w:w="2250" w:type="dxa"/>
            <w:vAlign w:val="center"/>
          </w:tcPr>
          <w:p w14:paraId="2163FDDE" w14:textId="77777777" w:rsidR="00FF0471" w:rsidRPr="00E0573F" w:rsidRDefault="00FF0471" w:rsidP="00845DFF">
            <w:pPr>
              <w:jc w:val="center"/>
              <w:rPr>
                <w:rFonts w:ascii="Arial" w:hAnsi="Arial" w:cs="Arial"/>
              </w:rPr>
            </w:pPr>
            <w:r w:rsidRPr="00E0573F">
              <w:rPr>
                <w:rFonts w:ascii="Arial" w:hAnsi="Arial" w:cs="Arial"/>
              </w:rPr>
              <w:t>25 (25.5)</w:t>
            </w:r>
          </w:p>
        </w:tc>
        <w:tc>
          <w:tcPr>
            <w:tcW w:w="1188" w:type="dxa"/>
            <w:vAlign w:val="center"/>
          </w:tcPr>
          <w:p w14:paraId="140EED1E" w14:textId="77777777" w:rsidR="00FF0471" w:rsidRPr="00E0573F" w:rsidRDefault="00FF0471" w:rsidP="00845DFF">
            <w:pPr>
              <w:jc w:val="center"/>
              <w:rPr>
                <w:rFonts w:ascii="Arial" w:hAnsi="Arial" w:cs="Arial"/>
              </w:rPr>
            </w:pPr>
            <w:r w:rsidRPr="00E0573F">
              <w:rPr>
                <w:rFonts w:ascii="Arial" w:hAnsi="Arial" w:cs="Arial"/>
              </w:rPr>
              <w:t>133</w:t>
            </w:r>
          </w:p>
        </w:tc>
      </w:tr>
    </w:tbl>
    <w:p w14:paraId="149A1D82" w14:textId="77777777" w:rsidR="0057051E" w:rsidRPr="00E0573F" w:rsidRDefault="0057051E" w:rsidP="0057051E">
      <w:pPr>
        <w:pStyle w:val="NormalWeb"/>
        <w:spacing w:after="0" w:afterAutospacing="0"/>
        <w:jc w:val="both"/>
        <w:rPr>
          <w:rFonts w:ascii="Arial" w:hAnsi="Arial" w:cs="Arial"/>
          <w:sz w:val="20"/>
          <w:szCs w:val="20"/>
        </w:rPr>
      </w:pPr>
      <w:r w:rsidRPr="00E0573F">
        <w:rPr>
          <w:rFonts w:ascii="Arial" w:hAnsi="Arial" w:cs="Arial"/>
          <w:sz w:val="20"/>
          <w:szCs w:val="20"/>
        </w:rPr>
        <w:t>The awareness and preventive-practice results reported in Table 6 show that awareness of the infectious nature of TB was lower among confirmed cases: only 74 (48.1%) of those who tested positive were aware that TB is infectious, compared with 81 (82.7%) among unconfirmed cases. Conversely, a higher proportion of confirmed TB cases, 80 (51.9%), were unaware that TB is infectious, indicating that limited awareness may predispose individuals to risky behaviours that facilitate transmission.</w:t>
      </w:r>
    </w:p>
    <w:p w14:paraId="776AC1AA" w14:textId="77777777" w:rsidR="0057051E" w:rsidRPr="00E0573F" w:rsidRDefault="0057051E" w:rsidP="0057051E">
      <w:pPr>
        <w:pStyle w:val="NormalWeb"/>
        <w:spacing w:after="0" w:afterAutospacing="0"/>
        <w:jc w:val="both"/>
        <w:rPr>
          <w:rFonts w:ascii="Arial" w:hAnsi="Arial" w:cs="Arial"/>
          <w:sz w:val="20"/>
          <w:szCs w:val="20"/>
        </w:rPr>
      </w:pPr>
      <w:r w:rsidRPr="00E0573F">
        <w:rPr>
          <w:rFonts w:ascii="Arial" w:hAnsi="Arial" w:cs="Arial"/>
          <w:sz w:val="20"/>
          <w:szCs w:val="20"/>
        </w:rPr>
        <w:lastRenderedPageBreak/>
        <w:t>Regarding face-mask use, most confirmed TB cases, 92 (59.8%), reported never using a face mask, whereas only 19 (12.3%) reported always using one. In contrast, among unconfirmed cases, a larger proportion reported always using face masks, at 41 (41.8%), while only 20 (20.4%) reported never using them. This pattern suggests that consistent face-mask use may play a protective role against TB infection, especially in crowded environments.</w:t>
      </w:r>
    </w:p>
    <w:p w14:paraId="559494DC" w14:textId="77777777" w:rsidR="0057051E" w:rsidRPr="00E0573F" w:rsidRDefault="0057051E" w:rsidP="0057051E">
      <w:pPr>
        <w:pStyle w:val="NormalWeb"/>
        <w:spacing w:after="0" w:afterAutospacing="0"/>
        <w:jc w:val="both"/>
        <w:rPr>
          <w:rFonts w:ascii="Arial" w:hAnsi="Arial" w:cs="Arial"/>
          <w:sz w:val="20"/>
          <w:szCs w:val="20"/>
        </w:rPr>
      </w:pPr>
      <w:r w:rsidRPr="00E0573F">
        <w:rPr>
          <w:rFonts w:ascii="Arial" w:hAnsi="Arial" w:cs="Arial"/>
          <w:sz w:val="20"/>
          <w:szCs w:val="20"/>
        </w:rPr>
        <w:t>Regarding receipt of TB health education, only 46 (29.9%) confirmed TB cases had received TB-related health education, compared with 73 (74.5%) unconfirmed cases. Conversely, a substantial proportion of TB-positive individuals, 108 (70.1%), reported not having received any form of TB health education. This finding emphasises the important role of health education in improving awareness, promoting preventive practices, and reducing the risk of tuberculosis transmission in the study population.</w:t>
      </w:r>
    </w:p>
    <w:p w14:paraId="401FB0BC" w14:textId="77777777" w:rsidR="0057051E" w:rsidRPr="00E0573F" w:rsidRDefault="0057051E" w:rsidP="00FF0471">
      <w:pPr>
        <w:jc w:val="both"/>
        <w:rPr>
          <w:rFonts w:ascii="Arial" w:hAnsi="Arial" w:cs="Arial"/>
          <w:b/>
        </w:rPr>
      </w:pPr>
    </w:p>
    <w:p w14:paraId="1ACBFCF5" w14:textId="77777777" w:rsidR="00FF0471" w:rsidRPr="00E0573F" w:rsidRDefault="000B2241" w:rsidP="00FF0471">
      <w:pPr>
        <w:jc w:val="both"/>
        <w:rPr>
          <w:rFonts w:ascii="Arial" w:hAnsi="Arial" w:cs="Arial"/>
          <w:b/>
        </w:rPr>
      </w:pPr>
      <w:r w:rsidRPr="00E0573F">
        <w:rPr>
          <w:rFonts w:ascii="Arial" w:hAnsi="Arial" w:cs="Arial"/>
          <w:b/>
        </w:rPr>
        <w:t>3</w:t>
      </w:r>
      <w:r w:rsidR="00FF0471" w:rsidRPr="00E0573F">
        <w:rPr>
          <w:rFonts w:ascii="Arial" w:hAnsi="Arial" w:cs="Arial"/>
          <w:b/>
        </w:rPr>
        <w:t>.2 Testing of Hypotheses</w:t>
      </w:r>
    </w:p>
    <w:p w14:paraId="1EB4029F" w14:textId="77777777" w:rsidR="00FF0471" w:rsidRPr="00E0573F" w:rsidRDefault="00FF0471" w:rsidP="00FF0471">
      <w:pPr>
        <w:pStyle w:val="NormalWeb"/>
        <w:spacing w:before="240" w:beforeAutospacing="0" w:after="0" w:afterAutospacing="0"/>
        <w:jc w:val="both"/>
        <w:rPr>
          <w:rFonts w:ascii="Arial" w:hAnsi="Arial" w:cs="Arial"/>
          <w:sz w:val="20"/>
          <w:szCs w:val="20"/>
        </w:rPr>
      </w:pPr>
      <w:r w:rsidRPr="00E0573F">
        <w:rPr>
          <w:rFonts w:ascii="Arial" w:hAnsi="Arial" w:cs="Arial"/>
          <w:sz w:val="20"/>
          <w:szCs w:val="20"/>
        </w:rPr>
        <w:t>This section presents the results of the statistical tests conducted to evaluate the research hypotheses formulated for the study. The hypotheses were tested using appropriate inferential statistical methods, including chi-square tests of independence and binary logistic regression analysis, to determine the strength and significance of associations between selected risk factors and tuberculosis infection. The results were interpreted at the 5% level of significance, providing evidence for rejecting or failing to reject the null hypotheses. This approach ensured a systematic assessment of the relationships between socio-demographic, environmental, behavioural, awareness-related, preventive, and biological factors and the risk of tuberculosis among high-risk populations in Makurdi Local Government Area.</w:t>
      </w:r>
    </w:p>
    <w:p w14:paraId="7AD54967" w14:textId="77777777" w:rsidR="00FF0471" w:rsidRPr="00E0573F" w:rsidRDefault="00FF0471" w:rsidP="00FF0471">
      <w:pPr>
        <w:pStyle w:val="NormalWeb"/>
        <w:spacing w:before="240" w:beforeAutospacing="0" w:after="0" w:afterAutospacing="0"/>
        <w:jc w:val="both"/>
        <w:rPr>
          <w:rFonts w:ascii="Arial" w:hAnsi="Arial" w:cs="Arial"/>
          <w:sz w:val="20"/>
          <w:szCs w:val="20"/>
        </w:rPr>
      </w:pPr>
      <w:r w:rsidRPr="00E0573F">
        <w:rPr>
          <w:rFonts w:ascii="Arial" w:hAnsi="Arial" w:cs="Arial"/>
          <w:sz w:val="20"/>
          <w:szCs w:val="20"/>
        </w:rPr>
        <w:t>Table 7 presents the results of the chi-square analysis examining the relationship between selected socio-demographic characteristics (age, sex, educational level, and monthly income) and tuberculosis (TB) infection status among high-risk populations in Makurdi Local Government Area. This analysis was conducted to test the null hypothesis stated as:</w:t>
      </w:r>
    </w:p>
    <w:p w14:paraId="636DE4BC" w14:textId="77777777" w:rsidR="00FF0471" w:rsidRPr="00E0573F" w:rsidRDefault="00FF0471" w:rsidP="00FF0471">
      <w:pPr>
        <w:pStyle w:val="NormalWeb"/>
        <w:spacing w:before="0" w:beforeAutospacing="0" w:after="0" w:afterAutospacing="0"/>
        <w:jc w:val="both"/>
        <w:rPr>
          <w:rFonts w:ascii="Arial" w:hAnsi="Arial" w:cs="Arial"/>
          <w:i/>
          <w:sz w:val="20"/>
          <w:szCs w:val="20"/>
        </w:rPr>
      </w:pPr>
      <w:r w:rsidRPr="00E0573F">
        <w:rPr>
          <w:rFonts w:ascii="Arial" w:hAnsi="Arial" w:cs="Arial"/>
          <w:sz w:val="20"/>
          <w:szCs w:val="20"/>
        </w:rPr>
        <w:t xml:space="preserve">H₀₁: </w:t>
      </w:r>
      <w:r w:rsidRPr="00E0573F">
        <w:rPr>
          <w:rFonts w:ascii="Arial" w:hAnsi="Arial" w:cs="Arial"/>
          <w:i/>
          <w:sz w:val="20"/>
          <w:szCs w:val="20"/>
        </w:rPr>
        <w:t>There is no significant relationship between socio-demographic factors and tuberculosis infection among high-risk populations in Makurdi LGA.</w:t>
      </w:r>
    </w:p>
    <w:p w14:paraId="09ECE4EE" w14:textId="77777777" w:rsidR="00FF0471" w:rsidRPr="00E0573F" w:rsidRDefault="00FF0471" w:rsidP="00AC10B6">
      <w:pPr>
        <w:pStyle w:val="NormalWeb"/>
        <w:spacing w:before="0" w:beforeAutospacing="0" w:after="0" w:afterAutospacing="0"/>
        <w:jc w:val="both"/>
        <w:rPr>
          <w:rFonts w:ascii="Arial" w:hAnsi="Arial" w:cs="Arial"/>
          <w:sz w:val="20"/>
          <w:szCs w:val="20"/>
        </w:rPr>
      </w:pPr>
      <w:r w:rsidRPr="00E0573F">
        <w:rPr>
          <w:rFonts w:ascii="Arial" w:hAnsi="Arial" w:cs="Arial"/>
          <w:sz w:val="20"/>
          <w:szCs w:val="20"/>
        </w:rPr>
        <w:t>The chi-square (χ²) test was applied at the 5% level of significance to determine whether the observed differences in TB infection across socio-demographic categories were statistically significant.</w:t>
      </w:r>
    </w:p>
    <w:p w14:paraId="60172FC3" w14:textId="77777777" w:rsidR="00FF0471" w:rsidRPr="00E0573F" w:rsidRDefault="00FF0471" w:rsidP="00FF0471">
      <w:pPr>
        <w:jc w:val="both"/>
        <w:rPr>
          <w:rFonts w:ascii="Arial" w:hAnsi="Arial" w:cs="Arial"/>
          <w:b/>
        </w:rPr>
      </w:pPr>
      <w:r w:rsidRPr="00E0573F">
        <w:rPr>
          <w:rFonts w:ascii="Arial" w:hAnsi="Arial" w:cs="Arial"/>
          <w:b/>
        </w:rPr>
        <w:t>Table 7: Chi-Square Test Result for Socio-Demographic Risk Factors of Tuberculosis</w:t>
      </w:r>
    </w:p>
    <w:tbl>
      <w:tblPr>
        <w:tblStyle w:val="TableGrid"/>
        <w:tblW w:w="9450" w:type="dxa"/>
        <w:tblInd w:w="-342"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0"/>
        <w:gridCol w:w="1440"/>
        <w:gridCol w:w="1170"/>
        <w:gridCol w:w="1350"/>
        <w:gridCol w:w="810"/>
        <w:gridCol w:w="810"/>
        <w:gridCol w:w="1800"/>
        <w:gridCol w:w="900"/>
      </w:tblGrid>
      <w:tr w:rsidR="00FF0471" w:rsidRPr="00E0573F" w14:paraId="58820D13" w14:textId="77777777" w:rsidTr="00FF0471">
        <w:tc>
          <w:tcPr>
            <w:tcW w:w="1170" w:type="dxa"/>
            <w:tcBorders>
              <w:top w:val="single" w:sz="4" w:space="0" w:color="auto"/>
              <w:bottom w:val="single" w:sz="4" w:space="0" w:color="auto"/>
            </w:tcBorders>
            <w:vAlign w:val="center"/>
          </w:tcPr>
          <w:p w14:paraId="7490399B" w14:textId="77777777" w:rsidR="00FF0471" w:rsidRPr="00E0573F" w:rsidRDefault="00FF0471" w:rsidP="00FF0471">
            <w:pPr>
              <w:jc w:val="center"/>
              <w:rPr>
                <w:rFonts w:ascii="Arial" w:hAnsi="Arial" w:cs="Arial"/>
                <w:b/>
                <w:bCs/>
              </w:rPr>
            </w:pPr>
            <w:r w:rsidRPr="00E0573F">
              <w:rPr>
                <w:rFonts w:ascii="Arial" w:hAnsi="Arial" w:cs="Arial"/>
                <w:b/>
                <w:bCs/>
              </w:rPr>
              <w:t>Variable</w:t>
            </w:r>
          </w:p>
        </w:tc>
        <w:tc>
          <w:tcPr>
            <w:tcW w:w="1440" w:type="dxa"/>
            <w:tcBorders>
              <w:top w:val="single" w:sz="4" w:space="0" w:color="auto"/>
              <w:bottom w:val="single" w:sz="4" w:space="0" w:color="auto"/>
            </w:tcBorders>
            <w:vAlign w:val="center"/>
          </w:tcPr>
          <w:p w14:paraId="5BFEF37B" w14:textId="77777777" w:rsidR="00FF0471" w:rsidRPr="00E0573F" w:rsidRDefault="00FF0471" w:rsidP="00FF0471">
            <w:pPr>
              <w:jc w:val="center"/>
              <w:rPr>
                <w:rFonts w:ascii="Arial" w:hAnsi="Arial" w:cs="Arial"/>
                <w:b/>
                <w:bCs/>
              </w:rPr>
            </w:pPr>
            <w:r w:rsidRPr="00E0573F">
              <w:rPr>
                <w:rFonts w:ascii="Arial" w:hAnsi="Arial" w:cs="Arial"/>
                <w:b/>
                <w:bCs/>
              </w:rPr>
              <w:t>Category</w:t>
            </w:r>
          </w:p>
        </w:tc>
        <w:tc>
          <w:tcPr>
            <w:tcW w:w="1170" w:type="dxa"/>
            <w:tcBorders>
              <w:top w:val="single" w:sz="4" w:space="0" w:color="auto"/>
              <w:bottom w:val="single" w:sz="4" w:space="0" w:color="auto"/>
            </w:tcBorders>
            <w:vAlign w:val="center"/>
          </w:tcPr>
          <w:p w14:paraId="5ECF9F68" w14:textId="77777777" w:rsidR="00FF0471" w:rsidRPr="00E0573F" w:rsidRDefault="00FF0471" w:rsidP="00FF0471">
            <w:pPr>
              <w:jc w:val="center"/>
              <w:rPr>
                <w:rFonts w:ascii="Arial" w:hAnsi="Arial" w:cs="Arial"/>
                <w:b/>
                <w:bCs/>
              </w:rPr>
            </w:pPr>
            <w:r w:rsidRPr="00E0573F">
              <w:rPr>
                <w:rFonts w:ascii="Arial" w:hAnsi="Arial" w:cs="Arial"/>
                <w:b/>
                <w:bCs/>
              </w:rPr>
              <w:t xml:space="preserve">Confirmed </w:t>
            </w:r>
          </w:p>
        </w:tc>
        <w:tc>
          <w:tcPr>
            <w:tcW w:w="1350" w:type="dxa"/>
            <w:tcBorders>
              <w:top w:val="single" w:sz="4" w:space="0" w:color="auto"/>
              <w:bottom w:val="single" w:sz="4" w:space="0" w:color="auto"/>
            </w:tcBorders>
            <w:vAlign w:val="center"/>
          </w:tcPr>
          <w:p w14:paraId="5E233DEF" w14:textId="77777777" w:rsidR="00FF0471" w:rsidRPr="00E0573F" w:rsidRDefault="00FF0471" w:rsidP="00FF0471">
            <w:pPr>
              <w:jc w:val="center"/>
              <w:rPr>
                <w:rFonts w:ascii="Arial" w:hAnsi="Arial" w:cs="Arial"/>
                <w:b/>
                <w:bCs/>
              </w:rPr>
            </w:pPr>
            <w:r w:rsidRPr="00E0573F">
              <w:rPr>
                <w:rFonts w:ascii="Arial" w:hAnsi="Arial" w:cs="Arial"/>
                <w:b/>
                <w:bCs/>
              </w:rPr>
              <w:t xml:space="preserve">Not Confirmed </w:t>
            </w:r>
          </w:p>
        </w:tc>
        <w:tc>
          <w:tcPr>
            <w:tcW w:w="810" w:type="dxa"/>
            <w:tcBorders>
              <w:top w:val="single" w:sz="4" w:space="0" w:color="auto"/>
              <w:bottom w:val="single" w:sz="4" w:space="0" w:color="auto"/>
            </w:tcBorders>
            <w:vAlign w:val="center"/>
          </w:tcPr>
          <w:p w14:paraId="090BDBE9" w14:textId="77777777" w:rsidR="00FF0471" w:rsidRPr="00E0573F" w:rsidRDefault="00FF0471" w:rsidP="00FF0471">
            <w:pPr>
              <w:jc w:val="center"/>
              <w:rPr>
                <w:rFonts w:ascii="Arial" w:hAnsi="Arial" w:cs="Arial"/>
                <w:b/>
                <w:bCs/>
              </w:rPr>
            </w:pPr>
            <w:r w:rsidRPr="00E0573F">
              <w:rPr>
                <w:rFonts w:ascii="Arial" w:hAnsi="Arial" w:cs="Arial"/>
                <w:b/>
                <w:bCs/>
              </w:rPr>
              <w:t>Total</w:t>
            </w:r>
          </w:p>
        </w:tc>
        <w:tc>
          <w:tcPr>
            <w:tcW w:w="810" w:type="dxa"/>
            <w:tcBorders>
              <w:top w:val="single" w:sz="4" w:space="0" w:color="auto"/>
              <w:bottom w:val="single" w:sz="4" w:space="0" w:color="auto"/>
            </w:tcBorders>
            <w:vAlign w:val="center"/>
          </w:tcPr>
          <w:p w14:paraId="27002435" w14:textId="77777777" w:rsidR="00FF0471" w:rsidRPr="00E0573F" w:rsidRDefault="00FF0471" w:rsidP="00FF0471">
            <w:pPr>
              <w:jc w:val="center"/>
              <w:rPr>
                <w:rFonts w:ascii="Arial" w:hAnsi="Arial" w:cs="Arial"/>
                <w:b/>
                <w:bCs/>
              </w:rPr>
            </w:pPr>
            <w:r w:rsidRPr="00E0573F">
              <w:rPr>
                <w:rFonts w:ascii="Arial" w:hAnsi="Arial" w:cs="Arial"/>
                <w:b/>
                <w:bCs/>
              </w:rPr>
              <w:t>χ²</w:t>
            </w:r>
          </w:p>
        </w:tc>
        <w:tc>
          <w:tcPr>
            <w:tcW w:w="1800" w:type="dxa"/>
            <w:tcBorders>
              <w:top w:val="single" w:sz="4" w:space="0" w:color="auto"/>
              <w:bottom w:val="single" w:sz="4" w:space="0" w:color="auto"/>
            </w:tcBorders>
            <w:vAlign w:val="center"/>
          </w:tcPr>
          <w:p w14:paraId="4B79BF53" w14:textId="77777777" w:rsidR="00FF0471" w:rsidRPr="00E0573F" w:rsidRDefault="00FF0471" w:rsidP="00FF0471">
            <w:pPr>
              <w:jc w:val="center"/>
              <w:rPr>
                <w:rFonts w:ascii="Arial" w:hAnsi="Arial" w:cs="Arial"/>
                <w:b/>
                <w:bCs/>
              </w:rPr>
            </w:pPr>
            <w:r w:rsidRPr="00E0573F">
              <w:rPr>
                <w:rFonts w:ascii="Arial" w:hAnsi="Arial" w:cs="Arial"/>
                <w:b/>
                <w:bCs/>
              </w:rPr>
              <w:t>COR(95% CI)</w:t>
            </w:r>
          </w:p>
        </w:tc>
        <w:tc>
          <w:tcPr>
            <w:tcW w:w="900" w:type="dxa"/>
            <w:tcBorders>
              <w:top w:val="single" w:sz="4" w:space="0" w:color="auto"/>
              <w:bottom w:val="single" w:sz="4" w:space="0" w:color="auto"/>
            </w:tcBorders>
            <w:vAlign w:val="center"/>
          </w:tcPr>
          <w:p w14:paraId="18ADA43A" w14:textId="77777777" w:rsidR="00FF0471" w:rsidRPr="00E0573F" w:rsidRDefault="00FF0471" w:rsidP="00FF0471">
            <w:pPr>
              <w:jc w:val="center"/>
              <w:rPr>
                <w:rFonts w:ascii="Arial" w:hAnsi="Arial" w:cs="Arial"/>
                <w:b/>
                <w:bCs/>
              </w:rPr>
            </w:pPr>
            <w:r w:rsidRPr="00E0573F">
              <w:rPr>
                <w:rFonts w:ascii="Arial" w:hAnsi="Arial" w:cs="Arial"/>
                <w:b/>
                <w:bCs/>
              </w:rPr>
              <w:t>p-value</w:t>
            </w:r>
          </w:p>
        </w:tc>
      </w:tr>
      <w:tr w:rsidR="00FF0471" w:rsidRPr="00E0573F" w14:paraId="4639311C" w14:textId="77777777" w:rsidTr="00FF0471">
        <w:tc>
          <w:tcPr>
            <w:tcW w:w="1170" w:type="dxa"/>
            <w:vMerge w:val="restart"/>
            <w:tcBorders>
              <w:top w:val="single" w:sz="4" w:space="0" w:color="auto"/>
            </w:tcBorders>
            <w:vAlign w:val="center"/>
          </w:tcPr>
          <w:p w14:paraId="103C8119" w14:textId="77777777" w:rsidR="00FF0471" w:rsidRPr="00E0573F" w:rsidRDefault="00FF0471" w:rsidP="00FF0471">
            <w:pPr>
              <w:jc w:val="center"/>
              <w:rPr>
                <w:rFonts w:ascii="Arial" w:hAnsi="Arial" w:cs="Arial"/>
              </w:rPr>
            </w:pPr>
            <w:r w:rsidRPr="00E0573F">
              <w:rPr>
                <w:rFonts w:ascii="Arial" w:hAnsi="Arial" w:cs="Arial"/>
                <w:bCs/>
              </w:rPr>
              <w:t>Age Group (years)</w:t>
            </w:r>
          </w:p>
        </w:tc>
        <w:tc>
          <w:tcPr>
            <w:tcW w:w="1440" w:type="dxa"/>
            <w:tcBorders>
              <w:top w:val="single" w:sz="4" w:space="0" w:color="auto"/>
            </w:tcBorders>
            <w:vAlign w:val="center"/>
          </w:tcPr>
          <w:p w14:paraId="7C3164D6" w14:textId="77777777" w:rsidR="00FF0471" w:rsidRPr="00E0573F" w:rsidRDefault="00FF0471" w:rsidP="00FF0471">
            <w:pPr>
              <w:jc w:val="center"/>
              <w:rPr>
                <w:rFonts w:ascii="Arial" w:hAnsi="Arial" w:cs="Arial"/>
              </w:rPr>
            </w:pPr>
            <w:r w:rsidRPr="00E0573F">
              <w:rPr>
                <w:rFonts w:ascii="Arial" w:hAnsi="Arial" w:cs="Arial"/>
              </w:rPr>
              <w:t>&lt; 30</w:t>
            </w:r>
          </w:p>
        </w:tc>
        <w:tc>
          <w:tcPr>
            <w:tcW w:w="1170" w:type="dxa"/>
            <w:tcBorders>
              <w:top w:val="single" w:sz="4" w:space="0" w:color="auto"/>
            </w:tcBorders>
            <w:vAlign w:val="center"/>
          </w:tcPr>
          <w:p w14:paraId="0DF64DE5" w14:textId="77777777" w:rsidR="00FF0471" w:rsidRPr="00E0573F" w:rsidRDefault="00FF0471" w:rsidP="00FF0471">
            <w:pPr>
              <w:jc w:val="center"/>
              <w:rPr>
                <w:rFonts w:ascii="Arial" w:hAnsi="Arial" w:cs="Arial"/>
              </w:rPr>
            </w:pPr>
            <w:r w:rsidRPr="00E0573F">
              <w:rPr>
                <w:rFonts w:ascii="Arial" w:hAnsi="Arial" w:cs="Arial"/>
              </w:rPr>
              <w:t xml:space="preserve">34 </w:t>
            </w:r>
          </w:p>
        </w:tc>
        <w:tc>
          <w:tcPr>
            <w:tcW w:w="1350" w:type="dxa"/>
            <w:tcBorders>
              <w:top w:val="single" w:sz="4" w:space="0" w:color="auto"/>
            </w:tcBorders>
            <w:vAlign w:val="center"/>
          </w:tcPr>
          <w:p w14:paraId="3D171040" w14:textId="77777777" w:rsidR="00FF0471" w:rsidRPr="00E0573F" w:rsidRDefault="00FF0471" w:rsidP="00FF0471">
            <w:pPr>
              <w:jc w:val="center"/>
              <w:rPr>
                <w:rFonts w:ascii="Arial" w:hAnsi="Arial" w:cs="Arial"/>
              </w:rPr>
            </w:pPr>
            <w:r w:rsidRPr="00E0573F">
              <w:rPr>
                <w:rFonts w:ascii="Arial" w:hAnsi="Arial" w:cs="Arial"/>
              </w:rPr>
              <w:t xml:space="preserve">41 </w:t>
            </w:r>
          </w:p>
        </w:tc>
        <w:tc>
          <w:tcPr>
            <w:tcW w:w="810" w:type="dxa"/>
            <w:tcBorders>
              <w:top w:val="single" w:sz="4" w:space="0" w:color="auto"/>
            </w:tcBorders>
            <w:vAlign w:val="center"/>
          </w:tcPr>
          <w:p w14:paraId="38D73AB9" w14:textId="77777777" w:rsidR="00FF0471" w:rsidRPr="00E0573F" w:rsidRDefault="00FF0471" w:rsidP="00FF0471">
            <w:pPr>
              <w:jc w:val="center"/>
              <w:rPr>
                <w:rFonts w:ascii="Arial" w:hAnsi="Arial" w:cs="Arial"/>
              </w:rPr>
            </w:pPr>
            <w:r w:rsidRPr="00E0573F">
              <w:rPr>
                <w:rFonts w:ascii="Arial" w:hAnsi="Arial" w:cs="Arial"/>
              </w:rPr>
              <w:t>75</w:t>
            </w:r>
          </w:p>
        </w:tc>
        <w:tc>
          <w:tcPr>
            <w:tcW w:w="810" w:type="dxa"/>
            <w:vMerge w:val="restart"/>
            <w:tcBorders>
              <w:top w:val="single" w:sz="4" w:space="0" w:color="auto"/>
            </w:tcBorders>
            <w:vAlign w:val="center"/>
          </w:tcPr>
          <w:p w14:paraId="33F48C05" w14:textId="77777777" w:rsidR="00FF0471" w:rsidRPr="00E0573F" w:rsidRDefault="00FF0471" w:rsidP="00FF0471">
            <w:pPr>
              <w:jc w:val="center"/>
              <w:rPr>
                <w:rFonts w:ascii="Arial" w:hAnsi="Arial" w:cs="Arial"/>
              </w:rPr>
            </w:pPr>
            <w:r w:rsidRPr="00E0573F">
              <w:rPr>
                <w:rFonts w:ascii="Arial" w:hAnsi="Arial" w:cs="Arial"/>
              </w:rPr>
              <w:t>6.88</w:t>
            </w:r>
          </w:p>
        </w:tc>
        <w:tc>
          <w:tcPr>
            <w:tcW w:w="1800" w:type="dxa"/>
            <w:vMerge w:val="restart"/>
            <w:tcBorders>
              <w:top w:val="single" w:sz="4" w:space="0" w:color="auto"/>
            </w:tcBorders>
            <w:vAlign w:val="center"/>
          </w:tcPr>
          <w:p w14:paraId="47AC7A3A" w14:textId="77777777" w:rsidR="00FF0471" w:rsidRPr="00E0573F" w:rsidRDefault="00FF0471" w:rsidP="00FF0471">
            <w:pPr>
              <w:jc w:val="center"/>
              <w:rPr>
                <w:rFonts w:ascii="Arial" w:hAnsi="Arial" w:cs="Arial"/>
              </w:rPr>
            </w:pPr>
            <w:r w:rsidRPr="00E0573F">
              <w:rPr>
                <w:rFonts w:ascii="Arial" w:hAnsi="Arial" w:cs="Arial"/>
              </w:rPr>
              <w:t>0.39(0.23-0.66)</w:t>
            </w:r>
          </w:p>
        </w:tc>
        <w:tc>
          <w:tcPr>
            <w:tcW w:w="900" w:type="dxa"/>
            <w:vMerge w:val="restart"/>
            <w:tcBorders>
              <w:top w:val="single" w:sz="4" w:space="0" w:color="auto"/>
            </w:tcBorders>
            <w:vAlign w:val="center"/>
          </w:tcPr>
          <w:p w14:paraId="3ED9D7D1" w14:textId="77777777" w:rsidR="00FF0471" w:rsidRPr="00E0573F" w:rsidRDefault="00FF0471" w:rsidP="00FF0471">
            <w:pPr>
              <w:jc w:val="center"/>
              <w:rPr>
                <w:rFonts w:ascii="Arial" w:hAnsi="Arial" w:cs="Arial"/>
              </w:rPr>
            </w:pPr>
            <w:r w:rsidRPr="00E0573F">
              <w:rPr>
                <w:rFonts w:ascii="Arial" w:hAnsi="Arial" w:cs="Arial"/>
              </w:rPr>
              <w:t>0.032</w:t>
            </w:r>
          </w:p>
        </w:tc>
      </w:tr>
      <w:tr w:rsidR="00FF0471" w:rsidRPr="00E0573F" w14:paraId="40646CFC" w14:textId="77777777" w:rsidTr="00FF0471">
        <w:tc>
          <w:tcPr>
            <w:tcW w:w="1170" w:type="dxa"/>
            <w:vMerge/>
            <w:vAlign w:val="center"/>
          </w:tcPr>
          <w:p w14:paraId="1B1DE441" w14:textId="77777777" w:rsidR="00FF0471" w:rsidRPr="00E0573F" w:rsidRDefault="00FF0471" w:rsidP="00FF0471">
            <w:pPr>
              <w:jc w:val="center"/>
              <w:rPr>
                <w:rFonts w:ascii="Arial" w:hAnsi="Arial" w:cs="Arial"/>
              </w:rPr>
            </w:pPr>
          </w:p>
        </w:tc>
        <w:tc>
          <w:tcPr>
            <w:tcW w:w="1440" w:type="dxa"/>
            <w:vAlign w:val="center"/>
          </w:tcPr>
          <w:p w14:paraId="64CA465C" w14:textId="77777777" w:rsidR="00FF0471" w:rsidRPr="00E0573F" w:rsidRDefault="00FF0471" w:rsidP="00FF0471">
            <w:pPr>
              <w:jc w:val="center"/>
              <w:rPr>
                <w:rFonts w:ascii="Arial" w:hAnsi="Arial" w:cs="Arial"/>
              </w:rPr>
            </w:pPr>
            <w:r w:rsidRPr="00E0573F">
              <w:rPr>
                <w:rFonts w:ascii="Arial" w:hAnsi="Arial" w:cs="Arial"/>
              </w:rPr>
              <w:t>30–49</w:t>
            </w:r>
          </w:p>
        </w:tc>
        <w:tc>
          <w:tcPr>
            <w:tcW w:w="1170" w:type="dxa"/>
            <w:vAlign w:val="center"/>
          </w:tcPr>
          <w:p w14:paraId="3EFA32D4" w14:textId="77777777" w:rsidR="00FF0471" w:rsidRPr="00E0573F" w:rsidRDefault="00FF0471" w:rsidP="00FF0471">
            <w:pPr>
              <w:jc w:val="center"/>
              <w:rPr>
                <w:rFonts w:ascii="Arial" w:hAnsi="Arial" w:cs="Arial"/>
              </w:rPr>
            </w:pPr>
            <w:r w:rsidRPr="00E0573F">
              <w:rPr>
                <w:rFonts w:ascii="Arial" w:hAnsi="Arial" w:cs="Arial"/>
              </w:rPr>
              <w:t xml:space="preserve">68 </w:t>
            </w:r>
          </w:p>
        </w:tc>
        <w:tc>
          <w:tcPr>
            <w:tcW w:w="1350" w:type="dxa"/>
            <w:vAlign w:val="center"/>
          </w:tcPr>
          <w:p w14:paraId="1F7CCF13" w14:textId="77777777" w:rsidR="00FF0471" w:rsidRPr="00E0573F" w:rsidRDefault="00FF0471" w:rsidP="00FF0471">
            <w:pPr>
              <w:jc w:val="center"/>
              <w:rPr>
                <w:rFonts w:ascii="Arial" w:hAnsi="Arial" w:cs="Arial"/>
              </w:rPr>
            </w:pPr>
            <w:r w:rsidRPr="00E0573F">
              <w:rPr>
                <w:rFonts w:ascii="Arial" w:hAnsi="Arial" w:cs="Arial"/>
              </w:rPr>
              <w:t xml:space="preserve">36 </w:t>
            </w:r>
          </w:p>
        </w:tc>
        <w:tc>
          <w:tcPr>
            <w:tcW w:w="810" w:type="dxa"/>
            <w:vAlign w:val="center"/>
          </w:tcPr>
          <w:p w14:paraId="1220E080" w14:textId="77777777" w:rsidR="00FF0471" w:rsidRPr="00E0573F" w:rsidRDefault="00FF0471" w:rsidP="00FF0471">
            <w:pPr>
              <w:jc w:val="center"/>
              <w:rPr>
                <w:rFonts w:ascii="Arial" w:hAnsi="Arial" w:cs="Arial"/>
              </w:rPr>
            </w:pPr>
            <w:r w:rsidRPr="00E0573F">
              <w:rPr>
                <w:rFonts w:ascii="Arial" w:hAnsi="Arial" w:cs="Arial"/>
              </w:rPr>
              <w:t>104</w:t>
            </w:r>
          </w:p>
        </w:tc>
        <w:tc>
          <w:tcPr>
            <w:tcW w:w="810" w:type="dxa"/>
            <w:vMerge/>
            <w:vAlign w:val="center"/>
          </w:tcPr>
          <w:p w14:paraId="125144C0" w14:textId="77777777" w:rsidR="00FF0471" w:rsidRPr="00E0573F" w:rsidRDefault="00FF0471" w:rsidP="00FF0471">
            <w:pPr>
              <w:jc w:val="center"/>
              <w:rPr>
                <w:rFonts w:ascii="Arial" w:hAnsi="Arial" w:cs="Arial"/>
              </w:rPr>
            </w:pPr>
          </w:p>
        </w:tc>
        <w:tc>
          <w:tcPr>
            <w:tcW w:w="1800" w:type="dxa"/>
            <w:vMerge/>
            <w:vAlign w:val="center"/>
          </w:tcPr>
          <w:p w14:paraId="52C740B5" w14:textId="77777777" w:rsidR="00FF0471" w:rsidRPr="00E0573F" w:rsidRDefault="00FF0471" w:rsidP="00FF0471">
            <w:pPr>
              <w:jc w:val="center"/>
              <w:rPr>
                <w:rFonts w:ascii="Arial" w:hAnsi="Arial" w:cs="Arial"/>
              </w:rPr>
            </w:pPr>
          </w:p>
        </w:tc>
        <w:tc>
          <w:tcPr>
            <w:tcW w:w="900" w:type="dxa"/>
            <w:vMerge/>
            <w:vAlign w:val="center"/>
          </w:tcPr>
          <w:p w14:paraId="410A3A1E" w14:textId="77777777" w:rsidR="00FF0471" w:rsidRPr="00E0573F" w:rsidRDefault="00FF0471" w:rsidP="00FF0471">
            <w:pPr>
              <w:jc w:val="center"/>
              <w:rPr>
                <w:rFonts w:ascii="Arial" w:hAnsi="Arial" w:cs="Arial"/>
              </w:rPr>
            </w:pPr>
          </w:p>
        </w:tc>
      </w:tr>
      <w:tr w:rsidR="00FF0471" w:rsidRPr="00E0573F" w14:paraId="2B27A13A" w14:textId="77777777" w:rsidTr="00FF0471">
        <w:tc>
          <w:tcPr>
            <w:tcW w:w="1170" w:type="dxa"/>
            <w:vMerge/>
            <w:vAlign w:val="center"/>
          </w:tcPr>
          <w:p w14:paraId="67B5E273" w14:textId="77777777" w:rsidR="00FF0471" w:rsidRPr="00E0573F" w:rsidRDefault="00FF0471" w:rsidP="00FF0471">
            <w:pPr>
              <w:jc w:val="center"/>
              <w:rPr>
                <w:rFonts w:ascii="Arial" w:hAnsi="Arial" w:cs="Arial"/>
              </w:rPr>
            </w:pPr>
          </w:p>
        </w:tc>
        <w:tc>
          <w:tcPr>
            <w:tcW w:w="1440" w:type="dxa"/>
            <w:vAlign w:val="center"/>
          </w:tcPr>
          <w:p w14:paraId="47BD4CFD" w14:textId="77777777" w:rsidR="00FF0471" w:rsidRPr="00E0573F" w:rsidRDefault="00FF0471" w:rsidP="00FF0471">
            <w:pPr>
              <w:jc w:val="center"/>
              <w:rPr>
                <w:rFonts w:ascii="Arial" w:hAnsi="Arial" w:cs="Arial"/>
              </w:rPr>
            </w:pPr>
            <w:r w:rsidRPr="00E0573F">
              <w:rPr>
                <w:rFonts w:ascii="Arial" w:hAnsi="Arial" w:cs="Arial"/>
              </w:rPr>
              <w:t>≥ 50</w:t>
            </w:r>
          </w:p>
        </w:tc>
        <w:tc>
          <w:tcPr>
            <w:tcW w:w="1170" w:type="dxa"/>
            <w:vAlign w:val="center"/>
          </w:tcPr>
          <w:p w14:paraId="443F5F60" w14:textId="77777777" w:rsidR="00FF0471" w:rsidRPr="00E0573F" w:rsidRDefault="00FF0471" w:rsidP="00FF0471">
            <w:pPr>
              <w:jc w:val="center"/>
              <w:rPr>
                <w:rFonts w:ascii="Arial" w:hAnsi="Arial" w:cs="Arial"/>
              </w:rPr>
            </w:pPr>
            <w:r w:rsidRPr="00E0573F">
              <w:rPr>
                <w:rFonts w:ascii="Arial" w:hAnsi="Arial" w:cs="Arial"/>
              </w:rPr>
              <w:t xml:space="preserve">52 </w:t>
            </w:r>
          </w:p>
        </w:tc>
        <w:tc>
          <w:tcPr>
            <w:tcW w:w="1350" w:type="dxa"/>
            <w:vAlign w:val="center"/>
          </w:tcPr>
          <w:p w14:paraId="4E3ABB11" w14:textId="77777777" w:rsidR="00FF0471" w:rsidRPr="00E0573F" w:rsidRDefault="00FF0471" w:rsidP="00FF0471">
            <w:pPr>
              <w:jc w:val="center"/>
              <w:rPr>
                <w:rFonts w:ascii="Arial" w:hAnsi="Arial" w:cs="Arial"/>
              </w:rPr>
            </w:pPr>
            <w:r w:rsidRPr="00E0573F">
              <w:rPr>
                <w:rFonts w:ascii="Arial" w:hAnsi="Arial" w:cs="Arial"/>
              </w:rPr>
              <w:t xml:space="preserve">21 </w:t>
            </w:r>
          </w:p>
        </w:tc>
        <w:tc>
          <w:tcPr>
            <w:tcW w:w="810" w:type="dxa"/>
            <w:vAlign w:val="center"/>
          </w:tcPr>
          <w:p w14:paraId="3E27692C" w14:textId="77777777" w:rsidR="00FF0471" w:rsidRPr="00E0573F" w:rsidRDefault="00FF0471" w:rsidP="00FF0471">
            <w:pPr>
              <w:jc w:val="center"/>
              <w:rPr>
                <w:rFonts w:ascii="Arial" w:hAnsi="Arial" w:cs="Arial"/>
              </w:rPr>
            </w:pPr>
            <w:r w:rsidRPr="00E0573F">
              <w:rPr>
                <w:rFonts w:ascii="Arial" w:hAnsi="Arial" w:cs="Arial"/>
              </w:rPr>
              <w:t>73</w:t>
            </w:r>
          </w:p>
        </w:tc>
        <w:tc>
          <w:tcPr>
            <w:tcW w:w="810" w:type="dxa"/>
            <w:vMerge/>
            <w:vAlign w:val="center"/>
          </w:tcPr>
          <w:p w14:paraId="08FA8957" w14:textId="77777777" w:rsidR="00FF0471" w:rsidRPr="00E0573F" w:rsidRDefault="00FF0471" w:rsidP="00FF0471">
            <w:pPr>
              <w:jc w:val="center"/>
              <w:rPr>
                <w:rFonts w:ascii="Arial" w:hAnsi="Arial" w:cs="Arial"/>
              </w:rPr>
            </w:pPr>
          </w:p>
        </w:tc>
        <w:tc>
          <w:tcPr>
            <w:tcW w:w="1800" w:type="dxa"/>
            <w:vMerge/>
            <w:vAlign w:val="center"/>
          </w:tcPr>
          <w:p w14:paraId="0E73859B" w14:textId="77777777" w:rsidR="00FF0471" w:rsidRPr="00E0573F" w:rsidRDefault="00FF0471" w:rsidP="00FF0471">
            <w:pPr>
              <w:jc w:val="center"/>
              <w:rPr>
                <w:rFonts w:ascii="Arial" w:hAnsi="Arial" w:cs="Arial"/>
              </w:rPr>
            </w:pPr>
          </w:p>
        </w:tc>
        <w:tc>
          <w:tcPr>
            <w:tcW w:w="900" w:type="dxa"/>
            <w:vMerge/>
            <w:vAlign w:val="center"/>
          </w:tcPr>
          <w:p w14:paraId="00D94B3A" w14:textId="77777777" w:rsidR="00FF0471" w:rsidRPr="00E0573F" w:rsidRDefault="00FF0471" w:rsidP="00FF0471">
            <w:pPr>
              <w:jc w:val="center"/>
              <w:rPr>
                <w:rFonts w:ascii="Arial" w:hAnsi="Arial" w:cs="Arial"/>
              </w:rPr>
            </w:pPr>
          </w:p>
        </w:tc>
      </w:tr>
      <w:tr w:rsidR="00FF0471" w:rsidRPr="00E0573F" w14:paraId="37602EA7" w14:textId="77777777" w:rsidTr="00FF0471">
        <w:tc>
          <w:tcPr>
            <w:tcW w:w="1170" w:type="dxa"/>
            <w:vMerge w:val="restart"/>
            <w:vAlign w:val="center"/>
          </w:tcPr>
          <w:p w14:paraId="2A60E78B" w14:textId="77777777" w:rsidR="00FF0471" w:rsidRPr="00E0573F" w:rsidRDefault="00FF0471" w:rsidP="00FF0471">
            <w:pPr>
              <w:jc w:val="center"/>
              <w:rPr>
                <w:rFonts w:ascii="Arial" w:hAnsi="Arial" w:cs="Arial"/>
              </w:rPr>
            </w:pPr>
            <w:r w:rsidRPr="00E0573F">
              <w:rPr>
                <w:rFonts w:ascii="Arial" w:hAnsi="Arial" w:cs="Arial"/>
                <w:bCs/>
              </w:rPr>
              <w:t>Sex</w:t>
            </w:r>
          </w:p>
        </w:tc>
        <w:tc>
          <w:tcPr>
            <w:tcW w:w="1440" w:type="dxa"/>
            <w:vAlign w:val="center"/>
          </w:tcPr>
          <w:p w14:paraId="629F8AAF" w14:textId="77777777" w:rsidR="00FF0471" w:rsidRPr="00E0573F" w:rsidRDefault="00FF0471" w:rsidP="00FF0471">
            <w:pPr>
              <w:jc w:val="center"/>
              <w:rPr>
                <w:rFonts w:ascii="Arial" w:hAnsi="Arial" w:cs="Arial"/>
              </w:rPr>
            </w:pPr>
            <w:r w:rsidRPr="00E0573F">
              <w:rPr>
                <w:rFonts w:ascii="Arial" w:hAnsi="Arial" w:cs="Arial"/>
              </w:rPr>
              <w:t>Male</w:t>
            </w:r>
          </w:p>
        </w:tc>
        <w:tc>
          <w:tcPr>
            <w:tcW w:w="1170" w:type="dxa"/>
            <w:vAlign w:val="center"/>
          </w:tcPr>
          <w:p w14:paraId="1D985333" w14:textId="77777777" w:rsidR="00FF0471" w:rsidRPr="00E0573F" w:rsidRDefault="00FF0471" w:rsidP="00FF0471">
            <w:pPr>
              <w:jc w:val="center"/>
              <w:rPr>
                <w:rFonts w:ascii="Arial" w:hAnsi="Arial" w:cs="Arial"/>
              </w:rPr>
            </w:pPr>
            <w:r w:rsidRPr="00E0573F">
              <w:rPr>
                <w:rFonts w:ascii="Arial" w:hAnsi="Arial" w:cs="Arial"/>
              </w:rPr>
              <w:t xml:space="preserve">102 </w:t>
            </w:r>
          </w:p>
        </w:tc>
        <w:tc>
          <w:tcPr>
            <w:tcW w:w="1350" w:type="dxa"/>
            <w:vAlign w:val="center"/>
          </w:tcPr>
          <w:p w14:paraId="77BC91CF" w14:textId="77777777" w:rsidR="00FF0471" w:rsidRPr="00E0573F" w:rsidRDefault="00FF0471" w:rsidP="00FF0471">
            <w:pPr>
              <w:jc w:val="center"/>
              <w:rPr>
                <w:rFonts w:ascii="Arial" w:hAnsi="Arial" w:cs="Arial"/>
              </w:rPr>
            </w:pPr>
            <w:r w:rsidRPr="00E0573F">
              <w:rPr>
                <w:rFonts w:ascii="Arial" w:hAnsi="Arial" w:cs="Arial"/>
              </w:rPr>
              <w:t xml:space="preserve">51 </w:t>
            </w:r>
          </w:p>
        </w:tc>
        <w:tc>
          <w:tcPr>
            <w:tcW w:w="810" w:type="dxa"/>
            <w:vAlign w:val="center"/>
          </w:tcPr>
          <w:p w14:paraId="18329A94" w14:textId="77777777" w:rsidR="00FF0471" w:rsidRPr="00E0573F" w:rsidRDefault="00FF0471" w:rsidP="00FF0471">
            <w:pPr>
              <w:jc w:val="center"/>
              <w:rPr>
                <w:rFonts w:ascii="Arial" w:hAnsi="Arial" w:cs="Arial"/>
              </w:rPr>
            </w:pPr>
            <w:r w:rsidRPr="00E0573F">
              <w:rPr>
                <w:rFonts w:ascii="Arial" w:hAnsi="Arial" w:cs="Arial"/>
              </w:rPr>
              <w:t>153</w:t>
            </w:r>
          </w:p>
        </w:tc>
        <w:tc>
          <w:tcPr>
            <w:tcW w:w="810" w:type="dxa"/>
            <w:vMerge w:val="restart"/>
            <w:vAlign w:val="center"/>
          </w:tcPr>
          <w:p w14:paraId="6860D44A" w14:textId="77777777" w:rsidR="00FF0471" w:rsidRPr="00E0573F" w:rsidRDefault="00FF0471" w:rsidP="00FF0471">
            <w:pPr>
              <w:jc w:val="center"/>
              <w:rPr>
                <w:rFonts w:ascii="Arial" w:hAnsi="Arial" w:cs="Arial"/>
              </w:rPr>
            </w:pPr>
            <w:r w:rsidRPr="00E0573F">
              <w:rPr>
                <w:rFonts w:ascii="Arial" w:hAnsi="Arial" w:cs="Arial"/>
              </w:rPr>
              <w:t>7.24</w:t>
            </w:r>
          </w:p>
        </w:tc>
        <w:tc>
          <w:tcPr>
            <w:tcW w:w="1800" w:type="dxa"/>
            <w:vMerge w:val="restart"/>
            <w:vAlign w:val="center"/>
          </w:tcPr>
          <w:p w14:paraId="65BD0162" w14:textId="77777777" w:rsidR="00FF0471" w:rsidRPr="00E0573F" w:rsidRDefault="00FF0471" w:rsidP="00FF0471">
            <w:pPr>
              <w:jc w:val="center"/>
              <w:rPr>
                <w:rFonts w:ascii="Arial" w:hAnsi="Arial" w:cs="Arial"/>
              </w:rPr>
            </w:pPr>
            <w:r w:rsidRPr="00E0573F">
              <w:rPr>
                <w:rFonts w:ascii="Arial" w:hAnsi="Arial" w:cs="Arial"/>
              </w:rPr>
              <w:t>1.81(1.12-2.94)</w:t>
            </w:r>
          </w:p>
        </w:tc>
        <w:tc>
          <w:tcPr>
            <w:tcW w:w="900" w:type="dxa"/>
            <w:vMerge w:val="restart"/>
            <w:vAlign w:val="center"/>
          </w:tcPr>
          <w:p w14:paraId="1EEAF906" w14:textId="77777777" w:rsidR="00FF0471" w:rsidRPr="00E0573F" w:rsidRDefault="00FF0471" w:rsidP="00FF0471">
            <w:pPr>
              <w:jc w:val="center"/>
              <w:rPr>
                <w:rFonts w:ascii="Arial" w:hAnsi="Arial" w:cs="Arial"/>
              </w:rPr>
            </w:pPr>
            <w:r w:rsidRPr="00E0573F">
              <w:rPr>
                <w:rFonts w:ascii="Arial" w:hAnsi="Arial" w:cs="Arial"/>
              </w:rPr>
              <w:t>0.007</w:t>
            </w:r>
          </w:p>
        </w:tc>
      </w:tr>
      <w:tr w:rsidR="00FF0471" w:rsidRPr="00E0573F" w14:paraId="281D4AA6" w14:textId="77777777" w:rsidTr="00FF0471">
        <w:tc>
          <w:tcPr>
            <w:tcW w:w="1170" w:type="dxa"/>
            <w:vMerge/>
            <w:vAlign w:val="center"/>
          </w:tcPr>
          <w:p w14:paraId="7FEA7D7A" w14:textId="77777777" w:rsidR="00FF0471" w:rsidRPr="00E0573F" w:rsidRDefault="00FF0471" w:rsidP="00FF0471">
            <w:pPr>
              <w:jc w:val="center"/>
              <w:rPr>
                <w:rFonts w:ascii="Arial" w:hAnsi="Arial" w:cs="Arial"/>
              </w:rPr>
            </w:pPr>
          </w:p>
        </w:tc>
        <w:tc>
          <w:tcPr>
            <w:tcW w:w="1440" w:type="dxa"/>
            <w:vAlign w:val="center"/>
          </w:tcPr>
          <w:p w14:paraId="61DCB617" w14:textId="77777777" w:rsidR="00FF0471" w:rsidRPr="00E0573F" w:rsidRDefault="00FF0471" w:rsidP="00FF0471">
            <w:pPr>
              <w:jc w:val="center"/>
              <w:rPr>
                <w:rFonts w:ascii="Arial" w:hAnsi="Arial" w:cs="Arial"/>
              </w:rPr>
            </w:pPr>
            <w:r w:rsidRPr="00E0573F">
              <w:rPr>
                <w:rFonts w:ascii="Arial" w:hAnsi="Arial" w:cs="Arial"/>
              </w:rPr>
              <w:t>Female</w:t>
            </w:r>
          </w:p>
        </w:tc>
        <w:tc>
          <w:tcPr>
            <w:tcW w:w="1170" w:type="dxa"/>
            <w:vAlign w:val="center"/>
          </w:tcPr>
          <w:p w14:paraId="6B428B76" w14:textId="77777777" w:rsidR="00FF0471" w:rsidRPr="00E0573F" w:rsidRDefault="00FF0471" w:rsidP="00FF0471">
            <w:pPr>
              <w:jc w:val="center"/>
              <w:rPr>
                <w:rFonts w:ascii="Arial" w:hAnsi="Arial" w:cs="Arial"/>
              </w:rPr>
            </w:pPr>
            <w:r w:rsidRPr="00E0573F">
              <w:rPr>
                <w:rFonts w:ascii="Arial" w:hAnsi="Arial" w:cs="Arial"/>
              </w:rPr>
              <w:t xml:space="preserve">52 </w:t>
            </w:r>
          </w:p>
        </w:tc>
        <w:tc>
          <w:tcPr>
            <w:tcW w:w="1350" w:type="dxa"/>
            <w:vAlign w:val="center"/>
          </w:tcPr>
          <w:p w14:paraId="72ED186A" w14:textId="77777777" w:rsidR="00FF0471" w:rsidRPr="00E0573F" w:rsidRDefault="00FF0471" w:rsidP="00FF0471">
            <w:pPr>
              <w:jc w:val="center"/>
              <w:rPr>
                <w:rFonts w:ascii="Arial" w:hAnsi="Arial" w:cs="Arial"/>
              </w:rPr>
            </w:pPr>
            <w:r w:rsidRPr="00E0573F">
              <w:rPr>
                <w:rFonts w:ascii="Arial" w:hAnsi="Arial" w:cs="Arial"/>
              </w:rPr>
              <w:t xml:space="preserve">47 </w:t>
            </w:r>
          </w:p>
        </w:tc>
        <w:tc>
          <w:tcPr>
            <w:tcW w:w="810" w:type="dxa"/>
            <w:vAlign w:val="center"/>
          </w:tcPr>
          <w:p w14:paraId="0CCE7FBD" w14:textId="77777777" w:rsidR="00FF0471" w:rsidRPr="00E0573F" w:rsidRDefault="00FF0471" w:rsidP="00FF0471">
            <w:pPr>
              <w:jc w:val="center"/>
              <w:rPr>
                <w:rFonts w:ascii="Arial" w:hAnsi="Arial" w:cs="Arial"/>
              </w:rPr>
            </w:pPr>
            <w:r w:rsidRPr="00E0573F">
              <w:rPr>
                <w:rFonts w:ascii="Arial" w:hAnsi="Arial" w:cs="Arial"/>
              </w:rPr>
              <w:t>99</w:t>
            </w:r>
          </w:p>
        </w:tc>
        <w:tc>
          <w:tcPr>
            <w:tcW w:w="810" w:type="dxa"/>
            <w:vMerge/>
            <w:vAlign w:val="center"/>
          </w:tcPr>
          <w:p w14:paraId="6907386B" w14:textId="77777777" w:rsidR="00FF0471" w:rsidRPr="00E0573F" w:rsidRDefault="00FF0471" w:rsidP="00FF0471">
            <w:pPr>
              <w:jc w:val="center"/>
              <w:rPr>
                <w:rFonts w:ascii="Arial" w:hAnsi="Arial" w:cs="Arial"/>
              </w:rPr>
            </w:pPr>
          </w:p>
        </w:tc>
        <w:tc>
          <w:tcPr>
            <w:tcW w:w="1800" w:type="dxa"/>
            <w:vMerge/>
            <w:vAlign w:val="center"/>
          </w:tcPr>
          <w:p w14:paraId="550C5B01" w14:textId="77777777" w:rsidR="00FF0471" w:rsidRPr="00E0573F" w:rsidRDefault="00FF0471" w:rsidP="00FF0471">
            <w:pPr>
              <w:jc w:val="center"/>
              <w:rPr>
                <w:rFonts w:ascii="Arial" w:hAnsi="Arial" w:cs="Arial"/>
              </w:rPr>
            </w:pPr>
          </w:p>
        </w:tc>
        <w:tc>
          <w:tcPr>
            <w:tcW w:w="900" w:type="dxa"/>
            <w:vMerge/>
            <w:vAlign w:val="center"/>
          </w:tcPr>
          <w:p w14:paraId="560C120C" w14:textId="77777777" w:rsidR="00FF0471" w:rsidRPr="00E0573F" w:rsidRDefault="00FF0471" w:rsidP="00FF0471">
            <w:pPr>
              <w:jc w:val="center"/>
              <w:rPr>
                <w:rFonts w:ascii="Arial" w:hAnsi="Arial" w:cs="Arial"/>
              </w:rPr>
            </w:pPr>
          </w:p>
        </w:tc>
      </w:tr>
      <w:tr w:rsidR="00FF0471" w:rsidRPr="00E0573F" w14:paraId="7B0FED53" w14:textId="77777777" w:rsidTr="00FF0471">
        <w:tc>
          <w:tcPr>
            <w:tcW w:w="1170" w:type="dxa"/>
            <w:vMerge w:val="restart"/>
            <w:vAlign w:val="center"/>
          </w:tcPr>
          <w:p w14:paraId="06C5988D" w14:textId="77777777" w:rsidR="00FF0471" w:rsidRPr="00E0573F" w:rsidRDefault="00FF0471" w:rsidP="00FF0471">
            <w:pPr>
              <w:jc w:val="center"/>
              <w:rPr>
                <w:rFonts w:ascii="Arial" w:hAnsi="Arial" w:cs="Arial"/>
              </w:rPr>
            </w:pPr>
            <w:r w:rsidRPr="00E0573F">
              <w:rPr>
                <w:rFonts w:ascii="Arial" w:hAnsi="Arial" w:cs="Arial"/>
                <w:bCs/>
              </w:rPr>
              <w:t>Educational Level</w:t>
            </w:r>
          </w:p>
        </w:tc>
        <w:tc>
          <w:tcPr>
            <w:tcW w:w="1440" w:type="dxa"/>
            <w:vAlign w:val="center"/>
          </w:tcPr>
          <w:p w14:paraId="657A0F52" w14:textId="77777777" w:rsidR="00FF0471" w:rsidRPr="00E0573F" w:rsidRDefault="00FF0471" w:rsidP="00FF0471">
            <w:pPr>
              <w:jc w:val="center"/>
              <w:rPr>
                <w:rFonts w:ascii="Arial" w:hAnsi="Arial" w:cs="Arial"/>
              </w:rPr>
            </w:pPr>
            <w:r w:rsidRPr="00E0573F">
              <w:rPr>
                <w:rFonts w:ascii="Arial" w:hAnsi="Arial" w:cs="Arial"/>
              </w:rPr>
              <w:t>None</w:t>
            </w:r>
          </w:p>
        </w:tc>
        <w:tc>
          <w:tcPr>
            <w:tcW w:w="1170" w:type="dxa"/>
            <w:vAlign w:val="center"/>
          </w:tcPr>
          <w:p w14:paraId="16AA9C2D" w14:textId="77777777" w:rsidR="00FF0471" w:rsidRPr="00E0573F" w:rsidRDefault="00FF0471" w:rsidP="00FF0471">
            <w:pPr>
              <w:jc w:val="center"/>
              <w:rPr>
                <w:rFonts w:ascii="Arial" w:hAnsi="Arial" w:cs="Arial"/>
              </w:rPr>
            </w:pPr>
            <w:r w:rsidRPr="00E0573F">
              <w:rPr>
                <w:rFonts w:ascii="Arial" w:hAnsi="Arial" w:cs="Arial"/>
              </w:rPr>
              <w:t>41</w:t>
            </w:r>
          </w:p>
        </w:tc>
        <w:tc>
          <w:tcPr>
            <w:tcW w:w="1350" w:type="dxa"/>
            <w:vAlign w:val="center"/>
          </w:tcPr>
          <w:p w14:paraId="2A362697" w14:textId="77777777" w:rsidR="00FF0471" w:rsidRPr="00E0573F" w:rsidRDefault="00FF0471" w:rsidP="00FF0471">
            <w:pPr>
              <w:jc w:val="center"/>
              <w:rPr>
                <w:rFonts w:ascii="Arial" w:hAnsi="Arial" w:cs="Arial"/>
              </w:rPr>
            </w:pPr>
            <w:r w:rsidRPr="00E0573F">
              <w:rPr>
                <w:rFonts w:ascii="Arial" w:hAnsi="Arial" w:cs="Arial"/>
              </w:rPr>
              <w:t>17</w:t>
            </w:r>
          </w:p>
        </w:tc>
        <w:tc>
          <w:tcPr>
            <w:tcW w:w="810" w:type="dxa"/>
            <w:vAlign w:val="center"/>
          </w:tcPr>
          <w:p w14:paraId="7A734A31" w14:textId="77777777" w:rsidR="00FF0471" w:rsidRPr="00E0573F" w:rsidRDefault="00FF0471" w:rsidP="00FF0471">
            <w:pPr>
              <w:jc w:val="center"/>
              <w:rPr>
                <w:rFonts w:ascii="Arial" w:hAnsi="Arial" w:cs="Arial"/>
              </w:rPr>
            </w:pPr>
            <w:r w:rsidRPr="00E0573F">
              <w:rPr>
                <w:rFonts w:ascii="Arial" w:hAnsi="Arial" w:cs="Arial"/>
              </w:rPr>
              <w:t>58</w:t>
            </w:r>
          </w:p>
        </w:tc>
        <w:tc>
          <w:tcPr>
            <w:tcW w:w="810" w:type="dxa"/>
            <w:vMerge w:val="restart"/>
            <w:vAlign w:val="center"/>
          </w:tcPr>
          <w:p w14:paraId="33F223C0" w14:textId="77777777" w:rsidR="00FF0471" w:rsidRPr="00E0573F" w:rsidRDefault="00FF0471" w:rsidP="00FF0471">
            <w:pPr>
              <w:jc w:val="center"/>
              <w:rPr>
                <w:rFonts w:ascii="Arial" w:hAnsi="Arial" w:cs="Arial"/>
              </w:rPr>
            </w:pPr>
            <w:r w:rsidRPr="00E0573F">
              <w:rPr>
                <w:rFonts w:ascii="Arial" w:hAnsi="Arial" w:cs="Arial"/>
              </w:rPr>
              <w:t>12.11</w:t>
            </w:r>
          </w:p>
        </w:tc>
        <w:tc>
          <w:tcPr>
            <w:tcW w:w="1800" w:type="dxa"/>
            <w:vMerge w:val="restart"/>
            <w:vAlign w:val="center"/>
          </w:tcPr>
          <w:p w14:paraId="6B525098" w14:textId="77777777" w:rsidR="00FF0471" w:rsidRPr="00E0573F" w:rsidRDefault="00FF0471" w:rsidP="00FF0471">
            <w:pPr>
              <w:jc w:val="center"/>
              <w:rPr>
                <w:rFonts w:ascii="Arial" w:hAnsi="Arial" w:cs="Arial"/>
              </w:rPr>
            </w:pPr>
            <w:r w:rsidRPr="00E0573F">
              <w:rPr>
                <w:rFonts w:ascii="Arial" w:hAnsi="Arial" w:cs="Arial"/>
              </w:rPr>
              <w:t xml:space="preserve">1.22(0.74-2.01) </w:t>
            </w:r>
          </w:p>
        </w:tc>
        <w:tc>
          <w:tcPr>
            <w:tcW w:w="900" w:type="dxa"/>
            <w:vMerge w:val="restart"/>
            <w:vAlign w:val="center"/>
          </w:tcPr>
          <w:p w14:paraId="4FEABADF" w14:textId="77777777" w:rsidR="00FF0471" w:rsidRPr="00E0573F" w:rsidRDefault="00FF0471" w:rsidP="00FF0471">
            <w:pPr>
              <w:jc w:val="center"/>
              <w:rPr>
                <w:rFonts w:ascii="Arial" w:hAnsi="Arial" w:cs="Arial"/>
              </w:rPr>
            </w:pPr>
            <w:r w:rsidRPr="00E0573F">
              <w:rPr>
                <w:rFonts w:ascii="Arial" w:hAnsi="Arial" w:cs="Arial"/>
              </w:rPr>
              <w:t>0.007</w:t>
            </w:r>
          </w:p>
        </w:tc>
      </w:tr>
      <w:tr w:rsidR="00FF0471" w:rsidRPr="00E0573F" w14:paraId="41C92B67" w14:textId="77777777" w:rsidTr="00FF0471">
        <w:tc>
          <w:tcPr>
            <w:tcW w:w="1170" w:type="dxa"/>
            <w:vMerge/>
            <w:vAlign w:val="center"/>
          </w:tcPr>
          <w:p w14:paraId="2D109412" w14:textId="77777777" w:rsidR="00FF0471" w:rsidRPr="00E0573F" w:rsidRDefault="00FF0471" w:rsidP="00FF0471">
            <w:pPr>
              <w:jc w:val="center"/>
              <w:rPr>
                <w:rFonts w:ascii="Arial" w:hAnsi="Arial" w:cs="Arial"/>
              </w:rPr>
            </w:pPr>
          </w:p>
        </w:tc>
        <w:tc>
          <w:tcPr>
            <w:tcW w:w="1440" w:type="dxa"/>
            <w:vAlign w:val="center"/>
          </w:tcPr>
          <w:p w14:paraId="700D4762" w14:textId="77777777" w:rsidR="00FF0471" w:rsidRPr="00E0573F" w:rsidRDefault="00FF0471" w:rsidP="00FF0471">
            <w:pPr>
              <w:jc w:val="center"/>
              <w:rPr>
                <w:rFonts w:ascii="Arial" w:hAnsi="Arial" w:cs="Arial"/>
              </w:rPr>
            </w:pPr>
            <w:r w:rsidRPr="00E0573F">
              <w:rPr>
                <w:rFonts w:ascii="Arial" w:hAnsi="Arial" w:cs="Arial"/>
              </w:rPr>
              <w:t>Primary</w:t>
            </w:r>
          </w:p>
        </w:tc>
        <w:tc>
          <w:tcPr>
            <w:tcW w:w="1170" w:type="dxa"/>
            <w:vAlign w:val="center"/>
          </w:tcPr>
          <w:p w14:paraId="48787A6E" w14:textId="77777777" w:rsidR="00FF0471" w:rsidRPr="00E0573F" w:rsidRDefault="00FF0471" w:rsidP="00FF0471">
            <w:pPr>
              <w:jc w:val="center"/>
              <w:rPr>
                <w:rFonts w:ascii="Arial" w:hAnsi="Arial" w:cs="Arial"/>
              </w:rPr>
            </w:pPr>
            <w:r w:rsidRPr="00E0573F">
              <w:rPr>
                <w:rFonts w:ascii="Arial" w:hAnsi="Arial" w:cs="Arial"/>
              </w:rPr>
              <w:t>39</w:t>
            </w:r>
          </w:p>
        </w:tc>
        <w:tc>
          <w:tcPr>
            <w:tcW w:w="1350" w:type="dxa"/>
            <w:vAlign w:val="center"/>
          </w:tcPr>
          <w:p w14:paraId="50FDA34E" w14:textId="77777777" w:rsidR="00FF0471" w:rsidRPr="00E0573F" w:rsidRDefault="00FF0471" w:rsidP="00FF0471">
            <w:pPr>
              <w:jc w:val="center"/>
              <w:rPr>
                <w:rFonts w:ascii="Arial" w:hAnsi="Arial" w:cs="Arial"/>
              </w:rPr>
            </w:pPr>
            <w:r w:rsidRPr="00E0573F">
              <w:rPr>
                <w:rFonts w:ascii="Arial" w:hAnsi="Arial" w:cs="Arial"/>
              </w:rPr>
              <w:t>29</w:t>
            </w:r>
          </w:p>
        </w:tc>
        <w:tc>
          <w:tcPr>
            <w:tcW w:w="810" w:type="dxa"/>
            <w:vAlign w:val="center"/>
          </w:tcPr>
          <w:p w14:paraId="2D6EBCE8" w14:textId="77777777" w:rsidR="00FF0471" w:rsidRPr="00E0573F" w:rsidRDefault="00FF0471" w:rsidP="00FF0471">
            <w:pPr>
              <w:jc w:val="center"/>
              <w:rPr>
                <w:rFonts w:ascii="Arial" w:hAnsi="Arial" w:cs="Arial"/>
              </w:rPr>
            </w:pPr>
            <w:r w:rsidRPr="00E0573F">
              <w:rPr>
                <w:rFonts w:ascii="Arial" w:hAnsi="Arial" w:cs="Arial"/>
              </w:rPr>
              <w:t>68</w:t>
            </w:r>
          </w:p>
        </w:tc>
        <w:tc>
          <w:tcPr>
            <w:tcW w:w="810" w:type="dxa"/>
            <w:vMerge/>
            <w:vAlign w:val="center"/>
          </w:tcPr>
          <w:p w14:paraId="0C51D465" w14:textId="77777777" w:rsidR="00FF0471" w:rsidRPr="00E0573F" w:rsidRDefault="00FF0471" w:rsidP="00FF0471">
            <w:pPr>
              <w:jc w:val="center"/>
              <w:rPr>
                <w:rFonts w:ascii="Arial" w:hAnsi="Arial" w:cs="Arial"/>
              </w:rPr>
            </w:pPr>
          </w:p>
        </w:tc>
        <w:tc>
          <w:tcPr>
            <w:tcW w:w="1800" w:type="dxa"/>
            <w:vMerge/>
            <w:vAlign w:val="center"/>
          </w:tcPr>
          <w:p w14:paraId="3A4DDE70" w14:textId="77777777" w:rsidR="00FF0471" w:rsidRPr="00E0573F" w:rsidRDefault="00FF0471" w:rsidP="00FF0471">
            <w:pPr>
              <w:jc w:val="center"/>
              <w:rPr>
                <w:rFonts w:ascii="Arial" w:hAnsi="Arial" w:cs="Arial"/>
              </w:rPr>
            </w:pPr>
          </w:p>
        </w:tc>
        <w:tc>
          <w:tcPr>
            <w:tcW w:w="900" w:type="dxa"/>
            <w:vMerge/>
            <w:vAlign w:val="center"/>
          </w:tcPr>
          <w:p w14:paraId="585B4DEC" w14:textId="77777777" w:rsidR="00FF0471" w:rsidRPr="00E0573F" w:rsidRDefault="00FF0471" w:rsidP="00FF0471">
            <w:pPr>
              <w:jc w:val="center"/>
              <w:rPr>
                <w:rFonts w:ascii="Arial" w:hAnsi="Arial" w:cs="Arial"/>
              </w:rPr>
            </w:pPr>
          </w:p>
        </w:tc>
      </w:tr>
      <w:tr w:rsidR="00FF0471" w:rsidRPr="00E0573F" w14:paraId="578537CC" w14:textId="77777777" w:rsidTr="00FF0471">
        <w:tc>
          <w:tcPr>
            <w:tcW w:w="1170" w:type="dxa"/>
            <w:vMerge/>
            <w:vAlign w:val="center"/>
          </w:tcPr>
          <w:p w14:paraId="5D92F1FF" w14:textId="77777777" w:rsidR="00FF0471" w:rsidRPr="00E0573F" w:rsidRDefault="00FF0471" w:rsidP="00FF0471">
            <w:pPr>
              <w:jc w:val="center"/>
              <w:rPr>
                <w:rFonts w:ascii="Arial" w:hAnsi="Arial" w:cs="Arial"/>
              </w:rPr>
            </w:pPr>
          </w:p>
        </w:tc>
        <w:tc>
          <w:tcPr>
            <w:tcW w:w="1440" w:type="dxa"/>
            <w:vAlign w:val="center"/>
          </w:tcPr>
          <w:p w14:paraId="695AACD5" w14:textId="77777777" w:rsidR="00FF0471" w:rsidRPr="00E0573F" w:rsidRDefault="00FF0471" w:rsidP="00FF0471">
            <w:pPr>
              <w:jc w:val="center"/>
              <w:rPr>
                <w:rFonts w:ascii="Arial" w:hAnsi="Arial" w:cs="Arial"/>
              </w:rPr>
            </w:pPr>
            <w:r w:rsidRPr="00E0573F">
              <w:rPr>
                <w:rFonts w:ascii="Arial" w:hAnsi="Arial" w:cs="Arial"/>
              </w:rPr>
              <w:t>Secondary</w:t>
            </w:r>
          </w:p>
        </w:tc>
        <w:tc>
          <w:tcPr>
            <w:tcW w:w="1170" w:type="dxa"/>
            <w:vAlign w:val="center"/>
          </w:tcPr>
          <w:p w14:paraId="56A5687B" w14:textId="77777777" w:rsidR="00FF0471" w:rsidRPr="00E0573F" w:rsidRDefault="00FF0471" w:rsidP="00FF0471">
            <w:pPr>
              <w:jc w:val="center"/>
              <w:rPr>
                <w:rFonts w:ascii="Arial" w:hAnsi="Arial" w:cs="Arial"/>
              </w:rPr>
            </w:pPr>
            <w:r w:rsidRPr="00E0573F">
              <w:rPr>
                <w:rFonts w:ascii="Arial" w:hAnsi="Arial" w:cs="Arial"/>
              </w:rPr>
              <w:t>49</w:t>
            </w:r>
          </w:p>
        </w:tc>
        <w:tc>
          <w:tcPr>
            <w:tcW w:w="1350" w:type="dxa"/>
            <w:vAlign w:val="center"/>
          </w:tcPr>
          <w:p w14:paraId="22A60F40" w14:textId="77777777" w:rsidR="00FF0471" w:rsidRPr="00E0573F" w:rsidRDefault="00FF0471" w:rsidP="00FF0471">
            <w:pPr>
              <w:jc w:val="center"/>
              <w:rPr>
                <w:rFonts w:ascii="Arial" w:hAnsi="Arial" w:cs="Arial"/>
              </w:rPr>
            </w:pPr>
            <w:r w:rsidRPr="00E0573F">
              <w:rPr>
                <w:rFonts w:ascii="Arial" w:hAnsi="Arial" w:cs="Arial"/>
              </w:rPr>
              <w:t>36</w:t>
            </w:r>
          </w:p>
        </w:tc>
        <w:tc>
          <w:tcPr>
            <w:tcW w:w="810" w:type="dxa"/>
            <w:vAlign w:val="center"/>
          </w:tcPr>
          <w:p w14:paraId="57A3D88D" w14:textId="77777777" w:rsidR="00FF0471" w:rsidRPr="00E0573F" w:rsidRDefault="00FF0471" w:rsidP="00FF0471">
            <w:pPr>
              <w:jc w:val="center"/>
              <w:rPr>
                <w:rFonts w:ascii="Arial" w:hAnsi="Arial" w:cs="Arial"/>
              </w:rPr>
            </w:pPr>
            <w:r w:rsidRPr="00E0573F">
              <w:rPr>
                <w:rFonts w:ascii="Arial" w:hAnsi="Arial" w:cs="Arial"/>
              </w:rPr>
              <w:t>85</w:t>
            </w:r>
          </w:p>
        </w:tc>
        <w:tc>
          <w:tcPr>
            <w:tcW w:w="810" w:type="dxa"/>
            <w:vMerge/>
            <w:vAlign w:val="center"/>
          </w:tcPr>
          <w:p w14:paraId="43B76BF2" w14:textId="77777777" w:rsidR="00FF0471" w:rsidRPr="00E0573F" w:rsidRDefault="00FF0471" w:rsidP="00FF0471">
            <w:pPr>
              <w:jc w:val="center"/>
              <w:rPr>
                <w:rFonts w:ascii="Arial" w:hAnsi="Arial" w:cs="Arial"/>
              </w:rPr>
            </w:pPr>
          </w:p>
        </w:tc>
        <w:tc>
          <w:tcPr>
            <w:tcW w:w="1800" w:type="dxa"/>
            <w:vMerge/>
            <w:vAlign w:val="center"/>
          </w:tcPr>
          <w:p w14:paraId="6EB4EAC5" w14:textId="77777777" w:rsidR="00FF0471" w:rsidRPr="00E0573F" w:rsidRDefault="00FF0471" w:rsidP="00FF0471">
            <w:pPr>
              <w:jc w:val="center"/>
              <w:rPr>
                <w:rFonts w:ascii="Arial" w:hAnsi="Arial" w:cs="Arial"/>
              </w:rPr>
            </w:pPr>
          </w:p>
        </w:tc>
        <w:tc>
          <w:tcPr>
            <w:tcW w:w="900" w:type="dxa"/>
            <w:vMerge/>
            <w:vAlign w:val="center"/>
          </w:tcPr>
          <w:p w14:paraId="2D9F68D3" w14:textId="77777777" w:rsidR="00FF0471" w:rsidRPr="00E0573F" w:rsidRDefault="00FF0471" w:rsidP="00FF0471">
            <w:pPr>
              <w:jc w:val="center"/>
              <w:rPr>
                <w:rFonts w:ascii="Arial" w:hAnsi="Arial" w:cs="Arial"/>
              </w:rPr>
            </w:pPr>
          </w:p>
        </w:tc>
      </w:tr>
      <w:tr w:rsidR="00FF0471" w:rsidRPr="00E0573F" w14:paraId="7ACAFB0C" w14:textId="77777777" w:rsidTr="00FF0471">
        <w:tc>
          <w:tcPr>
            <w:tcW w:w="1170" w:type="dxa"/>
            <w:vMerge/>
            <w:vAlign w:val="center"/>
          </w:tcPr>
          <w:p w14:paraId="2CBA8273" w14:textId="77777777" w:rsidR="00FF0471" w:rsidRPr="00E0573F" w:rsidRDefault="00FF0471" w:rsidP="00FF0471">
            <w:pPr>
              <w:jc w:val="center"/>
              <w:rPr>
                <w:rFonts w:ascii="Arial" w:hAnsi="Arial" w:cs="Arial"/>
              </w:rPr>
            </w:pPr>
          </w:p>
        </w:tc>
        <w:tc>
          <w:tcPr>
            <w:tcW w:w="1440" w:type="dxa"/>
            <w:vAlign w:val="center"/>
          </w:tcPr>
          <w:p w14:paraId="0A2B3A7D" w14:textId="77777777" w:rsidR="00FF0471" w:rsidRPr="00E0573F" w:rsidRDefault="00FF0471" w:rsidP="00FF0471">
            <w:pPr>
              <w:jc w:val="center"/>
              <w:rPr>
                <w:rFonts w:ascii="Arial" w:hAnsi="Arial" w:cs="Arial"/>
              </w:rPr>
            </w:pPr>
            <w:r w:rsidRPr="00E0573F">
              <w:rPr>
                <w:rFonts w:ascii="Arial" w:hAnsi="Arial" w:cs="Arial"/>
              </w:rPr>
              <w:t>Tertiary</w:t>
            </w:r>
          </w:p>
        </w:tc>
        <w:tc>
          <w:tcPr>
            <w:tcW w:w="1170" w:type="dxa"/>
            <w:vAlign w:val="center"/>
          </w:tcPr>
          <w:p w14:paraId="376F968B" w14:textId="77777777" w:rsidR="00FF0471" w:rsidRPr="00E0573F" w:rsidRDefault="00FF0471" w:rsidP="00FF0471">
            <w:pPr>
              <w:jc w:val="center"/>
              <w:rPr>
                <w:rFonts w:ascii="Arial" w:hAnsi="Arial" w:cs="Arial"/>
              </w:rPr>
            </w:pPr>
            <w:r w:rsidRPr="00E0573F">
              <w:rPr>
                <w:rFonts w:ascii="Arial" w:hAnsi="Arial" w:cs="Arial"/>
              </w:rPr>
              <w:t>25</w:t>
            </w:r>
          </w:p>
        </w:tc>
        <w:tc>
          <w:tcPr>
            <w:tcW w:w="1350" w:type="dxa"/>
            <w:vAlign w:val="center"/>
          </w:tcPr>
          <w:p w14:paraId="4EEF10C3" w14:textId="77777777" w:rsidR="00FF0471" w:rsidRPr="00E0573F" w:rsidRDefault="00FF0471" w:rsidP="00FF0471">
            <w:pPr>
              <w:jc w:val="center"/>
              <w:rPr>
                <w:rFonts w:ascii="Arial" w:hAnsi="Arial" w:cs="Arial"/>
              </w:rPr>
            </w:pPr>
            <w:r w:rsidRPr="00E0573F">
              <w:rPr>
                <w:rFonts w:ascii="Arial" w:hAnsi="Arial" w:cs="Arial"/>
              </w:rPr>
              <w:t>16</w:t>
            </w:r>
          </w:p>
        </w:tc>
        <w:tc>
          <w:tcPr>
            <w:tcW w:w="810" w:type="dxa"/>
            <w:vAlign w:val="center"/>
          </w:tcPr>
          <w:p w14:paraId="4462E082" w14:textId="77777777" w:rsidR="00FF0471" w:rsidRPr="00E0573F" w:rsidRDefault="00FF0471" w:rsidP="00FF0471">
            <w:pPr>
              <w:jc w:val="center"/>
              <w:rPr>
                <w:rFonts w:ascii="Arial" w:hAnsi="Arial" w:cs="Arial"/>
              </w:rPr>
            </w:pPr>
            <w:r w:rsidRPr="00E0573F">
              <w:rPr>
                <w:rFonts w:ascii="Arial" w:hAnsi="Arial" w:cs="Arial"/>
              </w:rPr>
              <w:t>41</w:t>
            </w:r>
          </w:p>
        </w:tc>
        <w:tc>
          <w:tcPr>
            <w:tcW w:w="810" w:type="dxa"/>
            <w:vMerge/>
            <w:vAlign w:val="center"/>
          </w:tcPr>
          <w:p w14:paraId="204BA2A3" w14:textId="77777777" w:rsidR="00FF0471" w:rsidRPr="00E0573F" w:rsidRDefault="00FF0471" w:rsidP="00FF0471">
            <w:pPr>
              <w:jc w:val="center"/>
              <w:rPr>
                <w:rFonts w:ascii="Arial" w:hAnsi="Arial" w:cs="Arial"/>
              </w:rPr>
            </w:pPr>
          </w:p>
        </w:tc>
        <w:tc>
          <w:tcPr>
            <w:tcW w:w="1800" w:type="dxa"/>
            <w:vMerge/>
            <w:vAlign w:val="center"/>
          </w:tcPr>
          <w:p w14:paraId="10AAFEAA" w14:textId="77777777" w:rsidR="00FF0471" w:rsidRPr="00E0573F" w:rsidRDefault="00FF0471" w:rsidP="00FF0471">
            <w:pPr>
              <w:jc w:val="center"/>
              <w:rPr>
                <w:rFonts w:ascii="Arial" w:hAnsi="Arial" w:cs="Arial"/>
              </w:rPr>
            </w:pPr>
          </w:p>
        </w:tc>
        <w:tc>
          <w:tcPr>
            <w:tcW w:w="900" w:type="dxa"/>
            <w:vMerge/>
            <w:vAlign w:val="center"/>
          </w:tcPr>
          <w:p w14:paraId="0AF8831F" w14:textId="77777777" w:rsidR="00FF0471" w:rsidRPr="00E0573F" w:rsidRDefault="00FF0471" w:rsidP="00FF0471">
            <w:pPr>
              <w:jc w:val="center"/>
              <w:rPr>
                <w:rFonts w:ascii="Arial" w:hAnsi="Arial" w:cs="Arial"/>
              </w:rPr>
            </w:pPr>
          </w:p>
        </w:tc>
      </w:tr>
      <w:tr w:rsidR="00FF0471" w:rsidRPr="00E0573F" w14:paraId="49BA8514" w14:textId="77777777" w:rsidTr="00FF0471">
        <w:tc>
          <w:tcPr>
            <w:tcW w:w="1170" w:type="dxa"/>
            <w:vMerge w:val="restart"/>
            <w:vAlign w:val="center"/>
          </w:tcPr>
          <w:p w14:paraId="580E03CD" w14:textId="77777777" w:rsidR="00FF0471" w:rsidRPr="00E0573F" w:rsidRDefault="00FF0471" w:rsidP="00FF0471">
            <w:pPr>
              <w:jc w:val="center"/>
              <w:rPr>
                <w:rFonts w:ascii="Arial" w:hAnsi="Arial" w:cs="Arial"/>
              </w:rPr>
            </w:pPr>
            <w:r w:rsidRPr="00E0573F">
              <w:rPr>
                <w:rFonts w:ascii="Arial" w:hAnsi="Arial" w:cs="Arial"/>
                <w:bCs/>
              </w:rPr>
              <w:t>Monthly Income</w:t>
            </w:r>
          </w:p>
        </w:tc>
        <w:tc>
          <w:tcPr>
            <w:tcW w:w="1440" w:type="dxa"/>
            <w:vAlign w:val="center"/>
          </w:tcPr>
          <w:p w14:paraId="2CB4C6D6" w14:textId="77777777" w:rsidR="00FF0471" w:rsidRPr="00E0573F" w:rsidRDefault="00FF0471" w:rsidP="00FF0471">
            <w:pPr>
              <w:jc w:val="center"/>
              <w:rPr>
                <w:rFonts w:ascii="Arial" w:hAnsi="Arial" w:cs="Arial"/>
              </w:rPr>
            </w:pPr>
            <w:r w:rsidRPr="00E0573F">
              <w:rPr>
                <w:rFonts w:ascii="Arial" w:hAnsi="Arial" w:cs="Arial"/>
              </w:rPr>
              <w:t>&lt;₦50,000</w:t>
            </w:r>
          </w:p>
        </w:tc>
        <w:tc>
          <w:tcPr>
            <w:tcW w:w="1170" w:type="dxa"/>
            <w:vAlign w:val="center"/>
          </w:tcPr>
          <w:p w14:paraId="2E3CC0C8" w14:textId="77777777" w:rsidR="00FF0471" w:rsidRPr="00E0573F" w:rsidRDefault="00FF0471" w:rsidP="00FF0471">
            <w:pPr>
              <w:jc w:val="center"/>
              <w:rPr>
                <w:rFonts w:ascii="Arial" w:hAnsi="Arial" w:cs="Arial"/>
              </w:rPr>
            </w:pPr>
            <w:r w:rsidRPr="00E0573F">
              <w:rPr>
                <w:rFonts w:ascii="Arial" w:hAnsi="Arial" w:cs="Arial"/>
              </w:rPr>
              <w:t>79</w:t>
            </w:r>
          </w:p>
        </w:tc>
        <w:tc>
          <w:tcPr>
            <w:tcW w:w="1350" w:type="dxa"/>
            <w:vAlign w:val="center"/>
          </w:tcPr>
          <w:p w14:paraId="6BBC859B" w14:textId="77777777" w:rsidR="00FF0471" w:rsidRPr="00E0573F" w:rsidRDefault="00FF0471" w:rsidP="00FF0471">
            <w:pPr>
              <w:jc w:val="center"/>
              <w:rPr>
                <w:rFonts w:ascii="Arial" w:hAnsi="Arial" w:cs="Arial"/>
              </w:rPr>
            </w:pPr>
            <w:r w:rsidRPr="00E0573F">
              <w:rPr>
                <w:rFonts w:ascii="Arial" w:hAnsi="Arial" w:cs="Arial"/>
              </w:rPr>
              <w:t>34</w:t>
            </w:r>
          </w:p>
        </w:tc>
        <w:tc>
          <w:tcPr>
            <w:tcW w:w="810" w:type="dxa"/>
            <w:vAlign w:val="center"/>
          </w:tcPr>
          <w:p w14:paraId="3A5E7A0E" w14:textId="77777777" w:rsidR="00FF0471" w:rsidRPr="00E0573F" w:rsidRDefault="00FF0471" w:rsidP="00FF0471">
            <w:pPr>
              <w:jc w:val="center"/>
              <w:rPr>
                <w:rFonts w:ascii="Arial" w:hAnsi="Arial" w:cs="Arial"/>
              </w:rPr>
            </w:pPr>
            <w:r w:rsidRPr="00E0573F">
              <w:rPr>
                <w:rFonts w:ascii="Arial" w:hAnsi="Arial" w:cs="Arial"/>
              </w:rPr>
              <w:t>113</w:t>
            </w:r>
          </w:p>
        </w:tc>
        <w:tc>
          <w:tcPr>
            <w:tcW w:w="810" w:type="dxa"/>
            <w:vMerge w:val="restart"/>
            <w:vAlign w:val="center"/>
          </w:tcPr>
          <w:p w14:paraId="557D308B" w14:textId="77777777" w:rsidR="00FF0471" w:rsidRPr="00E0573F" w:rsidRDefault="00FF0471" w:rsidP="00FF0471">
            <w:pPr>
              <w:jc w:val="center"/>
              <w:rPr>
                <w:rFonts w:ascii="Arial" w:hAnsi="Arial" w:cs="Arial"/>
              </w:rPr>
            </w:pPr>
            <w:r w:rsidRPr="00E0573F">
              <w:rPr>
                <w:rFonts w:ascii="Arial" w:hAnsi="Arial" w:cs="Arial"/>
              </w:rPr>
              <w:t>9.82</w:t>
            </w:r>
          </w:p>
        </w:tc>
        <w:tc>
          <w:tcPr>
            <w:tcW w:w="1800" w:type="dxa"/>
            <w:vMerge w:val="restart"/>
            <w:vAlign w:val="center"/>
          </w:tcPr>
          <w:p w14:paraId="3EBC2CF2" w14:textId="77777777" w:rsidR="00FF0471" w:rsidRPr="00E0573F" w:rsidRDefault="00FF0471" w:rsidP="00FF0471">
            <w:pPr>
              <w:jc w:val="center"/>
              <w:rPr>
                <w:rFonts w:ascii="Arial" w:hAnsi="Arial" w:cs="Arial"/>
              </w:rPr>
            </w:pPr>
            <w:r w:rsidRPr="00E0573F">
              <w:rPr>
                <w:rFonts w:ascii="Arial" w:hAnsi="Arial" w:cs="Arial"/>
              </w:rPr>
              <w:t xml:space="preserve">1.98(1.18-3.32) </w:t>
            </w:r>
          </w:p>
        </w:tc>
        <w:tc>
          <w:tcPr>
            <w:tcW w:w="900" w:type="dxa"/>
            <w:vMerge w:val="restart"/>
            <w:vAlign w:val="center"/>
          </w:tcPr>
          <w:p w14:paraId="541521B2" w14:textId="77777777" w:rsidR="00FF0471" w:rsidRPr="00E0573F" w:rsidRDefault="00FF0471" w:rsidP="00FF0471">
            <w:pPr>
              <w:jc w:val="center"/>
              <w:rPr>
                <w:rFonts w:ascii="Arial" w:hAnsi="Arial" w:cs="Arial"/>
              </w:rPr>
            </w:pPr>
            <w:r w:rsidRPr="00E0573F">
              <w:rPr>
                <w:rFonts w:ascii="Arial" w:hAnsi="Arial" w:cs="Arial"/>
              </w:rPr>
              <w:t>0.007</w:t>
            </w:r>
          </w:p>
        </w:tc>
      </w:tr>
      <w:tr w:rsidR="00FF0471" w:rsidRPr="00E0573F" w14:paraId="5D97E8A5" w14:textId="77777777" w:rsidTr="00FF0471">
        <w:tc>
          <w:tcPr>
            <w:tcW w:w="1170" w:type="dxa"/>
            <w:vMerge/>
            <w:vAlign w:val="center"/>
          </w:tcPr>
          <w:p w14:paraId="13901AD3" w14:textId="77777777" w:rsidR="00FF0471" w:rsidRPr="00E0573F" w:rsidRDefault="00FF0471" w:rsidP="00FF0471">
            <w:pPr>
              <w:jc w:val="center"/>
              <w:rPr>
                <w:rFonts w:ascii="Arial" w:hAnsi="Arial" w:cs="Arial"/>
              </w:rPr>
            </w:pPr>
          </w:p>
        </w:tc>
        <w:tc>
          <w:tcPr>
            <w:tcW w:w="1440" w:type="dxa"/>
            <w:vAlign w:val="center"/>
          </w:tcPr>
          <w:p w14:paraId="1A61B9DE" w14:textId="77777777" w:rsidR="00FF0471" w:rsidRPr="00E0573F" w:rsidRDefault="00FF0471" w:rsidP="00FF0471">
            <w:pPr>
              <w:jc w:val="center"/>
              <w:rPr>
                <w:rFonts w:ascii="Arial" w:hAnsi="Arial" w:cs="Arial"/>
              </w:rPr>
            </w:pPr>
            <w:r w:rsidRPr="00E0573F">
              <w:rPr>
                <w:rFonts w:ascii="Arial" w:hAnsi="Arial" w:cs="Arial"/>
              </w:rPr>
              <w:t>₦50,000–100,000</w:t>
            </w:r>
          </w:p>
        </w:tc>
        <w:tc>
          <w:tcPr>
            <w:tcW w:w="1170" w:type="dxa"/>
            <w:vAlign w:val="center"/>
          </w:tcPr>
          <w:p w14:paraId="32242961" w14:textId="77777777" w:rsidR="00FF0471" w:rsidRPr="00E0573F" w:rsidRDefault="00FF0471" w:rsidP="00FF0471">
            <w:pPr>
              <w:jc w:val="center"/>
              <w:rPr>
                <w:rFonts w:ascii="Arial" w:hAnsi="Arial" w:cs="Arial"/>
              </w:rPr>
            </w:pPr>
            <w:r w:rsidRPr="00E0573F">
              <w:rPr>
                <w:rFonts w:ascii="Arial" w:hAnsi="Arial" w:cs="Arial"/>
              </w:rPr>
              <w:t>49</w:t>
            </w:r>
          </w:p>
        </w:tc>
        <w:tc>
          <w:tcPr>
            <w:tcW w:w="1350" w:type="dxa"/>
            <w:vAlign w:val="center"/>
          </w:tcPr>
          <w:p w14:paraId="30543CC4" w14:textId="77777777" w:rsidR="00FF0471" w:rsidRPr="00E0573F" w:rsidRDefault="00FF0471" w:rsidP="00FF0471">
            <w:pPr>
              <w:jc w:val="center"/>
              <w:rPr>
                <w:rFonts w:ascii="Arial" w:hAnsi="Arial" w:cs="Arial"/>
              </w:rPr>
            </w:pPr>
            <w:r w:rsidRPr="00E0573F">
              <w:rPr>
                <w:rFonts w:ascii="Arial" w:hAnsi="Arial" w:cs="Arial"/>
              </w:rPr>
              <w:t>39</w:t>
            </w:r>
          </w:p>
        </w:tc>
        <w:tc>
          <w:tcPr>
            <w:tcW w:w="810" w:type="dxa"/>
            <w:vAlign w:val="center"/>
          </w:tcPr>
          <w:p w14:paraId="2AABEC78" w14:textId="77777777" w:rsidR="00FF0471" w:rsidRPr="00E0573F" w:rsidRDefault="00FF0471" w:rsidP="00FF0471">
            <w:pPr>
              <w:jc w:val="center"/>
              <w:rPr>
                <w:rFonts w:ascii="Arial" w:hAnsi="Arial" w:cs="Arial"/>
              </w:rPr>
            </w:pPr>
            <w:r w:rsidRPr="00E0573F">
              <w:rPr>
                <w:rFonts w:ascii="Arial" w:hAnsi="Arial" w:cs="Arial"/>
              </w:rPr>
              <w:t>88</w:t>
            </w:r>
          </w:p>
        </w:tc>
        <w:tc>
          <w:tcPr>
            <w:tcW w:w="810" w:type="dxa"/>
            <w:vMerge/>
            <w:vAlign w:val="center"/>
          </w:tcPr>
          <w:p w14:paraId="209B7317" w14:textId="77777777" w:rsidR="00FF0471" w:rsidRPr="00E0573F" w:rsidRDefault="00FF0471" w:rsidP="00FF0471">
            <w:pPr>
              <w:jc w:val="center"/>
              <w:rPr>
                <w:rFonts w:ascii="Arial" w:hAnsi="Arial" w:cs="Arial"/>
              </w:rPr>
            </w:pPr>
          </w:p>
        </w:tc>
        <w:tc>
          <w:tcPr>
            <w:tcW w:w="1800" w:type="dxa"/>
            <w:vMerge/>
            <w:vAlign w:val="center"/>
          </w:tcPr>
          <w:p w14:paraId="069AF560" w14:textId="77777777" w:rsidR="00FF0471" w:rsidRPr="00E0573F" w:rsidRDefault="00FF0471" w:rsidP="00FF0471">
            <w:pPr>
              <w:jc w:val="center"/>
              <w:rPr>
                <w:rFonts w:ascii="Arial" w:hAnsi="Arial" w:cs="Arial"/>
              </w:rPr>
            </w:pPr>
          </w:p>
        </w:tc>
        <w:tc>
          <w:tcPr>
            <w:tcW w:w="900" w:type="dxa"/>
            <w:vMerge/>
            <w:vAlign w:val="center"/>
          </w:tcPr>
          <w:p w14:paraId="01C42A50" w14:textId="77777777" w:rsidR="00FF0471" w:rsidRPr="00E0573F" w:rsidRDefault="00FF0471" w:rsidP="00FF0471">
            <w:pPr>
              <w:jc w:val="center"/>
              <w:rPr>
                <w:rFonts w:ascii="Arial" w:hAnsi="Arial" w:cs="Arial"/>
              </w:rPr>
            </w:pPr>
          </w:p>
        </w:tc>
      </w:tr>
      <w:tr w:rsidR="00FF0471" w:rsidRPr="00E0573F" w14:paraId="2D36A2B3" w14:textId="77777777" w:rsidTr="00FF0471">
        <w:tc>
          <w:tcPr>
            <w:tcW w:w="1170" w:type="dxa"/>
            <w:vMerge/>
            <w:vAlign w:val="center"/>
          </w:tcPr>
          <w:p w14:paraId="27C4FAE1" w14:textId="77777777" w:rsidR="00FF0471" w:rsidRPr="00E0573F" w:rsidRDefault="00FF0471" w:rsidP="00FF0471">
            <w:pPr>
              <w:jc w:val="center"/>
              <w:rPr>
                <w:rFonts w:ascii="Arial" w:hAnsi="Arial" w:cs="Arial"/>
              </w:rPr>
            </w:pPr>
          </w:p>
        </w:tc>
        <w:tc>
          <w:tcPr>
            <w:tcW w:w="1440" w:type="dxa"/>
            <w:vAlign w:val="center"/>
          </w:tcPr>
          <w:p w14:paraId="4AD95AA9" w14:textId="77777777" w:rsidR="00FF0471" w:rsidRPr="00E0573F" w:rsidRDefault="00FF0471" w:rsidP="00FF0471">
            <w:pPr>
              <w:jc w:val="center"/>
              <w:rPr>
                <w:rFonts w:ascii="Arial" w:hAnsi="Arial" w:cs="Arial"/>
              </w:rPr>
            </w:pPr>
            <w:r w:rsidRPr="00E0573F">
              <w:rPr>
                <w:rFonts w:ascii="Arial" w:hAnsi="Arial" w:cs="Arial"/>
              </w:rPr>
              <w:t>&gt;₦100,000</w:t>
            </w:r>
          </w:p>
        </w:tc>
        <w:tc>
          <w:tcPr>
            <w:tcW w:w="1170" w:type="dxa"/>
            <w:vAlign w:val="center"/>
          </w:tcPr>
          <w:p w14:paraId="0F77E5D5" w14:textId="77777777" w:rsidR="00FF0471" w:rsidRPr="00E0573F" w:rsidRDefault="00FF0471" w:rsidP="00FF0471">
            <w:pPr>
              <w:jc w:val="center"/>
              <w:rPr>
                <w:rFonts w:ascii="Arial" w:hAnsi="Arial" w:cs="Arial"/>
              </w:rPr>
            </w:pPr>
            <w:r w:rsidRPr="00E0573F">
              <w:rPr>
                <w:rFonts w:ascii="Arial" w:hAnsi="Arial" w:cs="Arial"/>
              </w:rPr>
              <w:t>26</w:t>
            </w:r>
          </w:p>
        </w:tc>
        <w:tc>
          <w:tcPr>
            <w:tcW w:w="1350" w:type="dxa"/>
            <w:vAlign w:val="center"/>
          </w:tcPr>
          <w:p w14:paraId="05B8C718" w14:textId="77777777" w:rsidR="00FF0471" w:rsidRPr="00E0573F" w:rsidRDefault="00FF0471" w:rsidP="00FF0471">
            <w:pPr>
              <w:jc w:val="center"/>
              <w:rPr>
                <w:rFonts w:ascii="Arial" w:hAnsi="Arial" w:cs="Arial"/>
              </w:rPr>
            </w:pPr>
            <w:r w:rsidRPr="00E0573F">
              <w:rPr>
                <w:rFonts w:ascii="Arial" w:hAnsi="Arial" w:cs="Arial"/>
              </w:rPr>
              <w:t>25</w:t>
            </w:r>
          </w:p>
        </w:tc>
        <w:tc>
          <w:tcPr>
            <w:tcW w:w="810" w:type="dxa"/>
            <w:vAlign w:val="center"/>
          </w:tcPr>
          <w:p w14:paraId="1CBA855D" w14:textId="77777777" w:rsidR="00FF0471" w:rsidRPr="00E0573F" w:rsidRDefault="00FF0471" w:rsidP="00FF0471">
            <w:pPr>
              <w:jc w:val="center"/>
              <w:rPr>
                <w:rFonts w:ascii="Arial" w:hAnsi="Arial" w:cs="Arial"/>
              </w:rPr>
            </w:pPr>
            <w:r w:rsidRPr="00E0573F">
              <w:rPr>
                <w:rFonts w:ascii="Arial" w:hAnsi="Arial" w:cs="Arial"/>
              </w:rPr>
              <w:t>51</w:t>
            </w:r>
          </w:p>
        </w:tc>
        <w:tc>
          <w:tcPr>
            <w:tcW w:w="810" w:type="dxa"/>
            <w:vMerge/>
            <w:vAlign w:val="center"/>
          </w:tcPr>
          <w:p w14:paraId="3A9B099E" w14:textId="77777777" w:rsidR="00FF0471" w:rsidRPr="00E0573F" w:rsidRDefault="00FF0471" w:rsidP="00FF0471">
            <w:pPr>
              <w:jc w:val="center"/>
              <w:rPr>
                <w:rFonts w:ascii="Arial" w:hAnsi="Arial" w:cs="Arial"/>
              </w:rPr>
            </w:pPr>
          </w:p>
        </w:tc>
        <w:tc>
          <w:tcPr>
            <w:tcW w:w="1800" w:type="dxa"/>
            <w:vMerge/>
            <w:vAlign w:val="center"/>
          </w:tcPr>
          <w:p w14:paraId="68CCBB27" w14:textId="77777777" w:rsidR="00FF0471" w:rsidRPr="00E0573F" w:rsidRDefault="00FF0471" w:rsidP="00FF0471">
            <w:pPr>
              <w:jc w:val="center"/>
              <w:rPr>
                <w:rFonts w:ascii="Arial" w:hAnsi="Arial" w:cs="Arial"/>
              </w:rPr>
            </w:pPr>
          </w:p>
        </w:tc>
        <w:tc>
          <w:tcPr>
            <w:tcW w:w="900" w:type="dxa"/>
            <w:vMerge/>
            <w:vAlign w:val="center"/>
          </w:tcPr>
          <w:p w14:paraId="1134AF52" w14:textId="77777777" w:rsidR="00FF0471" w:rsidRPr="00E0573F" w:rsidRDefault="00FF0471" w:rsidP="00FF0471">
            <w:pPr>
              <w:jc w:val="center"/>
              <w:rPr>
                <w:rFonts w:ascii="Arial" w:hAnsi="Arial" w:cs="Arial"/>
              </w:rPr>
            </w:pPr>
          </w:p>
        </w:tc>
      </w:tr>
    </w:tbl>
    <w:p w14:paraId="240C7290" w14:textId="77777777" w:rsidR="00AC10B6" w:rsidRPr="00E0573F" w:rsidRDefault="00AC10B6" w:rsidP="00AC10B6">
      <w:pPr>
        <w:pStyle w:val="NormalWeb"/>
        <w:spacing w:after="0" w:afterAutospacing="0"/>
        <w:jc w:val="both"/>
        <w:rPr>
          <w:rFonts w:ascii="Arial" w:hAnsi="Arial" w:cs="Arial"/>
          <w:sz w:val="20"/>
          <w:szCs w:val="20"/>
        </w:rPr>
      </w:pPr>
      <w:r w:rsidRPr="00E0573F">
        <w:rPr>
          <w:rFonts w:ascii="Arial" w:hAnsi="Arial" w:cs="Arial"/>
          <w:sz w:val="20"/>
          <w:szCs w:val="20"/>
        </w:rPr>
        <w:lastRenderedPageBreak/>
        <w:t>The null hypothesis (H₀₁) stated that there was no significant relationship between socio-demographic factors and tuberculosis infection among high-risk populations in Makurdi LGA. The results in Table 7 led to the rejection of this null hypothesis, as all the socio-demographic variables examined were reported as significantly associated with TB infection (p &lt; 0.05).</w:t>
      </w:r>
    </w:p>
    <w:p w14:paraId="0C93C75F" w14:textId="77777777" w:rsidR="00AC10B6" w:rsidRPr="00E0573F" w:rsidRDefault="00AC10B6" w:rsidP="00AC10B6">
      <w:pPr>
        <w:pStyle w:val="NormalWeb"/>
        <w:spacing w:after="0" w:afterAutospacing="0"/>
        <w:jc w:val="both"/>
        <w:rPr>
          <w:rFonts w:ascii="Arial" w:hAnsi="Arial" w:cs="Arial"/>
          <w:sz w:val="20"/>
          <w:szCs w:val="20"/>
        </w:rPr>
      </w:pPr>
      <w:r w:rsidRPr="00E0573F">
        <w:rPr>
          <w:rFonts w:ascii="Arial" w:hAnsi="Arial" w:cs="Arial"/>
          <w:sz w:val="20"/>
          <w:szCs w:val="20"/>
        </w:rPr>
        <w:t>Age group showed a significant protective effect for younger participants (&lt;30 years) (χ² = 6.88, COR = 0.39, 95% CI: 0.23–0.66, p = 0.032), indicating that older individuals were at higher risk of TB. Sex was significantly associated with TB infection (χ² = 7.24, COR = 1.81, 95% CI: 1.12–2.94, p = 0.007), with males being approximately 1.8 times more likely to contract TB than females. Educational level showed a significant relationship (χ² = 12.11, COR = 1.22, 95% CI: 0.74–2.01, p = 0.007), suggesting that participants with lower educational attainment had higher odds of infection. Monthly income was also significant (χ² = 9.82, COR = 1.98, 95% CI: 1.18–3.32, p = 0.007), indicating that individuals earning less than ₦50,000 per month were approximately twice as likely to be infected with TB as higher-income earners.</w:t>
      </w:r>
    </w:p>
    <w:p w14:paraId="1C543ED0" w14:textId="77777777" w:rsidR="00AC10B6" w:rsidRPr="00E0573F" w:rsidRDefault="00AC10B6" w:rsidP="00AC10B6">
      <w:pPr>
        <w:pStyle w:val="NormalWeb"/>
        <w:spacing w:after="0" w:afterAutospacing="0"/>
        <w:jc w:val="both"/>
        <w:rPr>
          <w:rFonts w:ascii="Arial" w:hAnsi="Arial" w:cs="Arial"/>
          <w:sz w:val="20"/>
          <w:szCs w:val="20"/>
        </w:rPr>
      </w:pPr>
      <w:r w:rsidRPr="00E0573F">
        <w:rPr>
          <w:rFonts w:ascii="Arial" w:hAnsi="Arial" w:cs="Arial"/>
          <w:sz w:val="20"/>
          <w:szCs w:val="20"/>
        </w:rPr>
        <w:t>Because all the socio-demographic variables examined had reported p-values below 0.05, the null hypothesis (H₀₁) was rejected. This indicates a statistically significant relationship between socio-demographic factors and tuberculosis infection among high-risk populations in Makurdi LGA. These findings suggest that age, sex, educational level, and income play important roles in determining vulnerability to tuberculosis in the study area.</w:t>
      </w:r>
    </w:p>
    <w:p w14:paraId="66FA66FC" w14:textId="77777777" w:rsidR="00AC10B6" w:rsidRPr="00E0573F" w:rsidRDefault="00AC10B6" w:rsidP="00FF0471">
      <w:pPr>
        <w:pStyle w:val="NormalWeb"/>
        <w:spacing w:before="0" w:beforeAutospacing="0" w:after="0" w:afterAutospacing="0"/>
        <w:jc w:val="both"/>
        <w:rPr>
          <w:rFonts w:ascii="Arial" w:hAnsi="Arial" w:cs="Arial"/>
          <w:sz w:val="20"/>
          <w:szCs w:val="20"/>
        </w:rPr>
      </w:pPr>
    </w:p>
    <w:p w14:paraId="2F4DBEF2" w14:textId="77777777" w:rsidR="00FF0471" w:rsidRPr="00E0573F" w:rsidRDefault="00FF0471" w:rsidP="00FF0471">
      <w:pPr>
        <w:pStyle w:val="NormalWeb"/>
        <w:spacing w:before="0" w:beforeAutospacing="0" w:after="0" w:afterAutospacing="0"/>
        <w:jc w:val="both"/>
        <w:rPr>
          <w:rFonts w:ascii="Arial" w:hAnsi="Arial" w:cs="Arial"/>
          <w:sz w:val="20"/>
          <w:szCs w:val="20"/>
        </w:rPr>
      </w:pPr>
      <w:r w:rsidRPr="00E0573F">
        <w:rPr>
          <w:rFonts w:ascii="Arial" w:hAnsi="Arial" w:cs="Arial"/>
          <w:sz w:val="20"/>
          <w:szCs w:val="20"/>
        </w:rPr>
        <w:t>Tables 8 and 9 present the results of the chi-square analyses examining the associations between environmental and behavioural risk factors and tuberculosis (TB) infection among high-risk populations in Makurdi Local Government Area. This analysis was conducted to test the second null hypothesis, stated as follows:</w:t>
      </w:r>
    </w:p>
    <w:p w14:paraId="54A304E2" w14:textId="77777777" w:rsidR="00FF0471" w:rsidRPr="00E0573F" w:rsidRDefault="00FF0471" w:rsidP="00FF0471">
      <w:pPr>
        <w:pStyle w:val="NormalWeb"/>
        <w:spacing w:before="0" w:beforeAutospacing="0" w:after="0" w:afterAutospacing="0"/>
        <w:jc w:val="both"/>
        <w:rPr>
          <w:rFonts w:ascii="Arial" w:hAnsi="Arial" w:cs="Arial"/>
          <w:sz w:val="20"/>
          <w:szCs w:val="20"/>
        </w:rPr>
      </w:pPr>
      <w:r w:rsidRPr="00E0573F">
        <w:rPr>
          <w:rFonts w:ascii="Arial" w:hAnsi="Arial" w:cs="Arial"/>
          <w:sz w:val="20"/>
          <w:szCs w:val="20"/>
        </w:rPr>
        <w:t xml:space="preserve">H₀₂: </w:t>
      </w:r>
      <w:r w:rsidRPr="00E0573F">
        <w:rPr>
          <w:rFonts w:ascii="Arial" w:hAnsi="Arial" w:cs="Arial"/>
          <w:i/>
          <w:sz w:val="20"/>
          <w:szCs w:val="20"/>
        </w:rPr>
        <w:t>There is no significant association between environmental and behavioural risk factors (e.g. overcrowding and smoking) and TB infection.</w:t>
      </w:r>
    </w:p>
    <w:p w14:paraId="0CFF2A12" w14:textId="77777777" w:rsidR="00FF0471" w:rsidRPr="00E0573F" w:rsidRDefault="00FF0471" w:rsidP="00FF0471">
      <w:pPr>
        <w:pStyle w:val="NormalWeb"/>
        <w:spacing w:before="0" w:beforeAutospacing="0" w:after="0" w:afterAutospacing="0"/>
        <w:jc w:val="both"/>
        <w:rPr>
          <w:rFonts w:ascii="Arial" w:hAnsi="Arial" w:cs="Arial"/>
          <w:sz w:val="20"/>
          <w:szCs w:val="20"/>
        </w:rPr>
      </w:pPr>
      <w:r w:rsidRPr="00E0573F">
        <w:rPr>
          <w:rFonts w:ascii="Arial" w:hAnsi="Arial" w:cs="Arial"/>
          <w:sz w:val="20"/>
          <w:szCs w:val="20"/>
        </w:rPr>
        <w:t>The environmental factors assessed included overcrowding, ventilation, lighting, and cooking-fuel type, while the behavioural factors included smoking history, alcohol consumption, meals consumed per day, and drug use. The chi-square (χ²) test was conducted at the 5% level of significance.</w:t>
      </w:r>
    </w:p>
    <w:p w14:paraId="33FDB175" w14:textId="77777777" w:rsidR="00FF0471" w:rsidRPr="00E0573F" w:rsidRDefault="00FF0471" w:rsidP="00FF0471">
      <w:pPr>
        <w:jc w:val="both"/>
        <w:rPr>
          <w:rFonts w:ascii="Arial" w:hAnsi="Arial" w:cs="Arial"/>
          <w:b/>
        </w:rPr>
      </w:pPr>
      <w:r w:rsidRPr="00E0573F">
        <w:rPr>
          <w:rFonts w:ascii="Arial" w:hAnsi="Arial" w:cs="Arial"/>
          <w:b/>
        </w:rPr>
        <w:t>Table 8: Chi-Square Test Result for Environmental Risk Factors of Tuberculosis</w:t>
      </w:r>
    </w:p>
    <w:tbl>
      <w:tblPr>
        <w:tblStyle w:val="TableGrid"/>
        <w:tblW w:w="9540" w:type="dxa"/>
        <w:tblInd w:w="-342"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20"/>
        <w:gridCol w:w="1350"/>
        <w:gridCol w:w="1350"/>
        <w:gridCol w:w="1440"/>
        <w:gridCol w:w="900"/>
        <w:gridCol w:w="1800"/>
        <w:gridCol w:w="1080"/>
      </w:tblGrid>
      <w:tr w:rsidR="00FF0471" w:rsidRPr="00E0573F" w14:paraId="0971E978" w14:textId="77777777" w:rsidTr="00FF0471">
        <w:tc>
          <w:tcPr>
            <w:tcW w:w="1620" w:type="dxa"/>
            <w:tcBorders>
              <w:top w:val="single" w:sz="4" w:space="0" w:color="auto"/>
              <w:bottom w:val="single" w:sz="4" w:space="0" w:color="auto"/>
            </w:tcBorders>
            <w:vAlign w:val="center"/>
          </w:tcPr>
          <w:p w14:paraId="268DA2D5" w14:textId="77777777" w:rsidR="00FF0471" w:rsidRPr="00E0573F" w:rsidRDefault="00FF0471" w:rsidP="00FF0471">
            <w:pPr>
              <w:jc w:val="center"/>
              <w:rPr>
                <w:rFonts w:ascii="Arial" w:hAnsi="Arial" w:cs="Arial"/>
                <w:b/>
                <w:bCs/>
              </w:rPr>
            </w:pPr>
            <w:r w:rsidRPr="00E0573F">
              <w:rPr>
                <w:rFonts w:ascii="Arial" w:hAnsi="Arial" w:cs="Arial"/>
                <w:b/>
                <w:bCs/>
              </w:rPr>
              <w:t>Variable</w:t>
            </w:r>
          </w:p>
        </w:tc>
        <w:tc>
          <w:tcPr>
            <w:tcW w:w="1350" w:type="dxa"/>
            <w:tcBorders>
              <w:top w:val="single" w:sz="4" w:space="0" w:color="auto"/>
              <w:bottom w:val="single" w:sz="4" w:space="0" w:color="auto"/>
            </w:tcBorders>
            <w:vAlign w:val="center"/>
          </w:tcPr>
          <w:p w14:paraId="22AC8A3D" w14:textId="77777777" w:rsidR="00FF0471" w:rsidRPr="00E0573F" w:rsidRDefault="00FF0471" w:rsidP="00FF0471">
            <w:pPr>
              <w:jc w:val="center"/>
              <w:rPr>
                <w:rFonts w:ascii="Arial" w:hAnsi="Arial" w:cs="Arial"/>
                <w:b/>
                <w:bCs/>
              </w:rPr>
            </w:pPr>
            <w:r w:rsidRPr="00E0573F">
              <w:rPr>
                <w:rFonts w:ascii="Arial" w:hAnsi="Arial" w:cs="Arial"/>
                <w:b/>
                <w:bCs/>
              </w:rPr>
              <w:t>Category</w:t>
            </w:r>
          </w:p>
        </w:tc>
        <w:tc>
          <w:tcPr>
            <w:tcW w:w="1350" w:type="dxa"/>
            <w:tcBorders>
              <w:top w:val="single" w:sz="4" w:space="0" w:color="auto"/>
              <w:bottom w:val="single" w:sz="4" w:space="0" w:color="auto"/>
            </w:tcBorders>
            <w:vAlign w:val="center"/>
          </w:tcPr>
          <w:p w14:paraId="50401D3A" w14:textId="77777777" w:rsidR="00FF0471" w:rsidRPr="00E0573F" w:rsidRDefault="00FF0471" w:rsidP="00FF0471">
            <w:pPr>
              <w:jc w:val="center"/>
              <w:rPr>
                <w:rFonts w:ascii="Arial" w:hAnsi="Arial" w:cs="Arial"/>
                <w:b/>
                <w:bCs/>
              </w:rPr>
            </w:pPr>
            <w:r w:rsidRPr="00E0573F">
              <w:rPr>
                <w:rFonts w:ascii="Arial" w:hAnsi="Arial" w:cs="Arial"/>
                <w:b/>
                <w:bCs/>
              </w:rPr>
              <w:t>Confirmed</w:t>
            </w:r>
          </w:p>
        </w:tc>
        <w:tc>
          <w:tcPr>
            <w:tcW w:w="1440" w:type="dxa"/>
            <w:tcBorders>
              <w:top w:val="single" w:sz="4" w:space="0" w:color="auto"/>
              <w:bottom w:val="single" w:sz="4" w:space="0" w:color="auto"/>
            </w:tcBorders>
            <w:vAlign w:val="center"/>
          </w:tcPr>
          <w:p w14:paraId="46AE1675" w14:textId="77777777" w:rsidR="00FF0471" w:rsidRPr="00E0573F" w:rsidRDefault="00FF0471" w:rsidP="00FF0471">
            <w:pPr>
              <w:jc w:val="center"/>
              <w:rPr>
                <w:rFonts w:ascii="Arial" w:hAnsi="Arial" w:cs="Arial"/>
                <w:b/>
                <w:bCs/>
              </w:rPr>
            </w:pPr>
            <w:r w:rsidRPr="00E0573F">
              <w:rPr>
                <w:rFonts w:ascii="Arial" w:hAnsi="Arial" w:cs="Arial"/>
                <w:b/>
                <w:bCs/>
              </w:rPr>
              <w:t>Not Confirmed</w:t>
            </w:r>
          </w:p>
        </w:tc>
        <w:tc>
          <w:tcPr>
            <w:tcW w:w="900" w:type="dxa"/>
            <w:tcBorders>
              <w:top w:val="single" w:sz="4" w:space="0" w:color="auto"/>
              <w:bottom w:val="single" w:sz="4" w:space="0" w:color="auto"/>
            </w:tcBorders>
            <w:vAlign w:val="center"/>
          </w:tcPr>
          <w:p w14:paraId="1FA05EEC" w14:textId="77777777" w:rsidR="00FF0471" w:rsidRPr="00E0573F" w:rsidRDefault="00FF0471" w:rsidP="00FF0471">
            <w:pPr>
              <w:jc w:val="center"/>
              <w:rPr>
                <w:rFonts w:ascii="Arial" w:hAnsi="Arial" w:cs="Arial"/>
                <w:b/>
                <w:bCs/>
              </w:rPr>
            </w:pPr>
            <w:r w:rsidRPr="00E0573F">
              <w:rPr>
                <w:rFonts w:ascii="Arial" w:hAnsi="Arial" w:cs="Arial"/>
                <w:b/>
                <w:bCs/>
              </w:rPr>
              <w:t>χ²</w:t>
            </w:r>
          </w:p>
        </w:tc>
        <w:tc>
          <w:tcPr>
            <w:tcW w:w="1800" w:type="dxa"/>
            <w:tcBorders>
              <w:top w:val="single" w:sz="4" w:space="0" w:color="auto"/>
              <w:bottom w:val="single" w:sz="4" w:space="0" w:color="auto"/>
            </w:tcBorders>
            <w:vAlign w:val="center"/>
          </w:tcPr>
          <w:p w14:paraId="66664419" w14:textId="77777777" w:rsidR="00FF0471" w:rsidRPr="00E0573F" w:rsidRDefault="00FF0471" w:rsidP="00FF0471">
            <w:pPr>
              <w:jc w:val="center"/>
              <w:rPr>
                <w:rFonts w:ascii="Arial" w:hAnsi="Arial" w:cs="Arial"/>
                <w:b/>
                <w:bCs/>
              </w:rPr>
            </w:pPr>
            <w:r w:rsidRPr="00E0573F">
              <w:rPr>
                <w:rFonts w:ascii="Arial" w:hAnsi="Arial" w:cs="Arial"/>
                <w:b/>
                <w:bCs/>
              </w:rPr>
              <w:t>COR(95% CI)</w:t>
            </w:r>
          </w:p>
        </w:tc>
        <w:tc>
          <w:tcPr>
            <w:tcW w:w="1080" w:type="dxa"/>
            <w:tcBorders>
              <w:top w:val="single" w:sz="4" w:space="0" w:color="auto"/>
              <w:bottom w:val="single" w:sz="4" w:space="0" w:color="auto"/>
            </w:tcBorders>
            <w:vAlign w:val="center"/>
          </w:tcPr>
          <w:p w14:paraId="7C4F4E0B" w14:textId="77777777" w:rsidR="00FF0471" w:rsidRPr="00E0573F" w:rsidRDefault="00FF0471" w:rsidP="00FF0471">
            <w:pPr>
              <w:jc w:val="center"/>
              <w:rPr>
                <w:rFonts w:ascii="Arial" w:hAnsi="Arial" w:cs="Arial"/>
                <w:b/>
                <w:bCs/>
              </w:rPr>
            </w:pPr>
            <w:r w:rsidRPr="00E0573F">
              <w:rPr>
                <w:rFonts w:ascii="Arial" w:hAnsi="Arial" w:cs="Arial"/>
                <w:b/>
                <w:bCs/>
              </w:rPr>
              <w:t>p-value</w:t>
            </w:r>
          </w:p>
        </w:tc>
      </w:tr>
      <w:tr w:rsidR="00FF0471" w:rsidRPr="00E0573F" w14:paraId="6697B794" w14:textId="77777777" w:rsidTr="00FF0471">
        <w:tc>
          <w:tcPr>
            <w:tcW w:w="1620" w:type="dxa"/>
            <w:vMerge w:val="restart"/>
            <w:tcBorders>
              <w:top w:val="single" w:sz="4" w:space="0" w:color="auto"/>
            </w:tcBorders>
            <w:vAlign w:val="center"/>
          </w:tcPr>
          <w:p w14:paraId="7216629A" w14:textId="77777777" w:rsidR="00FF0471" w:rsidRPr="00E0573F" w:rsidRDefault="00FF0471" w:rsidP="00FF0471">
            <w:pPr>
              <w:jc w:val="center"/>
              <w:rPr>
                <w:rFonts w:ascii="Arial" w:hAnsi="Arial" w:cs="Arial"/>
              </w:rPr>
            </w:pPr>
            <w:r w:rsidRPr="00E0573F">
              <w:rPr>
                <w:rFonts w:ascii="Arial" w:hAnsi="Arial" w:cs="Arial"/>
                <w:bCs/>
              </w:rPr>
              <w:t>Overcrowding</w:t>
            </w:r>
          </w:p>
        </w:tc>
        <w:tc>
          <w:tcPr>
            <w:tcW w:w="1350" w:type="dxa"/>
            <w:tcBorders>
              <w:top w:val="single" w:sz="4" w:space="0" w:color="auto"/>
            </w:tcBorders>
            <w:vAlign w:val="center"/>
          </w:tcPr>
          <w:p w14:paraId="5FD1AF1F" w14:textId="77777777" w:rsidR="00FF0471" w:rsidRPr="00E0573F" w:rsidRDefault="00FF0471" w:rsidP="00FF0471">
            <w:pPr>
              <w:jc w:val="center"/>
              <w:rPr>
                <w:rFonts w:ascii="Arial" w:hAnsi="Arial" w:cs="Arial"/>
              </w:rPr>
            </w:pPr>
            <w:r w:rsidRPr="00E0573F">
              <w:rPr>
                <w:rFonts w:ascii="Arial" w:hAnsi="Arial" w:cs="Arial"/>
              </w:rPr>
              <w:t>Yes</w:t>
            </w:r>
          </w:p>
        </w:tc>
        <w:tc>
          <w:tcPr>
            <w:tcW w:w="1350" w:type="dxa"/>
            <w:tcBorders>
              <w:top w:val="single" w:sz="4" w:space="0" w:color="auto"/>
            </w:tcBorders>
            <w:vAlign w:val="center"/>
          </w:tcPr>
          <w:p w14:paraId="0A3817CD" w14:textId="77777777" w:rsidR="00FF0471" w:rsidRPr="00E0573F" w:rsidRDefault="00FF0471" w:rsidP="00FF0471">
            <w:pPr>
              <w:jc w:val="center"/>
              <w:rPr>
                <w:rFonts w:ascii="Arial" w:hAnsi="Arial" w:cs="Arial"/>
              </w:rPr>
            </w:pPr>
            <w:r w:rsidRPr="00E0573F">
              <w:rPr>
                <w:rFonts w:ascii="Arial" w:hAnsi="Arial" w:cs="Arial"/>
              </w:rPr>
              <w:t>94</w:t>
            </w:r>
          </w:p>
        </w:tc>
        <w:tc>
          <w:tcPr>
            <w:tcW w:w="1440" w:type="dxa"/>
            <w:tcBorders>
              <w:top w:val="single" w:sz="4" w:space="0" w:color="auto"/>
            </w:tcBorders>
            <w:vAlign w:val="center"/>
          </w:tcPr>
          <w:p w14:paraId="24F5B74A" w14:textId="77777777" w:rsidR="00FF0471" w:rsidRPr="00E0573F" w:rsidRDefault="00FF0471" w:rsidP="00FF0471">
            <w:pPr>
              <w:jc w:val="center"/>
              <w:rPr>
                <w:rFonts w:ascii="Arial" w:hAnsi="Arial" w:cs="Arial"/>
              </w:rPr>
            </w:pPr>
            <w:r w:rsidRPr="00E0573F">
              <w:rPr>
                <w:rFonts w:ascii="Arial" w:hAnsi="Arial" w:cs="Arial"/>
              </w:rPr>
              <w:t>26</w:t>
            </w:r>
          </w:p>
        </w:tc>
        <w:tc>
          <w:tcPr>
            <w:tcW w:w="900" w:type="dxa"/>
            <w:vMerge w:val="restart"/>
            <w:tcBorders>
              <w:top w:val="single" w:sz="4" w:space="0" w:color="auto"/>
            </w:tcBorders>
            <w:vAlign w:val="center"/>
          </w:tcPr>
          <w:p w14:paraId="018564FC" w14:textId="77777777" w:rsidR="00FF0471" w:rsidRPr="00E0573F" w:rsidRDefault="00FF0471" w:rsidP="00FF0471">
            <w:pPr>
              <w:jc w:val="center"/>
              <w:rPr>
                <w:rFonts w:ascii="Arial" w:hAnsi="Arial" w:cs="Arial"/>
              </w:rPr>
            </w:pPr>
            <w:r w:rsidRPr="00E0573F">
              <w:rPr>
                <w:rFonts w:ascii="Arial" w:hAnsi="Arial" w:cs="Arial"/>
              </w:rPr>
              <w:t>18.66</w:t>
            </w:r>
          </w:p>
        </w:tc>
        <w:tc>
          <w:tcPr>
            <w:tcW w:w="1800" w:type="dxa"/>
            <w:vMerge w:val="restart"/>
            <w:tcBorders>
              <w:top w:val="single" w:sz="4" w:space="0" w:color="auto"/>
            </w:tcBorders>
            <w:vAlign w:val="center"/>
          </w:tcPr>
          <w:p w14:paraId="757FB584" w14:textId="77777777" w:rsidR="00FF0471" w:rsidRPr="00E0573F" w:rsidRDefault="00FF0471" w:rsidP="00FF0471">
            <w:pPr>
              <w:jc w:val="center"/>
              <w:rPr>
                <w:rFonts w:ascii="Arial" w:hAnsi="Arial" w:cs="Arial"/>
              </w:rPr>
            </w:pPr>
            <w:r w:rsidRPr="00E0573F">
              <w:rPr>
                <w:rFonts w:ascii="Arial" w:hAnsi="Arial" w:cs="Arial"/>
              </w:rPr>
              <w:t>4.34(2.52-7.48)</w:t>
            </w:r>
          </w:p>
        </w:tc>
        <w:tc>
          <w:tcPr>
            <w:tcW w:w="1080" w:type="dxa"/>
            <w:vMerge w:val="restart"/>
            <w:tcBorders>
              <w:top w:val="single" w:sz="4" w:space="0" w:color="auto"/>
            </w:tcBorders>
            <w:vAlign w:val="center"/>
          </w:tcPr>
          <w:p w14:paraId="3F637BF8" w14:textId="77777777" w:rsidR="00FF0471" w:rsidRPr="00E0573F" w:rsidRDefault="00FF0471" w:rsidP="00FF0471">
            <w:pPr>
              <w:jc w:val="center"/>
              <w:rPr>
                <w:rFonts w:ascii="Arial" w:hAnsi="Arial" w:cs="Arial"/>
              </w:rPr>
            </w:pPr>
            <w:r w:rsidRPr="00E0573F">
              <w:rPr>
                <w:rFonts w:ascii="Arial" w:hAnsi="Arial" w:cs="Arial"/>
              </w:rPr>
              <w:t>&lt;0.001</w:t>
            </w:r>
          </w:p>
        </w:tc>
      </w:tr>
      <w:tr w:rsidR="00FF0471" w:rsidRPr="00E0573F" w14:paraId="7F029C32" w14:textId="77777777" w:rsidTr="00FF0471">
        <w:tc>
          <w:tcPr>
            <w:tcW w:w="1620" w:type="dxa"/>
            <w:vMerge/>
            <w:vAlign w:val="center"/>
          </w:tcPr>
          <w:p w14:paraId="656A847A" w14:textId="77777777" w:rsidR="00FF0471" w:rsidRPr="00E0573F" w:rsidRDefault="00FF0471" w:rsidP="00FF0471">
            <w:pPr>
              <w:jc w:val="center"/>
              <w:rPr>
                <w:rFonts w:ascii="Arial" w:hAnsi="Arial" w:cs="Arial"/>
              </w:rPr>
            </w:pPr>
          </w:p>
        </w:tc>
        <w:tc>
          <w:tcPr>
            <w:tcW w:w="1350" w:type="dxa"/>
            <w:vAlign w:val="center"/>
          </w:tcPr>
          <w:p w14:paraId="426922BF" w14:textId="77777777" w:rsidR="00FF0471" w:rsidRPr="00E0573F" w:rsidRDefault="00FF0471" w:rsidP="00FF0471">
            <w:pPr>
              <w:jc w:val="center"/>
              <w:rPr>
                <w:rFonts w:ascii="Arial" w:hAnsi="Arial" w:cs="Arial"/>
              </w:rPr>
            </w:pPr>
            <w:r w:rsidRPr="00E0573F">
              <w:rPr>
                <w:rFonts w:ascii="Arial" w:hAnsi="Arial" w:cs="Arial"/>
              </w:rPr>
              <w:t>No</w:t>
            </w:r>
          </w:p>
        </w:tc>
        <w:tc>
          <w:tcPr>
            <w:tcW w:w="1350" w:type="dxa"/>
            <w:vAlign w:val="center"/>
          </w:tcPr>
          <w:p w14:paraId="5666DED7" w14:textId="77777777" w:rsidR="00FF0471" w:rsidRPr="00E0573F" w:rsidRDefault="00FF0471" w:rsidP="00FF0471">
            <w:pPr>
              <w:jc w:val="center"/>
              <w:rPr>
                <w:rFonts w:ascii="Arial" w:hAnsi="Arial" w:cs="Arial"/>
              </w:rPr>
            </w:pPr>
            <w:r w:rsidRPr="00E0573F">
              <w:rPr>
                <w:rFonts w:ascii="Arial" w:hAnsi="Arial" w:cs="Arial"/>
              </w:rPr>
              <w:t>60</w:t>
            </w:r>
          </w:p>
        </w:tc>
        <w:tc>
          <w:tcPr>
            <w:tcW w:w="1440" w:type="dxa"/>
            <w:vAlign w:val="center"/>
          </w:tcPr>
          <w:p w14:paraId="437FB5B2" w14:textId="77777777" w:rsidR="00FF0471" w:rsidRPr="00E0573F" w:rsidRDefault="00FF0471" w:rsidP="00FF0471">
            <w:pPr>
              <w:jc w:val="center"/>
              <w:rPr>
                <w:rFonts w:ascii="Arial" w:hAnsi="Arial" w:cs="Arial"/>
              </w:rPr>
            </w:pPr>
            <w:r w:rsidRPr="00E0573F">
              <w:rPr>
                <w:rFonts w:ascii="Arial" w:hAnsi="Arial" w:cs="Arial"/>
              </w:rPr>
              <w:t>72</w:t>
            </w:r>
          </w:p>
        </w:tc>
        <w:tc>
          <w:tcPr>
            <w:tcW w:w="900" w:type="dxa"/>
            <w:vMerge/>
            <w:vAlign w:val="center"/>
          </w:tcPr>
          <w:p w14:paraId="156A5478" w14:textId="77777777" w:rsidR="00FF0471" w:rsidRPr="00E0573F" w:rsidRDefault="00FF0471" w:rsidP="00FF0471">
            <w:pPr>
              <w:jc w:val="center"/>
              <w:rPr>
                <w:rFonts w:ascii="Arial" w:hAnsi="Arial" w:cs="Arial"/>
              </w:rPr>
            </w:pPr>
          </w:p>
        </w:tc>
        <w:tc>
          <w:tcPr>
            <w:tcW w:w="1800" w:type="dxa"/>
            <w:vMerge/>
            <w:vAlign w:val="center"/>
          </w:tcPr>
          <w:p w14:paraId="2B373B2A" w14:textId="77777777" w:rsidR="00FF0471" w:rsidRPr="00E0573F" w:rsidRDefault="00FF0471" w:rsidP="00FF0471">
            <w:pPr>
              <w:jc w:val="center"/>
              <w:rPr>
                <w:rFonts w:ascii="Arial" w:hAnsi="Arial" w:cs="Arial"/>
              </w:rPr>
            </w:pPr>
          </w:p>
        </w:tc>
        <w:tc>
          <w:tcPr>
            <w:tcW w:w="1080" w:type="dxa"/>
            <w:vMerge/>
            <w:vAlign w:val="center"/>
          </w:tcPr>
          <w:p w14:paraId="00E57D3F" w14:textId="77777777" w:rsidR="00FF0471" w:rsidRPr="00E0573F" w:rsidRDefault="00FF0471" w:rsidP="00FF0471">
            <w:pPr>
              <w:jc w:val="center"/>
              <w:rPr>
                <w:rFonts w:ascii="Arial" w:hAnsi="Arial" w:cs="Arial"/>
              </w:rPr>
            </w:pPr>
          </w:p>
        </w:tc>
      </w:tr>
      <w:tr w:rsidR="00FF0471" w:rsidRPr="00E0573F" w14:paraId="4099578A" w14:textId="77777777" w:rsidTr="00FF0471">
        <w:tc>
          <w:tcPr>
            <w:tcW w:w="1620" w:type="dxa"/>
            <w:vMerge w:val="restart"/>
            <w:vAlign w:val="center"/>
          </w:tcPr>
          <w:p w14:paraId="222F20DB" w14:textId="77777777" w:rsidR="00FF0471" w:rsidRPr="00E0573F" w:rsidRDefault="00FF0471" w:rsidP="00FF0471">
            <w:pPr>
              <w:jc w:val="center"/>
              <w:rPr>
                <w:rFonts w:ascii="Arial" w:hAnsi="Arial" w:cs="Arial"/>
              </w:rPr>
            </w:pPr>
            <w:r w:rsidRPr="00E0573F">
              <w:rPr>
                <w:rFonts w:ascii="Arial" w:hAnsi="Arial" w:cs="Arial"/>
                <w:bCs/>
              </w:rPr>
              <w:t>Ventilation</w:t>
            </w:r>
          </w:p>
        </w:tc>
        <w:tc>
          <w:tcPr>
            <w:tcW w:w="1350" w:type="dxa"/>
            <w:vAlign w:val="center"/>
          </w:tcPr>
          <w:p w14:paraId="050C25CA" w14:textId="77777777" w:rsidR="00FF0471" w:rsidRPr="00E0573F" w:rsidRDefault="00FF0471" w:rsidP="00FF0471">
            <w:pPr>
              <w:jc w:val="center"/>
              <w:rPr>
                <w:rFonts w:ascii="Arial" w:hAnsi="Arial" w:cs="Arial"/>
              </w:rPr>
            </w:pPr>
            <w:r w:rsidRPr="00E0573F">
              <w:rPr>
                <w:rFonts w:ascii="Arial" w:hAnsi="Arial" w:cs="Arial"/>
              </w:rPr>
              <w:t>Adequate</w:t>
            </w:r>
          </w:p>
        </w:tc>
        <w:tc>
          <w:tcPr>
            <w:tcW w:w="1350" w:type="dxa"/>
            <w:vAlign w:val="center"/>
          </w:tcPr>
          <w:p w14:paraId="3E125AA6" w14:textId="77777777" w:rsidR="00FF0471" w:rsidRPr="00E0573F" w:rsidRDefault="00FF0471" w:rsidP="00FF0471">
            <w:pPr>
              <w:jc w:val="center"/>
              <w:rPr>
                <w:rFonts w:ascii="Arial" w:hAnsi="Arial" w:cs="Arial"/>
              </w:rPr>
            </w:pPr>
            <w:r w:rsidRPr="00E0573F">
              <w:rPr>
                <w:rFonts w:ascii="Arial" w:hAnsi="Arial" w:cs="Arial"/>
              </w:rPr>
              <w:t>48</w:t>
            </w:r>
          </w:p>
        </w:tc>
        <w:tc>
          <w:tcPr>
            <w:tcW w:w="1440" w:type="dxa"/>
            <w:vAlign w:val="center"/>
          </w:tcPr>
          <w:p w14:paraId="612C68D8" w14:textId="77777777" w:rsidR="00FF0471" w:rsidRPr="00E0573F" w:rsidRDefault="00FF0471" w:rsidP="00FF0471">
            <w:pPr>
              <w:jc w:val="center"/>
              <w:rPr>
                <w:rFonts w:ascii="Arial" w:hAnsi="Arial" w:cs="Arial"/>
              </w:rPr>
            </w:pPr>
            <w:r w:rsidRPr="00E0573F">
              <w:rPr>
                <w:rFonts w:ascii="Arial" w:hAnsi="Arial" w:cs="Arial"/>
              </w:rPr>
              <w:t>63</w:t>
            </w:r>
          </w:p>
        </w:tc>
        <w:tc>
          <w:tcPr>
            <w:tcW w:w="900" w:type="dxa"/>
            <w:vMerge w:val="restart"/>
            <w:vAlign w:val="center"/>
          </w:tcPr>
          <w:p w14:paraId="7FBF1ECD" w14:textId="77777777" w:rsidR="00FF0471" w:rsidRPr="00E0573F" w:rsidRDefault="00FF0471" w:rsidP="00FF0471">
            <w:pPr>
              <w:jc w:val="center"/>
              <w:rPr>
                <w:rFonts w:ascii="Arial" w:hAnsi="Arial" w:cs="Arial"/>
              </w:rPr>
            </w:pPr>
            <w:r w:rsidRPr="00E0573F">
              <w:rPr>
                <w:rFonts w:ascii="Arial" w:hAnsi="Arial" w:cs="Arial"/>
              </w:rPr>
              <w:t>22.41</w:t>
            </w:r>
          </w:p>
        </w:tc>
        <w:tc>
          <w:tcPr>
            <w:tcW w:w="1800" w:type="dxa"/>
            <w:vMerge w:val="restart"/>
            <w:vAlign w:val="center"/>
          </w:tcPr>
          <w:p w14:paraId="620D93BC" w14:textId="77777777" w:rsidR="00FF0471" w:rsidRPr="00E0573F" w:rsidRDefault="00FF0471" w:rsidP="00FF0471">
            <w:pPr>
              <w:jc w:val="center"/>
              <w:rPr>
                <w:rFonts w:ascii="Arial" w:hAnsi="Arial" w:cs="Arial"/>
              </w:rPr>
            </w:pPr>
            <w:r w:rsidRPr="00E0573F">
              <w:rPr>
                <w:rFonts w:ascii="Arial" w:hAnsi="Arial" w:cs="Arial"/>
              </w:rPr>
              <w:t xml:space="preserve">3.97(2.33-6.77) </w:t>
            </w:r>
          </w:p>
        </w:tc>
        <w:tc>
          <w:tcPr>
            <w:tcW w:w="1080" w:type="dxa"/>
            <w:vMerge w:val="restart"/>
            <w:vAlign w:val="center"/>
          </w:tcPr>
          <w:p w14:paraId="3DE9777A" w14:textId="77777777" w:rsidR="00FF0471" w:rsidRPr="00E0573F" w:rsidRDefault="00FF0471" w:rsidP="00FF0471">
            <w:pPr>
              <w:jc w:val="center"/>
              <w:rPr>
                <w:rFonts w:ascii="Arial" w:hAnsi="Arial" w:cs="Arial"/>
              </w:rPr>
            </w:pPr>
            <w:r w:rsidRPr="00E0573F">
              <w:rPr>
                <w:rFonts w:ascii="Arial" w:hAnsi="Arial" w:cs="Arial"/>
              </w:rPr>
              <w:t>&lt;0.001</w:t>
            </w:r>
          </w:p>
        </w:tc>
      </w:tr>
      <w:tr w:rsidR="00FF0471" w:rsidRPr="00E0573F" w14:paraId="2C22A060" w14:textId="77777777" w:rsidTr="00FF0471">
        <w:tc>
          <w:tcPr>
            <w:tcW w:w="1620" w:type="dxa"/>
            <w:vMerge/>
            <w:vAlign w:val="center"/>
          </w:tcPr>
          <w:p w14:paraId="55C02944" w14:textId="77777777" w:rsidR="00FF0471" w:rsidRPr="00E0573F" w:rsidRDefault="00FF0471" w:rsidP="00FF0471">
            <w:pPr>
              <w:jc w:val="center"/>
              <w:rPr>
                <w:rFonts w:ascii="Arial" w:hAnsi="Arial" w:cs="Arial"/>
              </w:rPr>
            </w:pPr>
          </w:p>
        </w:tc>
        <w:tc>
          <w:tcPr>
            <w:tcW w:w="1350" w:type="dxa"/>
            <w:vAlign w:val="center"/>
          </w:tcPr>
          <w:p w14:paraId="47FBF144" w14:textId="77777777" w:rsidR="00FF0471" w:rsidRPr="00E0573F" w:rsidRDefault="00FF0471" w:rsidP="00FF0471">
            <w:pPr>
              <w:jc w:val="center"/>
              <w:rPr>
                <w:rFonts w:ascii="Arial" w:hAnsi="Arial" w:cs="Arial"/>
              </w:rPr>
            </w:pPr>
            <w:r w:rsidRPr="00E0573F">
              <w:rPr>
                <w:rFonts w:ascii="Arial" w:hAnsi="Arial" w:cs="Arial"/>
              </w:rPr>
              <w:t>Inadequate</w:t>
            </w:r>
          </w:p>
        </w:tc>
        <w:tc>
          <w:tcPr>
            <w:tcW w:w="1350" w:type="dxa"/>
            <w:vAlign w:val="center"/>
          </w:tcPr>
          <w:p w14:paraId="27639632" w14:textId="77777777" w:rsidR="00FF0471" w:rsidRPr="00E0573F" w:rsidRDefault="00FF0471" w:rsidP="00FF0471">
            <w:pPr>
              <w:jc w:val="center"/>
              <w:rPr>
                <w:rFonts w:ascii="Arial" w:hAnsi="Arial" w:cs="Arial"/>
              </w:rPr>
            </w:pPr>
            <w:r w:rsidRPr="00E0573F">
              <w:rPr>
                <w:rFonts w:ascii="Arial" w:hAnsi="Arial" w:cs="Arial"/>
              </w:rPr>
              <w:t>106</w:t>
            </w:r>
          </w:p>
        </w:tc>
        <w:tc>
          <w:tcPr>
            <w:tcW w:w="1440" w:type="dxa"/>
            <w:vAlign w:val="center"/>
          </w:tcPr>
          <w:p w14:paraId="3285C37F" w14:textId="77777777" w:rsidR="00FF0471" w:rsidRPr="00E0573F" w:rsidRDefault="00FF0471" w:rsidP="00FF0471">
            <w:pPr>
              <w:jc w:val="center"/>
              <w:rPr>
                <w:rFonts w:ascii="Arial" w:hAnsi="Arial" w:cs="Arial"/>
              </w:rPr>
            </w:pPr>
            <w:r w:rsidRPr="00E0573F">
              <w:rPr>
                <w:rFonts w:ascii="Arial" w:hAnsi="Arial" w:cs="Arial"/>
              </w:rPr>
              <w:t>35</w:t>
            </w:r>
          </w:p>
        </w:tc>
        <w:tc>
          <w:tcPr>
            <w:tcW w:w="900" w:type="dxa"/>
            <w:vMerge/>
            <w:vAlign w:val="center"/>
          </w:tcPr>
          <w:p w14:paraId="50A9B5FA" w14:textId="77777777" w:rsidR="00FF0471" w:rsidRPr="00E0573F" w:rsidRDefault="00FF0471" w:rsidP="00FF0471">
            <w:pPr>
              <w:jc w:val="center"/>
              <w:rPr>
                <w:rFonts w:ascii="Arial" w:hAnsi="Arial" w:cs="Arial"/>
              </w:rPr>
            </w:pPr>
          </w:p>
        </w:tc>
        <w:tc>
          <w:tcPr>
            <w:tcW w:w="1800" w:type="dxa"/>
            <w:vMerge/>
            <w:vAlign w:val="center"/>
          </w:tcPr>
          <w:p w14:paraId="19B725AB" w14:textId="77777777" w:rsidR="00FF0471" w:rsidRPr="00E0573F" w:rsidRDefault="00FF0471" w:rsidP="00FF0471">
            <w:pPr>
              <w:jc w:val="center"/>
              <w:rPr>
                <w:rFonts w:ascii="Arial" w:hAnsi="Arial" w:cs="Arial"/>
              </w:rPr>
            </w:pPr>
          </w:p>
        </w:tc>
        <w:tc>
          <w:tcPr>
            <w:tcW w:w="1080" w:type="dxa"/>
            <w:vMerge/>
            <w:vAlign w:val="center"/>
          </w:tcPr>
          <w:p w14:paraId="222CCF8A" w14:textId="77777777" w:rsidR="00FF0471" w:rsidRPr="00E0573F" w:rsidRDefault="00FF0471" w:rsidP="00FF0471">
            <w:pPr>
              <w:jc w:val="center"/>
              <w:rPr>
                <w:rFonts w:ascii="Arial" w:hAnsi="Arial" w:cs="Arial"/>
              </w:rPr>
            </w:pPr>
          </w:p>
        </w:tc>
      </w:tr>
      <w:tr w:rsidR="00FF0471" w:rsidRPr="00E0573F" w14:paraId="5C62C8CB" w14:textId="77777777" w:rsidTr="00FF0471">
        <w:tc>
          <w:tcPr>
            <w:tcW w:w="1620" w:type="dxa"/>
            <w:vMerge w:val="restart"/>
            <w:vAlign w:val="center"/>
          </w:tcPr>
          <w:p w14:paraId="476F420A" w14:textId="77777777" w:rsidR="00FF0471" w:rsidRPr="00E0573F" w:rsidRDefault="00FF0471" w:rsidP="00FF0471">
            <w:pPr>
              <w:jc w:val="center"/>
              <w:rPr>
                <w:rFonts w:ascii="Arial" w:hAnsi="Arial" w:cs="Arial"/>
              </w:rPr>
            </w:pPr>
            <w:r w:rsidRPr="00E0573F">
              <w:rPr>
                <w:rFonts w:ascii="Arial" w:hAnsi="Arial" w:cs="Arial"/>
                <w:bCs/>
              </w:rPr>
              <w:t>Lighting Status</w:t>
            </w:r>
          </w:p>
        </w:tc>
        <w:tc>
          <w:tcPr>
            <w:tcW w:w="1350" w:type="dxa"/>
            <w:vAlign w:val="center"/>
          </w:tcPr>
          <w:p w14:paraId="12455832" w14:textId="77777777" w:rsidR="00FF0471" w:rsidRPr="00E0573F" w:rsidRDefault="00FF0471" w:rsidP="00FF0471">
            <w:pPr>
              <w:jc w:val="center"/>
              <w:rPr>
                <w:rFonts w:ascii="Arial" w:hAnsi="Arial" w:cs="Arial"/>
              </w:rPr>
            </w:pPr>
            <w:r w:rsidRPr="00E0573F">
              <w:rPr>
                <w:rFonts w:ascii="Arial" w:hAnsi="Arial" w:cs="Arial"/>
              </w:rPr>
              <w:t>Good</w:t>
            </w:r>
          </w:p>
        </w:tc>
        <w:tc>
          <w:tcPr>
            <w:tcW w:w="1350" w:type="dxa"/>
            <w:vAlign w:val="center"/>
          </w:tcPr>
          <w:p w14:paraId="0955327C" w14:textId="77777777" w:rsidR="00FF0471" w:rsidRPr="00E0573F" w:rsidRDefault="00FF0471" w:rsidP="00FF0471">
            <w:pPr>
              <w:jc w:val="center"/>
              <w:rPr>
                <w:rFonts w:ascii="Arial" w:hAnsi="Arial" w:cs="Arial"/>
              </w:rPr>
            </w:pPr>
            <w:r w:rsidRPr="00E0573F">
              <w:rPr>
                <w:rFonts w:ascii="Arial" w:hAnsi="Arial" w:cs="Arial"/>
              </w:rPr>
              <w:t>61</w:t>
            </w:r>
          </w:p>
        </w:tc>
        <w:tc>
          <w:tcPr>
            <w:tcW w:w="1440" w:type="dxa"/>
            <w:vAlign w:val="center"/>
          </w:tcPr>
          <w:p w14:paraId="247E7AFE" w14:textId="77777777" w:rsidR="00FF0471" w:rsidRPr="00E0573F" w:rsidRDefault="00FF0471" w:rsidP="00FF0471">
            <w:pPr>
              <w:jc w:val="center"/>
              <w:rPr>
                <w:rFonts w:ascii="Arial" w:hAnsi="Arial" w:cs="Arial"/>
              </w:rPr>
            </w:pPr>
            <w:r w:rsidRPr="00E0573F">
              <w:rPr>
                <w:rFonts w:ascii="Arial" w:hAnsi="Arial" w:cs="Arial"/>
              </w:rPr>
              <w:t>70</w:t>
            </w:r>
          </w:p>
        </w:tc>
        <w:tc>
          <w:tcPr>
            <w:tcW w:w="900" w:type="dxa"/>
            <w:vMerge w:val="restart"/>
            <w:vAlign w:val="center"/>
          </w:tcPr>
          <w:p w14:paraId="234121BD" w14:textId="77777777" w:rsidR="00FF0471" w:rsidRPr="00E0573F" w:rsidRDefault="00FF0471" w:rsidP="00FF0471">
            <w:pPr>
              <w:jc w:val="center"/>
              <w:rPr>
                <w:rFonts w:ascii="Arial" w:hAnsi="Arial" w:cs="Arial"/>
              </w:rPr>
            </w:pPr>
            <w:r w:rsidRPr="00E0573F">
              <w:rPr>
                <w:rFonts w:ascii="Arial" w:hAnsi="Arial" w:cs="Arial"/>
              </w:rPr>
              <w:t>26.88</w:t>
            </w:r>
          </w:p>
        </w:tc>
        <w:tc>
          <w:tcPr>
            <w:tcW w:w="1800" w:type="dxa"/>
            <w:vMerge w:val="restart"/>
            <w:vAlign w:val="center"/>
          </w:tcPr>
          <w:p w14:paraId="14B823BC" w14:textId="77777777" w:rsidR="00FF0471" w:rsidRPr="00E0573F" w:rsidRDefault="00FF0471" w:rsidP="00FF0471">
            <w:pPr>
              <w:jc w:val="center"/>
              <w:rPr>
                <w:rFonts w:ascii="Arial" w:hAnsi="Arial" w:cs="Arial"/>
              </w:rPr>
            </w:pPr>
            <w:r w:rsidRPr="00E0573F">
              <w:rPr>
                <w:rFonts w:ascii="Arial" w:hAnsi="Arial" w:cs="Arial"/>
              </w:rPr>
              <w:t>3.18(2.24-6.48)</w:t>
            </w:r>
          </w:p>
        </w:tc>
        <w:tc>
          <w:tcPr>
            <w:tcW w:w="1080" w:type="dxa"/>
            <w:vMerge w:val="restart"/>
            <w:vAlign w:val="center"/>
          </w:tcPr>
          <w:p w14:paraId="773F8F20" w14:textId="77777777" w:rsidR="00FF0471" w:rsidRPr="00E0573F" w:rsidRDefault="00FF0471" w:rsidP="00FF0471">
            <w:pPr>
              <w:jc w:val="center"/>
              <w:rPr>
                <w:rFonts w:ascii="Arial" w:hAnsi="Arial" w:cs="Arial"/>
              </w:rPr>
            </w:pPr>
            <w:r w:rsidRPr="00E0573F">
              <w:rPr>
                <w:rFonts w:ascii="Arial" w:hAnsi="Arial" w:cs="Arial"/>
              </w:rPr>
              <w:t>&lt;0.001</w:t>
            </w:r>
          </w:p>
        </w:tc>
      </w:tr>
      <w:tr w:rsidR="00FF0471" w:rsidRPr="00E0573F" w14:paraId="051F0AF1" w14:textId="77777777" w:rsidTr="00FF0471">
        <w:tc>
          <w:tcPr>
            <w:tcW w:w="1620" w:type="dxa"/>
            <w:vMerge/>
            <w:vAlign w:val="center"/>
          </w:tcPr>
          <w:p w14:paraId="54BDEB7C" w14:textId="77777777" w:rsidR="00FF0471" w:rsidRPr="00E0573F" w:rsidRDefault="00FF0471" w:rsidP="00FF0471">
            <w:pPr>
              <w:jc w:val="center"/>
              <w:rPr>
                <w:rFonts w:ascii="Arial" w:hAnsi="Arial" w:cs="Arial"/>
              </w:rPr>
            </w:pPr>
          </w:p>
        </w:tc>
        <w:tc>
          <w:tcPr>
            <w:tcW w:w="1350" w:type="dxa"/>
            <w:vAlign w:val="center"/>
          </w:tcPr>
          <w:p w14:paraId="14FFE8CA" w14:textId="77777777" w:rsidR="00FF0471" w:rsidRPr="00E0573F" w:rsidRDefault="00FF0471" w:rsidP="00FF0471">
            <w:pPr>
              <w:jc w:val="center"/>
              <w:rPr>
                <w:rFonts w:ascii="Arial" w:hAnsi="Arial" w:cs="Arial"/>
              </w:rPr>
            </w:pPr>
            <w:r w:rsidRPr="00E0573F">
              <w:rPr>
                <w:rFonts w:ascii="Arial" w:hAnsi="Arial" w:cs="Arial"/>
              </w:rPr>
              <w:t>Poor</w:t>
            </w:r>
          </w:p>
        </w:tc>
        <w:tc>
          <w:tcPr>
            <w:tcW w:w="1350" w:type="dxa"/>
            <w:vAlign w:val="center"/>
          </w:tcPr>
          <w:p w14:paraId="389240B6" w14:textId="77777777" w:rsidR="00FF0471" w:rsidRPr="00E0573F" w:rsidRDefault="00FF0471" w:rsidP="00FF0471">
            <w:pPr>
              <w:jc w:val="center"/>
              <w:rPr>
                <w:rFonts w:ascii="Arial" w:hAnsi="Arial" w:cs="Arial"/>
              </w:rPr>
            </w:pPr>
            <w:r w:rsidRPr="00E0573F">
              <w:rPr>
                <w:rFonts w:ascii="Arial" w:hAnsi="Arial" w:cs="Arial"/>
              </w:rPr>
              <w:t>93</w:t>
            </w:r>
          </w:p>
        </w:tc>
        <w:tc>
          <w:tcPr>
            <w:tcW w:w="1440" w:type="dxa"/>
            <w:vAlign w:val="center"/>
          </w:tcPr>
          <w:p w14:paraId="5DC949DA" w14:textId="77777777" w:rsidR="00FF0471" w:rsidRPr="00E0573F" w:rsidRDefault="00FF0471" w:rsidP="00FF0471">
            <w:pPr>
              <w:jc w:val="center"/>
              <w:rPr>
                <w:rFonts w:ascii="Arial" w:hAnsi="Arial" w:cs="Arial"/>
              </w:rPr>
            </w:pPr>
            <w:r w:rsidRPr="00E0573F">
              <w:rPr>
                <w:rFonts w:ascii="Arial" w:hAnsi="Arial" w:cs="Arial"/>
              </w:rPr>
              <w:t>28</w:t>
            </w:r>
          </w:p>
        </w:tc>
        <w:tc>
          <w:tcPr>
            <w:tcW w:w="900" w:type="dxa"/>
            <w:vMerge/>
            <w:vAlign w:val="center"/>
          </w:tcPr>
          <w:p w14:paraId="0E2311D5" w14:textId="77777777" w:rsidR="00FF0471" w:rsidRPr="00E0573F" w:rsidRDefault="00FF0471" w:rsidP="00FF0471">
            <w:pPr>
              <w:jc w:val="center"/>
              <w:rPr>
                <w:rFonts w:ascii="Arial" w:hAnsi="Arial" w:cs="Arial"/>
              </w:rPr>
            </w:pPr>
          </w:p>
        </w:tc>
        <w:tc>
          <w:tcPr>
            <w:tcW w:w="1800" w:type="dxa"/>
            <w:vMerge/>
            <w:vAlign w:val="center"/>
          </w:tcPr>
          <w:p w14:paraId="726FBF7D" w14:textId="77777777" w:rsidR="00FF0471" w:rsidRPr="00E0573F" w:rsidRDefault="00FF0471" w:rsidP="00FF0471">
            <w:pPr>
              <w:jc w:val="center"/>
              <w:rPr>
                <w:rFonts w:ascii="Arial" w:hAnsi="Arial" w:cs="Arial"/>
              </w:rPr>
            </w:pPr>
          </w:p>
        </w:tc>
        <w:tc>
          <w:tcPr>
            <w:tcW w:w="1080" w:type="dxa"/>
            <w:vMerge/>
            <w:vAlign w:val="center"/>
          </w:tcPr>
          <w:p w14:paraId="44121792" w14:textId="77777777" w:rsidR="00FF0471" w:rsidRPr="00E0573F" w:rsidRDefault="00FF0471" w:rsidP="00FF0471">
            <w:pPr>
              <w:jc w:val="center"/>
              <w:rPr>
                <w:rFonts w:ascii="Arial" w:hAnsi="Arial" w:cs="Arial"/>
              </w:rPr>
            </w:pPr>
          </w:p>
        </w:tc>
      </w:tr>
      <w:tr w:rsidR="00FF0471" w:rsidRPr="00E0573F" w14:paraId="5997A0A6" w14:textId="77777777" w:rsidTr="00FF0471">
        <w:tc>
          <w:tcPr>
            <w:tcW w:w="1620" w:type="dxa"/>
            <w:vMerge w:val="restart"/>
            <w:vAlign w:val="center"/>
          </w:tcPr>
          <w:p w14:paraId="12F37D4B" w14:textId="77777777" w:rsidR="00FF0471" w:rsidRPr="00E0573F" w:rsidRDefault="00FF0471" w:rsidP="00FF0471">
            <w:pPr>
              <w:jc w:val="center"/>
              <w:rPr>
                <w:rFonts w:ascii="Arial" w:hAnsi="Arial" w:cs="Arial"/>
              </w:rPr>
            </w:pPr>
            <w:r w:rsidRPr="00E0573F">
              <w:rPr>
                <w:rFonts w:ascii="Arial" w:hAnsi="Arial" w:cs="Arial"/>
                <w:bCs/>
              </w:rPr>
              <w:t>Cooking Fuel</w:t>
            </w:r>
          </w:p>
        </w:tc>
        <w:tc>
          <w:tcPr>
            <w:tcW w:w="1350" w:type="dxa"/>
            <w:vAlign w:val="center"/>
          </w:tcPr>
          <w:p w14:paraId="221A7380" w14:textId="77777777" w:rsidR="00FF0471" w:rsidRPr="00E0573F" w:rsidRDefault="00FF0471" w:rsidP="00FF0471">
            <w:pPr>
              <w:jc w:val="center"/>
              <w:rPr>
                <w:rFonts w:ascii="Arial" w:hAnsi="Arial" w:cs="Arial"/>
              </w:rPr>
            </w:pPr>
            <w:r w:rsidRPr="00E0573F">
              <w:rPr>
                <w:rFonts w:ascii="Arial" w:hAnsi="Arial" w:cs="Arial"/>
              </w:rPr>
              <w:t>Firewood</w:t>
            </w:r>
          </w:p>
        </w:tc>
        <w:tc>
          <w:tcPr>
            <w:tcW w:w="1350" w:type="dxa"/>
            <w:vAlign w:val="center"/>
          </w:tcPr>
          <w:p w14:paraId="6BCDB363" w14:textId="77777777" w:rsidR="00FF0471" w:rsidRPr="00E0573F" w:rsidRDefault="00FF0471" w:rsidP="00FF0471">
            <w:pPr>
              <w:jc w:val="center"/>
              <w:rPr>
                <w:rFonts w:ascii="Arial" w:hAnsi="Arial" w:cs="Arial"/>
              </w:rPr>
            </w:pPr>
            <w:r w:rsidRPr="00E0573F">
              <w:rPr>
                <w:rFonts w:ascii="Arial" w:hAnsi="Arial" w:cs="Arial"/>
              </w:rPr>
              <w:t>68</w:t>
            </w:r>
          </w:p>
        </w:tc>
        <w:tc>
          <w:tcPr>
            <w:tcW w:w="1440" w:type="dxa"/>
            <w:vAlign w:val="center"/>
          </w:tcPr>
          <w:p w14:paraId="4D67DE84" w14:textId="77777777" w:rsidR="00FF0471" w:rsidRPr="00E0573F" w:rsidRDefault="00FF0471" w:rsidP="00FF0471">
            <w:pPr>
              <w:jc w:val="center"/>
              <w:rPr>
                <w:rFonts w:ascii="Arial" w:hAnsi="Arial" w:cs="Arial"/>
              </w:rPr>
            </w:pPr>
            <w:r w:rsidRPr="00E0573F">
              <w:rPr>
                <w:rFonts w:ascii="Arial" w:hAnsi="Arial" w:cs="Arial"/>
              </w:rPr>
              <w:t>24</w:t>
            </w:r>
          </w:p>
        </w:tc>
        <w:tc>
          <w:tcPr>
            <w:tcW w:w="900" w:type="dxa"/>
            <w:vMerge w:val="restart"/>
            <w:vAlign w:val="center"/>
          </w:tcPr>
          <w:p w14:paraId="24D04A0B" w14:textId="77777777" w:rsidR="00FF0471" w:rsidRPr="00E0573F" w:rsidRDefault="00FF0471" w:rsidP="00FF0471">
            <w:pPr>
              <w:jc w:val="center"/>
              <w:rPr>
                <w:rFonts w:ascii="Arial" w:hAnsi="Arial" w:cs="Arial"/>
              </w:rPr>
            </w:pPr>
            <w:r w:rsidRPr="00E0573F">
              <w:rPr>
                <w:rFonts w:ascii="Arial" w:hAnsi="Arial" w:cs="Arial"/>
              </w:rPr>
              <w:t>13.29</w:t>
            </w:r>
          </w:p>
        </w:tc>
        <w:tc>
          <w:tcPr>
            <w:tcW w:w="1800" w:type="dxa"/>
            <w:vMerge w:val="restart"/>
            <w:vAlign w:val="center"/>
          </w:tcPr>
          <w:p w14:paraId="65B54489" w14:textId="77777777" w:rsidR="00FF0471" w:rsidRPr="00E0573F" w:rsidRDefault="00FF0471" w:rsidP="00FF0471">
            <w:pPr>
              <w:jc w:val="center"/>
              <w:rPr>
                <w:rFonts w:ascii="Arial" w:hAnsi="Arial" w:cs="Arial"/>
              </w:rPr>
            </w:pPr>
            <w:r w:rsidRPr="00E0573F">
              <w:rPr>
                <w:rFonts w:ascii="Arial" w:hAnsi="Arial" w:cs="Arial"/>
              </w:rPr>
              <w:t>2.19(1.26-3.80)</w:t>
            </w:r>
          </w:p>
        </w:tc>
        <w:tc>
          <w:tcPr>
            <w:tcW w:w="1080" w:type="dxa"/>
            <w:vMerge w:val="restart"/>
            <w:vAlign w:val="center"/>
          </w:tcPr>
          <w:p w14:paraId="761332FA" w14:textId="77777777" w:rsidR="00FF0471" w:rsidRPr="00E0573F" w:rsidRDefault="00FF0471" w:rsidP="00FF0471">
            <w:pPr>
              <w:jc w:val="center"/>
              <w:rPr>
                <w:rFonts w:ascii="Arial" w:hAnsi="Arial" w:cs="Arial"/>
              </w:rPr>
            </w:pPr>
            <w:r w:rsidRPr="00E0573F">
              <w:rPr>
                <w:rFonts w:ascii="Arial" w:hAnsi="Arial" w:cs="Arial"/>
              </w:rPr>
              <w:t>0.004</w:t>
            </w:r>
          </w:p>
        </w:tc>
      </w:tr>
      <w:tr w:rsidR="00FF0471" w:rsidRPr="00E0573F" w14:paraId="07A8F60F" w14:textId="77777777" w:rsidTr="00FF0471">
        <w:tc>
          <w:tcPr>
            <w:tcW w:w="1620" w:type="dxa"/>
            <w:vMerge/>
            <w:vAlign w:val="center"/>
          </w:tcPr>
          <w:p w14:paraId="28FAD5A6" w14:textId="77777777" w:rsidR="00FF0471" w:rsidRPr="00E0573F" w:rsidRDefault="00FF0471" w:rsidP="00FF0471">
            <w:pPr>
              <w:jc w:val="center"/>
              <w:rPr>
                <w:rFonts w:ascii="Arial" w:hAnsi="Arial" w:cs="Arial"/>
              </w:rPr>
            </w:pPr>
          </w:p>
        </w:tc>
        <w:tc>
          <w:tcPr>
            <w:tcW w:w="1350" w:type="dxa"/>
            <w:vAlign w:val="center"/>
          </w:tcPr>
          <w:p w14:paraId="39E316E0" w14:textId="77777777" w:rsidR="00FF0471" w:rsidRPr="00E0573F" w:rsidRDefault="00FF0471" w:rsidP="00FF0471">
            <w:pPr>
              <w:jc w:val="center"/>
              <w:rPr>
                <w:rFonts w:ascii="Arial" w:hAnsi="Arial" w:cs="Arial"/>
              </w:rPr>
            </w:pPr>
            <w:r w:rsidRPr="00E0573F">
              <w:rPr>
                <w:rFonts w:ascii="Arial" w:hAnsi="Arial" w:cs="Arial"/>
              </w:rPr>
              <w:t>Charcoal</w:t>
            </w:r>
          </w:p>
        </w:tc>
        <w:tc>
          <w:tcPr>
            <w:tcW w:w="1350" w:type="dxa"/>
            <w:vAlign w:val="center"/>
          </w:tcPr>
          <w:p w14:paraId="57F1537C" w14:textId="77777777" w:rsidR="00FF0471" w:rsidRPr="00E0573F" w:rsidRDefault="00FF0471" w:rsidP="00FF0471">
            <w:pPr>
              <w:jc w:val="center"/>
              <w:rPr>
                <w:rFonts w:ascii="Arial" w:hAnsi="Arial" w:cs="Arial"/>
              </w:rPr>
            </w:pPr>
            <w:r w:rsidRPr="00E0573F">
              <w:rPr>
                <w:rFonts w:ascii="Arial" w:hAnsi="Arial" w:cs="Arial"/>
              </w:rPr>
              <w:t>43</w:t>
            </w:r>
          </w:p>
        </w:tc>
        <w:tc>
          <w:tcPr>
            <w:tcW w:w="1440" w:type="dxa"/>
            <w:vAlign w:val="center"/>
          </w:tcPr>
          <w:p w14:paraId="601C9A28" w14:textId="77777777" w:rsidR="00FF0471" w:rsidRPr="00E0573F" w:rsidRDefault="00FF0471" w:rsidP="00FF0471">
            <w:pPr>
              <w:jc w:val="center"/>
              <w:rPr>
                <w:rFonts w:ascii="Arial" w:hAnsi="Arial" w:cs="Arial"/>
              </w:rPr>
            </w:pPr>
            <w:r w:rsidRPr="00E0573F">
              <w:rPr>
                <w:rFonts w:ascii="Arial" w:hAnsi="Arial" w:cs="Arial"/>
              </w:rPr>
              <w:t>29</w:t>
            </w:r>
          </w:p>
        </w:tc>
        <w:tc>
          <w:tcPr>
            <w:tcW w:w="900" w:type="dxa"/>
            <w:vMerge/>
            <w:vAlign w:val="center"/>
          </w:tcPr>
          <w:p w14:paraId="4452CFC4" w14:textId="77777777" w:rsidR="00FF0471" w:rsidRPr="00E0573F" w:rsidRDefault="00FF0471" w:rsidP="00FF0471">
            <w:pPr>
              <w:jc w:val="center"/>
              <w:rPr>
                <w:rFonts w:ascii="Arial" w:hAnsi="Arial" w:cs="Arial"/>
              </w:rPr>
            </w:pPr>
          </w:p>
        </w:tc>
        <w:tc>
          <w:tcPr>
            <w:tcW w:w="1800" w:type="dxa"/>
            <w:vMerge/>
            <w:vAlign w:val="center"/>
          </w:tcPr>
          <w:p w14:paraId="37F966DF" w14:textId="77777777" w:rsidR="00FF0471" w:rsidRPr="00E0573F" w:rsidRDefault="00FF0471" w:rsidP="00FF0471">
            <w:pPr>
              <w:jc w:val="center"/>
              <w:rPr>
                <w:rFonts w:ascii="Arial" w:hAnsi="Arial" w:cs="Arial"/>
              </w:rPr>
            </w:pPr>
          </w:p>
        </w:tc>
        <w:tc>
          <w:tcPr>
            <w:tcW w:w="1080" w:type="dxa"/>
            <w:vMerge/>
            <w:vAlign w:val="center"/>
          </w:tcPr>
          <w:p w14:paraId="75EC5C97" w14:textId="77777777" w:rsidR="00FF0471" w:rsidRPr="00E0573F" w:rsidRDefault="00FF0471" w:rsidP="00FF0471">
            <w:pPr>
              <w:jc w:val="center"/>
              <w:rPr>
                <w:rFonts w:ascii="Arial" w:hAnsi="Arial" w:cs="Arial"/>
              </w:rPr>
            </w:pPr>
          </w:p>
        </w:tc>
      </w:tr>
      <w:tr w:rsidR="00FF0471" w:rsidRPr="00E0573F" w14:paraId="1D9D6C1C" w14:textId="77777777" w:rsidTr="00FF0471">
        <w:tc>
          <w:tcPr>
            <w:tcW w:w="1620" w:type="dxa"/>
            <w:vMerge/>
            <w:vAlign w:val="center"/>
          </w:tcPr>
          <w:p w14:paraId="77F451D2" w14:textId="77777777" w:rsidR="00FF0471" w:rsidRPr="00E0573F" w:rsidRDefault="00FF0471" w:rsidP="00FF0471">
            <w:pPr>
              <w:jc w:val="center"/>
              <w:rPr>
                <w:rFonts w:ascii="Arial" w:hAnsi="Arial" w:cs="Arial"/>
              </w:rPr>
            </w:pPr>
          </w:p>
        </w:tc>
        <w:tc>
          <w:tcPr>
            <w:tcW w:w="1350" w:type="dxa"/>
            <w:vAlign w:val="center"/>
          </w:tcPr>
          <w:p w14:paraId="72F3E437" w14:textId="77777777" w:rsidR="00FF0471" w:rsidRPr="00E0573F" w:rsidRDefault="00FF0471" w:rsidP="00FF0471">
            <w:pPr>
              <w:jc w:val="center"/>
              <w:rPr>
                <w:rFonts w:ascii="Arial" w:hAnsi="Arial" w:cs="Arial"/>
              </w:rPr>
            </w:pPr>
            <w:r w:rsidRPr="00E0573F">
              <w:rPr>
                <w:rFonts w:ascii="Arial" w:hAnsi="Arial" w:cs="Arial"/>
              </w:rPr>
              <w:t>Gas/Electricity</w:t>
            </w:r>
          </w:p>
        </w:tc>
        <w:tc>
          <w:tcPr>
            <w:tcW w:w="1350" w:type="dxa"/>
            <w:vAlign w:val="center"/>
          </w:tcPr>
          <w:p w14:paraId="118706CC" w14:textId="77777777" w:rsidR="00FF0471" w:rsidRPr="00E0573F" w:rsidRDefault="00FF0471" w:rsidP="00FF0471">
            <w:pPr>
              <w:jc w:val="center"/>
              <w:rPr>
                <w:rFonts w:ascii="Arial" w:hAnsi="Arial" w:cs="Arial"/>
              </w:rPr>
            </w:pPr>
            <w:r w:rsidRPr="00E0573F">
              <w:rPr>
                <w:rFonts w:ascii="Arial" w:hAnsi="Arial" w:cs="Arial"/>
              </w:rPr>
              <w:t>43</w:t>
            </w:r>
          </w:p>
        </w:tc>
        <w:tc>
          <w:tcPr>
            <w:tcW w:w="1440" w:type="dxa"/>
            <w:vAlign w:val="center"/>
          </w:tcPr>
          <w:p w14:paraId="041C7A7C" w14:textId="77777777" w:rsidR="00FF0471" w:rsidRPr="00E0573F" w:rsidRDefault="00FF0471" w:rsidP="00FF0471">
            <w:pPr>
              <w:jc w:val="center"/>
              <w:rPr>
                <w:rFonts w:ascii="Arial" w:hAnsi="Arial" w:cs="Arial"/>
              </w:rPr>
            </w:pPr>
            <w:r w:rsidRPr="00E0573F">
              <w:rPr>
                <w:rFonts w:ascii="Arial" w:hAnsi="Arial" w:cs="Arial"/>
              </w:rPr>
              <w:t>45</w:t>
            </w:r>
          </w:p>
        </w:tc>
        <w:tc>
          <w:tcPr>
            <w:tcW w:w="900" w:type="dxa"/>
            <w:vMerge/>
            <w:vAlign w:val="center"/>
          </w:tcPr>
          <w:p w14:paraId="53938744" w14:textId="77777777" w:rsidR="00FF0471" w:rsidRPr="00E0573F" w:rsidRDefault="00FF0471" w:rsidP="00FF0471">
            <w:pPr>
              <w:jc w:val="center"/>
              <w:rPr>
                <w:rFonts w:ascii="Arial" w:hAnsi="Arial" w:cs="Arial"/>
              </w:rPr>
            </w:pPr>
          </w:p>
        </w:tc>
        <w:tc>
          <w:tcPr>
            <w:tcW w:w="1800" w:type="dxa"/>
            <w:vMerge/>
            <w:vAlign w:val="center"/>
          </w:tcPr>
          <w:p w14:paraId="5DB91996" w14:textId="77777777" w:rsidR="00FF0471" w:rsidRPr="00E0573F" w:rsidRDefault="00FF0471" w:rsidP="00FF0471">
            <w:pPr>
              <w:jc w:val="center"/>
              <w:rPr>
                <w:rFonts w:ascii="Arial" w:hAnsi="Arial" w:cs="Arial"/>
              </w:rPr>
            </w:pPr>
          </w:p>
        </w:tc>
        <w:tc>
          <w:tcPr>
            <w:tcW w:w="1080" w:type="dxa"/>
            <w:vMerge/>
            <w:vAlign w:val="center"/>
          </w:tcPr>
          <w:p w14:paraId="21178030" w14:textId="77777777" w:rsidR="00FF0471" w:rsidRPr="00E0573F" w:rsidRDefault="00FF0471" w:rsidP="00FF0471">
            <w:pPr>
              <w:jc w:val="center"/>
              <w:rPr>
                <w:rFonts w:ascii="Arial" w:hAnsi="Arial" w:cs="Arial"/>
              </w:rPr>
            </w:pPr>
          </w:p>
        </w:tc>
      </w:tr>
    </w:tbl>
    <w:p w14:paraId="3B492A44" w14:textId="77777777" w:rsidR="00FF0471" w:rsidRPr="00E0573F" w:rsidRDefault="00FF0471" w:rsidP="00FF0471">
      <w:pPr>
        <w:jc w:val="both"/>
        <w:rPr>
          <w:rFonts w:ascii="Times New Roman" w:hAnsi="Times New Roman"/>
          <w:b/>
          <w:sz w:val="24"/>
          <w:szCs w:val="24"/>
        </w:rPr>
      </w:pPr>
    </w:p>
    <w:p w14:paraId="00E7401C" w14:textId="77777777" w:rsidR="00FF0471" w:rsidRPr="00E0573F" w:rsidRDefault="00FF0471" w:rsidP="00FF0471">
      <w:pPr>
        <w:jc w:val="both"/>
        <w:rPr>
          <w:rFonts w:ascii="Arial" w:hAnsi="Arial" w:cs="Arial"/>
          <w:b/>
        </w:rPr>
      </w:pPr>
      <w:r w:rsidRPr="00E0573F">
        <w:rPr>
          <w:rFonts w:ascii="Arial" w:hAnsi="Arial" w:cs="Arial"/>
          <w:b/>
        </w:rPr>
        <w:t xml:space="preserve">Table 9: Chi-Square Test Result for </w:t>
      </w:r>
      <w:proofErr w:type="spellStart"/>
      <w:r w:rsidRPr="00E0573F">
        <w:rPr>
          <w:rFonts w:ascii="Arial" w:hAnsi="Arial" w:cs="Arial"/>
          <w:b/>
        </w:rPr>
        <w:t>Behavioural</w:t>
      </w:r>
      <w:proofErr w:type="spellEnd"/>
      <w:r w:rsidRPr="00E0573F">
        <w:rPr>
          <w:rFonts w:ascii="Arial" w:hAnsi="Arial" w:cs="Arial"/>
          <w:b/>
        </w:rPr>
        <w:t xml:space="preserve"> Risk Factors of Tuberculosis</w:t>
      </w:r>
    </w:p>
    <w:tbl>
      <w:tblPr>
        <w:tblStyle w:val="TableGrid"/>
        <w:tblW w:w="9540" w:type="dxa"/>
        <w:tblInd w:w="-342"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617"/>
        <w:gridCol w:w="1346"/>
        <w:gridCol w:w="1350"/>
        <w:gridCol w:w="1438"/>
        <w:gridCol w:w="909"/>
        <w:gridCol w:w="1800"/>
        <w:gridCol w:w="1080"/>
      </w:tblGrid>
      <w:tr w:rsidR="00FF0471" w:rsidRPr="00E0573F" w14:paraId="1402F64E" w14:textId="77777777" w:rsidTr="00FF0471">
        <w:tc>
          <w:tcPr>
            <w:tcW w:w="1617" w:type="dxa"/>
            <w:tcBorders>
              <w:top w:val="single" w:sz="4" w:space="0" w:color="auto"/>
              <w:bottom w:val="single" w:sz="4" w:space="0" w:color="auto"/>
            </w:tcBorders>
            <w:vAlign w:val="center"/>
          </w:tcPr>
          <w:p w14:paraId="429317A3" w14:textId="77777777" w:rsidR="00FF0471" w:rsidRPr="00E0573F" w:rsidRDefault="00FF0471" w:rsidP="00FF0471">
            <w:pPr>
              <w:jc w:val="center"/>
              <w:rPr>
                <w:rFonts w:ascii="Arial" w:hAnsi="Arial" w:cs="Arial"/>
                <w:b/>
                <w:bCs/>
              </w:rPr>
            </w:pPr>
            <w:r w:rsidRPr="00E0573F">
              <w:rPr>
                <w:rFonts w:ascii="Arial" w:hAnsi="Arial" w:cs="Arial"/>
                <w:b/>
                <w:bCs/>
              </w:rPr>
              <w:t>Variable</w:t>
            </w:r>
          </w:p>
        </w:tc>
        <w:tc>
          <w:tcPr>
            <w:tcW w:w="1346" w:type="dxa"/>
            <w:tcBorders>
              <w:top w:val="single" w:sz="4" w:space="0" w:color="auto"/>
              <w:bottom w:val="single" w:sz="4" w:space="0" w:color="auto"/>
            </w:tcBorders>
            <w:vAlign w:val="center"/>
          </w:tcPr>
          <w:p w14:paraId="1FFE9B2A" w14:textId="77777777" w:rsidR="00FF0471" w:rsidRPr="00E0573F" w:rsidRDefault="00FF0471" w:rsidP="00FF0471">
            <w:pPr>
              <w:jc w:val="center"/>
              <w:rPr>
                <w:rFonts w:ascii="Arial" w:hAnsi="Arial" w:cs="Arial"/>
                <w:b/>
                <w:bCs/>
              </w:rPr>
            </w:pPr>
            <w:r w:rsidRPr="00E0573F">
              <w:rPr>
                <w:rFonts w:ascii="Arial" w:hAnsi="Arial" w:cs="Arial"/>
                <w:b/>
                <w:bCs/>
              </w:rPr>
              <w:t>Category</w:t>
            </w:r>
          </w:p>
        </w:tc>
        <w:tc>
          <w:tcPr>
            <w:tcW w:w="1350" w:type="dxa"/>
            <w:tcBorders>
              <w:top w:val="single" w:sz="4" w:space="0" w:color="auto"/>
              <w:bottom w:val="single" w:sz="4" w:space="0" w:color="auto"/>
            </w:tcBorders>
            <w:vAlign w:val="center"/>
          </w:tcPr>
          <w:p w14:paraId="05935C20" w14:textId="77777777" w:rsidR="00FF0471" w:rsidRPr="00E0573F" w:rsidRDefault="00FF0471" w:rsidP="00FF0471">
            <w:pPr>
              <w:jc w:val="center"/>
              <w:rPr>
                <w:rFonts w:ascii="Arial" w:hAnsi="Arial" w:cs="Arial"/>
                <w:b/>
                <w:bCs/>
              </w:rPr>
            </w:pPr>
            <w:r w:rsidRPr="00E0573F">
              <w:rPr>
                <w:rFonts w:ascii="Arial" w:hAnsi="Arial" w:cs="Arial"/>
                <w:b/>
                <w:bCs/>
              </w:rPr>
              <w:t>Confirmed</w:t>
            </w:r>
          </w:p>
        </w:tc>
        <w:tc>
          <w:tcPr>
            <w:tcW w:w="1438" w:type="dxa"/>
            <w:tcBorders>
              <w:top w:val="single" w:sz="4" w:space="0" w:color="auto"/>
              <w:bottom w:val="single" w:sz="4" w:space="0" w:color="auto"/>
            </w:tcBorders>
            <w:vAlign w:val="center"/>
          </w:tcPr>
          <w:p w14:paraId="0141DE24" w14:textId="77777777" w:rsidR="00FF0471" w:rsidRPr="00E0573F" w:rsidRDefault="00FF0471" w:rsidP="00FF0471">
            <w:pPr>
              <w:jc w:val="center"/>
              <w:rPr>
                <w:rFonts w:ascii="Arial" w:hAnsi="Arial" w:cs="Arial"/>
                <w:b/>
                <w:bCs/>
              </w:rPr>
            </w:pPr>
            <w:r w:rsidRPr="00E0573F">
              <w:rPr>
                <w:rFonts w:ascii="Arial" w:hAnsi="Arial" w:cs="Arial"/>
                <w:b/>
                <w:bCs/>
              </w:rPr>
              <w:t>Not Confirmed</w:t>
            </w:r>
          </w:p>
        </w:tc>
        <w:tc>
          <w:tcPr>
            <w:tcW w:w="909" w:type="dxa"/>
            <w:tcBorders>
              <w:top w:val="single" w:sz="4" w:space="0" w:color="auto"/>
              <w:bottom w:val="single" w:sz="4" w:space="0" w:color="auto"/>
            </w:tcBorders>
            <w:vAlign w:val="center"/>
          </w:tcPr>
          <w:p w14:paraId="56F3CC7D" w14:textId="77777777" w:rsidR="00FF0471" w:rsidRPr="00E0573F" w:rsidRDefault="00FF0471" w:rsidP="00FF0471">
            <w:pPr>
              <w:jc w:val="center"/>
              <w:rPr>
                <w:rFonts w:ascii="Arial" w:hAnsi="Arial" w:cs="Arial"/>
                <w:b/>
                <w:bCs/>
              </w:rPr>
            </w:pPr>
            <w:r w:rsidRPr="00E0573F">
              <w:rPr>
                <w:rFonts w:ascii="Arial" w:hAnsi="Arial" w:cs="Arial"/>
                <w:b/>
                <w:bCs/>
              </w:rPr>
              <w:t>χ²</w:t>
            </w:r>
          </w:p>
        </w:tc>
        <w:tc>
          <w:tcPr>
            <w:tcW w:w="1800" w:type="dxa"/>
            <w:tcBorders>
              <w:top w:val="single" w:sz="4" w:space="0" w:color="auto"/>
              <w:bottom w:val="single" w:sz="4" w:space="0" w:color="auto"/>
            </w:tcBorders>
            <w:vAlign w:val="center"/>
          </w:tcPr>
          <w:p w14:paraId="61F8C734" w14:textId="77777777" w:rsidR="00FF0471" w:rsidRPr="00E0573F" w:rsidRDefault="00FF0471" w:rsidP="00FF0471">
            <w:pPr>
              <w:jc w:val="center"/>
              <w:rPr>
                <w:rFonts w:ascii="Arial" w:hAnsi="Arial" w:cs="Arial"/>
                <w:b/>
                <w:bCs/>
              </w:rPr>
            </w:pPr>
            <w:r w:rsidRPr="00E0573F">
              <w:rPr>
                <w:rFonts w:ascii="Arial" w:hAnsi="Arial" w:cs="Arial"/>
                <w:b/>
                <w:bCs/>
              </w:rPr>
              <w:t>COR(95% CI)</w:t>
            </w:r>
          </w:p>
        </w:tc>
        <w:tc>
          <w:tcPr>
            <w:tcW w:w="1080" w:type="dxa"/>
            <w:tcBorders>
              <w:top w:val="single" w:sz="4" w:space="0" w:color="auto"/>
              <w:bottom w:val="single" w:sz="4" w:space="0" w:color="auto"/>
            </w:tcBorders>
            <w:vAlign w:val="center"/>
          </w:tcPr>
          <w:p w14:paraId="1FFEFB7F" w14:textId="77777777" w:rsidR="00FF0471" w:rsidRPr="00E0573F" w:rsidRDefault="00FF0471" w:rsidP="00FF0471">
            <w:pPr>
              <w:jc w:val="center"/>
              <w:rPr>
                <w:rFonts w:ascii="Arial" w:hAnsi="Arial" w:cs="Arial"/>
                <w:b/>
                <w:bCs/>
              </w:rPr>
            </w:pPr>
            <w:r w:rsidRPr="00E0573F">
              <w:rPr>
                <w:rFonts w:ascii="Arial" w:hAnsi="Arial" w:cs="Arial"/>
                <w:b/>
                <w:bCs/>
              </w:rPr>
              <w:t>p-value</w:t>
            </w:r>
          </w:p>
        </w:tc>
      </w:tr>
      <w:tr w:rsidR="00FF0471" w:rsidRPr="00E0573F" w14:paraId="5A89FFE0" w14:textId="77777777" w:rsidTr="00FF0471">
        <w:tc>
          <w:tcPr>
            <w:tcW w:w="1617" w:type="dxa"/>
            <w:vMerge w:val="restart"/>
            <w:tcBorders>
              <w:top w:val="single" w:sz="4" w:space="0" w:color="auto"/>
            </w:tcBorders>
            <w:vAlign w:val="center"/>
          </w:tcPr>
          <w:p w14:paraId="50AFC688" w14:textId="77777777" w:rsidR="00FF0471" w:rsidRPr="00E0573F" w:rsidRDefault="00FF0471" w:rsidP="00FF0471">
            <w:pPr>
              <w:jc w:val="center"/>
              <w:rPr>
                <w:rFonts w:ascii="Arial" w:hAnsi="Arial" w:cs="Arial"/>
              </w:rPr>
            </w:pPr>
            <w:r w:rsidRPr="00E0573F">
              <w:rPr>
                <w:rFonts w:ascii="Arial" w:hAnsi="Arial" w:cs="Arial"/>
                <w:bCs/>
              </w:rPr>
              <w:t>Smoking History</w:t>
            </w:r>
          </w:p>
        </w:tc>
        <w:tc>
          <w:tcPr>
            <w:tcW w:w="1346" w:type="dxa"/>
            <w:tcBorders>
              <w:top w:val="single" w:sz="4" w:space="0" w:color="auto"/>
            </w:tcBorders>
            <w:vAlign w:val="center"/>
          </w:tcPr>
          <w:p w14:paraId="02603217" w14:textId="77777777" w:rsidR="00FF0471" w:rsidRPr="00E0573F" w:rsidRDefault="00FF0471" w:rsidP="00FF0471">
            <w:pPr>
              <w:jc w:val="center"/>
              <w:rPr>
                <w:rFonts w:ascii="Arial" w:hAnsi="Arial" w:cs="Arial"/>
              </w:rPr>
            </w:pPr>
            <w:r w:rsidRPr="00E0573F">
              <w:rPr>
                <w:rFonts w:ascii="Arial" w:hAnsi="Arial" w:cs="Arial"/>
              </w:rPr>
              <w:t>Yes</w:t>
            </w:r>
          </w:p>
        </w:tc>
        <w:tc>
          <w:tcPr>
            <w:tcW w:w="1350" w:type="dxa"/>
            <w:tcBorders>
              <w:top w:val="single" w:sz="4" w:space="0" w:color="auto"/>
            </w:tcBorders>
            <w:vAlign w:val="center"/>
          </w:tcPr>
          <w:p w14:paraId="3F6E584C" w14:textId="77777777" w:rsidR="00FF0471" w:rsidRPr="00E0573F" w:rsidRDefault="00FF0471" w:rsidP="00FF0471">
            <w:pPr>
              <w:jc w:val="center"/>
              <w:rPr>
                <w:rFonts w:ascii="Arial" w:hAnsi="Arial" w:cs="Arial"/>
              </w:rPr>
            </w:pPr>
            <w:r w:rsidRPr="00E0573F">
              <w:rPr>
                <w:rFonts w:ascii="Arial" w:hAnsi="Arial" w:cs="Arial"/>
              </w:rPr>
              <w:t>72</w:t>
            </w:r>
          </w:p>
        </w:tc>
        <w:tc>
          <w:tcPr>
            <w:tcW w:w="1438" w:type="dxa"/>
            <w:tcBorders>
              <w:top w:val="single" w:sz="4" w:space="0" w:color="auto"/>
            </w:tcBorders>
            <w:vAlign w:val="center"/>
          </w:tcPr>
          <w:p w14:paraId="073E4171" w14:textId="77777777" w:rsidR="00FF0471" w:rsidRPr="00E0573F" w:rsidRDefault="00FF0471" w:rsidP="00FF0471">
            <w:pPr>
              <w:jc w:val="center"/>
              <w:rPr>
                <w:rFonts w:ascii="Arial" w:hAnsi="Arial" w:cs="Arial"/>
              </w:rPr>
            </w:pPr>
            <w:r w:rsidRPr="00E0573F">
              <w:rPr>
                <w:rFonts w:ascii="Arial" w:hAnsi="Arial" w:cs="Arial"/>
              </w:rPr>
              <w:t>18</w:t>
            </w:r>
          </w:p>
        </w:tc>
        <w:tc>
          <w:tcPr>
            <w:tcW w:w="909" w:type="dxa"/>
            <w:vMerge w:val="restart"/>
            <w:tcBorders>
              <w:top w:val="single" w:sz="4" w:space="0" w:color="auto"/>
            </w:tcBorders>
            <w:vAlign w:val="center"/>
          </w:tcPr>
          <w:p w14:paraId="7A6150C2" w14:textId="77777777" w:rsidR="00FF0471" w:rsidRPr="00E0573F" w:rsidRDefault="00FF0471" w:rsidP="00FF0471">
            <w:pPr>
              <w:jc w:val="center"/>
              <w:rPr>
                <w:rFonts w:ascii="Arial" w:hAnsi="Arial" w:cs="Arial"/>
              </w:rPr>
            </w:pPr>
            <w:r w:rsidRPr="00E0573F">
              <w:rPr>
                <w:rFonts w:ascii="Arial" w:hAnsi="Arial" w:cs="Arial"/>
              </w:rPr>
              <w:t>21.44</w:t>
            </w:r>
          </w:p>
        </w:tc>
        <w:tc>
          <w:tcPr>
            <w:tcW w:w="1800" w:type="dxa"/>
            <w:vMerge w:val="restart"/>
            <w:tcBorders>
              <w:top w:val="single" w:sz="4" w:space="0" w:color="auto"/>
            </w:tcBorders>
            <w:vAlign w:val="center"/>
          </w:tcPr>
          <w:p w14:paraId="026411F9" w14:textId="77777777" w:rsidR="00FF0471" w:rsidRPr="00E0573F" w:rsidRDefault="00FF0471" w:rsidP="00FF0471">
            <w:pPr>
              <w:jc w:val="center"/>
              <w:rPr>
                <w:rFonts w:ascii="Arial" w:hAnsi="Arial" w:cs="Arial"/>
              </w:rPr>
            </w:pPr>
            <w:r w:rsidRPr="00E0573F">
              <w:rPr>
                <w:rFonts w:ascii="Arial" w:hAnsi="Arial" w:cs="Arial"/>
              </w:rPr>
              <w:t>3.90(2.14-7.11)</w:t>
            </w:r>
          </w:p>
        </w:tc>
        <w:tc>
          <w:tcPr>
            <w:tcW w:w="1080" w:type="dxa"/>
            <w:vMerge w:val="restart"/>
            <w:tcBorders>
              <w:top w:val="single" w:sz="4" w:space="0" w:color="auto"/>
            </w:tcBorders>
            <w:vAlign w:val="center"/>
          </w:tcPr>
          <w:p w14:paraId="54123BB9" w14:textId="77777777" w:rsidR="00FF0471" w:rsidRPr="00E0573F" w:rsidRDefault="00FF0471" w:rsidP="00FF0471">
            <w:pPr>
              <w:jc w:val="center"/>
              <w:rPr>
                <w:rFonts w:ascii="Arial" w:hAnsi="Arial" w:cs="Arial"/>
              </w:rPr>
            </w:pPr>
            <w:r w:rsidRPr="00E0573F">
              <w:rPr>
                <w:rFonts w:ascii="Arial" w:hAnsi="Arial" w:cs="Arial"/>
              </w:rPr>
              <w:t>&lt;0.001</w:t>
            </w:r>
          </w:p>
        </w:tc>
      </w:tr>
      <w:tr w:rsidR="00FF0471" w:rsidRPr="00E0573F" w14:paraId="0468C823" w14:textId="77777777" w:rsidTr="00FF0471">
        <w:tc>
          <w:tcPr>
            <w:tcW w:w="1617" w:type="dxa"/>
            <w:vMerge/>
            <w:vAlign w:val="center"/>
          </w:tcPr>
          <w:p w14:paraId="7B2A12C8" w14:textId="77777777" w:rsidR="00FF0471" w:rsidRPr="00E0573F" w:rsidRDefault="00FF0471" w:rsidP="00FF0471">
            <w:pPr>
              <w:jc w:val="center"/>
              <w:rPr>
                <w:rFonts w:ascii="Arial" w:hAnsi="Arial" w:cs="Arial"/>
              </w:rPr>
            </w:pPr>
          </w:p>
        </w:tc>
        <w:tc>
          <w:tcPr>
            <w:tcW w:w="1346" w:type="dxa"/>
            <w:vAlign w:val="center"/>
          </w:tcPr>
          <w:p w14:paraId="181F7DC4" w14:textId="77777777" w:rsidR="00FF0471" w:rsidRPr="00E0573F" w:rsidRDefault="00FF0471" w:rsidP="00FF0471">
            <w:pPr>
              <w:jc w:val="center"/>
              <w:rPr>
                <w:rFonts w:ascii="Arial" w:hAnsi="Arial" w:cs="Arial"/>
              </w:rPr>
            </w:pPr>
            <w:r w:rsidRPr="00E0573F">
              <w:rPr>
                <w:rFonts w:ascii="Arial" w:hAnsi="Arial" w:cs="Arial"/>
              </w:rPr>
              <w:t>No</w:t>
            </w:r>
          </w:p>
        </w:tc>
        <w:tc>
          <w:tcPr>
            <w:tcW w:w="1350" w:type="dxa"/>
            <w:vAlign w:val="center"/>
          </w:tcPr>
          <w:p w14:paraId="0B288C77" w14:textId="77777777" w:rsidR="00FF0471" w:rsidRPr="00E0573F" w:rsidRDefault="00FF0471" w:rsidP="00FF0471">
            <w:pPr>
              <w:jc w:val="center"/>
              <w:rPr>
                <w:rFonts w:ascii="Arial" w:hAnsi="Arial" w:cs="Arial"/>
              </w:rPr>
            </w:pPr>
            <w:r w:rsidRPr="00E0573F">
              <w:rPr>
                <w:rFonts w:ascii="Arial" w:hAnsi="Arial" w:cs="Arial"/>
              </w:rPr>
              <w:t>82</w:t>
            </w:r>
          </w:p>
        </w:tc>
        <w:tc>
          <w:tcPr>
            <w:tcW w:w="1438" w:type="dxa"/>
            <w:vAlign w:val="center"/>
          </w:tcPr>
          <w:p w14:paraId="2DA176EA" w14:textId="77777777" w:rsidR="00FF0471" w:rsidRPr="00E0573F" w:rsidRDefault="00FF0471" w:rsidP="00FF0471">
            <w:pPr>
              <w:jc w:val="center"/>
              <w:rPr>
                <w:rFonts w:ascii="Arial" w:hAnsi="Arial" w:cs="Arial"/>
              </w:rPr>
            </w:pPr>
            <w:r w:rsidRPr="00E0573F">
              <w:rPr>
                <w:rFonts w:ascii="Arial" w:hAnsi="Arial" w:cs="Arial"/>
              </w:rPr>
              <w:t>80</w:t>
            </w:r>
          </w:p>
        </w:tc>
        <w:tc>
          <w:tcPr>
            <w:tcW w:w="909" w:type="dxa"/>
            <w:vMerge/>
            <w:vAlign w:val="center"/>
          </w:tcPr>
          <w:p w14:paraId="265BC600" w14:textId="77777777" w:rsidR="00FF0471" w:rsidRPr="00E0573F" w:rsidRDefault="00FF0471" w:rsidP="00FF0471">
            <w:pPr>
              <w:jc w:val="center"/>
              <w:rPr>
                <w:rFonts w:ascii="Arial" w:hAnsi="Arial" w:cs="Arial"/>
              </w:rPr>
            </w:pPr>
          </w:p>
        </w:tc>
        <w:tc>
          <w:tcPr>
            <w:tcW w:w="1800" w:type="dxa"/>
            <w:vMerge/>
            <w:vAlign w:val="center"/>
          </w:tcPr>
          <w:p w14:paraId="29C7C36C" w14:textId="77777777" w:rsidR="00FF0471" w:rsidRPr="00E0573F" w:rsidRDefault="00FF0471" w:rsidP="00FF0471">
            <w:pPr>
              <w:jc w:val="center"/>
              <w:rPr>
                <w:rFonts w:ascii="Arial" w:hAnsi="Arial" w:cs="Arial"/>
              </w:rPr>
            </w:pPr>
          </w:p>
        </w:tc>
        <w:tc>
          <w:tcPr>
            <w:tcW w:w="1080" w:type="dxa"/>
            <w:vMerge/>
            <w:vAlign w:val="center"/>
          </w:tcPr>
          <w:p w14:paraId="6FA0BC68" w14:textId="77777777" w:rsidR="00FF0471" w:rsidRPr="00E0573F" w:rsidRDefault="00FF0471" w:rsidP="00FF0471">
            <w:pPr>
              <w:jc w:val="center"/>
              <w:rPr>
                <w:rFonts w:ascii="Arial" w:hAnsi="Arial" w:cs="Arial"/>
              </w:rPr>
            </w:pPr>
          </w:p>
        </w:tc>
      </w:tr>
      <w:tr w:rsidR="00FF0471" w:rsidRPr="00E0573F" w14:paraId="08372D82" w14:textId="77777777" w:rsidTr="00FF0471">
        <w:tc>
          <w:tcPr>
            <w:tcW w:w="1617" w:type="dxa"/>
            <w:vMerge w:val="restart"/>
            <w:vAlign w:val="center"/>
          </w:tcPr>
          <w:p w14:paraId="42D29EFC" w14:textId="77777777" w:rsidR="00FF0471" w:rsidRPr="00E0573F" w:rsidRDefault="00FF0471" w:rsidP="00FF0471">
            <w:pPr>
              <w:jc w:val="center"/>
              <w:rPr>
                <w:rFonts w:ascii="Arial" w:hAnsi="Arial" w:cs="Arial"/>
              </w:rPr>
            </w:pPr>
            <w:r w:rsidRPr="00E0573F">
              <w:rPr>
                <w:rFonts w:ascii="Arial" w:hAnsi="Arial" w:cs="Arial"/>
                <w:bCs/>
              </w:rPr>
              <w:lastRenderedPageBreak/>
              <w:t>Alcohol Consumption</w:t>
            </w:r>
          </w:p>
        </w:tc>
        <w:tc>
          <w:tcPr>
            <w:tcW w:w="1346" w:type="dxa"/>
            <w:vAlign w:val="center"/>
          </w:tcPr>
          <w:p w14:paraId="252A1333" w14:textId="77777777" w:rsidR="00FF0471" w:rsidRPr="00E0573F" w:rsidRDefault="00FF0471" w:rsidP="00FF0471">
            <w:pPr>
              <w:jc w:val="center"/>
              <w:rPr>
                <w:rFonts w:ascii="Arial" w:hAnsi="Arial" w:cs="Arial"/>
              </w:rPr>
            </w:pPr>
            <w:r w:rsidRPr="00E0573F">
              <w:rPr>
                <w:rFonts w:ascii="Arial" w:hAnsi="Arial" w:cs="Arial"/>
              </w:rPr>
              <w:t>Yes</w:t>
            </w:r>
          </w:p>
        </w:tc>
        <w:tc>
          <w:tcPr>
            <w:tcW w:w="1350" w:type="dxa"/>
            <w:vAlign w:val="center"/>
          </w:tcPr>
          <w:p w14:paraId="5A2F4359" w14:textId="77777777" w:rsidR="00FF0471" w:rsidRPr="00E0573F" w:rsidRDefault="00FF0471" w:rsidP="00FF0471">
            <w:pPr>
              <w:jc w:val="center"/>
              <w:rPr>
                <w:rFonts w:ascii="Arial" w:hAnsi="Arial" w:cs="Arial"/>
              </w:rPr>
            </w:pPr>
            <w:r w:rsidRPr="00E0573F">
              <w:rPr>
                <w:rFonts w:ascii="Arial" w:hAnsi="Arial" w:cs="Arial"/>
              </w:rPr>
              <w:t>69</w:t>
            </w:r>
          </w:p>
        </w:tc>
        <w:tc>
          <w:tcPr>
            <w:tcW w:w="1438" w:type="dxa"/>
            <w:vAlign w:val="center"/>
          </w:tcPr>
          <w:p w14:paraId="62379388" w14:textId="77777777" w:rsidR="00FF0471" w:rsidRPr="00E0573F" w:rsidRDefault="00FF0471" w:rsidP="00FF0471">
            <w:pPr>
              <w:jc w:val="center"/>
              <w:rPr>
                <w:rFonts w:ascii="Arial" w:hAnsi="Arial" w:cs="Arial"/>
              </w:rPr>
            </w:pPr>
            <w:r w:rsidRPr="00E0573F">
              <w:rPr>
                <w:rFonts w:ascii="Arial" w:hAnsi="Arial" w:cs="Arial"/>
              </w:rPr>
              <w:t>27</w:t>
            </w:r>
          </w:p>
        </w:tc>
        <w:tc>
          <w:tcPr>
            <w:tcW w:w="909" w:type="dxa"/>
            <w:vMerge w:val="restart"/>
            <w:vAlign w:val="center"/>
          </w:tcPr>
          <w:p w14:paraId="0923BF52" w14:textId="77777777" w:rsidR="00FF0471" w:rsidRPr="00E0573F" w:rsidRDefault="00FF0471" w:rsidP="00FF0471">
            <w:pPr>
              <w:jc w:val="center"/>
              <w:rPr>
                <w:rFonts w:ascii="Arial" w:hAnsi="Arial" w:cs="Arial"/>
              </w:rPr>
            </w:pPr>
            <w:r w:rsidRPr="00E0573F">
              <w:rPr>
                <w:rFonts w:ascii="Arial" w:hAnsi="Arial" w:cs="Arial"/>
              </w:rPr>
              <w:t>14.36</w:t>
            </w:r>
          </w:p>
        </w:tc>
        <w:tc>
          <w:tcPr>
            <w:tcW w:w="1800" w:type="dxa"/>
            <w:vMerge w:val="restart"/>
            <w:vAlign w:val="center"/>
          </w:tcPr>
          <w:p w14:paraId="3B6F6A61" w14:textId="77777777" w:rsidR="00FF0471" w:rsidRPr="00E0573F" w:rsidRDefault="00FF0471" w:rsidP="00FF0471">
            <w:pPr>
              <w:jc w:val="center"/>
              <w:rPr>
                <w:rFonts w:ascii="Arial" w:hAnsi="Arial" w:cs="Arial"/>
              </w:rPr>
            </w:pPr>
            <w:r w:rsidRPr="00E0573F">
              <w:rPr>
                <w:rFonts w:ascii="Arial" w:hAnsi="Arial" w:cs="Arial"/>
              </w:rPr>
              <w:t>2.14(1.24-3.71)</w:t>
            </w:r>
          </w:p>
        </w:tc>
        <w:tc>
          <w:tcPr>
            <w:tcW w:w="1080" w:type="dxa"/>
            <w:vMerge w:val="restart"/>
            <w:vAlign w:val="center"/>
          </w:tcPr>
          <w:p w14:paraId="3C50F0EB" w14:textId="77777777" w:rsidR="00FF0471" w:rsidRPr="00E0573F" w:rsidRDefault="00FF0471" w:rsidP="00FF0471">
            <w:pPr>
              <w:jc w:val="center"/>
              <w:rPr>
                <w:rFonts w:ascii="Arial" w:hAnsi="Arial" w:cs="Arial"/>
              </w:rPr>
            </w:pPr>
            <w:r w:rsidRPr="00E0573F">
              <w:rPr>
                <w:rFonts w:ascii="Arial" w:hAnsi="Arial" w:cs="Arial"/>
              </w:rPr>
              <w:t>&lt;0.001</w:t>
            </w:r>
          </w:p>
        </w:tc>
      </w:tr>
      <w:tr w:rsidR="00FF0471" w:rsidRPr="00E0573F" w14:paraId="6CC719EC" w14:textId="77777777" w:rsidTr="00FF0471">
        <w:tc>
          <w:tcPr>
            <w:tcW w:w="1617" w:type="dxa"/>
            <w:vMerge/>
            <w:vAlign w:val="center"/>
          </w:tcPr>
          <w:p w14:paraId="47D9884D" w14:textId="77777777" w:rsidR="00FF0471" w:rsidRPr="00E0573F" w:rsidRDefault="00FF0471" w:rsidP="00FF0471">
            <w:pPr>
              <w:jc w:val="center"/>
              <w:rPr>
                <w:rFonts w:ascii="Arial" w:hAnsi="Arial" w:cs="Arial"/>
              </w:rPr>
            </w:pPr>
          </w:p>
        </w:tc>
        <w:tc>
          <w:tcPr>
            <w:tcW w:w="1346" w:type="dxa"/>
            <w:vAlign w:val="center"/>
          </w:tcPr>
          <w:p w14:paraId="7F4ED506" w14:textId="77777777" w:rsidR="00FF0471" w:rsidRPr="00E0573F" w:rsidRDefault="00FF0471" w:rsidP="00FF0471">
            <w:pPr>
              <w:jc w:val="center"/>
              <w:rPr>
                <w:rFonts w:ascii="Arial" w:hAnsi="Arial" w:cs="Arial"/>
              </w:rPr>
            </w:pPr>
            <w:r w:rsidRPr="00E0573F">
              <w:rPr>
                <w:rFonts w:ascii="Arial" w:hAnsi="Arial" w:cs="Arial"/>
              </w:rPr>
              <w:t>No</w:t>
            </w:r>
          </w:p>
        </w:tc>
        <w:tc>
          <w:tcPr>
            <w:tcW w:w="1350" w:type="dxa"/>
            <w:vAlign w:val="center"/>
          </w:tcPr>
          <w:p w14:paraId="0E4F4C55" w14:textId="77777777" w:rsidR="00FF0471" w:rsidRPr="00E0573F" w:rsidRDefault="00FF0471" w:rsidP="00FF0471">
            <w:pPr>
              <w:jc w:val="center"/>
              <w:rPr>
                <w:rFonts w:ascii="Arial" w:hAnsi="Arial" w:cs="Arial"/>
              </w:rPr>
            </w:pPr>
            <w:r w:rsidRPr="00E0573F">
              <w:rPr>
                <w:rFonts w:ascii="Arial" w:hAnsi="Arial" w:cs="Arial"/>
              </w:rPr>
              <w:t>85</w:t>
            </w:r>
          </w:p>
        </w:tc>
        <w:tc>
          <w:tcPr>
            <w:tcW w:w="1438" w:type="dxa"/>
            <w:vAlign w:val="center"/>
          </w:tcPr>
          <w:p w14:paraId="133003D1" w14:textId="77777777" w:rsidR="00FF0471" w:rsidRPr="00E0573F" w:rsidRDefault="00FF0471" w:rsidP="00FF0471">
            <w:pPr>
              <w:jc w:val="center"/>
              <w:rPr>
                <w:rFonts w:ascii="Arial" w:hAnsi="Arial" w:cs="Arial"/>
              </w:rPr>
            </w:pPr>
            <w:r w:rsidRPr="00E0573F">
              <w:rPr>
                <w:rFonts w:ascii="Arial" w:hAnsi="Arial" w:cs="Arial"/>
              </w:rPr>
              <w:t>71</w:t>
            </w:r>
          </w:p>
        </w:tc>
        <w:tc>
          <w:tcPr>
            <w:tcW w:w="909" w:type="dxa"/>
            <w:vMerge/>
            <w:vAlign w:val="center"/>
          </w:tcPr>
          <w:p w14:paraId="340F1F7A" w14:textId="77777777" w:rsidR="00FF0471" w:rsidRPr="00E0573F" w:rsidRDefault="00FF0471" w:rsidP="00FF0471">
            <w:pPr>
              <w:jc w:val="center"/>
              <w:rPr>
                <w:rFonts w:ascii="Arial" w:hAnsi="Arial" w:cs="Arial"/>
              </w:rPr>
            </w:pPr>
          </w:p>
        </w:tc>
        <w:tc>
          <w:tcPr>
            <w:tcW w:w="1800" w:type="dxa"/>
            <w:vMerge/>
            <w:vAlign w:val="center"/>
          </w:tcPr>
          <w:p w14:paraId="433747CA" w14:textId="77777777" w:rsidR="00FF0471" w:rsidRPr="00E0573F" w:rsidRDefault="00FF0471" w:rsidP="00FF0471">
            <w:pPr>
              <w:jc w:val="center"/>
              <w:rPr>
                <w:rFonts w:ascii="Arial" w:hAnsi="Arial" w:cs="Arial"/>
              </w:rPr>
            </w:pPr>
          </w:p>
        </w:tc>
        <w:tc>
          <w:tcPr>
            <w:tcW w:w="1080" w:type="dxa"/>
            <w:vMerge/>
            <w:vAlign w:val="center"/>
          </w:tcPr>
          <w:p w14:paraId="3AC9DA43" w14:textId="77777777" w:rsidR="00FF0471" w:rsidRPr="00E0573F" w:rsidRDefault="00FF0471" w:rsidP="00FF0471">
            <w:pPr>
              <w:jc w:val="center"/>
              <w:rPr>
                <w:rFonts w:ascii="Arial" w:hAnsi="Arial" w:cs="Arial"/>
              </w:rPr>
            </w:pPr>
          </w:p>
        </w:tc>
      </w:tr>
      <w:tr w:rsidR="00FF0471" w:rsidRPr="00E0573F" w14:paraId="751E7730" w14:textId="77777777" w:rsidTr="00FF0471">
        <w:tc>
          <w:tcPr>
            <w:tcW w:w="1617" w:type="dxa"/>
            <w:vMerge w:val="restart"/>
            <w:vAlign w:val="center"/>
          </w:tcPr>
          <w:p w14:paraId="2D3A6DEB" w14:textId="77777777" w:rsidR="00FF0471" w:rsidRPr="00E0573F" w:rsidRDefault="00FF0471" w:rsidP="00FF0471">
            <w:pPr>
              <w:jc w:val="center"/>
              <w:rPr>
                <w:rFonts w:ascii="Arial" w:hAnsi="Arial" w:cs="Arial"/>
              </w:rPr>
            </w:pPr>
            <w:r w:rsidRPr="00E0573F">
              <w:rPr>
                <w:rFonts w:ascii="Arial" w:hAnsi="Arial" w:cs="Arial"/>
                <w:bCs/>
              </w:rPr>
              <w:t xml:space="preserve">Meals per </w:t>
            </w:r>
          </w:p>
          <w:p w14:paraId="35979B86" w14:textId="77777777" w:rsidR="00FF0471" w:rsidRPr="00E0573F" w:rsidRDefault="00FF0471" w:rsidP="00FF0471">
            <w:pPr>
              <w:jc w:val="center"/>
              <w:rPr>
                <w:rFonts w:ascii="Arial" w:hAnsi="Arial" w:cs="Arial"/>
              </w:rPr>
            </w:pPr>
            <w:r w:rsidRPr="00E0573F">
              <w:rPr>
                <w:rFonts w:ascii="Arial" w:hAnsi="Arial" w:cs="Arial"/>
                <w:bCs/>
              </w:rPr>
              <w:t>Day</w:t>
            </w:r>
          </w:p>
        </w:tc>
        <w:tc>
          <w:tcPr>
            <w:tcW w:w="1346" w:type="dxa"/>
            <w:vAlign w:val="center"/>
          </w:tcPr>
          <w:p w14:paraId="143644A4" w14:textId="77777777" w:rsidR="00FF0471" w:rsidRPr="00E0573F" w:rsidRDefault="00FF0471" w:rsidP="00FF0471">
            <w:pPr>
              <w:jc w:val="center"/>
              <w:rPr>
                <w:rFonts w:ascii="Arial" w:hAnsi="Arial" w:cs="Arial"/>
              </w:rPr>
            </w:pPr>
            <w:r w:rsidRPr="00E0573F">
              <w:rPr>
                <w:rFonts w:ascii="Arial" w:hAnsi="Arial" w:cs="Arial"/>
              </w:rPr>
              <w:t>&lt;3 Meals</w:t>
            </w:r>
          </w:p>
        </w:tc>
        <w:tc>
          <w:tcPr>
            <w:tcW w:w="1350" w:type="dxa"/>
            <w:vAlign w:val="center"/>
          </w:tcPr>
          <w:p w14:paraId="00F3FCB5" w14:textId="77777777" w:rsidR="00FF0471" w:rsidRPr="00E0573F" w:rsidRDefault="00FF0471" w:rsidP="00FF0471">
            <w:pPr>
              <w:jc w:val="center"/>
              <w:rPr>
                <w:rFonts w:ascii="Arial" w:hAnsi="Arial" w:cs="Arial"/>
              </w:rPr>
            </w:pPr>
            <w:r w:rsidRPr="00E0573F">
              <w:rPr>
                <w:rFonts w:ascii="Arial" w:hAnsi="Arial" w:cs="Arial"/>
              </w:rPr>
              <w:t>77</w:t>
            </w:r>
          </w:p>
        </w:tc>
        <w:tc>
          <w:tcPr>
            <w:tcW w:w="1438" w:type="dxa"/>
            <w:vAlign w:val="center"/>
          </w:tcPr>
          <w:p w14:paraId="2B3256EA" w14:textId="77777777" w:rsidR="00FF0471" w:rsidRPr="00E0573F" w:rsidRDefault="00FF0471" w:rsidP="00FF0471">
            <w:pPr>
              <w:jc w:val="center"/>
              <w:rPr>
                <w:rFonts w:ascii="Arial" w:hAnsi="Arial" w:cs="Arial"/>
              </w:rPr>
            </w:pPr>
            <w:r w:rsidRPr="00E0573F">
              <w:rPr>
                <w:rFonts w:ascii="Arial" w:hAnsi="Arial" w:cs="Arial"/>
              </w:rPr>
              <w:t>19</w:t>
            </w:r>
          </w:p>
        </w:tc>
        <w:tc>
          <w:tcPr>
            <w:tcW w:w="909" w:type="dxa"/>
            <w:vMerge w:val="restart"/>
            <w:vAlign w:val="center"/>
          </w:tcPr>
          <w:p w14:paraId="453D1A76" w14:textId="77777777" w:rsidR="00FF0471" w:rsidRPr="00E0573F" w:rsidRDefault="00FF0471" w:rsidP="00FF0471">
            <w:pPr>
              <w:jc w:val="center"/>
              <w:rPr>
                <w:rFonts w:ascii="Arial" w:hAnsi="Arial" w:cs="Arial"/>
              </w:rPr>
            </w:pPr>
            <w:r w:rsidRPr="00E0573F">
              <w:rPr>
                <w:rFonts w:ascii="Arial" w:hAnsi="Arial" w:cs="Arial"/>
              </w:rPr>
              <w:t>24.67</w:t>
            </w:r>
          </w:p>
        </w:tc>
        <w:tc>
          <w:tcPr>
            <w:tcW w:w="1800" w:type="dxa"/>
            <w:vMerge w:val="restart"/>
            <w:vAlign w:val="center"/>
          </w:tcPr>
          <w:p w14:paraId="542D02D6" w14:textId="77777777" w:rsidR="00FF0471" w:rsidRPr="00E0573F" w:rsidRDefault="00FF0471" w:rsidP="00FF0471">
            <w:pPr>
              <w:jc w:val="center"/>
              <w:rPr>
                <w:rFonts w:ascii="Arial" w:hAnsi="Arial" w:cs="Arial"/>
              </w:rPr>
            </w:pPr>
            <w:r w:rsidRPr="00E0573F">
              <w:rPr>
                <w:rFonts w:ascii="Arial" w:hAnsi="Arial" w:cs="Arial"/>
              </w:rPr>
              <w:t>4.16(2.36-7.34)</w:t>
            </w:r>
          </w:p>
        </w:tc>
        <w:tc>
          <w:tcPr>
            <w:tcW w:w="1080" w:type="dxa"/>
            <w:vMerge w:val="restart"/>
            <w:vAlign w:val="center"/>
          </w:tcPr>
          <w:p w14:paraId="5DD2A55B" w14:textId="77777777" w:rsidR="00FF0471" w:rsidRPr="00E0573F" w:rsidRDefault="00FF0471" w:rsidP="00FF0471">
            <w:pPr>
              <w:jc w:val="center"/>
              <w:rPr>
                <w:rFonts w:ascii="Arial" w:hAnsi="Arial" w:cs="Arial"/>
              </w:rPr>
            </w:pPr>
            <w:r w:rsidRPr="00E0573F">
              <w:rPr>
                <w:rFonts w:ascii="Arial" w:hAnsi="Arial" w:cs="Arial"/>
              </w:rPr>
              <w:t>&lt;0.001</w:t>
            </w:r>
          </w:p>
        </w:tc>
      </w:tr>
      <w:tr w:rsidR="00FF0471" w:rsidRPr="00E0573F" w14:paraId="1506C151" w14:textId="77777777" w:rsidTr="00FF0471">
        <w:tc>
          <w:tcPr>
            <w:tcW w:w="1617" w:type="dxa"/>
            <w:vMerge/>
            <w:vAlign w:val="center"/>
          </w:tcPr>
          <w:p w14:paraId="2CCF5231" w14:textId="77777777" w:rsidR="00FF0471" w:rsidRPr="00E0573F" w:rsidRDefault="00FF0471" w:rsidP="00FF0471">
            <w:pPr>
              <w:jc w:val="center"/>
              <w:rPr>
                <w:rFonts w:ascii="Arial" w:hAnsi="Arial" w:cs="Arial"/>
              </w:rPr>
            </w:pPr>
          </w:p>
        </w:tc>
        <w:tc>
          <w:tcPr>
            <w:tcW w:w="1346" w:type="dxa"/>
            <w:vAlign w:val="center"/>
          </w:tcPr>
          <w:p w14:paraId="2890EF0E" w14:textId="77777777" w:rsidR="00FF0471" w:rsidRPr="00E0573F" w:rsidRDefault="00FF0471" w:rsidP="00FF0471">
            <w:pPr>
              <w:jc w:val="center"/>
              <w:rPr>
                <w:rFonts w:ascii="Arial" w:hAnsi="Arial" w:cs="Arial"/>
              </w:rPr>
            </w:pPr>
            <w:r w:rsidRPr="00E0573F">
              <w:rPr>
                <w:rFonts w:ascii="Arial" w:hAnsi="Arial" w:cs="Arial"/>
              </w:rPr>
              <w:t>≥3 Meals</w:t>
            </w:r>
          </w:p>
        </w:tc>
        <w:tc>
          <w:tcPr>
            <w:tcW w:w="1350" w:type="dxa"/>
            <w:vAlign w:val="center"/>
          </w:tcPr>
          <w:p w14:paraId="5B2FA9FA" w14:textId="77777777" w:rsidR="00FF0471" w:rsidRPr="00E0573F" w:rsidRDefault="00FF0471" w:rsidP="00FF0471">
            <w:pPr>
              <w:jc w:val="center"/>
              <w:rPr>
                <w:rFonts w:ascii="Arial" w:hAnsi="Arial" w:cs="Arial"/>
              </w:rPr>
            </w:pPr>
            <w:r w:rsidRPr="00E0573F">
              <w:rPr>
                <w:rFonts w:ascii="Arial" w:hAnsi="Arial" w:cs="Arial"/>
              </w:rPr>
              <w:t>77</w:t>
            </w:r>
          </w:p>
        </w:tc>
        <w:tc>
          <w:tcPr>
            <w:tcW w:w="1438" w:type="dxa"/>
            <w:vAlign w:val="center"/>
          </w:tcPr>
          <w:p w14:paraId="4E98B702" w14:textId="77777777" w:rsidR="00FF0471" w:rsidRPr="00E0573F" w:rsidRDefault="00FF0471" w:rsidP="00FF0471">
            <w:pPr>
              <w:jc w:val="center"/>
              <w:rPr>
                <w:rFonts w:ascii="Arial" w:hAnsi="Arial" w:cs="Arial"/>
              </w:rPr>
            </w:pPr>
            <w:r w:rsidRPr="00E0573F">
              <w:rPr>
                <w:rFonts w:ascii="Arial" w:hAnsi="Arial" w:cs="Arial"/>
              </w:rPr>
              <w:t>79</w:t>
            </w:r>
          </w:p>
        </w:tc>
        <w:tc>
          <w:tcPr>
            <w:tcW w:w="909" w:type="dxa"/>
            <w:vMerge/>
            <w:vAlign w:val="center"/>
          </w:tcPr>
          <w:p w14:paraId="53B1A3BD" w14:textId="77777777" w:rsidR="00FF0471" w:rsidRPr="00E0573F" w:rsidRDefault="00FF0471" w:rsidP="00FF0471">
            <w:pPr>
              <w:jc w:val="center"/>
              <w:rPr>
                <w:rFonts w:ascii="Arial" w:hAnsi="Arial" w:cs="Arial"/>
              </w:rPr>
            </w:pPr>
          </w:p>
        </w:tc>
        <w:tc>
          <w:tcPr>
            <w:tcW w:w="1800" w:type="dxa"/>
            <w:vMerge/>
            <w:vAlign w:val="center"/>
          </w:tcPr>
          <w:p w14:paraId="60E36598" w14:textId="77777777" w:rsidR="00FF0471" w:rsidRPr="00E0573F" w:rsidRDefault="00FF0471" w:rsidP="00FF0471">
            <w:pPr>
              <w:jc w:val="center"/>
              <w:rPr>
                <w:rFonts w:ascii="Arial" w:hAnsi="Arial" w:cs="Arial"/>
              </w:rPr>
            </w:pPr>
          </w:p>
        </w:tc>
        <w:tc>
          <w:tcPr>
            <w:tcW w:w="1080" w:type="dxa"/>
            <w:vMerge/>
            <w:vAlign w:val="center"/>
          </w:tcPr>
          <w:p w14:paraId="0EBD738E" w14:textId="77777777" w:rsidR="00FF0471" w:rsidRPr="00E0573F" w:rsidRDefault="00FF0471" w:rsidP="00FF0471">
            <w:pPr>
              <w:jc w:val="center"/>
              <w:rPr>
                <w:rFonts w:ascii="Arial" w:hAnsi="Arial" w:cs="Arial"/>
              </w:rPr>
            </w:pPr>
          </w:p>
        </w:tc>
      </w:tr>
      <w:tr w:rsidR="00FF0471" w:rsidRPr="00E0573F" w14:paraId="4EFA3674" w14:textId="77777777" w:rsidTr="00FF0471">
        <w:tc>
          <w:tcPr>
            <w:tcW w:w="1617" w:type="dxa"/>
            <w:vMerge w:val="restart"/>
            <w:vAlign w:val="center"/>
          </w:tcPr>
          <w:p w14:paraId="3F32F2C7" w14:textId="77777777" w:rsidR="00FF0471" w:rsidRPr="00E0573F" w:rsidRDefault="00FF0471" w:rsidP="00FF0471">
            <w:pPr>
              <w:jc w:val="center"/>
              <w:rPr>
                <w:rFonts w:ascii="Arial" w:hAnsi="Arial" w:cs="Arial"/>
              </w:rPr>
            </w:pPr>
            <w:r w:rsidRPr="00E0573F">
              <w:rPr>
                <w:rFonts w:ascii="Arial" w:hAnsi="Arial" w:cs="Arial"/>
              </w:rPr>
              <w:t>Drug Use</w:t>
            </w:r>
          </w:p>
        </w:tc>
        <w:tc>
          <w:tcPr>
            <w:tcW w:w="1346" w:type="dxa"/>
            <w:vAlign w:val="center"/>
          </w:tcPr>
          <w:p w14:paraId="20989888" w14:textId="77777777" w:rsidR="00FF0471" w:rsidRPr="00E0573F" w:rsidRDefault="00FF0471" w:rsidP="00FF0471">
            <w:pPr>
              <w:jc w:val="center"/>
              <w:rPr>
                <w:rFonts w:ascii="Arial" w:hAnsi="Arial" w:cs="Arial"/>
              </w:rPr>
            </w:pPr>
            <w:r w:rsidRPr="00E0573F">
              <w:rPr>
                <w:rFonts w:ascii="Arial" w:hAnsi="Arial" w:cs="Arial"/>
              </w:rPr>
              <w:t>Yes</w:t>
            </w:r>
          </w:p>
        </w:tc>
        <w:tc>
          <w:tcPr>
            <w:tcW w:w="1350" w:type="dxa"/>
            <w:vAlign w:val="center"/>
          </w:tcPr>
          <w:p w14:paraId="192063E3" w14:textId="77777777" w:rsidR="00FF0471" w:rsidRPr="00E0573F" w:rsidRDefault="00FF0471" w:rsidP="00FF0471">
            <w:pPr>
              <w:jc w:val="center"/>
              <w:rPr>
                <w:rFonts w:ascii="Arial" w:hAnsi="Arial" w:cs="Arial"/>
              </w:rPr>
            </w:pPr>
            <w:r w:rsidRPr="00E0573F">
              <w:rPr>
                <w:rFonts w:ascii="Arial" w:hAnsi="Arial" w:cs="Arial"/>
              </w:rPr>
              <w:t>48</w:t>
            </w:r>
          </w:p>
        </w:tc>
        <w:tc>
          <w:tcPr>
            <w:tcW w:w="1438" w:type="dxa"/>
            <w:vAlign w:val="center"/>
          </w:tcPr>
          <w:p w14:paraId="0AA4C413" w14:textId="77777777" w:rsidR="00FF0471" w:rsidRPr="00E0573F" w:rsidRDefault="00FF0471" w:rsidP="00FF0471">
            <w:pPr>
              <w:jc w:val="center"/>
              <w:rPr>
                <w:rFonts w:ascii="Arial" w:hAnsi="Arial" w:cs="Arial"/>
              </w:rPr>
            </w:pPr>
            <w:r w:rsidRPr="00E0573F">
              <w:rPr>
                <w:rFonts w:ascii="Arial" w:hAnsi="Arial" w:cs="Arial"/>
              </w:rPr>
              <w:t>12</w:t>
            </w:r>
          </w:p>
        </w:tc>
        <w:tc>
          <w:tcPr>
            <w:tcW w:w="909" w:type="dxa"/>
            <w:vMerge w:val="restart"/>
            <w:vAlign w:val="center"/>
          </w:tcPr>
          <w:p w14:paraId="6E02C0C0" w14:textId="77777777" w:rsidR="00FF0471" w:rsidRPr="00E0573F" w:rsidRDefault="00FF0471" w:rsidP="00FF0471">
            <w:pPr>
              <w:jc w:val="center"/>
              <w:rPr>
                <w:rFonts w:ascii="Arial" w:hAnsi="Arial" w:cs="Arial"/>
              </w:rPr>
            </w:pPr>
            <w:r w:rsidRPr="00E0573F">
              <w:rPr>
                <w:rFonts w:ascii="Arial" w:hAnsi="Arial" w:cs="Arial"/>
              </w:rPr>
              <w:t>10.91</w:t>
            </w:r>
          </w:p>
        </w:tc>
        <w:tc>
          <w:tcPr>
            <w:tcW w:w="1800" w:type="dxa"/>
            <w:vMerge w:val="restart"/>
            <w:vAlign w:val="center"/>
          </w:tcPr>
          <w:p w14:paraId="7AA97A43" w14:textId="77777777" w:rsidR="00FF0471" w:rsidRPr="00E0573F" w:rsidRDefault="00FF0471" w:rsidP="00FF0471">
            <w:pPr>
              <w:jc w:val="center"/>
              <w:rPr>
                <w:rFonts w:ascii="Arial" w:hAnsi="Arial" w:cs="Arial"/>
              </w:rPr>
            </w:pPr>
            <w:r w:rsidRPr="00E0573F">
              <w:rPr>
                <w:rFonts w:ascii="Arial" w:hAnsi="Arial" w:cs="Arial"/>
              </w:rPr>
              <w:t>3.25(1.60-6.59)</w:t>
            </w:r>
          </w:p>
        </w:tc>
        <w:tc>
          <w:tcPr>
            <w:tcW w:w="1080" w:type="dxa"/>
            <w:vMerge w:val="restart"/>
            <w:vAlign w:val="center"/>
          </w:tcPr>
          <w:p w14:paraId="52C44790" w14:textId="77777777" w:rsidR="00FF0471" w:rsidRPr="00E0573F" w:rsidRDefault="00FF0471" w:rsidP="00FF0471">
            <w:pPr>
              <w:jc w:val="center"/>
              <w:rPr>
                <w:rFonts w:ascii="Arial" w:hAnsi="Arial" w:cs="Arial"/>
              </w:rPr>
            </w:pPr>
            <w:r w:rsidRPr="00E0573F">
              <w:rPr>
                <w:rFonts w:ascii="Arial" w:hAnsi="Arial" w:cs="Arial"/>
              </w:rPr>
              <w:t>0.001</w:t>
            </w:r>
          </w:p>
        </w:tc>
      </w:tr>
      <w:tr w:rsidR="00FF0471" w:rsidRPr="00E0573F" w14:paraId="33276782" w14:textId="77777777" w:rsidTr="00FF0471">
        <w:tc>
          <w:tcPr>
            <w:tcW w:w="1617" w:type="dxa"/>
            <w:vMerge/>
            <w:vAlign w:val="center"/>
          </w:tcPr>
          <w:p w14:paraId="7007E37E" w14:textId="77777777" w:rsidR="00FF0471" w:rsidRPr="00E0573F" w:rsidRDefault="00FF0471" w:rsidP="00FF0471">
            <w:pPr>
              <w:jc w:val="center"/>
              <w:rPr>
                <w:rFonts w:ascii="Arial" w:hAnsi="Arial" w:cs="Arial"/>
              </w:rPr>
            </w:pPr>
          </w:p>
        </w:tc>
        <w:tc>
          <w:tcPr>
            <w:tcW w:w="1346" w:type="dxa"/>
            <w:vAlign w:val="center"/>
          </w:tcPr>
          <w:p w14:paraId="79AF536E" w14:textId="77777777" w:rsidR="00FF0471" w:rsidRPr="00E0573F" w:rsidRDefault="00FF0471" w:rsidP="00FF0471">
            <w:pPr>
              <w:jc w:val="center"/>
              <w:rPr>
                <w:rFonts w:ascii="Arial" w:hAnsi="Arial" w:cs="Arial"/>
              </w:rPr>
            </w:pPr>
            <w:r w:rsidRPr="00E0573F">
              <w:rPr>
                <w:rFonts w:ascii="Arial" w:hAnsi="Arial" w:cs="Arial"/>
              </w:rPr>
              <w:t>No</w:t>
            </w:r>
          </w:p>
        </w:tc>
        <w:tc>
          <w:tcPr>
            <w:tcW w:w="1350" w:type="dxa"/>
            <w:vAlign w:val="center"/>
          </w:tcPr>
          <w:p w14:paraId="56208A23" w14:textId="77777777" w:rsidR="00FF0471" w:rsidRPr="00E0573F" w:rsidRDefault="00FF0471" w:rsidP="00FF0471">
            <w:pPr>
              <w:jc w:val="center"/>
              <w:rPr>
                <w:rFonts w:ascii="Arial" w:hAnsi="Arial" w:cs="Arial"/>
              </w:rPr>
            </w:pPr>
            <w:r w:rsidRPr="00E0573F">
              <w:rPr>
                <w:rFonts w:ascii="Arial" w:hAnsi="Arial" w:cs="Arial"/>
              </w:rPr>
              <w:t>106</w:t>
            </w:r>
          </w:p>
        </w:tc>
        <w:tc>
          <w:tcPr>
            <w:tcW w:w="1438" w:type="dxa"/>
            <w:vAlign w:val="center"/>
          </w:tcPr>
          <w:p w14:paraId="39603F33" w14:textId="77777777" w:rsidR="00FF0471" w:rsidRPr="00E0573F" w:rsidRDefault="00FF0471" w:rsidP="00FF0471">
            <w:pPr>
              <w:jc w:val="center"/>
              <w:rPr>
                <w:rFonts w:ascii="Arial" w:hAnsi="Arial" w:cs="Arial"/>
              </w:rPr>
            </w:pPr>
            <w:r w:rsidRPr="00E0573F">
              <w:rPr>
                <w:rFonts w:ascii="Arial" w:hAnsi="Arial" w:cs="Arial"/>
              </w:rPr>
              <w:t>86</w:t>
            </w:r>
          </w:p>
        </w:tc>
        <w:tc>
          <w:tcPr>
            <w:tcW w:w="909" w:type="dxa"/>
            <w:vMerge/>
            <w:vAlign w:val="center"/>
          </w:tcPr>
          <w:p w14:paraId="3C65633D" w14:textId="77777777" w:rsidR="00FF0471" w:rsidRPr="00E0573F" w:rsidRDefault="00FF0471" w:rsidP="00FF0471">
            <w:pPr>
              <w:jc w:val="center"/>
              <w:rPr>
                <w:rFonts w:ascii="Arial" w:hAnsi="Arial" w:cs="Arial"/>
              </w:rPr>
            </w:pPr>
          </w:p>
        </w:tc>
        <w:tc>
          <w:tcPr>
            <w:tcW w:w="1800" w:type="dxa"/>
            <w:vMerge/>
            <w:vAlign w:val="center"/>
          </w:tcPr>
          <w:p w14:paraId="189D0197" w14:textId="77777777" w:rsidR="00FF0471" w:rsidRPr="00E0573F" w:rsidRDefault="00FF0471" w:rsidP="00FF0471">
            <w:pPr>
              <w:jc w:val="center"/>
              <w:rPr>
                <w:rFonts w:ascii="Arial" w:hAnsi="Arial" w:cs="Arial"/>
              </w:rPr>
            </w:pPr>
          </w:p>
        </w:tc>
        <w:tc>
          <w:tcPr>
            <w:tcW w:w="1080" w:type="dxa"/>
            <w:vMerge/>
            <w:vAlign w:val="center"/>
          </w:tcPr>
          <w:p w14:paraId="5A52BCF2" w14:textId="77777777" w:rsidR="00FF0471" w:rsidRPr="00E0573F" w:rsidRDefault="00FF0471" w:rsidP="00FF0471">
            <w:pPr>
              <w:jc w:val="center"/>
              <w:rPr>
                <w:rFonts w:ascii="Arial" w:hAnsi="Arial" w:cs="Arial"/>
              </w:rPr>
            </w:pPr>
          </w:p>
        </w:tc>
      </w:tr>
    </w:tbl>
    <w:p w14:paraId="09BAA6AB" w14:textId="77777777" w:rsidR="005C3A1E" w:rsidRPr="00E0573F" w:rsidRDefault="005C3A1E" w:rsidP="00FF0471">
      <w:pPr>
        <w:pStyle w:val="NormalWeb"/>
        <w:spacing w:before="0" w:beforeAutospacing="0" w:after="0" w:afterAutospacing="0"/>
        <w:jc w:val="both"/>
        <w:rPr>
          <w:rFonts w:ascii="Arial" w:hAnsi="Arial" w:cs="Arial"/>
          <w:sz w:val="20"/>
          <w:szCs w:val="20"/>
        </w:rPr>
      </w:pPr>
    </w:p>
    <w:p w14:paraId="5898A9B0" w14:textId="77777777" w:rsidR="005C3A1E" w:rsidRPr="00E0573F" w:rsidRDefault="005C3A1E" w:rsidP="005C3A1E">
      <w:pPr>
        <w:pStyle w:val="NormalWeb"/>
        <w:spacing w:after="0" w:afterAutospacing="0"/>
        <w:jc w:val="both"/>
        <w:rPr>
          <w:rFonts w:ascii="Arial" w:hAnsi="Arial" w:cs="Arial"/>
          <w:sz w:val="20"/>
          <w:szCs w:val="20"/>
        </w:rPr>
      </w:pPr>
      <w:r w:rsidRPr="00E0573F">
        <w:rPr>
          <w:rFonts w:ascii="Arial" w:hAnsi="Arial" w:cs="Arial"/>
          <w:sz w:val="20"/>
          <w:szCs w:val="20"/>
        </w:rPr>
        <w:t>The null hypothesis (H₀₂) stated that there was no significant association between environmental and behavioural risk factors and tuberculosis infection. The results in Tables 8 and 9 led to the rejection of this null hypothesis, as all the environmental and behavioural variables examined were reported as significantly associated with TB infection (p &lt; 0.05).</w:t>
      </w:r>
    </w:p>
    <w:p w14:paraId="73B2AE49" w14:textId="77777777" w:rsidR="005C3A1E" w:rsidRPr="00E0573F" w:rsidRDefault="005C3A1E" w:rsidP="005C3A1E">
      <w:pPr>
        <w:pStyle w:val="NormalWeb"/>
        <w:spacing w:after="0" w:afterAutospacing="0"/>
        <w:jc w:val="both"/>
        <w:rPr>
          <w:rFonts w:ascii="Arial" w:hAnsi="Arial" w:cs="Arial"/>
          <w:sz w:val="20"/>
          <w:szCs w:val="20"/>
        </w:rPr>
      </w:pPr>
      <w:r w:rsidRPr="00E0573F">
        <w:rPr>
          <w:rFonts w:ascii="Arial" w:hAnsi="Arial" w:cs="Arial"/>
          <w:sz w:val="20"/>
          <w:szCs w:val="20"/>
        </w:rPr>
        <w:t>Overcrowding significantly increased the risk of TB (χ² = 18.66, COR = 4.34, 95% CI: 2.52–7.48), indicating that individuals living in overcrowded households were more than four times as likely to be infected. Inadequate ventilation (χ² = 22.41, COR = 3.97, 95% CI: 2.33–6.77) and poor lighting (χ² = 26.88, COR = 3.18, 95% CI: 2.24–6.48) were also strongly associated with TB, reflecting the role of poor housing conditions in facilitating airborne transmission. The use of biomass fuels, such as firewood and charcoal, for cooking significantly increased TB risk (χ² = 13.29, COR = 2.19, 95% CI: 1.26–3.80), highlighting indoor air pollution as a contributor to infection.</w:t>
      </w:r>
    </w:p>
    <w:p w14:paraId="28D50F32" w14:textId="77777777" w:rsidR="005C3A1E" w:rsidRPr="00E0573F" w:rsidRDefault="005C3A1E" w:rsidP="005C3A1E">
      <w:pPr>
        <w:pStyle w:val="NormalWeb"/>
        <w:spacing w:after="0" w:afterAutospacing="0"/>
        <w:jc w:val="both"/>
        <w:rPr>
          <w:rFonts w:ascii="Arial" w:hAnsi="Arial" w:cs="Arial"/>
          <w:sz w:val="20"/>
          <w:szCs w:val="20"/>
        </w:rPr>
      </w:pPr>
      <w:r w:rsidRPr="00E0573F">
        <w:rPr>
          <w:rFonts w:ascii="Arial" w:hAnsi="Arial" w:cs="Arial"/>
          <w:sz w:val="20"/>
          <w:szCs w:val="20"/>
        </w:rPr>
        <w:t>Smoking history was strongly associated with TB (χ² = 21.44, COR = 3.90, 95% CI: 2.14–7.11), indicating that smokers were almost four times as likely to develop TB as non-smokers. Alcohol consumption increased TB risk (χ² = 14.36, COR = 2.14, 95% CI: 1.24–3.71), suggesting that alcohol use may compromise immunity. Undernutrition, measured as the consumption of fewer than three meals per day, was also a significant predictor (χ² = 24.67, COR = 4.16, 95% CI: 2.36–7.34). Drug use increased susceptibility to TB (χ² = 10.91, COR = 3.25, 95% CI: 1.60–6.59), further supporting the importance of behavioural risk factors as determinants.</w:t>
      </w:r>
    </w:p>
    <w:p w14:paraId="10B4C191" w14:textId="77777777" w:rsidR="005C3A1E" w:rsidRPr="00E0573F" w:rsidRDefault="005C3A1E" w:rsidP="005C3A1E">
      <w:pPr>
        <w:pStyle w:val="NormalWeb"/>
        <w:spacing w:after="0" w:afterAutospacing="0"/>
        <w:jc w:val="both"/>
        <w:rPr>
          <w:rFonts w:ascii="Arial" w:hAnsi="Arial" w:cs="Arial"/>
          <w:sz w:val="20"/>
          <w:szCs w:val="20"/>
        </w:rPr>
      </w:pPr>
      <w:r w:rsidRPr="00E0573F">
        <w:rPr>
          <w:rFonts w:ascii="Arial" w:hAnsi="Arial" w:cs="Arial"/>
          <w:sz w:val="20"/>
          <w:szCs w:val="20"/>
        </w:rPr>
        <w:t>Because all the environmental and behavioural risk factors examined had reported p-values below 0.05, the null hypothesis (H₀₂) was rejected. This indicates a statistically significant association between environmental and behavioural risk factors and tuberculosis infection among high-risk populations in Makurdi LGA. These findings suggest that poor housing conditions, biomass-fuel use, smoking, alcohol consumption, poor nutrition, and drug use play important roles in increasing the risk of tuberculosis infection in the study area.</w:t>
      </w:r>
    </w:p>
    <w:p w14:paraId="01728756" w14:textId="77777777" w:rsidR="005C3A1E" w:rsidRPr="00E0573F" w:rsidRDefault="005C3A1E" w:rsidP="00FF0471">
      <w:pPr>
        <w:pStyle w:val="NormalWeb"/>
        <w:spacing w:before="0" w:beforeAutospacing="0" w:after="0" w:afterAutospacing="0"/>
        <w:jc w:val="both"/>
        <w:rPr>
          <w:rFonts w:ascii="Arial" w:hAnsi="Arial" w:cs="Arial"/>
          <w:sz w:val="20"/>
          <w:szCs w:val="20"/>
        </w:rPr>
      </w:pPr>
    </w:p>
    <w:p w14:paraId="21BE8F70" w14:textId="77777777" w:rsidR="00FF0471" w:rsidRPr="00E0573F" w:rsidRDefault="00FF0471" w:rsidP="00FF0471">
      <w:pPr>
        <w:pStyle w:val="NormalWeb"/>
        <w:spacing w:before="0" w:beforeAutospacing="0" w:after="0" w:afterAutospacing="0"/>
        <w:jc w:val="both"/>
        <w:rPr>
          <w:rFonts w:ascii="Arial" w:hAnsi="Arial" w:cs="Arial"/>
          <w:sz w:val="20"/>
          <w:szCs w:val="20"/>
        </w:rPr>
      </w:pPr>
      <w:r w:rsidRPr="00E0573F">
        <w:rPr>
          <w:rFonts w:ascii="Arial" w:hAnsi="Arial" w:cs="Arial"/>
          <w:sz w:val="20"/>
          <w:szCs w:val="20"/>
        </w:rPr>
        <w:t>Table 10 presents the results of the chi-square analysis examining the association between HIV status and tuberculosis infection among high-risk populations in Makurdi Local Government Area. This analysis was conducted to test the following hypothesis:</w:t>
      </w:r>
    </w:p>
    <w:p w14:paraId="26918113" w14:textId="77777777" w:rsidR="00FF0471" w:rsidRPr="00E0573F" w:rsidRDefault="00FF0471" w:rsidP="00FF0471">
      <w:pPr>
        <w:pStyle w:val="NormalWeb"/>
        <w:spacing w:before="0" w:beforeAutospacing="0" w:after="0" w:afterAutospacing="0"/>
        <w:jc w:val="both"/>
        <w:rPr>
          <w:rFonts w:ascii="Arial" w:hAnsi="Arial" w:cs="Arial"/>
          <w:sz w:val="20"/>
          <w:szCs w:val="20"/>
        </w:rPr>
      </w:pPr>
      <w:r w:rsidRPr="00E0573F">
        <w:rPr>
          <w:rFonts w:ascii="Arial" w:hAnsi="Arial" w:cs="Arial"/>
          <w:sz w:val="20"/>
          <w:szCs w:val="20"/>
        </w:rPr>
        <w:t xml:space="preserve">H₀₃: </w:t>
      </w:r>
      <w:r w:rsidRPr="00E0573F">
        <w:rPr>
          <w:rFonts w:ascii="Arial" w:hAnsi="Arial" w:cs="Arial"/>
          <w:i/>
          <w:sz w:val="20"/>
          <w:szCs w:val="20"/>
        </w:rPr>
        <w:t>HIV status is not significantly associated with tuberculosis infection among high-risk groups.</w:t>
      </w:r>
    </w:p>
    <w:p w14:paraId="37117C86" w14:textId="77777777" w:rsidR="00FF0471" w:rsidRPr="00E0573F" w:rsidRDefault="00FF0471" w:rsidP="005C3A1E">
      <w:pPr>
        <w:pStyle w:val="NormalWeb"/>
        <w:spacing w:before="0" w:beforeAutospacing="0" w:after="0" w:afterAutospacing="0"/>
        <w:jc w:val="both"/>
        <w:rPr>
          <w:rFonts w:ascii="Arial" w:hAnsi="Arial" w:cs="Arial"/>
          <w:sz w:val="20"/>
          <w:szCs w:val="20"/>
        </w:rPr>
      </w:pPr>
      <w:r w:rsidRPr="00E0573F">
        <w:rPr>
          <w:rFonts w:ascii="Arial" w:hAnsi="Arial" w:cs="Arial"/>
          <w:sz w:val="20"/>
          <w:szCs w:val="20"/>
        </w:rPr>
        <w:t>The chi-square (χ²) test was applied at the 5% level of significance to determine whether HIV infection influenced the likelihood of contracting TB.</w:t>
      </w:r>
    </w:p>
    <w:p w14:paraId="34E2EEDE" w14:textId="77777777" w:rsidR="00FF0471" w:rsidRPr="00E0573F" w:rsidRDefault="00FF0471" w:rsidP="00FF0471">
      <w:pPr>
        <w:rPr>
          <w:rFonts w:ascii="Arial" w:hAnsi="Arial" w:cs="Arial"/>
          <w:b/>
        </w:rPr>
      </w:pPr>
      <w:r w:rsidRPr="00E0573F">
        <w:rPr>
          <w:rFonts w:ascii="Arial" w:hAnsi="Arial" w:cs="Arial"/>
          <w:b/>
        </w:rPr>
        <w:t xml:space="preserve">Table 10: HIV Status vs Tuberculosis Infection </w:t>
      </w:r>
      <m:oMath>
        <m:sSup>
          <m:sSupPr>
            <m:ctrlPr>
              <w:rPr>
                <w:rFonts w:ascii="Cambria Math" w:hAnsi="Arial" w:cs="Arial"/>
                <w:b/>
                <w:i/>
              </w:rPr>
            </m:ctrlPr>
          </m:sSupPr>
          <m:e>
            <m:r>
              <m:rPr>
                <m:scr m:val="script"/>
                <m:sty m:val="bi"/>
              </m:rPr>
              <w:rPr>
                <w:rFonts w:ascii="Cambria Math" w:hAnsi="Cambria Math" w:cs="Arial"/>
              </w:rPr>
              <m:t>X</m:t>
            </m:r>
          </m:e>
          <m:sup>
            <m:r>
              <m:rPr>
                <m:sty m:val="bi"/>
              </m:rPr>
              <w:rPr>
                <w:rFonts w:ascii="Cambria Math" w:hAnsi="Cambria Math" w:cs="Arial"/>
              </w:rPr>
              <m:t>2</m:t>
            </m:r>
          </m:sup>
        </m:sSup>
      </m:oMath>
      <w:r w:rsidRPr="00E0573F">
        <w:rPr>
          <w:rFonts w:ascii="Arial" w:eastAsiaTheme="minorEastAsia" w:hAnsi="Arial" w:cs="Arial"/>
          <w:b/>
        </w:rPr>
        <w:t xml:space="preserve"> Test Result</w:t>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050"/>
        <w:gridCol w:w="1314"/>
        <w:gridCol w:w="1668"/>
        <w:gridCol w:w="789"/>
        <w:gridCol w:w="1718"/>
        <w:gridCol w:w="885"/>
      </w:tblGrid>
      <w:tr w:rsidR="00FF0471" w:rsidRPr="00E0573F" w14:paraId="1FFC84D1" w14:textId="77777777" w:rsidTr="00FF0471">
        <w:tc>
          <w:tcPr>
            <w:tcW w:w="2096" w:type="dxa"/>
            <w:tcBorders>
              <w:top w:val="single" w:sz="4" w:space="0" w:color="auto"/>
              <w:bottom w:val="single" w:sz="4" w:space="0" w:color="auto"/>
            </w:tcBorders>
            <w:vAlign w:val="center"/>
          </w:tcPr>
          <w:p w14:paraId="00F29611" w14:textId="77777777" w:rsidR="00FF0471" w:rsidRPr="00E0573F" w:rsidRDefault="00FF0471" w:rsidP="00FF0471">
            <w:pPr>
              <w:jc w:val="center"/>
              <w:rPr>
                <w:rFonts w:ascii="Arial" w:hAnsi="Arial" w:cs="Arial"/>
                <w:b/>
                <w:bCs/>
              </w:rPr>
            </w:pPr>
            <w:r w:rsidRPr="00E0573F">
              <w:rPr>
                <w:rFonts w:ascii="Arial" w:hAnsi="Arial" w:cs="Arial"/>
                <w:b/>
                <w:bCs/>
              </w:rPr>
              <w:t>HIV Status</w:t>
            </w:r>
          </w:p>
        </w:tc>
        <w:tc>
          <w:tcPr>
            <w:tcW w:w="1342" w:type="dxa"/>
            <w:tcBorders>
              <w:top w:val="single" w:sz="4" w:space="0" w:color="auto"/>
              <w:bottom w:val="single" w:sz="4" w:space="0" w:color="auto"/>
            </w:tcBorders>
            <w:vAlign w:val="center"/>
          </w:tcPr>
          <w:p w14:paraId="7573AE5D" w14:textId="77777777" w:rsidR="00FF0471" w:rsidRPr="00E0573F" w:rsidRDefault="00FF0471" w:rsidP="00FF0471">
            <w:pPr>
              <w:jc w:val="center"/>
              <w:rPr>
                <w:rFonts w:ascii="Arial" w:hAnsi="Arial" w:cs="Arial"/>
                <w:b/>
                <w:bCs/>
              </w:rPr>
            </w:pPr>
            <w:r w:rsidRPr="00E0573F">
              <w:rPr>
                <w:rFonts w:ascii="Arial" w:hAnsi="Arial" w:cs="Arial"/>
                <w:b/>
                <w:bCs/>
              </w:rPr>
              <w:t>Confirmed TB</w:t>
            </w:r>
          </w:p>
        </w:tc>
        <w:tc>
          <w:tcPr>
            <w:tcW w:w="1800" w:type="dxa"/>
            <w:tcBorders>
              <w:top w:val="single" w:sz="4" w:space="0" w:color="auto"/>
              <w:bottom w:val="single" w:sz="4" w:space="0" w:color="auto"/>
            </w:tcBorders>
            <w:vAlign w:val="center"/>
          </w:tcPr>
          <w:p w14:paraId="71F51BB9" w14:textId="77777777" w:rsidR="00FF0471" w:rsidRPr="00E0573F" w:rsidRDefault="00FF0471" w:rsidP="00FF0471">
            <w:pPr>
              <w:jc w:val="center"/>
              <w:rPr>
                <w:rFonts w:ascii="Arial" w:hAnsi="Arial" w:cs="Arial"/>
                <w:b/>
                <w:bCs/>
              </w:rPr>
            </w:pPr>
            <w:r w:rsidRPr="00E0573F">
              <w:rPr>
                <w:rFonts w:ascii="Arial" w:hAnsi="Arial" w:cs="Arial"/>
                <w:b/>
                <w:bCs/>
              </w:rPr>
              <w:t>Not Confirmed TB</w:t>
            </w:r>
          </w:p>
        </w:tc>
        <w:tc>
          <w:tcPr>
            <w:tcW w:w="810" w:type="dxa"/>
            <w:tcBorders>
              <w:top w:val="single" w:sz="4" w:space="0" w:color="auto"/>
              <w:bottom w:val="single" w:sz="4" w:space="0" w:color="auto"/>
            </w:tcBorders>
            <w:vAlign w:val="center"/>
          </w:tcPr>
          <w:p w14:paraId="633569D6" w14:textId="77777777" w:rsidR="00FF0471" w:rsidRPr="00E0573F" w:rsidRDefault="00FF0471" w:rsidP="00FF0471">
            <w:pPr>
              <w:jc w:val="center"/>
              <w:rPr>
                <w:rFonts w:ascii="Arial" w:hAnsi="Arial" w:cs="Arial"/>
                <w:b/>
                <w:bCs/>
              </w:rPr>
            </w:pPr>
            <w:r w:rsidRPr="00E0573F">
              <w:rPr>
                <w:rFonts w:ascii="Arial" w:hAnsi="Arial" w:cs="Arial"/>
                <w:b/>
                <w:bCs/>
              </w:rPr>
              <w:t>χ²</w:t>
            </w:r>
          </w:p>
        </w:tc>
        <w:tc>
          <w:tcPr>
            <w:tcW w:w="1890" w:type="dxa"/>
            <w:tcBorders>
              <w:top w:val="single" w:sz="4" w:space="0" w:color="auto"/>
              <w:bottom w:val="single" w:sz="4" w:space="0" w:color="auto"/>
            </w:tcBorders>
            <w:vAlign w:val="center"/>
          </w:tcPr>
          <w:p w14:paraId="132A2AA9" w14:textId="77777777" w:rsidR="00FF0471" w:rsidRPr="00E0573F" w:rsidRDefault="00FF0471" w:rsidP="00FF0471">
            <w:pPr>
              <w:jc w:val="center"/>
              <w:rPr>
                <w:rFonts w:ascii="Arial" w:hAnsi="Arial" w:cs="Arial"/>
                <w:b/>
                <w:bCs/>
              </w:rPr>
            </w:pPr>
            <w:r w:rsidRPr="00E0573F">
              <w:rPr>
                <w:rFonts w:ascii="Arial" w:hAnsi="Arial" w:cs="Arial"/>
                <w:b/>
                <w:bCs/>
              </w:rPr>
              <w:t>COR(95% CI)</w:t>
            </w:r>
          </w:p>
        </w:tc>
        <w:tc>
          <w:tcPr>
            <w:tcW w:w="900" w:type="dxa"/>
            <w:tcBorders>
              <w:top w:val="single" w:sz="4" w:space="0" w:color="auto"/>
              <w:bottom w:val="single" w:sz="4" w:space="0" w:color="auto"/>
            </w:tcBorders>
            <w:vAlign w:val="center"/>
          </w:tcPr>
          <w:p w14:paraId="53B348CB" w14:textId="77777777" w:rsidR="00FF0471" w:rsidRPr="00E0573F" w:rsidRDefault="00FF0471" w:rsidP="00FF0471">
            <w:pPr>
              <w:jc w:val="center"/>
              <w:rPr>
                <w:rFonts w:ascii="Arial" w:hAnsi="Arial" w:cs="Arial"/>
                <w:b/>
                <w:bCs/>
              </w:rPr>
            </w:pPr>
            <w:r w:rsidRPr="00E0573F">
              <w:rPr>
                <w:rFonts w:ascii="Arial" w:hAnsi="Arial" w:cs="Arial"/>
                <w:b/>
                <w:bCs/>
              </w:rPr>
              <w:t>p-value</w:t>
            </w:r>
          </w:p>
        </w:tc>
      </w:tr>
      <w:tr w:rsidR="00FF0471" w:rsidRPr="00E0573F" w14:paraId="1571DAE0" w14:textId="77777777" w:rsidTr="00FF0471">
        <w:tc>
          <w:tcPr>
            <w:tcW w:w="2096" w:type="dxa"/>
            <w:tcBorders>
              <w:top w:val="single" w:sz="4" w:space="0" w:color="auto"/>
            </w:tcBorders>
            <w:vAlign w:val="center"/>
          </w:tcPr>
          <w:p w14:paraId="357FFD13" w14:textId="77777777" w:rsidR="00FF0471" w:rsidRPr="00E0573F" w:rsidRDefault="00FF0471" w:rsidP="00FF0471">
            <w:pPr>
              <w:rPr>
                <w:rFonts w:ascii="Arial" w:hAnsi="Arial" w:cs="Arial"/>
              </w:rPr>
            </w:pPr>
            <w:r w:rsidRPr="00E0573F">
              <w:rPr>
                <w:rFonts w:ascii="Arial" w:hAnsi="Arial" w:cs="Arial"/>
              </w:rPr>
              <w:t>Positive</w:t>
            </w:r>
          </w:p>
        </w:tc>
        <w:tc>
          <w:tcPr>
            <w:tcW w:w="1342" w:type="dxa"/>
            <w:tcBorders>
              <w:top w:val="single" w:sz="4" w:space="0" w:color="auto"/>
            </w:tcBorders>
            <w:vAlign w:val="center"/>
          </w:tcPr>
          <w:p w14:paraId="0A1C8FC2" w14:textId="77777777" w:rsidR="00FF0471" w:rsidRPr="00E0573F" w:rsidRDefault="00FF0471" w:rsidP="00FF0471">
            <w:pPr>
              <w:jc w:val="center"/>
              <w:rPr>
                <w:rFonts w:ascii="Arial" w:hAnsi="Arial" w:cs="Arial"/>
              </w:rPr>
            </w:pPr>
            <w:r w:rsidRPr="00E0573F">
              <w:rPr>
                <w:rFonts w:ascii="Arial" w:hAnsi="Arial" w:cs="Arial"/>
              </w:rPr>
              <w:t>22</w:t>
            </w:r>
          </w:p>
        </w:tc>
        <w:tc>
          <w:tcPr>
            <w:tcW w:w="1800" w:type="dxa"/>
            <w:tcBorders>
              <w:top w:val="single" w:sz="4" w:space="0" w:color="auto"/>
            </w:tcBorders>
            <w:vAlign w:val="center"/>
          </w:tcPr>
          <w:p w14:paraId="04C3AE64" w14:textId="77777777" w:rsidR="00FF0471" w:rsidRPr="00E0573F" w:rsidRDefault="00FF0471" w:rsidP="00FF0471">
            <w:pPr>
              <w:jc w:val="center"/>
              <w:rPr>
                <w:rFonts w:ascii="Arial" w:hAnsi="Arial" w:cs="Arial"/>
              </w:rPr>
            </w:pPr>
            <w:r w:rsidRPr="00E0573F">
              <w:rPr>
                <w:rFonts w:ascii="Arial" w:hAnsi="Arial" w:cs="Arial"/>
              </w:rPr>
              <w:t>8</w:t>
            </w:r>
          </w:p>
        </w:tc>
        <w:tc>
          <w:tcPr>
            <w:tcW w:w="810" w:type="dxa"/>
            <w:vMerge w:val="restart"/>
            <w:tcBorders>
              <w:top w:val="single" w:sz="4" w:space="0" w:color="auto"/>
            </w:tcBorders>
          </w:tcPr>
          <w:p w14:paraId="6205EC8C" w14:textId="77777777" w:rsidR="00FF0471" w:rsidRPr="00E0573F" w:rsidRDefault="00FF0471" w:rsidP="00FF0471">
            <w:pPr>
              <w:jc w:val="center"/>
              <w:rPr>
                <w:rFonts w:ascii="Arial" w:hAnsi="Arial" w:cs="Arial"/>
              </w:rPr>
            </w:pPr>
            <w:r w:rsidRPr="00E0573F">
              <w:rPr>
                <w:rFonts w:ascii="Arial" w:hAnsi="Arial" w:cs="Arial"/>
              </w:rPr>
              <w:t>15.42</w:t>
            </w:r>
          </w:p>
        </w:tc>
        <w:tc>
          <w:tcPr>
            <w:tcW w:w="1890" w:type="dxa"/>
            <w:vMerge w:val="restart"/>
            <w:tcBorders>
              <w:top w:val="single" w:sz="4" w:space="0" w:color="auto"/>
            </w:tcBorders>
          </w:tcPr>
          <w:p w14:paraId="185095DF" w14:textId="77777777" w:rsidR="00FF0471" w:rsidRPr="00E0573F" w:rsidRDefault="00FF0471" w:rsidP="00FF0471">
            <w:pPr>
              <w:jc w:val="center"/>
              <w:rPr>
                <w:rFonts w:ascii="Arial" w:hAnsi="Arial" w:cs="Arial"/>
              </w:rPr>
            </w:pPr>
            <w:r w:rsidRPr="00E0573F">
              <w:rPr>
                <w:rFonts w:ascii="Arial" w:hAnsi="Arial" w:cs="Arial"/>
              </w:rPr>
              <w:t>1.88(0.84-4.17)</w:t>
            </w:r>
          </w:p>
        </w:tc>
        <w:tc>
          <w:tcPr>
            <w:tcW w:w="900" w:type="dxa"/>
            <w:vMerge w:val="restart"/>
            <w:tcBorders>
              <w:top w:val="single" w:sz="4" w:space="0" w:color="auto"/>
            </w:tcBorders>
          </w:tcPr>
          <w:p w14:paraId="66924BC6" w14:textId="77777777" w:rsidR="00FF0471" w:rsidRPr="00E0573F" w:rsidRDefault="00FF0471" w:rsidP="00FF0471">
            <w:pPr>
              <w:jc w:val="center"/>
              <w:rPr>
                <w:rFonts w:ascii="Arial" w:hAnsi="Arial" w:cs="Arial"/>
              </w:rPr>
            </w:pPr>
            <w:r w:rsidRPr="00E0573F">
              <w:rPr>
                <w:rFonts w:ascii="Arial" w:hAnsi="Arial" w:cs="Arial"/>
              </w:rPr>
              <w:t>&lt;0.001</w:t>
            </w:r>
          </w:p>
        </w:tc>
      </w:tr>
      <w:tr w:rsidR="00FF0471" w:rsidRPr="00E0573F" w14:paraId="269140D4" w14:textId="77777777" w:rsidTr="00FF0471">
        <w:tc>
          <w:tcPr>
            <w:tcW w:w="2096" w:type="dxa"/>
            <w:vAlign w:val="center"/>
          </w:tcPr>
          <w:p w14:paraId="4BE68516" w14:textId="77777777" w:rsidR="00FF0471" w:rsidRPr="00E0573F" w:rsidRDefault="00FF0471" w:rsidP="00FF0471">
            <w:pPr>
              <w:rPr>
                <w:rFonts w:ascii="Arial" w:hAnsi="Arial" w:cs="Arial"/>
              </w:rPr>
            </w:pPr>
            <w:r w:rsidRPr="00E0573F">
              <w:rPr>
                <w:rFonts w:ascii="Arial" w:hAnsi="Arial" w:cs="Arial"/>
              </w:rPr>
              <w:t>Negative/Unknown</w:t>
            </w:r>
          </w:p>
        </w:tc>
        <w:tc>
          <w:tcPr>
            <w:tcW w:w="1342" w:type="dxa"/>
            <w:vAlign w:val="center"/>
          </w:tcPr>
          <w:p w14:paraId="658C824B" w14:textId="77777777" w:rsidR="00FF0471" w:rsidRPr="00E0573F" w:rsidRDefault="00FF0471" w:rsidP="00FF0471">
            <w:pPr>
              <w:jc w:val="center"/>
              <w:rPr>
                <w:rFonts w:ascii="Arial" w:hAnsi="Arial" w:cs="Arial"/>
              </w:rPr>
            </w:pPr>
            <w:r w:rsidRPr="00E0573F">
              <w:rPr>
                <w:rFonts w:ascii="Arial" w:hAnsi="Arial" w:cs="Arial"/>
              </w:rPr>
              <w:t>132</w:t>
            </w:r>
          </w:p>
        </w:tc>
        <w:tc>
          <w:tcPr>
            <w:tcW w:w="1800" w:type="dxa"/>
            <w:vAlign w:val="center"/>
          </w:tcPr>
          <w:p w14:paraId="5A6F6743" w14:textId="77777777" w:rsidR="00FF0471" w:rsidRPr="00E0573F" w:rsidRDefault="00FF0471" w:rsidP="00FF0471">
            <w:pPr>
              <w:jc w:val="center"/>
              <w:rPr>
                <w:rFonts w:ascii="Arial" w:hAnsi="Arial" w:cs="Arial"/>
              </w:rPr>
            </w:pPr>
            <w:r w:rsidRPr="00E0573F">
              <w:rPr>
                <w:rFonts w:ascii="Arial" w:hAnsi="Arial" w:cs="Arial"/>
              </w:rPr>
              <w:t>90</w:t>
            </w:r>
          </w:p>
        </w:tc>
        <w:tc>
          <w:tcPr>
            <w:tcW w:w="810" w:type="dxa"/>
            <w:vMerge/>
          </w:tcPr>
          <w:p w14:paraId="7ED96461" w14:textId="77777777" w:rsidR="00FF0471" w:rsidRPr="00E0573F" w:rsidRDefault="00FF0471" w:rsidP="00FF0471">
            <w:pPr>
              <w:rPr>
                <w:rFonts w:ascii="Arial" w:hAnsi="Arial" w:cs="Arial"/>
              </w:rPr>
            </w:pPr>
          </w:p>
        </w:tc>
        <w:tc>
          <w:tcPr>
            <w:tcW w:w="1890" w:type="dxa"/>
            <w:vMerge/>
          </w:tcPr>
          <w:p w14:paraId="74ECE4C8" w14:textId="77777777" w:rsidR="00FF0471" w:rsidRPr="00E0573F" w:rsidRDefault="00FF0471" w:rsidP="00FF0471">
            <w:pPr>
              <w:rPr>
                <w:rFonts w:ascii="Arial" w:hAnsi="Arial" w:cs="Arial"/>
              </w:rPr>
            </w:pPr>
          </w:p>
        </w:tc>
        <w:tc>
          <w:tcPr>
            <w:tcW w:w="900" w:type="dxa"/>
            <w:vMerge/>
          </w:tcPr>
          <w:p w14:paraId="3F11BD20" w14:textId="77777777" w:rsidR="00FF0471" w:rsidRPr="00E0573F" w:rsidRDefault="00FF0471" w:rsidP="00FF0471">
            <w:pPr>
              <w:rPr>
                <w:rFonts w:ascii="Arial" w:hAnsi="Arial" w:cs="Arial"/>
              </w:rPr>
            </w:pPr>
          </w:p>
        </w:tc>
      </w:tr>
    </w:tbl>
    <w:p w14:paraId="2D70D471" w14:textId="77777777" w:rsidR="00FF0471" w:rsidRPr="00E0573F" w:rsidRDefault="00FF0471" w:rsidP="00FF0471">
      <w:pPr>
        <w:pStyle w:val="NormalWeb"/>
        <w:spacing w:before="0" w:beforeAutospacing="0" w:after="0" w:afterAutospacing="0"/>
        <w:jc w:val="both"/>
        <w:rPr>
          <w:rFonts w:ascii="Arial" w:hAnsi="Arial" w:cs="Arial"/>
          <w:sz w:val="20"/>
          <w:szCs w:val="20"/>
        </w:rPr>
      </w:pPr>
    </w:p>
    <w:p w14:paraId="5C92BB35" w14:textId="77777777" w:rsidR="005C3A1E" w:rsidRPr="00E0573F" w:rsidRDefault="005C3A1E" w:rsidP="005C3A1E">
      <w:pPr>
        <w:pStyle w:val="NormalWeb"/>
        <w:spacing w:before="240" w:beforeAutospacing="0" w:after="0" w:afterAutospacing="0"/>
        <w:jc w:val="both"/>
        <w:rPr>
          <w:rFonts w:ascii="Arial" w:hAnsi="Arial" w:cs="Arial"/>
          <w:sz w:val="20"/>
          <w:szCs w:val="20"/>
        </w:rPr>
      </w:pPr>
      <w:r w:rsidRPr="00E0573F">
        <w:rPr>
          <w:rFonts w:ascii="Arial" w:hAnsi="Arial" w:cs="Arial"/>
          <w:sz w:val="20"/>
          <w:szCs w:val="20"/>
        </w:rPr>
        <w:lastRenderedPageBreak/>
        <w:t>The null hypothesis (H₀₃) stated that HIV status was not significantly associated with tuberculosis infection among high-risk groups. The results in Table 10 led to the rejection of this null hypothesis, as the reported association between HIV status and TB infection was statistically significant (χ² = 15.42, p &lt; 0.001). HIV-positive individuals had a higher likelihood of TB infection than those who were HIV-negative or whose status was unknown, with a crude odds ratio (COR) of 1.88 (95% CI: 0.84–4.17). This indicates that HIV-positive participants were approximately 1.9 times as likely to develop TB, reflecting the immunosuppressive effect of HIV, which predisposes individuals to opportunistic infections such as tuberculosis.</w:t>
      </w:r>
    </w:p>
    <w:p w14:paraId="0424B706" w14:textId="77777777" w:rsidR="00FF0471" w:rsidRPr="00E0573F" w:rsidRDefault="00FF0471" w:rsidP="005C3A1E">
      <w:pPr>
        <w:pStyle w:val="NormalWeb"/>
        <w:spacing w:before="240" w:beforeAutospacing="0" w:after="0" w:afterAutospacing="0"/>
        <w:jc w:val="both"/>
        <w:rPr>
          <w:rFonts w:ascii="Arial" w:hAnsi="Arial" w:cs="Arial"/>
          <w:sz w:val="20"/>
          <w:szCs w:val="20"/>
        </w:rPr>
      </w:pPr>
      <w:r w:rsidRPr="00E0573F">
        <w:rPr>
          <w:rFonts w:ascii="Arial" w:hAnsi="Arial" w:cs="Arial"/>
          <w:sz w:val="20"/>
          <w:szCs w:val="20"/>
        </w:rPr>
        <w:t>Table 11 presents the chi-square analysis of the relationship between tuberculosis (TB) awareness and the adoption of preventive practices among high-risk populations in Makurdi Local Government Area. This analysis was conducted to test the fourth null hypothesis, stated as follows:</w:t>
      </w:r>
    </w:p>
    <w:p w14:paraId="0F8E21B2" w14:textId="77777777" w:rsidR="00FF0471" w:rsidRPr="00E0573F" w:rsidRDefault="00FF0471" w:rsidP="00FF0471">
      <w:pPr>
        <w:pStyle w:val="NormalWeb"/>
        <w:spacing w:before="0" w:beforeAutospacing="0" w:after="0" w:afterAutospacing="0"/>
        <w:jc w:val="both"/>
        <w:rPr>
          <w:rFonts w:ascii="Arial" w:hAnsi="Arial" w:cs="Arial"/>
          <w:sz w:val="20"/>
          <w:szCs w:val="20"/>
        </w:rPr>
      </w:pPr>
      <w:r w:rsidRPr="00E0573F">
        <w:rPr>
          <w:rFonts w:ascii="Arial" w:hAnsi="Arial" w:cs="Arial"/>
          <w:sz w:val="20"/>
          <w:szCs w:val="20"/>
        </w:rPr>
        <w:t xml:space="preserve">H₀₄: </w:t>
      </w:r>
      <w:r w:rsidRPr="00E0573F">
        <w:rPr>
          <w:rFonts w:ascii="Arial" w:hAnsi="Arial" w:cs="Arial"/>
          <w:i/>
          <w:sz w:val="20"/>
          <w:szCs w:val="20"/>
        </w:rPr>
        <w:t>There is no significant relationship between the level of TB awareness and the adoption of preventive practices.</w:t>
      </w:r>
    </w:p>
    <w:p w14:paraId="5AAF6C33" w14:textId="77777777" w:rsidR="00FF0471" w:rsidRPr="00E0573F" w:rsidRDefault="00FF0471" w:rsidP="005C3A1E">
      <w:pPr>
        <w:pStyle w:val="NormalWeb"/>
        <w:spacing w:before="0" w:beforeAutospacing="0" w:after="0" w:afterAutospacing="0"/>
        <w:jc w:val="both"/>
        <w:rPr>
          <w:rFonts w:ascii="Arial" w:hAnsi="Arial" w:cs="Arial"/>
          <w:sz w:val="20"/>
          <w:szCs w:val="20"/>
        </w:rPr>
      </w:pPr>
      <w:r w:rsidRPr="00E0573F">
        <w:rPr>
          <w:rFonts w:ascii="Arial" w:hAnsi="Arial" w:cs="Arial"/>
          <w:sz w:val="20"/>
          <w:szCs w:val="20"/>
        </w:rPr>
        <w:t>The awareness and preventive variables examined included awareness that TB is infectious, the use of face masks in crowded areas, and receipt of TB health education. The chi-square (χ²) test was applied at the 5% level of significance to determine whether the observed relationships were statistically significant.</w:t>
      </w:r>
    </w:p>
    <w:p w14:paraId="16D6C5C2" w14:textId="77777777" w:rsidR="00FF0471" w:rsidRPr="00E0573F" w:rsidRDefault="00FF0471" w:rsidP="00FF0471">
      <w:pPr>
        <w:jc w:val="both"/>
        <w:rPr>
          <w:rFonts w:ascii="Arial" w:hAnsi="Arial" w:cs="Arial"/>
          <w:b/>
        </w:rPr>
      </w:pPr>
      <w:r w:rsidRPr="00E0573F">
        <w:rPr>
          <w:rFonts w:ascii="Arial" w:hAnsi="Arial" w:cs="Arial"/>
          <w:b/>
        </w:rPr>
        <w:t xml:space="preserve">Table 11: Chi-Square Test Results for Awareness and Preventive Risk Factors of </w:t>
      </w:r>
    </w:p>
    <w:p w14:paraId="486D662A" w14:textId="77777777" w:rsidR="00FF0471" w:rsidRPr="00E0573F" w:rsidRDefault="00FF0471" w:rsidP="00FF0471">
      <w:pPr>
        <w:jc w:val="both"/>
        <w:rPr>
          <w:rFonts w:ascii="Arial" w:hAnsi="Arial" w:cs="Arial"/>
          <w:b/>
        </w:rPr>
      </w:pPr>
      <w:r w:rsidRPr="00E0573F">
        <w:rPr>
          <w:rFonts w:ascii="Arial" w:hAnsi="Arial" w:cs="Arial"/>
          <w:b/>
        </w:rPr>
        <w:tab/>
        <w:t xml:space="preserve">   Tuberculosis</w:t>
      </w:r>
    </w:p>
    <w:tbl>
      <w:tblPr>
        <w:tblStyle w:val="TableGrid"/>
        <w:tblW w:w="9108"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548"/>
        <w:gridCol w:w="1283"/>
        <w:gridCol w:w="1417"/>
        <w:gridCol w:w="1350"/>
        <w:gridCol w:w="776"/>
        <w:gridCol w:w="1834"/>
        <w:gridCol w:w="900"/>
      </w:tblGrid>
      <w:tr w:rsidR="00FF0471" w:rsidRPr="00E0573F" w14:paraId="492EBB16" w14:textId="77777777" w:rsidTr="00FF0471">
        <w:tc>
          <w:tcPr>
            <w:tcW w:w="1548" w:type="dxa"/>
            <w:tcBorders>
              <w:top w:val="single" w:sz="4" w:space="0" w:color="auto"/>
              <w:bottom w:val="single" w:sz="4" w:space="0" w:color="auto"/>
            </w:tcBorders>
            <w:vAlign w:val="center"/>
          </w:tcPr>
          <w:p w14:paraId="27F52610" w14:textId="77777777" w:rsidR="00FF0471" w:rsidRPr="00E0573F" w:rsidRDefault="00FF0471" w:rsidP="00FF0471">
            <w:pPr>
              <w:jc w:val="center"/>
              <w:rPr>
                <w:rFonts w:ascii="Arial" w:hAnsi="Arial" w:cs="Arial"/>
                <w:b/>
                <w:bCs/>
              </w:rPr>
            </w:pPr>
            <w:r w:rsidRPr="00E0573F">
              <w:rPr>
                <w:rFonts w:ascii="Arial" w:hAnsi="Arial" w:cs="Arial"/>
                <w:b/>
                <w:bCs/>
              </w:rPr>
              <w:t>Variable</w:t>
            </w:r>
          </w:p>
        </w:tc>
        <w:tc>
          <w:tcPr>
            <w:tcW w:w="1283" w:type="dxa"/>
            <w:tcBorders>
              <w:top w:val="single" w:sz="4" w:space="0" w:color="auto"/>
              <w:bottom w:val="single" w:sz="4" w:space="0" w:color="auto"/>
            </w:tcBorders>
            <w:vAlign w:val="center"/>
          </w:tcPr>
          <w:p w14:paraId="02C1EE43" w14:textId="77777777" w:rsidR="00FF0471" w:rsidRPr="00E0573F" w:rsidRDefault="00FF0471" w:rsidP="00FF0471">
            <w:pPr>
              <w:jc w:val="center"/>
              <w:rPr>
                <w:rFonts w:ascii="Arial" w:hAnsi="Arial" w:cs="Arial"/>
                <w:b/>
                <w:bCs/>
              </w:rPr>
            </w:pPr>
            <w:r w:rsidRPr="00E0573F">
              <w:rPr>
                <w:rFonts w:ascii="Arial" w:hAnsi="Arial" w:cs="Arial"/>
                <w:b/>
                <w:bCs/>
              </w:rPr>
              <w:t>Category</w:t>
            </w:r>
          </w:p>
        </w:tc>
        <w:tc>
          <w:tcPr>
            <w:tcW w:w="1417" w:type="dxa"/>
            <w:tcBorders>
              <w:top w:val="single" w:sz="4" w:space="0" w:color="auto"/>
              <w:bottom w:val="single" w:sz="4" w:space="0" w:color="auto"/>
            </w:tcBorders>
            <w:vAlign w:val="center"/>
          </w:tcPr>
          <w:p w14:paraId="64DE2787" w14:textId="77777777" w:rsidR="00FF0471" w:rsidRPr="00E0573F" w:rsidRDefault="00FF0471" w:rsidP="00FF0471">
            <w:pPr>
              <w:jc w:val="center"/>
              <w:rPr>
                <w:rFonts w:ascii="Arial" w:hAnsi="Arial" w:cs="Arial"/>
                <w:b/>
                <w:bCs/>
              </w:rPr>
            </w:pPr>
            <w:r w:rsidRPr="00E0573F">
              <w:rPr>
                <w:rFonts w:ascii="Arial" w:hAnsi="Arial" w:cs="Arial"/>
                <w:b/>
                <w:bCs/>
              </w:rPr>
              <w:t>Confirmed</w:t>
            </w:r>
          </w:p>
        </w:tc>
        <w:tc>
          <w:tcPr>
            <w:tcW w:w="1350" w:type="dxa"/>
            <w:tcBorders>
              <w:top w:val="single" w:sz="4" w:space="0" w:color="auto"/>
              <w:bottom w:val="single" w:sz="4" w:space="0" w:color="auto"/>
            </w:tcBorders>
            <w:vAlign w:val="center"/>
          </w:tcPr>
          <w:p w14:paraId="399F3FCF" w14:textId="77777777" w:rsidR="00FF0471" w:rsidRPr="00E0573F" w:rsidRDefault="00FF0471" w:rsidP="00FF0471">
            <w:pPr>
              <w:jc w:val="center"/>
              <w:rPr>
                <w:rFonts w:ascii="Arial" w:hAnsi="Arial" w:cs="Arial"/>
                <w:b/>
                <w:bCs/>
              </w:rPr>
            </w:pPr>
            <w:r w:rsidRPr="00E0573F">
              <w:rPr>
                <w:rFonts w:ascii="Arial" w:hAnsi="Arial" w:cs="Arial"/>
                <w:b/>
                <w:bCs/>
              </w:rPr>
              <w:t>Not Confirmed</w:t>
            </w:r>
          </w:p>
        </w:tc>
        <w:tc>
          <w:tcPr>
            <w:tcW w:w="776" w:type="dxa"/>
            <w:tcBorders>
              <w:top w:val="single" w:sz="4" w:space="0" w:color="auto"/>
              <w:bottom w:val="single" w:sz="4" w:space="0" w:color="auto"/>
            </w:tcBorders>
            <w:vAlign w:val="center"/>
          </w:tcPr>
          <w:p w14:paraId="2D5FC9E8" w14:textId="77777777" w:rsidR="00FF0471" w:rsidRPr="00E0573F" w:rsidRDefault="00FF0471" w:rsidP="00FF0471">
            <w:pPr>
              <w:jc w:val="center"/>
              <w:rPr>
                <w:rFonts w:ascii="Arial" w:hAnsi="Arial" w:cs="Arial"/>
                <w:b/>
                <w:bCs/>
              </w:rPr>
            </w:pPr>
            <w:r w:rsidRPr="00E0573F">
              <w:rPr>
                <w:rFonts w:ascii="Arial" w:hAnsi="Arial" w:cs="Arial"/>
                <w:b/>
                <w:bCs/>
              </w:rPr>
              <w:t>χ²</w:t>
            </w:r>
          </w:p>
        </w:tc>
        <w:tc>
          <w:tcPr>
            <w:tcW w:w="1834" w:type="dxa"/>
            <w:tcBorders>
              <w:top w:val="single" w:sz="4" w:space="0" w:color="auto"/>
              <w:bottom w:val="single" w:sz="4" w:space="0" w:color="auto"/>
            </w:tcBorders>
            <w:vAlign w:val="center"/>
          </w:tcPr>
          <w:p w14:paraId="4ED19DBA" w14:textId="77777777" w:rsidR="00FF0471" w:rsidRPr="00E0573F" w:rsidRDefault="00FF0471" w:rsidP="00FF0471">
            <w:pPr>
              <w:jc w:val="center"/>
              <w:rPr>
                <w:rFonts w:ascii="Arial" w:hAnsi="Arial" w:cs="Arial"/>
                <w:b/>
                <w:bCs/>
              </w:rPr>
            </w:pPr>
            <w:r w:rsidRPr="00E0573F">
              <w:rPr>
                <w:rFonts w:ascii="Arial" w:hAnsi="Arial" w:cs="Arial"/>
                <w:b/>
                <w:bCs/>
              </w:rPr>
              <w:t>COR(95% CI)</w:t>
            </w:r>
          </w:p>
        </w:tc>
        <w:tc>
          <w:tcPr>
            <w:tcW w:w="900" w:type="dxa"/>
            <w:tcBorders>
              <w:top w:val="single" w:sz="4" w:space="0" w:color="auto"/>
              <w:bottom w:val="single" w:sz="4" w:space="0" w:color="auto"/>
            </w:tcBorders>
            <w:vAlign w:val="center"/>
          </w:tcPr>
          <w:p w14:paraId="5A9CB73E" w14:textId="77777777" w:rsidR="00FF0471" w:rsidRPr="00E0573F" w:rsidRDefault="00FF0471" w:rsidP="00FF0471">
            <w:pPr>
              <w:jc w:val="center"/>
              <w:rPr>
                <w:rFonts w:ascii="Arial" w:hAnsi="Arial" w:cs="Arial"/>
                <w:b/>
                <w:bCs/>
              </w:rPr>
            </w:pPr>
            <w:r w:rsidRPr="00E0573F">
              <w:rPr>
                <w:rFonts w:ascii="Arial" w:hAnsi="Arial" w:cs="Arial"/>
                <w:b/>
                <w:bCs/>
              </w:rPr>
              <w:t>p-value</w:t>
            </w:r>
          </w:p>
        </w:tc>
      </w:tr>
      <w:tr w:rsidR="00FF0471" w:rsidRPr="00E0573F" w14:paraId="2B6F770E" w14:textId="77777777" w:rsidTr="00FF0471">
        <w:tc>
          <w:tcPr>
            <w:tcW w:w="1548" w:type="dxa"/>
            <w:vMerge w:val="restart"/>
            <w:tcBorders>
              <w:top w:val="single" w:sz="4" w:space="0" w:color="auto"/>
            </w:tcBorders>
            <w:vAlign w:val="center"/>
          </w:tcPr>
          <w:p w14:paraId="20CC149C" w14:textId="77777777" w:rsidR="00FF0471" w:rsidRPr="00E0573F" w:rsidRDefault="00FF0471" w:rsidP="00FF0471">
            <w:pPr>
              <w:jc w:val="center"/>
              <w:rPr>
                <w:rFonts w:ascii="Arial" w:hAnsi="Arial" w:cs="Arial"/>
              </w:rPr>
            </w:pPr>
            <w:r w:rsidRPr="00E0573F">
              <w:rPr>
                <w:rFonts w:ascii="Arial" w:hAnsi="Arial" w:cs="Arial"/>
                <w:bCs/>
              </w:rPr>
              <w:t>Aware TB is Infectious</w:t>
            </w:r>
          </w:p>
        </w:tc>
        <w:tc>
          <w:tcPr>
            <w:tcW w:w="1283" w:type="dxa"/>
            <w:tcBorders>
              <w:top w:val="single" w:sz="4" w:space="0" w:color="auto"/>
            </w:tcBorders>
            <w:vAlign w:val="center"/>
          </w:tcPr>
          <w:p w14:paraId="503F6170" w14:textId="77777777" w:rsidR="00FF0471" w:rsidRPr="00E0573F" w:rsidRDefault="00FF0471" w:rsidP="00FF0471">
            <w:pPr>
              <w:jc w:val="center"/>
              <w:rPr>
                <w:rFonts w:ascii="Arial" w:hAnsi="Arial" w:cs="Arial"/>
              </w:rPr>
            </w:pPr>
            <w:r w:rsidRPr="00E0573F">
              <w:rPr>
                <w:rFonts w:ascii="Arial" w:hAnsi="Arial" w:cs="Arial"/>
              </w:rPr>
              <w:t>Yes</w:t>
            </w:r>
          </w:p>
        </w:tc>
        <w:tc>
          <w:tcPr>
            <w:tcW w:w="1417" w:type="dxa"/>
            <w:tcBorders>
              <w:top w:val="single" w:sz="4" w:space="0" w:color="auto"/>
            </w:tcBorders>
            <w:vAlign w:val="center"/>
          </w:tcPr>
          <w:p w14:paraId="2A89EB71" w14:textId="77777777" w:rsidR="00FF0471" w:rsidRPr="00E0573F" w:rsidRDefault="00FF0471" w:rsidP="00FF0471">
            <w:pPr>
              <w:jc w:val="center"/>
              <w:rPr>
                <w:rFonts w:ascii="Arial" w:hAnsi="Arial" w:cs="Arial"/>
              </w:rPr>
            </w:pPr>
            <w:r w:rsidRPr="00E0573F">
              <w:rPr>
                <w:rFonts w:ascii="Arial" w:hAnsi="Arial" w:cs="Arial"/>
              </w:rPr>
              <w:t>74</w:t>
            </w:r>
          </w:p>
        </w:tc>
        <w:tc>
          <w:tcPr>
            <w:tcW w:w="1350" w:type="dxa"/>
            <w:tcBorders>
              <w:top w:val="single" w:sz="4" w:space="0" w:color="auto"/>
            </w:tcBorders>
            <w:vAlign w:val="center"/>
          </w:tcPr>
          <w:p w14:paraId="081A1B28" w14:textId="77777777" w:rsidR="00FF0471" w:rsidRPr="00E0573F" w:rsidRDefault="00FF0471" w:rsidP="00FF0471">
            <w:pPr>
              <w:jc w:val="center"/>
              <w:rPr>
                <w:rFonts w:ascii="Arial" w:hAnsi="Arial" w:cs="Arial"/>
              </w:rPr>
            </w:pPr>
            <w:r w:rsidRPr="00E0573F">
              <w:rPr>
                <w:rFonts w:ascii="Arial" w:hAnsi="Arial" w:cs="Arial"/>
              </w:rPr>
              <w:t>81</w:t>
            </w:r>
          </w:p>
        </w:tc>
        <w:tc>
          <w:tcPr>
            <w:tcW w:w="776" w:type="dxa"/>
            <w:vMerge w:val="restart"/>
            <w:tcBorders>
              <w:top w:val="single" w:sz="4" w:space="0" w:color="auto"/>
            </w:tcBorders>
            <w:vAlign w:val="center"/>
          </w:tcPr>
          <w:p w14:paraId="6C907D7C" w14:textId="77777777" w:rsidR="00FF0471" w:rsidRPr="00E0573F" w:rsidRDefault="00FF0471" w:rsidP="00FF0471">
            <w:pPr>
              <w:jc w:val="center"/>
              <w:rPr>
                <w:rFonts w:ascii="Arial" w:hAnsi="Arial" w:cs="Arial"/>
              </w:rPr>
            </w:pPr>
            <w:r w:rsidRPr="00E0573F">
              <w:rPr>
                <w:rFonts w:ascii="Arial" w:hAnsi="Arial" w:cs="Arial"/>
              </w:rPr>
              <w:t>31.64</w:t>
            </w:r>
          </w:p>
        </w:tc>
        <w:tc>
          <w:tcPr>
            <w:tcW w:w="1834" w:type="dxa"/>
            <w:vMerge w:val="restart"/>
            <w:tcBorders>
              <w:top w:val="single" w:sz="4" w:space="0" w:color="auto"/>
            </w:tcBorders>
            <w:vAlign w:val="center"/>
          </w:tcPr>
          <w:p w14:paraId="7E2AE179" w14:textId="77777777" w:rsidR="00FF0471" w:rsidRPr="00E0573F" w:rsidRDefault="00FF0471" w:rsidP="00FF0471">
            <w:pPr>
              <w:jc w:val="center"/>
              <w:rPr>
                <w:rFonts w:ascii="Arial" w:hAnsi="Arial" w:cs="Arial"/>
              </w:rPr>
            </w:pPr>
            <w:r w:rsidRPr="00E0573F">
              <w:rPr>
                <w:rFonts w:ascii="Arial" w:hAnsi="Arial" w:cs="Arial"/>
              </w:rPr>
              <w:t>0.19(0.11-0.34)</w:t>
            </w:r>
          </w:p>
        </w:tc>
        <w:tc>
          <w:tcPr>
            <w:tcW w:w="900" w:type="dxa"/>
            <w:vMerge w:val="restart"/>
            <w:tcBorders>
              <w:top w:val="single" w:sz="4" w:space="0" w:color="auto"/>
            </w:tcBorders>
            <w:vAlign w:val="center"/>
          </w:tcPr>
          <w:p w14:paraId="4E18E0A8" w14:textId="77777777" w:rsidR="00FF0471" w:rsidRPr="00E0573F" w:rsidRDefault="00FF0471" w:rsidP="00FF0471">
            <w:pPr>
              <w:jc w:val="center"/>
              <w:rPr>
                <w:rFonts w:ascii="Arial" w:hAnsi="Arial" w:cs="Arial"/>
              </w:rPr>
            </w:pPr>
            <w:r w:rsidRPr="00E0573F">
              <w:rPr>
                <w:rFonts w:ascii="Arial" w:hAnsi="Arial" w:cs="Arial"/>
              </w:rPr>
              <w:t>&lt;0.001</w:t>
            </w:r>
          </w:p>
        </w:tc>
      </w:tr>
      <w:tr w:rsidR="00FF0471" w:rsidRPr="00E0573F" w14:paraId="593B85B9" w14:textId="77777777" w:rsidTr="00FF0471">
        <w:tc>
          <w:tcPr>
            <w:tcW w:w="1548" w:type="dxa"/>
            <w:vMerge/>
            <w:vAlign w:val="center"/>
          </w:tcPr>
          <w:p w14:paraId="6E372EBF" w14:textId="77777777" w:rsidR="00FF0471" w:rsidRPr="00E0573F" w:rsidRDefault="00FF0471" w:rsidP="00FF0471">
            <w:pPr>
              <w:jc w:val="center"/>
              <w:rPr>
                <w:rFonts w:ascii="Arial" w:hAnsi="Arial" w:cs="Arial"/>
              </w:rPr>
            </w:pPr>
          </w:p>
        </w:tc>
        <w:tc>
          <w:tcPr>
            <w:tcW w:w="1283" w:type="dxa"/>
            <w:vAlign w:val="center"/>
          </w:tcPr>
          <w:p w14:paraId="56094D59" w14:textId="77777777" w:rsidR="00FF0471" w:rsidRPr="00E0573F" w:rsidRDefault="00FF0471" w:rsidP="00FF0471">
            <w:pPr>
              <w:jc w:val="center"/>
              <w:rPr>
                <w:rFonts w:ascii="Arial" w:hAnsi="Arial" w:cs="Arial"/>
              </w:rPr>
            </w:pPr>
            <w:r w:rsidRPr="00E0573F">
              <w:rPr>
                <w:rFonts w:ascii="Arial" w:hAnsi="Arial" w:cs="Arial"/>
              </w:rPr>
              <w:t>No</w:t>
            </w:r>
          </w:p>
        </w:tc>
        <w:tc>
          <w:tcPr>
            <w:tcW w:w="1417" w:type="dxa"/>
            <w:vAlign w:val="center"/>
          </w:tcPr>
          <w:p w14:paraId="3DE921D4" w14:textId="77777777" w:rsidR="00FF0471" w:rsidRPr="00E0573F" w:rsidRDefault="00FF0471" w:rsidP="00FF0471">
            <w:pPr>
              <w:jc w:val="center"/>
              <w:rPr>
                <w:rFonts w:ascii="Arial" w:hAnsi="Arial" w:cs="Arial"/>
              </w:rPr>
            </w:pPr>
            <w:r w:rsidRPr="00E0573F">
              <w:rPr>
                <w:rFonts w:ascii="Arial" w:hAnsi="Arial" w:cs="Arial"/>
              </w:rPr>
              <w:t>80</w:t>
            </w:r>
          </w:p>
        </w:tc>
        <w:tc>
          <w:tcPr>
            <w:tcW w:w="1350" w:type="dxa"/>
            <w:vAlign w:val="center"/>
          </w:tcPr>
          <w:p w14:paraId="33C39B55" w14:textId="77777777" w:rsidR="00FF0471" w:rsidRPr="00E0573F" w:rsidRDefault="00FF0471" w:rsidP="00FF0471">
            <w:pPr>
              <w:jc w:val="center"/>
              <w:rPr>
                <w:rFonts w:ascii="Arial" w:hAnsi="Arial" w:cs="Arial"/>
              </w:rPr>
            </w:pPr>
            <w:r w:rsidRPr="00E0573F">
              <w:rPr>
                <w:rFonts w:ascii="Arial" w:hAnsi="Arial" w:cs="Arial"/>
              </w:rPr>
              <w:t>17</w:t>
            </w:r>
          </w:p>
        </w:tc>
        <w:tc>
          <w:tcPr>
            <w:tcW w:w="776" w:type="dxa"/>
            <w:vMerge/>
            <w:vAlign w:val="center"/>
          </w:tcPr>
          <w:p w14:paraId="722AD322" w14:textId="77777777" w:rsidR="00FF0471" w:rsidRPr="00E0573F" w:rsidRDefault="00FF0471" w:rsidP="00FF0471">
            <w:pPr>
              <w:jc w:val="center"/>
              <w:rPr>
                <w:rFonts w:ascii="Arial" w:hAnsi="Arial" w:cs="Arial"/>
              </w:rPr>
            </w:pPr>
          </w:p>
        </w:tc>
        <w:tc>
          <w:tcPr>
            <w:tcW w:w="1834" w:type="dxa"/>
            <w:vMerge/>
            <w:vAlign w:val="center"/>
          </w:tcPr>
          <w:p w14:paraId="6FF2B596" w14:textId="77777777" w:rsidR="00FF0471" w:rsidRPr="00E0573F" w:rsidRDefault="00FF0471" w:rsidP="00FF0471">
            <w:pPr>
              <w:jc w:val="center"/>
              <w:rPr>
                <w:rFonts w:ascii="Arial" w:hAnsi="Arial" w:cs="Arial"/>
              </w:rPr>
            </w:pPr>
          </w:p>
        </w:tc>
        <w:tc>
          <w:tcPr>
            <w:tcW w:w="900" w:type="dxa"/>
            <w:vMerge/>
            <w:vAlign w:val="center"/>
          </w:tcPr>
          <w:p w14:paraId="4D2D2D9C" w14:textId="77777777" w:rsidR="00FF0471" w:rsidRPr="00E0573F" w:rsidRDefault="00FF0471" w:rsidP="00FF0471">
            <w:pPr>
              <w:jc w:val="center"/>
              <w:rPr>
                <w:rFonts w:ascii="Arial" w:hAnsi="Arial" w:cs="Arial"/>
              </w:rPr>
            </w:pPr>
          </w:p>
        </w:tc>
      </w:tr>
      <w:tr w:rsidR="00FF0471" w:rsidRPr="00E0573F" w14:paraId="770B3736" w14:textId="77777777" w:rsidTr="00FF0471">
        <w:tc>
          <w:tcPr>
            <w:tcW w:w="1548" w:type="dxa"/>
            <w:vMerge w:val="restart"/>
            <w:vAlign w:val="center"/>
          </w:tcPr>
          <w:p w14:paraId="5B85F20E" w14:textId="77777777" w:rsidR="00FF0471" w:rsidRPr="00E0573F" w:rsidRDefault="00FF0471" w:rsidP="00FF0471">
            <w:pPr>
              <w:jc w:val="center"/>
              <w:rPr>
                <w:rFonts w:ascii="Arial" w:hAnsi="Arial" w:cs="Arial"/>
              </w:rPr>
            </w:pPr>
            <w:r w:rsidRPr="00E0573F">
              <w:rPr>
                <w:rFonts w:ascii="Arial" w:hAnsi="Arial" w:cs="Arial"/>
                <w:bCs/>
              </w:rPr>
              <w:t>Mask Use in Crowded Areas</w:t>
            </w:r>
          </w:p>
        </w:tc>
        <w:tc>
          <w:tcPr>
            <w:tcW w:w="1283" w:type="dxa"/>
            <w:vAlign w:val="center"/>
          </w:tcPr>
          <w:p w14:paraId="3CA3F9D9" w14:textId="77777777" w:rsidR="00FF0471" w:rsidRPr="00E0573F" w:rsidRDefault="00FF0471" w:rsidP="00FF0471">
            <w:pPr>
              <w:jc w:val="center"/>
              <w:rPr>
                <w:rFonts w:ascii="Arial" w:hAnsi="Arial" w:cs="Arial"/>
              </w:rPr>
            </w:pPr>
            <w:r w:rsidRPr="00E0573F">
              <w:rPr>
                <w:rFonts w:ascii="Arial" w:hAnsi="Arial" w:cs="Arial"/>
              </w:rPr>
              <w:t>Always</w:t>
            </w:r>
          </w:p>
        </w:tc>
        <w:tc>
          <w:tcPr>
            <w:tcW w:w="1417" w:type="dxa"/>
            <w:vAlign w:val="center"/>
          </w:tcPr>
          <w:p w14:paraId="79B4CFD9" w14:textId="77777777" w:rsidR="00FF0471" w:rsidRPr="00E0573F" w:rsidRDefault="00FF0471" w:rsidP="00FF0471">
            <w:pPr>
              <w:jc w:val="center"/>
              <w:rPr>
                <w:rFonts w:ascii="Arial" w:hAnsi="Arial" w:cs="Arial"/>
              </w:rPr>
            </w:pPr>
            <w:r w:rsidRPr="00E0573F">
              <w:rPr>
                <w:rFonts w:ascii="Arial" w:hAnsi="Arial" w:cs="Arial"/>
              </w:rPr>
              <w:t>19</w:t>
            </w:r>
          </w:p>
        </w:tc>
        <w:tc>
          <w:tcPr>
            <w:tcW w:w="1350" w:type="dxa"/>
            <w:vAlign w:val="center"/>
          </w:tcPr>
          <w:p w14:paraId="2896A5C1" w14:textId="77777777" w:rsidR="00FF0471" w:rsidRPr="00E0573F" w:rsidRDefault="00FF0471" w:rsidP="00FF0471">
            <w:pPr>
              <w:jc w:val="center"/>
              <w:rPr>
                <w:rFonts w:ascii="Arial" w:hAnsi="Arial" w:cs="Arial"/>
              </w:rPr>
            </w:pPr>
            <w:r w:rsidRPr="00E0573F">
              <w:rPr>
                <w:rFonts w:ascii="Arial" w:hAnsi="Arial" w:cs="Arial"/>
              </w:rPr>
              <w:t>41</w:t>
            </w:r>
          </w:p>
        </w:tc>
        <w:tc>
          <w:tcPr>
            <w:tcW w:w="776" w:type="dxa"/>
            <w:vMerge w:val="restart"/>
            <w:vAlign w:val="center"/>
          </w:tcPr>
          <w:p w14:paraId="3661A293" w14:textId="77777777" w:rsidR="00FF0471" w:rsidRPr="00E0573F" w:rsidRDefault="00FF0471" w:rsidP="00FF0471">
            <w:pPr>
              <w:jc w:val="center"/>
              <w:rPr>
                <w:rFonts w:ascii="Arial" w:hAnsi="Arial" w:cs="Arial"/>
              </w:rPr>
            </w:pPr>
            <w:r w:rsidRPr="00E0573F">
              <w:rPr>
                <w:rFonts w:ascii="Arial" w:hAnsi="Arial" w:cs="Arial"/>
              </w:rPr>
              <w:t>27.39</w:t>
            </w:r>
          </w:p>
        </w:tc>
        <w:tc>
          <w:tcPr>
            <w:tcW w:w="1834" w:type="dxa"/>
            <w:vMerge w:val="restart"/>
            <w:vAlign w:val="center"/>
          </w:tcPr>
          <w:p w14:paraId="5AA6A37D" w14:textId="77777777" w:rsidR="00FF0471" w:rsidRPr="00E0573F" w:rsidRDefault="00FF0471" w:rsidP="00FF0471">
            <w:pPr>
              <w:jc w:val="center"/>
              <w:rPr>
                <w:rFonts w:ascii="Arial" w:hAnsi="Arial" w:cs="Arial"/>
              </w:rPr>
            </w:pPr>
            <w:r w:rsidRPr="00E0573F">
              <w:rPr>
                <w:rFonts w:ascii="Arial" w:hAnsi="Arial" w:cs="Arial"/>
              </w:rPr>
              <w:t>0.17(0.09-0.32)</w:t>
            </w:r>
          </w:p>
        </w:tc>
        <w:tc>
          <w:tcPr>
            <w:tcW w:w="900" w:type="dxa"/>
            <w:vMerge w:val="restart"/>
            <w:vAlign w:val="center"/>
          </w:tcPr>
          <w:p w14:paraId="45DAD431" w14:textId="77777777" w:rsidR="00FF0471" w:rsidRPr="00E0573F" w:rsidRDefault="00FF0471" w:rsidP="00FF0471">
            <w:pPr>
              <w:jc w:val="center"/>
              <w:rPr>
                <w:rFonts w:ascii="Arial" w:hAnsi="Arial" w:cs="Arial"/>
              </w:rPr>
            </w:pPr>
            <w:r w:rsidRPr="00E0573F">
              <w:rPr>
                <w:rFonts w:ascii="Arial" w:hAnsi="Arial" w:cs="Arial"/>
              </w:rPr>
              <w:t>&lt;0.001</w:t>
            </w:r>
          </w:p>
        </w:tc>
      </w:tr>
      <w:tr w:rsidR="00FF0471" w:rsidRPr="00E0573F" w14:paraId="3E117A79" w14:textId="77777777" w:rsidTr="00FF0471">
        <w:tc>
          <w:tcPr>
            <w:tcW w:w="1548" w:type="dxa"/>
            <w:vMerge/>
            <w:vAlign w:val="center"/>
          </w:tcPr>
          <w:p w14:paraId="0452038A" w14:textId="77777777" w:rsidR="00FF0471" w:rsidRPr="00E0573F" w:rsidRDefault="00FF0471" w:rsidP="00FF0471">
            <w:pPr>
              <w:jc w:val="center"/>
              <w:rPr>
                <w:rFonts w:ascii="Arial" w:hAnsi="Arial" w:cs="Arial"/>
              </w:rPr>
            </w:pPr>
          </w:p>
        </w:tc>
        <w:tc>
          <w:tcPr>
            <w:tcW w:w="1283" w:type="dxa"/>
            <w:vAlign w:val="center"/>
          </w:tcPr>
          <w:p w14:paraId="595E6E6B" w14:textId="77777777" w:rsidR="00FF0471" w:rsidRPr="00E0573F" w:rsidRDefault="00FF0471" w:rsidP="00FF0471">
            <w:pPr>
              <w:jc w:val="center"/>
              <w:rPr>
                <w:rFonts w:ascii="Arial" w:hAnsi="Arial" w:cs="Arial"/>
              </w:rPr>
            </w:pPr>
            <w:r w:rsidRPr="00E0573F">
              <w:rPr>
                <w:rFonts w:ascii="Arial" w:hAnsi="Arial" w:cs="Arial"/>
              </w:rPr>
              <w:t>Sometimes</w:t>
            </w:r>
          </w:p>
        </w:tc>
        <w:tc>
          <w:tcPr>
            <w:tcW w:w="1417" w:type="dxa"/>
            <w:vAlign w:val="center"/>
          </w:tcPr>
          <w:p w14:paraId="16BEDBEF" w14:textId="77777777" w:rsidR="00FF0471" w:rsidRPr="00E0573F" w:rsidRDefault="00FF0471" w:rsidP="00FF0471">
            <w:pPr>
              <w:jc w:val="center"/>
              <w:rPr>
                <w:rFonts w:ascii="Arial" w:hAnsi="Arial" w:cs="Arial"/>
              </w:rPr>
            </w:pPr>
            <w:r w:rsidRPr="00E0573F">
              <w:rPr>
                <w:rFonts w:ascii="Arial" w:hAnsi="Arial" w:cs="Arial"/>
              </w:rPr>
              <w:t>43</w:t>
            </w:r>
          </w:p>
        </w:tc>
        <w:tc>
          <w:tcPr>
            <w:tcW w:w="1350" w:type="dxa"/>
            <w:vAlign w:val="center"/>
          </w:tcPr>
          <w:p w14:paraId="33082A3B" w14:textId="77777777" w:rsidR="00FF0471" w:rsidRPr="00E0573F" w:rsidRDefault="00FF0471" w:rsidP="00FF0471">
            <w:pPr>
              <w:jc w:val="center"/>
              <w:rPr>
                <w:rFonts w:ascii="Arial" w:hAnsi="Arial" w:cs="Arial"/>
              </w:rPr>
            </w:pPr>
            <w:r w:rsidRPr="00E0573F">
              <w:rPr>
                <w:rFonts w:ascii="Arial" w:hAnsi="Arial" w:cs="Arial"/>
              </w:rPr>
              <w:t>37</w:t>
            </w:r>
          </w:p>
        </w:tc>
        <w:tc>
          <w:tcPr>
            <w:tcW w:w="776" w:type="dxa"/>
            <w:vMerge/>
            <w:vAlign w:val="center"/>
          </w:tcPr>
          <w:p w14:paraId="5B48DB12" w14:textId="77777777" w:rsidR="00FF0471" w:rsidRPr="00E0573F" w:rsidRDefault="00FF0471" w:rsidP="00FF0471">
            <w:pPr>
              <w:jc w:val="center"/>
              <w:rPr>
                <w:rFonts w:ascii="Arial" w:hAnsi="Arial" w:cs="Arial"/>
              </w:rPr>
            </w:pPr>
          </w:p>
        </w:tc>
        <w:tc>
          <w:tcPr>
            <w:tcW w:w="1834" w:type="dxa"/>
            <w:vMerge/>
            <w:vAlign w:val="center"/>
          </w:tcPr>
          <w:p w14:paraId="15091FE0" w14:textId="77777777" w:rsidR="00FF0471" w:rsidRPr="00E0573F" w:rsidRDefault="00FF0471" w:rsidP="00FF0471">
            <w:pPr>
              <w:jc w:val="center"/>
              <w:rPr>
                <w:rFonts w:ascii="Arial" w:hAnsi="Arial" w:cs="Arial"/>
              </w:rPr>
            </w:pPr>
          </w:p>
        </w:tc>
        <w:tc>
          <w:tcPr>
            <w:tcW w:w="900" w:type="dxa"/>
            <w:vMerge/>
            <w:vAlign w:val="center"/>
          </w:tcPr>
          <w:p w14:paraId="1A18A227" w14:textId="77777777" w:rsidR="00FF0471" w:rsidRPr="00E0573F" w:rsidRDefault="00FF0471" w:rsidP="00FF0471">
            <w:pPr>
              <w:jc w:val="center"/>
              <w:rPr>
                <w:rFonts w:ascii="Arial" w:hAnsi="Arial" w:cs="Arial"/>
              </w:rPr>
            </w:pPr>
          </w:p>
        </w:tc>
      </w:tr>
      <w:tr w:rsidR="00FF0471" w:rsidRPr="00E0573F" w14:paraId="6AFD74FD" w14:textId="77777777" w:rsidTr="00FF0471">
        <w:tc>
          <w:tcPr>
            <w:tcW w:w="1548" w:type="dxa"/>
            <w:vMerge/>
            <w:vAlign w:val="center"/>
          </w:tcPr>
          <w:p w14:paraId="3F9458A9" w14:textId="77777777" w:rsidR="00FF0471" w:rsidRPr="00E0573F" w:rsidRDefault="00FF0471" w:rsidP="00FF0471">
            <w:pPr>
              <w:jc w:val="center"/>
              <w:rPr>
                <w:rFonts w:ascii="Arial" w:hAnsi="Arial" w:cs="Arial"/>
              </w:rPr>
            </w:pPr>
          </w:p>
        </w:tc>
        <w:tc>
          <w:tcPr>
            <w:tcW w:w="1283" w:type="dxa"/>
            <w:vAlign w:val="center"/>
          </w:tcPr>
          <w:p w14:paraId="391A2A08" w14:textId="77777777" w:rsidR="00FF0471" w:rsidRPr="00E0573F" w:rsidRDefault="00FF0471" w:rsidP="00FF0471">
            <w:pPr>
              <w:jc w:val="center"/>
              <w:rPr>
                <w:rFonts w:ascii="Arial" w:hAnsi="Arial" w:cs="Arial"/>
              </w:rPr>
            </w:pPr>
            <w:r w:rsidRPr="00E0573F">
              <w:rPr>
                <w:rFonts w:ascii="Arial" w:hAnsi="Arial" w:cs="Arial"/>
              </w:rPr>
              <w:t>Never</w:t>
            </w:r>
          </w:p>
        </w:tc>
        <w:tc>
          <w:tcPr>
            <w:tcW w:w="1417" w:type="dxa"/>
            <w:vAlign w:val="center"/>
          </w:tcPr>
          <w:p w14:paraId="3BCB3831" w14:textId="77777777" w:rsidR="00FF0471" w:rsidRPr="00E0573F" w:rsidRDefault="00FF0471" w:rsidP="00FF0471">
            <w:pPr>
              <w:jc w:val="center"/>
              <w:rPr>
                <w:rFonts w:ascii="Arial" w:hAnsi="Arial" w:cs="Arial"/>
              </w:rPr>
            </w:pPr>
            <w:r w:rsidRPr="00E0573F">
              <w:rPr>
                <w:rFonts w:ascii="Arial" w:hAnsi="Arial" w:cs="Arial"/>
              </w:rPr>
              <w:t>92</w:t>
            </w:r>
          </w:p>
        </w:tc>
        <w:tc>
          <w:tcPr>
            <w:tcW w:w="1350" w:type="dxa"/>
            <w:vAlign w:val="center"/>
          </w:tcPr>
          <w:p w14:paraId="7E378DFB" w14:textId="77777777" w:rsidR="00FF0471" w:rsidRPr="00E0573F" w:rsidRDefault="00FF0471" w:rsidP="00FF0471">
            <w:pPr>
              <w:jc w:val="center"/>
              <w:rPr>
                <w:rFonts w:ascii="Arial" w:hAnsi="Arial" w:cs="Arial"/>
              </w:rPr>
            </w:pPr>
            <w:r w:rsidRPr="00E0573F">
              <w:rPr>
                <w:rFonts w:ascii="Arial" w:hAnsi="Arial" w:cs="Arial"/>
              </w:rPr>
              <w:t>20</w:t>
            </w:r>
          </w:p>
        </w:tc>
        <w:tc>
          <w:tcPr>
            <w:tcW w:w="776" w:type="dxa"/>
            <w:vMerge/>
            <w:vAlign w:val="center"/>
          </w:tcPr>
          <w:p w14:paraId="344EE2C0" w14:textId="77777777" w:rsidR="00FF0471" w:rsidRPr="00E0573F" w:rsidRDefault="00FF0471" w:rsidP="00FF0471">
            <w:pPr>
              <w:jc w:val="center"/>
              <w:rPr>
                <w:rFonts w:ascii="Arial" w:hAnsi="Arial" w:cs="Arial"/>
              </w:rPr>
            </w:pPr>
          </w:p>
        </w:tc>
        <w:tc>
          <w:tcPr>
            <w:tcW w:w="1834" w:type="dxa"/>
            <w:vMerge/>
            <w:vAlign w:val="center"/>
          </w:tcPr>
          <w:p w14:paraId="515DB04C" w14:textId="77777777" w:rsidR="00FF0471" w:rsidRPr="00E0573F" w:rsidRDefault="00FF0471" w:rsidP="00FF0471">
            <w:pPr>
              <w:jc w:val="center"/>
              <w:rPr>
                <w:rFonts w:ascii="Arial" w:hAnsi="Arial" w:cs="Arial"/>
              </w:rPr>
            </w:pPr>
          </w:p>
        </w:tc>
        <w:tc>
          <w:tcPr>
            <w:tcW w:w="900" w:type="dxa"/>
            <w:vMerge/>
            <w:vAlign w:val="center"/>
          </w:tcPr>
          <w:p w14:paraId="12413791" w14:textId="77777777" w:rsidR="00FF0471" w:rsidRPr="00E0573F" w:rsidRDefault="00FF0471" w:rsidP="00FF0471">
            <w:pPr>
              <w:jc w:val="center"/>
              <w:rPr>
                <w:rFonts w:ascii="Arial" w:hAnsi="Arial" w:cs="Arial"/>
              </w:rPr>
            </w:pPr>
          </w:p>
        </w:tc>
      </w:tr>
      <w:tr w:rsidR="00FF0471" w:rsidRPr="00E0573F" w14:paraId="5C53F236" w14:textId="77777777" w:rsidTr="00FF0471">
        <w:tc>
          <w:tcPr>
            <w:tcW w:w="1548" w:type="dxa"/>
            <w:vMerge w:val="restart"/>
            <w:vAlign w:val="center"/>
          </w:tcPr>
          <w:p w14:paraId="187DFA69" w14:textId="77777777" w:rsidR="00FF0471" w:rsidRPr="00E0573F" w:rsidRDefault="00FF0471" w:rsidP="00FF0471">
            <w:pPr>
              <w:jc w:val="center"/>
              <w:rPr>
                <w:rFonts w:ascii="Arial" w:hAnsi="Arial" w:cs="Arial"/>
              </w:rPr>
            </w:pPr>
            <w:r w:rsidRPr="00E0573F">
              <w:rPr>
                <w:rFonts w:ascii="Arial" w:hAnsi="Arial" w:cs="Arial"/>
                <w:bCs/>
              </w:rPr>
              <w:t>Received TB Health Education</w:t>
            </w:r>
          </w:p>
        </w:tc>
        <w:tc>
          <w:tcPr>
            <w:tcW w:w="1283" w:type="dxa"/>
            <w:vAlign w:val="center"/>
          </w:tcPr>
          <w:p w14:paraId="33FC4239" w14:textId="77777777" w:rsidR="00FF0471" w:rsidRPr="00E0573F" w:rsidRDefault="00FF0471" w:rsidP="00FF0471">
            <w:pPr>
              <w:jc w:val="center"/>
              <w:rPr>
                <w:rFonts w:ascii="Arial" w:hAnsi="Arial" w:cs="Arial"/>
              </w:rPr>
            </w:pPr>
            <w:r w:rsidRPr="00E0573F">
              <w:rPr>
                <w:rFonts w:ascii="Arial" w:hAnsi="Arial" w:cs="Arial"/>
              </w:rPr>
              <w:t>Yes</w:t>
            </w:r>
          </w:p>
        </w:tc>
        <w:tc>
          <w:tcPr>
            <w:tcW w:w="1417" w:type="dxa"/>
            <w:vAlign w:val="center"/>
          </w:tcPr>
          <w:p w14:paraId="6F854165" w14:textId="77777777" w:rsidR="00FF0471" w:rsidRPr="00E0573F" w:rsidRDefault="00FF0471" w:rsidP="00FF0471">
            <w:pPr>
              <w:jc w:val="center"/>
              <w:rPr>
                <w:rFonts w:ascii="Arial" w:hAnsi="Arial" w:cs="Arial"/>
              </w:rPr>
            </w:pPr>
            <w:r w:rsidRPr="00E0573F">
              <w:rPr>
                <w:rFonts w:ascii="Arial" w:hAnsi="Arial" w:cs="Arial"/>
              </w:rPr>
              <w:t>46</w:t>
            </w:r>
          </w:p>
        </w:tc>
        <w:tc>
          <w:tcPr>
            <w:tcW w:w="1350" w:type="dxa"/>
            <w:vAlign w:val="center"/>
          </w:tcPr>
          <w:p w14:paraId="662AC4D6" w14:textId="77777777" w:rsidR="00FF0471" w:rsidRPr="00E0573F" w:rsidRDefault="00FF0471" w:rsidP="00FF0471">
            <w:pPr>
              <w:jc w:val="center"/>
              <w:rPr>
                <w:rFonts w:ascii="Arial" w:hAnsi="Arial" w:cs="Arial"/>
              </w:rPr>
            </w:pPr>
            <w:r w:rsidRPr="00E0573F">
              <w:rPr>
                <w:rFonts w:ascii="Arial" w:hAnsi="Arial" w:cs="Arial"/>
              </w:rPr>
              <w:t>73</w:t>
            </w:r>
          </w:p>
        </w:tc>
        <w:tc>
          <w:tcPr>
            <w:tcW w:w="776" w:type="dxa"/>
            <w:vMerge w:val="restart"/>
            <w:vAlign w:val="center"/>
          </w:tcPr>
          <w:p w14:paraId="11CE3D68" w14:textId="77777777" w:rsidR="00FF0471" w:rsidRPr="00E0573F" w:rsidRDefault="00FF0471" w:rsidP="00FF0471">
            <w:pPr>
              <w:jc w:val="center"/>
              <w:rPr>
                <w:rFonts w:ascii="Arial" w:hAnsi="Arial" w:cs="Arial"/>
              </w:rPr>
            </w:pPr>
            <w:r w:rsidRPr="00E0573F">
              <w:rPr>
                <w:rFonts w:ascii="Arial" w:hAnsi="Arial" w:cs="Arial"/>
              </w:rPr>
              <w:t>28.51</w:t>
            </w:r>
          </w:p>
        </w:tc>
        <w:tc>
          <w:tcPr>
            <w:tcW w:w="1834" w:type="dxa"/>
            <w:vMerge w:val="restart"/>
            <w:vAlign w:val="center"/>
          </w:tcPr>
          <w:p w14:paraId="30167555" w14:textId="77777777" w:rsidR="00FF0471" w:rsidRPr="00E0573F" w:rsidRDefault="00FF0471" w:rsidP="00FF0471">
            <w:pPr>
              <w:jc w:val="center"/>
              <w:rPr>
                <w:rFonts w:ascii="Arial" w:hAnsi="Arial" w:cs="Arial"/>
              </w:rPr>
            </w:pPr>
            <w:r w:rsidRPr="00E0573F">
              <w:rPr>
                <w:rFonts w:ascii="Arial" w:hAnsi="Arial" w:cs="Arial"/>
              </w:rPr>
              <w:t>0.15(0.08-0.28)</w:t>
            </w:r>
          </w:p>
        </w:tc>
        <w:tc>
          <w:tcPr>
            <w:tcW w:w="900" w:type="dxa"/>
            <w:vMerge w:val="restart"/>
            <w:vAlign w:val="center"/>
          </w:tcPr>
          <w:p w14:paraId="689FFA58" w14:textId="77777777" w:rsidR="00FF0471" w:rsidRPr="00E0573F" w:rsidRDefault="00FF0471" w:rsidP="00FF0471">
            <w:pPr>
              <w:jc w:val="center"/>
              <w:rPr>
                <w:rFonts w:ascii="Arial" w:hAnsi="Arial" w:cs="Arial"/>
              </w:rPr>
            </w:pPr>
            <w:r w:rsidRPr="00E0573F">
              <w:rPr>
                <w:rFonts w:ascii="Arial" w:hAnsi="Arial" w:cs="Arial"/>
              </w:rPr>
              <w:t>&lt;0.001</w:t>
            </w:r>
          </w:p>
        </w:tc>
      </w:tr>
      <w:tr w:rsidR="00FF0471" w:rsidRPr="00E0573F" w14:paraId="30B60F29" w14:textId="77777777" w:rsidTr="00FF0471">
        <w:tc>
          <w:tcPr>
            <w:tcW w:w="1548" w:type="dxa"/>
            <w:vMerge/>
            <w:vAlign w:val="center"/>
          </w:tcPr>
          <w:p w14:paraId="1B7FDF35" w14:textId="77777777" w:rsidR="00FF0471" w:rsidRPr="00E0573F" w:rsidRDefault="00FF0471" w:rsidP="00FF0471">
            <w:pPr>
              <w:jc w:val="center"/>
              <w:rPr>
                <w:rFonts w:ascii="Arial" w:hAnsi="Arial" w:cs="Arial"/>
              </w:rPr>
            </w:pPr>
          </w:p>
        </w:tc>
        <w:tc>
          <w:tcPr>
            <w:tcW w:w="1283" w:type="dxa"/>
            <w:vAlign w:val="center"/>
          </w:tcPr>
          <w:p w14:paraId="13A2A2B6" w14:textId="77777777" w:rsidR="00FF0471" w:rsidRPr="00E0573F" w:rsidRDefault="00FF0471" w:rsidP="00FF0471">
            <w:pPr>
              <w:jc w:val="center"/>
              <w:rPr>
                <w:rFonts w:ascii="Arial" w:hAnsi="Arial" w:cs="Arial"/>
              </w:rPr>
            </w:pPr>
            <w:r w:rsidRPr="00E0573F">
              <w:rPr>
                <w:rFonts w:ascii="Arial" w:hAnsi="Arial" w:cs="Arial"/>
              </w:rPr>
              <w:t>No</w:t>
            </w:r>
          </w:p>
        </w:tc>
        <w:tc>
          <w:tcPr>
            <w:tcW w:w="1417" w:type="dxa"/>
            <w:vAlign w:val="center"/>
          </w:tcPr>
          <w:p w14:paraId="6148EB45" w14:textId="77777777" w:rsidR="00FF0471" w:rsidRPr="00E0573F" w:rsidRDefault="00FF0471" w:rsidP="00FF0471">
            <w:pPr>
              <w:jc w:val="center"/>
              <w:rPr>
                <w:rFonts w:ascii="Arial" w:hAnsi="Arial" w:cs="Arial"/>
              </w:rPr>
            </w:pPr>
            <w:r w:rsidRPr="00E0573F">
              <w:rPr>
                <w:rFonts w:ascii="Arial" w:hAnsi="Arial" w:cs="Arial"/>
              </w:rPr>
              <w:t>108</w:t>
            </w:r>
          </w:p>
        </w:tc>
        <w:tc>
          <w:tcPr>
            <w:tcW w:w="1350" w:type="dxa"/>
            <w:vAlign w:val="center"/>
          </w:tcPr>
          <w:p w14:paraId="45769706" w14:textId="77777777" w:rsidR="00FF0471" w:rsidRPr="00E0573F" w:rsidRDefault="00FF0471" w:rsidP="00FF0471">
            <w:pPr>
              <w:jc w:val="center"/>
              <w:rPr>
                <w:rFonts w:ascii="Arial" w:hAnsi="Arial" w:cs="Arial"/>
              </w:rPr>
            </w:pPr>
            <w:r w:rsidRPr="00E0573F">
              <w:rPr>
                <w:rFonts w:ascii="Arial" w:hAnsi="Arial" w:cs="Arial"/>
              </w:rPr>
              <w:t>25</w:t>
            </w:r>
          </w:p>
        </w:tc>
        <w:tc>
          <w:tcPr>
            <w:tcW w:w="776" w:type="dxa"/>
            <w:vMerge/>
            <w:vAlign w:val="center"/>
          </w:tcPr>
          <w:p w14:paraId="718C9CAA" w14:textId="77777777" w:rsidR="00FF0471" w:rsidRPr="00E0573F" w:rsidRDefault="00FF0471" w:rsidP="00FF0471">
            <w:pPr>
              <w:jc w:val="center"/>
              <w:rPr>
                <w:rFonts w:ascii="Arial" w:hAnsi="Arial" w:cs="Arial"/>
              </w:rPr>
            </w:pPr>
          </w:p>
        </w:tc>
        <w:tc>
          <w:tcPr>
            <w:tcW w:w="1834" w:type="dxa"/>
            <w:vMerge/>
            <w:vAlign w:val="center"/>
          </w:tcPr>
          <w:p w14:paraId="3A631DA5" w14:textId="77777777" w:rsidR="00FF0471" w:rsidRPr="00E0573F" w:rsidRDefault="00FF0471" w:rsidP="00FF0471">
            <w:pPr>
              <w:jc w:val="center"/>
              <w:rPr>
                <w:rFonts w:ascii="Arial" w:hAnsi="Arial" w:cs="Arial"/>
              </w:rPr>
            </w:pPr>
          </w:p>
        </w:tc>
        <w:tc>
          <w:tcPr>
            <w:tcW w:w="900" w:type="dxa"/>
            <w:vMerge/>
            <w:vAlign w:val="center"/>
          </w:tcPr>
          <w:p w14:paraId="07750E66" w14:textId="77777777" w:rsidR="00FF0471" w:rsidRPr="00E0573F" w:rsidRDefault="00FF0471" w:rsidP="00FF0471">
            <w:pPr>
              <w:jc w:val="center"/>
              <w:rPr>
                <w:rFonts w:ascii="Arial" w:hAnsi="Arial" w:cs="Arial"/>
              </w:rPr>
            </w:pPr>
          </w:p>
        </w:tc>
      </w:tr>
    </w:tbl>
    <w:p w14:paraId="537062E6" w14:textId="77777777" w:rsidR="00506E39" w:rsidRPr="00E0573F" w:rsidRDefault="00506E39" w:rsidP="00506E39">
      <w:pPr>
        <w:pStyle w:val="NormalWeb"/>
        <w:spacing w:after="0" w:afterAutospacing="0"/>
        <w:jc w:val="both"/>
        <w:rPr>
          <w:rFonts w:ascii="Arial" w:hAnsi="Arial" w:cs="Arial"/>
          <w:sz w:val="20"/>
          <w:szCs w:val="20"/>
        </w:rPr>
      </w:pPr>
      <w:r w:rsidRPr="00E0573F">
        <w:rPr>
          <w:rFonts w:ascii="Arial" w:hAnsi="Arial" w:cs="Arial"/>
          <w:sz w:val="20"/>
          <w:szCs w:val="20"/>
        </w:rPr>
        <w:t>The null hypothesis (H₀₄) stated that there was no significant relationship between the level of TB awareness and the adoption of preventive practices. The results in Table 11 led to the rejection of this null hypothesis, as all the variables examined showed highly significant associations with TB infection (p &lt; 0.001). Awareness that TB is infectious was significantly protective against TB infection (χ² = 31.64, COR = 0.19, 95% CI: 0.11–0.34), indicating that individuals who were aware of the infectious nature of TB were approximately 81% less likely to contract TB than those who were unaware. Consistent mask use in crowded areas also significantly reduced TB risk (χ² = 27.39, COR = 0.17, 95% CI: 0.09–0.32), with regular mask users being 83% less likely to be infected than those who never used masks. Receipt of TB health education demonstrated a strong protective effect (χ² = 28.51, COR = 0.15, 95% CI: 0.08–0.28), suggesting that individuals who had received health education were 85% less likely to acquire TB than those who had not.</w:t>
      </w:r>
    </w:p>
    <w:p w14:paraId="198EE494" w14:textId="77777777" w:rsidR="00506E39" w:rsidRPr="00E0573F" w:rsidRDefault="00506E39" w:rsidP="00506E39">
      <w:pPr>
        <w:pStyle w:val="NormalWeb"/>
        <w:spacing w:after="0" w:afterAutospacing="0"/>
        <w:jc w:val="both"/>
        <w:rPr>
          <w:rFonts w:ascii="Arial" w:hAnsi="Arial" w:cs="Arial"/>
          <w:sz w:val="20"/>
          <w:szCs w:val="20"/>
        </w:rPr>
      </w:pPr>
      <w:r w:rsidRPr="00E0573F">
        <w:rPr>
          <w:rFonts w:ascii="Arial" w:hAnsi="Arial" w:cs="Arial"/>
          <w:sz w:val="20"/>
          <w:szCs w:val="20"/>
        </w:rPr>
        <w:t>Because all the variables had reported p-values below 0.05, the null hypothesis (H₀₄) was rejected. This indicates a statistically significant relationship between the level of TB awareness and the adoption of preventive practices among high-risk populations in Makurdi LGA. These findings emphasise the importance of continuous TB health education, improved public awareness, and adherence to preventive practices, such as mask use, as strategies for reducing tuberculosis transmission in the study area.</w:t>
      </w:r>
    </w:p>
    <w:p w14:paraId="19E3BF22" w14:textId="77777777" w:rsidR="00FF0471" w:rsidRPr="00E0573F" w:rsidRDefault="00FF0471" w:rsidP="00FF0471">
      <w:pPr>
        <w:pStyle w:val="NormalWeb"/>
        <w:spacing w:before="0" w:beforeAutospacing="0" w:after="0" w:afterAutospacing="0"/>
        <w:jc w:val="both"/>
        <w:rPr>
          <w:rFonts w:ascii="Arial" w:hAnsi="Arial" w:cs="Arial"/>
          <w:sz w:val="20"/>
          <w:szCs w:val="20"/>
        </w:rPr>
      </w:pPr>
    </w:p>
    <w:p w14:paraId="51284C20" w14:textId="77777777" w:rsidR="00FF0471" w:rsidRPr="00E0573F" w:rsidRDefault="00FF0471" w:rsidP="00FF0471">
      <w:pPr>
        <w:pStyle w:val="NormalWeb"/>
        <w:spacing w:before="0" w:beforeAutospacing="0" w:after="0" w:afterAutospacing="0"/>
        <w:jc w:val="both"/>
        <w:rPr>
          <w:rFonts w:ascii="Arial" w:hAnsi="Arial" w:cs="Arial"/>
          <w:sz w:val="20"/>
          <w:szCs w:val="20"/>
        </w:rPr>
      </w:pPr>
      <w:r w:rsidRPr="00E0573F">
        <w:rPr>
          <w:rFonts w:ascii="Arial" w:hAnsi="Arial" w:cs="Arial"/>
          <w:sz w:val="20"/>
          <w:szCs w:val="20"/>
        </w:rPr>
        <w:lastRenderedPageBreak/>
        <w:t>Table 12 presents the results of the binary logistic regression analysis conducted to identify independent predictors of tuberculosis (TB) infection among high-risk populations in Makurdi Local Government Area. The model estimates adjusted odds ratios (AORs) with corresponding 95% confidence intervals (CIs) after controlling for potential confounders. The predictor variables included in the model were sex, place of residence, income level, overcrowding, ventilation, smoking, HIV status, and number of meals consumed per day. Statistical significance was assessed at the 5% level using the Wald test.</w:t>
      </w:r>
    </w:p>
    <w:p w14:paraId="11FD3A20" w14:textId="77777777" w:rsidR="00FF0471" w:rsidRPr="00E0573F" w:rsidRDefault="00FF0471" w:rsidP="00FF0471">
      <w:pPr>
        <w:jc w:val="both"/>
        <w:rPr>
          <w:rFonts w:ascii="Times New Roman" w:hAnsi="Times New Roman"/>
          <w:b/>
          <w:sz w:val="24"/>
          <w:szCs w:val="24"/>
        </w:rPr>
      </w:pPr>
    </w:p>
    <w:p w14:paraId="3AAB9094" w14:textId="77777777" w:rsidR="00FF0471" w:rsidRPr="00E0573F" w:rsidRDefault="00FF0471" w:rsidP="00FF0471">
      <w:pPr>
        <w:jc w:val="both"/>
        <w:rPr>
          <w:rFonts w:ascii="Arial" w:hAnsi="Arial" w:cs="Arial"/>
          <w:b/>
        </w:rPr>
      </w:pPr>
      <w:r w:rsidRPr="00E0573F">
        <w:rPr>
          <w:rFonts w:ascii="Arial" w:hAnsi="Arial" w:cs="Arial"/>
          <w:b/>
        </w:rPr>
        <w:t>Table 12: Logistic Regression – Adjusted Odds Ratios (AOR) for TB Infection</w:t>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573"/>
        <w:gridCol w:w="913"/>
        <w:gridCol w:w="1028"/>
        <w:gridCol w:w="1122"/>
        <w:gridCol w:w="1195"/>
        <w:gridCol w:w="1122"/>
        <w:gridCol w:w="1471"/>
      </w:tblGrid>
      <w:tr w:rsidR="00FF0471" w:rsidRPr="00E0573F" w14:paraId="7227F6F3" w14:textId="77777777" w:rsidTr="00506E39">
        <w:tc>
          <w:tcPr>
            <w:tcW w:w="1573" w:type="dxa"/>
            <w:tcBorders>
              <w:top w:val="single" w:sz="4" w:space="0" w:color="auto"/>
              <w:bottom w:val="single" w:sz="4" w:space="0" w:color="auto"/>
            </w:tcBorders>
            <w:vAlign w:val="center"/>
          </w:tcPr>
          <w:p w14:paraId="62D64505" w14:textId="77777777" w:rsidR="00FF0471" w:rsidRPr="00E0573F" w:rsidRDefault="00FF0471" w:rsidP="00FF0471">
            <w:pPr>
              <w:jc w:val="center"/>
              <w:rPr>
                <w:rFonts w:ascii="Arial" w:hAnsi="Arial" w:cs="Arial"/>
                <w:b/>
                <w:bCs/>
              </w:rPr>
            </w:pPr>
            <w:r w:rsidRPr="00E0573F">
              <w:rPr>
                <w:rFonts w:ascii="Arial" w:hAnsi="Arial" w:cs="Arial"/>
                <w:b/>
                <w:bCs/>
              </w:rPr>
              <w:t>Predictor Variable</w:t>
            </w:r>
          </w:p>
        </w:tc>
        <w:tc>
          <w:tcPr>
            <w:tcW w:w="913" w:type="dxa"/>
            <w:tcBorders>
              <w:top w:val="single" w:sz="4" w:space="0" w:color="auto"/>
              <w:bottom w:val="single" w:sz="4" w:space="0" w:color="auto"/>
            </w:tcBorders>
            <w:vAlign w:val="center"/>
          </w:tcPr>
          <w:p w14:paraId="5122C70D" w14:textId="77777777" w:rsidR="00FF0471" w:rsidRPr="00E0573F" w:rsidRDefault="00FF0471" w:rsidP="00FF0471">
            <w:pPr>
              <w:jc w:val="center"/>
              <w:rPr>
                <w:rFonts w:ascii="Arial" w:hAnsi="Arial" w:cs="Arial"/>
                <w:b/>
                <w:bCs/>
              </w:rPr>
            </w:pPr>
            <w:r w:rsidRPr="00E0573F">
              <w:rPr>
                <w:rFonts w:ascii="Arial" w:hAnsi="Arial" w:cs="Arial"/>
                <w:b/>
                <w:bCs/>
              </w:rPr>
              <w:t>B</w:t>
            </w:r>
          </w:p>
        </w:tc>
        <w:tc>
          <w:tcPr>
            <w:tcW w:w="1028" w:type="dxa"/>
            <w:tcBorders>
              <w:top w:val="single" w:sz="4" w:space="0" w:color="auto"/>
              <w:bottom w:val="single" w:sz="4" w:space="0" w:color="auto"/>
            </w:tcBorders>
            <w:vAlign w:val="center"/>
          </w:tcPr>
          <w:p w14:paraId="3E3B2FB0" w14:textId="77777777" w:rsidR="00FF0471" w:rsidRPr="00E0573F" w:rsidRDefault="00FF0471" w:rsidP="00FF0471">
            <w:pPr>
              <w:jc w:val="center"/>
              <w:rPr>
                <w:rFonts w:ascii="Arial" w:hAnsi="Arial" w:cs="Arial"/>
                <w:b/>
                <w:bCs/>
              </w:rPr>
            </w:pPr>
            <w:r w:rsidRPr="00E0573F">
              <w:rPr>
                <w:rFonts w:ascii="Arial" w:hAnsi="Arial" w:cs="Arial"/>
                <w:b/>
                <w:bCs/>
              </w:rPr>
              <w:t>S.E</w:t>
            </w:r>
          </w:p>
        </w:tc>
        <w:tc>
          <w:tcPr>
            <w:tcW w:w="1122" w:type="dxa"/>
            <w:tcBorders>
              <w:top w:val="single" w:sz="4" w:space="0" w:color="auto"/>
              <w:bottom w:val="single" w:sz="4" w:space="0" w:color="auto"/>
            </w:tcBorders>
            <w:vAlign w:val="center"/>
          </w:tcPr>
          <w:p w14:paraId="7FA15756" w14:textId="77777777" w:rsidR="00FF0471" w:rsidRPr="00E0573F" w:rsidRDefault="00FF0471" w:rsidP="00FF0471">
            <w:pPr>
              <w:jc w:val="center"/>
              <w:rPr>
                <w:rFonts w:ascii="Arial" w:hAnsi="Arial" w:cs="Arial"/>
                <w:b/>
                <w:bCs/>
              </w:rPr>
            </w:pPr>
            <w:r w:rsidRPr="00E0573F">
              <w:rPr>
                <w:rFonts w:ascii="Arial" w:hAnsi="Arial" w:cs="Arial"/>
                <w:b/>
                <w:bCs/>
              </w:rPr>
              <w:t>Wald</w:t>
            </w:r>
          </w:p>
        </w:tc>
        <w:tc>
          <w:tcPr>
            <w:tcW w:w="1195" w:type="dxa"/>
            <w:tcBorders>
              <w:top w:val="single" w:sz="4" w:space="0" w:color="auto"/>
              <w:bottom w:val="single" w:sz="4" w:space="0" w:color="auto"/>
            </w:tcBorders>
            <w:vAlign w:val="center"/>
          </w:tcPr>
          <w:p w14:paraId="6BA08DBA" w14:textId="77777777" w:rsidR="00FF0471" w:rsidRPr="00E0573F" w:rsidRDefault="00FF0471" w:rsidP="00FF0471">
            <w:pPr>
              <w:jc w:val="center"/>
              <w:rPr>
                <w:rFonts w:ascii="Arial" w:hAnsi="Arial" w:cs="Arial"/>
                <w:b/>
                <w:bCs/>
              </w:rPr>
            </w:pPr>
            <w:r w:rsidRPr="00E0573F">
              <w:rPr>
                <w:rFonts w:ascii="Arial" w:hAnsi="Arial" w:cs="Arial"/>
                <w:b/>
                <w:bCs/>
              </w:rPr>
              <w:t>p-value</w:t>
            </w:r>
          </w:p>
        </w:tc>
        <w:tc>
          <w:tcPr>
            <w:tcW w:w="1122" w:type="dxa"/>
            <w:tcBorders>
              <w:top w:val="single" w:sz="4" w:space="0" w:color="auto"/>
              <w:bottom w:val="single" w:sz="4" w:space="0" w:color="auto"/>
            </w:tcBorders>
            <w:vAlign w:val="center"/>
          </w:tcPr>
          <w:p w14:paraId="096A12C8" w14:textId="77777777" w:rsidR="00FF0471" w:rsidRPr="00E0573F" w:rsidRDefault="00FF0471" w:rsidP="00FF0471">
            <w:pPr>
              <w:jc w:val="center"/>
              <w:rPr>
                <w:rFonts w:ascii="Arial" w:hAnsi="Arial" w:cs="Arial"/>
                <w:b/>
                <w:bCs/>
              </w:rPr>
            </w:pPr>
            <w:r w:rsidRPr="00E0573F">
              <w:rPr>
                <w:rFonts w:ascii="Arial" w:hAnsi="Arial" w:cs="Arial"/>
                <w:b/>
                <w:bCs/>
              </w:rPr>
              <w:t>AOR</w:t>
            </w:r>
          </w:p>
        </w:tc>
        <w:tc>
          <w:tcPr>
            <w:tcW w:w="1471" w:type="dxa"/>
            <w:tcBorders>
              <w:top w:val="single" w:sz="4" w:space="0" w:color="auto"/>
              <w:bottom w:val="single" w:sz="4" w:space="0" w:color="auto"/>
            </w:tcBorders>
            <w:vAlign w:val="center"/>
          </w:tcPr>
          <w:p w14:paraId="455F4006" w14:textId="77777777" w:rsidR="00FF0471" w:rsidRPr="00E0573F" w:rsidRDefault="00FF0471" w:rsidP="00FF0471">
            <w:pPr>
              <w:jc w:val="center"/>
              <w:rPr>
                <w:rFonts w:ascii="Arial" w:hAnsi="Arial" w:cs="Arial"/>
                <w:b/>
                <w:bCs/>
              </w:rPr>
            </w:pPr>
            <w:r w:rsidRPr="00E0573F">
              <w:rPr>
                <w:rFonts w:ascii="Arial" w:hAnsi="Arial" w:cs="Arial"/>
                <w:b/>
                <w:bCs/>
              </w:rPr>
              <w:t>95% CI</w:t>
            </w:r>
          </w:p>
        </w:tc>
      </w:tr>
      <w:tr w:rsidR="00FF0471" w:rsidRPr="00E0573F" w14:paraId="45145346" w14:textId="77777777" w:rsidTr="00506E39">
        <w:tc>
          <w:tcPr>
            <w:tcW w:w="1573" w:type="dxa"/>
            <w:tcBorders>
              <w:top w:val="single" w:sz="4" w:space="0" w:color="auto"/>
            </w:tcBorders>
            <w:vAlign w:val="center"/>
          </w:tcPr>
          <w:p w14:paraId="0239C124" w14:textId="77777777" w:rsidR="00FF0471" w:rsidRPr="00E0573F" w:rsidRDefault="00FF0471" w:rsidP="00FF0471">
            <w:pPr>
              <w:rPr>
                <w:rFonts w:ascii="Arial" w:hAnsi="Arial" w:cs="Arial"/>
              </w:rPr>
            </w:pPr>
            <w:r w:rsidRPr="00E0573F">
              <w:rPr>
                <w:rFonts w:ascii="Arial" w:hAnsi="Arial" w:cs="Arial"/>
              </w:rPr>
              <w:t>Male Sex</w:t>
            </w:r>
          </w:p>
        </w:tc>
        <w:tc>
          <w:tcPr>
            <w:tcW w:w="913" w:type="dxa"/>
            <w:tcBorders>
              <w:top w:val="single" w:sz="4" w:space="0" w:color="auto"/>
            </w:tcBorders>
            <w:vAlign w:val="center"/>
          </w:tcPr>
          <w:p w14:paraId="7CB3351A" w14:textId="77777777" w:rsidR="00FF0471" w:rsidRPr="00E0573F" w:rsidRDefault="00FF0471" w:rsidP="00FF0471">
            <w:pPr>
              <w:rPr>
                <w:rFonts w:ascii="Arial" w:hAnsi="Arial" w:cs="Arial"/>
              </w:rPr>
            </w:pPr>
            <w:r w:rsidRPr="00E0573F">
              <w:rPr>
                <w:rFonts w:ascii="Arial" w:hAnsi="Arial" w:cs="Arial"/>
              </w:rPr>
              <w:t>1.1632</w:t>
            </w:r>
          </w:p>
        </w:tc>
        <w:tc>
          <w:tcPr>
            <w:tcW w:w="1028" w:type="dxa"/>
            <w:tcBorders>
              <w:top w:val="single" w:sz="4" w:space="0" w:color="auto"/>
            </w:tcBorders>
            <w:vAlign w:val="center"/>
          </w:tcPr>
          <w:p w14:paraId="02091B0A" w14:textId="77777777" w:rsidR="00FF0471" w:rsidRPr="00E0573F" w:rsidRDefault="00FF0471" w:rsidP="00FF0471">
            <w:pPr>
              <w:rPr>
                <w:rFonts w:ascii="Arial" w:hAnsi="Arial" w:cs="Arial"/>
              </w:rPr>
            </w:pPr>
            <w:r w:rsidRPr="00E0573F">
              <w:rPr>
                <w:rFonts w:ascii="Arial" w:hAnsi="Arial" w:cs="Arial"/>
              </w:rPr>
              <w:t>0.3022</w:t>
            </w:r>
          </w:p>
        </w:tc>
        <w:tc>
          <w:tcPr>
            <w:tcW w:w="1122" w:type="dxa"/>
            <w:tcBorders>
              <w:top w:val="single" w:sz="4" w:space="0" w:color="auto"/>
            </w:tcBorders>
            <w:vAlign w:val="center"/>
          </w:tcPr>
          <w:p w14:paraId="325F0B1A" w14:textId="77777777" w:rsidR="00FF0471" w:rsidRPr="00E0573F" w:rsidRDefault="00FF0471" w:rsidP="00FF0471">
            <w:pPr>
              <w:rPr>
                <w:rFonts w:ascii="Arial" w:hAnsi="Arial" w:cs="Arial"/>
              </w:rPr>
            </w:pPr>
            <w:r w:rsidRPr="00E0573F">
              <w:rPr>
                <w:rFonts w:ascii="Arial" w:hAnsi="Arial" w:cs="Arial"/>
              </w:rPr>
              <w:t>14.8156</w:t>
            </w:r>
          </w:p>
        </w:tc>
        <w:tc>
          <w:tcPr>
            <w:tcW w:w="1195" w:type="dxa"/>
            <w:tcBorders>
              <w:top w:val="single" w:sz="4" w:space="0" w:color="auto"/>
            </w:tcBorders>
            <w:vAlign w:val="center"/>
          </w:tcPr>
          <w:p w14:paraId="0339AE55" w14:textId="77777777" w:rsidR="00FF0471" w:rsidRPr="00E0573F" w:rsidRDefault="00FF0471" w:rsidP="00FF0471">
            <w:pPr>
              <w:rPr>
                <w:rFonts w:ascii="Arial" w:hAnsi="Arial" w:cs="Arial"/>
              </w:rPr>
            </w:pPr>
            <w:r w:rsidRPr="00E0573F">
              <w:rPr>
                <w:rFonts w:ascii="Arial" w:hAnsi="Arial" w:cs="Arial"/>
              </w:rPr>
              <w:t>&lt;0.0001</w:t>
            </w:r>
          </w:p>
        </w:tc>
        <w:tc>
          <w:tcPr>
            <w:tcW w:w="1122" w:type="dxa"/>
            <w:tcBorders>
              <w:top w:val="single" w:sz="4" w:space="0" w:color="auto"/>
            </w:tcBorders>
            <w:vAlign w:val="center"/>
          </w:tcPr>
          <w:p w14:paraId="56E19ABD" w14:textId="77777777" w:rsidR="00FF0471" w:rsidRPr="00E0573F" w:rsidRDefault="00FF0471" w:rsidP="00FF0471">
            <w:pPr>
              <w:rPr>
                <w:rFonts w:ascii="Arial" w:hAnsi="Arial" w:cs="Arial"/>
              </w:rPr>
            </w:pPr>
            <w:r w:rsidRPr="00E0573F">
              <w:rPr>
                <w:rFonts w:ascii="Arial" w:hAnsi="Arial" w:cs="Arial"/>
              </w:rPr>
              <w:t>3.2002</w:t>
            </w:r>
          </w:p>
        </w:tc>
        <w:tc>
          <w:tcPr>
            <w:tcW w:w="1471" w:type="dxa"/>
            <w:tcBorders>
              <w:top w:val="single" w:sz="4" w:space="0" w:color="auto"/>
            </w:tcBorders>
            <w:vAlign w:val="center"/>
          </w:tcPr>
          <w:p w14:paraId="27FA36C8" w14:textId="77777777" w:rsidR="00FF0471" w:rsidRPr="00E0573F" w:rsidRDefault="00FF0471" w:rsidP="00FF0471">
            <w:pPr>
              <w:rPr>
                <w:rFonts w:ascii="Arial" w:hAnsi="Arial" w:cs="Arial"/>
              </w:rPr>
            </w:pPr>
            <w:r w:rsidRPr="00E0573F">
              <w:rPr>
                <w:rFonts w:ascii="Arial" w:hAnsi="Arial" w:cs="Arial"/>
              </w:rPr>
              <w:t>1.792–5.734</w:t>
            </w:r>
          </w:p>
        </w:tc>
      </w:tr>
      <w:tr w:rsidR="00FF0471" w:rsidRPr="00E0573F" w14:paraId="7E719724" w14:textId="77777777" w:rsidTr="00506E39">
        <w:tc>
          <w:tcPr>
            <w:tcW w:w="1573" w:type="dxa"/>
            <w:vAlign w:val="center"/>
          </w:tcPr>
          <w:p w14:paraId="37CB7C3F" w14:textId="77777777" w:rsidR="00FF0471" w:rsidRPr="00E0573F" w:rsidRDefault="00FF0471" w:rsidP="00FF0471">
            <w:pPr>
              <w:rPr>
                <w:rFonts w:ascii="Arial" w:hAnsi="Arial" w:cs="Arial"/>
              </w:rPr>
            </w:pPr>
            <w:r w:rsidRPr="00E0573F">
              <w:rPr>
                <w:rFonts w:ascii="Arial" w:hAnsi="Arial" w:cs="Arial"/>
              </w:rPr>
              <w:t>Rural Residence</w:t>
            </w:r>
          </w:p>
        </w:tc>
        <w:tc>
          <w:tcPr>
            <w:tcW w:w="913" w:type="dxa"/>
            <w:vAlign w:val="center"/>
          </w:tcPr>
          <w:p w14:paraId="146A523C" w14:textId="77777777" w:rsidR="00FF0471" w:rsidRPr="00E0573F" w:rsidRDefault="00FF0471" w:rsidP="00FF0471">
            <w:pPr>
              <w:rPr>
                <w:rFonts w:ascii="Arial" w:hAnsi="Arial" w:cs="Arial"/>
              </w:rPr>
            </w:pPr>
            <w:r w:rsidRPr="00E0573F">
              <w:rPr>
                <w:rFonts w:ascii="Arial" w:hAnsi="Arial" w:cs="Arial"/>
              </w:rPr>
              <w:t>1.4791</w:t>
            </w:r>
          </w:p>
        </w:tc>
        <w:tc>
          <w:tcPr>
            <w:tcW w:w="1028" w:type="dxa"/>
            <w:vAlign w:val="center"/>
          </w:tcPr>
          <w:p w14:paraId="4DE17700" w14:textId="77777777" w:rsidR="00FF0471" w:rsidRPr="00E0573F" w:rsidRDefault="00FF0471" w:rsidP="00FF0471">
            <w:pPr>
              <w:rPr>
                <w:rFonts w:ascii="Arial" w:hAnsi="Arial" w:cs="Arial"/>
              </w:rPr>
            </w:pPr>
            <w:r w:rsidRPr="00E0573F">
              <w:rPr>
                <w:rFonts w:ascii="Arial" w:hAnsi="Arial" w:cs="Arial"/>
              </w:rPr>
              <w:t>0.3753</w:t>
            </w:r>
          </w:p>
        </w:tc>
        <w:tc>
          <w:tcPr>
            <w:tcW w:w="1122" w:type="dxa"/>
            <w:vAlign w:val="center"/>
          </w:tcPr>
          <w:p w14:paraId="5D9F2579" w14:textId="77777777" w:rsidR="00FF0471" w:rsidRPr="00E0573F" w:rsidRDefault="00FF0471" w:rsidP="00FF0471">
            <w:pPr>
              <w:rPr>
                <w:rFonts w:ascii="Arial" w:hAnsi="Arial" w:cs="Arial"/>
              </w:rPr>
            </w:pPr>
            <w:r w:rsidRPr="00E0573F">
              <w:rPr>
                <w:rFonts w:ascii="Arial" w:hAnsi="Arial" w:cs="Arial"/>
              </w:rPr>
              <w:t>15.5324</w:t>
            </w:r>
          </w:p>
        </w:tc>
        <w:tc>
          <w:tcPr>
            <w:tcW w:w="1195" w:type="dxa"/>
            <w:vAlign w:val="center"/>
          </w:tcPr>
          <w:p w14:paraId="3D6D7111" w14:textId="77777777" w:rsidR="00FF0471" w:rsidRPr="00E0573F" w:rsidRDefault="00FF0471" w:rsidP="00FF0471">
            <w:pPr>
              <w:rPr>
                <w:rFonts w:ascii="Arial" w:hAnsi="Arial" w:cs="Arial"/>
              </w:rPr>
            </w:pPr>
            <w:r w:rsidRPr="00E0573F">
              <w:rPr>
                <w:rFonts w:ascii="Arial" w:hAnsi="Arial" w:cs="Arial"/>
              </w:rPr>
              <w:t>&lt;0.0001</w:t>
            </w:r>
          </w:p>
        </w:tc>
        <w:tc>
          <w:tcPr>
            <w:tcW w:w="1122" w:type="dxa"/>
            <w:vAlign w:val="center"/>
          </w:tcPr>
          <w:p w14:paraId="2A977869" w14:textId="77777777" w:rsidR="00FF0471" w:rsidRPr="00E0573F" w:rsidRDefault="00FF0471" w:rsidP="00FF0471">
            <w:pPr>
              <w:rPr>
                <w:rFonts w:ascii="Arial" w:hAnsi="Arial" w:cs="Arial"/>
              </w:rPr>
            </w:pPr>
            <w:r w:rsidRPr="00E0573F">
              <w:rPr>
                <w:rFonts w:ascii="Arial" w:hAnsi="Arial" w:cs="Arial"/>
              </w:rPr>
              <w:t>4.3889</w:t>
            </w:r>
          </w:p>
        </w:tc>
        <w:tc>
          <w:tcPr>
            <w:tcW w:w="1471" w:type="dxa"/>
            <w:vAlign w:val="center"/>
          </w:tcPr>
          <w:p w14:paraId="0FF328D1" w14:textId="77777777" w:rsidR="00FF0471" w:rsidRPr="00E0573F" w:rsidRDefault="00FF0471" w:rsidP="00FF0471">
            <w:pPr>
              <w:rPr>
                <w:rFonts w:ascii="Arial" w:hAnsi="Arial" w:cs="Arial"/>
              </w:rPr>
            </w:pPr>
            <w:r w:rsidRPr="00E0573F">
              <w:rPr>
                <w:rFonts w:ascii="Arial" w:hAnsi="Arial" w:cs="Arial"/>
              </w:rPr>
              <w:t>2.115–9.151</w:t>
            </w:r>
          </w:p>
        </w:tc>
      </w:tr>
      <w:tr w:rsidR="00FF0471" w:rsidRPr="00E0573F" w14:paraId="2D8DCE71" w14:textId="77777777" w:rsidTr="00506E39">
        <w:tc>
          <w:tcPr>
            <w:tcW w:w="1573" w:type="dxa"/>
            <w:vAlign w:val="center"/>
          </w:tcPr>
          <w:p w14:paraId="66C02947" w14:textId="77777777" w:rsidR="00FF0471" w:rsidRPr="00E0573F" w:rsidRDefault="00FF0471" w:rsidP="00FF0471">
            <w:pPr>
              <w:rPr>
                <w:rFonts w:ascii="Arial" w:hAnsi="Arial" w:cs="Arial"/>
              </w:rPr>
            </w:pPr>
            <w:r w:rsidRPr="00E0573F">
              <w:rPr>
                <w:rFonts w:ascii="Arial" w:hAnsi="Arial" w:cs="Arial"/>
              </w:rPr>
              <w:t>Low Income</w:t>
            </w:r>
          </w:p>
        </w:tc>
        <w:tc>
          <w:tcPr>
            <w:tcW w:w="913" w:type="dxa"/>
            <w:vAlign w:val="center"/>
          </w:tcPr>
          <w:p w14:paraId="74FC6387" w14:textId="77777777" w:rsidR="00FF0471" w:rsidRPr="00E0573F" w:rsidRDefault="00FF0471" w:rsidP="00FF0471">
            <w:pPr>
              <w:rPr>
                <w:rFonts w:ascii="Arial" w:hAnsi="Arial" w:cs="Arial"/>
              </w:rPr>
            </w:pPr>
            <w:r w:rsidRPr="00E0573F">
              <w:rPr>
                <w:rFonts w:ascii="Arial" w:hAnsi="Arial" w:cs="Arial"/>
              </w:rPr>
              <w:t>0.7320</w:t>
            </w:r>
          </w:p>
        </w:tc>
        <w:tc>
          <w:tcPr>
            <w:tcW w:w="1028" w:type="dxa"/>
            <w:vAlign w:val="center"/>
          </w:tcPr>
          <w:p w14:paraId="118330FA" w14:textId="77777777" w:rsidR="00FF0471" w:rsidRPr="00E0573F" w:rsidRDefault="00FF0471" w:rsidP="00FF0471">
            <w:pPr>
              <w:rPr>
                <w:rFonts w:ascii="Arial" w:hAnsi="Arial" w:cs="Arial"/>
              </w:rPr>
            </w:pPr>
            <w:r w:rsidRPr="00E0573F">
              <w:rPr>
                <w:rFonts w:ascii="Arial" w:hAnsi="Arial" w:cs="Arial"/>
              </w:rPr>
              <w:t>0.2891</w:t>
            </w:r>
          </w:p>
        </w:tc>
        <w:tc>
          <w:tcPr>
            <w:tcW w:w="1122" w:type="dxa"/>
            <w:vAlign w:val="center"/>
          </w:tcPr>
          <w:p w14:paraId="70FA8EE7" w14:textId="77777777" w:rsidR="00FF0471" w:rsidRPr="00E0573F" w:rsidRDefault="00FF0471" w:rsidP="00FF0471">
            <w:pPr>
              <w:rPr>
                <w:rFonts w:ascii="Arial" w:hAnsi="Arial" w:cs="Arial"/>
              </w:rPr>
            </w:pPr>
            <w:r w:rsidRPr="00E0573F">
              <w:rPr>
                <w:rFonts w:ascii="Arial" w:hAnsi="Arial" w:cs="Arial"/>
              </w:rPr>
              <w:t>6.4110</w:t>
            </w:r>
          </w:p>
        </w:tc>
        <w:tc>
          <w:tcPr>
            <w:tcW w:w="1195" w:type="dxa"/>
            <w:vAlign w:val="center"/>
          </w:tcPr>
          <w:p w14:paraId="57493AF0" w14:textId="77777777" w:rsidR="00FF0471" w:rsidRPr="00E0573F" w:rsidRDefault="00FF0471" w:rsidP="00FF0471">
            <w:pPr>
              <w:rPr>
                <w:rFonts w:ascii="Arial" w:hAnsi="Arial" w:cs="Arial"/>
              </w:rPr>
            </w:pPr>
            <w:r w:rsidRPr="00E0573F">
              <w:rPr>
                <w:rFonts w:ascii="Arial" w:hAnsi="Arial" w:cs="Arial"/>
              </w:rPr>
              <w:t>0.0112</w:t>
            </w:r>
          </w:p>
        </w:tc>
        <w:tc>
          <w:tcPr>
            <w:tcW w:w="1122" w:type="dxa"/>
            <w:vAlign w:val="center"/>
          </w:tcPr>
          <w:p w14:paraId="2F66EF51" w14:textId="77777777" w:rsidR="00FF0471" w:rsidRPr="00E0573F" w:rsidRDefault="00FF0471" w:rsidP="00FF0471">
            <w:pPr>
              <w:rPr>
                <w:rFonts w:ascii="Arial" w:hAnsi="Arial" w:cs="Arial"/>
              </w:rPr>
            </w:pPr>
            <w:r w:rsidRPr="00E0573F">
              <w:rPr>
                <w:rFonts w:ascii="Arial" w:hAnsi="Arial" w:cs="Arial"/>
              </w:rPr>
              <w:t>2.0792</w:t>
            </w:r>
          </w:p>
        </w:tc>
        <w:tc>
          <w:tcPr>
            <w:tcW w:w="1471" w:type="dxa"/>
            <w:vAlign w:val="center"/>
          </w:tcPr>
          <w:p w14:paraId="1AF7C002" w14:textId="77777777" w:rsidR="00FF0471" w:rsidRPr="00E0573F" w:rsidRDefault="00FF0471" w:rsidP="00FF0471">
            <w:pPr>
              <w:rPr>
                <w:rFonts w:ascii="Arial" w:hAnsi="Arial" w:cs="Arial"/>
              </w:rPr>
            </w:pPr>
            <w:r w:rsidRPr="00E0573F">
              <w:rPr>
                <w:rFonts w:ascii="Arial" w:hAnsi="Arial" w:cs="Arial"/>
              </w:rPr>
              <w:t>1.182–3.667</w:t>
            </w:r>
          </w:p>
        </w:tc>
      </w:tr>
      <w:tr w:rsidR="00FF0471" w:rsidRPr="00E0573F" w14:paraId="616312DD" w14:textId="77777777" w:rsidTr="00506E39">
        <w:tc>
          <w:tcPr>
            <w:tcW w:w="1573" w:type="dxa"/>
            <w:vAlign w:val="center"/>
          </w:tcPr>
          <w:p w14:paraId="343583FE" w14:textId="77777777" w:rsidR="00FF0471" w:rsidRPr="00E0573F" w:rsidRDefault="00FF0471" w:rsidP="00FF0471">
            <w:pPr>
              <w:rPr>
                <w:rFonts w:ascii="Arial" w:hAnsi="Arial" w:cs="Arial"/>
              </w:rPr>
            </w:pPr>
            <w:r w:rsidRPr="00E0573F">
              <w:rPr>
                <w:rFonts w:ascii="Arial" w:hAnsi="Arial" w:cs="Arial"/>
              </w:rPr>
              <w:t>Overcrowding</w:t>
            </w:r>
          </w:p>
        </w:tc>
        <w:tc>
          <w:tcPr>
            <w:tcW w:w="913" w:type="dxa"/>
            <w:vAlign w:val="center"/>
          </w:tcPr>
          <w:p w14:paraId="041570EF" w14:textId="77777777" w:rsidR="00FF0471" w:rsidRPr="00E0573F" w:rsidRDefault="00FF0471" w:rsidP="00FF0471">
            <w:pPr>
              <w:rPr>
                <w:rFonts w:ascii="Arial" w:hAnsi="Arial" w:cs="Arial"/>
              </w:rPr>
            </w:pPr>
            <w:r w:rsidRPr="00E0573F">
              <w:rPr>
                <w:rFonts w:ascii="Arial" w:hAnsi="Arial" w:cs="Arial"/>
              </w:rPr>
              <w:t>2.1106</w:t>
            </w:r>
          </w:p>
        </w:tc>
        <w:tc>
          <w:tcPr>
            <w:tcW w:w="1028" w:type="dxa"/>
            <w:vAlign w:val="center"/>
          </w:tcPr>
          <w:p w14:paraId="459A2324" w14:textId="77777777" w:rsidR="00FF0471" w:rsidRPr="00E0573F" w:rsidRDefault="00FF0471" w:rsidP="00FF0471">
            <w:pPr>
              <w:rPr>
                <w:rFonts w:ascii="Arial" w:hAnsi="Arial" w:cs="Arial"/>
              </w:rPr>
            </w:pPr>
            <w:r w:rsidRPr="00E0573F">
              <w:rPr>
                <w:rFonts w:ascii="Arial" w:hAnsi="Arial" w:cs="Arial"/>
              </w:rPr>
              <w:t>0.4490</w:t>
            </w:r>
          </w:p>
        </w:tc>
        <w:tc>
          <w:tcPr>
            <w:tcW w:w="1122" w:type="dxa"/>
            <w:vAlign w:val="center"/>
          </w:tcPr>
          <w:p w14:paraId="4542FD43" w14:textId="77777777" w:rsidR="00FF0471" w:rsidRPr="00E0573F" w:rsidRDefault="00FF0471" w:rsidP="00FF0471">
            <w:pPr>
              <w:rPr>
                <w:rFonts w:ascii="Arial" w:hAnsi="Arial" w:cs="Arial"/>
              </w:rPr>
            </w:pPr>
            <w:r w:rsidRPr="00E0573F">
              <w:rPr>
                <w:rFonts w:ascii="Arial" w:hAnsi="Arial" w:cs="Arial"/>
              </w:rPr>
              <w:t>22.0963</w:t>
            </w:r>
          </w:p>
        </w:tc>
        <w:tc>
          <w:tcPr>
            <w:tcW w:w="1195" w:type="dxa"/>
            <w:vAlign w:val="center"/>
          </w:tcPr>
          <w:p w14:paraId="35FABD5F" w14:textId="77777777" w:rsidR="00FF0471" w:rsidRPr="00E0573F" w:rsidRDefault="00FF0471" w:rsidP="00FF0471">
            <w:pPr>
              <w:rPr>
                <w:rFonts w:ascii="Arial" w:hAnsi="Arial" w:cs="Arial"/>
              </w:rPr>
            </w:pPr>
            <w:r w:rsidRPr="00E0573F">
              <w:rPr>
                <w:rFonts w:ascii="Arial" w:hAnsi="Arial" w:cs="Arial"/>
              </w:rPr>
              <w:t>&lt;0.0001</w:t>
            </w:r>
          </w:p>
        </w:tc>
        <w:tc>
          <w:tcPr>
            <w:tcW w:w="1122" w:type="dxa"/>
            <w:vAlign w:val="center"/>
          </w:tcPr>
          <w:p w14:paraId="6F3FAAAB" w14:textId="77777777" w:rsidR="00FF0471" w:rsidRPr="00E0573F" w:rsidRDefault="00FF0471" w:rsidP="00FF0471">
            <w:pPr>
              <w:rPr>
                <w:rFonts w:ascii="Arial" w:hAnsi="Arial" w:cs="Arial"/>
              </w:rPr>
            </w:pPr>
            <w:r w:rsidRPr="00E0573F">
              <w:rPr>
                <w:rFonts w:ascii="Arial" w:hAnsi="Arial" w:cs="Arial"/>
              </w:rPr>
              <w:t>8.2532</w:t>
            </w:r>
          </w:p>
        </w:tc>
        <w:tc>
          <w:tcPr>
            <w:tcW w:w="1471" w:type="dxa"/>
            <w:vAlign w:val="center"/>
          </w:tcPr>
          <w:p w14:paraId="7883550F" w14:textId="77777777" w:rsidR="00FF0471" w:rsidRPr="00E0573F" w:rsidRDefault="00FF0471" w:rsidP="00FF0471">
            <w:pPr>
              <w:rPr>
                <w:rFonts w:ascii="Arial" w:hAnsi="Arial" w:cs="Arial"/>
              </w:rPr>
            </w:pPr>
            <w:r w:rsidRPr="00E0573F">
              <w:rPr>
                <w:rFonts w:ascii="Arial" w:hAnsi="Arial" w:cs="Arial"/>
              </w:rPr>
              <w:t>3.415–19.894</w:t>
            </w:r>
          </w:p>
        </w:tc>
      </w:tr>
      <w:tr w:rsidR="00FF0471" w:rsidRPr="00E0573F" w14:paraId="2C48B793" w14:textId="77777777" w:rsidTr="00506E39">
        <w:tc>
          <w:tcPr>
            <w:tcW w:w="1573" w:type="dxa"/>
            <w:vAlign w:val="center"/>
          </w:tcPr>
          <w:p w14:paraId="30D79036" w14:textId="77777777" w:rsidR="00FF0471" w:rsidRPr="00E0573F" w:rsidRDefault="00FF0471" w:rsidP="00FF0471">
            <w:pPr>
              <w:rPr>
                <w:rFonts w:ascii="Arial" w:hAnsi="Arial" w:cs="Arial"/>
              </w:rPr>
            </w:pPr>
            <w:r w:rsidRPr="00E0573F">
              <w:rPr>
                <w:rFonts w:ascii="Arial" w:hAnsi="Arial" w:cs="Arial"/>
              </w:rPr>
              <w:t>Inadequate Ventilation</w:t>
            </w:r>
          </w:p>
        </w:tc>
        <w:tc>
          <w:tcPr>
            <w:tcW w:w="913" w:type="dxa"/>
            <w:vAlign w:val="center"/>
          </w:tcPr>
          <w:p w14:paraId="58C43EFB" w14:textId="77777777" w:rsidR="00FF0471" w:rsidRPr="00E0573F" w:rsidRDefault="00FF0471" w:rsidP="00FF0471">
            <w:pPr>
              <w:rPr>
                <w:rFonts w:ascii="Arial" w:hAnsi="Arial" w:cs="Arial"/>
              </w:rPr>
            </w:pPr>
            <w:r w:rsidRPr="00E0573F">
              <w:rPr>
                <w:rFonts w:ascii="Arial" w:hAnsi="Arial" w:cs="Arial"/>
              </w:rPr>
              <w:t>1.9192</w:t>
            </w:r>
          </w:p>
        </w:tc>
        <w:tc>
          <w:tcPr>
            <w:tcW w:w="1028" w:type="dxa"/>
            <w:vAlign w:val="center"/>
          </w:tcPr>
          <w:p w14:paraId="7BB11B71" w14:textId="77777777" w:rsidR="00FF0471" w:rsidRPr="00E0573F" w:rsidRDefault="00FF0471" w:rsidP="00FF0471">
            <w:pPr>
              <w:rPr>
                <w:rFonts w:ascii="Arial" w:hAnsi="Arial" w:cs="Arial"/>
              </w:rPr>
            </w:pPr>
            <w:r w:rsidRPr="00E0573F">
              <w:rPr>
                <w:rFonts w:ascii="Arial" w:hAnsi="Arial" w:cs="Arial"/>
              </w:rPr>
              <w:t>0.4119</w:t>
            </w:r>
          </w:p>
        </w:tc>
        <w:tc>
          <w:tcPr>
            <w:tcW w:w="1122" w:type="dxa"/>
            <w:vAlign w:val="center"/>
          </w:tcPr>
          <w:p w14:paraId="5476AC58" w14:textId="77777777" w:rsidR="00FF0471" w:rsidRPr="00E0573F" w:rsidRDefault="00FF0471" w:rsidP="00FF0471">
            <w:pPr>
              <w:rPr>
                <w:rFonts w:ascii="Arial" w:hAnsi="Arial" w:cs="Arial"/>
              </w:rPr>
            </w:pPr>
            <w:r w:rsidRPr="00E0573F">
              <w:rPr>
                <w:rFonts w:ascii="Arial" w:hAnsi="Arial" w:cs="Arial"/>
              </w:rPr>
              <w:t>21.7099</w:t>
            </w:r>
          </w:p>
        </w:tc>
        <w:tc>
          <w:tcPr>
            <w:tcW w:w="1195" w:type="dxa"/>
            <w:vAlign w:val="center"/>
          </w:tcPr>
          <w:p w14:paraId="67BE9431" w14:textId="77777777" w:rsidR="00FF0471" w:rsidRPr="00E0573F" w:rsidRDefault="00FF0471" w:rsidP="00FF0471">
            <w:pPr>
              <w:rPr>
                <w:rFonts w:ascii="Arial" w:hAnsi="Arial" w:cs="Arial"/>
              </w:rPr>
            </w:pPr>
            <w:r w:rsidRPr="00E0573F">
              <w:rPr>
                <w:rFonts w:ascii="Arial" w:hAnsi="Arial" w:cs="Arial"/>
              </w:rPr>
              <w:t>&lt;0.0001</w:t>
            </w:r>
          </w:p>
        </w:tc>
        <w:tc>
          <w:tcPr>
            <w:tcW w:w="1122" w:type="dxa"/>
            <w:vAlign w:val="center"/>
          </w:tcPr>
          <w:p w14:paraId="15480F0B" w14:textId="77777777" w:rsidR="00FF0471" w:rsidRPr="00E0573F" w:rsidRDefault="00FF0471" w:rsidP="00FF0471">
            <w:pPr>
              <w:rPr>
                <w:rFonts w:ascii="Arial" w:hAnsi="Arial" w:cs="Arial"/>
              </w:rPr>
            </w:pPr>
            <w:r w:rsidRPr="00E0573F">
              <w:rPr>
                <w:rFonts w:ascii="Arial" w:hAnsi="Arial" w:cs="Arial"/>
              </w:rPr>
              <w:t>6.8155</w:t>
            </w:r>
          </w:p>
        </w:tc>
        <w:tc>
          <w:tcPr>
            <w:tcW w:w="1471" w:type="dxa"/>
            <w:vAlign w:val="center"/>
          </w:tcPr>
          <w:p w14:paraId="0875DA6A" w14:textId="77777777" w:rsidR="00FF0471" w:rsidRPr="00E0573F" w:rsidRDefault="00FF0471" w:rsidP="00FF0471">
            <w:pPr>
              <w:rPr>
                <w:rFonts w:ascii="Arial" w:hAnsi="Arial" w:cs="Arial"/>
              </w:rPr>
            </w:pPr>
            <w:r w:rsidRPr="00E0573F">
              <w:rPr>
                <w:rFonts w:ascii="Arial" w:hAnsi="Arial" w:cs="Arial"/>
              </w:rPr>
              <w:t>3.034–15.338</w:t>
            </w:r>
          </w:p>
        </w:tc>
      </w:tr>
      <w:tr w:rsidR="00FF0471" w:rsidRPr="00E0573F" w14:paraId="77EF924A" w14:textId="77777777" w:rsidTr="00506E39">
        <w:tc>
          <w:tcPr>
            <w:tcW w:w="1573" w:type="dxa"/>
            <w:vAlign w:val="center"/>
          </w:tcPr>
          <w:p w14:paraId="7CB75C8A" w14:textId="77777777" w:rsidR="00FF0471" w:rsidRPr="00E0573F" w:rsidRDefault="00FF0471" w:rsidP="00FF0471">
            <w:pPr>
              <w:rPr>
                <w:rFonts w:ascii="Arial" w:hAnsi="Arial" w:cs="Arial"/>
              </w:rPr>
            </w:pPr>
            <w:r w:rsidRPr="00E0573F">
              <w:rPr>
                <w:rFonts w:ascii="Arial" w:hAnsi="Arial" w:cs="Arial"/>
              </w:rPr>
              <w:t>Smoking</w:t>
            </w:r>
          </w:p>
        </w:tc>
        <w:tc>
          <w:tcPr>
            <w:tcW w:w="913" w:type="dxa"/>
            <w:vAlign w:val="center"/>
          </w:tcPr>
          <w:p w14:paraId="216607AE" w14:textId="77777777" w:rsidR="00FF0471" w:rsidRPr="00E0573F" w:rsidRDefault="00FF0471" w:rsidP="00FF0471">
            <w:pPr>
              <w:rPr>
                <w:rFonts w:ascii="Arial" w:hAnsi="Arial" w:cs="Arial"/>
              </w:rPr>
            </w:pPr>
            <w:r w:rsidRPr="00E0573F">
              <w:rPr>
                <w:rFonts w:ascii="Arial" w:hAnsi="Arial" w:cs="Arial"/>
              </w:rPr>
              <w:t>1.6293</w:t>
            </w:r>
          </w:p>
        </w:tc>
        <w:tc>
          <w:tcPr>
            <w:tcW w:w="1028" w:type="dxa"/>
            <w:vAlign w:val="center"/>
          </w:tcPr>
          <w:p w14:paraId="62416744" w14:textId="77777777" w:rsidR="00FF0471" w:rsidRPr="00E0573F" w:rsidRDefault="00FF0471" w:rsidP="00FF0471">
            <w:pPr>
              <w:rPr>
                <w:rFonts w:ascii="Arial" w:hAnsi="Arial" w:cs="Arial"/>
              </w:rPr>
            </w:pPr>
            <w:r w:rsidRPr="00E0573F">
              <w:rPr>
                <w:rFonts w:ascii="Arial" w:hAnsi="Arial" w:cs="Arial"/>
              </w:rPr>
              <w:t>0.3691</w:t>
            </w:r>
          </w:p>
        </w:tc>
        <w:tc>
          <w:tcPr>
            <w:tcW w:w="1122" w:type="dxa"/>
            <w:vAlign w:val="center"/>
          </w:tcPr>
          <w:p w14:paraId="0223795E" w14:textId="77777777" w:rsidR="00FF0471" w:rsidRPr="00E0573F" w:rsidRDefault="00FF0471" w:rsidP="00FF0471">
            <w:pPr>
              <w:rPr>
                <w:rFonts w:ascii="Arial" w:hAnsi="Arial" w:cs="Arial"/>
              </w:rPr>
            </w:pPr>
            <w:r w:rsidRPr="00E0573F">
              <w:rPr>
                <w:rFonts w:ascii="Arial" w:hAnsi="Arial" w:cs="Arial"/>
              </w:rPr>
              <w:t>19.4856</w:t>
            </w:r>
          </w:p>
        </w:tc>
        <w:tc>
          <w:tcPr>
            <w:tcW w:w="1195" w:type="dxa"/>
            <w:vAlign w:val="center"/>
          </w:tcPr>
          <w:p w14:paraId="25F3C093" w14:textId="77777777" w:rsidR="00FF0471" w:rsidRPr="00E0573F" w:rsidRDefault="00FF0471" w:rsidP="00FF0471">
            <w:pPr>
              <w:rPr>
                <w:rFonts w:ascii="Arial" w:hAnsi="Arial" w:cs="Arial"/>
              </w:rPr>
            </w:pPr>
            <w:r w:rsidRPr="00E0573F">
              <w:rPr>
                <w:rFonts w:ascii="Arial" w:hAnsi="Arial" w:cs="Arial"/>
              </w:rPr>
              <w:t>&lt;0.0001</w:t>
            </w:r>
          </w:p>
        </w:tc>
        <w:tc>
          <w:tcPr>
            <w:tcW w:w="1122" w:type="dxa"/>
            <w:vAlign w:val="center"/>
          </w:tcPr>
          <w:p w14:paraId="132F8E71" w14:textId="77777777" w:rsidR="00FF0471" w:rsidRPr="00E0573F" w:rsidRDefault="00FF0471" w:rsidP="00FF0471">
            <w:pPr>
              <w:rPr>
                <w:rFonts w:ascii="Arial" w:hAnsi="Arial" w:cs="Arial"/>
              </w:rPr>
            </w:pPr>
            <w:r w:rsidRPr="00E0573F">
              <w:rPr>
                <w:rFonts w:ascii="Arial" w:hAnsi="Arial" w:cs="Arial"/>
              </w:rPr>
              <w:t>5.1003</w:t>
            </w:r>
          </w:p>
        </w:tc>
        <w:tc>
          <w:tcPr>
            <w:tcW w:w="1471" w:type="dxa"/>
            <w:vAlign w:val="center"/>
          </w:tcPr>
          <w:p w14:paraId="227830A9" w14:textId="77777777" w:rsidR="00FF0471" w:rsidRPr="00E0573F" w:rsidRDefault="00FF0471" w:rsidP="00FF0471">
            <w:pPr>
              <w:rPr>
                <w:rFonts w:ascii="Arial" w:hAnsi="Arial" w:cs="Arial"/>
              </w:rPr>
            </w:pPr>
            <w:r w:rsidRPr="00E0573F">
              <w:rPr>
                <w:rFonts w:ascii="Arial" w:hAnsi="Arial" w:cs="Arial"/>
              </w:rPr>
              <w:t>2.471–10.545</w:t>
            </w:r>
          </w:p>
        </w:tc>
      </w:tr>
      <w:tr w:rsidR="00FF0471" w:rsidRPr="00E0573F" w14:paraId="1E89E76B" w14:textId="77777777" w:rsidTr="00506E39">
        <w:tc>
          <w:tcPr>
            <w:tcW w:w="1573" w:type="dxa"/>
            <w:vAlign w:val="center"/>
          </w:tcPr>
          <w:p w14:paraId="3CCC2B5A" w14:textId="77777777" w:rsidR="00FF0471" w:rsidRPr="00E0573F" w:rsidRDefault="00FF0471" w:rsidP="00FF0471">
            <w:pPr>
              <w:rPr>
                <w:rFonts w:ascii="Arial" w:hAnsi="Arial" w:cs="Arial"/>
              </w:rPr>
            </w:pPr>
            <w:r w:rsidRPr="00E0573F">
              <w:rPr>
                <w:rFonts w:ascii="Arial" w:hAnsi="Arial" w:cs="Arial"/>
              </w:rPr>
              <w:t>HIV Positive</w:t>
            </w:r>
          </w:p>
        </w:tc>
        <w:tc>
          <w:tcPr>
            <w:tcW w:w="913" w:type="dxa"/>
            <w:vAlign w:val="center"/>
          </w:tcPr>
          <w:p w14:paraId="7FA7E8F1" w14:textId="77777777" w:rsidR="00FF0471" w:rsidRPr="00E0573F" w:rsidRDefault="00FF0471" w:rsidP="00FF0471">
            <w:pPr>
              <w:rPr>
                <w:rFonts w:ascii="Arial" w:hAnsi="Arial" w:cs="Arial"/>
              </w:rPr>
            </w:pPr>
            <w:r w:rsidRPr="00E0573F">
              <w:rPr>
                <w:rFonts w:ascii="Arial" w:hAnsi="Arial" w:cs="Arial"/>
              </w:rPr>
              <w:t>2.4505</w:t>
            </w:r>
          </w:p>
        </w:tc>
        <w:tc>
          <w:tcPr>
            <w:tcW w:w="1028" w:type="dxa"/>
            <w:vAlign w:val="center"/>
          </w:tcPr>
          <w:p w14:paraId="67A0702B" w14:textId="77777777" w:rsidR="00FF0471" w:rsidRPr="00E0573F" w:rsidRDefault="00FF0471" w:rsidP="00FF0471">
            <w:pPr>
              <w:rPr>
                <w:rFonts w:ascii="Arial" w:hAnsi="Arial" w:cs="Arial"/>
              </w:rPr>
            </w:pPr>
            <w:r w:rsidRPr="00E0573F">
              <w:rPr>
                <w:rFonts w:ascii="Arial" w:hAnsi="Arial" w:cs="Arial"/>
              </w:rPr>
              <w:t>0.7292</w:t>
            </w:r>
          </w:p>
        </w:tc>
        <w:tc>
          <w:tcPr>
            <w:tcW w:w="1122" w:type="dxa"/>
            <w:vAlign w:val="center"/>
          </w:tcPr>
          <w:p w14:paraId="10FBFCF6" w14:textId="77777777" w:rsidR="00FF0471" w:rsidRPr="00E0573F" w:rsidRDefault="00FF0471" w:rsidP="00FF0471">
            <w:pPr>
              <w:rPr>
                <w:rFonts w:ascii="Arial" w:hAnsi="Arial" w:cs="Arial"/>
              </w:rPr>
            </w:pPr>
            <w:r w:rsidRPr="00E0573F">
              <w:rPr>
                <w:rFonts w:ascii="Arial" w:hAnsi="Arial" w:cs="Arial"/>
              </w:rPr>
              <w:t>11.2932</w:t>
            </w:r>
          </w:p>
        </w:tc>
        <w:tc>
          <w:tcPr>
            <w:tcW w:w="1195" w:type="dxa"/>
            <w:vAlign w:val="center"/>
          </w:tcPr>
          <w:p w14:paraId="2E242CF4" w14:textId="77777777" w:rsidR="00FF0471" w:rsidRPr="00E0573F" w:rsidRDefault="00FF0471" w:rsidP="00FF0471">
            <w:pPr>
              <w:rPr>
                <w:rFonts w:ascii="Arial" w:hAnsi="Arial" w:cs="Arial"/>
              </w:rPr>
            </w:pPr>
            <w:r w:rsidRPr="00E0573F">
              <w:rPr>
                <w:rFonts w:ascii="Arial" w:hAnsi="Arial" w:cs="Arial"/>
              </w:rPr>
              <w:t>0.0001</w:t>
            </w:r>
          </w:p>
        </w:tc>
        <w:tc>
          <w:tcPr>
            <w:tcW w:w="1122" w:type="dxa"/>
            <w:vAlign w:val="center"/>
          </w:tcPr>
          <w:p w14:paraId="3CDD6056" w14:textId="77777777" w:rsidR="00FF0471" w:rsidRPr="00E0573F" w:rsidRDefault="00FF0471" w:rsidP="00FF0471">
            <w:pPr>
              <w:rPr>
                <w:rFonts w:ascii="Arial" w:hAnsi="Arial" w:cs="Arial"/>
              </w:rPr>
            </w:pPr>
            <w:r w:rsidRPr="00E0573F">
              <w:rPr>
                <w:rFonts w:ascii="Arial" w:hAnsi="Arial" w:cs="Arial"/>
              </w:rPr>
              <w:t>11.5941</w:t>
            </w:r>
          </w:p>
        </w:tc>
        <w:tc>
          <w:tcPr>
            <w:tcW w:w="1471" w:type="dxa"/>
            <w:vAlign w:val="center"/>
          </w:tcPr>
          <w:p w14:paraId="13C598F7" w14:textId="77777777" w:rsidR="00FF0471" w:rsidRPr="00E0573F" w:rsidRDefault="00FF0471" w:rsidP="00FF0471">
            <w:pPr>
              <w:rPr>
                <w:rFonts w:ascii="Arial" w:hAnsi="Arial" w:cs="Arial"/>
              </w:rPr>
            </w:pPr>
            <w:r w:rsidRPr="00E0573F">
              <w:rPr>
                <w:rFonts w:ascii="Arial" w:hAnsi="Arial" w:cs="Arial"/>
              </w:rPr>
              <w:t>2.842–47.209</w:t>
            </w:r>
          </w:p>
        </w:tc>
      </w:tr>
      <w:tr w:rsidR="00FF0471" w:rsidRPr="00E0573F" w14:paraId="369AE1FC" w14:textId="77777777" w:rsidTr="00506E39">
        <w:tc>
          <w:tcPr>
            <w:tcW w:w="1573" w:type="dxa"/>
            <w:vAlign w:val="center"/>
          </w:tcPr>
          <w:p w14:paraId="2B7FA361" w14:textId="77777777" w:rsidR="00FF0471" w:rsidRPr="00E0573F" w:rsidRDefault="00FF0471" w:rsidP="00FF0471">
            <w:pPr>
              <w:rPr>
                <w:rFonts w:ascii="Arial" w:hAnsi="Arial" w:cs="Arial"/>
              </w:rPr>
            </w:pPr>
            <w:r w:rsidRPr="00E0573F">
              <w:rPr>
                <w:rFonts w:ascii="Arial" w:hAnsi="Arial" w:cs="Arial"/>
              </w:rPr>
              <w:t>&lt;3 Meals per Day</w:t>
            </w:r>
          </w:p>
        </w:tc>
        <w:tc>
          <w:tcPr>
            <w:tcW w:w="913" w:type="dxa"/>
            <w:vAlign w:val="center"/>
          </w:tcPr>
          <w:p w14:paraId="5AAB79DB" w14:textId="77777777" w:rsidR="00FF0471" w:rsidRPr="00E0573F" w:rsidRDefault="00FF0471" w:rsidP="00FF0471">
            <w:pPr>
              <w:rPr>
                <w:rFonts w:ascii="Arial" w:hAnsi="Arial" w:cs="Arial"/>
              </w:rPr>
            </w:pPr>
            <w:r w:rsidRPr="00E0573F">
              <w:rPr>
                <w:rFonts w:ascii="Arial" w:hAnsi="Arial" w:cs="Arial"/>
              </w:rPr>
              <w:t>1.7922</w:t>
            </w:r>
          </w:p>
        </w:tc>
        <w:tc>
          <w:tcPr>
            <w:tcW w:w="1028" w:type="dxa"/>
            <w:vAlign w:val="center"/>
          </w:tcPr>
          <w:p w14:paraId="7F6EBA8B" w14:textId="77777777" w:rsidR="00FF0471" w:rsidRPr="00E0573F" w:rsidRDefault="00FF0471" w:rsidP="00FF0471">
            <w:pPr>
              <w:rPr>
                <w:rFonts w:ascii="Arial" w:hAnsi="Arial" w:cs="Arial"/>
              </w:rPr>
            </w:pPr>
            <w:r w:rsidRPr="00E0573F">
              <w:rPr>
                <w:rFonts w:ascii="Arial" w:hAnsi="Arial" w:cs="Arial"/>
              </w:rPr>
              <w:t>0.3893</w:t>
            </w:r>
          </w:p>
        </w:tc>
        <w:tc>
          <w:tcPr>
            <w:tcW w:w="1122" w:type="dxa"/>
            <w:vAlign w:val="center"/>
          </w:tcPr>
          <w:p w14:paraId="55F76D97" w14:textId="77777777" w:rsidR="00FF0471" w:rsidRPr="00E0573F" w:rsidRDefault="00FF0471" w:rsidP="00FF0471">
            <w:pPr>
              <w:rPr>
                <w:rFonts w:ascii="Arial" w:hAnsi="Arial" w:cs="Arial"/>
              </w:rPr>
            </w:pPr>
            <w:r w:rsidRPr="00E0573F">
              <w:rPr>
                <w:rFonts w:ascii="Arial" w:hAnsi="Arial" w:cs="Arial"/>
              </w:rPr>
              <w:t>21.1936</w:t>
            </w:r>
          </w:p>
        </w:tc>
        <w:tc>
          <w:tcPr>
            <w:tcW w:w="1195" w:type="dxa"/>
            <w:vAlign w:val="center"/>
          </w:tcPr>
          <w:p w14:paraId="103426E1" w14:textId="77777777" w:rsidR="00FF0471" w:rsidRPr="00E0573F" w:rsidRDefault="00FF0471" w:rsidP="00FF0471">
            <w:pPr>
              <w:rPr>
                <w:rFonts w:ascii="Arial" w:hAnsi="Arial" w:cs="Arial"/>
              </w:rPr>
            </w:pPr>
            <w:r w:rsidRPr="00E0573F">
              <w:rPr>
                <w:rFonts w:ascii="Arial" w:hAnsi="Arial" w:cs="Arial"/>
              </w:rPr>
              <w:t>&lt;0.0001</w:t>
            </w:r>
          </w:p>
        </w:tc>
        <w:tc>
          <w:tcPr>
            <w:tcW w:w="1122" w:type="dxa"/>
            <w:vAlign w:val="center"/>
          </w:tcPr>
          <w:p w14:paraId="3BC4443B" w14:textId="77777777" w:rsidR="00FF0471" w:rsidRPr="00E0573F" w:rsidRDefault="00FF0471" w:rsidP="00FF0471">
            <w:pPr>
              <w:rPr>
                <w:rFonts w:ascii="Arial" w:hAnsi="Arial" w:cs="Arial"/>
              </w:rPr>
            </w:pPr>
            <w:r w:rsidRPr="00E0573F">
              <w:rPr>
                <w:rFonts w:ascii="Arial" w:hAnsi="Arial" w:cs="Arial"/>
              </w:rPr>
              <w:t>6.0026</w:t>
            </w:r>
          </w:p>
        </w:tc>
        <w:tc>
          <w:tcPr>
            <w:tcW w:w="1471" w:type="dxa"/>
            <w:vAlign w:val="center"/>
          </w:tcPr>
          <w:p w14:paraId="737A51A3" w14:textId="77777777" w:rsidR="00FF0471" w:rsidRPr="00E0573F" w:rsidRDefault="00FF0471" w:rsidP="00FF0471">
            <w:pPr>
              <w:rPr>
                <w:rFonts w:ascii="Arial" w:hAnsi="Arial" w:cs="Arial"/>
              </w:rPr>
            </w:pPr>
            <w:r w:rsidRPr="00E0573F">
              <w:rPr>
                <w:rFonts w:ascii="Arial" w:hAnsi="Arial" w:cs="Arial"/>
              </w:rPr>
              <w:t>2.781–12.967</w:t>
            </w:r>
          </w:p>
        </w:tc>
      </w:tr>
    </w:tbl>
    <w:p w14:paraId="6EDC5F7A" w14:textId="77777777" w:rsidR="00506E39" w:rsidRPr="00E0573F" w:rsidRDefault="00506E39" w:rsidP="00506E39">
      <w:pPr>
        <w:pStyle w:val="NormalWeb"/>
        <w:spacing w:after="0" w:afterAutospacing="0"/>
        <w:jc w:val="both"/>
        <w:rPr>
          <w:rFonts w:ascii="Arial" w:hAnsi="Arial" w:cs="Arial"/>
          <w:sz w:val="20"/>
          <w:szCs w:val="20"/>
        </w:rPr>
      </w:pPr>
      <w:r w:rsidRPr="00E0573F">
        <w:rPr>
          <w:rFonts w:ascii="Arial" w:hAnsi="Arial" w:cs="Arial"/>
          <w:sz w:val="20"/>
          <w:szCs w:val="20"/>
        </w:rPr>
        <w:t>The regression results reported in Table 12 indicate that all the variables included in the model were statistically significant independent predictors of TB infection, as their reported p-values were below 0.05. Sex was a significant predictor of TB infection (B = 1.1632, p &lt; 0.0001). Males were approximately 3.20 times as likely to be infected with TB as females (AOR = 3.2002; 95% CI: 1.792–5.734). This suggests that male sex independently increases the risk of TB infection, possibly because of greater exposure to occupational and behavioural risk factors.</w:t>
      </w:r>
    </w:p>
    <w:p w14:paraId="1747D0D8" w14:textId="77777777" w:rsidR="00506E39" w:rsidRPr="00E0573F" w:rsidRDefault="00506E39" w:rsidP="00506E39">
      <w:pPr>
        <w:pStyle w:val="NormalWeb"/>
        <w:spacing w:after="0" w:afterAutospacing="0"/>
        <w:jc w:val="both"/>
        <w:rPr>
          <w:rFonts w:ascii="Arial" w:hAnsi="Arial" w:cs="Arial"/>
          <w:sz w:val="20"/>
          <w:szCs w:val="20"/>
        </w:rPr>
      </w:pPr>
      <w:r w:rsidRPr="00E0573F">
        <w:rPr>
          <w:rFonts w:ascii="Arial" w:hAnsi="Arial" w:cs="Arial"/>
          <w:sz w:val="20"/>
          <w:szCs w:val="20"/>
        </w:rPr>
        <w:t>Place of residence also showed a strong association with TB infection. Respondents living in rural areas were approximately 4.39 times as likely to develop TB as those living in urban areas (AOR = 4.3889; 95% CI: 2.115–9.151; p &lt; 0.0001). This may reflect limited access to healthcare services, poor housing conditions, and delayed diagnosis in rural settings. Low monthly income was a statistically significant predictor (B = 0.7320, p = 0.0112). Individuals with a low income were approximately 2.08 times as likely to have TB as those with a higher income (AOR = 2.0792; 95% CI: 1.182–3.667). This finding supports the association between poverty and tuberculosis.</w:t>
      </w:r>
    </w:p>
    <w:p w14:paraId="3923BC52" w14:textId="77777777" w:rsidR="00506E39" w:rsidRPr="00E0573F" w:rsidRDefault="00506E39" w:rsidP="00506E39">
      <w:pPr>
        <w:pStyle w:val="NormalWeb"/>
        <w:spacing w:after="0" w:afterAutospacing="0"/>
        <w:jc w:val="both"/>
        <w:rPr>
          <w:rFonts w:ascii="Arial" w:hAnsi="Arial" w:cs="Arial"/>
          <w:sz w:val="20"/>
          <w:szCs w:val="20"/>
        </w:rPr>
      </w:pPr>
      <w:r w:rsidRPr="00E0573F">
        <w:rPr>
          <w:rFonts w:ascii="Arial" w:hAnsi="Arial" w:cs="Arial"/>
          <w:sz w:val="20"/>
          <w:szCs w:val="20"/>
        </w:rPr>
        <w:t>Overcrowding emerged as one of the strongest predictors of TB infection (B = 2.1106, p &lt; 0.0001). Individuals living in overcrowded households were 8.25 times as likely to be infected with TB as those not living in overcrowded conditions (AOR = 8.2532; 95% CI: 3.415–19.894). This finding underscores the role of close contact in TB transmission. Similarly, inadequate ventilation was a highly significant predictor (B = 1.9192, p &lt; 0.0001). Respondents living in poorly ventilated houses were approximately 6.82 times as likely to develop TB as those living in adequately ventilated houses (AOR = 6.8155; 95% CI: 3.034–15.338). This finding further supports the importance of environmental conditions in TB transmission.</w:t>
      </w:r>
    </w:p>
    <w:p w14:paraId="2AFC6511" w14:textId="77777777" w:rsidR="00506E39" w:rsidRPr="00E0573F" w:rsidRDefault="00506E39" w:rsidP="00506E39">
      <w:pPr>
        <w:pStyle w:val="NormalWeb"/>
        <w:spacing w:after="0" w:afterAutospacing="0"/>
        <w:jc w:val="both"/>
        <w:rPr>
          <w:rFonts w:ascii="Arial" w:hAnsi="Arial" w:cs="Arial"/>
          <w:sz w:val="20"/>
          <w:szCs w:val="20"/>
        </w:rPr>
      </w:pPr>
      <w:r w:rsidRPr="00E0573F">
        <w:rPr>
          <w:rFonts w:ascii="Arial" w:hAnsi="Arial" w:cs="Arial"/>
          <w:sz w:val="20"/>
          <w:szCs w:val="20"/>
        </w:rPr>
        <w:t xml:space="preserve">Smoking was also independently associated with TB infection (B = 1.6293, p &lt; 0.0001). Smokers were 5.10 times as likely to be infected with TB as non-smokers (AOR = 5.1003; </w:t>
      </w:r>
      <w:r w:rsidRPr="00E0573F">
        <w:rPr>
          <w:rFonts w:ascii="Arial" w:hAnsi="Arial" w:cs="Arial"/>
          <w:sz w:val="20"/>
          <w:szCs w:val="20"/>
        </w:rPr>
        <w:lastRenderedPageBreak/>
        <w:t>95% CI: 2.471–10.545). This reflects the damaging effect of smoking on pulmonary immunity and susceptibility to respiratory infections. HIV-positive status showed the strongest association with TB infection (B = 2.4505, p = 0.0001). Individuals living with HIV were 11.59 times as likely to have TB as HIV-negative individuals (AOR = 11.5941; 95% CI: 2.842–47.209). This finding supports HIV as a major biological risk factor for TB because of profound immune suppression.</w:t>
      </w:r>
    </w:p>
    <w:p w14:paraId="2FBDF765" w14:textId="77777777" w:rsidR="00506E39" w:rsidRPr="00E0573F" w:rsidRDefault="00506E39" w:rsidP="00506E39">
      <w:pPr>
        <w:pStyle w:val="NormalWeb"/>
        <w:spacing w:after="0" w:afterAutospacing="0"/>
        <w:jc w:val="both"/>
        <w:rPr>
          <w:rFonts w:ascii="Arial" w:hAnsi="Arial" w:cs="Arial"/>
          <w:sz w:val="20"/>
          <w:szCs w:val="20"/>
        </w:rPr>
      </w:pPr>
      <w:r w:rsidRPr="00E0573F">
        <w:rPr>
          <w:rFonts w:ascii="Arial" w:hAnsi="Arial" w:cs="Arial"/>
          <w:sz w:val="20"/>
          <w:szCs w:val="20"/>
        </w:rPr>
        <w:t>Finally, poor nutrition, measured by the consumption of fewer than three meals per day, was a significant predictor (B = 1.7922, p &lt; 0.0001). Respondents with inadequate food intake were 6.00 times as likely to be infected with TB as those consuming three or more meals per day (AOR = 6.0026; 95% CI: 2.781–12.967). This finding highlights the role of malnutrition in compromising immunity and increasing TB risk.</w:t>
      </w:r>
    </w:p>
    <w:p w14:paraId="25C8BCB4" w14:textId="77777777" w:rsidR="00506E39" w:rsidRPr="00E0573F" w:rsidRDefault="00506E39" w:rsidP="00506E39">
      <w:pPr>
        <w:pStyle w:val="NormalWeb"/>
        <w:spacing w:after="0" w:afterAutospacing="0"/>
        <w:jc w:val="both"/>
        <w:rPr>
          <w:rFonts w:ascii="Arial" w:hAnsi="Arial" w:cs="Arial"/>
          <w:sz w:val="20"/>
          <w:szCs w:val="20"/>
        </w:rPr>
      </w:pPr>
      <w:r w:rsidRPr="00E0573F">
        <w:rPr>
          <w:rFonts w:ascii="Arial" w:hAnsi="Arial" w:cs="Arial"/>
          <w:sz w:val="20"/>
          <w:szCs w:val="20"/>
        </w:rPr>
        <w:t>Overall, the logistic regression model indicates that male sex, rural residence, low income, overcrowding, poor ventilation, smoking, HIV infection, and inadequate nutrition are strong independent predictors of tuberculosis infection among high-risk populations in Makurdi LGA. These findings emphasise the need for integrated TB control strategies that address socio-economic, environmental, behavioural, and biological risk factors simultaneously.</w:t>
      </w:r>
    </w:p>
    <w:p w14:paraId="6CBC960B" w14:textId="77777777" w:rsidR="00540D83" w:rsidRPr="00E0573F" w:rsidRDefault="00540D83" w:rsidP="00506E39">
      <w:pPr>
        <w:pStyle w:val="NormalWeb"/>
        <w:spacing w:after="0" w:afterAutospacing="0"/>
        <w:jc w:val="both"/>
        <w:rPr>
          <w:rFonts w:ascii="Arial" w:hAnsi="Arial" w:cs="Arial"/>
          <w:sz w:val="20"/>
          <w:szCs w:val="20"/>
        </w:rPr>
      </w:pPr>
    </w:p>
    <w:p w14:paraId="20FC0528" w14:textId="77777777" w:rsidR="00FF0471" w:rsidRPr="00E0573F" w:rsidRDefault="00FF0471" w:rsidP="00FF0471">
      <w:pPr>
        <w:pStyle w:val="ConcHead"/>
        <w:spacing w:after="0"/>
        <w:jc w:val="both"/>
        <w:rPr>
          <w:rFonts w:ascii="Arial" w:hAnsi="Arial" w:cs="Arial"/>
        </w:rPr>
      </w:pPr>
      <w:r w:rsidRPr="00E0573F">
        <w:rPr>
          <w:rFonts w:ascii="Arial" w:hAnsi="Arial" w:cs="Arial"/>
        </w:rPr>
        <w:t>4. CONCLUSION</w:t>
      </w:r>
    </w:p>
    <w:p w14:paraId="7F5E991B" w14:textId="77777777" w:rsidR="00A65318" w:rsidRPr="00E0573F" w:rsidRDefault="00A65318" w:rsidP="00A65318">
      <w:pPr>
        <w:pStyle w:val="NormalWeb"/>
        <w:spacing w:before="240" w:beforeAutospacing="0" w:after="0" w:afterAutospacing="0"/>
        <w:jc w:val="both"/>
        <w:rPr>
          <w:rFonts w:ascii="Arial" w:hAnsi="Arial" w:cs="Arial"/>
          <w:sz w:val="20"/>
          <w:szCs w:val="20"/>
        </w:rPr>
      </w:pPr>
      <w:r w:rsidRPr="00E0573F">
        <w:rPr>
          <w:rFonts w:ascii="Arial" w:hAnsi="Arial" w:cs="Arial"/>
          <w:sz w:val="20"/>
          <w:szCs w:val="20"/>
        </w:rPr>
        <w:t>This study revealed that tuberculosis remains a major public health problem among high-risk populations in Makurdi LGA, with a prevalence of 61.1%, indicating a need for strengthened control efforts. TB infection was significantly influenced by socio-demographic factors, including age, sex, education, and income, with a higher risk observed among males, older individuals, and those with low educational and economic status. Environmental conditions, including overcrowding, poor ventilation, inadequate lighting, and biomass-fuel use, significantly increased TB transmission. Behavioural factors, such as smoking, alcohol use, undernutrition, and drug use, also increased susceptibility to TB. In addition, limited awareness and weak preventive practices, including inadequate knowledge of TB, inconsistent mask use, and lack of health education, were strongly associated with increased infection. HIV infection emerged as a major biological risk factor, confirming the close relationship between TB and immunosuppression. Overall, the findings indicate that TB in Makurdi LGA is influenced by a complex interaction of social, environmental, behavioural, awareness-related, and biological factors, underscoring the need for integrated, multisectoral interventions that combine medical treatment, public health education, improved living conditions, and integrated TB–HIV services.</w:t>
      </w:r>
    </w:p>
    <w:p w14:paraId="1C2060CC" w14:textId="4FD95398" w:rsidR="00540D83" w:rsidRPr="00E0573F" w:rsidRDefault="00540D83" w:rsidP="00A65318">
      <w:pPr>
        <w:pStyle w:val="NormalWeb"/>
        <w:spacing w:before="240" w:beforeAutospacing="0" w:after="0" w:afterAutospacing="0"/>
        <w:jc w:val="both"/>
        <w:rPr>
          <w:rFonts w:ascii="Arial" w:hAnsi="Arial" w:cs="Arial"/>
          <w:b/>
          <w:bCs/>
          <w:sz w:val="20"/>
          <w:szCs w:val="20"/>
        </w:rPr>
      </w:pPr>
      <w:r w:rsidRPr="00E0573F">
        <w:rPr>
          <w:rFonts w:ascii="Arial" w:hAnsi="Arial" w:cs="Arial"/>
          <w:b/>
          <w:bCs/>
          <w:sz w:val="20"/>
          <w:szCs w:val="20"/>
        </w:rPr>
        <w:t>Limitations</w:t>
      </w:r>
    </w:p>
    <w:p w14:paraId="6B24AF3F" w14:textId="77777777" w:rsidR="007A3FF8" w:rsidRPr="00E0573F" w:rsidRDefault="007A3FF8" w:rsidP="00A65318">
      <w:pPr>
        <w:pStyle w:val="NormalWeb"/>
        <w:spacing w:before="240" w:beforeAutospacing="0" w:after="0" w:afterAutospacing="0"/>
        <w:jc w:val="both"/>
        <w:rPr>
          <w:rFonts w:ascii="Arial" w:hAnsi="Arial" w:cs="Arial"/>
          <w:sz w:val="20"/>
          <w:szCs w:val="20"/>
        </w:rPr>
      </w:pPr>
      <w:r w:rsidRPr="00E0573F">
        <w:rPr>
          <w:rFonts w:ascii="Arial" w:hAnsi="Arial" w:cs="Arial"/>
          <w:sz w:val="20"/>
          <w:szCs w:val="20"/>
        </w:rPr>
        <w:t>This study was limited by its facility-based cross-sectional design, which included only patients attending selected health facilities in Makurdi Local Government Area. Consequently, the findings may not be generalisable to the wider community or other geographical settings. The study also relied partly on retrospective hospital records; therefore, the results depended on the completeness and accuracy of the available records, and some important clinical variables, such as detailed HIV treatment indicators, were unavailable. Furthermore, because the study employed a cross-sectional design, it identified associations between tuberculosis and its risk factors but could not establish causal relationships. These limitations should be considered when planning future research.</w:t>
      </w:r>
    </w:p>
    <w:p w14:paraId="53E940F0" w14:textId="52E7CFEC" w:rsidR="00540D83" w:rsidRPr="00E0573F" w:rsidRDefault="00540D83" w:rsidP="00A65318">
      <w:pPr>
        <w:pStyle w:val="NormalWeb"/>
        <w:spacing w:before="240" w:beforeAutospacing="0" w:after="0" w:afterAutospacing="0"/>
        <w:jc w:val="both"/>
        <w:rPr>
          <w:rFonts w:ascii="Arial" w:hAnsi="Arial" w:cs="Arial"/>
          <w:b/>
          <w:bCs/>
          <w:sz w:val="20"/>
          <w:szCs w:val="20"/>
        </w:rPr>
      </w:pPr>
      <w:r w:rsidRPr="00E0573F">
        <w:rPr>
          <w:rFonts w:ascii="Arial" w:hAnsi="Arial" w:cs="Arial"/>
          <w:b/>
          <w:bCs/>
          <w:sz w:val="20"/>
          <w:szCs w:val="20"/>
        </w:rPr>
        <w:t>Recommendations</w:t>
      </w:r>
    </w:p>
    <w:p w14:paraId="7963E943" w14:textId="77777777" w:rsidR="0039705F" w:rsidRPr="00E0573F" w:rsidRDefault="0039705F" w:rsidP="0039705F">
      <w:pPr>
        <w:pStyle w:val="NormalWeb"/>
        <w:spacing w:before="240" w:beforeAutospacing="0" w:after="0" w:afterAutospacing="0"/>
        <w:jc w:val="both"/>
        <w:rPr>
          <w:rFonts w:ascii="Arial" w:hAnsi="Arial" w:cs="Arial"/>
          <w:sz w:val="20"/>
          <w:szCs w:val="20"/>
        </w:rPr>
      </w:pPr>
      <w:r w:rsidRPr="00E0573F">
        <w:rPr>
          <w:rFonts w:ascii="Arial" w:hAnsi="Arial" w:cs="Arial"/>
          <w:sz w:val="20"/>
          <w:szCs w:val="20"/>
        </w:rPr>
        <w:lastRenderedPageBreak/>
        <w:t>Based on the empirical findings of this study, the following recommendations are presented:</w:t>
      </w:r>
    </w:p>
    <w:p w14:paraId="08F8A668" w14:textId="77777777" w:rsidR="0039705F" w:rsidRPr="00E0573F" w:rsidRDefault="0039705F" w:rsidP="0039705F">
      <w:pPr>
        <w:pStyle w:val="NormalWeb"/>
        <w:numPr>
          <w:ilvl w:val="0"/>
          <w:numId w:val="26"/>
        </w:numPr>
        <w:spacing w:before="0" w:beforeAutospacing="0" w:after="0" w:afterAutospacing="0"/>
        <w:jc w:val="both"/>
        <w:rPr>
          <w:rFonts w:ascii="Arial" w:hAnsi="Arial" w:cs="Arial"/>
          <w:sz w:val="20"/>
          <w:szCs w:val="20"/>
        </w:rPr>
      </w:pPr>
      <w:r w:rsidRPr="00E0573F">
        <w:rPr>
          <w:rFonts w:ascii="Arial" w:hAnsi="Arial" w:cs="Arial"/>
          <w:sz w:val="20"/>
          <w:szCs w:val="20"/>
        </w:rPr>
        <w:t>Implement routine and targeted TB screening programmes, particularly for high-risk groups such as males, older individuals, and those of low socio-economic status, to facilitate early diagnosis and prompt treatment.</w:t>
      </w:r>
    </w:p>
    <w:p w14:paraId="46148905" w14:textId="77777777" w:rsidR="0039705F" w:rsidRPr="00E0573F" w:rsidRDefault="0039705F" w:rsidP="0039705F">
      <w:pPr>
        <w:pStyle w:val="NormalWeb"/>
        <w:numPr>
          <w:ilvl w:val="0"/>
          <w:numId w:val="26"/>
        </w:numPr>
        <w:spacing w:before="0" w:beforeAutospacing="0" w:after="0" w:afterAutospacing="0"/>
        <w:jc w:val="both"/>
        <w:rPr>
          <w:rFonts w:ascii="Arial" w:hAnsi="Arial" w:cs="Arial"/>
          <w:sz w:val="20"/>
          <w:szCs w:val="20"/>
        </w:rPr>
      </w:pPr>
      <w:r w:rsidRPr="00E0573F">
        <w:rPr>
          <w:rFonts w:ascii="Arial" w:hAnsi="Arial" w:cs="Arial"/>
          <w:sz w:val="20"/>
          <w:szCs w:val="20"/>
        </w:rPr>
        <w:t>Promote housing policies that reduce overcrowding, improve ventilation, and enhance lighting in residential environments to limit TB transmission.</w:t>
      </w:r>
    </w:p>
    <w:p w14:paraId="1CD96939" w14:textId="77777777" w:rsidR="0039705F" w:rsidRPr="00E0573F" w:rsidRDefault="0039705F" w:rsidP="0039705F">
      <w:pPr>
        <w:pStyle w:val="NormalWeb"/>
        <w:numPr>
          <w:ilvl w:val="0"/>
          <w:numId w:val="26"/>
        </w:numPr>
        <w:spacing w:before="0" w:beforeAutospacing="0" w:after="0" w:afterAutospacing="0"/>
        <w:jc w:val="both"/>
        <w:rPr>
          <w:rFonts w:ascii="Arial" w:hAnsi="Arial" w:cs="Arial"/>
          <w:sz w:val="20"/>
          <w:szCs w:val="20"/>
        </w:rPr>
      </w:pPr>
      <w:r w:rsidRPr="00E0573F">
        <w:rPr>
          <w:rFonts w:ascii="Arial" w:hAnsi="Arial" w:cs="Arial"/>
          <w:sz w:val="20"/>
          <w:szCs w:val="20"/>
        </w:rPr>
        <w:t>Initiate community-based programmes to reduce smoking, alcohol consumption, and drug use and to promote adequate nutrition to strengthen immunity against TB infection.</w:t>
      </w:r>
    </w:p>
    <w:p w14:paraId="5BA67277" w14:textId="77777777" w:rsidR="0039705F" w:rsidRPr="00E0573F" w:rsidRDefault="0039705F" w:rsidP="0039705F">
      <w:pPr>
        <w:pStyle w:val="NormalWeb"/>
        <w:numPr>
          <w:ilvl w:val="0"/>
          <w:numId w:val="26"/>
        </w:numPr>
        <w:spacing w:before="0" w:beforeAutospacing="0" w:after="0" w:afterAutospacing="0"/>
        <w:jc w:val="both"/>
        <w:rPr>
          <w:rFonts w:ascii="Arial" w:hAnsi="Arial" w:cs="Arial"/>
          <w:sz w:val="20"/>
          <w:szCs w:val="20"/>
        </w:rPr>
      </w:pPr>
      <w:r w:rsidRPr="00E0573F">
        <w:rPr>
          <w:rFonts w:ascii="Arial" w:hAnsi="Arial" w:cs="Arial"/>
          <w:sz w:val="20"/>
          <w:szCs w:val="20"/>
        </w:rPr>
        <w:t>Conduct continuous health education campaigns to improve public knowledge of TB transmission, symptoms, and preventive measures, emphasising the importance of mask use in crowded areas.</w:t>
      </w:r>
    </w:p>
    <w:p w14:paraId="1B82395E" w14:textId="77777777" w:rsidR="0039705F" w:rsidRPr="00E0573F" w:rsidRDefault="0039705F" w:rsidP="0039705F">
      <w:pPr>
        <w:pStyle w:val="NormalWeb"/>
        <w:numPr>
          <w:ilvl w:val="0"/>
          <w:numId w:val="26"/>
        </w:numPr>
        <w:spacing w:before="0" w:beforeAutospacing="0" w:after="0" w:afterAutospacing="0"/>
        <w:jc w:val="both"/>
        <w:rPr>
          <w:rFonts w:ascii="Arial" w:hAnsi="Arial" w:cs="Arial"/>
          <w:sz w:val="20"/>
          <w:szCs w:val="20"/>
        </w:rPr>
      </w:pPr>
      <w:r w:rsidRPr="00E0573F">
        <w:rPr>
          <w:rFonts w:ascii="Arial" w:hAnsi="Arial" w:cs="Arial"/>
          <w:sz w:val="20"/>
          <w:szCs w:val="20"/>
        </w:rPr>
        <w:t>Establish integrated TB–HIV screening and treatment programmes, given the strong association between HIV infection and TB, to ensure the timely management of co-infected individuals.</w:t>
      </w:r>
    </w:p>
    <w:p w14:paraId="6DDF8178" w14:textId="77777777" w:rsidR="0039705F" w:rsidRPr="00E0573F" w:rsidRDefault="0039705F" w:rsidP="0039705F">
      <w:pPr>
        <w:pStyle w:val="NormalWeb"/>
        <w:numPr>
          <w:ilvl w:val="0"/>
          <w:numId w:val="26"/>
        </w:numPr>
        <w:spacing w:before="0" w:beforeAutospacing="0" w:after="0" w:afterAutospacing="0"/>
        <w:jc w:val="both"/>
        <w:rPr>
          <w:rFonts w:ascii="Arial" w:hAnsi="Arial" w:cs="Arial"/>
          <w:sz w:val="20"/>
          <w:szCs w:val="20"/>
        </w:rPr>
      </w:pPr>
      <w:r w:rsidRPr="00E0573F">
        <w:rPr>
          <w:rFonts w:ascii="Arial" w:hAnsi="Arial" w:cs="Arial"/>
          <w:sz w:val="20"/>
          <w:szCs w:val="20"/>
        </w:rPr>
        <w:t>Implement patient-support systems, including adherence counselling, follow-up visits, and community treatment supporters, to reduce treatment default and improve completion rates.</w:t>
      </w:r>
    </w:p>
    <w:p w14:paraId="3276CCE2" w14:textId="77777777" w:rsidR="0039705F" w:rsidRPr="00E0573F" w:rsidRDefault="0039705F" w:rsidP="0039705F">
      <w:pPr>
        <w:pStyle w:val="NormalWeb"/>
        <w:numPr>
          <w:ilvl w:val="0"/>
          <w:numId w:val="26"/>
        </w:numPr>
        <w:spacing w:before="0" w:beforeAutospacing="0" w:after="0" w:afterAutospacing="0"/>
        <w:jc w:val="both"/>
        <w:rPr>
          <w:rFonts w:ascii="Arial" w:hAnsi="Arial" w:cs="Arial"/>
          <w:sz w:val="20"/>
          <w:szCs w:val="20"/>
        </w:rPr>
      </w:pPr>
      <w:r w:rsidRPr="00E0573F">
        <w:rPr>
          <w:rFonts w:ascii="Arial" w:hAnsi="Arial" w:cs="Arial"/>
          <w:sz w:val="20"/>
          <w:szCs w:val="20"/>
        </w:rPr>
        <w:t>Encourage the government and other stakeholders to allocate resources for TB control, including the provision of first-line anti-TB drugs, diagnostic facilities, and capacity-building for healthcare workers, to improve TB management and outcomes.</w:t>
      </w:r>
    </w:p>
    <w:p w14:paraId="129ED059" w14:textId="77777777" w:rsidR="0039705F" w:rsidRPr="00E0573F" w:rsidRDefault="0039705F" w:rsidP="00A65318">
      <w:pPr>
        <w:pStyle w:val="NormalWeb"/>
        <w:spacing w:before="240" w:beforeAutospacing="0" w:after="0" w:afterAutospacing="0"/>
        <w:jc w:val="both"/>
        <w:rPr>
          <w:rFonts w:ascii="Arial" w:hAnsi="Arial" w:cs="Arial"/>
          <w:sz w:val="20"/>
          <w:szCs w:val="20"/>
        </w:rPr>
      </w:pPr>
    </w:p>
    <w:p w14:paraId="71AB9C6D" w14:textId="77777777" w:rsidR="00FF0471" w:rsidRPr="00E0573F" w:rsidRDefault="00FF0471" w:rsidP="00FF0471">
      <w:pPr>
        <w:pStyle w:val="Body"/>
        <w:spacing w:after="0"/>
        <w:rPr>
          <w:rFonts w:ascii="Arial" w:hAnsi="Arial" w:cs="Arial"/>
        </w:rPr>
      </w:pPr>
    </w:p>
    <w:p w14:paraId="5F9D0758" w14:textId="77777777" w:rsidR="00FF0471" w:rsidRPr="00E0573F" w:rsidRDefault="00FF0471" w:rsidP="00FF0471">
      <w:pPr>
        <w:pStyle w:val="ReferHead"/>
        <w:spacing w:after="0"/>
        <w:jc w:val="both"/>
        <w:rPr>
          <w:rFonts w:ascii="Arial" w:hAnsi="Arial" w:cs="Arial"/>
          <w:bCs/>
        </w:rPr>
      </w:pPr>
      <w:r w:rsidRPr="00E0573F">
        <w:rPr>
          <w:rFonts w:ascii="Arial" w:hAnsi="Arial" w:cs="Arial"/>
          <w:bCs/>
        </w:rPr>
        <w:t>Competing interests</w:t>
      </w:r>
    </w:p>
    <w:p w14:paraId="262F9DA7" w14:textId="77777777" w:rsidR="00FF0471" w:rsidRPr="00E0573F" w:rsidRDefault="00FF0471" w:rsidP="00FF0471">
      <w:pPr>
        <w:pStyle w:val="ReferHead"/>
        <w:spacing w:after="0"/>
        <w:jc w:val="both"/>
        <w:rPr>
          <w:rFonts w:ascii="Arial" w:hAnsi="Arial" w:cs="Arial"/>
        </w:rPr>
      </w:pPr>
    </w:p>
    <w:p w14:paraId="0BBFCB9D" w14:textId="77777777" w:rsidR="00FF0471" w:rsidRPr="00E0573F" w:rsidRDefault="00FF0471" w:rsidP="00FF0471">
      <w:pPr>
        <w:pStyle w:val="ReferHead"/>
        <w:spacing w:after="0"/>
        <w:jc w:val="both"/>
        <w:rPr>
          <w:rFonts w:ascii="Arial" w:hAnsi="Arial" w:cs="Arial"/>
          <w:b w:val="0"/>
          <w:caps w:val="0"/>
          <w:sz w:val="20"/>
        </w:rPr>
      </w:pPr>
      <w:r w:rsidRPr="00E0573F">
        <w:rPr>
          <w:rFonts w:ascii="Arial" w:hAnsi="Arial" w:cs="Arial"/>
          <w:b w:val="0"/>
          <w:caps w:val="0"/>
          <w:sz w:val="20"/>
        </w:rPr>
        <w:t>Authors have declared that</w:t>
      </w:r>
      <w:r w:rsidR="00C16328" w:rsidRPr="00E0573F">
        <w:rPr>
          <w:rFonts w:ascii="Arial" w:hAnsi="Arial" w:cs="Arial"/>
          <w:b w:val="0"/>
          <w:caps w:val="0"/>
          <w:sz w:val="20"/>
        </w:rPr>
        <w:t xml:space="preserve"> no competing interests exist.</w:t>
      </w:r>
    </w:p>
    <w:p w14:paraId="57F30580" w14:textId="77777777" w:rsidR="00FF0471" w:rsidRPr="00E0573F" w:rsidRDefault="00FF0471" w:rsidP="00FF0471">
      <w:pPr>
        <w:pStyle w:val="ReferHead"/>
        <w:spacing w:after="0"/>
        <w:jc w:val="both"/>
        <w:rPr>
          <w:rFonts w:ascii="Arial" w:hAnsi="Arial" w:cs="Arial"/>
          <w:b w:val="0"/>
          <w:caps w:val="0"/>
          <w:sz w:val="20"/>
        </w:rPr>
      </w:pPr>
    </w:p>
    <w:p w14:paraId="2126D392" w14:textId="77777777" w:rsidR="00FF0471" w:rsidRPr="00E0573F" w:rsidRDefault="00FF0471" w:rsidP="00FF0471">
      <w:pPr>
        <w:pStyle w:val="ReferHead"/>
        <w:spacing w:after="0"/>
        <w:jc w:val="both"/>
        <w:rPr>
          <w:rFonts w:ascii="Arial" w:hAnsi="Arial" w:cs="Arial"/>
          <w:b w:val="0"/>
          <w:caps w:val="0"/>
          <w:sz w:val="20"/>
        </w:rPr>
      </w:pPr>
    </w:p>
    <w:p w14:paraId="698F5A3C" w14:textId="77777777" w:rsidR="00FF0471" w:rsidRPr="00E0573F" w:rsidRDefault="00FF0471" w:rsidP="00FF0471">
      <w:pPr>
        <w:pStyle w:val="ReferHead"/>
        <w:spacing w:after="0"/>
        <w:jc w:val="both"/>
        <w:rPr>
          <w:rFonts w:ascii="Arial" w:hAnsi="Arial" w:cs="Arial"/>
          <w:bCs/>
        </w:rPr>
      </w:pPr>
      <w:r w:rsidRPr="00E0573F">
        <w:rPr>
          <w:rFonts w:ascii="Arial" w:hAnsi="Arial" w:cs="Arial"/>
          <w:bCs/>
        </w:rPr>
        <w:t xml:space="preserve">Consent </w:t>
      </w:r>
    </w:p>
    <w:p w14:paraId="3B85939A" w14:textId="77777777" w:rsidR="00FF0471" w:rsidRPr="00E0573F" w:rsidRDefault="00FF0471" w:rsidP="00FF0471">
      <w:pPr>
        <w:pStyle w:val="ReferHead"/>
        <w:spacing w:after="0"/>
        <w:jc w:val="both"/>
        <w:rPr>
          <w:rFonts w:ascii="Arial" w:hAnsi="Arial" w:cs="Arial"/>
          <w:bCs/>
        </w:rPr>
      </w:pPr>
    </w:p>
    <w:p w14:paraId="0E7C52B1" w14:textId="77777777" w:rsidR="00FF0471" w:rsidRPr="00E0573F" w:rsidRDefault="00C16328" w:rsidP="00FF0471">
      <w:pPr>
        <w:pStyle w:val="ReferHead"/>
        <w:spacing w:after="0"/>
        <w:jc w:val="both"/>
        <w:rPr>
          <w:rFonts w:ascii="Arial" w:hAnsi="Arial" w:cs="Arial"/>
          <w:b w:val="0"/>
          <w:caps w:val="0"/>
          <w:sz w:val="20"/>
        </w:rPr>
      </w:pPr>
      <w:r w:rsidRPr="00E0573F">
        <w:rPr>
          <w:rFonts w:ascii="Arial" w:hAnsi="Arial" w:cs="Arial"/>
          <w:b w:val="0"/>
          <w:caps w:val="0"/>
          <w:sz w:val="20"/>
        </w:rPr>
        <w:t xml:space="preserve">Since the study was conducted on </w:t>
      </w:r>
      <w:r w:rsidR="00C81DA4" w:rsidRPr="00E0573F">
        <w:rPr>
          <w:rFonts w:ascii="Arial" w:hAnsi="Arial" w:cs="Arial"/>
          <w:b w:val="0"/>
          <w:caps w:val="0"/>
          <w:sz w:val="20"/>
        </w:rPr>
        <w:t xml:space="preserve">the patients and </w:t>
      </w:r>
      <w:r w:rsidRPr="00E0573F">
        <w:rPr>
          <w:rFonts w:ascii="Arial" w:hAnsi="Arial" w:cs="Arial"/>
          <w:b w:val="0"/>
          <w:caps w:val="0"/>
          <w:sz w:val="20"/>
        </w:rPr>
        <w:t>the case folders (m</w:t>
      </w:r>
      <w:r w:rsidR="00C81DA4" w:rsidRPr="00E0573F">
        <w:rPr>
          <w:rFonts w:ascii="Arial" w:hAnsi="Arial" w:cs="Arial"/>
          <w:b w:val="0"/>
          <w:caps w:val="0"/>
          <w:sz w:val="20"/>
        </w:rPr>
        <w:t xml:space="preserve">edical records) of patients, a </w:t>
      </w:r>
      <w:r w:rsidR="00FF0471" w:rsidRPr="00E0573F">
        <w:rPr>
          <w:rFonts w:ascii="Arial" w:hAnsi="Arial" w:cs="Arial"/>
          <w:b w:val="0"/>
          <w:caps w:val="0"/>
          <w:sz w:val="20"/>
        </w:rPr>
        <w:t xml:space="preserve">written informed consent was obtained from the patient (or other approved parties) for publication of this case report and accompanying images. </w:t>
      </w:r>
    </w:p>
    <w:p w14:paraId="527CF850" w14:textId="77777777" w:rsidR="00C16328" w:rsidRPr="00E0573F" w:rsidRDefault="00C16328" w:rsidP="00FF0471">
      <w:pPr>
        <w:pStyle w:val="ReferHead"/>
        <w:spacing w:after="0"/>
        <w:jc w:val="both"/>
        <w:rPr>
          <w:rFonts w:ascii="Arial" w:hAnsi="Arial" w:cs="Arial"/>
          <w:b w:val="0"/>
          <w:caps w:val="0"/>
          <w:sz w:val="20"/>
        </w:rPr>
      </w:pPr>
    </w:p>
    <w:p w14:paraId="1F4EEEC1" w14:textId="77777777" w:rsidR="00FF0471" w:rsidRPr="00E0573F" w:rsidRDefault="00FF0471" w:rsidP="00FF0471">
      <w:pPr>
        <w:pStyle w:val="ReferHead"/>
        <w:spacing w:after="0"/>
        <w:jc w:val="both"/>
        <w:rPr>
          <w:rFonts w:ascii="Arial" w:hAnsi="Arial" w:cs="Arial"/>
          <w:bCs/>
        </w:rPr>
      </w:pPr>
      <w:r w:rsidRPr="00E0573F">
        <w:rPr>
          <w:rFonts w:ascii="Arial" w:hAnsi="Arial" w:cs="Arial"/>
          <w:bCs/>
        </w:rPr>
        <w:t xml:space="preserve">Ethical approval </w:t>
      </w:r>
    </w:p>
    <w:p w14:paraId="322A25DA" w14:textId="77777777" w:rsidR="00FF0471" w:rsidRPr="00E0573F" w:rsidRDefault="00E27604" w:rsidP="00FF0471">
      <w:pPr>
        <w:pStyle w:val="ReferHead"/>
        <w:spacing w:after="0"/>
        <w:jc w:val="both"/>
        <w:rPr>
          <w:rFonts w:ascii="Arial" w:hAnsi="Arial" w:cs="Arial"/>
          <w:b w:val="0"/>
          <w:bCs/>
          <w:caps w:val="0"/>
          <w:sz w:val="20"/>
        </w:rPr>
      </w:pPr>
      <w:r w:rsidRPr="00E0573F">
        <w:rPr>
          <w:rFonts w:ascii="Arial" w:hAnsi="Arial" w:cs="Arial"/>
          <w:b w:val="0"/>
          <w:bCs/>
          <w:caps w:val="0"/>
          <w:sz w:val="20"/>
        </w:rPr>
        <w:t>Ethical approval was obtained from the Ethics Committee from Benue State Ministry of Health and Human Services, Makurdi.</w:t>
      </w:r>
    </w:p>
    <w:p w14:paraId="15FAD777" w14:textId="77777777" w:rsidR="00C10E8F" w:rsidRPr="00E0573F" w:rsidRDefault="00C10E8F" w:rsidP="00C10E8F">
      <w:pPr>
        <w:shd w:val="clear" w:color="auto" w:fill="FFFFFF"/>
        <w:rPr>
          <w:rFonts w:ascii="Arial" w:hAnsi="Arial" w:cs="Arial"/>
          <w:color w:val="222222"/>
          <w:sz w:val="24"/>
          <w:szCs w:val="24"/>
          <w:lang w:val="en-IN" w:eastAsia="en-IN"/>
        </w:rPr>
      </w:pPr>
      <w:bookmarkStart w:id="0" w:name="_Hlk232854992"/>
    </w:p>
    <w:p w14:paraId="5328BDB5" w14:textId="77777777" w:rsidR="00C10E8F" w:rsidRPr="00E0573F" w:rsidRDefault="00C10E8F" w:rsidP="00C10E8F">
      <w:pPr>
        <w:rPr>
          <w:rFonts w:ascii="Times New Roman" w:hAnsi="Times New Roman"/>
          <w:b/>
        </w:rPr>
      </w:pPr>
      <w:bookmarkStart w:id="1" w:name="_Hlk234486585"/>
      <w:bookmarkStart w:id="2" w:name="_Hlk234075571"/>
      <w:bookmarkStart w:id="3" w:name="_Hlk232755622"/>
      <w:r w:rsidRPr="00E0573F">
        <w:rPr>
          <w:rFonts w:ascii="Times New Roman" w:hAnsi="Times New Roman"/>
          <w:b/>
        </w:rPr>
        <w:t>Declaration of AI Use</w:t>
      </w:r>
    </w:p>
    <w:p w14:paraId="5D029B8C" w14:textId="77777777" w:rsidR="00C10E8F" w:rsidRPr="00E0573F" w:rsidRDefault="00C10E8F" w:rsidP="00C10E8F">
      <w:pPr>
        <w:rPr>
          <w:rFonts w:ascii="Times New Roman" w:hAnsi="Times New Roman"/>
        </w:rPr>
      </w:pPr>
      <w:bookmarkStart w:id="4" w:name="_Hlk234486575"/>
      <w:bookmarkEnd w:id="1"/>
    </w:p>
    <w:p w14:paraId="48163F0C" w14:textId="77777777" w:rsidR="00C10E8F" w:rsidRPr="00E0573F" w:rsidRDefault="00C10E8F" w:rsidP="00C10E8F">
      <w:pPr>
        <w:jc w:val="both"/>
        <w:rPr>
          <w:rFonts w:ascii="Times New Roman" w:hAnsi="Times New Roman"/>
        </w:rPr>
      </w:pPr>
      <w:r w:rsidRPr="00E0573F">
        <w:rPr>
          <w:rFonts w:ascii="Times New Roman" w:hAnsi="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bookmarkEnd w:id="2"/>
      <w:r w:rsidRPr="00E0573F">
        <w:rPr>
          <w:rFonts w:ascii="Times New Roman" w:hAnsi="Times New Roman"/>
        </w:rPr>
        <w:t>.</w:t>
      </w:r>
    </w:p>
    <w:bookmarkEnd w:id="0"/>
    <w:bookmarkEnd w:id="3"/>
    <w:bookmarkEnd w:id="4"/>
    <w:p w14:paraId="187D8C7F" w14:textId="77777777" w:rsidR="00C10E8F" w:rsidRPr="00E0573F" w:rsidRDefault="00C10E8F" w:rsidP="00FF0471">
      <w:pPr>
        <w:pStyle w:val="ReferHead"/>
        <w:spacing w:after="0"/>
        <w:jc w:val="both"/>
        <w:rPr>
          <w:rFonts w:ascii="Arial" w:hAnsi="Arial" w:cs="Arial"/>
          <w:b w:val="0"/>
          <w:bCs/>
          <w:sz w:val="20"/>
        </w:rPr>
      </w:pPr>
    </w:p>
    <w:p w14:paraId="2383B583" w14:textId="77777777" w:rsidR="00FF0471" w:rsidRPr="00E0573F" w:rsidRDefault="00FF0471" w:rsidP="00FF0471">
      <w:pPr>
        <w:pStyle w:val="ReferHead"/>
        <w:spacing w:after="0"/>
        <w:jc w:val="both"/>
        <w:rPr>
          <w:rFonts w:ascii="Arial" w:hAnsi="Arial" w:cs="Arial"/>
        </w:rPr>
      </w:pPr>
    </w:p>
    <w:p w14:paraId="0ED7201C" w14:textId="77777777" w:rsidR="00FF0471" w:rsidRPr="00E0573F" w:rsidRDefault="00FF0471" w:rsidP="00FF0471">
      <w:pPr>
        <w:pStyle w:val="ReferHead"/>
        <w:spacing w:after="0"/>
        <w:jc w:val="both"/>
        <w:rPr>
          <w:rFonts w:ascii="Arial" w:hAnsi="Arial" w:cs="Arial"/>
        </w:rPr>
      </w:pPr>
      <w:r w:rsidRPr="00E0573F">
        <w:rPr>
          <w:rFonts w:ascii="Arial" w:hAnsi="Arial" w:cs="Arial"/>
        </w:rPr>
        <w:t>References</w:t>
      </w:r>
    </w:p>
    <w:p w14:paraId="6DF78A84" w14:textId="77777777" w:rsidR="00FF0471" w:rsidRPr="00E0573F" w:rsidRDefault="00FF0471" w:rsidP="00FF0471">
      <w:pPr>
        <w:pStyle w:val="ReferHead"/>
        <w:spacing w:after="0"/>
        <w:jc w:val="both"/>
        <w:rPr>
          <w:rFonts w:ascii="Arial" w:hAnsi="Arial" w:cs="Arial"/>
        </w:rPr>
      </w:pPr>
    </w:p>
    <w:p w14:paraId="222DEB35" w14:textId="77777777" w:rsidR="002D2509" w:rsidRDefault="002D2509" w:rsidP="00D36BD4">
      <w:pPr>
        <w:ind w:left="720" w:hanging="720"/>
        <w:jc w:val="both"/>
        <w:rPr>
          <w:rFonts w:ascii="Arial" w:hAnsi="Arial" w:cs="Arial"/>
          <w:color w:val="212121"/>
          <w:shd w:val="clear" w:color="auto" w:fill="FFFFFF"/>
        </w:rPr>
      </w:pPr>
    </w:p>
    <w:p w14:paraId="63C0FEAC" w14:textId="77777777" w:rsidR="00B53B7A" w:rsidRPr="00B53B7A" w:rsidRDefault="00B53B7A" w:rsidP="00B53B7A">
      <w:pPr>
        <w:spacing w:before="100" w:beforeAutospacing="1" w:after="100" w:afterAutospacing="1"/>
        <w:rPr>
          <w:rFonts w:ascii="Times New Roman" w:hAnsi="Times New Roman"/>
          <w:sz w:val="24"/>
          <w:szCs w:val="24"/>
        </w:rPr>
      </w:pPr>
      <w:r w:rsidRPr="00B53B7A">
        <w:rPr>
          <w:rFonts w:ascii="Times New Roman" w:hAnsi="Times New Roman"/>
          <w:sz w:val="24"/>
          <w:szCs w:val="24"/>
        </w:rPr>
        <w:t xml:space="preserve">Adane, A., Damena, M., </w:t>
      </w:r>
      <w:proofErr w:type="spellStart"/>
      <w:r w:rsidRPr="00B53B7A">
        <w:rPr>
          <w:rFonts w:ascii="Times New Roman" w:hAnsi="Times New Roman"/>
          <w:sz w:val="24"/>
          <w:szCs w:val="24"/>
        </w:rPr>
        <w:t>Weldegebreal</w:t>
      </w:r>
      <w:proofErr w:type="spellEnd"/>
      <w:r w:rsidRPr="00B53B7A">
        <w:rPr>
          <w:rFonts w:ascii="Times New Roman" w:hAnsi="Times New Roman"/>
          <w:sz w:val="24"/>
          <w:szCs w:val="24"/>
        </w:rPr>
        <w:t xml:space="preserve">, F., &amp; Mohammed, H. (2020). Prevalence and associated factors of tuberculosis among adult household contacts of smear-positive pulmonary tuberculosis patients treated in public health facilities of </w:t>
      </w:r>
      <w:proofErr w:type="spellStart"/>
      <w:r w:rsidRPr="00B53B7A">
        <w:rPr>
          <w:rFonts w:ascii="Times New Roman" w:hAnsi="Times New Roman"/>
          <w:sz w:val="24"/>
          <w:szCs w:val="24"/>
        </w:rPr>
        <w:t>Haramaya</w:t>
      </w:r>
      <w:proofErr w:type="spellEnd"/>
      <w:r w:rsidRPr="00B53B7A">
        <w:rPr>
          <w:rFonts w:ascii="Times New Roman" w:hAnsi="Times New Roman"/>
          <w:sz w:val="24"/>
          <w:szCs w:val="24"/>
        </w:rPr>
        <w:t xml:space="preserve"> District, Oromia Region, eastern Ethiopia. </w:t>
      </w:r>
      <w:r w:rsidRPr="00B53B7A">
        <w:rPr>
          <w:rFonts w:ascii="Times New Roman" w:hAnsi="Times New Roman"/>
          <w:i/>
          <w:iCs/>
          <w:sz w:val="24"/>
          <w:szCs w:val="24"/>
        </w:rPr>
        <w:t>Tuberculosis Research and Treatment, 2020</w:t>
      </w:r>
      <w:r w:rsidRPr="00B53B7A">
        <w:rPr>
          <w:rFonts w:ascii="Times New Roman" w:hAnsi="Times New Roman"/>
          <w:sz w:val="24"/>
          <w:szCs w:val="24"/>
        </w:rPr>
        <w:t xml:space="preserve">, Article 6738532. </w:t>
      </w:r>
      <w:hyperlink r:id="rId15" w:history="1">
        <w:r w:rsidRPr="00B53B7A">
          <w:rPr>
            <w:rFonts w:ascii="Times New Roman" w:hAnsi="Times New Roman"/>
            <w:color w:val="0000FF"/>
            <w:sz w:val="24"/>
            <w:szCs w:val="24"/>
            <w:u w:val="single"/>
          </w:rPr>
          <w:t>https://doi.org/10.1155/2020/6738532</w:t>
        </w:r>
      </w:hyperlink>
    </w:p>
    <w:p w14:paraId="7DF6F3CF" w14:textId="77777777" w:rsidR="00B53B7A" w:rsidRPr="00B53B7A" w:rsidRDefault="00B53B7A" w:rsidP="00B53B7A">
      <w:pPr>
        <w:spacing w:before="100" w:beforeAutospacing="1" w:after="100" w:afterAutospacing="1"/>
        <w:rPr>
          <w:rFonts w:ascii="Times New Roman" w:hAnsi="Times New Roman"/>
          <w:sz w:val="24"/>
          <w:szCs w:val="24"/>
        </w:rPr>
      </w:pPr>
      <w:r w:rsidRPr="00B53B7A">
        <w:rPr>
          <w:rFonts w:ascii="Times New Roman" w:hAnsi="Times New Roman"/>
          <w:sz w:val="24"/>
          <w:szCs w:val="24"/>
        </w:rPr>
        <w:t xml:space="preserve">Adhikari, N., Bhattarai, R. B., Basnet, R., Joshi, L. R., </w:t>
      </w:r>
      <w:proofErr w:type="spellStart"/>
      <w:r w:rsidRPr="00B53B7A">
        <w:rPr>
          <w:rFonts w:ascii="Times New Roman" w:hAnsi="Times New Roman"/>
          <w:sz w:val="24"/>
          <w:szCs w:val="24"/>
        </w:rPr>
        <w:t>Tinkari</w:t>
      </w:r>
      <w:proofErr w:type="spellEnd"/>
      <w:r w:rsidRPr="00B53B7A">
        <w:rPr>
          <w:rFonts w:ascii="Times New Roman" w:hAnsi="Times New Roman"/>
          <w:sz w:val="24"/>
          <w:szCs w:val="24"/>
        </w:rPr>
        <w:t xml:space="preserve">, B. S., Thapa, A., &amp; Joshi, B. (2022). Prevalence and associated risk factors for tuberculosis among people living with HIV in Nepal. </w:t>
      </w:r>
      <w:r w:rsidRPr="00B53B7A">
        <w:rPr>
          <w:rFonts w:ascii="Times New Roman" w:hAnsi="Times New Roman"/>
          <w:i/>
          <w:iCs/>
          <w:sz w:val="24"/>
          <w:szCs w:val="24"/>
        </w:rPr>
        <w:t>PLOS ONE, 17</w:t>
      </w:r>
      <w:r w:rsidRPr="00B53B7A">
        <w:rPr>
          <w:rFonts w:ascii="Times New Roman" w:hAnsi="Times New Roman"/>
          <w:sz w:val="24"/>
          <w:szCs w:val="24"/>
        </w:rPr>
        <w:t xml:space="preserve">(1), e0262720. </w:t>
      </w:r>
      <w:hyperlink r:id="rId16" w:history="1">
        <w:r w:rsidRPr="00B53B7A">
          <w:rPr>
            <w:rFonts w:ascii="Times New Roman" w:hAnsi="Times New Roman"/>
            <w:color w:val="0000FF"/>
            <w:sz w:val="24"/>
            <w:szCs w:val="24"/>
            <w:u w:val="single"/>
          </w:rPr>
          <w:t>https://doi.org/10.1371/journal.pone.0262720</w:t>
        </w:r>
      </w:hyperlink>
    </w:p>
    <w:p w14:paraId="05F4388D" w14:textId="77777777" w:rsidR="00B53B7A" w:rsidRPr="00B53B7A" w:rsidRDefault="00B53B7A" w:rsidP="00B53B7A">
      <w:pPr>
        <w:spacing w:before="100" w:beforeAutospacing="1" w:after="100" w:afterAutospacing="1"/>
        <w:rPr>
          <w:rFonts w:ascii="Times New Roman" w:hAnsi="Times New Roman"/>
          <w:sz w:val="24"/>
          <w:szCs w:val="24"/>
        </w:rPr>
      </w:pPr>
      <w:proofErr w:type="spellStart"/>
      <w:r w:rsidRPr="00B53B7A">
        <w:rPr>
          <w:rFonts w:ascii="Times New Roman" w:hAnsi="Times New Roman"/>
          <w:sz w:val="24"/>
          <w:szCs w:val="24"/>
        </w:rPr>
        <w:t>Ajutor</w:t>
      </w:r>
      <w:proofErr w:type="spellEnd"/>
      <w:r w:rsidRPr="00B53B7A">
        <w:rPr>
          <w:rFonts w:ascii="Times New Roman" w:hAnsi="Times New Roman"/>
          <w:sz w:val="24"/>
          <w:szCs w:val="24"/>
        </w:rPr>
        <w:t xml:space="preserve">, L. J., </w:t>
      </w:r>
      <w:proofErr w:type="spellStart"/>
      <w:r w:rsidRPr="00B53B7A">
        <w:rPr>
          <w:rFonts w:ascii="Times New Roman" w:hAnsi="Times New Roman"/>
          <w:sz w:val="24"/>
          <w:szCs w:val="24"/>
        </w:rPr>
        <w:t>Dagunduro</w:t>
      </w:r>
      <w:proofErr w:type="spellEnd"/>
      <w:r w:rsidRPr="00B53B7A">
        <w:rPr>
          <w:rFonts w:ascii="Times New Roman" w:hAnsi="Times New Roman"/>
          <w:sz w:val="24"/>
          <w:szCs w:val="24"/>
        </w:rPr>
        <w:t xml:space="preserve">, E. T., Kadiri, M. O., Okechukwu, N. C., Chibueze, E. M., Ajayi, T. C., &amp; John, A. E. (2026). Tuberculosis and rifampicin resistance trends in a chest hospital: A 3-year retrospective study. </w:t>
      </w:r>
      <w:r w:rsidRPr="00B53B7A">
        <w:rPr>
          <w:rFonts w:ascii="Times New Roman" w:hAnsi="Times New Roman"/>
          <w:i/>
          <w:iCs/>
          <w:sz w:val="24"/>
          <w:szCs w:val="24"/>
        </w:rPr>
        <w:t>Journal of Disease and Global Health, 19</w:t>
      </w:r>
      <w:r w:rsidRPr="00B53B7A">
        <w:rPr>
          <w:rFonts w:ascii="Times New Roman" w:hAnsi="Times New Roman"/>
          <w:sz w:val="24"/>
          <w:szCs w:val="24"/>
        </w:rPr>
        <w:t xml:space="preserve">(2), 61–73. </w:t>
      </w:r>
      <w:hyperlink r:id="rId17" w:history="1">
        <w:r w:rsidRPr="00B53B7A">
          <w:rPr>
            <w:rFonts w:ascii="Times New Roman" w:hAnsi="Times New Roman"/>
            <w:color w:val="0000FF"/>
            <w:sz w:val="24"/>
            <w:szCs w:val="24"/>
            <w:u w:val="single"/>
          </w:rPr>
          <w:t>https://doi.org/10.56557/jodagh/2026/v19i210779</w:t>
        </w:r>
      </w:hyperlink>
    </w:p>
    <w:p w14:paraId="052A1F84" w14:textId="77777777" w:rsidR="00B53B7A" w:rsidRPr="00B53B7A" w:rsidRDefault="00B53B7A" w:rsidP="00B53B7A">
      <w:pPr>
        <w:spacing w:before="100" w:beforeAutospacing="1" w:after="100" w:afterAutospacing="1"/>
        <w:rPr>
          <w:rFonts w:ascii="Times New Roman" w:hAnsi="Times New Roman"/>
          <w:sz w:val="24"/>
          <w:szCs w:val="24"/>
        </w:rPr>
      </w:pPr>
      <w:r w:rsidRPr="00B53B7A">
        <w:rPr>
          <w:rFonts w:ascii="Times New Roman" w:hAnsi="Times New Roman"/>
          <w:sz w:val="24"/>
          <w:szCs w:val="24"/>
        </w:rPr>
        <w:t xml:space="preserve">Alavi, S. M., </w:t>
      </w:r>
      <w:proofErr w:type="spellStart"/>
      <w:r w:rsidRPr="00B53B7A">
        <w:rPr>
          <w:rFonts w:ascii="Times New Roman" w:hAnsi="Times New Roman"/>
          <w:sz w:val="24"/>
          <w:szCs w:val="24"/>
        </w:rPr>
        <w:t>Bakhtiarinia</w:t>
      </w:r>
      <w:proofErr w:type="spellEnd"/>
      <w:r w:rsidRPr="00B53B7A">
        <w:rPr>
          <w:rFonts w:ascii="Times New Roman" w:hAnsi="Times New Roman"/>
          <w:sz w:val="24"/>
          <w:szCs w:val="24"/>
        </w:rPr>
        <w:t xml:space="preserve">, P., </w:t>
      </w:r>
      <w:proofErr w:type="spellStart"/>
      <w:r w:rsidRPr="00B53B7A">
        <w:rPr>
          <w:rFonts w:ascii="Times New Roman" w:hAnsi="Times New Roman"/>
          <w:sz w:val="24"/>
          <w:szCs w:val="24"/>
        </w:rPr>
        <w:t>Eghtesad</w:t>
      </w:r>
      <w:proofErr w:type="spellEnd"/>
      <w:r w:rsidRPr="00B53B7A">
        <w:rPr>
          <w:rFonts w:ascii="Times New Roman" w:hAnsi="Times New Roman"/>
          <w:sz w:val="24"/>
          <w:szCs w:val="24"/>
        </w:rPr>
        <w:t xml:space="preserve">, M., Albaji, A., &amp; </w:t>
      </w:r>
      <w:proofErr w:type="spellStart"/>
      <w:r w:rsidRPr="00B53B7A">
        <w:rPr>
          <w:rFonts w:ascii="Times New Roman" w:hAnsi="Times New Roman"/>
          <w:sz w:val="24"/>
          <w:szCs w:val="24"/>
        </w:rPr>
        <w:t>Salmanzadeh</w:t>
      </w:r>
      <w:proofErr w:type="spellEnd"/>
      <w:r w:rsidRPr="00B53B7A">
        <w:rPr>
          <w:rFonts w:ascii="Times New Roman" w:hAnsi="Times New Roman"/>
          <w:sz w:val="24"/>
          <w:szCs w:val="24"/>
        </w:rPr>
        <w:t xml:space="preserve">, S. (2014). A comparative study on the prevalence and risk factors of tuberculosis among prisoners in Khuzestan, south-west Iran. </w:t>
      </w:r>
      <w:proofErr w:type="spellStart"/>
      <w:r w:rsidRPr="00B53B7A">
        <w:rPr>
          <w:rFonts w:ascii="Times New Roman" w:hAnsi="Times New Roman"/>
          <w:i/>
          <w:iCs/>
          <w:sz w:val="24"/>
          <w:szCs w:val="24"/>
        </w:rPr>
        <w:t>Jundishapur</w:t>
      </w:r>
      <w:proofErr w:type="spellEnd"/>
      <w:r w:rsidRPr="00B53B7A">
        <w:rPr>
          <w:rFonts w:ascii="Times New Roman" w:hAnsi="Times New Roman"/>
          <w:i/>
          <w:iCs/>
          <w:sz w:val="24"/>
          <w:szCs w:val="24"/>
        </w:rPr>
        <w:t xml:space="preserve"> Journal of Microbiology, 7</w:t>
      </w:r>
      <w:r w:rsidRPr="00B53B7A">
        <w:rPr>
          <w:rFonts w:ascii="Times New Roman" w:hAnsi="Times New Roman"/>
          <w:sz w:val="24"/>
          <w:szCs w:val="24"/>
        </w:rPr>
        <w:t xml:space="preserve">(12), e18872. </w:t>
      </w:r>
      <w:hyperlink r:id="rId18" w:history="1">
        <w:r w:rsidRPr="00B53B7A">
          <w:rPr>
            <w:rFonts w:ascii="Times New Roman" w:hAnsi="Times New Roman"/>
            <w:color w:val="0000FF"/>
            <w:sz w:val="24"/>
            <w:szCs w:val="24"/>
            <w:u w:val="single"/>
          </w:rPr>
          <w:t>https://doi.org/10.5812/jjm.18872</w:t>
        </w:r>
      </w:hyperlink>
    </w:p>
    <w:p w14:paraId="3C07B776" w14:textId="565FA339" w:rsidR="00B53B7A" w:rsidRPr="00B53B7A" w:rsidRDefault="00B53B7A" w:rsidP="00B53B7A">
      <w:pPr>
        <w:spacing w:before="100" w:beforeAutospacing="1" w:after="100" w:afterAutospacing="1"/>
        <w:rPr>
          <w:rFonts w:ascii="Times New Roman" w:hAnsi="Times New Roman"/>
          <w:sz w:val="24"/>
          <w:szCs w:val="24"/>
        </w:rPr>
      </w:pPr>
      <w:r w:rsidRPr="00B53B7A">
        <w:rPr>
          <w:rFonts w:ascii="Times New Roman" w:hAnsi="Times New Roman"/>
          <w:sz w:val="24"/>
          <w:szCs w:val="24"/>
        </w:rPr>
        <w:t xml:space="preserve">Allison, P. D. (2012). </w:t>
      </w:r>
      <w:r w:rsidRPr="00B53B7A">
        <w:rPr>
          <w:rFonts w:ascii="Times New Roman" w:hAnsi="Times New Roman"/>
          <w:i/>
          <w:iCs/>
          <w:sz w:val="24"/>
          <w:szCs w:val="24"/>
        </w:rPr>
        <w:t>Logistic regression using SAS: Theory and application</w:t>
      </w:r>
      <w:r w:rsidRPr="00B53B7A">
        <w:rPr>
          <w:rFonts w:ascii="Times New Roman" w:hAnsi="Times New Roman"/>
          <w:sz w:val="24"/>
          <w:szCs w:val="24"/>
        </w:rPr>
        <w:t xml:space="preserve"> (2nd ed.). SAS Institute. </w:t>
      </w:r>
    </w:p>
    <w:p w14:paraId="0F15FFAA" w14:textId="77777777" w:rsidR="00B53B7A" w:rsidRPr="00B53B7A" w:rsidRDefault="00B53B7A" w:rsidP="00B53B7A">
      <w:pPr>
        <w:spacing w:before="100" w:beforeAutospacing="1" w:after="100" w:afterAutospacing="1"/>
        <w:rPr>
          <w:rFonts w:ascii="Times New Roman" w:hAnsi="Times New Roman"/>
          <w:sz w:val="24"/>
          <w:szCs w:val="24"/>
        </w:rPr>
      </w:pPr>
      <w:r w:rsidRPr="00B53B7A">
        <w:rPr>
          <w:rFonts w:ascii="Times New Roman" w:hAnsi="Times New Roman"/>
          <w:sz w:val="24"/>
          <w:szCs w:val="24"/>
        </w:rPr>
        <w:t xml:space="preserve">Ameh, L., Ameh, G. E., Amali, E. O., Ameh, W. O., Ajifken, J., </w:t>
      </w:r>
      <w:proofErr w:type="spellStart"/>
      <w:r w:rsidRPr="00B53B7A">
        <w:rPr>
          <w:rFonts w:ascii="Times New Roman" w:hAnsi="Times New Roman"/>
          <w:sz w:val="24"/>
          <w:szCs w:val="24"/>
        </w:rPr>
        <w:t>Ejembi</w:t>
      </w:r>
      <w:proofErr w:type="spellEnd"/>
      <w:r w:rsidRPr="00B53B7A">
        <w:rPr>
          <w:rFonts w:ascii="Times New Roman" w:hAnsi="Times New Roman"/>
          <w:sz w:val="24"/>
          <w:szCs w:val="24"/>
        </w:rPr>
        <w:t xml:space="preserve">, F. O., &amp; </w:t>
      </w:r>
      <w:proofErr w:type="spellStart"/>
      <w:r w:rsidRPr="00B53B7A">
        <w:rPr>
          <w:rFonts w:ascii="Times New Roman" w:hAnsi="Times New Roman"/>
          <w:sz w:val="24"/>
          <w:szCs w:val="24"/>
        </w:rPr>
        <w:t>Ukwenya</w:t>
      </w:r>
      <w:proofErr w:type="spellEnd"/>
      <w:r w:rsidRPr="00B53B7A">
        <w:rPr>
          <w:rFonts w:ascii="Times New Roman" w:hAnsi="Times New Roman"/>
          <w:sz w:val="24"/>
          <w:szCs w:val="24"/>
        </w:rPr>
        <w:t xml:space="preserve">, I. S. (2022). Occurrence of tuberculosis and predictors of zoonotic TB surveillance in Benue State. </w:t>
      </w:r>
      <w:r w:rsidRPr="00B53B7A">
        <w:rPr>
          <w:rFonts w:ascii="Times New Roman" w:hAnsi="Times New Roman"/>
          <w:i/>
          <w:iCs/>
          <w:sz w:val="24"/>
          <w:szCs w:val="24"/>
        </w:rPr>
        <w:t>International Journal of Research Publication and Reviews, 3</w:t>
      </w:r>
      <w:r w:rsidRPr="00B53B7A">
        <w:rPr>
          <w:rFonts w:ascii="Times New Roman" w:hAnsi="Times New Roman"/>
          <w:sz w:val="24"/>
          <w:szCs w:val="24"/>
        </w:rPr>
        <w:t xml:space="preserve">(11), 117–124. </w:t>
      </w:r>
      <w:hyperlink r:id="rId19" w:history="1">
        <w:r w:rsidRPr="00B53B7A">
          <w:rPr>
            <w:rFonts w:ascii="Times New Roman" w:hAnsi="Times New Roman"/>
            <w:color w:val="0000FF"/>
            <w:sz w:val="24"/>
            <w:szCs w:val="24"/>
            <w:u w:val="single"/>
          </w:rPr>
          <w:t>https://doi.org/10.55248/gengpi.2022.3.11.3</w:t>
        </w:r>
      </w:hyperlink>
    </w:p>
    <w:p w14:paraId="59FDCF68" w14:textId="7208CAF9" w:rsidR="00B53B7A" w:rsidRPr="00B53B7A" w:rsidRDefault="00B53B7A" w:rsidP="00B53B7A">
      <w:pPr>
        <w:spacing w:before="100" w:beforeAutospacing="1" w:after="100" w:afterAutospacing="1"/>
        <w:rPr>
          <w:rFonts w:ascii="Times New Roman" w:hAnsi="Times New Roman"/>
          <w:sz w:val="24"/>
          <w:szCs w:val="24"/>
        </w:rPr>
      </w:pPr>
      <w:r w:rsidRPr="00B53B7A">
        <w:rPr>
          <w:rFonts w:ascii="Times New Roman" w:hAnsi="Times New Roman"/>
          <w:sz w:val="24"/>
          <w:szCs w:val="24"/>
        </w:rPr>
        <w:t xml:space="preserve">Benue State Ministry of Lands and Survey. (2011). </w:t>
      </w:r>
      <w:r w:rsidRPr="00B53B7A">
        <w:rPr>
          <w:rFonts w:ascii="Times New Roman" w:hAnsi="Times New Roman"/>
          <w:i/>
          <w:iCs/>
          <w:sz w:val="24"/>
          <w:szCs w:val="24"/>
        </w:rPr>
        <w:t>Map of Makurdi town showing the study areas</w:t>
      </w:r>
      <w:r w:rsidRPr="00B53B7A">
        <w:rPr>
          <w:rFonts w:ascii="Times New Roman" w:hAnsi="Times New Roman"/>
          <w:sz w:val="24"/>
          <w:szCs w:val="24"/>
        </w:rPr>
        <w:t xml:space="preserve"> [Map]. </w:t>
      </w:r>
    </w:p>
    <w:p w14:paraId="790AC0E3" w14:textId="3427B2F2" w:rsidR="00B53B7A" w:rsidRPr="00B53B7A" w:rsidRDefault="00B53B7A" w:rsidP="00B53B7A">
      <w:pPr>
        <w:spacing w:before="100" w:beforeAutospacing="1" w:after="100" w:afterAutospacing="1"/>
        <w:rPr>
          <w:rFonts w:ascii="Times New Roman" w:hAnsi="Times New Roman"/>
          <w:sz w:val="24"/>
          <w:szCs w:val="24"/>
        </w:rPr>
      </w:pPr>
      <w:r w:rsidRPr="00B53B7A">
        <w:rPr>
          <w:rFonts w:ascii="Times New Roman" w:hAnsi="Times New Roman"/>
          <w:sz w:val="24"/>
          <w:szCs w:val="24"/>
        </w:rPr>
        <w:t xml:space="preserve">Cox, D. R., &amp; Snell, E. J. (1989). </w:t>
      </w:r>
      <w:r w:rsidRPr="00B53B7A">
        <w:rPr>
          <w:rFonts w:ascii="Times New Roman" w:hAnsi="Times New Roman"/>
          <w:i/>
          <w:iCs/>
          <w:sz w:val="24"/>
          <w:szCs w:val="24"/>
        </w:rPr>
        <w:t>Analysis of binary data</w:t>
      </w:r>
      <w:r w:rsidRPr="00B53B7A">
        <w:rPr>
          <w:rFonts w:ascii="Times New Roman" w:hAnsi="Times New Roman"/>
          <w:sz w:val="24"/>
          <w:szCs w:val="24"/>
        </w:rPr>
        <w:t xml:space="preserve"> (2nd ed.). Chapman &amp; Hall. </w:t>
      </w:r>
    </w:p>
    <w:p w14:paraId="2C96CB30" w14:textId="77777777" w:rsidR="00B53B7A" w:rsidRPr="00B53B7A" w:rsidRDefault="00B53B7A" w:rsidP="00B53B7A">
      <w:pPr>
        <w:spacing w:before="100" w:beforeAutospacing="1" w:after="100" w:afterAutospacing="1"/>
        <w:rPr>
          <w:rFonts w:ascii="Times New Roman" w:hAnsi="Times New Roman"/>
          <w:sz w:val="24"/>
          <w:szCs w:val="24"/>
        </w:rPr>
      </w:pPr>
      <w:r w:rsidRPr="00B53B7A">
        <w:rPr>
          <w:rFonts w:ascii="Times New Roman" w:hAnsi="Times New Roman"/>
          <w:sz w:val="24"/>
          <w:szCs w:val="24"/>
        </w:rPr>
        <w:t xml:space="preserve">Danladi, J., </w:t>
      </w:r>
      <w:proofErr w:type="spellStart"/>
      <w:r w:rsidRPr="00B53B7A">
        <w:rPr>
          <w:rFonts w:ascii="Times New Roman" w:hAnsi="Times New Roman"/>
          <w:sz w:val="24"/>
          <w:szCs w:val="24"/>
        </w:rPr>
        <w:t>Kwaghe</w:t>
      </w:r>
      <w:proofErr w:type="spellEnd"/>
      <w:r w:rsidRPr="00B53B7A">
        <w:rPr>
          <w:rFonts w:ascii="Times New Roman" w:hAnsi="Times New Roman"/>
          <w:sz w:val="24"/>
          <w:szCs w:val="24"/>
        </w:rPr>
        <w:t xml:space="preserve">, A. V., Olasoju, T., Ibrahim, H. I., Buba, M. I., </w:t>
      </w:r>
      <w:proofErr w:type="spellStart"/>
      <w:r w:rsidRPr="00B53B7A">
        <w:rPr>
          <w:rFonts w:ascii="Times New Roman" w:hAnsi="Times New Roman"/>
          <w:sz w:val="24"/>
          <w:szCs w:val="24"/>
        </w:rPr>
        <w:t>Dakogi</w:t>
      </w:r>
      <w:proofErr w:type="spellEnd"/>
      <w:r w:rsidRPr="00B53B7A">
        <w:rPr>
          <w:rFonts w:ascii="Times New Roman" w:hAnsi="Times New Roman"/>
          <w:sz w:val="24"/>
          <w:szCs w:val="24"/>
        </w:rPr>
        <w:t xml:space="preserve">, A. Y., &amp; </w:t>
      </w:r>
      <w:proofErr w:type="spellStart"/>
      <w:r w:rsidRPr="00B53B7A">
        <w:rPr>
          <w:rFonts w:ascii="Times New Roman" w:hAnsi="Times New Roman"/>
          <w:sz w:val="24"/>
          <w:szCs w:val="24"/>
        </w:rPr>
        <w:t>Vakuru</w:t>
      </w:r>
      <w:proofErr w:type="spellEnd"/>
      <w:r w:rsidRPr="00B53B7A">
        <w:rPr>
          <w:rFonts w:ascii="Times New Roman" w:hAnsi="Times New Roman"/>
          <w:sz w:val="24"/>
          <w:szCs w:val="24"/>
        </w:rPr>
        <w:t xml:space="preserve">, C. T. (2024). Prevalence, trends, and magnitude of bovine tuberculosis in slaughtered cattle across states in Nigeria, 2020–2022: A retrospective study. </w:t>
      </w:r>
      <w:r w:rsidRPr="00B53B7A">
        <w:rPr>
          <w:rFonts w:ascii="Times New Roman" w:hAnsi="Times New Roman"/>
          <w:i/>
          <w:iCs/>
          <w:sz w:val="24"/>
          <w:szCs w:val="24"/>
        </w:rPr>
        <w:t>PAMJ–One Health, 15</w:t>
      </w:r>
      <w:r w:rsidRPr="00B53B7A">
        <w:rPr>
          <w:rFonts w:ascii="Times New Roman" w:hAnsi="Times New Roman"/>
          <w:sz w:val="24"/>
          <w:szCs w:val="24"/>
        </w:rPr>
        <w:t xml:space="preserve">, 20. </w:t>
      </w:r>
      <w:hyperlink r:id="rId20" w:history="1">
        <w:r w:rsidRPr="00B53B7A">
          <w:rPr>
            <w:rFonts w:ascii="Times New Roman" w:hAnsi="Times New Roman"/>
            <w:color w:val="0000FF"/>
            <w:sz w:val="24"/>
            <w:szCs w:val="24"/>
            <w:u w:val="single"/>
          </w:rPr>
          <w:t>https://doi.org/10.11604/pamj-oh.2024.15.20.45323</w:t>
        </w:r>
      </w:hyperlink>
    </w:p>
    <w:p w14:paraId="2FFDBAB1" w14:textId="77777777" w:rsidR="00B53B7A" w:rsidRPr="00B53B7A" w:rsidRDefault="00B53B7A" w:rsidP="00B53B7A">
      <w:pPr>
        <w:spacing w:before="100" w:beforeAutospacing="1" w:after="100" w:afterAutospacing="1"/>
        <w:rPr>
          <w:rFonts w:ascii="Times New Roman" w:hAnsi="Times New Roman"/>
          <w:sz w:val="24"/>
          <w:szCs w:val="24"/>
        </w:rPr>
      </w:pPr>
      <w:proofErr w:type="spellStart"/>
      <w:r w:rsidRPr="00B53B7A">
        <w:rPr>
          <w:rFonts w:ascii="Times New Roman" w:hAnsi="Times New Roman"/>
          <w:sz w:val="24"/>
          <w:szCs w:val="24"/>
        </w:rPr>
        <w:lastRenderedPageBreak/>
        <w:t>Diriba</w:t>
      </w:r>
      <w:proofErr w:type="spellEnd"/>
      <w:r w:rsidRPr="00B53B7A">
        <w:rPr>
          <w:rFonts w:ascii="Times New Roman" w:hAnsi="Times New Roman"/>
          <w:sz w:val="24"/>
          <w:szCs w:val="24"/>
        </w:rPr>
        <w:t xml:space="preserve">, K., &amp; </w:t>
      </w:r>
      <w:proofErr w:type="spellStart"/>
      <w:r w:rsidRPr="00B53B7A">
        <w:rPr>
          <w:rFonts w:ascii="Times New Roman" w:hAnsi="Times New Roman"/>
          <w:sz w:val="24"/>
          <w:szCs w:val="24"/>
        </w:rPr>
        <w:t>Awulachew</w:t>
      </w:r>
      <w:proofErr w:type="spellEnd"/>
      <w:r w:rsidRPr="00B53B7A">
        <w:rPr>
          <w:rFonts w:ascii="Times New Roman" w:hAnsi="Times New Roman"/>
          <w:sz w:val="24"/>
          <w:szCs w:val="24"/>
        </w:rPr>
        <w:t xml:space="preserve">, E. (2022). Associated risk factor of tuberculosis infection among adult patients in Gedeo Zone, southern Ethiopia. </w:t>
      </w:r>
      <w:r w:rsidRPr="00B53B7A">
        <w:rPr>
          <w:rFonts w:ascii="Times New Roman" w:hAnsi="Times New Roman"/>
          <w:i/>
          <w:iCs/>
          <w:sz w:val="24"/>
          <w:szCs w:val="24"/>
        </w:rPr>
        <w:t>SAGE Open Medicine, 10</w:t>
      </w:r>
      <w:r w:rsidRPr="00B53B7A">
        <w:rPr>
          <w:rFonts w:ascii="Times New Roman" w:hAnsi="Times New Roman"/>
          <w:sz w:val="24"/>
          <w:szCs w:val="24"/>
        </w:rPr>
        <w:t xml:space="preserve">, Article 20503121221086725. </w:t>
      </w:r>
      <w:hyperlink r:id="rId21" w:history="1">
        <w:r w:rsidRPr="00B53B7A">
          <w:rPr>
            <w:rFonts w:ascii="Times New Roman" w:hAnsi="Times New Roman"/>
            <w:color w:val="0000FF"/>
            <w:sz w:val="24"/>
            <w:szCs w:val="24"/>
            <w:u w:val="single"/>
          </w:rPr>
          <w:t>https://doi.org/10.1177/20503121221086725</w:t>
        </w:r>
      </w:hyperlink>
    </w:p>
    <w:p w14:paraId="33EFF25E" w14:textId="77777777" w:rsidR="00B53B7A" w:rsidRPr="00B53B7A" w:rsidRDefault="00B53B7A" w:rsidP="00B53B7A">
      <w:pPr>
        <w:spacing w:before="100" w:beforeAutospacing="1" w:after="100" w:afterAutospacing="1"/>
        <w:rPr>
          <w:rFonts w:ascii="Times New Roman" w:hAnsi="Times New Roman"/>
          <w:sz w:val="24"/>
          <w:szCs w:val="24"/>
        </w:rPr>
      </w:pPr>
      <w:r w:rsidRPr="00B53B7A">
        <w:rPr>
          <w:rFonts w:ascii="Times New Roman" w:hAnsi="Times New Roman"/>
          <w:sz w:val="24"/>
          <w:szCs w:val="24"/>
        </w:rPr>
        <w:t xml:space="preserve">Ejeh, F. E., </w:t>
      </w:r>
      <w:proofErr w:type="spellStart"/>
      <w:r w:rsidRPr="00B53B7A">
        <w:rPr>
          <w:rFonts w:ascii="Times New Roman" w:hAnsi="Times New Roman"/>
          <w:sz w:val="24"/>
          <w:szCs w:val="24"/>
        </w:rPr>
        <w:t>Undiandeye</w:t>
      </w:r>
      <w:proofErr w:type="spellEnd"/>
      <w:r w:rsidRPr="00B53B7A">
        <w:rPr>
          <w:rFonts w:ascii="Times New Roman" w:hAnsi="Times New Roman"/>
          <w:sz w:val="24"/>
          <w:szCs w:val="24"/>
        </w:rPr>
        <w:t xml:space="preserve">, A., Okon, K., &amp; Moshood, K. H. (2021). Prevalence of rifampicin resistance tuberculosis among HIV/TB coinfected patients in Benue State, Nigeria. </w:t>
      </w:r>
      <w:r w:rsidRPr="00B53B7A">
        <w:rPr>
          <w:rFonts w:ascii="Times New Roman" w:hAnsi="Times New Roman"/>
          <w:i/>
          <w:iCs/>
          <w:sz w:val="24"/>
          <w:szCs w:val="24"/>
        </w:rPr>
        <w:t>Pan African Medical Journal, 38</w:t>
      </w:r>
      <w:r w:rsidRPr="00B53B7A">
        <w:rPr>
          <w:rFonts w:ascii="Times New Roman" w:hAnsi="Times New Roman"/>
          <w:sz w:val="24"/>
          <w:szCs w:val="24"/>
        </w:rPr>
        <w:t xml:space="preserve">, 203. </w:t>
      </w:r>
      <w:hyperlink r:id="rId22" w:history="1">
        <w:r w:rsidRPr="00B53B7A">
          <w:rPr>
            <w:rFonts w:ascii="Times New Roman" w:hAnsi="Times New Roman"/>
            <w:color w:val="0000FF"/>
            <w:sz w:val="24"/>
            <w:szCs w:val="24"/>
            <w:u w:val="single"/>
          </w:rPr>
          <w:t>https://doi.org/10.11604/pamj.2021.38.203.19034</w:t>
        </w:r>
      </w:hyperlink>
    </w:p>
    <w:p w14:paraId="1731C05D" w14:textId="77777777" w:rsidR="00B53B7A" w:rsidRPr="00B53B7A" w:rsidRDefault="00B53B7A" w:rsidP="00B53B7A">
      <w:pPr>
        <w:spacing w:before="100" w:beforeAutospacing="1" w:after="100" w:afterAutospacing="1"/>
        <w:rPr>
          <w:rFonts w:ascii="Times New Roman" w:hAnsi="Times New Roman"/>
          <w:sz w:val="24"/>
          <w:szCs w:val="24"/>
        </w:rPr>
      </w:pPr>
      <w:r w:rsidRPr="00B53B7A">
        <w:rPr>
          <w:rFonts w:ascii="Times New Roman" w:hAnsi="Times New Roman"/>
          <w:sz w:val="24"/>
          <w:szCs w:val="24"/>
        </w:rPr>
        <w:t xml:space="preserve">Hajar, F. D. S., Siregar, Y. I., Afandi, D., &amp; </w:t>
      </w:r>
      <w:proofErr w:type="spellStart"/>
      <w:r w:rsidRPr="00B53B7A">
        <w:rPr>
          <w:rFonts w:ascii="Times New Roman" w:hAnsi="Times New Roman"/>
          <w:sz w:val="24"/>
          <w:szCs w:val="24"/>
        </w:rPr>
        <w:t>Nofrizal</w:t>
      </w:r>
      <w:proofErr w:type="spellEnd"/>
      <w:r w:rsidRPr="00B53B7A">
        <w:rPr>
          <w:rFonts w:ascii="Times New Roman" w:hAnsi="Times New Roman"/>
          <w:sz w:val="24"/>
          <w:szCs w:val="24"/>
        </w:rPr>
        <w:t xml:space="preserve">, N. (2023). Determinant factors that contribute to the increasing tuberculosis prevalence in Rokan Hilir, Indonesia. </w:t>
      </w:r>
      <w:r w:rsidRPr="00B53B7A">
        <w:rPr>
          <w:rFonts w:ascii="Times New Roman" w:hAnsi="Times New Roman"/>
          <w:i/>
          <w:iCs/>
          <w:sz w:val="24"/>
          <w:szCs w:val="24"/>
        </w:rPr>
        <w:t>Caspian Journal of Environmental Sciences, 21</w:t>
      </w:r>
      <w:r w:rsidRPr="00B53B7A">
        <w:rPr>
          <w:rFonts w:ascii="Times New Roman" w:hAnsi="Times New Roman"/>
          <w:sz w:val="24"/>
          <w:szCs w:val="24"/>
        </w:rPr>
        <w:t xml:space="preserve">(1), 13–34. </w:t>
      </w:r>
      <w:hyperlink r:id="rId23" w:history="1">
        <w:r w:rsidRPr="00B53B7A">
          <w:rPr>
            <w:rFonts w:ascii="Times New Roman" w:hAnsi="Times New Roman"/>
            <w:color w:val="0000FF"/>
            <w:sz w:val="24"/>
            <w:szCs w:val="24"/>
            <w:u w:val="single"/>
          </w:rPr>
          <w:t>https://doi.org/10.22124/cjes.2023.6154</w:t>
        </w:r>
      </w:hyperlink>
    </w:p>
    <w:p w14:paraId="6AAD7CCF" w14:textId="77777777" w:rsidR="00B53B7A" w:rsidRPr="00B53B7A" w:rsidRDefault="00B53B7A" w:rsidP="00B53B7A">
      <w:pPr>
        <w:spacing w:before="100" w:beforeAutospacing="1" w:after="100" w:afterAutospacing="1"/>
        <w:rPr>
          <w:rFonts w:ascii="Times New Roman" w:hAnsi="Times New Roman"/>
          <w:sz w:val="24"/>
          <w:szCs w:val="24"/>
        </w:rPr>
      </w:pPr>
      <w:proofErr w:type="spellStart"/>
      <w:r w:rsidRPr="00B53B7A">
        <w:rPr>
          <w:rFonts w:ascii="Times New Roman" w:hAnsi="Times New Roman"/>
          <w:sz w:val="24"/>
          <w:szCs w:val="24"/>
        </w:rPr>
        <w:t>Haritebieke</w:t>
      </w:r>
      <w:proofErr w:type="spellEnd"/>
      <w:r w:rsidRPr="00B53B7A">
        <w:rPr>
          <w:rFonts w:ascii="Times New Roman" w:hAnsi="Times New Roman"/>
          <w:sz w:val="24"/>
          <w:szCs w:val="24"/>
        </w:rPr>
        <w:t xml:space="preserve">, S., Lu, Y., Wu, D., Liu, G., Zheng, Y., &amp; Zhang, L. (2025). Analysis of epidemiological trends and risk factors in high-risk areas for pulmonary tuberculosis: An observational longitudinal study in Xinjiang, China. </w:t>
      </w:r>
      <w:r w:rsidRPr="00B53B7A">
        <w:rPr>
          <w:rFonts w:ascii="Times New Roman" w:hAnsi="Times New Roman"/>
          <w:i/>
          <w:iCs/>
          <w:sz w:val="24"/>
          <w:szCs w:val="24"/>
        </w:rPr>
        <w:t>BMJ Open, 15</w:t>
      </w:r>
      <w:r w:rsidRPr="00B53B7A">
        <w:rPr>
          <w:rFonts w:ascii="Times New Roman" w:hAnsi="Times New Roman"/>
          <w:sz w:val="24"/>
          <w:szCs w:val="24"/>
        </w:rPr>
        <w:t xml:space="preserve">(2), e087413. </w:t>
      </w:r>
      <w:hyperlink r:id="rId24" w:history="1">
        <w:r w:rsidRPr="00B53B7A">
          <w:rPr>
            <w:rFonts w:ascii="Times New Roman" w:hAnsi="Times New Roman"/>
            <w:color w:val="0000FF"/>
            <w:sz w:val="24"/>
            <w:szCs w:val="24"/>
            <w:u w:val="single"/>
          </w:rPr>
          <w:t>https://doi.org/10.1136/bmjopen-2024-087413</w:t>
        </w:r>
      </w:hyperlink>
    </w:p>
    <w:p w14:paraId="1C9A06EA" w14:textId="77777777" w:rsidR="00B53B7A" w:rsidRPr="00B53B7A" w:rsidRDefault="00B53B7A" w:rsidP="00B53B7A">
      <w:pPr>
        <w:spacing w:before="100" w:beforeAutospacing="1" w:after="100" w:afterAutospacing="1"/>
        <w:rPr>
          <w:rFonts w:ascii="Times New Roman" w:hAnsi="Times New Roman"/>
          <w:sz w:val="24"/>
          <w:szCs w:val="24"/>
        </w:rPr>
      </w:pPr>
      <w:r w:rsidRPr="00B53B7A">
        <w:rPr>
          <w:rFonts w:ascii="Times New Roman" w:hAnsi="Times New Roman"/>
          <w:sz w:val="24"/>
          <w:szCs w:val="24"/>
        </w:rPr>
        <w:t xml:space="preserve">Heshmati, B., Omidi, S., &amp; Mohammadi, Y. (2025). Impact of alcohol consumption, substance use, and smoking on treatment outcomes in tuberculosis: A systematic review and meta-analysis. </w:t>
      </w:r>
      <w:r w:rsidRPr="00B53B7A">
        <w:rPr>
          <w:rFonts w:ascii="Times New Roman" w:hAnsi="Times New Roman"/>
          <w:i/>
          <w:iCs/>
          <w:sz w:val="24"/>
          <w:szCs w:val="24"/>
        </w:rPr>
        <w:t>Systematic Reviews, 14</w:t>
      </w:r>
      <w:r w:rsidRPr="00B53B7A">
        <w:rPr>
          <w:rFonts w:ascii="Times New Roman" w:hAnsi="Times New Roman"/>
          <w:sz w:val="24"/>
          <w:szCs w:val="24"/>
        </w:rPr>
        <w:t xml:space="preserve">, 139. </w:t>
      </w:r>
      <w:hyperlink r:id="rId25" w:history="1">
        <w:r w:rsidRPr="00B53B7A">
          <w:rPr>
            <w:rFonts w:ascii="Times New Roman" w:hAnsi="Times New Roman"/>
            <w:color w:val="0000FF"/>
            <w:sz w:val="24"/>
            <w:szCs w:val="24"/>
            <w:u w:val="single"/>
          </w:rPr>
          <w:t>https://doi.org/10.1186/s13643-025-02888-y</w:t>
        </w:r>
      </w:hyperlink>
    </w:p>
    <w:p w14:paraId="5C080032" w14:textId="77777777" w:rsidR="00B53B7A" w:rsidRPr="00B53B7A" w:rsidRDefault="00B53B7A" w:rsidP="00B53B7A">
      <w:pPr>
        <w:spacing w:before="100" w:beforeAutospacing="1" w:after="100" w:afterAutospacing="1"/>
        <w:rPr>
          <w:rFonts w:ascii="Times New Roman" w:hAnsi="Times New Roman"/>
          <w:sz w:val="24"/>
          <w:szCs w:val="24"/>
        </w:rPr>
      </w:pPr>
      <w:r w:rsidRPr="00B53B7A">
        <w:rPr>
          <w:rFonts w:ascii="Times New Roman" w:hAnsi="Times New Roman"/>
          <w:sz w:val="24"/>
          <w:szCs w:val="24"/>
        </w:rPr>
        <w:t xml:space="preserve">Hosmer, D. W., Jr., </w:t>
      </w:r>
      <w:proofErr w:type="spellStart"/>
      <w:r w:rsidRPr="00B53B7A">
        <w:rPr>
          <w:rFonts w:ascii="Times New Roman" w:hAnsi="Times New Roman"/>
          <w:sz w:val="24"/>
          <w:szCs w:val="24"/>
        </w:rPr>
        <w:t>Lemeshow</w:t>
      </w:r>
      <w:proofErr w:type="spellEnd"/>
      <w:r w:rsidRPr="00B53B7A">
        <w:rPr>
          <w:rFonts w:ascii="Times New Roman" w:hAnsi="Times New Roman"/>
          <w:sz w:val="24"/>
          <w:szCs w:val="24"/>
        </w:rPr>
        <w:t xml:space="preserve">, S., &amp; Sturdivant, R. X. (2013). </w:t>
      </w:r>
      <w:r w:rsidRPr="00B53B7A">
        <w:rPr>
          <w:rFonts w:ascii="Times New Roman" w:hAnsi="Times New Roman"/>
          <w:i/>
          <w:iCs/>
          <w:sz w:val="24"/>
          <w:szCs w:val="24"/>
        </w:rPr>
        <w:t>Applied logistic regression</w:t>
      </w:r>
      <w:r w:rsidRPr="00B53B7A">
        <w:rPr>
          <w:rFonts w:ascii="Times New Roman" w:hAnsi="Times New Roman"/>
          <w:sz w:val="24"/>
          <w:szCs w:val="24"/>
        </w:rPr>
        <w:t xml:space="preserve"> (3rd ed.). Wiley. </w:t>
      </w:r>
      <w:hyperlink r:id="rId26" w:history="1">
        <w:r w:rsidRPr="00B53B7A">
          <w:rPr>
            <w:rFonts w:ascii="Times New Roman" w:hAnsi="Times New Roman"/>
            <w:color w:val="0000FF"/>
            <w:sz w:val="24"/>
            <w:szCs w:val="24"/>
            <w:u w:val="single"/>
          </w:rPr>
          <w:t>https://doi.org/10.1002/9781118548387</w:t>
        </w:r>
      </w:hyperlink>
    </w:p>
    <w:p w14:paraId="39FC590E" w14:textId="77777777" w:rsidR="00B53B7A" w:rsidRPr="00B53B7A" w:rsidRDefault="00B53B7A" w:rsidP="00B53B7A">
      <w:pPr>
        <w:spacing w:before="100" w:beforeAutospacing="1" w:after="100" w:afterAutospacing="1"/>
        <w:rPr>
          <w:rFonts w:ascii="Times New Roman" w:hAnsi="Times New Roman"/>
          <w:sz w:val="24"/>
          <w:szCs w:val="24"/>
        </w:rPr>
      </w:pPr>
      <w:r w:rsidRPr="00B53B7A">
        <w:rPr>
          <w:rFonts w:ascii="Times New Roman" w:hAnsi="Times New Roman"/>
          <w:sz w:val="24"/>
          <w:szCs w:val="24"/>
        </w:rPr>
        <w:t xml:space="preserve">Magee, L. (1990). R² measures based on Wald and likelihood-ratio joint significance tests. </w:t>
      </w:r>
      <w:r w:rsidRPr="00B53B7A">
        <w:rPr>
          <w:rFonts w:ascii="Times New Roman" w:hAnsi="Times New Roman"/>
          <w:i/>
          <w:iCs/>
          <w:sz w:val="24"/>
          <w:szCs w:val="24"/>
        </w:rPr>
        <w:t>The American Statistician, 44</w:t>
      </w:r>
      <w:r w:rsidRPr="00B53B7A">
        <w:rPr>
          <w:rFonts w:ascii="Times New Roman" w:hAnsi="Times New Roman"/>
          <w:sz w:val="24"/>
          <w:szCs w:val="24"/>
        </w:rPr>
        <w:t xml:space="preserve">(3), 250–253. </w:t>
      </w:r>
      <w:hyperlink r:id="rId27" w:history="1">
        <w:r w:rsidRPr="00B53B7A">
          <w:rPr>
            <w:rFonts w:ascii="Times New Roman" w:hAnsi="Times New Roman"/>
            <w:color w:val="0000FF"/>
            <w:sz w:val="24"/>
            <w:szCs w:val="24"/>
            <w:u w:val="single"/>
          </w:rPr>
          <w:t>https://doi.org/10.2307/2685352</w:t>
        </w:r>
      </w:hyperlink>
    </w:p>
    <w:p w14:paraId="20F12E3A" w14:textId="77777777" w:rsidR="00B53B7A" w:rsidRPr="00B53B7A" w:rsidRDefault="00B53B7A" w:rsidP="00B53B7A">
      <w:pPr>
        <w:spacing w:before="100" w:beforeAutospacing="1" w:after="100" w:afterAutospacing="1"/>
        <w:rPr>
          <w:rFonts w:ascii="Times New Roman" w:hAnsi="Times New Roman"/>
          <w:sz w:val="24"/>
          <w:szCs w:val="24"/>
        </w:rPr>
      </w:pPr>
      <w:r w:rsidRPr="00B53B7A">
        <w:rPr>
          <w:rFonts w:ascii="Times New Roman" w:hAnsi="Times New Roman"/>
          <w:sz w:val="24"/>
          <w:szCs w:val="24"/>
        </w:rPr>
        <w:t xml:space="preserve">Mokhtar, J. A., Attallah, D. M., Jiman-Fatani, A. A., Al-Rabia, M. W., Alqarni, M. A., Saleh, B. H., </w:t>
      </w:r>
      <w:proofErr w:type="spellStart"/>
      <w:r w:rsidRPr="00B53B7A">
        <w:rPr>
          <w:rFonts w:ascii="Times New Roman" w:hAnsi="Times New Roman"/>
          <w:sz w:val="24"/>
          <w:szCs w:val="24"/>
        </w:rPr>
        <w:t>Amboon</w:t>
      </w:r>
      <w:proofErr w:type="spellEnd"/>
      <w:r w:rsidRPr="00B53B7A">
        <w:rPr>
          <w:rFonts w:ascii="Times New Roman" w:hAnsi="Times New Roman"/>
          <w:sz w:val="24"/>
          <w:szCs w:val="24"/>
        </w:rPr>
        <w:t xml:space="preserve">, M. M., </w:t>
      </w:r>
      <w:proofErr w:type="spellStart"/>
      <w:r w:rsidRPr="00B53B7A">
        <w:rPr>
          <w:rFonts w:ascii="Times New Roman" w:hAnsi="Times New Roman"/>
          <w:sz w:val="24"/>
          <w:szCs w:val="24"/>
        </w:rPr>
        <w:t>Altorki</w:t>
      </w:r>
      <w:proofErr w:type="spellEnd"/>
      <w:r w:rsidRPr="00B53B7A">
        <w:rPr>
          <w:rFonts w:ascii="Times New Roman" w:hAnsi="Times New Roman"/>
          <w:sz w:val="24"/>
          <w:szCs w:val="24"/>
        </w:rPr>
        <w:t xml:space="preserve">, T. A., </w:t>
      </w:r>
      <w:proofErr w:type="spellStart"/>
      <w:r w:rsidRPr="00B53B7A">
        <w:rPr>
          <w:rFonts w:ascii="Times New Roman" w:hAnsi="Times New Roman"/>
          <w:sz w:val="24"/>
          <w:szCs w:val="24"/>
        </w:rPr>
        <w:t>Alkuwaity</w:t>
      </w:r>
      <w:proofErr w:type="spellEnd"/>
      <w:r w:rsidRPr="00B53B7A">
        <w:rPr>
          <w:rFonts w:ascii="Times New Roman" w:hAnsi="Times New Roman"/>
          <w:sz w:val="24"/>
          <w:szCs w:val="24"/>
        </w:rPr>
        <w:t xml:space="preserve">, K. K., </w:t>
      </w:r>
      <w:proofErr w:type="spellStart"/>
      <w:r w:rsidRPr="00B53B7A">
        <w:rPr>
          <w:rFonts w:ascii="Times New Roman" w:hAnsi="Times New Roman"/>
          <w:sz w:val="24"/>
          <w:szCs w:val="24"/>
        </w:rPr>
        <w:t>Abujamel</w:t>
      </w:r>
      <w:proofErr w:type="spellEnd"/>
      <w:r w:rsidRPr="00B53B7A">
        <w:rPr>
          <w:rFonts w:ascii="Times New Roman" w:hAnsi="Times New Roman"/>
          <w:sz w:val="24"/>
          <w:szCs w:val="24"/>
        </w:rPr>
        <w:t xml:space="preserve">, T., Kaki, R., </w:t>
      </w:r>
      <w:proofErr w:type="spellStart"/>
      <w:r w:rsidRPr="00B53B7A">
        <w:rPr>
          <w:rFonts w:ascii="Times New Roman" w:hAnsi="Times New Roman"/>
          <w:sz w:val="24"/>
          <w:szCs w:val="24"/>
        </w:rPr>
        <w:t>Albarakati</w:t>
      </w:r>
      <w:proofErr w:type="spellEnd"/>
      <w:r w:rsidRPr="00B53B7A">
        <w:rPr>
          <w:rFonts w:ascii="Times New Roman" w:hAnsi="Times New Roman"/>
          <w:sz w:val="24"/>
          <w:szCs w:val="24"/>
        </w:rPr>
        <w:t xml:space="preserve">, T. N., </w:t>
      </w:r>
      <w:proofErr w:type="spellStart"/>
      <w:r w:rsidRPr="00B53B7A">
        <w:rPr>
          <w:rFonts w:ascii="Times New Roman" w:hAnsi="Times New Roman"/>
          <w:sz w:val="24"/>
          <w:szCs w:val="24"/>
        </w:rPr>
        <w:t>Daghistani</w:t>
      </w:r>
      <w:proofErr w:type="spellEnd"/>
      <w:r w:rsidRPr="00B53B7A">
        <w:rPr>
          <w:rFonts w:ascii="Times New Roman" w:hAnsi="Times New Roman"/>
          <w:sz w:val="24"/>
          <w:szCs w:val="24"/>
        </w:rPr>
        <w:t xml:space="preserve">, H., Ismail, M. A., Alharbi, O., Abu, I. T. M., </w:t>
      </w:r>
      <w:proofErr w:type="spellStart"/>
      <w:r w:rsidRPr="00B53B7A">
        <w:rPr>
          <w:rFonts w:ascii="Times New Roman" w:hAnsi="Times New Roman"/>
          <w:sz w:val="24"/>
          <w:szCs w:val="24"/>
        </w:rPr>
        <w:t>Alfadil</w:t>
      </w:r>
      <w:proofErr w:type="spellEnd"/>
      <w:r w:rsidRPr="00B53B7A">
        <w:rPr>
          <w:rFonts w:ascii="Times New Roman" w:hAnsi="Times New Roman"/>
          <w:sz w:val="24"/>
          <w:szCs w:val="24"/>
        </w:rPr>
        <w:t xml:space="preserve">, A., Ibrahem, K., Mufrrih, M., &amp; Sait, A. M. (2025). Dynamic challenges of active tuberculosis: Prevalence and risk factors of co-infection in clinical and microbiological characteristics at King Abdulaziz University Hospital, Jeddah, Saudi Arabia. </w:t>
      </w:r>
      <w:r w:rsidRPr="00B53B7A">
        <w:rPr>
          <w:rFonts w:ascii="Times New Roman" w:hAnsi="Times New Roman"/>
          <w:i/>
          <w:iCs/>
          <w:sz w:val="24"/>
          <w:szCs w:val="24"/>
        </w:rPr>
        <w:t>International Journal of General Medicine, 18</w:t>
      </w:r>
      <w:r w:rsidRPr="00B53B7A">
        <w:rPr>
          <w:rFonts w:ascii="Times New Roman" w:hAnsi="Times New Roman"/>
          <w:sz w:val="24"/>
          <w:szCs w:val="24"/>
        </w:rPr>
        <w:t xml:space="preserve">, 627–641. </w:t>
      </w:r>
      <w:hyperlink r:id="rId28" w:history="1">
        <w:r w:rsidRPr="00B53B7A">
          <w:rPr>
            <w:rFonts w:ascii="Times New Roman" w:hAnsi="Times New Roman"/>
            <w:color w:val="0000FF"/>
            <w:sz w:val="24"/>
            <w:szCs w:val="24"/>
            <w:u w:val="single"/>
          </w:rPr>
          <w:t>https://doi.org/10.2147/IJGM.S494516</w:t>
        </w:r>
      </w:hyperlink>
    </w:p>
    <w:p w14:paraId="5F872D20" w14:textId="77777777" w:rsidR="00B53B7A" w:rsidRPr="00B53B7A" w:rsidRDefault="00B53B7A" w:rsidP="00B53B7A">
      <w:pPr>
        <w:spacing w:before="100" w:beforeAutospacing="1" w:after="100" w:afterAutospacing="1"/>
        <w:rPr>
          <w:rFonts w:ascii="Times New Roman" w:hAnsi="Times New Roman"/>
          <w:sz w:val="24"/>
          <w:szCs w:val="24"/>
        </w:rPr>
      </w:pPr>
      <w:proofErr w:type="spellStart"/>
      <w:r w:rsidRPr="00B53B7A">
        <w:rPr>
          <w:rFonts w:ascii="Times New Roman" w:hAnsi="Times New Roman"/>
          <w:sz w:val="24"/>
          <w:szCs w:val="24"/>
        </w:rPr>
        <w:t>Muttamba</w:t>
      </w:r>
      <w:proofErr w:type="spellEnd"/>
      <w:r w:rsidRPr="00B53B7A">
        <w:rPr>
          <w:rFonts w:ascii="Times New Roman" w:hAnsi="Times New Roman"/>
          <w:sz w:val="24"/>
          <w:szCs w:val="24"/>
        </w:rPr>
        <w:t xml:space="preserve">, W., </w:t>
      </w:r>
      <w:proofErr w:type="spellStart"/>
      <w:r w:rsidRPr="00B53B7A">
        <w:rPr>
          <w:rFonts w:ascii="Times New Roman" w:hAnsi="Times New Roman"/>
          <w:sz w:val="24"/>
          <w:szCs w:val="24"/>
        </w:rPr>
        <w:t>Kirenga</w:t>
      </w:r>
      <w:proofErr w:type="spellEnd"/>
      <w:r w:rsidRPr="00B53B7A">
        <w:rPr>
          <w:rFonts w:ascii="Times New Roman" w:hAnsi="Times New Roman"/>
          <w:sz w:val="24"/>
          <w:szCs w:val="24"/>
        </w:rPr>
        <w:t xml:space="preserve">, B., </w:t>
      </w:r>
      <w:proofErr w:type="spellStart"/>
      <w:r w:rsidRPr="00B53B7A">
        <w:rPr>
          <w:rFonts w:ascii="Times New Roman" w:hAnsi="Times New Roman"/>
          <w:sz w:val="24"/>
          <w:szCs w:val="24"/>
        </w:rPr>
        <w:t>Ssengooba</w:t>
      </w:r>
      <w:proofErr w:type="spellEnd"/>
      <w:r w:rsidRPr="00B53B7A">
        <w:rPr>
          <w:rFonts w:ascii="Times New Roman" w:hAnsi="Times New Roman"/>
          <w:sz w:val="24"/>
          <w:szCs w:val="24"/>
        </w:rPr>
        <w:t xml:space="preserve">, W., </w:t>
      </w:r>
      <w:proofErr w:type="spellStart"/>
      <w:r w:rsidRPr="00B53B7A">
        <w:rPr>
          <w:rFonts w:ascii="Times New Roman" w:hAnsi="Times New Roman"/>
          <w:sz w:val="24"/>
          <w:szCs w:val="24"/>
        </w:rPr>
        <w:t>Sekibira</w:t>
      </w:r>
      <w:proofErr w:type="spellEnd"/>
      <w:r w:rsidRPr="00B53B7A">
        <w:rPr>
          <w:rFonts w:ascii="Times New Roman" w:hAnsi="Times New Roman"/>
          <w:sz w:val="24"/>
          <w:szCs w:val="24"/>
        </w:rPr>
        <w:t xml:space="preserve">, R., Katamba, A., &amp; </w:t>
      </w:r>
      <w:proofErr w:type="spellStart"/>
      <w:r w:rsidRPr="00B53B7A">
        <w:rPr>
          <w:rFonts w:ascii="Times New Roman" w:hAnsi="Times New Roman"/>
          <w:sz w:val="24"/>
          <w:szCs w:val="24"/>
        </w:rPr>
        <w:t>Joloba</w:t>
      </w:r>
      <w:proofErr w:type="spellEnd"/>
      <w:r w:rsidRPr="00B53B7A">
        <w:rPr>
          <w:rFonts w:ascii="Times New Roman" w:hAnsi="Times New Roman"/>
          <w:sz w:val="24"/>
          <w:szCs w:val="24"/>
        </w:rPr>
        <w:t xml:space="preserve">, M. L. (2019). Prevalence of tuberculosis risk factors among bacteriologically negative and bacteriologically confirmed tuberculosis patients from five regional referral hospitals in Uganda. </w:t>
      </w:r>
      <w:r w:rsidRPr="00B53B7A">
        <w:rPr>
          <w:rFonts w:ascii="Times New Roman" w:hAnsi="Times New Roman"/>
          <w:i/>
          <w:iCs/>
          <w:sz w:val="24"/>
          <w:szCs w:val="24"/>
        </w:rPr>
        <w:t>The American Journal of Tropical Medicine and Hygiene, 100</w:t>
      </w:r>
      <w:r w:rsidRPr="00B53B7A">
        <w:rPr>
          <w:rFonts w:ascii="Times New Roman" w:hAnsi="Times New Roman"/>
          <w:sz w:val="24"/>
          <w:szCs w:val="24"/>
        </w:rPr>
        <w:t xml:space="preserve">(2), 386–391. </w:t>
      </w:r>
      <w:hyperlink r:id="rId29" w:history="1">
        <w:r w:rsidRPr="00B53B7A">
          <w:rPr>
            <w:rFonts w:ascii="Times New Roman" w:hAnsi="Times New Roman"/>
            <w:color w:val="0000FF"/>
            <w:sz w:val="24"/>
            <w:szCs w:val="24"/>
            <w:u w:val="single"/>
          </w:rPr>
          <w:t>https://doi.org/10.4269/ajtmh.18-0281</w:t>
        </w:r>
      </w:hyperlink>
    </w:p>
    <w:p w14:paraId="5FDB1E75" w14:textId="77777777" w:rsidR="00B53B7A" w:rsidRPr="00B53B7A" w:rsidRDefault="00B53B7A" w:rsidP="00B53B7A">
      <w:pPr>
        <w:spacing w:before="100" w:beforeAutospacing="1" w:after="100" w:afterAutospacing="1"/>
        <w:rPr>
          <w:rFonts w:ascii="Times New Roman" w:hAnsi="Times New Roman"/>
          <w:sz w:val="24"/>
          <w:szCs w:val="24"/>
        </w:rPr>
      </w:pPr>
      <w:r w:rsidRPr="00B53B7A">
        <w:rPr>
          <w:rFonts w:ascii="Times New Roman" w:hAnsi="Times New Roman"/>
          <w:sz w:val="24"/>
          <w:szCs w:val="24"/>
        </w:rPr>
        <w:lastRenderedPageBreak/>
        <w:t xml:space="preserve">Nagelkerke, N. J. D. (1991). A note on a general definition of the coefficient of determination. </w:t>
      </w:r>
      <w:proofErr w:type="spellStart"/>
      <w:r w:rsidRPr="00B53B7A">
        <w:rPr>
          <w:rFonts w:ascii="Times New Roman" w:hAnsi="Times New Roman"/>
          <w:i/>
          <w:iCs/>
          <w:sz w:val="24"/>
          <w:szCs w:val="24"/>
        </w:rPr>
        <w:t>Biometrika</w:t>
      </w:r>
      <w:proofErr w:type="spellEnd"/>
      <w:r w:rsidRPr="00B53B7A">
        <w:rPr>
          <w:rFonts w:ascii="Times New Roman" w:hAnsi="Times New Roman"/>
          <w:i/>
          <w:iCs/>
          <w:sz w:val="24"/>
          <w:szCs w:val="24"/>
        </w:rPr>
        <w:t>, 78</w:t>
      </w:r>
      <w:r w:rsidRPr="00B53B7A">
        <w:rPr>
          <w:rFonts w:ascii="Times New Roman" w:hAnsi="Times New Roman"/>
          <w:sz w:val="24"/>
          <w:szCs w:val="24"/>
        </w:rPr>
        <w:t xml:space="preserve">(3), 691–692. </w:t>
      </w:r>
      <w:hyperlink r:id="rId30" w:history="1">
        <w:r w:rsidRPr="00B53B7A">
          <w:rPr>
            <w:rFonts w:ascii="Times New Roman" w:hAnsi="Times New Roman"/>
            <w:color w:val="0000FF"/>
            <w:sz w:val="24"/>
            <w:szCs w:val="24"/>
            <w:u w:val="single"/>
          </w:rPr>
          <w:t>https://doi.org/10.1093/biomet/78.3.691</w:t>
        </w:r>
      </w:hyperlink>
    </w:p>
    <w:p w14:paraId="742C55AD" w14:textId="77777777" w:rsidR="00B53B7A" w:rsidRPr="00B53B7A" w:rsidRDefault="00B53B7A" w:rsidP="00B53B7A">
      <w:pPr>
        <w:spacing w:before="100" w:beforeAutospacing="1" w:after="100" w:afterAutospacing="1"/>
        <w:rPr>
          <w:rFonts w:ascii="Times New Roman" w:hAnsi="Times New Roman"/>
          <w:sz w:val="24"/>
          <w:szCs w:val="24"/>
        </w:rPr>
      </w:pPr>
      <w:proofErr w:type="spellStart"/>
      <w:r w:rsidRPr="00B53B7A">
        <w:rPr>
          <w:rFonts w:ascii="Times New Roman" w:hAnsi="Times New Roman"/>
          <w:sz w:val="24"/>
          <w:szCs w:val="24"/>
        </w:rPr>
        <w:t>Nwalozie</w:t>
      </w:r>
      <w:proofErr w:type="spellEnd"/>
      <w:r w:rsidRPr="00B53B7A">
        <w:rPr>
          <w:rFonts w:ascii="Times New Roman" w:hAnsi="Times New Roman"/>
          <w:sz w:val="24"/>
          <w:szCs w:val="24"/>
        </w:rPr>
        <w:t xml:space="preserve">, R., </w:t>
      </w:r>
      <w:proofErr w:type="spellStart"/>
      <w:r w:rsidRPr="00B53B7A">
        <w:rPr>
          <w:rFonts w:ascii="Times New Roman" w:hAnsi="Times New Roman"/>
          <w:sz w:val="24"/>
          <w:szCs w:val="24"/>
        </w:rPr>
        <w:t>Nnokam</w:t>
      </w:r>
      <w:proofErr w:type="spellEnd"/>
      <w:r w:rsidRPr="00B53B7A">
        <w:rPr>
          <w:rFonts w:ascii="Times New Roman" w:hAnsi="Times New Roman"/>
          <w:sz w:val="24"/>
          <w:szCs w:val="24"/>
        </w:rPr>
        <w:t xml:space="preserve">, B. A., Kareem, J. A., &amp; Obi-Thomas, J. N. (2024). Assessing tuberculosis and risk factors: Population study in Rivers State, Nigeria’s Niger Delta region, Nigeria. </w:t>
      </w:r>
      <w:r w:rsidRPr="00B53B7A">
        <w:rPr>
          <w:rFonts w:ascii="Times New Roman" w:hAnsi="Times New Roman"/>
          <w:i/>
          <w:iCs/>
          <w:sz w:val="24"/>
          <w:szCs w:val="24"/>
        </w:rPr>
        <w:t>Journal of Advances in Microbiology, 24</w:t>
      </w:r>
      <w:r w:rsidRPr="00B53B7A">
        <w:rPr>
          <w:rFonts w:ascii="Times New Roman" w:hAnsi="Times New Roman"/>
          <w:sz w:val="24"/>
          <w:szCs w:val="24"/>
        </w:rPr>
        <w:t xml:space="preserve">(3), 79–88. </w:t>
      </w:r>
      <w:hyperlink r:id="rId31" w:history="1">
        <w:r w:rsidRPr="00B53B7A">
          <w:rPr>
            <w:rFonts w:ascii="Times New Roman" w:hAnsi="Times New Roman"/>
            <w:color w:val="0000FF"/>
            <w:sz w:val="24"/>
            <w:szCs w:val="24"/>
            <w:u w:val="single"/>
          </w:rPr>
          <w:t>https://doi.org/10.9734/jamb/2024/v24i3810</w:t>
        </w:r>
      </w:hyperlink>
    </w:p>
    <w:p w14:paraId="63DFD29E" w14:textId="77777777" w:rsidR="00B53B7A" w:rsidRPr="00B53B7A" w:rsidRDefault="00B53B7A" w:rsidP="00B53B7A">
      <w:pPr>
        <w:spacing w:before="100" w:beforeAutospacing="1" w:after="100" w:afterAutospacing="1"/>
        <w:rPr>
          <w:rFonts w:ascii="Times New Roman" w:hAnsi="Times New Roman"/>
          <w:sz w:val="24"/>
          <w:szCs w:val="24"/>
        </w:rPr>
      </w:pPr>
      <w:r w:rsidRPr="00B53B7A">
        <w:rPr>
          <w:rFonts w:ascii="Times New Roman" w:hAnsi="Times New Roman"/>
          <w:sz w:val="24"/>
          <w:szCs w:val="24"/>
        </w:rPr>
        <w:t xml:space="preserve">Odagboyi, G., </w:t>
      </w:r>
      <w:proofErr w:type="spellStart"/>
      <w:r w:rsidRPr="00B53B7A">
        <w:rPr>
          <w:rFonts w:ascii="Times New Roman" w:hAnsi="Times New Roman"/>
          <w:sz w:val="24"/>
          <w:szCs w:val="24"/>
        </w:rPr>
        <w:t>Gberikon</w:t>
      </w:r>
      <w:proofErr w:type="spellEnd"/>
      <w:r w:rsidRPr="00B53B7A">
        <w:rPr>
          <w:rFonts w:ascii="Times New Roman" w:hAnsi="Times New Roman"/>
          <w:sz w:val="24"/>
          <w:szCs w:val="24"/>
        </w:rPr>
        <w:t xml:space="preserve">, G. M., Yaji, M. E., &amp; </w:t>
      </w:r>
      <w:proofErr w:type="spellStart"/>
      <w:r w:rsidRPr="00B53B7A">
        <w:rPr>
          <w:rFonts w:ascii="Times New Roman" w:hAnsi="Times New Roman"/>
          <w:sz w:val="24"/>
          <w:szCs w:val="24"/>
        </w:rPr>
        <w:t>Iwodi</w:t>
      </w:r>
      <w:proofErr w:type="spellEnd"/>
      <w:r w:rsidRPr="00B53B7A">
        <w:rPr>
          <w:rFonts w:ascii="Times New Roman" w:hAnsi="Times New Roman"/>
          <w:sz w:val="24"/>
          <w:szCs w:val="24"/>
        </w:rPr>
        <w:t xml:space="preserve">, C. (2024). Occurrence and distribution of </w:t>
      </w:r>
      <w:r w:rsidRPr="00B53B7A">
        <w:rPr>
          <w:rFonts w:ascii="Times New Roman" w:hAnsi="Times New Roman"/>
          <w:i/>
          <w:iCs/>
          <w:sz w:val="24"/>
          <w:szCs w:val="24"/>
        </w:rPr>
        <w:t>Aspergillus</w:t>
      </w:r>
      <w:r w:rsidRPr="00B53B7A">
        <w:rPr>
          <w:rFonts w:ascii="Times New Roman" w:hAnsi="Times New Roman"/>
          <w:sz w:val="24"/>
          <w:szCs w:val="24"/>
        </w:rPr>
        <w:t xml:space="preserve"> species among presumptive tuberculosis patient in Otukpo Local Government Area of Benue State, Nigeria. </w:t>
      </w:r>
      <w:r w:rsidRPr="00B53B7A">
        <w:rPr>
          <w:rFonts w:ascii="Times New Roman" w:hAnsi="Times New Roman"/>
          <w:i/>
          <w:iCs/>
          <w:sz w:val="24"/>
          <w:szCs w:val="24"/>
        </w:rPr>
        <w:t>UMYU Journal of Microbiology Research, 9</w:t>
      </w:r>
      <w:r w:rsidRPr="00B53B7A">
        <w:rPr>
          <w:rFonts w:ascii="Times New Roman" w:hAnsi="Times New Roman"/>
          <w:sz w:val="24"/>
          <w:szCs w:val="24"/>
        </w:rPr>
        <w:t xml:space="preserve">(2), 48–54. </w:t>
      </w:r>
      <w:hyperlink r:id="rId32" w:history="1">
        <w:r w:rsidRPr="00B53B7A">
          <w:rPr>
            <w:rFonts w:ascii="Times New Roman" w:hAnsi="Times New Roman"/>
            <w:color w:val="0000FF"/>
            <w:sz w:val="24"/>
            <w:szCs w:val="24"/>
            <w:u w:val="single"/>
          </w:rPr>
          <w:t>https://doi.org/10.47430/ujmr.2492.005</w:t>
        </w:r>
      </w:hyperlink>
    </w:p>
    <w:p w14:paraId="1C9FF282" w14:textId="77777777" w:rsidR="00B53B7A" w:rsidRPr="00B53B7A" w:rsidRDefault="00B53B7A" w:rsidP="00B53B7A">
      <w:pPr>
        <w:spacing w:before="100" w:beforeAutospacing="1" w:after="100" w:afterAutospacing="1"/>
        <w:rPr>
          <w:rFonts w:ascii="Times New Roman" w:hAnsi="Times New Roman"/>
          <w:sz w:val="24"/>
          <w:szCs w:val="24"/>
        </w:rPr>
      </w:pPr>
      <w:r w:rsidRPr="00B53B7A">
        <w:rPr>
          <w:rFonts w:ascii="Times New Roman" w:hAnsi="Times New Roman"/>
          <w:sz w:val="24"/>
          <w:szCs w:val="24"/>
        </w:rPr>
        <w:t xml:space="preserve">Ogbeyi, O. G., Luret, L., </w:t>
      </w:r>
      <w:proofErr w:type="spellStart"/>
      <w:r w:rsidRPr="00B53B7A">
        <w:rPr>
          <w:rFonts w:ascii="Times New Roman" w:hAnsi="Times New Roman"/>
          <w:sz w:val="24"/>
          <w:szCs w:val="24"/>
        </w:rPr>
        <w:t>Ogiri</w:t>
      </w:r>
      <w:proofErr w:type="spellEnd"/>
      <w:r w:rsidRPr="00B53B7A">
        <w:rPr>
          <w:rFonts w:ascii="Times New Roman" w:hAnsi="Times New Roman"/>
          <w:sz w:val="24"/>
          <w:szCs w:val="24"/>
        </w:rPr>
        <w:t xml:space="preserve">, S., </w:t>
      </w:r>
      <w:proofErr w:type="spellStart"/>
      <w:r w:rsidRPr="00B53B7A">
        <w:rPr>
          <w:rFonts w:ascii="Times New Roman" w:hAnsi="Times New Roman"/>
          <w:sz w:val="24"/>
          <w:szCs w:val="24"/>
        </w:rPr>
        <w:t>Aforlaranrami</w:t>
      </w:r>
      <w:proofErr w:type="spellEnd"/>
      <w:r w:rsidRPr="00B53B7A">
        <w:rPr>
          <w:rFonts w:ascii="Times New Roman" w:hAnsi="Times New Roman"/>
          <w:sz w:val="24"/>
          <w:szCs w:val="24"/>
        </w:rPr>
        <w:t xml:space="preserve">, T., &amp; </w:t>
      </w:r>
      <w:proofErr w:type="spellStart"/>
      <w:r w:rsidRPr="00B53B7A">
        <w:rPr>
          <w:rFonts w:ascii="Times New Roman" w:hAnsi="Times New Roman"/>
          <w:sz w:val="24"/>
          <w:szCs w:val="24"/>
        </w:rPr>
        <w:t>Igbabul</w:t>
      </w:r>
      <w:proofErr w:type="spellEnd"/>
      <w:r w:rsidRPr="00B53B7A">
        <w:rPr>
          <w:rFonts w:ascii="Times New Roman" w:hAnsi="Times New Roman"/>
          <w:sz w:val="24"/>
          <w:szCs w:val="24"/>
        </w:rPr>
        <w:t xml:space="preserve">, S. A. (2020). Assessment of treatment outcomes of tuberculosis patients in a rural comprehensive health care </w:t>
      </w:r>
      <w:proofErr w:type="spellStart"/>
      <w:r w:rsidRPr="00B53B7A">
        <w:rPr>
          <w:rFonts w:ascii="Times New Roman" w:hAnsi="Times New Roman"/>
          <w:sz w:val="24"/>
          <w:szCs w:val="24"/>
        </w:rPr>
        <w:t>centre</w:t>
      </w:r>
      <w:proofErr w:type="spellEnd"/>
      <w:r w:rsidRPr="00B53B7A">
        <w:rPr>
          <w:rFonts w:ascii="Times New Roman" w:hAnsi="Times New Roman"/>
          <w:sz w:val="24"/>
          <w:szCs w:val="24"/>
        </w:rPr>
        <w:t xml:space="preserve">, Benue State, north-central Nigeria. </w:t>
      </w:r>
      <w:r w:rsidRPr="00B53B7A">
        <w:rPr>
          <w:rFonts w:ascii="Times New Roman" w:hAnsi="Times New Roman"/>
          <w:i/>
          <w:iCs/>
          <w:sz w:val="24"/>
          <w:szCs w:val="24"/>
        </w:rPr>
        <w:t>Journal of Biomedical Research and Clinical Practice, 3</w:t>
      </w:r>
      <w:r w:rsidRPr="00B53B7A">
        <w:rPr>
          <w:rFonts w:ascii="Times New Roman" w:hAnsi="Times New Roman"/>
          <w:sz w:val="24"/>
          <w:szCs w:val="24"/>
        </w:rPr>
        <w:t xml:space="preserve">(1), 241–249. </w:t>
      </w:r>
      <w:hyperlink r:id="rId33" w:history="1">
        <w:r w:rsidRPr="00B53B7A">
          <w:rPr>
            <w:rFonts w:ascii="Times New Roman" w:hAnsi="Times New Roman"/>
            <w:color w:val="0000FF"/>
            <w:sz w:val="24"/>
            <w:szCs w:val="24"/>
            <w:u w:val="single"/>
          </w:rPr>
          <w:t>https://doi.org/10.46912/jbrcp.v3i12020.144</w:t>
        </w:r>
      </w:hyperlink>
    </w:p>
    <w:p w14:paraId="3F272969" w14:textId="77777777" w:rsidR="00B53B7A" w:rsidRPr="00B53B7A" w:rsidRDefault="00B53B7A" w:rsidP="00B53B7A">
      <w:pPr>
        <w:spacing w:before="100" w:beforeAutospacing="1" w:after="100" w:afterAutospacing="1"/>
        <w:rPr>
          <w:rFonts w:ascii="Times New Roman" w:hAnsi="Times New Roman"/>
          <w:sz w:val="24"/>
          <w:szCs w:val="24"/>
        </w:rPr>
      </w:pPr>
      <w:proofErr w:type="spellStart"/>
      <w:r w:rsidRPr="00B53B7A">
        <w:rPr>
          <w:rFonts w:ascii="Times New Roman" w:hAnsi="Times New Roman"/>
          <w:sz w:val="24"/>
          <w:szCs w:val="24"/>
        </w:rPr>
        <w:t>Ogbo</w:t>
      </w:r>
      <w:proofErr w:type="spellEnd"/>
      <w:r w:rsidRPr="00B53B7A">
        <w:rPr>
          <w:rFonts w:ascii="Times New Roman" w:hAnsi="Times New Roman"/>
          <w:sz w:val="24"/>
          <w:szCs w:val="24"/>
        </w:rPr>
        <w:t xml:space="preserve">, F. A., </w:t>
      </w:r>
      <w:proofErr w:type="spellStart"/>
      <w:r w:rsidRPr="00B53B7A">
        <w:rPr>
          <w:rFonts w:ascii="Times New Roman" w:hAnsi="Times New Roman"/>
          <w:sz w:val="24"/>
          <w:szCs w:val="24"/>
        </w:rPr>
        <w:t>Ogeleka</w:t>
      </w:r>
      <w:proofErr w:type="spellEnd"/>
      <w:r w:rsidRPr="00B53B7A">
        <w:rPr>
          <w:rFonts w:ascii="Times New Roman" w:hAnsi="Times New Roman"/>
          <w:sz w:val="24"/>
          <w:szCs w:val="24"/>
        </w:rPr>
        <w:t xml:space="preserve">, P., Okoro, A., Olusanya, B. O., Olusanya, J., </w:t>
      </w:r>
      <w:proofErr w:type="spellStart"/>
      <w:r w:rsidRPr="00B53B7A">
        <w:rPr>
          <w:rFonts w:ascii="Times New Roman" w:hAnsi="Times New Roman"/>
          <w:sz w:val="24"/>
          <w:szCs w:val="24"/>
        </w:rPr>
        <w:t>Ifegwu</w:t>
      </w:r>
      <w:proofErr w:type="spellEnd"/>
      <w:r w:rsidRPr="00B53B7A">
        <w:rPr>
          <w:rFonts w:ascii="Times New Roman" w:hAnsi="Times New Roman"/>
          <w:sz w:val="24"/>
          <w:szCs w:val="24"/>
        </w:rPr>
        <w:t xml:space="preserve">, I. K., </w:t>
      </w:r>
      <w:proofErr w:type="spellStart"/>
      <w:r w:rsidRPr="00B53B7A">
        <w:rPr>
          <w:rFonts w:ascii="Times New Roman" w:hAnsi="Times New Roman"/>
          <w:sz w:val="24"/>
          <w:szCs w:val="24"/>
        </w:rPr>
        <w:t>Awosemo</w:t>
      </w:r>
      <w:proofErr w:type="spellEnd"/>
      <w:r w:rsidRPr="00B53B7A">
        <w:rPr>
          <w:rFonts w:ascii="Times New Roman" w:hAnsi="Times New Roman"/>
          <w:sz w:val="24"/>
          <w:szCs w:val="24"/>
        </w:rPr>
        <w:t xml:space="preserve">, A. O., Eastwood, J., &amp; Page, A. (2018). Tuberculosis disease burden and attributable risk factors in Nigeria, 1990–2016. </w:t>
      </w:r>
      <w:r w:rsidRPr="00B53B7A">
        <w:rPr>
          <w:rFonts w:ascii="Times New Roman" w:hAnsi="Times New Roman"/>
          <w:i/>
          <w:iCs/>
          <w:sz w:val="24"/>
          <w:szCs w:val="24"/>
        </w:rPr>
        <w:t>Tropical Medicine and Health, 46</w:t>
      </w:r>
      <w:r w:rsidRPr="00B53B7A">
        <w:rPr>
          <w:rFonts w:ascii="Times New Roman" w:hAnsi="Times New Roman"/>
          <w:sz w:val="24"/>
          <w:szCs w:val="24"/>
        </w:rPr>
        <w:t xml:space="preserve">, 34. </w:t>
      </w:r>
      <w:hyperlink r:id="rId34" w:history="1">
        <w:r w:rsidRPr="00B53B7A">
          <w:rPr>
            <w:rFonts w:ascii="Times New Roman" w:hAnsi="Times New Roman"/>
            <w:color w:val="0000FF"/>
            <w:sz w:val="24"/>
            <w:szCs w:val="24"/>
            <w:u w:val="single"/>
          </w:rPr>
          <w:t>https://doi.org/10.1186/s41182-018-0114-9</w:t>
        </w:r>
      </w:hyperlink>
    </w:p>
    <w:p w14:paraId="5C6C8639" w14:textId="77777777" w:rsidR="00B53B7A" w:rsidRPr="00B53B7A" w:rsidRDefault="00B53B7A" w:rsidP="00B53B7A">
      <w:pPr>
        <w:spacing w:before="100" w:beforeAutospacing="1" w:after="100" w:afterAutospacing="1"/>
        <w:rPr>
          <w:rFonts w:ascii="Times New Roman" w:hAnsi="Times New Roman"/>
          <w:sz w:val="24"/>
          <w:szCs w:val="24"/>
        </w:rPr>
      </w:pPr>
      <w:r w:rsidRPr="00B53B7A">
        <w:rPr>
          <w:rFonts w:ascii="Times New Roman" w:hAnsi="Times New Roman"/>
          <w:sz w:val="24"/>
          <w:szCs w:val="24"/>
        </w:rPr>
        <w:t xml:space="preserve">Olatunji, O. A., Egbe, N. E., </w:t>
      </w:r>
      <w:proofErr w:type="spellStart"/>
      <w:r w:rsidRPr="00B53B7A">
        <w:rPr>
          <w:rFonts w:ascii="Times New Roman" w:hAnsi="Times New Roman"/>
          <w:sz w:val="24"/>
          <w:szCs w:val="24"/>
        </w:rPr>
        <w:t>Vanstawa</w:t>
      </w:r>
      <w:proofErr w:type="spellEnd"/>
      <w:r w:rsidRPr="00B53B7A">
        <w:rPr>
          <w:rFonts w:ascii="Times New Roman" w:hAnsi="Times New Roman"/>
          <w:sz w:val="24"/>
          <w:szCs w:val="24"/>
        </w:rPr>
        <w:t xml:space="preserve">, P. A., Alhaji, B., Idama, D., </w:t>
      </w:r>
      <w:proofErr w:type="spellStart"/>
      <w:r w:rsidRPr="00B53B7A">
        <w:rPr>
          <w:rFonts w:ascii="Times New Roman" w:hAnsi="Times New Roman"/>
          <w:sz w:val="24"/>
          <w:szCs w:val="24"/>
        </w:rPr>
        <w:t>Famiyesin</w:t>
      </w:r>
      <w:proofErr w:type="spellEnd"/>
      <w:r w:rsidRPr="00B53B7A">
        <w:rPr>
          <w:rFonts w:ascii="Times New Roman" w:hAnsi="Times New Roman"/>
          <w:sz w:val="24"/>
          <w:szCs w:val="24"/>
        </w:rPr>
        <w:t xml:space="preserve">, T., </w:t>
      </w:r>
      <w:proofErr w:type="spellStart"/>
      <w:r w:rsidRPr="00B53B7A">
        <w:rPr>
          <w:rFonts w:ascii="Times New Roman" w:hAnsi="Times New Roman"/>
          <w:sz w:val="24"/>
          <w:szCs w:val="24"/>
        </w:rPr>
        <w:t>Awanye</w:t>
      </w:r>
      <w:proofErr w:type="spellEnd"/>
      <w:r w:rsidRPr="00B53B7A">
        <w:rPr>
          <w:rFonts w:ascii="Times New Roman" w:hAnsi="Times New Roman"/>
          <w:sz w:val="24"/>
          <w:szCs w:val="24"/>
        </w:rPr>
        <w:t xml:space="preserve">, A. M., &amp; Onuh, K. C. (2023). Prevalence of tuberculosis, rifampicin-resistant tuberculosis, and associated risk factors in presumptive tuberculosis patients attending some hospitals in Kaduna, Nigeria. </w:t>
      </w:r>
      <w:r w:rsidRPr="00B53B7A">
        <w:rPr>
          <w:rFonts w:ascii="Times New Roman" w:hAnsi="Times New Roman"/>
          <w:i/>
          <w:iCs/>
          <w:sz w:val="24"/>
          <w:szCs w:val="24"/>
        </w:rPr>
        <w:t>The Nigerian Health Journal, 23</w:t>
      </w:r>
      <w:r w:rsidRPr="00B53B7A">
        <w:rPr>
          <w:rFonts w:ascii="Times New Roman" w:hAnsi="Times New Roman"/>
          <w:sz w:val="24"/>
          <w:szCs w:val="24"/>
        </w:rPr>
        <w:t xml:space="preserve">(2), 641–653. </w:t>
      </w:r>
      <w:hyperlink r:id="rId35" w:history="1">
        <w:r w:rsidRPr="00B53B7A">
          <w:rPr>
            <w:rFonts w:ascii="Times New Roman" w:hAnsi="Times New Roman"/>
            <w:color w:val="0000FF"/>
            <w:sz w:val="24"/>
            <w:szCs w:val="24"/>
            <w:u w:val="single"/>
          </w:rPr>
          <w:t>https://doi.org/10.60787/tnhj.v23i2.663</w:t>
        </w:r>
      </w:hyperlink>
    </w:p>
    <w:p w14:paraId="4A6613D2" w14:textId="77777777" w:rsidR="00B53B7A" w:rsidRPr="00B53B7A" w:rsidRDefault="00B53B7A" w:rsidP="00B53B7A">
      <w:pPr>
        <w:spacing w:before="100" w:beforeAutospacing="1" w:after="100" w:afterAutospacing="1"/>
        <w:rPr>
          <w:rFonts w:ascii="Times New Roman" w:hAnsi="Times New Roman"/>
          <w:sz w:val="24"/>
          <w:szCs w:val="24"/>
        </w:rPr>
      </w:pPr>
      <w:r w:rsidRPr="00B53B7A">
        <w:rPr>
          <w:rFonts w:ascii="Times New Roman" w:hAnsi="Times New Roman"/>
          <w:sz w:val="24"/>
          <w:szCs w:val="24"/>
        </w:rPr>
        <w:t xml:space="preserve">Okechukwu, A. A., Okechukwu, O. A., </w:t>
      </w:r>
      <w:proofErr w:type="spellStart"/>
      <w:r w:rsidRPr="00B53B7A">
        <w:rPr>
          <w:rFonts w:ascii="Times New Roman" w:hAnsi="Times New Roman"/>
          <w:sz w:val="24"/>
          <w:szCs w:val="24"/>
        </w:rPr>
        <w:t>Chiaha</w:t>
      </w:r>
      <w:proofErr w:type="spellEnd"/>
      <w:r w:rsidRPr="00B53B7A">
        <w:rPr>
          <w:rFonts w:ascii="Times New Roman" w:hAnsi="Times New Roman"/>
          <w:sz w:val="24"/>
          <w:szCs w:val="24"/>
        </w:rPr>
        <w:t xml:space="preserve">, I. O., &amp; Okafor, A. N. (2026). Burden of tuberculosis infection in children and adolescents living in same household with sputum-positive adults in Abuja using interferon-γ release assays. </w:t>
      </w:r>
      <w:r w:rsidRPr="00B53B7A">
        <w:rPr>
          <w:rFonts w:ascii="Times New Roman" w:hAnsi="Times New Roman"/>
          <w:i/>
          <w:iCs/>
          <w:sz w:val="24"/>
          <w:szCs w:val="24"/>
        </w:rPr>
        <w:t>Asian Journal of Research in Infectious Diseases, 17</w:t>
      </w:r>
      <w:r w:rsidRPr="00B53B7A">
        <w:rPr>
          <w:rFonts w:ascii="Times New Roman" w:hAnsi="Times New Roman"/>
          <w:sz w:val="24"/>
          <w:szCs w:val="24"/>
        </w:rPr>
        <w:t xml:space="preserve">(7), 35–52. </w:t>
      </w:r>
      <w:hyperlink r:id="rId36" w:history="1">
        <w:r w:rsidRPr="00B53B7A">
          <w:rPr>
            <w:rFonts w:ascii="Times New Roman" w:hAnsi="Times New Roman"/>
            <w:color w:val="0000FF"/>
            <w:sz w:val="24"/>
            <w:szCs w:val="24"/>
            <w:u w:val="single"/>
          </w:rPr>
          <w:t>https://doi.org/10.9734/ajrid/2026/v17i7562</w:t>
        </w:r>
      </w:hyperlink>
    </w:p>
    <w:p w14:paraId="49133455" w14:textId="77777777" w:rsidR="00B53B7A" w:rsidRPr="00B53B7A" w:rsidRDefault="00B53B7A" w:rsidP="00B53B7A">
      <w:pPr>
        <w:spacing w:before="100" w:beforeAutospacing="1" w:after="100" w:afterAutospacing="1"/>
        <w:rPr>
          <w:rFonts w:ascii="Times New Roman" w:hAnsi="Times New Roman"/>
          <w:sz w:val="24"/>
          <w:szCs w:val="24"/>
        </w:rPr>
      </w:pPr>
      <w:proofErr w:type="spellStart"/>
      <w:r w:rsidRPr="00B53B7A">
        <w:rPr>
          <w:rFonts w:ascii="Times New Roman" w:hAnsi="Times New Roman"/>
          <w:sz w:val="24"/>
          <w:szCs w:val="24"/>
        </w:rPr>
        <w:t>Onyemocho</w:t>
      </w:r>
      <w:proofErr w:type="spellEnd"/>
      <w:r w:rsidRPr="00B53B7A">
        <w:rPr>
          <w:rFonts w:ascii="Times New Roman" w:hAnsi="Times New Roman"/>
          <w:sz w:val="24"/>
          <w:szCs w:val="24"/>
        </w:rPr>
        <w:t xml:space="preserve">, A., Abiodun, H., </w:t>
      </w:r>
      <w:proofErr w:type="spellStart"/>
      <w:r w:rsidRPr="00B53B7A">
        <w:rPr>
          <w:rFonts w:ascii="Times New Roman" w:hAnsi="Times New Roman"/>
          <w:sz w:val="24"/>
          <w:szCs w:val="24"/>
        </w:rPr>
        <w:t>Ogbuji</w:t>
      </w:r>
      <w:proofErr w:type="spellEnd"/>
      <w:r w:rsidRPr="00B53B7A">
        <w:rPr>
          <w:rFonts w:ascii="Times New Roman" w:hAnsi="Times New Roman"/>
          <w:sz w:val="24"/>
          <w:szCs w:val="24"/>
        </w:rPr>
        <w:t xml:space="preserve">, Q., Osho, A., </w:t>
      </w:r>
      <w:proofErr w:type="spellStart"/>
      <w:r w:rsidRPr="00B53B7A">
        <w:rPr>
          <w:rFonts w:ascii="Times New Roman" w:hAnsi="Times New Roman"/>
          <w:sz w:val="24"/>
          <w:szCs w:val="24"/>
        </w:rPr>
        <w:t>Igbabul</w:t>
      </w:r>
      <w:proofErr w:type="spellEnd"/>
      <w:r w:rsidRPr="00B53B7A">
        <w:rPr>
          <w:rFonts w:ascii="Times New Roman" w:hAnsi="Times New Roman"/>
          <w:sz w:val="24"/>
          <w:szCs w:val="24"/>
        </w:rPr>
        <w:t xml:space="preserve">, S.-A., Julius, G., Nanben, O. V., &amp; Joseph, A. O. (2020). Assessment of contributions of community tuberculosis intervention to tuberculosis case detection and treatment outcome in two states in Nigeria. </w:t>
      </w:r>
      <w:r w:rsidRPr="00B53B7A">
        <w:rPr>
          <w:rFonts w:ascii="Times New Roman" w:hAnsi="Times New Roman"/>
          <w:i/>
          <w:iCs/>
          <w:sz w:val="24"/>
          <w:szCs w:val="24"/>
        </w:rPr>
        <w:t>Journal of Tuberculosis Research, 8</w:t>
      </w:r>
      <w:r w:rsidRPr="00B53B7A">
        <w:rPr>
          <w:rFonts w:ascii="Times New Roman" w:hAnsi="Times New Roman"/>
          <w:sz w:val="24"/>
          <w:szCs w:val="24"/>
        </w:rPr>
        <w:t xml:space="preserve">, 136–147. </w:t>
      </w:r>
      <w:hyperlink r:id="rId37" w:history="1">
        <w:r w:rsidRPr="00B53B7A">
          <w:rPr>
            <w:rFonts w:ascii="Times New Roman" w:hAnsi="Times New Roman"/>
            <w:color w:val="0000FF"/>
            <w:sz w:val="24"/>
            <w:szCs w:val="24"/>
            <w:u w:val="single"/>
          </w:rPr>
          <w:t>https://doi.org/10.4236/jtr.2020.83012</w:t>
        </w:r>
      </w:hyperlink>
    </w:p>
    <w:p w14:paraId="00CB80F1" w14:textId="77777777" w:rsidR="00B53B7A" w:rsidRPr="00B53B7A" w:rsidRDefault="00B53B7A" w:rsidP="00B53B7A">
      <w:pPr>
        <w:spacing w:before="100" w:beforeAutospacing="1" w:after="100" w:afterAutospacing="1"/>
        <w:rPr>
          <w:rFonts w:ascii="Times New Roman" w:hAnsi="Times New Roman"/>
          <w:sz w:val="24"/>
          <w:szCs w:val="24"/>
        </w:rPr>
      </w:pPr>
      <w:r w:rsidRPr="00B53B7A">
        <w:rPr>
          <w:rFonts w:ascii="Times New Roman" w:hAnsi="Times New Roman"/>
          <w:sz w:val="24"/>
          <w:szCs w:val="24"/>
        </w:rPr>
        <w:t xml:space="preserve">Qi, C. C., Xu, L. R., Zhao, C. J., Zhang, H. Y., Li, Q. Y., Liu, M. J., Zhang, Y. X., Tang, Z., &amp; Ma, X. X. (2023). Prevalence and risk factors of tuberculosis among </w:t>
      </w:r>
      <w:r w:rsidRPr="00B53B7A">
        <w:rPr>
          <w:rFonts w:ascii="Times New Roman" w:hAnsi="Times New Roman"/>
          <w:sz w:val="24"/>
          <w:szCs w:val="24"/>
        </w:rPr>
        <w:lastRenderedPageBreak/>
        <w:t xml:space="preserve">people living with HIV/AIDS in China: A systematic review and meta-analysis. </w:t>
      </w:r>
      <w:r w:rsidRPr="00B53B7A">
        <w:rPr>
          <w:rFonts w:ascii="Times New Roman" w:hAnsi="Times New Roman"/>
          <w:i/>
          <w:iCs/>
          <w:sz w:val="24"/>
          <w:szCs w:val="24"/>
        </w:rPr>
        <w:t>BMC Infectious Diseases, 23</w:t>
      </w:r>
      <w:r w:rsidRPr="00B53B7A">
        <w:rPr>
          <w:rFonts w:ascii="Times New Roman" w:hAnsi="Times New Roman"/>
          <w:sz w:val="24"/>
          <w:szCs w:val="24"/>
        </w:rPr>
        <w:t xml:space="preserve">, 584. </w:t>
      </w:r>
      <w:hyperlink r:id="rId38" w:history="1">
        <w:r w:rsidRPr="00B53B7A">
          <w:rPr>
            <w:rFonts w:ascii="Times New Roman" w:hAnsi="Times New Roman"/>
            <w:color w:val="0000FF"/>
            <w:sz w:val="24"/>
            <w:szCs w:val="24"/>
            <w:u w:val="single"/>
          </w:rPr>
          <w:t>https://doi.org/10.1186/s12879-023-08575-4</w:t>
        </w:r>
      </w:hyperlink>
    </w:p>
    <w:p w14:paraId="1A1E4BC9" w14:textId="77777777" w:rsidR="00B53B7A" w:rsidRPr="00B53B7A" w:rsidRDefault="00B53B7A" w:rsidP="00B53B7A">
      <w:pPr>
        <w:spacing w:before="100" w:beforeAutospacing="1" w:after="100" w:afterAutospacing="1"/>
        <w:rPr>
          <w:rFonts w:ascii="Times New Roman" w:hAnsi="Times New Roman"/>
          <w:sz w:val="24"/>
          <w:szCs w:val="24"/>
        </w:rPr>
      </w:pPr>
      <w:r w:rsidRPr="00B53B7A">
        <w:rPr>
          <w:rFonts w:ascii="Times New Roman" w:hAnsi="Times New Roman"/>
          <w:sz w:val="24"/>
          <w:szCs w:val="24"/>
        </w:rPr>
        <w:t xml:space="preserve">Shah, V., Yogesh, M., Kothari, D. R., Gandhi, R. B., &amp; Nagda, J. J. (2024). Audit of risk factors of drug-sensitive, drug-resistant tuberculosis disease: A case-control study of patients registered under NTEP, Gujarat. </w:t>
      </w:r>
      <w:r w:rsidRPr="00B53B7A">
        <w:rPr>
          <w:rFonts w:ascii="Times New Roman" w:hAnsi="Times New Roman"/>
          <w:i/>
          <w:iCs/>
          <w:sz w:val="24"/>
          <w:szCs w:val="24"/>
        </w:rPr>
        <w:t>Journal of Family Medicine and Primary Care, 13</w:t>
      </w:r>
      <w:r w:rsidRPr="00B53B7A">
        <w:rPr>
          <w:rFonts w:ascii="Times New Roman" w:hAnsi="Times New Roman"/>
          <w:sz w:val="24"/>
          <w:szCs w:val="24"/>
        </w:rPr>
        <w:t xml:space="preserve">(9), 3614–3620. </w:t>
      </w:r>
      <w:hyperlink r:id="rId39" w:history="1">
        <w:r w:rsidRPr="00B53B7A">
          <w:rPr>
            <w:rFonts w:ascii="Times New Roman" w:hAnsi="Times New Roman"/>
            <w:color w:val="0000FF"/>
            <w:sz w:val="24"/>
            <w:szCs w:val="24"/>
            <w:u w:val="single"/>
          </w:rPr>
          <w:t>https://doi.org/10.4103/jfmpc.jfmpc_1967_23</w:t>
        </w:r>
      </w:hyperlink>
    </w:p>
    <w:p w14:paraId="174E1446" w14:textId="77777777" w:rsidR="00B53B7A" w:rsidRPr="00B53B7A" w:rsidRDefault="00B53B7A" w:rsidP="00B53B7A">
      <w:pPr>
        <w:spacing w:before="100" w:beforeAutospacing="1" w:after="100" w:afterAutospacing="1"/>
        <w:rPr>
          <w:rFonts w:ascii="Times New Roman" w:hAnsi="Times New Roman"/>
          <w:sz w:val="24"/>
          <w:szCs w:val="24"/>
        </w:rPr>
      </w:pPr>
      <w:r w:rsidRPr="00B53B7A">
        <w:rPr>
          <w:rFonts w:ascii="Times New Roman" w:hAnsi="Times New Roman"/>
          <w:sz w:val="24"/>
          <w:szCs w:val="24"/>
        </w:rPr>
        <w:t xml:space="preserve">Vange, O., Umeh, E. U., &amp; Azua, E. T. (2019). The prevalence of tuberculosis and rifampicin resistance among the </w:t>
      </w:r>
      <w:r w:rsidRPr="00B53B7A">
        <w:rPr>
          <w:rFonts w:ascii="Times New Roman" w:hAnsi="Times New Roman"/>
          <w:i/>
          <w:iCs/>
          <w:sz w:val="24"/>
          <w:szCs w:val="24"/>
        </w:rPr>
        <w:t>Mycobacterium tuberculosis</w:t>
      </w:r>
      <w:r w:rsidRPr="00B53B7A">
        <w:rPr>
          <w:rFonts w:ascii="Times New Roman" w:hAnsi="Times New Roman"/>
          <w:sz w:val="24"/>
          <w:szCs w:val="24"/>
        </w:rPr>
        <w:t xml:space="preserve"> clinical isolates at Federal Medical Centre Makurdi, Benue State, Nigeria. </w:t>
      </w:r>
      <w:r w:rsidRPr="00B53B7A">
        <w:rPr>
          <w:rFonts w:ascii="Times New Roman" w:hAnsi="Times New Roman"/>
          <w:i/>
          <w:iCs/>
          <w:sz w:val="24"/>
          <w:szCs w:val="24"/>
        </w:rPr>
        <w:t>African Journal of Microbiology Research, 13</w:t>
      </w:r>
      <w:r w:rsidRPr="00B53B7A">
        <w:rPr>
          <w:rFonts w:ascii="Times New Roman" w:hAnsi="Times New Roman"/>
          <w:sz w:val="24"/>
          <w:szCs w:val="24"/>
        </w:rPr>
        <w:t xml:space="preserve">(11), 214–218. </w:t>
      </w:r>
      <w:hyperlink r:id="rId40" w:history="1">
        <w:r w:rsidRPr="00B53B7A">
          <w:rPr>
            <w:rFonts w:ascii="Times New Roman" w:hAnsi="Times New Roman"/>
            <w:color w:val="0000FF"/>
            <w:sz w:val="24"/>
            <w:szCs w:val="24"/>
            <w:u w:val="single"/>
          </w:rPr>
          <w:t>https://doi.org/10.5897/AJMR2017.8723</w:t>
        </w:r>
      </w:hyperlink>
    </w:p>
    <w:p w14:paraId="296C6D87" w14:textId="77777777" w:rsidR="00B53B7A" w:rsidRPr="00B53B7A" w:rsidRDefault="00B53B7A" w:rsidP="00B53B7A">
      <w:pPr>
        <w:spacing w:before="100" w:beforeAutospacing="1" w:after="100" w:afterAutospacing="1"/>
        <w:rPr>
          <w:rFonts w:ascii="Times New Roman" w:hAnsi="Times New Roman"/>
          <w:sz w:val="24"/>
          <w:szCs w:val="24"/>
        </w:rPr>
      </w:pPr>
      <w:r w:rsidRPr="00B53B7A">
        <w:rPr>
          <w:rFonts w:ascii="Times New Roman" w:hAnsi="Times New Roman"/>
          <w:sz w:val="24"/>
          <w:szCs w:val="24"/>
        </w:rPr>
        <w:t xml:space="preserve">Wang, X.-N., He, T.-L., Geng, M.-J., Song, Y.-D., Wang, J.-C., Liu, M., </w:t>
      </w:r>
      <w:proofErr w:type="spellStart"/>
      <w:r w:rsidRPr="00B53B7A">
        <w:rPr>
          <w:rFonts w:ascii="Times New Roman" w:hAnsi="Times New Roman"/>
          <w:sz w:val="24"/>
          <w:szCs w:val="24"/>
        </w:rPr>
        <w:t>Hoosdally</w:t>
      </w:r>
      <w:proofErr w:type="spellEnd"/>
      <w:r w:rsidRPr="00B53B7A">
        <w:rPr>
          <w:rFonts w:ascii="Times New Roman" w:hAnsi="Times New Roman"/>
          <w:sz w:val="24"/>
          <w:szCs w:val="24"/>
        </w:rPr>
        <w:t xml:space="preserve">, S. J., Cruz, A. L. G., Zhao, F., Pang, Y., Zhao, Y.-L., &amp; He, G.-X. (2018). Prevalence of and risk factors for tuberculosis among healthcare workers in Chinese tuberculosis facilities. </w:t>
      </w:r>
      <w:r w:rsidRPr="00B53B7A">
        <w:rPr>
          <w:rFonts w:ascii="Times New Roman" w:hAnsi="Times New Roman"/>
          <w:i/>
          <w:iCs/>
          <w:sz w:val="24"/>
          <w:szCs w:val="24"/>
        </w:rPr>
        <w:t>Infectious Diseases of Poverty, 7</w:t>
      </w:r>
      <w:r w:rsidRPr="00B53B7A">
        <w:rPr>
          <w:rFonts w:ascii="Times New Roman" w:hAnsi="Times New Roman"/>
          <w:sz w:val="24"/>
          <w:szCs w:val="24"/>
        </w:rPr>
        <w:t xml:space="preserve">, 26. </w:t>
      </w:r>
      <w:hyperlink r:id="rId41" w:history="1">
        <w:r w:rsidRPr="00B53B7A">
          <w:rPr>
            <w:rFonts w:ascii="Times New Roman" w:hAnsi="Times New Roman"/>
            <w:color w:val="0000FF"/>
            <w:sz w:val="24"/>
            <w:szCs w:val="24"/>
            <w:u w:val="single"/>
          </w:rPr>
          <w:t>https://doi.org/10.1186/s40249-018-0407-6</w:t>
        </w:r>
      </w:hyperlink>
    </w:p>
    <w:p w14:paraId="3FB296B1" w14:textId="77777777" w:rsidR="00B53B7A" w:rsidRPr="00B53B7A" w:rsidRDefault="00B53B7A" w:rsidP="00B53B7A">
      <w:pPr>
        <w:spacing w:before="100" w:beforeAutospacing="1" w:after="100" w:afterAutospacing="1"/>
        <w:rPr>
          <w:rFonts w:ascii="Times New Roman" w:hAnsi="Times New Roman"/>
          <w:sz w:val="24"/>
          <w:szCs w:val="24"/>
        </w:rPr>
      </w:pPr>
      <w:r w:rsidRPr="00B53B7A">
        <w:rPr>
          <w:rFonts w:ascii="Times New Roman" w:hAnsi="Times New Roman"/>
          <w:sz w:val="24"/>
          <w:szCs w:val="24"/>
        </w:rPr>
        <w:t xml:space="preserve">World Health Organization. (2026, March 24). </w:t>
      </w:r>
      <w:r w:rsidRPr="00B53B7A">
        <w:rPr>
          <w:rFonts w:ascii="Times New Roman" w:hAnsi="Times New Roman"/>
          <w:i/>
          <w:iCs/>
          <w:sz w:val="24"/>
          <w:szCs w:val="24"/>
        </w:rPr>
        <w:t>Tuberculosis</w:t>
      </w:r>
      <w:r w:rsidRPr="00B53B7A">
        <w:rPr>
          <w:rFonts w:ascii="Times New Roman" w:hAnsi="Times New Roman"/>
          <w:sz w:val="24"/>
          <w:szCs w:val="24"/>
        </w:rPr>
        <w:t xml:space="preserve">. </w:t>
      </w:r>
      <w:hyperlink r:id="rId42" w:history="1">
        <w:r w:rsidRPr="00B53B7A">
          <w:rPr>
            <w:rFonts w:ascii="Times New Roman" w:hAnsi="Times New Roman"/>
            <w:color w:val="0000FF"/>
            <w:sz w:val="24"/>
            <w:szCs w:val="24"/>
            <w:u w:val="single"/>
          </w:rPr>
          <w:t>https://www.who.int/news-room/fact-sheets/detail/tuberculosis</w:t>
        </w:r>
      </w:hyperlink>
    </w:p>
    <w:p w14:paraId="16FBE833" w14:textId="77777777" w:rsidR="00B53B7A" w:rsidRPr="00B53B7A" w:rsidRDefault="00B53B7A" w:rsidP="00B53B7A">
      <w:pPr>
        <w:spacing w:before="100" w:beforeAutospacing="1" w:after="100" w:afterAutospacing="1"/>
        <w:rPr>
          <w:rFonts w:ascii="Times New Roman" w:hAnsi="Times New Roman"/>
          <w:sz w:val="24"/>
          <w:szCs w:val="24"/>
        </w:rPr>
      </w:pPr>
      <w:r w:rsidRPr="00B53B7A">
        <w:rPr>
          <w:rFonts w:ascii="Times New Roman" w:hAnsi="Times New Roman"/>
          <w:sz w:val="24"/>
          <w:szCs w:val="24"/>
        </w:rPr>
        <w:t xml:space="preserve">Yang, H., Ruan, X., Li, W., Xiong, J., &amp; Zheng, Y. (2024). Global, regional, and national burden of tuberculosis and attributable risk factors for 204 countries and territories, 1990–2021: A systematic analysis for the Global Burden of Diseases 2021 study. </w:t>
      </w:r>
      <w:r w:rsidRPr="00B53B7A">
        <w:rPr>
          <w:rFonts w:ascii="Times New Roman" w:hAnsi="Times New Roman"/>
          <w:i/>
          <w:iCs/>
          <w:sz w:val="24"/>
          <w:szCs w:val="24"/>
        </w:rPr>
        <w:t>BMC Public Health, 24</w:t>
      </w:r>
      <w:r w:rsidRPr="00B53B7A">
        <w:rPr>
          <w:rFonts w:ascii="Times New Roman" w:hAnsi="Times New Roman"/>
          <w:sz w:val="24"/>
          <w:szCs w:val="24"/>
        </w:rPr>
        <w:t xml:space="preserve">, 3111. </w:t>
      </w:r>
      <w:hyperlink r:id="rId43" w:history="1">
        <w:r w:rsidRPr="00B53B7A">
          <w:rPr>
            <w:rFonts w:ascii="Times New Roman" w:hAnsi="Times New Roman"/>
            <w:color w:val="0000FF"/>
            <w:sz w:val="24"/>
            <w:szCs w:val="24"/>
            <w:u w:val="single"/>
          </w:rPr>
          <w:t>https://doi.org/10.1186/s12889-024-20664-w</w:t>
        </w:r>
      </w:hyperlink>
    </w:p>
    <w:p w14:paraId="5907AA31" w14:textId="77777777" w:rsidR="00B53B7A" w:rsidRPr="00B53B7A" w:rsidRDefault="00B53B7A" w:rsidP="00B53B7A">
      <w:pPr>
        <w:spacing w:before="100" w:beforeAutospacing="1" w:after="100" w:afterAutospacing="1"/>
        <w:rPr>
          <w:rFonts w:ascii="Times New Roman" w:hAnsi="Times New Roman"/>
          <w:sz w:val="24"/>
          <w:szCs w:val="24"/>
        </w:rPr>
      </w:pPr>
      <w:r w:rsidRPr="00B53B7A">
        <w:rPr>
          <w:rFonts w:ascii="Times New Roman" w:hAnsi="Times New Roman"/>
          <w:sz w:val="24"/>
          <w:szCs w:val="24"/>
        </w:rPr>
        <w:t xml:space="preserve">Yu, S., Pan, Y., Chen, Q., Liu, Q., Wang, J., Rui, J., Guo, Y., Gavotte, L., Zhao, Q., Frutos, R., Xu, M., Pu, D., &amp; Chen, T. (2024). Analysis of the epidemiological characteristics and influencing factors of tuberculosis among students in a large province of China, 2008–2018. </w:t>
      </w:r>
      <w:r w:rsidRPr="00B53B7A">
        <w:rPr>
          <w:rFonts w:ascii="Times New Roman" w:hAnsi="Times New Roman"/>
          <w:i/>
          <w:iCs/>
          <w:sz w:val="24"/>
          <w:szCs w:val="24"/>
        </w:rPr>
        <w:t>Scientific Reports, 14</w:t>
      </w:r>
      <w:r w:rsidRPr="00B53B7A">
        <w:rPr>
          <w:rFonts w:ascii="Times New Roman" w:hAnsi="Times New Roman"/>
          <w:sz w:val="24"/>
          <w:szCs w:val="24"/>
        </w:rPr>
        <w:t xml:space="preserve">, 20472. </w:t>
      </w:r>
      <w:hyperlink r:id="rId44" w:history="1">
        <w:r w:rsidRPr="00B53B7A">
          <w:rPr>
            <w:rFonts w:ascii="Times New Roman" w:hAnsi="Times New Roman"/>
            <w:color w:val="0000FF"/>
            <w:sz w:val="24"/>
            <w:szCs w:val="24"/>
            <w:u w:val="single"/>
          </w:rPr>
          <w:t>https://doi.org/10.1038/s41598-024-71720-9</w:t>
        </w:r>
      </w:hyperlink>
    </w:p>
    <w:p w14:paraId="16190673" w14:textId="77777777" w:rsidR="00B53B7A" w:rsidRPr="00B53B7A" w:rsidRDefault="00B53B7A" w:rsidP="00B53B7A">
      <w:pPr>
        <w:spacing w:before="100" w:beforeAutospacing="1" w:after="100" w:afterAutospacing="1"/>
        <w:rPr>
          <w:rFonts w:ascii="Times New Roman" w:hAnsi="Times New Roman"/>
          <w:sz w:val="24"/>
          <w:szCs w:val="24"/>
        </w:rPr>
      </w:pPr>
      <w:r w:rsidRPr="00B53B7A">
        <w:rPr>
          <w:rFonts w:ascii="Times New Roman" w:hAnsi="Times New Roman"/>
          <w:sz w:val="24"/>
          <w:szCs w:val="24"/>
        </w:rPr>
        <w:t xml:space="preserve">Zhang, C.-Y., Zhao, F., Xia, Y.-Y., Yu, Y.-L., Shen, X., Lu, W., Wang, X.-M., Xing, J., Ye, J.-J., Li, J.-W., Liu, F.-Y., Wu, J.-L., Xu, L., Zhang, H., Cheng, J., &amp; Wang, L.-X. (2019). Prevalence and risk factors of active pulmonary tuberculosis among elderly people in China: A population-based cross-sectional study. </w:t>
      </w:r>
      <w:r w:rsidRPr="00B53B7A">
        <w:rPr>
          <w:rFonts w:ascii="Times New Roman" w:hAnsi="Times New Roman"/>
          <w:i/>
          <w:iCs/>
          <w:sz w:val="24"/>
          <w:szCs w:val="24"/>
        </w:rPr>
        <w:t>Infectious Diseases of Poverty, 8</w:t>
      </w:r>
      <w:r w:rsidRPr="00B53B7A">
        <w:rPr>
          <w:rFonts w:ascii="Times New Roman" w:hAnsi="Times New Roman"/>
          <w:sz w:val="24"/>
          <w:szCs w:val="24"/>
        </w:rPr>
        <w:t xml:space="preserve">, 7. </w:t>
      </w:r>
      <w:hyperlink r:id="rId45" w:history="1">
        <w:r w:rsidRPr="00B53B7A">
          <w:rPr>
            <w:rFonts w:ascii="Times New Roman" w:hAnsi="Times New Roman"/>
            <w:color w:val="0000FF"/>
            <w:sz w:val="24"/>
            <w:szCs w:val="24"/>
            <w:u w:val="single"/>
          </w:rPr>
          <w:t>https://doi.org/10.1186/s40249-019-0515-y</w:t>
        </w:r>
      </w:hyperlink>
    </w:p>
    <w:p w14:paraId="1E639FC9" w14:textId="77777777" w:rsidR="00B53B7A" w:rsidRDefault="00B53B7A" w:rsidP="00D36BD4">
      <w:pPr>
        <w:ind w:left="720" w:hanging="720"/>
        <w:jc w:val="both"/>
        <w:rPr>
          <w:rFonts w:ascii="Arial" w:hAnsi="Arial" w:cs="Arial"/>
          <w:color w:val="212121"/>
          <w:shd w:val="clear" w:color="auto" w:fill="FFFFFF"/>
        </w:rPr>
      </w:pPr>
    </w:p>
    <w:p w14:paraId="56A518A2" w14:textId="77777777" w:rsidR="002D2509" w:rsidRDefault="002D2509" w:rsidP="00D36BD4">
      <w:pPr>
        <w:ind w:left="720" w:hanging="720"/>
        <w:jc w:val="both"/>
        <w:rPr>
          <w:rFonts w:ascii="Arial" w:hAnsi="Arial" w:cs="Arial"/>
          <w:color w:val="212121"/>
          <w:shd w:val="clear" w:color="auto" w:fill="FFFFFF"/>
        </w:rPr>
      </w:pPr>
    </w:p>
    <w:p w14:paraId="16AEEA87" w14:textId="77777777" w:rsidR="002D2509" w:rsidRPr="00D36BD4" w:rsidRDefault="002D2509" w:rsidP="00D36BD4">
      <w:pPr>
        <w:ind w:left="720" w:hanging="720"/>
        <w:jc w:val="both"/>
        <w:rPr>
          <w:rFonts w:ascii="Arial" w:hAnsi="Arial" w:cs="Arial"/>
          <w:color w:val="212121"/>
          <w:shd w:val="clear" w:color="auto" w:fill="FFFFFF"/>
        </w:rPr>
      </w:pPr>
    </w:p>
    <w:sectPr w:rsidR="002D2509" w:rsidRPr="00D36BD4" w:rsidSect="0002145A">
      <w:headerReference w:type="even" r:id="rId46"/>
      <w:headerReference w:type="default" r:id="rId47"/>
      <w:footerReference w:type="default" r:id="rId48"/>
      <w:headerReference w:type="first" r:id="rId49"/>
      <w:type w:val="continuous"/>
      <w:pgSz w:w="12240" w:h="15840"/>
      <w:pgMar w:top="1440" w:right="2016" w:bottom="2016" w:left="2016" w:header="720" w:footer="1123"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43A958" w14:textId="77777777" w:rsidR="0057616C" w:rsidRDefault="0057616C" w:rsidP="00A45C4B">
      <w:r>
        <w:separator/>
      </w:r>
    </w:p>
  </w:endnote>
  <w:endnote w:type="continuationSeparator" w:id="0">
    <w:p w14:paraId="72FB146D" w14:textId="77777777" w:rsidR="0057616C" w:rsidRDefault="0057616C" w:rsidP="00A45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81216" w14:textId="77777777" w:rsidR="00B3650A" w:rsidRDefault="00B365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849E6" w14:textId="77777777" w:rsidR="00B3650A" w:rsidRDefault="00B3650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BB10B" w14:textId="77777777" w:rsidR="00B3650A" w:rsidRPr="0002145A" w:rsidRDefault="00B3650A" w:rsidP="0002145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510016"/>
      <w:docPartObj>
        <w:docPartGallery w:val="Page Numbers (Bottom of Page)"/>
        <w:docPartUnique/>
      </w:docPartObj>
    </w:sdtPr>
    <w:sdtContent>
      <w:p w14:paraId="4ECF7A4D" w14:textId="77777777" w:rsidR="00B3650A" w:rsidRDefault="00B3650A">
        <w:pPr>
          <w:pStyle w:val="Footer"/>
          <w:jc w:val="center"/>
        </w:pPr>
        <w:r w:rsidRPr="00A45C4B">
          <w:rPr>
            <w:rFonts w:ascii="Arial" w:hAnsi="Arial" w:cs="Arial"/>
          </w:rPr>
          <w:fldChar w:fldCharType="begin"/>
        </w:r>
        <w:r w:rsidRPr="00A45C4B">
          <w:rPr>
            <w:rFonts w:ascii="Arial" w:hAnsi="Arial" w:cs="Arial"/>
          </w:rPr>
          <w:instrText xml:space="preserve"> PAGE   \* MERGEFORMAT </w:instrText>
        </w:r>
        <w:r w:rsidRPr="00A45C4B">
          <w:rPr>
            <w:rFonts w:ascii="Arial" w:hAnsi="Arial" w:cs="Arial"/>
          </w:rPr>
          <w:fldChar w:fldCharType="separate"/>
        </w:r>
        <w:r w:rsidR="00A45F33">
          <w:rPr>
            <w:rFonts w:ascii="Arial" w:hAnsi="Arial" w:cs="Arial"/>
            <w:noProof/>
          </w:rPr>
          <w:t>16</w:t>
        </w:r>
        <w:r w:rsidRPr="00A45C4B">
          <w:rPr>
            <w:rFonts w:ascii="Arial" w:hAnsi="Arial" w:cs="Arial"/>
          </w:rPr>
          <w:fldChar w:fldCharType="end"/>
        </w:r>
      </w:p>
    </w:sdtContent>
  </w:sdt>
  <w:p w14:paraId="0893AF39" w14:textId="77777777" w:rsidR="00B3650A" w:rsidRPr="00C37E61" w:rsidRDefault="00B3650A" w:rsidP="00FF04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2AFAE4" w14:textId="77777777" w:rsidR="0057616C" w:rsidRDefault="0057616C" w:rsidP="00A45C4B">
      <w:r>
        <w:separator/>
      </w:r>
    </w:p>
  </w:footnote>
  <w:footnote w:type="continuationSeparator" w:id="0">
    <w:p w14:paraId="4EB92B99" w14:textId="77777777" w:rsidR="0057616C" w:rsidRDefault="0057616C" w:rsidP="00A45C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6D511" w14:textId="77777777" w:rsidR="00B3650A" w:rsidRDefault="00000000">
    <w:pPr>
      <w:pStyle w:val="Header"/>
    </w:pPr>
    <w:r>
      <w:rPr>
        <w:noProof/>
      </w:rPr>
      <w:pict w14:anchorId="03B8075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6321047" o:spid="_x0000_s1026" type="#_x0000_t136" style="position:absolute;margin-left:0;margin-top:0;width:520.65pt;height:57.85pt;rotation:315;z-index:-251655168;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2685D" w14:textId="77777777" w:rsidR="00B3650A" w:rsidRDefault="00000000">
    <w:pPr>
      <w:pStyle w:val="Header"/>
    </w:pPr>
    <w:r>
      <w:rPr>
        <w:noProof/>
      </w:rPr>
      <w:pict w14:anchorId="16FE708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6321048" o:spid="_x0000_s1027" type="#_x0000_t136" style="position:absolute;margin-left:0;margin-top:0;width:520.65pt;height:57.85pt;rotation:315;z-index:-251653120;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07E93" w14:textId="77777777" w:rsidR="00B3650A" w:rsidRPr="00296529" w:rsidRDefault="00000000" w:rsidP="00FF0471">
    <w:pPr>
      <w:ind w:left="2160"/>
      <w:jc w:val="center"/>
      <w:rPr>
        <w:rFonts w:ascii="Times New Roman" w:eastAsia="Calibri" w:hAnsi="Times New Roman"/>
        <w:i/>
        <w:sz w:val="18"/>
        <w:szCs w:val="22"/>
      </w:rPr>
    </w:pPr>
    <w:r>
      <w:rPr>
        <w:noProof/>
      </w:rPr>
      <w:pict w14:anchorId="4D2DFF0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6321046" o:spid="_x0000_s1025" type="#_x0000_t136" style="position:absolute;left:0;text-align:left;margin-left:0;margin-top:0;width:520.65pt;height:57.85pt;rotation:315;z-index:-251657216;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p w14:paraId="1FD4BC73" w14:textId="77777777" w:rsidR="00B3650A" w:rsidRPr="00296529" w:rsidRDefault="00B3650A" w:rsidP="00FF0471">
    <w:pPr>
      <w:ind w:left="4320"/>
      <w:rPr>
        <w:rFonts w:ascii="Times New Roman" w:eastAsia="Calibri" w:hAnsi="Times New Roman"/>
        <w:i/>
        <w:sz w:val="18"/>
        <w:szCs w:val="22"/>
      </w:rPr>
    </w:pPr>
    <w:r>
      <w:rPr>
        <w:rFonts w:ascii="Times New Roman" w:eastAsia="Calibri" w:hAnsi="Times New Roman"/>
        <w:i/>
        <w:sz w:val="18"/>
        <w:szCs w:val="22"/>
      </w:rPr>
      <w:t>.</w:t>
    </w:r>
  </w:p>
  <w:p w14:paraId="3F4E42BF" w14:textId="77777777" w:rsidR="00B3650A" w:rsidRPr="00296529" w:rsidRDefault="00B3650A" w:rsidP="00FF0471">
    <w:pPr>
      <w:jc w:val="center"/>
      <w:rPr>
        <w:rFonts w:ascii="Times New Roman" w:eastAsia="Calibri" w:hAnsi="Times New Roman"/>
        <w:i/>
        <w:sz w:val="18"/>
        <w:szCs w:val="22"/>
      </w:rPr>
    </w:pPr>
    <w:r>
      <w:rPr>
        <w:rFonts w:ascii="Times New Roman" w:eastAsia="Calibri" w:hAnsi="Times New Roman"/>
        <w:i/>
        <w:sz w:val="18"/>
        <w:szCs w:val="22"/>
      </w:rPr>
      <w:t>.</w:t>
    </w:r>
  </w:p>
  <w:p w14:paraId="3863715A" w14:textId="77777777" w:rsidR="00B3650A" w:rsidRPr="00296529" w:rsidRDefault="00B3650A" w:rsidP="00FF0471">
    <w:pPr>
      <w:spacing w:after="200"/>
      <w:jc w:val="center"/>
      <w:rPr>
        <w:rFonts w:ascii="Times New Roman" w:eastAsia="Calibri" w:hAnsi="Times New Roman"/>
        <w:b/>
        <w:i/>
        <w:sz w:val="32"/>
        <w:szCs w:val="22"/>
      </w:rPr>
    </w:pPr>
    <w:r>
      <w:rPr>
        <w:rFonts w:ascii="Times New Roman" w:eastAsia="Calibri" w:hAnsi="Times New Roman"/>
        <w:b/>
        <w:i/>
        <w:sz w:val="32"/>
        <w:szCs w:val="22"/>
      </w:rPr>
      <w:t>.</w:t>
    </w:r>
  </w:p>
  <w:p w14:paraId="5A006CF9" w14:textId="77777777" w:rsidR="00B3650A" w:rsidRDefault="00B3650A" w:rsidP="00FF0471">
    <w:pPr>
      <w:jc w:val="center"/>
      <w:rPr>
        <w:rFonts w:ascii="Times New Roman" w:eastAsia="Calibri" w:hAnsi="Times New Roman"/>
        <w:i/>
        <w:sz w:val="18"/>
        <w:szCs w:val="22"/>
      </w:rPr>
    </w:pPr>
  </w:p>
  <w:p w14:paraId="5D618025" w14:textId="77777777" w:rsidR="00B3650A" w:rsidRDefault="00B3650A" w:rsidP="00FF0471">
    <w:pPr>
      <w:tabs>
        <w:tab w:val="left" w:pos="2145"/>
      </w:tabs>
      <w:rPr>
        <w:rFonts w:ascii="Times New Roman" w:eastAsia="Calibri" w:hAnsi="Times New Roman"/>
        <w:i/>
        <w:sz w:val="18"/>
        <w:szCs w:val="22"/>
      </w:rPr>
    </w:pPr>
    <w:r>
      <w:rPr>
        <w:rFonts w:ascii="Times New Roman" w:eastAsia="Calibri" w:hAnsi="Times New Roman"/>
        <w:i/>
        <w:sz w:val="18"/>
        <w:szCs w:val="22"/>
      </w:rPr>
      <w:tab/>
      <w:t>.</w:t>
    </w:r>
  </w:p>
  <w:p w14:paraId="007DF6AB" w14:textId="77777777" w:rsidR="00B3650A" w:rsidRDefault="00B3650A">
    <w:pPr>
      <w:pStyle w:val="Header"/>
    </w:pP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D300A" w14:textId="77777777" w:rsidR="00B3650A" w:rsidRDefault="00000000">
    <w:pPr>
      <w:pStyle w:val="Header"/>
    </w:pPr>
    <w:r>
      <w:rPr>
        <w:noProof/>
      </w:rPr>
      <w:pict w14:anchorId="1D31E3D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6321050" o:spid="_x0000_s1031" type="#_x0000_t136" style="position:absolute;margin-left:0;margin-top:0;width:520.65pt;height:57.85pt;rotation:315;z-index:-251644928;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r>
      <w:rPr>
        <w:noProof/>
      </w:rPr>
      <w:pict w14:anchorId="0E2A9031">
        <v:shape id="_x0000_s1030" type="#_x0000_t136" style="position:absolute;margin-left:0;margin-top:0;width:520.65pt;height:57.85pt;rotation:315;z-index:-251646976;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39F8B" w14:textId="77777777" w:rsidR="00B3650A" w:rsidRDefault="00000000">
    <w:pPr>
      <w:pStyle w:val="Header"/>
    </w:pPr>
    <w:r>
      <w:rPr>
        <w:noProof/>
      </w:rPr>
      <w:pict w14:anchorId="6F4E6B6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6321051" o:spid="_x0000_s1033" type="#_x0000_t136" style="position:absolute;margin-left:0;margin-top:0;width:520.65pt;height:57.85pt;rotation:315;z-index:-251640832;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r>
      <w:rPr>
        <w:noProof/>
      </w:rPr>
      <w:pict w14:anchorId="62C413F3">
        <v:shape id="_x0000_s1032" type="#_x0000_t136" style="position:absolute;margin-left:0;margin-top:0;width:520.65pt;height:57.85pt;rotation:315;z-index:-251642880;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476CE" w14:textId="77777777" w:rsidR="00B3650A" w:rsidRPr="00296529" w:rsidRDefault="00000000" w:rsidP="00FF0471">
    <w:pPr>
      <w:ind w:left="2160"/>
      <w:jc w:val="center"/>
      <w:rPr>
        <w:rFonts w:ascii="Times New Roman" w:eastAsia="Calibri" w:hAnsi="Times New Roman"/>
        <w:i/>
        <w:sz w:val="18"/>
        <w:szCs w:val="22"/>
      </w:rPr>
    </w:pPr>
    <w:r>
      <w:rPr>
        <w:noProof/>
      </w:rPr>
      <w:pict w14:anchorId="5B12BCD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6321049" o:spid="_x0000_s1029" type="#_x0000_t136" style="position:absolute;left:0;text-align:left;margin-left:0;margin-top:0;width:520.65pt;height:57.85pt;rotation:315;z-index:-251649024;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r>
      <w:rPr>
        <w:noProof/>
      </w:rPr>
      <w:pict w14:anchorId="53C7DBB5">
        <v:shape id="_x0000_s1028" type="#_x0000_t136" style="position:absolute;left:0;text-align:left;margin-left:0;margin-top:0;width:520.65pt;height:57.85pt;rotation:315;z-index:-251651072;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p w14:paraId="5F4EB6D1" w14:textId="77777777" w:rsidR="00B3650A" w:rsidRPr="00296529" w:rsidRDefault="00B3650A" w:rsidP="00FF0471">
    <w:pPr>
      <w:ind w:left="4320"/>
      <w:rPr>
        <w:rFonts w:ascii="Times New Roman" w:eastAsia="Calibri" w:hAnsi="Times New Roman"/>
        <w:i/>
        <w:sz w:val="18"/>
        <w:szCs w:val="22"/>
      </w:rPr>
    </w:pPr>
    <w:r>
      <w:rPr>
        <w:rFonts w:ascii="Times New Roman" w:eastAsia="Calibri" w:hAnsi="Times New Roman"/>
        <w:i/>
        <w:sz w:val="18"/>
        <w:szCs w:val="22"/>
      </w:rPr>
      <w:t>.</w:t>
    </w:r>
  </w:p>
  <w:p w14:paraId="69C86509" w14:textId="77777777" w:rsidR="00B3650A" w:rsidRPr="00296529" w:rsidRDefault="00B3650A" w:rsidP="00FF0471">
    <w:pPr>
      <w:jc w:val="center"/>
      <w:rPr>
        <w:rFonts w:ascii="Times New Roman" w:eastAsia="Calibri" w:hAnsi="Times New Roman"/>
        <w:i/>
        <w:sz w:val="18"/>
        <w:szCs w:val="22"/>
      </w:rPr>
    </w:pPr>
    <w:r>
      <w:rPr>
        <w:rFonts w:ascii="Times New Roman" w:eastAsia="Calibri" w:hAnsi="Times New Roman"/>
        <w:i/>
        <w:sz w:val="18"/>
        <w:szCs w:val="22"/>
      </w:rPr>
      <w:t>.</w:t>
    </w:r>
  </w:p>
  <w:p w14:paraId="47D906CD" w14:textId="77777777" w:rsidR="00B3650A" w:rsidRPr="00296529" w:rsidRDefault="00B3650A" w:rsidP="00FF0471">
    <w:pPr>
      <w:spacing w:after="200"/>
      <w:jc w:val="center"/>
      <w:rPr>
        <w:rFonts w:ascii="Times New Roman" w:eastAsia="Calibri" w:hAnsi="Times New Roman"/>
        <w:b/>
        <w:i/>
        <w:sz w:val="32"/>
        <w:szCs w:val="22"/>
      </w:rPr>
    </w:pPr>
    <w:r>
      <w:rPr>
        <w:rFonts w:ascii="Times New Roman" w:eastAsia="Calibri" w:hAnsi="Times New Roman"/>
        <w:b/>
        <w:i/>
        <w:sz w:val="32"/>
        <w:szCs w:val="22"/>
      </w:rPr>
      <w:t>.</w:t>
    </w:r>
  </w:p>
  <w:p w14:paraId="6BE6BBF7" w14:textId="77777777" w:rsidR="00B3650A" w:rsidRDefault="00B3650A" w:rsidP="00FF0471">
    <w:pPr>
      <w:jc w:val="center"/>
      <w:rPr>
        <w:rFonts w:ascii="Times New Roman" w:eastAsia="Calibri" w:hAnsi="Times New Roman"/>
        <w:i/>
        <w:sz w:val="18"/>
        <w:szCs w:val="22"/>
      </w:rPr>
    </w:pPr>
  </w:p>
  <w:p w14:paraId="0DC5D63D" w14:textId="77777777" w:rsidR="00B3650A" w:rsidRDefault="00B3650A" w:rsidP="00FF0471">
    <w:pPr>
      <w:tabs>
        <w:tab w:val="left" w:pos="2145"/>
      </w:tabs>
      <w:rPr>
        <w:rFonts w:ascii="Times New Roman" w:eastAsia="Calibri" w:hAnsi="Times New Roman"/>
        <w:i/>
        <w:sz w:val="18"/>
        <w:szCs w:val="22"/>
      </w:rPr>
    </w:pPr>
    <w:r>
      <w:rPr>
        <w:rFonts w:ascii="Times New Roman" w:eastAsia="Calibri" w:hAnsi="Times New Roman"/>
        <w:i/>
        <w:sz w:val="18"/>
        <w:szCs w:val="22"/>
      </w:rPr>
      <w:tab/>
      <w:t>.</w:t>
    </w:r>
  </w:p>
  <w:p w14:paraId="79B89E06" w14:textId="77777777" w:rsidR="00B3650A" w:rsidRDefault="00B3650A">
    <w:pPr>
      <w:pStyle w:val="Header"/>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70FC0"/>
    <w:multiLevelType w:val="multilevel"/>
    <w:tmpl w:val="B6C2B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C92EC8"/>
    <w:multiLevelType w:val="multilevel"/>
    <w:tmpl w:val="F1A4B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6B6F2F"/>
    <w:multiLevelType w:val="hybridMultilevel"/>
    <w:tmpl w:val="7BA4C5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A8665D"/>
    <w:multiLevelType w:val="multilevel"/>
    <w:tmpl w:val="AD8EB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B71C88"/>
    <w:multiLevelType w:val="hybridMultilevel"/>
    <w:tmpl w:val="98324AB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356882"/>
    <w:multiLevelType w:val="multilevel"/>
    <w:tmpl w:val="1CCE6C26"/>
    <w:lvl w:ilvl="0">
      <w:start w:val="1"/>
      <w:numFmt w:val="decimal"/>
      <w:lvlText w:val="%1"/>
      <w:lvlJc w:val="left"/>
      <w:pPr>
        <w:ind w:left="360" w:hanging="360"/>
      </w:pPr>
      <w:rPr>
        <w:rFonts w:hint="default"/>
        <w:b w:val="0"/>
      </w:rPr>
    </w:lvl>
    <w:lvl w:ilvl="1">
      <w:start w:val="5"/>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114F385C"/>
    <w:multiLevelType w:val="multilevel"/>
    <w:tmpl w:val="E6FE3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55278B"/>
    <w:multiLevelType w:val="multilevel"/>
    <w:tmpl w:val="6B04D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A3501F"/>
    <w:multiLevelType w:val="multilevel"/>
    <w:tmpl w:val="00C4A1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82377D6"/>
    <w:multiLevelType w:val="hybridMultilevel"/>
    <w:tmpl w:val="20A4B9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795BDB"/>
    <w:multiLevelType w:val="multilevel"/>
    <w:tmpl w:val="38D00980"/>
    <w:lvl w:ilvl="0">
      <w:start w:val="2"/>
      <w:numFmt w:val="decimal"/>
      <w:lvlText w:val="%1"/>
      <w:lvlJc w:val="left"/>
      <w:pPr>
        <w:ind w:left="435" w:hanging="435"/>
      </w:pPr>
      <w:rPr>
        <w:rFonts w:hint="default"/>
      </w:rPr>
    </w:lvl>
    <w:lvl w:ilvl="1">
      <w:start w:val="9"/>
      <w:numFmt w:val="decimal"/>
      <w:lvlText w:val="%1.%2"/>
      <w:lvlJc w:val="left"/>
      <w:pPr>
        <w:ind w:left="435" w:hanging="435"/>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12D4E73"/>
    <w:multiLevelType w:val="multilevel"/>
    <w:tmpl w:val="AD2CF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C221AF0"/>
    <w:multiLevelType w:val="multilevel"/>
    <w:tmpl w:val="5204B994"/>
    <w:lvl w:ilvl="0">
      <w:start w:val="1"/>
      <w:numFmt w:val="decimal"/>
      <w:lvlText w:val="%1"/>
      <w:lvlJc w:val="left"/>
      <w:pPr>
        <w:ind w:left="360" w:hanging="360"/>
      </w:pPr>
      <w:rPr>
        <w:rFonts w:hint="default"/>
        <w:b w:val="0"/>
      </w:rPr>
    </w:lvl>
    <w:lvl w:ilvl="1">
      <w:start w:val="5"/>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3" w15:restartNumberingAfterBreak="0">
    <w:nsid w:val="3DC27B42"/>
    <w:multiLevelType w:val="multilevel"/>
    <w:tmpl w:val="E5CED4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EF62F37"/>
    <w:multiLevelType w:val="hybridMultilevel"/>
    <w:tmpl w:val="0C28A0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AED3CE5"/>
    <w:multiLevelType w:val="multilevel"/>
    <w:tmpl w:val="A9D61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B606C3D"/>
    <w:multiLevelType w:val="hybridMultilevel"/>
    <w:tmpl w:val="AB72B0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EFC5CC1"/>
    <w:multiLevelType w:val="hybridMultilevel"/>
    <w:tmpl w:val="B53EB5F8"/>
    <w:lvl w:ilvl="0" w:tplc="15B8A6C8">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57B134A"/>
    <w:multiLevelType w:val="multilevel"/>
    <w:tmpl w:val="42C4E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68A35B8"/>
    <w:multiLevelType w:val="multilevel"/>
    <w:tmpl w:val="32C28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8987C39"/>
    <w:multiLevelType w:val="hybridMultilevel"/>
    <w:tmpl w:val="8A5429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89D56F2"/>
    <w:multiLevelType w:val="multilevel"/>
    <w:tmpl w:val="9FAE5E28"/>
    <w:lvl w:ilvl="0">
      <w:start w:val="3"/>
      <w:numFmt w:val="decimal"/>
      <w:lvlText w:val="%1"/>
      <w:lvlJc w:val="left"/>
      <w:pPr>
        <w:ind w:left="480" w:hanging="480"/>
      </w:pPr>
      <w:rPr>
        <w:rFonts w:hint="default"/>
      </w:rPr>
    </w:lvl>
    <w:lvl w:ilvl="1">
      <w:start w:val="7"/>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1DC723A"/>
    <w:multiLevelType w:val="multilevel"/>
    <w:tmpl w:val="D2C0C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4170B9F"/>
    <w:multiLevelType w:val="multilevel"/>
    <w:tmpl w:val="1F4C208A"/>
    <w:lvl w:ilvl="0">
      <w:start w:val="3"/>
      <w:numFmt w:val="decimal"/>
      <w:lvlText w:val="%1"/>
      <w:lvlJc w:val="left"/>
      <w:pPr>
        <w:ind w:left="480" w:hanging="480"/>
      </w:pPr>
      <w:rPr>
        <w:rFonts w:hint="default"/>
      </w:rPr>
    </w:lvl>
    <w:lvl w:ilvl="1">
      <w:start w:val="9"/>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52576F0"/>
    <w:multiLevelType w:val="multilevel"/>
    <w:tmpl w:val="721AB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63674C3"/>
    <w:multiLevelType w:val="multilevel"/>
    <w:tmpl w:val="36640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6382FAA"/>
    <w:multiLevelType w:val="multilevel"/>
    <w:tmpl w:val="987A11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D46738C"/>
    <w:multiLevelType w:val="multilevel"/>
    <w:tmpl w:val="9F2E2BF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D7E4EFC"/>
    <w:multiLevelType w:val="hybridMultilevel"/>
    <w:tmpl w:val="B53EB5F8"/>
    <w:lvl w:ilvl="0" w:tplc="15B8A6C8">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0897F76"/>
    <w:multiLevelType w:val="multilevel"/>
    <w:tmpl w:val="43FC7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0A95410"/>
    <w:multiLevelType w:val="multilevel"/>
    <w:tmpl w:val="5226061A"/>
    <w:lvl w:ilvl="0">
      <w:start w:val="1"/>
      <w:numFmt w:val="decimal"/>
      <w:lvlText w:val="%1"/>
      <w:lvlJc w:val="left"/>
      <w:pPr>
        <w:ind w:left="360" w:hanging="360"/>
      </w:pPr>
      <w:rPr>
        <w:rFonts w:hint="default"/>
        <w:b w:val="0"/>
      </w:rPr>
    </w:lvl>
    <w:lvl w:ilvl="1">
      <w:start w:val="5"/>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1" w15:restartNumberingAfterBreak="0">
    <w:nsid w:val="71052045"/>
    <w:multiLevelType w:val="multilevel"/>
    <w:tmpl w:val="12B03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1604DCD"/>
    <w:multiLevelType w:val="singleLevel"/>
    <w:tmpl w:val="E368B7EE"/>
    <w:lvl w:ilvl="0">
      <w:start w:val="1"/>
      <w:numFmt w:val="decimal"/>
      <w:lvlText w:val="%1."/>
      <w:lvlJc w:val="left"/>
      <w:pPr>
        <w:tabs>
          <w:tab w:val="num" w:pos="360"/>
        </w:tabs>
        <w:ind w:left="360" w:hanging="360"/>
      </w:pPr>
    </w:lvl>
  </w:abstractNum>
  <w:abstractNum w:abstractNumId="33" w15:restartNumberingAfterBreak="0">
    <w:nsid w:val="760F740D"/>
    <w:multiLevelType w:val="hybridMultilevel"/>
    <w:tmpl w:val="BF0A52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7DC03A3"/>
    <w:multiLevelType w:val="multilevel"/>
    <w:tmpl w:val="5C660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A393728"/>
    <w:multiLevelType w:val="multilevel"/>
    <w:tmpl w:val="67466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AA25F99"/>
    <w:multiLevelType w:val="multilevel"/>
    <w:tmpl w:val="84ECB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CF3554E"/>
    <w:multiLevelType w:val="multilevel"/>
    <w:tmpl w:val="A800A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FF70D33"/>
    <w:multiLevelType w:val="multilevel"/>
    <w:tmpl w:val="144AD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10201467">
    <w:abstractNumId w:val="32"/>
  </w:num>
  <w:num w:numId="2" w16cid:durableId="673143993">
    <w:abstractNumId w:val="31"/>
  </w:num>
  <w:num w:numId="3" w16cid:durableId="696201439">
    <w:abstractNumId w:val="19"/>
  </w:num>
  <w:num w:numId="4" w16cid:durableId="77101119">
    <w:abstractNumId w:val="29"/>
  </w:num>
  <w:num w:numId="5" w16cid:durableId="636885535">
    <w:abstractNumId w:val="15"/>
  </w:num>
  <w:num w:numId="6" w16cid:durableId="1450126199">
    <w:abstractNumId w:val="6"/>
  </w:num>
  <w:num w:numId="7" w16cid:durableId="1426416811">
    <w:abstractNumId w:val="24"/>
  </w:num>
  <w:num w:numId="8" w16cid:durableId="1843272150">
    <w:abstractNumId w:val="27"/>
  </w:num>
  <w:num w:numId="9" w16cid:durableId="110126030">
    <w:abstractNumId w:val="11"/>
  </w:num>
  <w:num w:numId="10" w16cid:durableId="1120609161">
    <w:abstractNumId w:val="25"/>
  </w:num>
  <w:num w:numId="11" w16cid:durableId="842400101">
    <w:abstractNumId w:val="1"/>
  </w:num>
  <w:num w:numId="12" w16cid:durableId="213733486">
    <w:abstractNumId w:val="22"/>
  </w:num>
  <w:num w:numId="13" w16cid:durableId="201092327">
    <w:abstractNumId w:val="7"/>
  </w:num>
  <w:num w:numId="14" w16cid:durableId="1568806520">
    <w:abstractNumId w:val="36"/>
  </w:num>
  <w:num w:numId="15" w16cid:durableId="160973948">
    <w:abstractNumId w:val="37"/>
  </w:num>
  <w:num w:numId="16" w16cid:durableId="556093991">
    <w:abstractNumId w:val="28"/>
  </w:num>
  <w:num w:numId="17" w16cid:durableId="156769697">
    <w:abstractNumId w:val="5"/>
  </w:num>
  <w:num w:numId="18" w16cid:durableId="1020740707">
    <w:abstractNumId w:val="30"/>
  </w:num>
  <w:num w:numId="19" w16cid:durableId="1245988923">
    <w:abstractNumId w:val="12"/>
  </w:num>
  <w:num w:numId="20" w16cid:durableId="1388145729">
    <w:abstractNumId w:val="4"/>
  </w:num>
  <w:num w:numId="21" w16cid:durableId="1303385246">
    <w:abstractNumId w:val="26"/>
  </w:num>
  <w:num w:numId="22" w16cid:durableId="1492677048">
    <w:abstractNumId w:val="13"/>
  </w:num>
  <w:num w:numId="23" w16cid:durableId="269507636">
    <w:abstractNumId w:val="17"/>
  </w:num>
  <w:num w:numId="24" w16cid:durableId="1221093649">
    <w:abstractNumId w:val="35"/>
  </w:num>
  <w:num w:numId="25" w16cid:durableId="1783718231">
    <w:abstractNumId w:val="38"/>
  </w:num>
  <w:num w:numId="26" w16cid:durableId="422648606">
    <w:abstractNumId w:val="2"/>
  </w:num>
  <w:num w:numId="27" w16cid:durableId="198279116">
    <w:abstractNumId w:val="33"/>
  </w:num>
  <w:num w:numId="28" w16cid:durableId="119685815">
    <w:abstractNumId w:val="8"/>
  </w:num>
  <w:num w:numId="29" w16cid:durableId="351340987">
    <w:abstractNumId w:val="20"/>
  </w:num>
  <w:num w:numId="30" w16cid:durableId="1914002938">
    <w:abstractNumId w:val="9"/>
  </w:num>
  <w:num w:numId="31" w16cid:durableId="1562060431">
    <w:abstractNumId w:val="0"/>
  </w:num>
  <w:num w:numId="32" w16cid:durableId="1724065158">
    <w:abstractNumId w:val="3"/>
  </w:num>
  <w:num w:numId="33" w16cid:durableId="1466773398">
    <w:abstractNumId w:val="18"/>
  </w:num>
  <w:num w:numId="34" w16cid:durableId="2089112759">
    <w:abstractNumId w:val="34"/>
  </w:num>
  <w:num w:numId="35" w16cid:durableId="1305966118">
    <w:abstractNumId w:val="21"/>
  </w:num>
  <w:num w:numId="36" w16cid:durableId="1996642820">
    <w:abstractNumId w:val="16"/>
  </w:num>
  <w:num w:numId="37" w16cid:durableId="568615588">
    <w:abstractNumId w:val="23"/>
  </w:num>
  <w:num w:numId="38" w16cid:durableId="654182429">
    <w:abstractNumId w:val="10"/>
  </w:num>
  <w:num w:numId="39" w16cid:durableId="83318239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xsrQwMDS1NDU0MrOwNLBQ0lEKTi0uzszPAykwrAUA4jY5ESwAAAA="/>
  </w:docVars>
  <w:rsids>
    <w:rsidRoot w:val="00FF0471"/>
    <w:rsid w:val="0002145A"/>
    <w:rsid w:val="00047E48"/>
    <w:rsid w:val="00082E03"/>
    <w:rsid w:val="000A02D8"/>
    <w:rsid w:val="000B2241"/>
    <w:rsid w:val="000C612D"/>
    <w:rsid w:val="000C6A44"/>
    <w:rsid w:val="000D49EE"/>
    <w:rsid w:val="00122818"/>
    <w:rsid w:val="00150504"/>
    <w:rsid w:val="00152EE4"/>
    <w:rsid w:val="001C62FA"/>
    <w:rsid w:val="001F3E5F"/>
    <w:rsid w:val="00224A13"/>
    <w:rsid w:val="00227C22"/>
    <w:rsid w:val="002D1939"/>
    <w:rsid w:val="002D2509"/>
    <w:rsid w:val="002D5E62"/>
    <w:rsid w:val="002E72A3"/>
    <w:rsid w:val="002E7C54"/>
    <w:rsid w:val="002F22AC"/>
    <w:rsid w:val="00301DFF"/>
    <w:rsid w:val="00310869"/>
    <w:rsid w:val="0038093C"/>
    <w:rsid w:val="00382EB1"/>
    <w:rsid w:val="00384AC9"/>
    <w:rsid w:val="003910E9"/>
    <w:rsid w:val="0039705F"/>
    <w:rsid w:val="003D66D0"/>
    <w:rsid w:val="003F0C85"/>
    <w:rsid w:val="0040436E"/>
    <w:rsid w:val="0047648C"/>
    <w:rsid w:val="00484AB1"/>
    <w:rsid w:val="00490D94"/>
    <w:rsid w:val="00506E39"/>
    <w:rsid w:val="00540D83"/>
    <w:rsid w:val="00541719"/>
    <w:rsid w:val="00543686"/>
    <w:rsid w:val="0057051E"/>
    <w:rsid w:val="00572841"/>
    <w:rsid w:val="0057616C"/>
    <w:rsid w:val="005C3A1E"/>
    <w:rsid w:val="005D706E"/>
    <w:rsid w:val="005F6060"/>
    <w:rsid w:val="00624B29"/>
    <w:rsid w:val="006336E9"/>
    <w:rsid w:val="00634692"/>
    <w:rsid w:val="006A2971"/>
    <w:rsid w:val="006A318C"/>
    <w:rsid w:val="006B7BE6"/>
    <w:rsid w:val="00712C7B"/>
    <w:rsid w:val="00737507"/>
    <w:rsid w:val="007871B7"/>
    <w:rsid w:val="0079614C"/>
    <w:rsid w:val="007A3FF8"/>
    <w:rsid w:val="007A651F"/>
    <w:rsid w:val="00821F76"/>
    <w:rsid w:val="008370E9"/>
    <w:rsid w:val="00845DFF"/>
    <w:rsid w:val="008E6335"/>
    <w:rsid w:val="009639DD"/>
    <w:rsid w:val="00974474"/>
    <w:rsid w:val="00A00FB9"/>
    <w:rsid w:val="00A227E4"/>
    <w:rsid w:val="00A43658"/>
    <w:rsid w:val="00A44519"/>
    <w:rsid w:val="00A45C4B"/>
    <w:rsid w:val="00A45F33"/>
    <w:rsid w:val="00A65318"/>
    <w:rsid w:val="00A732AE"/>
    <w:rsid w:val="00AC10B6"/>
    <w:rsid w:val="00AD6B08"/>
    <w:rsid w:val="00B121C3"/>
    <w:rsid w:val="00B3650A"/>
    <w:rsid w:val="00B53B7A"/>
    <w:rsid w:val="00B572E0"/>
    <w:rsid w:val="00BB1CDB"/>
    <w:rsid w:val="00C10E8F"/>
    <w:rsid w:val="00C16328"/>
    <w:rsid w:val="00C245AF"/>
    <w:rsid w:val="00C81DA4"/>
    <w:rsid w:val="00CA5C7E"/>
    <w:rsid w:val="00CB5846"/>
    <w:rsid w:val="00D13387"/>
    <w:rsid w:val="00D36BD4"/>
    <w:rsid w:val="00D422CC"/>
    <w:rsid w:val="00D53B18"/>
    <w:rsid w:val="00D541E6"/>
    <w:rsid w:val="00D671F2"/>
    <w:rsid w:val="00D6798C"/>
    <w:rsid w:val="00D842A9"/>
    <w:rsid w:val="00D962E2"/>
    <w:rsid w:val="00DF07A7"/>
    <w:rsid w:val="00E0032D"/>
    <w:rsid w:val="00E0573F"/>
    <w:rsid w:val="00E10072"/>
    <w:rsid w:val="00E27604"/>
    <w:rsid w:val="00E279DC"/>
    <w:rsid w:val="00E67D47"/>
    <w:rsid w:val="00EE765B"/>
    <w:rsid w:val="00F06374"/>
    <w:rsid w:val="00F133CC"/>
    <w:rsid w:val="00F213CB"/>
    <w:rsid w:val="00F33999"/>
    <w:rsid w:val="00F42BDE"/>
    <w:rsid w:val="00F531BE"/>
    <w:rsid w:val="00F62D3C"/>
    <w:rsid w:val="00FB4ECE"/>
    <w:rsid w:val="00FF0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rules v:ext="edit">
        <o:r id="V:Rule1" type="connector" idref="#_x0000_s2050"/>
      </o:rules>
    </o:shapelayout>
  </w:shapeDefaults>
  <w:decimalSymbol w:val="."/>
  <w:listSeparator w:val=","/>
  <w14:docId w14:val="55061AE1"/>
  <w15:docId w15:val="{E3F7F1B8-E0DF-4E3E-8203-CC62DC309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0471"/>
    <w:pPr>
      <w:spacing w:after="0" w:line="240" w:lineRule="auto"/>
    </w:pPr>
    <w:rPr>
      <w:rFonts w:ascii="Helvetica" w:eastAsia="Times New Roman" w:hAnsi="Helvetica" w:cs="Times New Roman"/>
      <w:sz w:val="20"/>
      <w:szCs w:val="20"/>
    </w:rPr>
  </w:style>
  <w:style w:type="paragraph" w:styleId="Heading1">
    <w:name w:val="heading 1"/>
    <w:basedOn w:val="Normal"/>
    <w:link w:val="Heading1Char"/>
    <w:uiPriority w:val="9"/>
    <w:qFormat/>
    <w:rsid w:val="00FF0471"/>
    <w:pPr>
      <w:spacing w:before="100" w:beforeAutospacing="1" w:after="100" w:afterAutospacing="1"/>
      <w:outlineLvl w:val="0"/>
    </w:pPr>
    <w:rPr>
      <w:rFonts w:ascii="Times New Roman" w:hAnsi="Times New Roman"/>
      <w:b/>
      <w:bCs/>
      <w:kern w:val="36"/>
      <w:sz w:val="48"/>
      <w:szCs w:val="48"/>
    </w:rPr>
  </w:style>
  <w:style w:type="paragraph" w:styleId="Heading2">
    <w:name w:val="heading 2"/>
    <w:basedOn w:val="Normal"/>
    <w:link w:val="Heading2Char"/>
    <w:uiPriority w:val="9"/>
    <w:qFormat/>
    <w:rsid w:val="00FF0471"/>
    <w:pPr>
      <w:spacing w:before="100" w:beforeAutospacing="1" w:after="100" w:afterAutospacing="1"/>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rsid w:val="00FF0471"/>
    <w:pPr>
      <w:keepNext/>
      <w:keepLines/>
      <w:spacing w:before="200" w:line="276" w:lineRule="auto"/>
      <w:outlineLvl w:val="2"/>
    </w:pPr>
    <w:rPr>
      <w:rFonts w:asciiTheme="majorHAnsi" w:eastAsiaTheme="majorEastAsia" w:hAnsiTheme="majorHAnsi" w:cstheme="majorBidi"/>
      <w:b/>
      <w:bCs/>
      <w:color w:val="4F81BD" w:themeColor="accent1"/>
      <w:sz w:val="22"/>
      <w:szCs w:val="22"/>
    </w:rPr>
  </w:style>
  <w:style w:type="paragraph" w:styleId="Heading4">
    <w:name w:val="heading 4"/>
    <w:basedOn w:val="Normal"/>
    <w:next w:val="Normal"/>
    <w:link w:val="Heading4Char"/>
    <w:uiPriority w:val="9"/>
    <w:semiHidden/>
    <w:unhideWhenUsed/>
    <w:qFormat/>
    <w:rsid w:val="00E0032D"/>
    <w:pPr>
      <w:keepNext/>
      <w:keepLines/>
      <w:spacing w:before="200" w:line="276" w:lineRule="auto"/>
      <w:outlineLvl w:val="3"/>
    </w:pPr>
    <w:rPr>
      <w:rFonts w:asciiTheme="majorHAnsi" w:eastAsiaTheme="majorEastAsia" w:hAnsiTheme="majorHAnsi" w:cstheme="majorBidi"/>
      <w:b/>
      <w:bCs/>
      <w:i/>
      <w:iCs/>
      <w:color w:val="4F81BD" w:themeColor="accent1"/>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0471"/>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FF0471"/>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FF0471"/>
    <w:rPr>
      <w:rFonts w:asciiTheme="majorHAnsi" w:eastAsiaTheme="majorEastAsia" w:hAnsiTheme="majorHAnsi" w:cstheme="majorBidi"/>
      <w:b/>
      <w:bCs/>
      <w:color w:val="4F81BD" w:themeColor="accent1"/>
    </w:rPr>
  </w:style>
  <w:style w:type="paragraph" w:customStyle="1" w:styleId="Author">
    <w:name w:val="Author"/>
    <w:basedOn w:val="Normal"/>
    <w:rsid w:val="00FF0471"/>
    <w:pPr>
      <w:spacing w:line="280" w:lineRule="exact"/>
      <w:jc w:val="right"/>
    </w:pPr>
    <w:rPr>
      <w:b/>
      <w:sz w:val="24"/>
    </w:rPr>
  </w:style>
  <w:style w:type="paragraph" w:customStyle="1" w:styleId="Affiliation">
    <w:name w:val="Affiliation"/>
    <w:basedOn w:val="Normal"/>
    <w:rsid w:val="00FF0471"/>
    <w:pPr>
      <w:spacing w:after="240" w:line="240" w:lineRule="exact"/>
      <w:jc w:val="right"/>
    </w:pPr>
  </w:style>
  <w:style w:type="paragraph" w:customStyle="1" w:styleId="Body">
    <w:name w:val="Body"/>
    <w:basedOn w:val="Normal"/>
    <w:rsid w:val="00FF0471"/>
    <w:pPr>
      <w:spacing w:after="240"/>
      <w:jc w:val="both"/>
    </w:pPr>
  </w:style>
  <w:style w:type="paragraph" w:customStyle="1" w:styleId="AbstHead">
    <w:name w:val="Abst Head"/>
    <w:basedOn w:val="Normal"/>
    <w:rsid w:val="00FF0471"/>
    <w:pPr>
      <w:keepNext/>
      <w:spacing w:after="240"/>
    </w:pPr>
    <w:rPr>
      <w:b/>
      <w:caps/>
      <w:sz w:val="22"/>
    </w:rPr>
  </w:style>
  <w:style w:type="paragraph" w:customStyle="1" w:styleId="ConcHead">
    <w:name w:val="Conc Head"/>
    <w:basedOn w:val="Normal"/>
    <w:rsid w:val="00FF0471"/>
    <w:pPr>
      <w:keepNext/>
      <w:spacing w:after="240"/>
    </w:pPr>
    <w:rPr>
      <w:b/>
      <w:caps/>
      <w:sz w:val="22"/>
    </w:rPr>
  </w:style>
  <w:style w:type="paragraph" w:customStyle="1" w:styleId="AcknHead">
    <w:name w:val="Ackn Head"/>
    <w:basedOn w:val="Normal"/>
    <w:rsid w:val="00FF0471"/>
    <w:pPr>
      <w:keepNext/>
      <w:spacing w:after="240"/>
    </w:pPr>
    <w:rPr>
      <w:b/>
      <w:caps/>
      <w:sz w:val="22"/>
    </w:rPr>
  </w:style>
  <w:style w:type="paragraph" w:customStyle="1" w:styleId="ReferHead">
    <w:name w:val="Refer Head"/>
    <w:basedOn w:val="Normal"/>
    <w:rsid w:val="00FF0471"/>
    <w:pPr>
      <w:keepNext/>
      <w:spacing w:after="240"/>
    </w:pPr>
    <w:rPr>
      <w:b/>
      <w:caps/>
      <w:sz w:val="22"/>
    </w:rPr>
  </w:style>
  <w:style w:type="paragraph" w:customStyle="1" w:styleId="DefAcrHead">
    <w:name w:val="DefAcrHead"/>
    <w:basedOn w:val="Normal"/>
    <w:rsid w:val="00FF0471"/>
    <w:pPr>
      <w:keepNext/>
      <w:spacing w:after="240"/>
    </w:pPr>
    <w:rPr>
      <w:b/>
      <w:caps/>
      <w:sz w:val="22"/>
    </w:rPr>
  </w:style>
  <w:style w:type="paragraph" w:customStyle="1" w:styleId="Copyright">
    <w:name w:val="Copyright"/>
    <w:basedOn w:val="Normal"/>
    <w:rsid w:val="00FF0471"/>
    <w:pPr>
      <w:spacing w:after="960" w:line="200" w:lineRule="exact"/>
    </w:pPr>
    <w:rPr>
      <w:sz w:val="16"/>
    </w:rPr>
  </w:style>
  <w:style w:type="paragraph" w:styleId="Title">
    <w:name w:val="Title"/>
    <w:basedOn w:val="Normal"/>
    <w:link w:val="TitleChar"/>
    <w:qFormat/>
    <w:rsid w:val="00FF0471"/>
    <w:pPr>
      <w:spacing w:after="360"/>
      <w:jc w:val="right"/>
    </w:pPr>
    <w:rPr>
      <w:b/>
      <w:kern w:val="28"/>
      <w:sz w:val="36"/>
    </w:rPr>
  </w:style>
  <w:style w:type="character" w:customStyle="1" w:styleId="TitleChar">
    <w:name w:val="Title Char"/>
    <w:basedOn w:val="DefaultParagraphFont"/>
    <w:link w:val="Title"/>
    <w:rsid w:val="00FF0471"/>
    <w:rPr>
      <w:rFonts w:ascii="Helvetica" w:eastAsia="Times New Roman" w:hAnsi="Helvetica" w:cs="Times New Roman"/>
      <w:b/>
      <w:kern w:val="28"/>
      <w:sz w:val="36"/>
      <w:szCs w:val="20"/>
    </w:rPr>
  </w:style>
  <w:style w:type="paragraph" w:customStyle="1" w:styleId="Reference">
    <w:name w:val="Reference"/>
    <w:basedOn w:val="Body"/>
    <w:rsid w:val="00FF0471"/>
    <w:pPr>
      <w:tabs>
        <w:tab w:val="num" w:pos="360"/>
      </w:tabs>
      <w:spacing w:after="0" w:line="240" w:lineRule="exact"/>
      <w:ind w:left="360" w:hanging="360"/>
    </w:pPr>
  </w:style>
  <w:style w:type="paragraph" w:customStyle="1" w:styleId="Head1">
    <w:name w:val="Head1"/>
    <w:basedOn w:val="Normal"/>
    <w:rsid w:val="00FF0471"/>
    <w:pPr>
      <w:keepNext/>
      <w:spacing w:after="240"/>
    </w:pPr>
    <w:rPr>
      <w:b/>
      <w:caps/>
      <w:sz w:val="22"/>
    </w:rPr>
  </w:style>
  <w:style w:type="paragraph" w:customStyle="1" w:styleId="Appendix">
    <w:name w:val="Appendix"/>
    <w:basedOn w:val="Normal"/>
    <w:rsid w:val="00FF0471"/>
    <w:pPr>
      <w:keepNext/>
      <w:spacing w:after="240"/>
    </w:pPr>
    <w:rPr>
      <w:b/>
      <w:caps/>
      <w:sz w:val="22"/>
    </w:rPr>
  </w:style>
  <w:style w:type="paragraph" w:styleId="Footer">
    <w:name w:val="footer"/>
    <w:basedOn w:val="Normal"/>
    <w:link w:val="FooterChar"/>
    <w:uiPriority w:val="99"/>
    <w:rsid w:val="00FF0471"/>
    <w:pPr>
      <w:tabs>
        <w:tab w:val="center" w:pos="4320"/>
        <w:tab w:val="right" w:pos="8640"/>
      </w:tabs>
    </w:pPr>
  </w:style>
  <w:style w:type="character" w:customStyle="1" w:styleId="FooterChar">
    <w:name w:val="Footer Char"/>
    <w:basedOn w:val="DefaultParagraphFont"/>
    <w:link w:val="Footer"/>
    <w:uiPriority w:val="99"/>
    <w:rsid w:val="00FF0471"/>
    <w:rPr>
      <w:rFonts w:ascii="Helvetica" w:eastAsia="Times New Roman" w:hAnsi="Helvetica" w:cs="Times New Roman"/>
      <w:sz w:val="20"/>
      <w:szCs w:val="20"/>
    </w:rPr>
  </w:style>
  <w:style w:type="paragraph" w:styleId="Header">
    <w:name w:val="header"/>
    <w:basedOn w:val="Normal"/>
    <w:link w:val="HeaderChar"/>
    <w:uiPriority w:val="99"/>
    <w:rsid w:val="00FF0471"/>
    <w:pPr>
      <w:tabs>
        <w:tab w:val="center" w:pos="4320"/>
        <w:tab w:val="right" w:pos="8640"/>
      </w:tabs>
    </w:pPr>
  </w:style>
  <w:style w:type="character" w:customStyle="1" w:styleId="HeaderChar">
    <w:name w:val="Header Char"/>
    <w:basedOn w:val="DefaultParagraphFont"/>
    <w:link w:val="Header"/>
    <w:uiPriority w:val="99"/>
    <w:rsid w:val="00FF0471"/>
    <w:rPr>
      <w:rFonts w:ascii="Helvetica" w:eastAsia="Times New Roman" w:hAnsi="Helvetica" w:cs="Times New Roman"/>
      <w:sz w:val="20"/>
      <w:szCs w:val="20"/>
    </w:rPr>
  </w:style>
  <w:style w:type="character" w:styleId="Hyperlink">
    <w:name w:val="Hyperlink"/>
    <w:basedOn w:val="DefaultParagraphFont"/>
    <w:uiPriority w:val="99"/>
    <w:rsid w:val="00FF0471"/>
    <w:rPr>
      <w:color w:val="FF0080"/>
      <w:u w:val="single"/>
    </w:rPr>
  </w:style>
  <w:style w:type="paragraph" w:styleId="BodyText3">
    <w:name w:val="Body Text 3"/>
    <w:basedOn w:val="Normal"/>
    <w:link w:val="BodyText3Char"/>
    <w:rsid w:val="00FF0471"/>
    <w:pPr>
      <w:spacing w:after="120"/>
    </w:pPr>
    <w:rPr>
      <w:sz w:val="16"/>
      <w:szCs w:val="16"/>
    </w:rPr>
  </w:style>
  <w:style w:type="character" w:customStyle="1" w:styleId="BodyText3Char">
    <w:name w:val="Body Text 3 Char"/>
    <w:basedOn w:val="DefaultParagraphFont"/>
    <w:link w:val="BodyText3"/>
    <w:rsid w:val="00FF0471"/>
    <w:rPr>
      <w:rFonts w:ascii="Helvetica" w:eastAsia="Times New Roman" w:hAnsi="Helvetica" w:cs="Times New Roman"/>
      <w:sz w:val="16"/>
      <w:szCs w:val="16"/>
    </w:rPr>
  </w:style>
  <w:style w:type="character" w:styleId="LineNumber">
    <w:name w:val="line number"/>
    <w:basedOn w:val="DefaultParagraphFont"/>
    <w:uiPriority w:val="99"/>
    <w:semiHidden/>
    <w:unhideWhenUsed/>
    <w:rsid w:val="00FF0471"/>
  </w:style>
  <w:style w:type="paragraph" w:styleId="BalloonText">
    <w:name w:val="Balloon Text"/>
    <w:basedOn w:val="Normal"/>
    <w:link w:val="BalloonTextChar"/>
    <w:uiPriority w:val="99"/>
    <w:semiHidden/>
    <w:unhideWhenUsed/>
    <w:rsid w:val="00FF0471"/>
    <w:rPr>
      <w:rFonts w:ascii="Tahoma" w:hAnsi="Tahoma" w:cs="Tahoma"/>
      <w:sz w:val="16"/>
      <w:szCs w:val="16"/>
    </w:rPr>
  </w:style>
  <w:style w:type="character" w:customStyle="1" w:styleId="BalloonTextChar">
    <w:name w:val="Balloon Text Char"/>
    <w:basedOn w:val="DefaultParagraphFont"/>
    <w:link w:val="BalloonText"/>
    <w:uiPriority w:val="99"/>
    <w:semiHidden/>
    <w:rsid w:val="00FF0471"/>
    <w:rPr>
      <w:rFonts w:ascii="Tahoma" w:eastAsia="Times New Roman" w:hAnsi="Tahoma" w:cs="Tahoma"/>
      <w:sz w:val="16"/>
      <w:szCs w:val="16"/>
    </w:rPr>
  </w:style>
  <w:style w:type="character" w:customStyle="1" w:styleId="timestamp">
    <w:name w:val="timestamp"/>
    <w:basedOn w:val="DefaultParagraphFont"/>
    <w:rsid w:val="00FF0471"/>
  </w:style>
  <w:style w:type="paragraph" w:styleId="NormalWeb">
    <w:name w:val="Normal (Web)"/>
    <w:basedOn w:val="Normal"/>
    <w:uiPriority w:val="99"/>
    <w:unhideWhenUsed/>
    <w:rsid w:val="00FF0471"/>
    <w:pPr>
      <w:spacing w:before="100" w:beforeAutospacing="1" w:after="100" w:afterAutospacing="1"/>
    </w:pPr>
    <w:rPr>
      <w:rFonts w:ascii="Times New Roman" w:hAnsi="Times New Roman"/>
      <w:sz w:val="24"/>
      <w:szCs w:val="24"/>
    </w:rPr>
  </w:style>
  <w:style w:type="paragraph" w:customStyle="1" w:styleId="paragraphseparator">
    <w:name w:val="paragraphseparator"/>
    <w:basedOn w:val="Normal"/>
    <w:rsid w:val="00FF0471"/>
    <w:pPr>
      <w:spacing w:before="100" w:beforeAutospacing="1" w:after="100" w:afterAutospacing="1"/>
    </w:pPr>
    <w:rPr>
      <w:rFonts w:ascii="Times New Roman" w:hAnsi="Times New Roman"/>
      <w:sz w:val="24"/>
      <w:szCs w:val="24"/>
    </w:rPr>
  </w:style>
  <w:style w:type="paragraph" w:customStyle="1" w:styleId="articletitleparagraph">
    <w:name w:val="articletitleparagraph"/>
    <w:basedOn w:val="Normal"/>
    <w:rsid w:val="00FF0471"/>
    <w:pPr>
      <w:spacing w:before="100" w:beforeAutospacing="1" w:after="100" w:afterAutospacing="1"/>
    </w:pPr>
    <w:rPr>
      <w:rFonts w:ascii="Times New Roman" w:hAnsi="Times New Roman"/>
      <w:sz w:val="24"/>
      <w:szCs w:val="24"/>
    </w:rPr>
  </w:style>
  <w:style w:type="paragraph" w:customStyle="1" w:styleId="authorlistparagraph">
    <w:name w:val="authorlistparagraph"/>
    <w:basedOn w:val="Normal"/>
    <w:rsid w:val="00FF0471"/>
    <w:pPr>
      <w:spacing w:before="100" w:beforeAutospacing="1" w:after="100" w:afterAutospacing="1"/>
    </w:pPr>
    <w:rPr>
      <w:rFonts w:ascii="Times New Roman" w:hAnsi="Times New Roman"/>
      <w:sz w:val="24"/>
      <w:szCs w:val="24"/>
    </w:rPr>
  </w:style>
  <w:style w:type="character" w:customStyle="1" w:styleId="relative">
    <w:name w:val="relative"/>
    <w:basedOn w:val="DefaultParagraphFont"/>
    <w:rsid w:val="00FF0471"/>
  </w:style>
  <w:style w:type="character" w:styleId="Emphasis">
    <w:name w:val="Emphasis"/>
    <w:basedOn w:val="DefaultParagraphFont"/>
    <w:uiPriority w:val="20"/>
    <w:qFormat/>
    <w:rsid w:val="00FF0471"/>
    <w:rPr>
      <w:i/>
      <w:iCs/>
    </w:rPr>
  </w:style>
  <w:style w:type="character" w:styleId="Strong">
    <w:name w:val="Strong"/>
    <w:basedOn w:val="DefaultParagraphFont"/>
    <w:uiPriority w:val="22"/>
    <w:qFormat/>
    <w:rsid w:val="00FF0471"/>
    <w:rPr>
      <w:b/>
      <w:bCs/>
    </w:rPr>
  </w:style>
  <w:style w:type="character" w:customStyle="1" w:styleId="overflow-hidden">
    <w:name w:val="overflow-hidden"/>
    <w:basedOn w:val="DefaultParagraphFont"/>
    <w:rsid w:val="00FF0471"/>
  </w:style>
  <w:style w:type="character" w:customStyle="1" w:styleId="z-TopofFormChar">
    <w:name w:val="z-Top of Form Char"/>
    <w:basedOn w:val="DefaultParagraphFont"/>
    <w:link w:val="z-TopofForm"/>
    <w:uiPriority w:val="99"/>
    <w:semiHidden/>
    <w:rsid w:val="00FF0471"/>
    <w:rPr>
      <w:rFonts w:ascii="Arial" w:eastAsia="Times New Roman" w:hAnsi="Arial" w:cs="Arial"/>
      <w:vanish/>
      <w:sz w:val="16"/>
      <w:szCs w:val="16"/>
    </w:rPr>
  </w:style>
  <w:style w:type="paragraph" w:styleId="z-TopofForm">
    <w:name w:val="HTML Top of Form"/>
    <w:basedOn w:val="Normal"/>
    <w:next w:val="Normal"/>
    <w:link w:val="z-TopofFormChar"/>
    <w:hidden/>
    <w:uiPriority w:val="99"/>
    <w:semiHidden/>
    <w:unhideWhenUsed/>
    <w:rsid w:val="00FF0471"/>
    <w:pPr>
      <w:pBdr>
        <w:bottom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FF0471"/>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FF0471"/>
    <w:pPr>
      <w:pBdr>
        <w:top w:val="single" w:sz="6" w:space="1" w:color="auto"/>
      </w:pBdr>
      <w:jc w:val="center"/>
    </w:pPr>
    <w:rPr>
      <w:rFonts w:ascii="Arial" w:hAnsi="Arial" w:cs="Arial"/>
      <w:vanish/>
      <w:sz w:val="16"/>
      <w:szCs w:val="16"/>
    </w:rPr>
  </w:style>
  <w:style w:type="paragraph" w:styleId="ListParagraph">
    <w:name w:val="List Paragraph"/>
    <w:basedOn w:val="Normal"/>
    <w:uiPriority w:val="34"/>
    <w:qFormat/>
    <w:rsid w:val="00FF0471"/>
    <w:pPr>
      <w:spacing w:after="200" w:line="276" w:lineRule="auto"/>
      <w:ind w:left="720"/>
      <w:contextualSpacing/>
    </w:pPr>
    <w:rPr>
      <w:rFonts w:asciiTheme="minorHAnsi" w:eastAsiaTheme="minorHAnsi" w:hAnsiTheme="minorHAnsi" w:cstheme="minorBidi"/>
      <w:sz w:val="22"/>
      <w:szCs w:val="22"/>
    </w:rPr>
  </w:style>
  <w:style w:type="table" w:styleId="TableGrid">
    <w:name w:val="Table Grid"/>
    <w:basedOn w:val="TableNormal"/>
    <w:uiPriority w:val="59"/>
    <w:rsid w:val="00FF047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laceholder">
    <w:name w:val="placeholder"/>
    <w:basedOn w:val="Normal"/>
    <w:rsid w:val="002D5E62"/>
    <w:pPr>
      <w:spacing w:before="100" w:beforeAutospacing="1" w:after="100" w:afterAutospacing="1"/>
    </w:pPr>
    <w:rPr>
      <w:rFonts w:ascii="Times New Roman" w:hAnsi="Times New Roman"/>
      <w:sz w:val="24"/>
      <w:szCs w:val="24"/>
    </w:rPr>
  </w:style>
  <w:style w:type="character" w:customStyle="1" w:styleId="Heading4Char">
    <w:name w:val="Heading 4 Char"/>
    <w:basedOn w:val="DefaultParagraphFont"/>
    <w:link w:val="Heading4"/>
    <w:uiPriority w:val="9"/>
    <w:semiHidden/>
    <w:rsid w:val="00E0032D"/>
    <w:rPr>
      <w:rFonts w:asciiTheme="majorHAnsi" w:eastAsiaTheme="majorEastAsia" w:hAnsiTheme="majorHAnsi" w:cstheme="majorBidi"/>
      <w:b/>
      <w:bCs/>
      <w:i/>
      <w:iCs/>
      <w:color w:val="4F81BD" w:themeColor="accent1"/>
    </w:rPr>
  </w:style>
  <w:style w:type="numbering" w:customStyle="1" w:styleId="NoList1">
    <w:name w:val="No List1"/>
    <w:next w:val="NoList"/>
    <w:uiPriority w:val="99"/>
    <w:semiHidden/>
    <w:unhideWhenUsed/>
    <w:rsid w:val="00E0032D"/>
  </w:style>
  <w:style w:type="character" w:customStyle="1" w:styleId="katex-mathml">
    <w:name w:val="katex-mathml"/>
    <w:basedOn w:val="DefaultParagraphFont"/>
    <w:rsid w:val="00E0032D"/>
  </w:style>
  <w:style w:type="character" w:customStyle="1" w:styleId="mord">
    <w:name w:val="mord"/>
    <w:basedOn w:val="DefaultParagraphFont"/>
    <w:rsid w:val="00E0032D"/>
  </w:style>
  <w:style w:type="character" w:customStyle="1" w:styleId="vlist-s">
    <w:name w:val="vlist-s"/>
    <w:basedOn w:val="DefaultParagraphFont"/>
    <w:rsid w:val="00E0032D"/>
  </w:style>
  <w:style w:type="character" w:customStyle="1" w:styleId="mrel">
    <w:name w:val="mrel"/>
    <w:basedOn w:val="DefaultParagraphFont"/>
    <w:rsid w:val="00E0032D"/>
  </w:style>
  <w:style w:type="character" w:customStyle="1" w:styleId="mpunct">
    <w:name w:val="mpunct"/>
    <w:basedOn w:val="DefaultParagraphFont"/>
    <w:rsid w:val="00E0032D"/>
  </w:style>
  <w:style w:type="character" w:customStyle="1" w:styleId="minner">
    <w:name w:val="minner"/>
    <w:basedOn w:val="DefaultParagraphFont"/>
    <w:rsid w:val="00E0032D"/>
  </w:style>
  <w:style w:type="character" w:styleId="PlaceholderText">
    <w:name w:val="Placeholder Text"/>
    <w:basedOn w:val="DefaultParagraphFont"/>
    <w:uiPriority w:val="99"/>
    <w:semiHidden/>
    <w:rsid w:val="00E0032D"/>
    <w:rPr>
      <w:color w:val="808080"/>
    </w:rPr>
  </w:style>
  <w:style w:type="character" w:customStyle="1" w:styleId="mopen">
    <w:name w:val="mopen"/>
    <w:basedOn w:val="DefaultParagraphFont"/>
    <w:rsid w:val="00E0032D"/>
  </w:style>
  <w:style w:type="character" w:customStyle="1" w:styleId="mclose">
    <w:name w:val="mclose"/>
    <w:basedOn w:val="DefaultParagraphFont"/>
    <w:rsid w:val="00E0032D"/>
  </w:style>
  <w:style w:type="character" w:customStyle="1" w:styleId="mbin">
    <w:name w:val="mbin"/>
    <w:basedOn w:val="DefaultParagraphFont"/>
    <w:rsid w:val="00E0032D"/>
  </w:style>
  <w:style w:type="character" w:customStyle="1" w:styleId="mop">
    <w:name w:val="mop"/>
    <w:basedOn w:val="DefaultParagraphFont"/>
    <w:rsid w:val="00E0032D"/>
  </w:style>
  <w:style w:type="character" w:customStyle="1" w:styleId="UnresolvedMention1">
    <w:name w:val="Unresolved Mention1"/>
    <w:basedOn w:val="DefaultParagraphFont"/>
    <w:uiPriority w:val="99"/>
    <w:semiHidden/>
    <w:unhideWhenUsed/>
    <w:rsid w:val="002F22AC"/>
    <w:rPr>
      <w:color w:val="605E5C"/>
      <w:shd w:val="clear" w:color="auto" w:fill="E1DFDD"/>
    </w:rPr>
  </w:style>
  <w:style w:type="character" w:styleId="FollowedHyperlink">
    <w:name w:val="FollowedHyperlink"/>
    <w:basedOn w:val="DefaultParagraphFont"/>
    <w:uiPriority w:val="99"/>
    <w:semiHidden/>
    <w:unhideWhenUsed/>
    <w:rsid w:val="001E60A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565656">
      <w:bodyDiv w:val="1"/>
      <w:marLeft w:val="0"/>
      <w:marRight w:val="0"/>
      <w:marTop w:val="0"/>
      <w:marBottom w:val="0"/>
      <w:divBdr>
        <w:top w:val="none" w:sz="0" w:space="0" w:color="auto"/>
        <w:left w:val="none" w:sz="0" w:space="0" w:color="auto"/>
        <w:bottom w:val="none" w:sz="0" w:space="0" w:color="auto"/>
        <w:right w:val="none" w:sz="0" w:space="0" w:color="auto"/>
      </w:divBdr>
      <w:divsChild>
        <w:div w:id="18968341">
          <w:marLeft w:val="0"/>
          <w:marRight w:val="0"/>
          <w:marTop w:val="0"/>
          <w:marBottom w:val="0"/>
          <w:divBdr>
            <w:top w:val="none" w:sz="0" w:space="0" w:color="auto"/>
            <w:left w:val="none" w:sz="0" w:space="0" w:color="auto"/>
            <w:bottom w:val="none" w:sz="0" w:space="0" w:color="auto"/>
            <w:right w:val="none" w:sz="0" w:space="0" w:color="auto"/>
          </w:divBdr>
          <w:divsChild>
            <w:div w:id="394091580">
              <w:marLeft w:val="0"/>
              <w:marRight w:val="0"/>
              <w:marTop w:val="0"/>
              <w:marBottom w:val="0"/>
              <w:divBdr>
                <w:top w:val="none" w:sz="0" w:space="0" w:color="auto"/>
                <w:left w:val="none" w:sz="0" w:space="0" w:color="auto"/>
                <w:bottom w:val="none" w:sz="0" w:space="0" w:color="auto"/>
                <w:right w:val="none" w:sz="0" w:space="0" w:color="auto"/>
              </w:divBdr>
              <w:divsChild>
                <w:div w:id="2079356033">
                  <w:marLeft w:val="0"/>
                  <w:marRight w:val="0"/>
                  <w:marTop w:val="0"/>
                  <w:marBottom w:val="0"/>
                  <w:divBdr>
                    <w:top w:val="none" w:sz="0" w:space="0" w:color="auto"/>
                    <w:left w:val="none" w:sz="0" w:space="0" w:color="auto"/>
                    <w:bottom w:val="none" w:sz="0" w:space="0" w:color="auto"/>
                    <w:right w:val="none" w:sz="0" w:space="0" w:color="auto"/>
                  </w:divBdr>
                  <w:divsChild>
                    <w:div w:id="693380569">
                      <w:marLeft w:val="0"/>
                      <w:marRight w:val="0"/>
                      <w:marTop w:val="0"/>
                      <w:marBottom w:val="0"/>
                      <w:divBdr>
                        <w:top w:val="none" w:sz="0" w:space="0" w:color="auto"/>
                        <w:left w:val="none" w:sz="0" w:space="0" w:color="auto"/>
                        <w:bottom w:val="none" w:sz="0" w:space="0" w:color="auto"/>
                        <w:right w:val="none" w:sz="0" w:space="0" w:color="auto"/>
                      </w:divBdr>
                      <w:divsChild>
                        <w:div w:id="346831083">
                          <w:marLeft w:val="0"/>
                          <w:marRight w:val="0"/>
                          <w:marTop w:val="0"/>
                          <w:marBottom w:val="0"/>
                          <w:divBdr>
                            <w:top w:val="none" w:sz="0" w:space="0" w:color="auto"/>
                            <w:left w:val="none" w:sz="0" w:space="0" w:color="auto"/>
                            <w:bottom w:val="none" w:sz="0" w:space="0" w:color="auto"/>
                            <w:right w:val="none" w:sz="0" w:space="0" w:color="auto"/>
                          </w:divBdr>
                          <w:divsChild>
                            <w:div w:id="1859654091">
                              <w:marLeft w:val="0"/>
                              <w:marRight w:val="0"/>
                              <w:marTop w:val="0"/>
                              <w:marBottom w:val="0"/>
                              <w:divBdr>
                                <w:top w:val="none" w:sz="0" w:space="0" w:color="auto"/>
                                <w:left w:val="none" w:sz="0" w:space="0" w:color="auto"/>
                                <w:bottom w:val="none" w:sz="0" w:space="0" w:color="auto"/>
                                <w:right w:val="none" w:sz="0" w:space="0" w:color="auto"/>
                              </w:divBdr>
                              <w:divsChild>
                                <w:div w:id="514655936">
                                  <w:marLeft w:val="0"/>
                                  <w:marRight w:val="0"/>
                                  <w:marTop w:val="0"/>
                                  <w:marBottom w:val="0"/>
                                  <w:divBdr>
                                    <w:top w:val="none" w:sz="0" w:space="0" w:color="auto"/>
                                    <w:left w:val="none" w:sz="0" w:space="0" w:color="auto"/>
                                    <w:bottom w:val="none" w:sz="0" w:space="0" w:color="auto"/>
                                    <w:right w:val="none" w:sz="0" w:space="0" w:color="auto"/>
                                  </w:divBdr>
                                  <w:divsChild>
                                    <w:div w:id="10192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3478413">
          <w:marLeft w:val="0"/>
          <w:marRight w:val="0"/>
          <w:marTop w:val="0"/>
          <w:marBottom w:val="0"/>
          <w:divBdr>
            <w:top w:val="none" w:sz="0" w:space="0" w:color="auto"/>
            <w:left w:val="none" w:sz="0" w:space="0" w:color="auto"/>
            <w:bottom w:val="none" w:sz="0" w:space="0" w:color="auto"/>
            <w:right w:val="none" w:sz="0" w:space="0" w:color="auto"/>
          </w:divBdr>
          <w:divsChild>
            <w:div w:id="537426511">
              <w:marLeft w:val="0"/>
              <w:marRight w:val="0"/>
              <w:marTop w:val="0"/>
              <w:marBottom w:val="0"/>
              <w:divBdr>
                <w:top w:val="none" w:sz="0" w:space="0" w:color="auto"/>
                <w:left w:val="none" w:sz="0" w:space="0" w:color="auto"/>
                <w:bottom w:val="none" w:sz="0" w:space="0" w:color="auto"/>
                <w:right w:val="none" w:sz="0" w:space="0" w:color="auto"/>
              </w:divBdr>
              <w:divsChild>
                <w:div w:id="1640065079">
                  <w:marLeft w:val="0"/>
                  <w:marRight w:val="0"/>
                  <w:marTop w:val="0"/>
                  <w:marBottom w:val="0"/>
                  <w:divBdr>
                    <w:top w:val="none" w:sz="0" w:space="0" w:color="auto"/>
                    <w:left w:val="none" w:sz="0" w:space="0" w:color="auto"/>
                    <w:bottom w:val="none" w:sz="0" w:space="0" w:color="auto"/>
                    <w:right w:val="none" w:sz="0" w:space="0" w:color="auto"/>
                  </w:divBdr>
                  <w:divsChild>
                    <w:div w:id="545527492">
                      <w:marLeft w:val="0"/>
                      <w:marRight w:val="0"/>
                      <w:marTop w:val="0"/>
                      <w:marBottom w:val="0"/>
                      <w:divBdr>
                        <w:top w:val="none" w:sz="0" w:space="0" w:color="auto"/>
                        <w:left w:val="none" w:sz="0" w:space="0" w:color="auto"/>
                        <w:bottom w:val="none" w:sz="0" w:space="0" w:color="auto"/>
                        <w:right w:val="none" w:sz="0" w:space="0" w:color="auto"/>
                      </w:divBdr>
                      <w:divsChild>
                        <w:div w:id="814685954">
                          <w:marLeft w:val="0"/>
                          <w:marRight w:val="0"/>
                          <w:marTop w:val="0"/>
                          <w:marBottom w:val="0"/>
                          <w:divBdr>
                            <w:top w:val="none" w:sz="0" w:space="0" w:color="auto"/>
                            <w:left w:val="none" w:sz="0" w:space="0" w:color="auto"/>
                            <w:bottom w:val="none" w:sz="0" w:space="0" w:color="auto"/>
                            <w:right w:val="none" w:sz="0" w:space="0" w:color="auto"/>
                          </w:divBdr>
                          <w:divsChild>
                            <w:div w:id="1458259917">
                              <w:marLeft w:val="0"/>
                              <w:marRight w:val="0"/>
                              <w:marTop w:val="0"/>
                              <w:marBottom w:val="0"/>
                              <w:divBdr>
                                <w:top w:val="none" w:sz="0" w:space="0" w:color="auto"/>
                                <w:left w:val="none" w:sz="0" w:space="0" w:color="auto"/>
                                <w:bottom w:val="none" w:sz="0" w:space="0" w:color="auto"/>
                                <w:right w:val="none" w:sz="0" w:space="0" w:color="auto"/>
                              </w:divBdr>
                              <w:divsChild>
                                <w:div w:id="1390349148">
                                  <w:marLeft w:val="0"/>
                                  <w:marRight w:val="0"/>
                                  <w:marTop w:val="0"/>
                                  <w:marBottom w:val="0"/>
                                  <w:divBdr>
                                    <w:top w:val="none" w:sz="0" w:space="0" w:color="auto"/>
                                    <w:left w:val="none" w:sz="0" w:space="0" w:color="auto"/>
                                    <w:bottom w:val="none" w:sz="0" w:space="0" w:color="auto"/>
                                    <w:right w:val="none" w:sz="0" w:space="0" w:color="auto"/>
                                  </w:divBdr>
                                  <w:divsChild>
                                    <w:div w:id="1927111002">
                                      <w:marLeft w:val="0"/>
                                      <w:marRight w:val="0"/>
                                      <w:marTop w:val="0"/>
                                      <w:marBottom w:val="0"/>
                                      <w:divBdr>
                                        <w:top w:val="none" w:sz="0" w:space="0" w:color="auto"/>
                                        <w:left w:val="none" w:sz="0" w:space="0" w:color="auto"/>
                                        <w:bottom w:val="none" w:sz="0" w:space="0" w:color="auto"/>
                                        <w:right w:val="none" w:sz="0" w:space="0" w:color="auto"/>
                                      </w:divBdr>
                                      <w:divsChild>
                                        <w:div w:id="1664360099">
                                          <w:marLeft w:val="0"/>
                                          <w:marRight w:val="0"/>
                                          <w:marTop w:val="0"/>
                                          <w:marBottom w:val="0"/>
                                          <w:divBdr>
                                            <w:top w:val="none" w:sz="0" w:space="0" w:color="auto"/>
                                            <w:left w:val="none" w:sz="0" w:space="0" w:color="auto"/>
                                            <w:bottom w:val="none" w:sz="0" w:space="0" w:color="auto"/>
                                            <w:right w:val="none" w:sz="0" w:space="0" w:color="auto"/>
                                          </w:divBdr>
                                          <w:divsChild>
                                            <w:div w:id="432169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90332980">
      <w:bodyDiv w:val="1"/>
      <w:marLeft w:val="0"/>
      <w:marRight w:val="0"/>
      <w:marTop w:val="0"/>
      <w:marBottom w:val="0"/>
      <w:divBdr>
        <w:top w:val="none" w:sz="0" w:space="0" w:color="auto"/>
        <w:left w:val="none" w:sz="0" w:space="0" w:color="auto"/>
        <w:bottom w:val="none" w:sz="0" w:space="0" w:color="auto"/>
        <w:right w:val="none" w:sz="0" w:space="0" w:color="auto"/>
      </w:divBdr>
    </w:div>
    <w:div w:id="1016151241">
      <w:bodyDiv w:val="1"/>
      <w:marLeft w:val="0"/>
      <w:marRight w:val="0"/>
      <w:marTop w:val="0"/>
      <w:marBottom w:val="0"/>
      <w:divBdr>
        <w:top w:val="none" w:sz="0" w:space="0" w:color="auto"/>
        <w:left w:val="none" w:sz="0" w:space="0" w:color="auto"/>
        <w:bottom w:val="none" w:sz="0" w:space="0" w:color="auto"/>
        <w:right w:val="none" w:sz="0" w:space="0" w:color="auto"/>
      </w:divBdr>
      <w:divsChild>
        <w:div w:id="1917788772">
          <w:marLeft w:val="0"/>
          <w:marRight w:val="0"/>
          <w:marTop w:val="0"/>
          <w:marBottom w:val="0"/>
          <w:divBdr>
            <w:top w:val="none" w:sz="0" w:space="0" w:color="auto"/>
            <w:left w:val="none" w:sz="0" w:space="0" w:color="auto"/>
            <w:bottom w:val="none" w:sz="0" w:space="0" w:color="auto"/>
            <w:right w:val="none" w:sz="0" w:space="0" w:color="auto"/>
          </w:divBdr>
          <w:divsChild>
            <w:div w:id="1748578003">
              <w:marLeft w:val="0"/>
              <w:marRight w:val="0"/>
              <w:marTop w:val="0"/>
              <w:marBottom w:val="0"/>
              <w:divBdr>
                <w:top w:val="none" w:sz="0" w:space="0" w:color="auto"/>
                <w:left w:val="none" w:sz="0" w:space="0" w:color="auto"/>
                <w:bottom w:val="none" w:sz="0" w:space="0" w:color="auto"/>
                <w:right w:val="none" w:sz="0" w:space="0" w:color="auto"/>
              </w:divBdr>
              <w:divsChild>
                <w:div w:id="1231380029">
                  <w:marLeft w:val="0"/>
                  <w:marRight w:val="0"/>
                  <w:marTop w:val="0"/>
                  <w:marBottom w:val="0"/>
                  <w:divBdr>
                    <w:top w:val="none" w:sz="0" w:space="0" w:color="auto"/>
                    <w:left w:val="none" w:sz="0" w:space="0" w:color="auto"/>
                    <w:bottom w:val="none" w:sz="0" w:space="0" w:color="auto"/>
                    <w:right w:val="none" w:sz="0" w:space="0" w:color="auto"/>
                  </w:divBdr>
                  <w:divsChild>
                    <w:div w:id="173494443">
                      <w:marLeft w:val="0"/>
                      <w:marRight w:val="0"/>
                      <w:marTop w:val="0"/>
                      <w:marBottom w:val="0"/>
                      <w:divBdr>
                        <w:top w:val="none" w:sz="0" w:space="0" w:color="auto"/>
                        <w:left w:val="none" w:sz="0" w:space="0" w:color="auto"/>
                        <w:bottom w:val="none" w:sz="0" w:space="0" w:color="auto"/>
                        <w:right w:val="none" w:sz="0" w:space="0" w:color="auto"/>
                      </w:divBdr>
                      <w:divsChild>
                        <w:div w:id="1030649804">
                          <w:marLeft w:val="0"/>
                          <w:marRight w:val="0"/>
                          <w:marTop w:val="0"/>
                          <w:marBottom w:val="0"/>
                          <w:divBdr>
                            <w:top w:val="none" w:sz="0" w:space="0" w:color="auto"/>
                            <w:left w:val="none" w:sz="0" w:space="0" w:color="auto"/>
                            <w:bottom w:val="none" w:sz="0" w:space="0" w:color="auto"/>
                            <w:right w:val="none" w:sz="0" w:space="0" w:color="auto"/>
                          </w:divBdr>
                          <w:divsChild>
                            <w:div w:id="473260878">
                              <w:marLeft w:val="0"/>
                              <w:marRight w:val="0"/>
                              <w:marTop w:val="0"/>
                              <w:marBottom w:val="0"/>
                              <w:divBdr>
                                <w:top w:val="none" w:sz="0" w:space="0" w:color="auto"/>
                                <w:left w:val="none" w:sz="0" w:space="0" w:color="auto"/>
                                <w:bottom w:val="none" w:sz="0" w:space="0" w:color="auto"/>
                                <w:right w:val="none" w:sz="0" w:space="0" w:color="auto"/>
                              </w:divBdr>
                              <w:divsChild>
                                <w:div w:id="133186125">
                                  <w:marLeft w:val="0"/>
                                  <w:marRight w:val="0"/>
                                  <w:marTop w:val="0"/>
                                  <w:marBottom w:val="0"/>
                                  <w:divBdr>
                                    <w:top w:val="none" w:sz="0" w:space="0" w:color="auto"/>
                                    <w:left w:val="none" w:sz="0" w:space="0" w:color="auto"/>
                                    <w:bottom w:val="none" w:sz="0" w:space="0" w:color="auto"/>
                                    <w:right w:val="none" w:sz="0" w:space="0" w:color="auto"/>
                                  </w:divBdr>
                                  <w:divsChild>
                                    <w:div w:id="658386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324487">
          <w:marLeft w:val="0"/>
          <w:marRight w:val="0"/>
          <w:marTop w:val="0"/>
          <w:marBottom w:val="0"/>
          <w:divBdr>
            <w:top w:val="none" w:sz="0" w:space="0" w:color="auto"/>
            <w:left w:val="none" w:sz="0" w:space="0" w:color="auto"/>
            <w:bottom w:val="none" w:sz="0" w:space="0" w:color="auto"/>
            <w:right w:val="none" w:sz="0" w:space="0" w:color="auto"/>
          </w:divBdr>
          <w:divsChild>
            <w:div w:id="2077170173">
              <w:marLeft w:val="0"/>
              <w:marRight w:val="0"/>
              <w:marTop w:val="0"/>
              <w:marBottom w:val="0"/>
              <w:divBdr>
                <w:top w:val="none" w:sz="0" w:space="0" w:color="auto"/>
                <w:left w:val="none" w:sz="0" w:space="0" w:color="auto"/>
                <w:bottom w:val="none" w:sz="0" w:space="0" w:color="auto"/>
                <w:right w:val="none" w:sz="0" w:space="0" w:color="auto"/>
              </w:divBdr>
              <w:divsChild>
                <w:div w:id="1876235472">
                  <w:marLeft w:val="0"/>
                  <w:marRight w:val="0"/>
                  <w:marTop w:val="0"/>
                  <w:marBottom w:val="0"/>
                  <w:divBdr>
                    <w:top w:val="none" w:sz="0" w:space="0" w:color="auto"/>
                    <w:left w:val="none" w:sz="0" w:space="0" w:color="auto"/>
                    <w:bottom w:val="none" w:sz="0" w:space="0" w:color="auto"/>
                    <w:right w:val="none" w:sz="0" w:space="0" w:color="auto"/>
                  </w:divBdr>
                  <w:divsChild>
                    <w:div w:id="1310288980">
                      <w:marLeft w:val="0"/>
                      <w:marRight w:val="0"/>
                      <w:marTop w:val="0"/>
                      <w:marBottom w:val="0"/>
                      <w:divBdr>
                        <w:top w:val="none" w:sz="0" w:space="0" w:color="auto"/>
                        <w:left w:val="none" w:sz="0" w:space="0" w:color="auto"/>
                        <w:bottom w:val="none" w:sz="0" w:space="0" w:color="auto"/>
                        <w:right w:val="none" w:sz="0" w:space="0" w:color="auto"/>
                      </w:divBdr>
                      <w:divsChild>
                        <w:div w:id="814294714">
                          <w:marLeft w:val="0"/>
                          <w:marRight w:val="0"/>
                          <w:marTop w:val="0"/>
                          <w:marBottom w:val="0"/>
                          <w:divBdr>
                            <w:top w:val="none" w:sz="0" w:space="0" w:color="auto"/>
                            <w:left w:val="none" w:sz="0" w:space="0" w:color="auto"/>
                            <w:bottom w:val="none" w:sz="0" w:space="0" w:color="auto"/>
                            <w:right w:val="none" w:sz="0" w:space="0" w:color="auto"/>
                          </w:divBdr>
                          <w:divsChild>
                            <w:div w:id="529146316">
                              <w:marLeft w:val="0"/>
                              <w:marRight w:val="0"/>
                              <w:marTop w:val="0"/>
                              <w:marBottom w:val="0"/>
                              <w:divBdr>
                                <w:top w:val="none" w:sz="0" w:space="0" w:color="auto"/>
                                <w:left w:val="none" w:sz="0" w:space="0" w:color="auto"/>
                                <w:bottom w:val="none" w:sz="0" w:space="0" w:color="auto"/>
                                <w:right w:val="none" w:sz="0" w:space="0" w:color="auto"/>
                              </w:divBdr>
                              <w:divsChild>
                                <w:div w:id="2028483785">
                                  <w:marLeft w:val="0"/>
                                  <w:marRight w:val="0"/>
                                  <w:marTop w:val="0"/>
                                  <w:marBottom w:val="0"/>
                                  <w:divBdr>
                                    <w:top w:val="none" w:sz="0" w:space="0" w:color="auto"/>
                                    <w:left w:val="none" w:sz="0" w:space="0" w:color="auto"/>
                                    <w:bottom w:val="none" w:sz="0" w:space="0" w:color="auto"/>
                                    <w:right w:val="none" w:sz="0" w:space="0" w:color="auto"/>
                                  </w:divBdr>
                                  <w:divsChild>
                                    <w:div w:id="1110053842">
                                      <w:marLeft w:val="0"/>
                                      <w:marRight w:val="0"/>
                                      <w:marTop w:val="0"/>
                                      <w:marBottom w:val="0"/>
                                      <w:divBdr>
                                        <w:top w:val="none" w:sz="0" w:space="0" w:color="auto"/>
                                        <w:left w:val="none" w:sz="0" w:space="0" w:color="auto"/>
                                        <w:bottom w:val="none" w:sz="0" w:space="0" w:color="auto"/>
                                        <w:right w:val="none" w:sz="0" w:space="0" w:color="auto"/>
                                      </w:divBdr>
                                      <w:divsChild>
                                        <w:div w:id="2053772441">
                                          <w:marLeft w:val="0"/>
                                          <w:marRight w:val="0"/>
                                          <w:marTop w:val="0"/>
                                          <w:marBottom w:val="0"/>
                                          <w:divBdr>
                                            <w:top w:val="none" w:sz="0" w:space="0" w:color="auto"/>
                                            <w:left w:val="none" w:sz="0" w:space="0" w:color="auto"/>
                                            <w:bottom w:val="none" w:sz="0" w:space="0" w:color="auto"/>
                                            <w:right w:val="none" w:sz="0" w:space="0" w:color="auto"/>
                                          </w:divBdr>
                                          <w:divsChild>
                                            <w:div w:id="1947692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97430151">
      <w:bodyDiv w:val="1"/>
      <w:marLeft w:val="0"/>
      <w:marRight w:val="0"/>
      <w:marTop w:val="0"/>
      <w:marBottom w:val="0"/>
      <w:divBdr>
        <w:top w:val="none" w:sz="0" w:space="0" w:color="auto"/>
        <w:left w:val="none" w:sz="0" w:space="0" w:color="auto"/>
        <w:bottom w:val="none" w:sz="0" w:space="0" w:color="auto"/>
        <w:right w:val="none" w:sz="0" w:space="0" w:color="auto"/>
      </w:divBdr>
      <w:divsChild>
        <w:div w:id="1294217776">
          <w:marLeft w:val="0"/>
          <w:marRight w:val="0"/>
          <w:marTop w:val="0"/>
          <w:marBottom w:val="0"/>
          <w:divBdr>
            <w:top w:val="none" w:sz="0" w:space="0" w:color="auto"/>
            <w:left w:val="none" w:sz="0" w:space="0" w:color="auto"/>
            <w:bottom w:val="none" w:sz="0" w:space="0" w:color="auto"/>
            <w:right w:val="none" w:sz="0" w:space="0" w:color="auto"/>
          </w:divBdr>
          <w:divsChild>
            <w:div w:id="1384477990">
              <w:marLeft w:val="0"/>
              <w:marRight w:val="0"/>
              <w:marTop w:val="0"/>
              <w:marBottom w:val="0"/>
              <w:divBdr>
                <w:top w:val="none" w:sz="0" w:space="0" w:color="auto"/>
                <w:left w:val="none" w:sz="0" w:space="0" w:color="auto"/>
                <w:bottom w:val="none" w:sz="0" w:space="0" w:color="auto"/>
                <w:right w:val="none" w:sz="0" w:space="0" w:color="auto"/>
              </w:divBdr>
              <w:divsChild>
                <w:div w:id="286132867">
                  <w:marLeft w:val="0"/>
                  <w:marRight w:val="0"/>
                  <w:marTop w:val="0"/>
                  <w:marBottom w:val="0"/>
                  <w:divBdr>
                    <w:top w:val="none" w:sz="0" w:space="0" w:color="auto"/>
                    <w:left w:val="none" w:sz="0" w:space="0" w:color="auto"/>
                    <w:bottom w:val="none" w:sz="0" w:space="0" w:color="auto"/>
                    <w:right w:val="none" w:sz="0" w:space="0" w:color="auto"/>
                  </w:divBdr>
                  <w:divsChild>
                    <w:div w:id="214434353">
                      <w:marLeft w:val="0"/>
                      <w:marRight w:val="0"/>
                      <w:marTop w:val="0"/>
                      <w:marBottom w:val="0"/>
                      <w:divBdr>
                        <w:top w:val="none" w:sz="0" w:space="0" w:color="auto"/>
                        <w:left w:val="none" w:sz="0" w:space="0" w:color="auto"/>
                        <w:bottom w:val="none" w:sz="0" w:space="0" w:color="auto"/>
                        <w:right w:val="none" w:sz="0" w:space="0" w:color="auto"/>
                      </w:divBdr>
                      <w:divsChild>
                        <w:div w:id="1418598499">
                          <w:marLeft w:val="0"/>
                          <w:marRight w:val="0"/>
                          <w:marTop w:val="0"/>
                          <w:marBottom w:val="0"/>
                          <w:divBdr>
                            <w:top w:val="none" w:sz="0" w:space="0" w:color="auto"/>
                            <w:left w:val="none" w:sz="0" w:space="0" w:color="auto"/>
                            <w:bottom w:val="none" w:sz="0" w:space="0" w:color="auto"/>
                            <w:right w:val="none" w:sz="0" w:space="0" w:color="auto"/>
                          </w:divBdr>
                          <w:divsChild>
                            <w:div w:id="1050959284">
                              <w:marLeft w:val="0"/>
                              <w:marRight w:val="0"/>
                              <w:marTop w:val="0"/>
                              <w:marBottom w:val="0"/>
                              <w:divBdr>
                                <w:top w:val="none" w:sz="0" w:space="0" w:color="auto"/>
                                <w:left w:val="none" w:sz="0" w:space="0" w:color="auto"/>
                                <w:bottom w:val="none" w:sz="0" w:space="0" w:color="auto"/>
                                <w:right w:val="none" w:sz="0" w:space="0" w:color="auto"/>
                              </w:divBdr>
                              <w:divsChild>
                                <w:div w:id="530456877">
                                  <w:marLeft w:val="0"/>
                                  <w:marRight w:val="0"/>
                                  <w:marTop w:val="0"/>
                                  <w:marBottom w:val="0"/>
                                  <w:divBdr>
                                    <w:top w:val="none" w:sz="0" w:space="0" w:color="auto"/>
                                    <w:left w:val="none" w:sz="0" w:space="0" w:color="auto"/>
                                    <w:bottom w:val="none" w:sz="0" w:space="0" w:color="auto"/>
                                    <w:right w:val="none" w:sz="0" w:space="0" w:color="auto"/>
                                  </w:divBdr>
                                  <w:divsChild>
                                    <w:div w:id="828057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1916624">
          <w:marLeft w:val="0"/>
          <w:marRight w:val="0"/>
          <w:marTop w:val="0"/>
          <w:marBottom w:val="0"/>
          <w:divBdr>
            <w:top w:val="none" w:sz="0" w:space="0" w:color="auto"/>
            <w:left w:val="none" w:sz="0" w:space="0" w:color="auto"/>
            <w:bottom w:val="none" w:sz="0" w:space="0" w:color="auto"/>
            <w:right w:val="none" w:sz="0" w:space="0" w:color="auto"/>
          </w:divBdr>
          <w:divsChild>
            <w:div w:id="974994199">
              <w:marLeft w:val="0"/>
              <w:marRight w:val="0"/>
              <w:marTop w:val="0"/>
              <w:marBottom w:val="0"/>
              <w:divBdr>
                <w:top w:val="none" w:sz="0" w:space="0" w:color="auto"/>
                <w:left w:val="none" w:sz="0" w:space="0" w:color="auto"/>
                <w:bottom w:val="none" w:sz="0" w:space="0" w:color="auto"/>
                <w:right w:val="none" w:sz="0" w:space="0" w:color="auto"/>
              </w:divBdr>
              <w:divsChild>
                <w:div w:id="499810161">
                  <w:marLeft w:val="0"/>
                  <w:marRight w:val="0"/>
                  <w:marTop w:val="0"/>
                  <w:marBottom w:val="0"/>
                  <w:divBdr>
                    <w:top w:val="none" w:sz="0" w:space="0" w:color="auto"/>
                    <w:left w:val="none" w:sz="0" w:space="0" w:color="auto"/>
                    <w:bottom w:val="none" w:sz="0" w:space="0" w:color="auto"/>
                    <w:right w:val="none" w:sz="0" w:space="0" w:color="auto"/>
                  </w:divBdr>
                  <w:divsChild>
                    <w:div w:id="462965689">
                      <w:marLeft w:val="0"/>
                      <w:marRight w:val="0"/>
                      <w:marTop w:val="0"/>
                      <w:marBottom w:val="0"/>
                      <w:divBdr>
                        <w:top w:val="none" w:sz="0" w:space="0" w:color="auto"/>
                        <w:left w:val="none" w:sz="0" w:space="0" w:color="auto"/>
                        <w:bottom w:val="none" w:sz="0" w:space="0" w:color="auto"/>
                        <w:right w:val="none" w:sz="0" w:space="0" w:color="auto"/>
                      </w:divBdr>
                      <w:divsChild>
                        <w:div w:id="709648828">
                          <w:marLeft w:val="0"/>
                          <w:marRight w:val="0"/>
                          <w:marTop w:val="0"/>
                          <w:marBottom w:val="0"/>
                          <w:divBdr>
                            <w:top w:val="none" w:sz="0" w:space="0" w:color="auto"/>
                            <w:left w:val="none" w:sz="0" w:space="0" w:color="auto"/>
                            <w:bottom w:val="none" w:sz="0" w:space="0" w:color="auto"/>
                            <w:right w:val="none" w:sz="0" w:space="0" w:color="auto"/>
                          </w:divBdr>
                          <w:divsChild>
                            <w:div w:id="2087920814">
                              <w:marLeft w:val="0"/>
                              <w:marRight w:val="0"/>
                              <w:marTop w:val="0"/>
                              <w:marBottom w:val="0"/>
                              <w:divBdr>
                                <w:top w:val="none" w:sz="0" w:space="0" w:color="auto"/>
                                <w:left w:val="none" w:sz="0" w:space="0" w:color="auto"/>
                                <w:bottom w:val="none" w:sz="0" w:space="0" w:color="auto"/>
                                <w:right w:val="none" w:sz="0" w:space="0" w:color="auto"/>
                              </w:divBdr>
                              <w:divsChild>
                                <w:div w:id="415398877">
                                  <w:marLeft w:val="0"/>
                                  <w:marRight w:val="0"/>
                                  <w:marTop w:val="0"/>
                                  <w:marBottom w:val="0"/>
                                  <w:divBdr>
                                    <w:top w:val="none" w:sz="0" w:space="0" w:color="auto"/>
                                    <w:left w:val="none" w:sz="0" w:space="0" w:color="auto"/>
                                    <w:bottom w:val="none" w:sz="0" w:space="0" w:color="auto"/>
                                    <w:right w:val="none" w:sz="0" w:space="0" w:color="auto"/>
                                  </w:divBdr>
                                  <w:divsChild>
                                    <w:div w:id="1315645120">
                                      <w:marLeft w:val="0"/>
                                      <w:marRight w:val="0"/>
                                      <w:marTop w:val="0"/>
                                      <w:marBottom w:val="0"/>
                                      <w:divBdr>
                                        <w:top w:val="none" w:sz="0" w:space="0" w:color="auto"/>
                                        <w:left w:val="none" w:sz="0" w:space="0" w:color="auto"/>
                                        <w:bottom w:val="none" w:sz="0" w:space="0" w:color="auto"/>
                                        <w:right w:val="none" w:sz="0" w:space="0" w:color="auto"/>
                                      </w:divBdr>
                                      <w:divsChild>
                                        <w:div w:id="1313944802">
                                          <w:marLeft w:val="0"/>
                                          <w:marRight w:val="0"/>
                                          <w:marTop w:val="0"/>
                                          <w:marBottom w:val="0"/>
                                          <w:divBdr>
                                            <w:top w:val="none" w:sz="0" w:space="0" w:color="auto"/>
                                            <w:left w:val="none" w:sz="0" w:space="0" w:color="auto"/>
                                            <w:bottom w:val="none" w:sz="0" w:space="0" w:color="auto"/>
                                            <w:right w:val="none" w:sz="0" w:space="0" w:color="auto"/>
                                          </w:divBdr>
                                          <w:divsChild>
                                            <w:div w:id="1844931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87339810">
      <w:bodyDiv w:val="1"/>
      <w:marLeft w:val="0"/>
      <w:marRight w:val="0"/>
      <w:marTop w:val="0"/>
      <w:marBottom w:val="0"/>
      <w:divBdr>
        <w:top w:val="none" w:sz="0" w:space="0" w:color="auto"/>
        <w:left w:val="none" w:sz="0" w:space="0" w:color="auto"/>
        <w:bottom w:val="none" w:sz="0" w:space="0" w:color="auto"/>
        <w:right w:val="none" w:sz="0" w:space="0" w:color="auto"/>
      </w:divBdr>
    </w:div>
    <w:div w:id="1966154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doi.org/10.5812/jjm.18872" TargetMode="External"/><Relationship Id="rId26" Type="http://schemas.openxmlformats.org/officeDocument/2006/relationships/hyperlink" Target="https://doi.org/10.1002/9781118548387" TargetMode="External"/><Relationship Id="rId39" Type="http://schemas.openxmlformats.org/officeDocument/2006/relationships/hyperlink" Target="https://doi.org/10.4103/jfmpc.jfmpc_1967_23" TargetMode="External"/><Relationship Id="rId21" Type="http://schemas.openxmlformats.org/officeDocument/2006/relationships/hyperlink" Target="https://doi.org/10.1177/20503121221086725" TargetMode="External"/><Relationship Id="rId34" Type="http://schemas.openxmlformats.org/officeDocument/2006/relationships/hyperlink" Target="https://doi.org/10.1186/s41182-018-0114-9" TargetMode="External"/><Relationship Id="rId42" Type="http://schemas.openxmlformats.org/officeDocument/2006/relationships/hyperlink" Target="https://www.who.int/news-room/fact-sheets/detail/tuberculosis" TargetMode="External"/><Relationship Id="rId47" Type="http://schemas.openxmlformats.org/officeDocument/2006/relationships/header" Target="header5.xm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371/journal.pone.0262720" TargetMode="External"/><Relationship Id="rId29" Type="http://schemas.openxmlformats.org/officeDocument/2006/relationships/hyperlink" Target="https://doi.org/10.4269/ajtmh.18-0281" TargetMode="External"/><Relationship Id="rId11" Type="http://schemas.openxmlformats.org/officeDocument/2006/relationships/footer" Target="footer2.xml"/><Relationship Id="rId24" Type="http://schemas.openxmlformats.org/officeDocument/2006/relationships/hyperlink" Target="https://doi.org/10.1136/bmjopen-2024-087413" TargetMode="External"/><Relationship Id="rId32" Type="http://schemas.openxmlformats.org/officeDocument/2006/relationships/hyperlink" Target="https://doi.org/10.47430/ujmr.2492.005" TargetMode="External"/><Relationship Id="rId37" Type="http://schemas.openxmlformats.org/officeDocument/2006/relationships/hyperlink" Target="https://doi.org/10.4236/jtr.2020.83012" TargetMode="External"/><Relationship Id="rId40" Type="http://schemas.openxmlformats.org/officeDocument/2006/relationships/hyperlink" Target="https://doi.org/10.5897/AJMR2017.8723" TargetMode="External"/><Relationship Id="rId45" Type="http://schemas.openxmlformats.org/officeDocument/2006/relationships/hyperlink" Target="https://doi.org/10.1186/s40249-019-0515-y" TargetMode="External"/><Relationship Id="rId5" Type="http://schemas.openxmlformats.org/officeDocument/2006/relationships/webSettings" Target="webSettings.xml"/><Relationship Id="rId15" Type="http://schemas.openxmlformats.org/officeDocument/2006/relationships/hyperlink" Target="https://doi.org/10.1155/2020/6738532" TargetMode="External"/><Relationship Id="rId23" Type="http://schemas.openxmlformats.org/officeDocument/2006/relationships/hyperlink" Target="https://doi.org/10.22124/cjes.2023.6154" TargetMode="External"/><Relationship Id="rId28" Type="http://schemas.openxmlformats.org/officeDocument/2006/relationships/hyperlink" Target="https://doi.org/10.2147/IJGM.S494516" TargetMode="External"/><Relationship Id="rId36" Type="http://schemas.openxmlformats.org/officeDocument/2006/relationships/hyperlink" Target="https://doi.org/10.9734/ajrid/2026/v17i7562" TargetMode="External"/><Relationship Id="rId49" Type="http://schemas.openxmlformats.org/officeDocument/2006/relationships/header" Target="header6.xml"/><Relationship Id="rId10" Type="http://schemas.openxmlformats.org/officeDocument/2006/relationships/footer" Target="footer1.xml"/><Relationship Id="rId19" Type="http://schemas.openxmlformats.org/officeDocument/2006/relationships/hyperlink" Target="https://doi.org/10.55248/gengpi.2022.3.11.3" TargetMode="External"/><Relationship Id="rId31" Type="http://schemas.openxmlformats.org/officeDocument/2006/relationships/hyperlink" Target="https://doi.org/10.9734/jamb/2024/v24i3810" TargetMode="External"/><Relationship Id="rId44" Type="http://schemas.openxmlformats.org/officeDocument/2006/relationships/hyperlink" Target="https://doi.org/10.1038/s41598-024-71720-9"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hyperlink" Target="https://doi.org/10.11604/pamj.2021.38.203.19034" TargetMode="External"/><Relationship Id="rId27" Type="http://schemas.openxmlformats.org/officeDocument/2006/relationships/hyperlink" Target="https://doi.org/10.2307/2685352" TargetMode="External"/><Relationship Id="rId30" Type="http://schemas.openxmlformats.org/officeDocument/2006/relationships/hyperlink" Target="https://doi.org/10.1093/biomet/78.3.691" TargetMode="External"/><Relationship Id="rId35" Type="http://schemas.openxmlformats.org/officeDocument/2006/relationships/hyperlink" Target="https://doi.org/10.60787/tnhj.v23i2.663" TargetMode="External"/><Relationship Id="rId43" Type="http://schemas.openxmlformats.org/officeDocument/2006/relationships/hyperlink" Target="https://doi.org/10.1186/s12889-024-20664-w" TargetMode="External"/><Relationship Id="rId48" Type="http://schemas.openxmlformats.org/officeDocument/2006/relationships/footer" Target="footer4.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s://doi.org/10.56557/jodagh/2026/v19i210779" TargetMode="External"/><Relationship Id="rId25" Type="http://schemas.openxmlformats.org/officeDocument/2006/relationships/hyperlink" Target="https://doi.org/10.1186/s13643-025-02888-y" TargetMode="External"/><Relationship Id="rId33" Type="http://schemas.openxmlformats.org/officeDocument/2006/relationships/hyperlink" Target="https://doi.org/10.46912/jbrcp.v3i12020.144" TargetMode="External"/><Relationship Id="rId38" Type="http://schemas.openxmlformats.org/officeDocument/2006/relationships/hyperlink" Target="https://doi.org/10.1186/s12879-023-08575-4" TargetMode="External"/><Relationship Id="rId46" Type="http://schemas.openxmlformats.org/officeDocument/2006/relationships/header" Target="header4.xml"/><Relationship Id="rId20" Type="http://schemas.openxmlformats.org/officeDocument/2006/relationships/hyperlink" Target="https://doi.org/10.11604/pamj-oh.2024.15.20.45323" TargetMode="External"/><Relationship Id="rId41" Type="http://schemas.openxmlformats.org/officeDocument/2006/relationships/hyperlink" Target="https://doi.org/10.1186/s40249-018-0407-6"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5989B3-5B0C-414A-B3CD-759BA0BFB4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319</TotalTime>
  <Pages>25</Pages>
  <Words>12075</Words>
  <Characters>68834</Characters>
  <Application>Microsoft Office Word</Application>
  <DocSecurity>0</DocSecurity>
  <Lines>573</Lines>
  <Paragraphs>161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SDI 1087</cp:lastModifiedBy>
  <cp:revision>71</cp:revision>
  <dcterms:created xsi:type="dcterms:W3CDTF">2026-02-01T05:12:00Z</dcterms:created>
  <dcterms:modified xsi:type="dcterms:W3CDTF">2026-08-01T10:14:00Z</dcterms:modified>
</cp:coreProperties>
</file>