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0551B" w14:textId="77777777" w:rsidR="00361E4A" w:rsidRPr="00862A76" w:rsidRDefault="00361E4A" w:rsidP="00361E4A">
      <w:pPr>
        <w:jc w:val="both"/>
        <w:rPr>
          <w:rFonts w:ascii="Times New Roman" w:hAnsi="Times New Roman"/>
          <w:color w:val="000000"/>
          <w:lang w:val="en-IN" w:eastAsia="en-IN"/>
        </w:rPr>
      </w:pPr>
      <w:r w:rsidRPr="00862A76">
        <w:rPr>
          <w:rFonts w:ascii="Times New Roman" w:hAnsi="Times New Roman"/>
          <w:color w:val="000000"/>
          <w:lang w:val="en-IN" w:eastAsia="en-IN"/>
        </w:rPr>
        <w:t>Original Research Article</w:t>
      </w:r>
    </w:p>
    <w:p w14:paraId="591DBDA8" w14:textId="77777777" w:rsidR="004658C6" w:rsidRPr="00862A76" w:rsidRDefault="004658C6" w:rsidP="004658C6">
      <w:pPr>
        <w:pStyle w:val="Title"/>
        <w:spacing w:after="0"/>
        <w:jc w:val="both"/>
        <w:rPr>
          <w:rFonts w:ascii="Arial" w:hAnsi="Arial" w:cs="Arial"/>
        </w:rPr>
      </w:pPr>
    </w:p>
    <w:p w14:paraId="6501AF7E" w14:textId="77777777" w:rsidR="004658C6" w:rsidRPr="00862A76" w:rsidRDefault="004658C6" w:rsidP="004658C6">
      <w:pPr>
        <w:pStyle w:val="NormalWeb"/>
        <w:jc w:val="right"/>
        <w:rPr>
          <w:rFonts w:ascii="Arial" w:hAnsi="Arial" w:cs="Arial"/>
          <w:b/>
          <w:sz w:val="36"/>
          <w:szCs w:val="36"/>
        </w:rPr>
      </w:pPr>
      <w:r w:rsidRPr="00862A76">
        <w:rPr>
          <w:rFonts w:ascii="Arial" w:hAnsi="Arial" w:cs="Arial"/>
          <w:b/>
          <w:sz w:val="36"/>
          <w:szCs w:val="36"/>
        </w:rPr>
        <w:t>Modeling the</w:t>
      </w:r>
      <w:r w:rsidR="009F234C" w:rsidRPr="00862A76">
        <w:rPr>
          <w:rFonts w:ascii="Arial" w:hAnsi="Arial" w:cs="Arial"/>
          <w:b/>
          <w:sz w:val="36"/>
          <w:szCs w:val="36"/>
        </w:rPr>
        <w:t xml:space="preserve"> Mortality Incidence of Diabetes</w:t>
      </w:r>
      <w:r w:rsidRPr="00862A76">
        <w:rPr>
          <w:rFonts w:ascii="Arial" w:hAnsi="Arial" w:cs="Arial"/>
          <w:b/>
          <w:sz w:val="36"/>
          <w:szCs w:val="36"/>
        </w:rPr>
        <w:t xml:space="preserve"> Mellitus among Farmers in Benue State Using Count Data Regression Models </w:t>
      </w:r>
    </w:p>
    <w:p w14:paraId="0CB67055" w14:textId="77777777" w:rsidR="008F2D11" w:rsidRPr="00862A76" w:rsidRDefault="008F2D11" w:rsidP="008F2D11">
      <w:pPr>
        <w:pStyle w:val="Footer"/>
      </w:pPr>
    </w:p>
    <w:p w14:paraId="4E003483" w14:textId="77777777" w:rsidR="00AB2775" w:rsidRPr="00862A76" w:rsidRDefault="00AB2775" w:rsidP="008F2D11">
      <w:pPr>
        <w:pStyle w:val="Footer"/>
      </w:pPr>
    </w:p>
    <w:p w14:paraId="78EB51F0" w14:textId="77777777" w:rsidR="008F2D11" w:rsidRPr="00862A76" w:rsidRDefault="008F2D11" w:rsidP="004658C6">
      <w:pPr>
        <w:pStyle w:val="NormalWeb"/>
        <w:spacing w:before="0" w:beforeAutospacing="0" w:after="0" w:afterAutospacing="0"/>
        <w:jc w:val="right"/>
      </w:pPr>
    </w:p>
    <w:p w14:paraId="76B367E9" w14:textId="77777777" w:rsidR="004658C6" w:rsidRPr="00862A76" w:rsidRDefault="004658C6" w:rsidP="004658C6">
      <w:pPr>
        <w:pStyle w:val="Affiliation"/>
        <w:spacing w:after="0" w:line="240" w:lineRule="auto"/>
        <w:jc w:val="both"/>
        <w:rPr>
          <w:rFonts w:ascii="Arial" w:hAnsi="Arial" w:cs="Arial"/>
        </w:rPr>
      </w:pPr>
    </w:p>
    <w:p w14:paraId="5BA63C12" w14:textId="77777777" w:rsidR="004658C6" w:rsidRPr="00862A76" w:rsidRDefault="004658C6" w:rsidP="004658C6">
      <w:pPr>
        <w:pStyle w:val="Copyright"/>
        <w:spacing w:after="0" w:line="240" w:lineRule="auto"/>
        <w:jc w:val="both"/>
        <w:rPr>
          <w:rFonts w:ascii="Arial" w:hAnsi="Arial" w:cs="Arial"/>
        </w:rPr>
        <w:sectPr w:rsidR="004658C6" w:rsidRPr="00862A76" w:rsidSect="00AB2775">
          <w:headerReference w:type="even" r:id="rId7"/>
          <w:headerReference w:type="default" r:id="rId8"/>
          <w:footerReference w:type="even" r:id="rId9"/>
          <w:footerReference w:type="default" r:id="rId10"/>
          <w:headerReference w:type="first" r:id="rId11"/>
          <w:footerReference w:type="first" r:id="rId12"/>
          <w:pgSz w:w="12240" w:h="15840" w:code="1"/>
          <w:pgMar w:top="1440" w:right="2016" w:bottom="2016" w:left="2016" w:header="720" w:footer="1296" w:gutter="0"/>
          <w:cols w:space="720"/>
          <w:docGrid w:linePitch="272"/>
        </w:sectPr>
      </w:pPr>
      <w:r w:rsidRPr="00862A76">
        <w:rPr>
          <w:rFonts w:ascii="Arial" w:hAnsi="Arial" w:cs="Arial"/>
          <w:noProof/>
        </w:rPr>
        <mc:AlternateContent>
          <mc:Choice Requires="wps">
            <w:drawing>
              <wp:inline distT="0" distB="0" distL="0" distR="0" wp14:anchorId="49D6C774" wp14:editId="4FAE7B37">
                <wp:extent cx="5303520" cy="0"/>
                <wp:effectExtent l="13335" t="13970" r="17145" b="14605"/>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00872F5" id="_x0000_t32" coordsize="21600,21600" o:spt="32" o:oned="t" path="m,l21600,21600e" filled="f">
                <v:path arrowok="t" fillok="f" o:connecttype="none"/>
                <o:lock v:ext="edit" shapetype="t"/>
              </v:shapetype>
              <v:shape id="Straight Arrow Connector 1" o:spid="_x0000_s1026" type="#_x0000_t32" style="width:417.6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" strokeweight="1.5pt">
                <w10:anchorlock/>
              </v:shape>
            </w:pict>
          </mc:Fallback>
        </mc:AlternateContent>
      </w:r>
      <w:r w:rsidRPr="00862A76">
        <w:rPr>
          <w:rFonts w:ascii="Arial" w:hAnsi="Arial" w:cs="Arial"/>
        </w:rPr>
        <w:t>.</w:t>
      </w:r>
    </w:p>
    <w:p w14:paraId="135B6412" w14:textId="77777777" w:rsidR="004658C6" w:rsidRPr="00862A76" w:rsidRDefault="004658C6" w:rsidP="004658C6">
      <w:pPr>
        <w:pStyle w:val="AbstHead"/>
        <w:spacing w:after="0"/>
        <w:jc w:val="both"/>
        <w:rPr>
          <w:rFonts w:ascii="Arial" w:hAnsi="Arial" w:cs="Arial"/>
        </w:rPr>
      </w:pPr>
      <w:r w:rsidRPr="00862A76">
        <w:rPr>
          <w:rFonts w:ascii="Arial" w:hAnsi="Arial" w:cs="Arial"/>
        </w:rPr>
        <w:t xml:space="preserve">ABSTRACT </w:t>
      </w:r>
    </w:p>
    <w:p w14:paraId="341ABEBD" w14:textId="77777777" w:rsidR="004658C6" w:rsidRPr="00862A76" w:rsidRDefault="004658C6" w:rsidP="004658C6">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198"/>
      </w:tblGrid>
      <w:tr w:rsidR="004658C6" w:rsidRPr="00862A76" w14:paraId="7D98C951" w14:textId="77777777" w:rsidTr="004658C6">
        <w:tc>
          <w:tcPr>
            <w:tcW w:w="9576" w:type="dxa"/>
            <w:shd w:val="clear" w:color="auto" w:fill="F2F2F2"/>
          </w:tcPr>
          <w:p w14:paraId="011414FB" w14:textId="77777777" w:rsidR="00F73E16" w:rsidRPr="00862A76" w:rsidRDefault="00F73E16" w:rsidP="00F73E16">
            <w:pPr>
              <w:pStyle w:val="Body"/>
              <w:spacing w:after="0"/>
              <w:rPr>
                <w:rFonts w:ascii="Arial" w:eastAsia="Calibri" w:hAnsi="Arial" w:cs="Arial"/>
                <w:szCs w:val="22"/>
              </w:rPr>
            </w:pPr>
            <w:r w:rsidRPr="00862A76">
              <w:rPr>
                <w:b/>
              </w:rPr>
              <w:t>Aims:</w:t>
            </w:r>
            <w:r w:rsidRPr="00862A76">
              <w:t xml:space="preserve"> This study aimed to model monthly diabetes mellitus cases among farmers in Benue State, Nigeria, focusing on clinically confirmed, active, severe, and mortality cases using count data regression models.</w:t>
            </w:r>
          </w:p>
          <w:p w14:paraId="7A759D1F" w14:textId="77777777" w:rsidR="00F73E16" w:rsidRPr="00862A76" w:rsidRDefault="00F73E16" w:rsidP="00F73E16">
            <w:pPr>
              <w:pStyle w:val="Body"/>
              <w:spacing w:after="0"/>
              <w:rPr>
                <w:rFonts w:ascii="Arial" w:eastAsia="Calibri" w:hAnsi="Arial" w:cs="Arial"/>
                <w:szCs w:val="22"/>
              </w:rPr>
            </w:pPr>
            <w:r w:rsidRPr="00862A76">
              <w:rPr>
                <w:b/>
              </w:rPr>
              <w:t>Study Design:</w:t>
            </w:r>
            <w:r w:rsidRPr="00862A76">
              <w:t xml:space="preserve"> The study adopted a retrospective quantitative design using count data regression modelling. Three models—Poisson regression (PR), negative binomial regression (NBR), and generalised Poisson regression (GPR)—were used to model and predict diabetes-related mortality from confirmed, active, and severe diabetes cases.</w:t>
            </w:r>
          </w:p>
          <w:p w14:paraId="0D19BA75" w14:textId="77777777" w:rsidR="00F73E16" w:rsidRPr="00862A76" w:rsidRDefault="00F73E16" w:rsidP="00F73E16">
            <w:pPr>
              <w:pStyle w:val="Body"/>
              <w:spacing w:after="0"/>
              <w:rPr>
                <w:rFonts w:ascii="Arial" w:eastAsia="Calibri" w:hAnsi="Arial" w:cs="Arial"/>
                <w:szCs w:val="22"/>
              </w:rPr>
            </w:pPr>
            <w:r w:rsidRPr="00862A76">
              <w:rPr>
                <w:b/>
              </w:rPr>
              <w:t>Place and Duration of Study:</w:t>
            </w:r>
            <w:r w:rsidRPr="00862A76">
              <w:t xml:space="preserve"> Secondary data were obtained from the Benue State Epidemiological Unit, Makurdi, Benue State, Nigeria, covering the period from 1 January 2010 to 30 December 2023.</w:t>
            </w:r>
          </w:p>
          <w:p w14:paraId="2F12D3D3" w14:textId="77777777" w:rsidR="00F73E16" w:rsidRPr="00862A76" w:rsidRDefault="00F73E16" w:rsidP="00F73E16">
            <w:pPr>
              <w:pStyle w:val="Body"/>
              <w:spacing w:after="0"/>
              <w:rPr>
                <w:rFonts w:ascii="Arial" w:eastAsia="Calibri" w:hAnsi="Arial" w:cs="Arial"/>
                <w:szCs w:val="22"/>
              </w:rPr>
            </w:pPr>
            <w:r w:rsidRPr="00862A76">
              <w:rPr>
                <w:b/>
              </w:rPr>
              <w:t>Methodology:</w:t>
            </w:r>
            <w:r w:rsidRPr="00862A76">
              <w:t xml:space="preserve"> Monthly surveillance data on confirmed, active, severe, and mortality cases were analysed using PR, NBR, and GPR models. Overdispersion was assessed to determine the suitability of PR. Model performance was evaluated using the −2 log-likelihood (−2 LogL), Akaike information criterion (AIC), and Bayesian information criterion (BIC).</w:t>
            </w:r>
          </w:p>
          <w:p w14:paraId="00551DC6" w14:textId="77777777" w:rsidR="00F73E16" w:rsidRPr="00862A76" w:rsidRDefault="00F73E16" w:rsidP="00F73E16">
            <w:pPr>
              <w:pStyle w:val="Body"/>
              <w:spacing w:after="0"/>
              <w:rPr>
                <w:rFonts w:ascii="Arial" w:eastAsia="Calibri" w:hAnsi="Arial" w:cs="Arial"/>
                <w:szCs w:val="22"/>
              </w:rPr>
            </w:pPr>
            <w:r w:rsidRPr="00862A76">
              <w:rPr>
                <w:b/>
              </w:rPr>
              <w:t>Results:</w:t>
            </w:r>
            <w:r w:rsidRPr="00862A76">
              <w:t xml:space="preserve"> The PR model exhibited overdispersion, supporting the use of NBR and GPR. The NBR model recorded the lowest AIC (150.12) and BIC (158.47), whereas the GPR model recorded the lowest −2 LogL (146.78). Based on the information criteria, NBR was selected as the most appropriate model. Confirmed, active, and severe cases were statistically significant positive predictors of diabetes-related mortality.</w:t>
            </w:r>
          </w:p>
          <w:p w14:paraId="5C63D96B" w14:textId="77777777" w:rsidR="004658C6" w:rsidRPr="00862A76" w:rsidRDefault="00F73E16" w:rsidP="00F73E16">
            <w:pPr>
              <w:pStyle w:val="Body"/>
              <w:spacing w:after="0"/>
              <w:rPr>
                <w:rFonts w:ascii="Arial" w:eastAsia="Calibri" w:hAnsi="Arial" w:cs="Arial"/>
                <w:szCs w:val="22"/>
              </w:rPr>
            </w:pPr>
            <w:r w:rsidRPr="00862A76">
              <w:rPr>
                <w:b/>
              </w:rPr>
              <w:t>Conclusion:</w:t>
            </w:r>
            <w:r w:rsidRPr="00862A76">
              <w:t xml:space="preserve"> The NBR model provided the preferred fit on the basis of AIC and BIC and appropriately accommodated the dispersion in the count data. The findings support strengthening rural healthcare services, community-based diabetes education, surveillance and monitoring systems, evidence-informed health planning, and the capacity of local healthcare workers to prevent and manage diabetes-related complications and mortality among farmers in Benue State.</w:t>
            </w:r>
          </w:p>
        </w:tc>
      </w:tr>
    </w:tbl>
    <w:p w14:paraId="697022C8" w14:textId="77777777" w:rsidR="004658C6" w:rsidRPr="00862A76" w:rsidRDefault="004658C6" w:rsidP="00F73E16">
      <w:pPr>
        <w:pStyle w:val="Body"/>
        <w:spacing w:after="0"/>
        <w:rPr>
          <w:rFonts w:ascii="Arial" w:hAnsi="Arial" w:cs="Arial"/>
          <w:i/>
        </w:rPr>
      </w:pPr>
      <w:r w:rsidRPr="00862A76">
        <w:rPr>
          <w:i/>
        </w:rPr>
        <w:t>Keywords: Diabetes mellitus; diabetes-related mortality; count data; Poisson regression; negative binomial regression; generalised Poisson regression; overdispersion; farmers; Benue State; epidemiological surveillance.</w:t>
      </w:r>
    </w:p>
    <w:p w14:paraId="0DF34453" w14:textId="77777777" w:rsidR="004658C6" w:rsidRPr="00862A76" w:rsidRDefault="004658C6" w:rsidP="004658C6">
      <w:pPr>
        <w:pStyle w:val="AbstHead"/>
        <w:spacing w:after="0"/>
        <w:jc w:val="both"/>
        <w:rPr>
          <w:rFonts w:ascii="Arial" w:hAnsi="Arial" w:cs="Arial"/>
        </w:rPr>
      </w:pPr>
    </w:p>
    <w:p w14:paraId="4890ECAF" w14:textId="77777777" w:rsidR="004658C6" w:rsidRPr="00862A76" w:rsidRDefault="004658C6" w:rsidP="004658C6">
      <w:pPr>
        <w:pStyle w:val="AbstHead"/>
        <w:spacing w:after="0"/>
        <w:jc w:val="both"/>
        <w:rPr>
          <w:rFonts w:ascii="Arial" w:hAnsi="Arial" w:cs="Arial"/>
        </w:rPr>
      </w:pPr>
      <w:r w:rsidRPr="00862A76">
        <w:rPr>
          <w:rFonts w:ascii="Arial" w:hAnsi="Arial" w:cs="Arial"/>
        </w:rPr>
        <w:t xml:space="preserve">1. INTRODUCTION </w:t>
      </w:r>
    </w:p>
    <w:p w14:paraId="7AD4C8D1" w14:textId="77777777" w:rsidR="00F73E16" w:rsidRPr="00862A76" w:rsidRDefault="00F73E16" w:rsidP="00F73E16">
      <w:pPr>
        <w:pStyle w:val="Body"/>
        <w:rPr>
          <w:rFonts w:ascii="Arial" w:hAnsi="Arial" w:cs="Arial"/>
        </w:rPr>
      </w:pPr>
      <w:r w:rsidRPr="00862A76">
        <w:t xml:space="preserve">Diabetes mellitus (DM) is a chronic metabolic disorder characterised by elevated blood glucose levels resulting from insufficient insulin production or insulin resistance, which causes glucose to accumulate in the bloodstream. If not effectively managed, the condition can lead </w:t>
      </w:r>
      <w:r w:rsidRPr="00862A76">
        <w:lastRenderedPageBreak/>
        <w:t>to serious complications, including cardiovascular disease, kidney failure, nerve damage, and death. The prevalence of diabetes has increased globally, presenting a major public health challenge and placing pressure on healthcare systems, particularly in low- and middle-income countries. In 2019, diabetes contributed to approximately 1.5 million deaths, with mortality increasing notably in developing regions, including sub-Saharan Africa, where access to healthcare and diabetes management resources is often limited (García de Lucas &amp; Jiménez, 2021).</w:t>
      </w:r>
    </w:p>
    <w:p w14:paraId="5028F28F" w14:textId="77777777" w:rsidR="00F73E16" w:rsidRPr="00862A76" w:rsidRDefault="00F73E16" w:rsidP="00F73E16">
      <w:pPr>
        <w:pStyle w:val="Body"/>
        <w:rPr>
          <w:rFonts w:ascii="Arial" w:hAnsi="Arial" w:cs="Arial"/>
        </w:rPr>
      </w:pPr>
      <w:r w:rsidRPr="00862A76">
        <w:t>There are three main types of diabetes: type 1, type 2, and gestational diabetes. Type 1 diabetes is an autoimmune condition that destroys insulin-producing cells and necessitates lifelong insulin therapy. Type 2 diabetes, the most common form, results from insulin resistance and can often be managed or prevented through lifestyle modification. Gestational diabetes occurs during pregnancy and often resolves after childbirth, although it increases the subsequent risk of type 2 diabetes (Li et al., 2017; Javeed &amp; Matveyenko, 2018; Damanik &amp; Yunir, 2021).</w:t>
      </w:r>
    </w:p>
    <w:p w14:paraId="4DEE42DF" w14:textId="77777777" w:rsidR="00F73E16" w:rsidRPr="00862A76" w:rsidRDefault="00F73E16" w:rsidP="00F73E16">
      <w:pPr>
        <w:pStyle w:val="Body"/>
        <w:rPr>
          <w:rFonts w:ascii="Arial" w:hAnsi="Arial" w:cs="Arial"/>
        </w:rPr>
      </w:pPr>
      <w:r w:rsidRPr="00862A76">
        <w:t>Untreated diabetes can lead to complications such as cardiovascular disease, kidney failure, neuropathy, and retinopathy. Diagnosis typically involves blood glucose testing, while management strategies include lifestyle modification, medication, and insulin therapy to prevent long-term complications (Glovaci et al., 2019; Ceriello &amp; Prattichizzo, 2021). Diabetes has become a major global health concern, with the number of cases increasing from 108 million in 1980 to 422 million in 2014. Preventive measures, particularly for type 2 diabetes, include a healthy diet, physical activity, and weight management; nevertheless, the disease remains an important cause of mortality, especially in lower-income regions (Meigs, 2019; García de Lucas &amp; Jiménez, 2021).</w:t>
      </w:r>
    </w:p>
    <w:p w14:paraId="48884691" w14:textId="77777777" w:rsidR="00F73E16" w:rsidRPr="00862A76" w:rsidRDefault="00F73E16" w:rsidP="00F73E16">
      <w:pPr>
        <w:pStyle w:val="Body"/>
        <w:rPr>
          <w:rFonts w:ascii="Arial" w:hAnsi="Arial" w:cs="Arial"/>
        </w:rPr>
      </w:pPr>
      <w:r w:rsidRPr="00862A76">
        <w:t>Nigeria, the most populous country in Africa, has experienced a marked increase in diabetes cases, reflecting broader global trends. This rise in prevalence has occurred across age groups, with adult cases particularly prominent because of factors such as urbanisation, lifestyle changes, and the increasing prevalence of obesity. Benue State, known as the “food basket of Nigeria”, has a large farming population whose physical activity and traditional dietary practices have generally been considered protective against non-communicable diseases. However, recent studies suggest that rural agricultural communities are not exempt from diabetes risk, largely because of lifestyle changes, limited access to healthcare facilities, and inadequate diabetes awareness and education.</w:t>
      </w:r>
    </w:p>
    <w:p w14:paraId="2F08158C" w14:textId="77777777" w:rsidR="0018402A" w:rsidRPr="00862A76" w:rsidRDefault="001E2E8F">
      <w:pPr>
        <w:pStyle w:val="Body"/>
        <w:rPr>
          <w:rFonts w:ascii="Arial" w:hAnsi="Arial" w:cs="Arial"/>
        </w:rPr>
      </w:pPr>
      <w:r w:rsidRPr="00862A76">
        <w:t>Recent evidence further indicates that the global burden of diabetes has increased, while treatment coverage has remained inadequate in many low- and middle-income countries, including settings in sub-Saharan Africa (NCD Risk Factor Collaboration [NCD-RisC], 2024). In Nigeria, a scoping review identified socioeconomic conditions, healthcare access, and modifiable lifestyle factors as important determinants of diabetes risk and outcomes, underscoring the need for context-specific evidence from underserved po</w:t>
      </w:r>
      <w:r w:rsidRPr="00862A76">
        <w:t>pulations (Alimi et al., 2025).</w:t>
      </w:r>
    </w:p>
    <w:p w14:paraId="642F72C6" w14:textId="77777777" w:rsidR="00F73E16" w:rsidRPr="00862A76" w:rsidRDefault="00F73E16" w:rsidP="00F73E16">
      <w:pPr>
        <w:pStyle w:val="Body"/>
        <w:rPr>
          <w:rFonts w:ascii="Arial" w:hAnsi="Arial" w:cs="Arial"/>
        </w:rPr>
      </w:pPr>
      <w:r w:rsidRPr="00862A76">
        <w:t xml:space="preserve">Farmers in Benue State face distinct challenges in diabetes management. Their </w:t>
      </w:r>
      <w:proofErr w:type="gramStart"/>
      <w:r w:rsidRPr="00862A76">
        <w:t>often remote</w:t>
      </w:r>
      <w:proofErr w:type="gramEnd"/>
      <w:r w:rsidRPr="00862A76">
        <w:t xml:space="preserve"> working environments may limit access to regular healthcare services, while traditional dietary patterns, combined with lifestyle changes, may contribute to the onset and progression of diabetes. Furthermore, the physical demands of farming require stable energy levels, which may be compromised when diabetes is poorly managed. Limited screening and preventive healthcare services in these communities may contribute to delayed diagnosis and complications that increase mortality risk among people with diabetes. Understanding the factors associated with diabetes-related mortality in this population is therefore important for developing targeted interventions to mitigate health risks.</w:t>
      </w:r>
    </w:p>
    <w:p w14:paraId="0B530ABF" w14:textId="77777777" w:rsidR="00F73E16" w:rsidRPr="00862A76" w:rsidRDefault="00F73E16" w:rsidP="00F73E16">
      <w:pPr>
        <w:pStyle w:val="Body"/>
        <w:rPr>
          <w:rFonts w:ascii="Arial" w:hAnsi="Arial" w:cs="Arial"/>
        </w:rPr>
      </w:pPr>
      <w:r w:rsidRPr="00862A76">
        <w:lastRenderedPageBreak/>
        <w:t>Given the limitations of traditional statistical methods for analysing diabetes-related health outcomes, count data regression models have emerged as useful tools for examining the incidence and risk factors associated with diabetes-related mortality. These models, including Poisson, negative binomial, and generalised Poisson regression, are designed for count outcomes and can accommodate overdispersion and skewness commonly observed in health data. They are particularly useful for assessing mortality counts and identifying significant predictors, such as age, gender, socioeconomic status, comorbidities, and access to healthcare (Nwankwo &amp; Nwaigwe, 2016).</w:t>
      </w:r>
    </w:p>
    <w:p w14:paraId="0BCFFBAF" w14:textId="77777777" w:rsidR="004658C6" w:rsidRPr="00862A76" w:rsidRDefault="00F73E16" w:rsidP="00F73E16">
      <w:pPr>
        <w:pStyle w:val="Body"/>
        <w:spacing w:after="0"/>
        <w:rPr>
          <w:rFonts w:ascii="Arial" w:hAnsi="Arial" w:cs="Arial"/>
        </w:rPr>
      </w:pPr>
      <w:r w:rsidRPr="00862A76">
        <w:t>By applying count data regression models, this study seeks to identify and model factors associated with diabetes-related mortality among farmers in Benue State. The resulting evidence may inform public health strategies, including targeted screening programmes, improved healthcare access, and lifestyle interventions aimed at reducing diabetes-related mortality and improving quality of life. A clearer understanding of the epidemiological and socioeconomic determinants of diabetes-related mortality among farmers in Benue State may also support policy development and resource allocation within this important occupational community (Tlhaloganyang, 2020).</w:t>
      </w:r>
    </w:p>
    <w:p w14:paraId="44F72830" w14:textId="77777777" w:rsidR="00F73E16" w:rsidRPr="00862A76" w:rsidRDefault="00F73E16" w:rsidP="00F73E16">
      <w:pPr>
        <w:pStyle w:val="Body"/>
        <w:spacing w:after="0"/>
        <w:rPr>
          <w:rFonts w:ascii="Arial" w:hAnsi="Arial" w:cs="Arial"/>
        </w:rPr>
      </w:pPr>
    </w:p>
    <w:p w14:paraId="58CD9B71" w14:textId="77777777" w:rsidR="00F73E16" w:rsidRPr="00862A76" w:rsidRDefault="00F73E16" w:rsidP="00F73E16">
      <w:pPr>
        <w:pStyle w:val="Body"/>
        <w:rPr>
          <w:rFonts w:ascii="Arial" w:hAnsi="Arial" w:cs="Arial"/>
        </w:rPr>
      </w:pPr>
      <w:r w:rsidRPr="00862A76">
        <w:t>Empirical evidence on this subject is well documented in the literature. Song et al. (2011) explored Bayesian hierarchical models for sparse data on diabetes among young people and compared them with traditional Poisson and zero-inflated models using simulated data. The sparse Poisson convolution model outperformed the alternative models, as indicated by lower deviance information criterion and mean squared prediction error values. Askarishahi et al. (2014) analysed trends in diabetes-related mortality in Iran from 2003 to 2010 using joinpoint regression. They reported a significant increase in mortality rates, particularly from 2003 to 2007, followed by a less pronounced increase. Orozco-Beltrán et al. (2017) conducted an ecological study of diabetes mortality in Spain from 1998 to 2013 and reported a significant decline in standardised mortality rates, particularly among women. The study also identified geographical disparities, with the highest mortality rates in the Canary Islands and a gradual reduction in regional differences over time.</w:t>
      </w:r>
    </w:p>
    <w:p w14:paraId="62D12E5E" w14:textId="77777777" w:rsidR="00F73E16" w:rsidRPr="00862A76" w:rsidRDefault="00F73E16" w:rsidP="00F73E16">
      <w:pPr>
        <w:pStyle w:val="Body"/>
        <w:rPr>
          <w:rFonts w:ascii="Arial" w:hAnsi="Arial" w:cs="Arial"/>
        </w:rPr>
      </w:pPr>
      <w:r w:rsidRPr="00862A76">
        <w:t>Gholipour et al. (2018) used descriptive and analytical methods to compare artificial neural networks (ANNs) and logistic regression for identifying risk factors for type 2 diabetes mellitus (T2DM) in East Azerbaijan, Iran. Logistic regression identified age, family history, and place of residence as significant factors, whereas the ANN identified age, body mass index, and smoking. Logistic regression was considered more clinically interpretable. Lin et al. (2021) developed a Markov model using a Taiwanese database to predict diabetes-related complications and mortality. The model simulated transitions among 163,452 patients with T2DM and demonstrated strong predictive performance when validated against existing models. Corona et al. (2021) conducted a meta-analysis of 87 studies on COVID-19 mortality and identified diabetes as an important predictor of mortality among hospitalised patients. The study also identified demographic differences in mortality and emphasised the importance of managing diabetes and thrombotic complications in patients with COVID-19.</w:t>
      </w:r>
    </w:p>
    <w:p w14:paraId="0DECB0B5" w14:textId="77777777" w:rsidR="00F73E16" w:rsidRPr="00862A76" w:rsidRDefault="00F73E16" w:rsidP="00F73E16">
      <w:pPr>
        <w:pStyle w:val="Body"/>
        <w:rPr>
          <w:rFonts w:ascii="Arial" w:hAnsi="Arial" w:cs="Arial"/>
        </w:rPr>
      </w:pPr>
      <w:r w:rsidRPr="00862A76">
        <w:t xml:space="preserve">Lee et al. (2021) developed a machine-learning model to predict all-cause mortality among patients with T2DM in Hong Kong. Using Cox proportional hazards regression and advanced machine-learning techniques, the study identified several significant predictors and achieved high predictive accuracy. Lv et al. (2022) examined trends in diabetes-related mortality during the COVID-19 pandemic in the United States from 2006 to 2021 and identified a substantial increase in deaths during the pandemic, particularly among younger adults and Hispanic populations. Barsasella et al. (2022) developed machine-learning models to predict hospital length of stay and mortality among inpatients with T2DM and hypertension using a Taiwanese health database. Logistic regression performed best for mortality prediction, whereas linear </w:t>
      </w:r>
      <w:r w:rsidRPr="00862A76">
        <w:lastRenderedPageBreak/>
        <w:t>regression performed best for predicting length of stay. Li et al. (2023) conducted a prospective study to predict one-year mortality among older patients with coronary artery disease and diabetes or impaired glucose tolerance. The gradient boosting machine model performed best and identified important risk and protective factors associated with mortality.</w:t>
      </w:r>
    </w:p>
    <w:p w14:paraId="4C43BA17" w14:textId="77777777" w:rsidR="00F73E16" w:rsidRPr="00862A76" w:rsidRDefault="00F73E16" w:rsidP="00F73E16">
      <w:pPr>
        <w:pStyle w:val="Body"/>
        <w:rPr>
          <w:rFonts w:ascii="Arial" w:hAnsi="Arial" w:cs="Arial"/>
        </w:rPr>
      </w:pPr>
      <w:r w:rsidRPr="00862A76">
        <w:t>Soh et al. (2023) identified predictors of readmission among adults with diabetes and found that a zero-inflated negative binomial model outperformed other regression models in predicting readmission frequency. Kaombe et al. (2023) applied outlier-detection methods to data from cancer patients with comorbid diabetes and hypertension in Malawi and recommended detailed examination of outlying cases before health interventions are implemented. Tanaka et al. (2024) evaluated models for predicting new-onset diabetes in a cohort of health-examination participants, identified glycated haemoglobin and the fatty liver index as key predictors, and found no significant differences in predictive performance among the machine-learning models considered.</w:t>
      </w:r>
    </w:p>
    <w:p w14:paraId="5D46CFE2" w14:textId="77777777" w:rsidR="0018402A" w:rsidRPr="00862A76" w:rsidRDefault="001E2E8F">
      <w:pPr>
        <w:pStyle w:val="Body"/>
        <w:rPr>
          <w:rFonts w:ascii="Arial" w:hAnsi="Arial" w:cs="Arial"/>
        </w:rPr>
      </w:pPr>
      <w:r w:rsidRPr="00862A76">
        <w:t>In Nigeria, Onu et al. (2022) compared binary logistic and Poisson regression models using diabetes data and reported that model performance varied according to the structure of the outcome and predictor variables. In a recent multicountry longitudinal study that included rural South Africa, Flood et al. (2025) used Poisson regression and found consistently higher all-cause mortality among adults with diabetes than among those without diabetes across all five settings.</w:t>
      </w:r>
    </w:p>
    <w:p w14:paraId="00A1EE8B" w14:textId="77777777" w:rsidR="00F73E16" w:rsidRPr="00862A76" w:rsidRDefault="00F73E16" w:rsidP="00F73E16">
      <w:pPr>
        <w:pStyle w:val="Body"/>
        <w:rPr>
          <w:rFonts w:ascii="Arial" w:hAnsi="Arial" w:cs="Arial"/>
        </w:rPr>
      </w:pPr>
      <w:r w:rsidRPr="00862A76">
        <w:t>The GBD 2021 Diabetes Collaborators (2023) provided global estimates of diabetes prevalence and burden from 1990 to 2021, projected a substantial increase in the number of people living with diabetes, and identified high body mass index as a major contributor to type 2 diabetes disability-adjusted life years. Their projections indicated that more than 1.31 billion people could be living with diabetes by 2050. Pan et al. (2024) developed a predictive nomogram for estimating the five-year risk of all-cause mortality among older adults with diabetes in response to the increasing mortality burden and its health and economic implications.</w:t>
      </w:r>
    </w:p>
    <w:p w14:paraId="5F48EB03" w14:textId="77777777" w:rsidR="00F73E16" w:rsidRPr="00862A76" w:rsidRDefault="00F73E16" w:rsidP="00F73E16">
      <w:pPr>
        <w:pStyle w:val="Body"/>
        <w:spacing w:after="0"/>
        <w:rPr>
          <w:rFonts w:ascii="Arial" w:hAnsi="Arial" w:cs="Arial"/>
        </w:rPr>
      </w:pPr>
      <w:r w:rsidRPr="00862A76">
        <w:t>The empirical literature reviewed above summarises the principal findings and methods of recent studies on diabetes, associated mortality trends, and predictive modelling techniques.</w:t>
      </w:r>
    </w:p>
    <w:p w14:paraId="0B6CCBDA" w14:textId="77777777" w:rsidR="0018402A" w:rsidRPr="00862A76" w:rsidRDefault="001E2E8F">
      <w:pPr>
        <w:pStyle w:val="Body"/>
        <w:spacing w:after="0"/>
        <w:rPr>
          <w:rFonts w:ascii="Arial" w:hAnsi="Arial" w:cs="Arial"/>
        </w:rPr>
      </w:pPr>
      <w:r w:rsidRPr="00862A76">
        <w:t>Despite the expanding literature on diabetes prevalence, mortality, and predictive modelling, limited evidence has directly compared alternative count data regression models for monthly diabetes-related mortality among farmers in Benue State. Existing studies have generally focused on broader populations, prevalence estimation, individual-level risk prediction, or mortality trends, leaving uncertainty about the model most appropriate for overdispersed, aggregated surveillance counts in this rural occupation</w:t>
      </w:r>
      <w:r w:rsidRPr="00862A76">
        <w:t>al group.</w:t>
      </w:r>
    </w:p>
    <w:p w14:paraId="67D52F80" w14:textId="77777777" w:rsidR="0018402A" w:rsidRPr="00862A76" w:rsidRDefault="001E2E8F">
      <w:pPr>
        <w:pStyle w:val="Body"/>
        <w:spacing w:after="0"/>
        <w:rPr>
          <w:rFonts w:ascii="Arial" w:hAnsi="Arial" w:cs="Arial"/>
        </w:rPr>
      </w:pPr>
      <w:r w:rsidRPr="00862A76">
        <w:t>Accordingly, this study aims to compare Poisson, negative binomial, and generalised Poisson regression models for monthly diabetes-related mortality among farmers in Benue State, using confirmed, active, and severe diabetes cases as predictors, and to identify the model that provides the most appropriate fit for the observed count data.</w:t>
      </w:r>
    </w:p>
    <w:p w14:paraId="788C4260" w14:textId="77777777" w:rsidR="00B42C33" w:rsidRPr="00862A76" w:rsidRDefault="00B42C33" w:rsidP="00F73E16">
      <w:pPr>
        <w:pStyle w:val="Body"/>
        <w:spacing w:after="0"/>
        <w:rPr>
          <w:rFonts w:ascii="Arial" w:hAnsi="Arial" w:cs="Arial"/>
        </w:rPr>
      </w:pPr>
    </w:p>
    <w:p w14:paraId="37DB46E6" w14:textId="77777777" w:rsidR="004658C6" w:rsidRPr="00862A76" w:rsidRDefault="004658C6" w:rsidP="004658C6">
      <w:pPr>
        <w:pStyle w:val="AbstHead"/>
        <w:spacing w:after="0"/>
        <w:jc w:val="both"/>
        <w:rPr>
          <w:rFonts w:ascii="Arial" w:hAnsi="Arial" w:cs="Arial"/>
        </w:rPr>
      </w:pPr>
      <w:r w:rsidRPr="00862A76">
        <w:t>2. MATERIALS AND METHODS</w:t>
      </w:r>
    </w:p>
    <w:p w14:paraId="723BC04A" w14:textId="77777777" w:rsidR="004658C6" w:rsidRPr="00862A76" w:rsidRDefault="004658C6" w:rsidP="004658C6">
      <w:pPr>
        <w:spacing w:before="240"/>
        <w:jc w:val="both"/>
        <w:rPr>
          <w:rFonts w:ascii="Arial" w:hAnsi="Arial" w:cs="Arial"/>
          <w:b/>
        </w:rPr>
      </w:pPr>
      <w:r w:rsidRPr="00862A76">
        <w:rPr>
          <w:rFonts w:ascii="Arial" w:hAnsi="Arial" w:cs="Arial"/>
          <w:b/>
        </w:rPr>
        <w:t>2.1 Data Source</w:t>
      </w:r>
    </w:p>
    <w:p w14:paraId="5B5AADC1" w14:textId="77777777" w:rsidR="00945D69" w:rsidRDefault="00945D69" w:rsidP="00945D69">
      <w:pPr>
        <w:pStyle w:val="NormalWeb"/>
        <w:jc w:val="both"/>
      </w:pPr>
      <w:r>
        <w:t xml:space="preserve">The data </w:t>
      </w:r>
      <w:proofErr w:type="spellStart"/>
      <w:r>
        <w:t>analysed</w:t>
      </w:r>
      <w:proofErr w:type="spellEnd"/>
      <w:r>
        <w:t xml:space="preserve"> in this study comprised monthly records of clinically confirmed, active, severe, and fatal cases of diabetes mellitus reported in Benue State between 1 January 2010 and 30 December 2023. These secondary data were obtained from the Benue State Epidemiological Unit, Makurdi. To align the dataset with the target </w:t>
      </w:r>
      <w:r>
        <w:lastRenderedPageBreak/>
        <w:t>population of the study, the records were screened and filtered according to occupation, thereby ensuring that the individuals included in the analysis were predominantly farmers.</w:t>
      </w:r>
    </w:p>
    <w:p w14:paraId="6B8F67EC" w14:textId="6826EFF9" w:rsidR="00945D69" w:rsidRDefault="00945D69" w:rsidP="00945D69">
      <w:pPr>
        <w:pStyle w:val="NormalWeb"/>
        <w:jc w:val="both"/>
      </w:pPr>
      <w:r>
        <w:t xml:space="preserve">A confirmed case of diabetes mellitus was defined as an individual diagnosed with the condition in accordance with established clinical criteria. These criteria include elevated fasting plasma glucose, elevated two-hour plasma glucose following an oral glucose tolerance test (OGTT), increased glycated </w:t>
      </w:r>
      <w:proofErr w:type="spellStart"/>
      <w:r>
        <w:t>haemoglobin</w:t>
      </w:r>
      <w:proofErr w:type="spellEnd"/>
      <w:r>
        <w:t xml:space="preserve"> (HbA1c), or elevated random plasma glucose in the presence of classic symptoms of </w:t>
      </w:r>
      <w:proofErr w:type="spellStart"/>
      <w:r>
        <w:t>hyperglycaemia</w:t>
      </w:r>
      <w:proofErr w:type="spellEnd"/>
      <w:r>
        <w:t>. In all instances, the diagnosis must have been confirmed by a qualified healthcare professional (American Diabetes Association [ADA], 2024).</w:t>
      </w:r>
      <w:r>
        <w:t xml:space="preserve"> </w:t>
      </w:r>
      <w:r>
        <w:t xml:space="preserve">An active case of diabetes mellitus referred to an individual with a clinically confirmed diagnosis who was living with the disease and receiving treatment, routine monitoring, or follow-up care, irrespective of whether adequate </w:t>
      </w:r>
      <w:proofErr w:type="spellStart"/>
      <w:r>
        <w:t>glycaemic</w:t>
      </w:r>
      <w:proofErr w:type="spellEnd"/>
      <w:r>
        <w:t xml:space="preserve"> control had been achieved (World Health Organization [WHO], 2019). A severe case was defined as one involving serious acute or chronic complications that required intensive medical management, </w:t>
      </w:r>
      <w:proofErr w:type="spellStart"/>
      <w:r>
        <w:t>hospitalisation</w:t>
      </w:r>
      <w:proofErr w:type="spellEnd"/>
      <w:r>
        <w:t xml:space="preserve">, or </w:t>
      </w:r>
      <w:proofErr w:type="spellStart"/>
      <w:r>
        <w:t>specialised</w:t>
      </w:r>
      <w:proofErr w:type="spellEnd"/>
      <w:r>
        <w:t xml:space="preserve"> care. Such complications included diabetic ketoacidosis, hyperosmolar </w:t>
      </w:r>
      <w:proofErr w:type="spellStart"/>
      <w:r>
        <w:t>hyperglycaemic</w:t>
      </w:r>
      <w:proofErr w:type="spellEnd"/>
      <w:r>
        <w:t xml:space="preserve"> state, advanced diabetic nephropathy, retinopathy, cardiovascular disease, and diabetic foot complications (ADA, 2024).</w:t>
      </w:r>
    </w:p>
    <w:p w14:paraId="7792BC1F" w14:textId="77777777" w:rsidR="00945D69" w:rsidRDefault="00945D69" w:rsidP="00945D69">
      <w:pPr>
        <w:pStyle w:val="NormalWeb"/>
        <w:jc w:val="both"/>
      </w:pPr>
      <w:r>
        <w:t>A diabetes-related death was defined as a death in which diabetes mellitus was documented as either the underlying cause or a contributing cause, based on the medical certification of the cause of death and the relevant provisions of the International Classification of Diseases (WHO, 2024). These operational definitions were applied consistently to facilitate the classification and analysis of the reported diabetes cases and associated mortality over the study period.</w:t>
      </w:r>
    </w:p>
    <w:p w14:paraId="62B762D2" w14:textId="77777777" w:rsidR="00F86B78" w:rsidRPr="00862A76" w:rsidRDefault="00F86B78" w:rsidP="00F86B78">
      <w:pPr>
        <w:jc w:val="both"/>
        <w:rPr>
          <w:rFonts w:ascii="Arial" w:hAnsi="Arial" w:cs="Arial"/>
          <w:b/>
        </w:rPr>
      </w:pPr>
      <w:r w:rsidRPr="00862A76">
        <w:rPr>
          <w:rFonts w:ascii="Arial" w:hAnsi="Arial" w:cs="Arial"/>
          <w:b/>
        </w:rPr>
        <w:t>2.2 Model Specification</w:t>
      </w:r>
    </w:p>
    <w:p w14:paraId="3056FF3C" w14:textId="77777777" w:rsidR="00F86B78" w:rsidRPr="00862A76" w:rsidRDefault="00F86B78" w:rsidP="00F86B78">
      <w:pPr>
        <w:jc w:val="both"/>
        <w:rPr>
          <w:rFonts w:ascii="Arial" w:hAnsi="Arial" w:cs="Arial"/>
        </w:rPr>
      </w:pPr>
      <w:r w:rsidRPr="00862A76">
        <w:t>The models adopted in this study were the Poisson regression (PR), negative binomial regression (NBR), and generalised Poisson regression (GPR) models. Monthly diabetes-related deaths constituted the dependent count variable, whereas monthly confirmed, active, and severe diabetes mellitus cases were the independent count variables.</w:t>
      </w:r>
    </w:p>
    <w:p w14:paraId="148A7EAF" w14:textId="77777777" w:rsidR="00F86B78" w:rsidRPr="00862A76" w:rsidRDefault="00F86B78" w:rsidP="00F86B78">
      <w:pPr>
        <w:jc w:val="both"/>
        <w:rPr>
          <w:rFonts w:ascii="Arial" w:hAnsi="Arial" w:cs="Arial"/>
          <w:b/>
        </w:rPr>
      </w:pPr>
      <w:r w:rsidRPr="00862A76">
        <w:rPr>
          <w:b/>
        </w:rPr>
        <w:t>2.2.1 Poisson Regression Model</w:t>
      </w:r>
    </w:p>
    <w:p w14:paraId="202AC9E8" w14:textId="77777777" w:rsidR="00F86B78" w:rsidRPr="00862A76" w:rsidRDefault="00F86B78" w:rsidP="00F86B78">
      <w:pPr>
        <w:jc w:val="both"/>
        <w:rPr>
          <w:rFonts w:ascii="Arial" w:hAnsi="Arial" w:cs="Arial"/>
        </w:rPr>
      </w:pPr>
      <w:r w:rsidRPr="00862A76">
        <w:t>Poisson regression is used when the dependent variable is a count representing the number of events occurring within a fixed interval of time or space. The model assumes that the counts follow a Poisson distribution characterised by the mean rate of events (λ) within the specified interval (Agresti, 2007).</w:t>
      </w:r>
    </w:p>
    <w:p w14:paraId="249083F4" w14:textId="77777777" w:rsidR="00F86B78" w:rsidRPr="00862A76" w:rsidRDefault="00F86B78" w:rsidP="00F86B78">
      <w:pPr>
        <w:jc w:val="both"/>
        <w:rPr>
          <w:rFonts w:ascii="Arial" w:hAnsi="Arial" w:cs="Arial"/>
        </w:rPr>
      </w:pPr>
      <w:r w:rsidRPr="00862A76">
        <w:rPr>
          <w:rFonts w:ascii="Arial" w:hAnsi="Arial" w:cs="Arial"/>
        </w:rPr>
        <w:t>The mathematical form of the Poisson regression model is given by:</w:t>
      </w:r>
    </w:p>
    <w:p w14:paraId="5722E3BB" w14:textId="77777777" w:rsidR="00F86B78" w:rsidRPr="00862A76" w:rsidRDefault="001E2E8F" w:rsidP="00F86B78">
      <w:pPr>
        <w:jc w:val="both"/>
        <w:rPr>
          <w:rFonts w:ascii="Arial" w:hAnsi="Arial" w:cs="Arial"/>
        </w:rPr>
      </w:pPr>
      <m:oMathPara>
        <m:oMath>
          <m:func>
            <m:funcPr>
              <m:ctrlPr>
                <w:rPr>
                  <w:rFonts w:ascii="Cambria Math" w:hAnsi="Cambria Math" w:cs="Arial"/>
                  <w:i/>
                </w:rPr>
              </m:ctrlPr>
            </m:funcPr>
            <m:fName>
              <m:r>
                <m:rPr>
                  <m:sty m:val="p"/>
                </m:rPr>
                <w:rPr>
                  <w:rFonts w:ascii="Cambria Math" w:hAnsi="Cambria Math" w:cs="Arial"/>
                </w:rPr>
                <m:t>ln</m:t>
              </m:r>
            </m:fName>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λ</m:t>
                      </m:r>
                    </m:e>
                    <m:sub>
                      <m:r>
                        <w:rPr>
                          <w:rFonts w:ascii="Cambria Math" w:hAnsi="Cambria Math" w:cs="Arial"/>
                        </w:rPr>
                        <m:t>i</m:t>
                      </m:r>
                    </m:sub>
                  </m:sSub>
                </m:e>
              </m:d>
              <m:r>
                <w:rPr>
                  <w:rFonts w:ascii="Cambria Math" w:hAnsi="Cambria Math" w:cs="Arial"/>
                </w:rPr>
                <m:t>=</m:t>
              </m:r>
            </m:e>
          </m:func>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1</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2</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2</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3</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3</m:t>
              </m:r>
            </m:sub>
          </m:sSub>
          <m:r>
            <w:rPr>
              <w:rFonts w:ascii="Cambria Math" w:hAnsi="Cambria Math" w:cs="Arial"/>
            </w:rPr>
            <m:t>+</m:t>
          </m:r>
          <m:sSub>
            <m:sSubPr>
              <m:ctrlPr>
                <w:rPr>
                  <w:rFonts w:ascii="Cambria Math" w:hAnsi="Cambria Math" w:cs="Arial"/>
                  <w:i/>
                </w:rPr>
              </m:ctrlPr>
            </m:sSubPr>
            <m:e>
              <m:r>
                <w:rPr>
                  <w:rFonts w:ascii="Cambria Math" w:hAnsi="Cambria Math" w:cs="Arial"/>
                </w:rPr>
                <m:t>ε</m:t>
              </m:r>
            </m:e>
            <m:sub>
              <m:r>
                <w:rPr>
                  <w:rFonts w:ascii="Cambria Math" w:hAnsi="Cambria Math" w:cs="Arial"/>
                </w:rPr>
                <m:t>i</m:t>
              </m:r>
            </m:sub>
          </m:sSub>
          <m:r>
            <w:rPr>
              <w:rFonts w:ascii="Cambria Math" w:hAnsi="Cambria Math" w:cs="Arial"/>
            </w:rPr>
            <m:t xml:space="preserve">                                                                    (1)</m:t>
          </m:r>
        </m:oMath>
      </m:oMathPara>
    </w:p>
    <w:p w14:paraId="708770B2" w14:textId="77777777" w:rsidR="00F86B78" w:rsidRPr="00862A76" w:rsidRDefault="00F86B78" w:rsidP="00F86B78">
      <w:pPr>
        <w:jc w:val="both"/>
        <w:rPr>
          <w:rFonts w:ascii="Arial" w:hAnsi="Arial" w:cs="Arial"/>
        </w:rPr>
      </w:pPr>
      <w:r w:rsidRPr="00862A76">
        <w:rPr>
          <w:rFonts w:ascii="Arial" w:hAnsi="Arial" w:cs="Arial"/>
        </w:rPr>
        <w:t xml:space="preserve">where </w:t>
      </w:r>
      <m:oMath>
        <m:sSub>
          <m:sSubPr>
            <m:ctrlPr>
              <w:rPr>
                <w:rFonts w:ascii="Cambria Math" w:hAnsi="Cambria Math" w:cs="Arial"/>
                <w:i/>
              </w:rPr>
            </m:ctrlPr>
          </m:sSubPr>
          <m:e>
            <m:r>
              <w:rPr>
                <w:rFonts w:ascii="Cambria Math" w:hAnsi="Cambria Math" w:cs="Arial"/>
              </w:rPr>
              <m:t>λ</m:t>
            </m:r>
          </m:e>
          <m:sub>
            <m:r>
              <w:rPr>
                <w:rFonts w:ascii="Cambria Math" w:hAnsi="Cambria Math" w:cs="Arial"/>
              </w:rPr>
              <m:t>i</m:t>
            </m:r>
          </m:sub>
        </m:sSub>
      </m:oMath>
      <w:r w:rsidRPr="00862A76">
        <w:rPr>
          <w:rFonts w:ascii="Arial" w:eastAsiaTheme="minorEastAsia" w:hAnsi="Arial" w:cs="Arial"/>
        </w:rPr>
        <w:t xml:space="preserve"> </w:t>
      </w:r>
      <w:r w:rsidRPr="00862A76">
        <w:rPr>
          <w:rFonts w:ascii="Arial" w:hAnsi="Arial" w:cs="Arial"/>
        </w:rPr>
        <w:t xml:space="preserve">is the expected diabetes mellitus-related deaths for the </w:t>
      </w:r>
      <m:oMath>
        <m:r>
          <w:rPr>
            <w:rStyle w:val="katex-mathml"/>
            <w:rFonts w:ascii="Cambria Math" w:hAnsi="Cambria Math" w:cs="Arial"/>
            <w:bdr w:val="none" w:sz="0" w:space="0" w:color="auto" w:frame="1"/>
          </w:rPr>
          <m:t>i</m:t>
        </m:r>
      </m:oMath>
      <w:r w:rsidRPr="00862A76">
        <w:rPr>
          <w:rStyle w:val="katex-mathml"/>
          <w:rFonts w:ascii="Arial" w:hAnsi="Arial" w:cs="Arial"/>
          <w:bdr w:val="none" w:sz="0" w:space="0" w:color="auto" w:frame="1"/>
        </w:rPr>
        <w:t>-</w:t>
      </w:r>
      <w:proofErr w:type="spellStart"/>
      <w:r w:rsidRPr="00862A76">
        <w:rPr>
          <w:rFonts w:ascii="Arial" w:hAnsi="Arial" w:cs="Arial"/>
        </w:rPr>
        <w:t>th</w:t>
      </w:r>
      <w:proofErr w:type="spellEnd"/>
      <w:r w:rsidRPr="00862A76">
        <w:rPr>
          <w:rFonts w:ascii="Arial" w:hAnsi="Arial" w:cs="Arial"/>
        </w:rPr>
        <w:t xml:space="preserve"> observation, </w:t>
      </w:r>
      <m:oMath>
        <m:func>
          <m:funcPr>
            <m:ctrlPr>
              <w:rPr>
                <w:rFonts w:ascii="Cambria Math" w:hAnsi="Cambria Math" w:cs="Arial"/>
                <w:i/>
              </w:rPr>
            </m:ctrlPr>
          </m:funcPr>
          <m:fName>
            <m:r>
              <m:rPr>
                <m:sty m:val="p"/>
              </m:rPr>
              <w:rPr>
                <w:rFonts w:ascii="Cambria Math" w:hAnsi="Cambria Math" w:cs="Arial"/>
              </w:rPr>
              <m:t>ln</m:t>
            </m:r>
          </m:fName>
          <m:e>
            <m:sSub>
              <m:sSubPr>
                <m:ctrlPr>
                  <w:rPr>
                    <w:rFonts w:ascii="Cambria Math" w:hAnsi="Cambria Math" w:cs="Arial"/>
                    <w:i/>
                  </w:rPr>
                </m:ctrlPr>
              </m:sSubPr>
              <m:e>
                <m:r>
                  <w:rPr>
                    <w:rFonts w:ascii="Cambria Math" w:hAnsi="Cambria Math" w:cs="Arial"/>
                  </w:rPr>
                  <m:t>λ</m:t>
                </m:r>
              </m:e>
              <m:sub>
                <m:r>
                  <w:rPr>
                    <w:rFonts w:ascii="Cambria Math" w:hAnsi="Cambria Math" w:cs="Arial"/>
                  </w:rPr>
                  <m:t>i</m:t>
                </m:r>
              </m:sub>
            </m:sSub>
          </m:e>
        </m:func>
      </m:oMath>
      <w:r w:rsidRPr="00862A76">
        <w:rPr>
          <w:rFonts w:ascii="Arial" w:eastAsiaTheme="minorEastAsia" w:hAnsi="Arial" w:cs="Arial"/>
        </w:rPr>
        <w:t xml:space="preserve"> </w:t>
      </w:r>
      <w:r w:rsidRPr="00862A76">
        <w:rPr>
          <w:rFonts w:ascii="Arial" w:hAnsi="Arial" w:cs="Arial"/>
        </w:rPr>
        <w:t xml:space="preserve">is the natural logarithm of the expected diabetes mellitus related death, and it serves as the link function, </w:t>
      </w:r>
      <m:oMath>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oMath>
      <w:r w:rsidRPr="00862A76">
        <w:rPr>
          <w:rFonts w:ascii="Arial" w:eastAsiaTheme="minorEastAsia" w:hAnsi="Arial" w:cs="Arial"/>
        </w:rPr>
        <w:t xml:space="preserve"> </w:t>
      </w:r>
      <w:r w:rsidRPr="00862A76">
        <w:rPr>
          <w:rFonts w:ascii="Arial" w:hAnsi="Arial" w:cs="Arial"/>
        </w:rPr>
        <w:t xml:space="preserve">is the intercept term, </w:t>
      </w:r>
      <m:oMath>
        <m:sSub>
          <m:sSubPr>
            <m:ctrlPr>
              <w:rPr>
                <w:rFonts w:ascii="Cambria Math" w:eastAsiaTheme="minorEastAsia" w:hAnsi="Cambria Math" w:cs="Arial"/>
                <w:i/>
              </w:rPr>
            </m:ctrlPr>
          </m:sSubPr>
          <m:e>
            <m:r>
              <w:rPr>
                <w:rFonts w:ascii="Cambria Math" w:eastAsiaTheme="minorEastAsia" w:hAnsi="Cambria Math" w:cs="Arial"/>
              </w:rPr>
              <m:t>x</m:t>
            </m:r>
          </m:e>
          <m:sub>
            <m:r>
              <w:rPr>
                <w:rFonts w:ascii="Cambria Math" w:eastAsiaTheme="minorEastAsia" w:hAnsi="Cambria Math" w:cs="Arial"/>
              </w:rPr>
              <m:t>1</m:t>
            </m:r>
          </m:sub>
        </m:sSub>
        <m:r>
          <w:rPr>
            <w:rFonts w:ascii="Cambria Math" w:eastAsiaTheme="minorEastAsia" w:hAnsi="Cambria Math" w:cs="Arial"/>
          </w:rPr>
          <m:t>=</m:t>
        </m:r>
      </m:oMath>
      <w:r w:rsidRPr="00862A76">
        <w:rPr>
          <w:rFonts w:ascii="Arial" w:eastAsiaTheme="minorEastAsia" w:hAnsi="Arial" w:cs="Arial"/>
        </w:rPr>
        <w:t xml:space="preserve"> confirmed cases, </w:t>
      </w:r>
      <m:oMath>
        <m:sSub>
          <m:sSubPr>
            <m:ctrlPr>
              <w:rPr>
                <w:rFonts w:ascii="Cambria Math" w:eastAsiaTheme="minorEastAsia" w:hAnsi="Cambria Math" w:cs="Arial"/>
                <w:i/>
              </w:rPr>
            </m:ctrlPr>
          </m:sSubPr>
          <m:e>
            <m:r>
              <w:rPr>
                <w:rFonts w:ascii="Cambria Math" w:eastAsiaTheme="minorEastAsia" w:hAnsi="Cambria Math" w:cs="Arial"/>
              </w:rPr>
              <m:t>x</m:t>
            </m:r>
          </m:e>
          <m:sub>
            <m:r>
              <w:rPr>
                <w:rFonts w:ascii="Cambria Math" w:eastAsiaTheme="minorEastAsia" w:hAnsi="Cambria Math" w:cs="Arial"/>
              </w:rPr>
              <m:t>2</m:t>
            </m:r>
          </m:sub>
        </m:sSub>
        <m:r>
          <w:rPr>
            <w:rFonts w:ascii="Cambria Math" w:eastAsiaTheme="minorEastAsia" w:hAnsi="Cambria Math" w:cs="Arial"/>
          </w:rPr>
          <m:t>=</m:t>
        </m:r>
      </m:oMath>
      <w:r w:rsidRPr="00862A76">
        <w:rPr>
          <w:rFonts w:ascii="Arial" w:eastAsiaTheme="minorEastAsia" w:hAnsi="Arial" w:cs="Arial"/>
        </w:rPr>
        <w:t xml:space="preserve"> active cases, </w:t>
      </w:r>
      <m:oMath>
        <m:sSub>
          <m:sSubPr>
            <m:ctrlPr>
              <w:rPr>
                <w:rFonts w:ascii="Cambria Math" w:eastAsiaTheme="minorEastAsia" w:hAnsi="Cambria Math" w:cs="Arial"/>
                <w:i/>
              </w:rPr>
            </m:ctrlPr>
          </m:sSubPr>
          <m:e>
            <m:r>
              <w:rPr>
                <w:rFonts w:ascii="Cambria Math" w:eastAsiaTheme="minorEastAsia" w:hAnsi="Cambria Math" w:cs="Arial"/>
              </w:rPr>
              <m:t>x</m:t>
            </m:r>
          </m:e>
          <m:sub>
            <m:r>
              <w:rPr>
                <w:rFonts w:ascii="Cambria Math" w:eastAsiaTheme="minorEastAsia" w:hAnsi="Cambria Math" w:cs="Arial"/>
              </w:rPr>
              <m:t>3</m:t>
            </m:r>
          </m:sub>
        </m:sSub>
        <m:r>
          <w:rPr>
            <w:rFonts w:ascii="Cambria Math" w:eastAsiaTheme="minorEastAsia" w:hAnsi="Cambria Math" w:cs="Arial"/>
          </w:rPr>
          <m:t>=</m:t>
        </m:r>
      </m:oMath>
      <w:r w:rsidRPr="00862A76">
        <w:rPr>
          <w:rFonts w:ascii="Arial" w:eastAsiaTheme="minorEastAsia" w:hAnsi="Arial" w:cs="Arial"/>
        </w:rPr>
        <w:t xml:space="preserve"> severe cases, </w:t>
      </w:r>
      <m:oMath>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rPr>
              <m:t>1</m:t>
            </m:r>
          </m:sub>
        </m:sSub>
        <m:r>
          <w:rPr>
            <w:rFonts w:ascii="Cambria Math" w:eastAsiaTheme="minorEastAsia" w:hAnsi="Cambria Math" w:cs="Arial"/>
          </w:rPr>
          <m:t xml:space="preserve">, </m:t>
        </m:r>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rPr>
              <m:t>2</m:t>
            </m:r>
          </m:sub>
        </m:sSub>
        <m:r>
          <w:rPr>
            <w:rFonts w:ascii="Cambria Math" w:eastAsiaTheme="minorEastAsia" w:hAnsi="Cambria Math" w:cs="Arial"/>
          </w:rPr>
          <m:t>,</m:t>
        </m:r>
      </m:oMath>
      <w:r w:rsidRPr="00862A76">
        <w:rPr>
          <w:rFonts w:ascii="Arial" w:eastAsiaTheme="minorEastAsia" w:hAnsi="Arial" w:cs="Arial"/>
        </w:rPr>
        <w:t xml:space="preserve"> and </w:t>
      </w:r>
      <m:oMath>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rPr>
              <m:t>3</m:t>
            </m:r>
          </m:sub>
        </m:sSub>
      </m:oMath>
      <w:r w:rsidRPr="00862A76">
        <w:rPr>
          <w:rFonts w:ascii="Arial" w:eastAsiaTheme="minorEastAsia" w:hAnsi="Arial" w:cs="Arial"/>
        </w:rPr>
        <w:t xml:space="preserve"> are the slope coefficients corresponding to the confirmed, active, and severe </w:t>
      </w:r>
      <w:r w:rsidRPr="00862A76">
        <w:rPr>
          <w:rFonts w:ascii="Arial" w:hAnsi="Arial" w:cs="Arial"/>
        </w:rPr>
        <w:t>diabetes mellitus</w:t>
      </w:r>
      <w:r w:rsidRPr="00862A76">
        <w:rPr>
          <w:rFonts w:ascii="Arial" w:eastAsiaTheme="minorEastAsia" w:hAnsi="Arial" w:cs="Arial"/>
        </w:rPr>
        <w:t xml:space="preserve"> cases respectively, and </w:t>
      </w:r>
      <m:oMath>
        <m:sSub>
          <m:sSubPr>
            <m:ctrlPr>
              <w:rPr>
                <w:rFonts w:ascii="Cambria Math" w:eastAsiaTheme="minorEastAsia" w:hAnsi="Cambria Math" w:cs="Arial"/>
                <w:i/>
              </w:rPr>
            </m:ctrlPr>
          </m:sSubPr>
          <m:e>
            <m:r>
              <w:rPr>
                <w:rFonts w:ascii="Cambria Math" w:eastAsiaTheme="minorEastAsia" w:hAnsi="Cambria Math" w:cs="Arial"/>
              </w:rPr>
              <m:t>ε</m:t>
            </m:r>
          </m:e>
          <m:sub>
            <m:r>
              <w:rPr>
                <w:rFonts w:ascii="Cambria Math" w:eastAsiaTheme="minorEastAsia" w:hAnsi="Cambria Math" w:cs="Arial"/>
              </w:rPr>
              <m:t>i</m:t>
            </m:r>
          </m:sub>
        </m:sSub>
      </m:oMath>
      <w:r w:rsidRPr="00862A76">
        <w:rPr>
          <w:rFonts w:ascii="Arial" w:eastAsiaTheme="minorEastAsia" w:hAnsi="Arial" w:cs="Arial"/>
        </w:rPr>
        <w:t xml:space="preserve"> are the error terms which account for the unexplained variations or factors not included in the model.</w:t>
      </w:r>
    </w:p>
    <w:p w14:paraId="16FB4EDC" w14:textId="77777777" w:rsidR="00F86B78" w:rsidRPr="00862A76" w:rsidRDefault="00F86B78" w:rsidP="00F86B78">
      <w:pPr>
        <w:jc w:val="both"/>
        <w:rPr>
          <w:rFonts w:ascii="Arial" w:hAnsi="Arial" w:cs="Arial"/>
        </w:rPr>
      </w:pPr>
      <w:r w:rsidRPr="00862A76">
        <w:rPr>
          <w:rFonts w:ascii="Arial" w:hAnsi="Arial" w:cs="Arial"/>
        </w:rPr>
        <w:t xml:space="preserve">The model assumes that the observed counts </w:t>
      </w:r>
      <m:oMath>
        <m:sSub>
          <m:sSubPr>
            <m:ctrlPr>
              <w:rPr>
                <w:rFonts w:ascii="Cambria Math" w:hAnsi="Cambria Math" w:cs="Arial"/>
                <w:i/>
              </w:rPr>
            </m:ctrlPr>
          </m:sSubPr>
          <m:e>
            <m:r>
              <w:rPr>
                <w:rFonts w:ascii="Cambria Math" w:hAnsi="Cambria Math" w:cs="Arial"/>
              </w:rPr>
              <m:t>y</m:t>
            </m:r>
          </m:e>
          <m:sub>
            <m:r>
              <w:rPr>
                <w:rFonts w:ascii="Cambria Math" w:hAnsi="Cambria Math" w:cs="Arial"/>
              </w:rPr>
              <m:t>i</m:t>
            </m:r>
          </m:sub>
        </m:sSub>
      </m:oMath>
      <w:r w:rsidRPr="00862A76">
        <w:rPr>
          <w:rFonts w:ascii="Arial" w:hAnsi="Arial" w:cs="Arial"/>
        </w:rPr>
        <w:t xml:space="preserve"> follow a Poisson distribution with mean </w:t>
      </w:r>
      <m:oMath>
        <m:sSub>
          <m:sSubPr>
            <m:ctrlPr>
              <w:rPr>
                <w:rFonts w:ascii="Cambria Math" w:hAnsi="Cambria Math" w:cs="Arial"/>
                <w:i/>
              </w:rPr>
            </m:ctrlPr>
          </m:sSubPr>
          <m:e>
            <m:r>
              <w:rPr>
                <w:rFonts w:ascii="Cambria Math" w:hAnsi="Cambria Math" w:cs="Arial"/>
              </w:rPr>
              <m:t>λ</m:t>
            </m:r>
          </m:e>
          <m:sub>
            <m:r>
              <w:rPr>
                <w:rFonts w:ascii="Cambria Math" w:hAnsi="Cambria Math" w:cs="Arial"/>
              </w:rPr>
              <m:t>i</m:t>
            </m:r>
          </m:sub>
        </m:sSub>
        <m:r>
          <w:rPr>
            <w:rFonts w:ascii="Cambria Math" w:hAnsi="Cambria Math" w:cs="Arial"/>
          </w:rPr>
          <m:t>:</m:t>
        </m:r>
      </m:oMath>
      <w:r w:rsidRPr="00862A76">
        <w:rPr>
          <w:rFonts w:ascii="Arial" w:hAnsi="Arial" w:cs="Arial"/>
        </w:rPr>
        <w:t xml:space="preserve"> </w:t>
      </w:r>
    </w:p>
    <w:p w14:paraId="420CFA81" w14:textId="77777777" w:rsidR="00F86B78" w:rsidRPr="00862A76" w:rsidRDefault="001E2E8F" w:rsidP="00F86B78">
      <w:pPr>
        <w:jc w:val="both"/>
        <w:rPr>
          <w:rStyle w:val="katex-mathml"/>
          <w:rFonts w:ascii="Arial" w:hAnsi="Arial" w:cs="Arial"/>
          <w:bdr w:val="none" w:sz="0" w:space="0" w:color="auto" w:frame="1"/>
        </w:rPr>
      </w:pPr>
      <m:oMathPara>
        <m:oMath>
          <m:func>
            <m:funcPr>
              <m:ctrlPr>
                <w:rPr>
                  <w:rStyle w:val="katex-mathml"/>
                  <w:rFonts w:ascii="Cambria Math" w:hAnsi="Cambria Math" w:cs="Arial"/>
                  <w:i/>
                  <w:bdr w:val="none" w:sz="0" w:space="0" w:color="auto" w:frame="1"/>
                </w:rPr>
              </m:ctrlPr>
            </m:funcPr>
            <m:fName>
              <m:r>
                <m:rPr>
                  <m:sty m:val="p"/>
                </m:rPr>
                <w:rPr>
                  <w:rStyle w:val="katex-mathml"/>
                  <w:rFonts w:ascii="Cambria Math" w:hAnsi="Cambria Math" w:cs="Arial"/>
                  <w:bdr w:val="none" w:sz="0" w:space="0" w:color="auto" w:frame="1"/>
                </w:rPr>
                <m:t>P</m:t>
              </m:r>
            </m:fName>
            <m:e>
              <m:d>
                <m:dPr>
                  <m:ctrlPr>
                    <w:rPr>
                      <w:rStyle w:val="katex-mathml"/>
                      <w:rFonts w:ascii="Cambria Math" w:hAnsi="Cambria Math" w:cs="Arial"/>
                      <w:i/>
                      <w:bdr w:val="none" w:sz="0" w:space="0" w:color="auto" w:frame="1"/>
                    </w:rPr>
                  </m:ctrlPr>
                </m:dPr>
                <m:e>
                  <m:sSub>
                    <m:sSubPr>
                      <m:ctrlPr>
                        <w:rPr>
                          <w:rStyle w:val="katex-mathml"/>
                          <w:rFonts w:ascii="Cambria Math" w:hAnsi="Cambria Math" w:cs="Arial"/>
                          <w:i/>
                          <w:bdr w:val="none" w:sz="0" w:space="0" w:color="auto" w:frame="1"/>
                        </w:rPr>
                      </m:ctrlPr>
                    </m:sSubPr>
                    <m:e>
                      <m:r>
                        <w:rPr>
                          <w:rStyle w:val="katex-mathml"/>
                          <w:rFonts w:ascii="Cambria Math" w:hAnsi="Cambria Math" w:cs="Arial"/>
                          <w:bdr w:val="none" w:sz="0" w:space="0" w:color="auto" w:frame="1"/>
                        </w:rPr>
                        <m:t>Y</m:t>
                      </m:r>
                    </m:e>
                    <m:sub>
                      <m:r>
                        <w:rPr>
                          <w:rStyle w:val="katex-mathml"/>
                          <w:rFonts w:ascii="Cambria Math" w:hAnsi="Cambria Math" w:cs="Arial"/>
                          <w:bdr w:val="none" w:sz="0" w:space="0" w:color="auto" w:frame="1"/>
                        </w:rPr>
                        <m:t>i</m:t>
                      </m:r>
                    </m:sub>
                  </m:sSub>
                  <m:r>
                    <w:rPr>
                      <w:rStyle w:val="katex-mathml"/>
                      <w:rFonts w:ascii="Cambria Math" w:hAnsi="Cambria Math" w:cs="Arial"/>
                      <w:bdr w:val="none" w:sz="0" w:space="0" w:color="auto" w:frame="1"/>
                    </w:rPr>
                    <m:t>=</m:t>
                  </m:r>
                  <m:sSub>
                    <m:sSubPr>
                      <m:ctrlPr>
                        <w:rPr>
                          <w:rStyle w:val="katex-mathml"/>
                          <w:rFonts w:ascii="Cambria Math" w:hAnsi="Cambria Math" w:cs="Arial"/>
                          <w:i/>
                          <w:bdr w:val="none" w:sz="0" w:space="0" w:color="auto" w:frame="1"/>
                        </w:rPr>
                      </m:ctrlPr>
                    </m:sSubPr>
                    <m:e>
                      <m:r>
                        <w:rPr>
                          <w:rStyle w:val="katex-mathml"/>
                          <w:rFonts w:ascii="Cambria Math" w:hAnsi="Cambria Math" w:cs="Arial"/>
                          <w:bdr w:val="none" w:sz="0" w:space="0" w:color="auto" w:frame="1"/>
                        </w:rPr>
                        <m:t>y</m:t>
                      </m:r>
                    </m:e>
                    <m:sub>
                      <m:r>
                        <w:rPr>
                          <w:rStyle w:val="katex-mathml"/>
                          <w:rFonts w:ascii="Cambria Math" w:hAnsi="Cambria Math" w:cs="Arial"/>
                          <w:bdr w:val="none" w:sz="0" w:space="0" w:color="auto" w:frame="1"/>
                        </w:rPr>
                        <m:t>i</m:t>
                      </m:r>
                    </m:sub>
                  </m:sSub>
                </m:e>
              </m:d>
            </m:e>
          </m:func>
          <m:r>
            <w:rPr>
              <w:rStyle w:val="katex-mathml"/>
              <w:rFonts w:ascii="Cambria Math" w:hAnsi="Cambria Math" w:cs="Arial"/>
              <w:bdr w:val="none" w:sz="0" w:space="0" w:color="auto" w:frame="1"/>
            </w:rPr>
            <m:t>=</m:t>
          </m:r>
          <m:f>
            <m:fPr>
              <m:ctrlPr>
                <w:rPr>
                  <w:rStyle w:val="katex-mathml"/>
                  <w:rFonts w:ascii="Cambria Math" w:hAnsi="Cambria Math" w:cs="Arial"/>
                  <w:i/>
                  <w:bdr w:val="none" w:sz="0" w:space="0" w:color="auto" w:frame="1"/>
                </w:rPr>
              </m:ctrlPr>
            </m:fPr>
            <m:num>
              <m:sSup>
                <m:sSupPr>
                  <m:ctrlPr>
                    <w:rPr>
                      <w:rStyle w:val="katex-mathml"/>
                      <w:rFonts w:ascii="Cambria Math" w:hAnsi="Cambria Math" w:cs="Arial"/>
                      <w:i/>
                      <w:bdr w:val="none" w:sz="0" w:space="0" w:color="auto" w:frame="1"/>
                    </w:rPr>
                  </m:ctrlPr>
                </m:sSupPr>
                <m:e>
                  <m:r>
                    <w:rPr>
                      <w:rStyle w:val="katex-mathml"/>
                      <w:rFonts w:ascii="Cambria Math" w:hAnsi="Cambria Math" w:cs="Arial"/>
                      <w:bdr w:val="none" w:sz="0" w:space="0" w:color="auto" w:frame="1"/>
                    </w:rPr>
                    <m:t>e</m:t>
                  </m:r>
                </m:e>
                <m:sup>
                  <m:r>
                    <w:rPr>
                      <w:rStyle w:val="katex-mathml"/>
                      <w:rFonts w:ascii="Cambria Math" w:hAnsi="Cambria Math" w:cs="Arial"/>
                      <w:bdr w:val="none" w:sz="0" w:space="0" w:color="auto" w:frame="1"/>
                    </w:rPr>
                    <m:t>-</m:t>
                  </m:r>
                  <m:sSub>
                    <m:sSubPr>
                      <m:ctrlPr>
                        <w:rPr>
                          <w:rStyle w:val="katex-mathml"/>
                          <w:rFonts w:ascii="Cambria Math" w:hAnsi="Cambria Math" w:cs="Arial"/>
                          <w:i/>
                          <w:bdr w:val="none" w:sz="0" w:space="0" w:color="auto" w:frame="1"/>
                        </w:rPr>
                      </m:ctrlPr>
                    </m:sSubPr>
                    <m:e>
                      <m:r>
                        <w:rPr>
                          <w:rStyle w:val="katex-mathml"/>
                          <w:rFonts w:ascii="Cambria Math" w:hAnsi="Cambria Math" w:cs="Arial"/>
                          <w:bdr w:val="none" w:sz="0" w:space="0" w:color="auto" w:frame="1"/>
                        </w:rPr>
                        <m:t>λ</m:t>
                      </m:r>
                    </m:e>
                    <m:sub>
                      <m:r>
                        <w:rPr>
                          <w:rStyle w:val="katex-mathml"/>
                          <w:rFonts w:ascii="Cambria Math" w:hAnsi="Cambria Math" w:cs="Arial"/>
                          <w:bdr w:val="none" w:sz="0" w:space="0" w:color="auto" w:frame="1"/>
                        </w:rPr>
                        <m:t>i</m:t>
                      </m:r>
                    </m:sub>
                  </m:sSub>
                </m:sup>
              </m:sSup>
              <m:sSubSup>
                <m:sSubSupPr>
                  <m:ctrlPr>
                    <w:rPr>
                      <w:rStyle w:val="katex-mathml"/>
                      <w:rFonts w:ascii="Cambria Math" w:hAnsi="Cambria Math" w:cs="Arial"/>
                      <w:i/>
                      <w:bdr w:val="none" w:sz="0" w:space="0" w:color="auto" w:frame="1"/>
                    </w:rPr>
                  </m:ctrlPr>
                </m:sSubSupPr>
                <m:e>
                  <m:r>
                    <w:rPr>
                      <w:rStyle w:val="katex-mathml"/>
                      <w:rFonts w:ascii="Cambria Math" w:hAnsi="Cambria Math" w:cs="Arial"/>
                      <w:bdr w:val="none" w:sz="0" w:space="0" w:color="auto" w:frame="1"/>
                    </w:rPr>
                    <m:t>λ</m:t>
                  </m:r>
                </m:e>
                <m:sub>
                  <m:r>
                    <w:rPr>
                      <w:rStyle w:val="katex-mathml"/>
                      <w:rFonts w:ascii="Cambria Math" w:hAnsi="Cambria Math" w:cs="Arial"/>
                      <w:bdr w:val="none" w:sz="0" w:space="0" w:color="auto" w:frame="1"/>
                    </w:rPr>
                    <m:t>i</m:t>
                  </m:r>
                </m:sub>
                <m:sup>
                  <m:sSub>
                    <m:sSubPr>
                      <m:ctrlPr>
                        <w:rPr>
                          <w:rStyle w:val="katex-mathml"/>
                          <w:rFonts w:ascii="Cambria Math" w:hAnsi="Cambria Math" w:cs="Arial"/>
                          <w:i/>
                          <w:bdr w:val="none" w:sz="0" w:space="0" w:color="auto" w:frame="1"/>
                        </w:rPr>
                      </m:ctrlPr>
                    </m:sSubPr>
                    <m:e>
                      <m:r>
                        <w:rPr>
                          <w:rStyle w:val="katex-mathml"/>
                          <w:rFonts w:ascii="Cambria Math" w:hAnsi="Cambria Math" w:cs="Arial"/>
                          <w:bdr w:val="none" w:sz="0" w:space="0" w:color="auto" w:frame="1"/>
                        </w:rPr>
                        <m:t>y</m:t>
                      </m:r>
                    </m:e>
                    <m:sub>
                      <m:r>
                        <w:rPr>
                          <w:rStyle w:val="katex-mathml"/>
                          <w:rFonts w:ascii="Cambria Math" w:hAnsi="Cambria Math" w:cs="Arial"/>
                          <w:bdr w:val="none" w:sz="0" w:space="0" w:color="auto" w:frame="1"/>
                        </w:rPr>
                        <m:t>i</m:t>
                      </m:r>
                    </m:sub>
                  </m:sSub>
                </m:sup>
              </m:sSubSup>
            </m:num>
            <m:den>
              <m:sSub>
                <m:sSubPr>
                  <m:ctrlPr>
                    <w:rPr>
                      <w:rStyle w:val="katex-mathml"/>
                      <w:rFonts w:ascii="Cambria Math" w:hAnsi="Cambria Math" w:cs="Arial"/>
                      <w:i/>
                      <w:bdr w:val="none" w:sz="0" w:space="0" w:color="auto" w:frame="1"/>
                    </w:rPr>
                  </m:ctrlPr>
                </m:sSubPr>
                <m:e>
                  <m:r>
                    <w:rPr>
                      <w:rStyle w:val="katex-mathml"/>
                      <w:rFonts w:ascii="Cambria Math" w:hAnsi="Cambria Math" w:cs="Arial"/>
                      <w:bdr w:val="none" w:sz="0" w:space="0" w:color="auto" w:frame="1"/>
                    </w:rPr>
                    <m:t>y</m:t>
                  </m:r>
                </m:e>
                <m:sub>
                  <m:r>
                    <w:rPr>
                      <w:rStyle w:val="katex-mathml"/>
                      <w:rFonts w:ascii="Cambria Math" w:hAnsi="Cambria Math" w:cs="Arial"/>
                      <w:bdr w:val="none" w:sz="0" w:space="0" w:color="auto" w:frame="1"/>
                    </w:rPr>
                    <m:t>i</m:t>
                  </m:r>
                </m:sub>
              </m:sSub>
              <m:r>
                <w:rPr>
                  <w:rStyle w:val="katex-mathml"/>
                  <w:rFonts w:ascii="Cambria Math" w:hAnsi="Cambria Math" w:cs="Arial"/>
                  <w:bdr w:val="none" w:sz="0" w:space="0" w:color="auto" w:frame="1"/>
                </w:rPr>
                <m:t>!</m:t>
              </m:r>
            </m:den>
          </m:f>
          <m:r>
            <w:rPr>
              <w:rStyle w:val="katex-mathml"/>
              <w:rFonts w:ascii="Cambria Math" w:hAnsi="Cambria Math" w:cs="Arial"/>
              <w:bdr w:val="none" w:sz="0" w:space="0" w:color="auto" w:frame="1"/>
            </w:rPr>
            <m:t xml:space="preserve">                                                                                                            (2)</m:t>
          </m:r>
        </m:oMath>
      </m:oMathPara>
    </w:p>
    <w:p w14:paraId="06F303A1" w14:textId="77777777" w:rsidR="00F86B78" w:rsidRPr="00862A76" w:rsidRDefault="00F86B78" w:rsidP="00F86B78">
      <w:pPr>
        <w:jc w:val="both"/>
        <w:rPr>
          <w:rFonts w:ascii="Arial" w:hAnsi="Arial" w:cs="Arial"/>
        </w:rPr>
      </w:pPr>
      <w:r w:rsidRPr="00862A76">
        <w:rPr>
          <w:rFonts w:ascii="Arial" w:hAnsi="Arial" w:cs="Arial"/>
        </w:rPr>
        <w:t xml:space="preserve">The link function </w:t>
      </w:r>
      <m:oMath>
        <m:func>
          <m:funcPr>
            <m:ctrlPr>
              <w:rPr>
                <w:rFonts w:ascii="Cambria Math" w:hAnsi="Cambria Math" w:cs="Arial"/>
                <w:i/>
              </w:rPr>
            </m:ctrlPr>
          </m:funcPr>
          <m:fName>
            <m:r>
              <m:rPr>
                <m:sty m:val="p"/>
              </m:rPr>
              <w:rPr>
                <w:rFonts w:ascii="Cambria Math" w:hAnsi="Cambria Math" w:cs="Arial"/>
              </w:rPr>
              <m:t>ln</m:t>
            </m:r>
          </m:fName>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λ</m:t>
                    </m:r>
                  </m:e>
                  <m:sub>
                    <m:r>
                      <w:rPr>
                        <w:rFonts w:ascii="Cambria Math" w:hAnsi="Cambria Math" w:cs="Arial"/>
                      </w:rPr>
                      <m:t>i</m:t>
                    </m:r>
                  </m:sub>
                </m:sSub>
              </m:e>
            </m:d>
          </m:e>
        </m:func>
      </m:oMath>
      <w:r w:rsidRPr="00862A76">
        <w:rPr>
          <w:rFonts w:ascii="Arial" w:hAnsi="Arial" w:cs="Arial"/>
        </w:rPr>
        <w:t xml:space="preserve"> transforms the linear combination of the independent variables into the range of real numbers, ensuring that the predicted values are positive. The Poisson regression model expresses the logarithm of the expected count as a linear combination of predictor variables, and it is commonly estimated using maximum likelihood methods.</w:t>
      </w:r>
    </w:p>
    <w:p w14:paraId="33DEE605" w14:textId="77777777" w:rsidR="00F86B78" w:rsidRPr="00862A76" w:rsidRDefault="00F86B78" w:rsidP="00F86B78">
      <w:pPr>
        <w:spacing w:before="240"/>
        <w:jc w:val="both"/>
        <w:rPr>
          <w:rFonts w:ascii="Arial" w:hAnsi="Arial" w:cs="Arial"/>
          <w:b/>
        </w:rPr>
      </w:pPr>
      <w:r w:rsidRPr="00862A76">
        <w:rPr>
          <w:b/>
        </w:rPr>
        <w:t>2.2.2 Negative Binomial Regression Model</w:t>
      </w:r>
    </w:p>
    <w:p w14:paraId="092B1FF1" w14:textId="77777777" w:rsidR="00F86B78" w:rsidRPr="00862A76" w:rsidRDefault="00F86B78" w:rsidP="00F86B78">
      <w:pPr>
        <w:spacing w:before="240"/>
        <w:jc w:val="both"/>
        <w:rPr>
          <w:rFonts w:ascii="Arial" w:hAnsi="Arial" w:cs="Arial"/>
        </w:rPr>
      </w:pPr>
      <w:r w:rsidRPr="00862A76">
        <w:t>The negative binomial regression model is a generalised linear model used for count data when the variance exceeds the mean, a common feature of count outcomes. It is particularly suitable when the data are overdispersed; that is, when their variability is greater than would be expected under a Poisson distribution (Hilbe, 2011).</w:t>
      </w:r>
    </w:p>
    <w:p w14:paraId="56751706" w14:textId="77777777" w:rsidR="00F86B78" w:rsidRPr="00862A76" w:rsidRDefault="00F86B78" w:rsidP="00F86B78">
      <w:pPr>
        <w:jc w:val="both"/>
        <w:rPr>
          <w:rFonts w:ascii="Arial" w:hAnsi="Arial" w:cs="Arial"/>
        </w:rPr>
      </w:pPr>
      <w:r w:rsidRPr="00862A76">
        <w:t>The probability mass function (PMF) of the negative binomial distribution is given by:</w:t>
      </w:r>
    </w:p>
    <w:p w14:paraId="65011D0A" w14:textId="77777777" w:rsidR="00F86B78" w:rsidRPr="00862A76" w:rsidRDefault="00F86B78" w:rsidP="00F86B78">
      <w:pPr>
        <w:jc w:val="both"/>
        <w:rPr>
          <w:rFonts w:ascii="Arial" w:eastAsiaTheme="minorEastAsia" w:hAnsi="Arial" w:cs="Arial"/>
        </w:rPr>
      </w:pPr>
      <m:oMathPara>
        <m:oMath>
          <m:r>
            <w:rPr>
              <w:rFonts w:ascii="Cambria Math" w:hAnsi="Cambria Math" w:cs="Arial"/>
            </w:rPr>
            <m:t>P</m:t>
          </m:r>
          <m:d>
            <m:dPr>
              <m:ctrlPr>
                <w:rPr>
                  <w:rFonts w:ascii="Cambria Math" w:hAnsi="Cambria Math" w:cs="Arial"/>
                  <w:i/>
                </w:rPr>
              </m:ctrlPr>
            </m:dPr>
            <m:e>
              <m:r>
                <w:rPr>
                  <w:rFonts w:ascii="Cambria Math" w:hAnsi="Cambria Math" w:cs="Arial"/>
                </w:rPr>
                <m:t>Y-y</m:t>
              </m:r>
            </m:e>
          </m:d>
          <m:r>
            <w:rPr>
              <w:rFonts w:ascii="Cambria Math" w:hAnsi="Cambria Math" w:cs="Arial"/>
            </w:rPr>
            <m:t>=</m:t>
          </m:r>
          <m:f>
            <m:fPr>
              <m:ctrlPr>
                <w:rPr>
                  <w:rFonts w:ascii="Cambria Math" w:hAnsi="Cambria Math" w:cs="Arial"/>
                  <w:i/>
                </w:rPr>
              </m:ctrlPr>
            </m:fPr>
            <m:num>
              <m:r>
                <w:rPr>
                  <w:rFonts w:ascii="Cambria Math" w:hAnsi="Cambria Math" w:cs="Arial"/>
                </w:rPr>
                <m:t>Г</m:t>
              </m:r>
              <m:d>
                <m:dPr>
                  <m:ctrlPr>
                    <w:rPr>
                      <w:rFonts w:ascii="Cambria Math" w:hAnsi="Cambria Math" w:cs="Arial"/>
                      <w:i/>
                    </w:rPr>
                  </m:ctrlPr>
                </m:dPr>
                <m:e>
                  <m:r>
                    <w:rPr>
                      <w:rFonts w:ascii="Cambria Math" w:hAnsi="Cambria Math" w:cs="Arial"/>
                    </w:rPr>
                    <m:t>y+r</m:t>
                  </m:r>
                </m:e>
              </m:d>
            </m:num>
            <m:den>
              <m:r>
                <w:rPr>
                  <w:rFonts w:ascii="Cambria Math" w:hAnsi="Cambria Math" w:cs="Arial"/>
                </w:rPr>
                <m:t>Г</m:t>
              </m:r>
              <m:d>
                <m:dPr>
                  <m:ctrlPr>
                    <w:rPr>
                      <w:rFonts w:ascii="Cambria Math" w:hAnsi="Cambria Math" w:cs="Arial"/>
                      <w:i/>
                    </w:rPr>
                  </m:ctrlPr>
                </m:dPr>
                <m:e>
                  <m:r>
                    <w:rPr>
                      <w:rFonts w:ascii="Cambria Math" w:hAnsi="Cambria Math" w:cs="Arial"/>
                    </w:rPr>
                    <m:t>r</m:t>
                  </m:r>
                </m:e>
              </m:d>
              <m:r>
                <w:rPr>
                  <w:rFonts w:ascii="Cambria Math" w:hAnsi="Cambria Math" w:cs="Arial"/>
                </w:rPr>
                <m:t>.y!</m:t>
              </m:r>
            </m:den>
          </m:f>
          <m:r>
            <w:rPr>
              <w:rFonts w:ascii="Cambria Math" w:hAnsi="Cambria Math" w:cs="Arial"/>
            </w:rPr>
            <m:t>.</m:t>
          </m:r>
          <m:sSup>
            <m:sSupPr>
              <m:ctrlPr>
                <w:rPr>
                  <w:rFonts w:ascii="Cambria Math" w:hAnsi="Cambria Math" w:cs="Arial"/>
                  <w:i/>
                </w:rPr>
              </m:ctrlPr>
            </m:sSupPr>
            <m:e>
              <m:r>
                <w:rPr>
                  <w:rFonts w:ascii="Cambria Math" w:hAnsi="Cambria Math" w:cs="Arial"/>
                </w:rPr>
                <m:t>p</m:t>
              </m:r>
            </m:e>
            <m:sup>
              <m:r>
                <w:rPr>
                  <w:rFonts w:ascii="Cambria Math" w:hAnsi="Cambria Math" w:cs="Arial"/>
                </w:rPr>
                <m:t>r</m:t>
              </m:r>
            </m:sup>
          </m:sSup>
          <m:r>
            <w:rPr>
              <w:rFonts w:ascii="Cambria Math" w:hAnsi="Cambria Math" w:cs="Arial"/>
            </w:rPr>
            <m:t>.</m:t>
          </m:r>
          <m:sSup>
            <m:sSupPr>
              <m:ctrlPr>
                <w:rPr>
                  <w:rFonts w:ascii="Cambria Math" w:hAnsi="Cambria Math" w:cs="Arial"/>
                  <w:i/>
                </w:rPr>
              </m:ctrlPr>
            </m:sSupPr>
            <m:e>
              <m:r>
                <w:rPr>
                  <w:rFonts w:ascii="Cambria Math" w:hAnsi="Cambria Math" w:cs="Arial"/>
                </w:rPr>
                <m:t>(1-p)</m:t>
              </m:r>
            </m:e>
            <m:sup>
              <m:r>
                <w:rPr>
                  <w:rFonts w:ascii="Cambria Math" w:hAnsi="Cambria Math" w:cs="Arial"/>
                </w:rPr>
                <m:t>y</m:t>
              </m:r>
            </m:sup>
          </m:sSup>
          <m:r>
            <w:rPr>
              <w:rFonts w:ascii="Cambria Math" w:hAnsi="Cambria Math" w:cs="Arial"/>
            </w:rPr>
            <m:t xml:space="preserve">                                                                                        (3)</m:t>
          </m:r>
        </m:oMath>
      </m:oMathPara>
    </w:p>
    <w:p w14:paraId="76C3FCFE" w14:textId="77777777" w:rsidR="00F86B78" w:rsidRPr="00862A76" w:rsidRDefault="00F86B78" w:rsidP="00F86B78">
      <w:pPr>
        <w:jc w:val="both"/>
        <w:rPr>
          <w:rFonts w:ascii="Arial" w:hAnsi="Arial" w:cs="Arial"/>
        </w:rPr>
      </w:pPr>
      <w:r w:rsidRPr="00862A76">
        <w:rPr>
          <w:rFonts w:ascii="Arial" w:eastAsiaTheme="minorEastAsia" w:hAnsi="Arial" w:cs="Arial"/>
        </w:rPr>
        <w:t xml:space="preserve">where </w:t>
      </w:r>
      <m:oMath>
        <m:r>
          <w:rPr>
            <w:rFonts w:ascii="Cambria Math" w:eastAsiaTheme="minorEastAsia" w:hAnsi="Cambria Math" w:cs="Arial"/>
          </w:rPr>
          <m:t>Y</m:t>
        </m:r>
      </m:oMath>
      <w:r w:rsidRPr="00862A76">
        <w:rPr>
          <w:rFonts w:ascii="Arial" w:eastAsiaTheme="minorEastAsia" w:hAnsi="Arial" w:cs="Arial"/>
        </w:rPr>
        <w:t xml:space="preserve"> </w:t>
      </w:r>
      <w:r w:rsidRPr="00862A76">
        <w:rPr>
          <w:rFonts w:ascii="Arial" w:hAnsi="Arial" w:cs="Arial"/>
        </w:rPr>
        <w:t xml:space="preserve">is the random variable representing the count, </w:t>
      </w:r>
      <m:oMath>
        <m:r>
          <w:rPr>
            <w:rFonts w:ascii="Cambria Math" w:hAnsi="Cambria Math" w:cs="Arial"/>
          </w:rPr>
          <m:t>y</m:t>
        </m:r>
      </m:oMath>
      <w:r w:rsidRPr="00862A76">
        <w:rPr>
          <w:rFonts w:ascii="Arial" w:hAnsi="Arial" w:cs="Arial"/>
        </w:rPr>
        <w:t xml:space="preserve"> is the observed count, </w:t>
      </w:r>
      <m:oMath>
        <m:r>
          <w:rPr>
            <w:rFonts w:ascii="Cambria Math" w:hAnsi="Cambria Math" w:cs="Arial"/>
          </w:rPr>
          <m:t>r</m:t>
        </m:r>
      </m:oMath>
      <w:r w:rsidRPr="00862A76">
        <w:rPr>
          <w:rFonts w:ascii="Arial" w:hAnsi="Arial" w:cs="Arial"/>
        </w:rPr>
        <w:t xml:space="preserve"> is the dispersion parameter (shape parameter) of the distribution, </w:t>
      </w:r>
      <m:oMath>
        <m:r>
          <w:rPr>
            <w:rFonts w:ascii="Cambria Math" w:hAnsi="Cambria Math" w:cs="Arial"/>
          </w:rPr>
          <m:t>p</m:t>
        </m:r>
      </m:oMath>
      <w:r w:rsidRPr="00862A76">
        <w:rPr>
          <w:rFonts w:ascii="Arial" w:hAnsi="Arial" w:cs="Arial"/>
        </w:rPr>
        <w:t xml:space="preserve"> is the probability of success in a single trial, and </w:t>
      </w:r>
      <m:oMath>
        <m:r>
          <w:rPr>
            <w:rFonts w:ascii="Cambria Math" w:hAnsi="Cambria Math" w:cs="Arial"/>
          </w:rPr>
          <m:t>Г(.)</m:t>
        </m:r>
      </m:oMath>
      <w:r w:rsidRPr="00862A76">
        <w:rPr>
          <w:rFonts w:ascii="Arial" w:eastAsiaTheme="minorEastAsia" w:hAnsi="Arial" w:cs="Arial"/>
        </w:rPr>
        <w:t xml:space="preserve"> </w:t>
      </w:r>
      <w:r w:rsidRPr="00862A76">
        <w:rPr>
          <w:rFonts w:ascii="Arial" w:hAnsi="Arial" w:cs="Arial"/>
        </w:rPr>
        <w:t>is the gamma function (</w:t>
      </w:r>
      <w:proofErr w:type="spellStart"/>
      <w:r w:rsidRPr="00862A76">
        <w:rPr>
          <w:rFonts w:ascii="Arial" w:hAnsi="Arial" w:cs="Arial"/>
        </w:rPr>
        <w:t>Hilbe</w:t>
      </w:r>
      <w:proofErr w:type="spellEnd"/>
      <w:r w:rsidRPr="00862A76">
        <w:rPr>
          <w:rFonts w:ascii="Arial" w:hAnsi="Arial" w:cs="Arial"/>
        </w:rPr>
        <w:t>, 2011).</w:t>
      </w:r>
    </w:p>
    <w:p w14:paraId="57CD9FD9" w14:textId="77777777" w:rsidR="00F86B78" w:rsidRPr="00862A76" w:rsidRDefault="00F86B78" w:rsidP="00F86B78">
      <w:pPr>
        <w:jc w:val="both"/>
        <w:rPr>
          <w:rFonts w:ascii="Arial" w:hAnsi="Arial" w:cs="Arial"/>
        </w:rPr>
      </w:pPr>
      <w:r w:rsidRPr="00862A76">
        <w:rPr>
          <w:rFonts w:ascii="Arial" w:hAnsi="Arial" w:cs="Arial"/>
        </w:rPr>
        <w:t>The mean</w:t>
      </w:r>
      <w:r w:rsidRPr="00862A76">
        <w:rPr>
          <w:rStyle w:val="katex-mathml"/>
          <w:rFonts w:ascii="Arial" w:hAnsi="Arial" w:cs="Arial"/>
          <w:bdr w:val="none" w:sz="0" w:space="0" w:color="auto" w:frame="1"/>
        </w:rPr>
        <w:t xml:space="preserve"> </w:t>
      </w:r>
      <m:oMath>
        <m:r>
          <w:rPr>
            <w:rStyle w:val="katex-mathml"/>
            <w:rFonts w:ascii="Cambria Math" w:hAnsi="Cambria Math" w:cs="Arial"/>
            <w:bdr w:val="none" w:sz="0" w:space="0" w:color="auto" w:frame="1"/>
          </w:rPr>
          <m:t>μ</m:t>
        </m:r>
      </m:oMath>
      <w:r w:rsidRPr="00862A76">
        <w:rPr>
          <w:rFonts w:ascii="Arial" w:hAnsi="Arial" w:cs="Arial"/>
        </w:rPr>
        <w:t xml:space="preserve"> and variance</w:t>
      </w:r>
      <w:r w:rsidRPr="00862A76">
        <w:rPr>
          <w:rStyle w:val="katex-mathml"/>
          <w:rFonts w:ascii="Arial" w:hAnsi="Arial" w:cs="Arial"/>
          <w:bdr w:val="none" w:sz="0" w:space="0" w:color="auto" w:frame="1"/>
        </w:rPr>
        <w:t xml:space="preserve"> </w:t>
      </w:r>
      <m:oMath>
        <m:sSup>
          <m:sSupPr>
            <m:ctrlPr>
              <w:rPr>
                <w:rStyle w:val="katex-mathml"/>
                <w:rFonts w:ascii="Cambria Math" w:hAnsi="Cambria Math" w:cs="Arial"/>
                <w:i/>
                <w:bdr w:val="none" w:sz="0" w:space="0" w:color="auto" w:frame="1"/>
              </w:rPr>
            </m:ctrlPr>
          </m:sSupPr>
          <m:e>
            <m:r>
              <w:rPr>
                <w:rStyle w:val="katex-mathml"/>
                <w:rFonts w:ascii="Cambria Math" w:hAnsi="Cambria Math" w:cs="Arial"/>
                <w:bdr w:val="none" w:sz="0" w:space="0" w:color="auto" w:frame="1"/>
              </w:rPr>
              <m:t>σ</m:t>
            </m:r>
          </m:e>
          <m:sup>
            <m:r>
              <w:rPr>
                <w:rStyle w:val="katex-mathml"/>
                <w:rFonts w:ascii="Cambria Math" w:hAnsi="Cambria Math" w:cs="Arial"/>
                <w:bdr w:val="none" w:sz="0" w:space="0" w:color="auto" w:frame="1"/>
              </w:rPr>
              <m:t>2</m:t>
            </m:r>
          </m:sup>
        </m:sSup>
      </m:oMath>
      <w:r w:rsidRPr="00862A76">
        <w:rPr>
          <w:rStyle w:val="katex-mathml"/>
          <w:rFonts w:ascii="Arial" w:eastAsiaTheme="minorEastAsia" w:hAnsi="Arial" w:cs="Arial"/>
          <w:bdr w:val="none" w:sz="0" w:space="0" w:color="auto" w:frame="1"/>
        </w:rPr>
        <w:t xml:space="preserve"> </w:t>
      </w:r>
      <w:r w:rsidRPr="00862A76">
        <w:rPr>
          <w:rFonts w:ascii="Arial" w:hAnsi="Arial" w:cs="Arial"/>
        </w:rPr>
        <w:t>of the Negative Binomial distribution are given by:</w:t>
      </w:r>
    </w:p>
    <w:p w14:paraId="067A202D" w14:textId="77777777" w:rsidR="00F86B78" w:rsidRPr="00862A76" w:rsidRDefault="00F86B78" w:rsidP="00F86B78">
      <w:pPr>
        <w:jc w:val="both"/>
        <w:rPr>
          <w:rFonts w:ascii="Arial" w:eastAsiaTheme="minorEastAsia" w:hAnsi="Arial" w:cs="Arial"/>
        </w:rPr>
      </w:pPr>
      <m:oMathPara>
        <m:oMath>
          <m:r>
            <w:rPr>
              <w:rFonts w:ascii="Cambria Math" w:hAnsi="Cambria Math" w:cs="Arial"/>
            </w:rPr>
            <m:t>μ=</m:t>
          </m:r>
          <m:f>
            <m:fPr>
              <m:ctrlPr>
                <w:rPr>
                  <w:rFonts w:ascii="Cambria Math" w:hAnsi="Cambria Math" w:cs="Arial"/>
                  <w:i/>
                </w:rPr>
              </m:ctrlPr>
            </m:fPr>
            <m:num>
              <m:r>
                <w:rPr>
                  <w:rFonts w:ascii="Cambria Math" w:hAnsi="Cambria Math" w:cs="Arial"/>
                </w:rPr>
                <m:t>r(1-p)</m:t>
              </m:r>
            </m:num>
            <m:den>
              <m:r>
                <w:rPr>
                  <w:rFonts w:ascii="Cambria Math" w:hAnsi="Cambria Math" w:cs="Arial"/>
                </w:rPr>
                <m:t>p</m:t>
              </m:r>
            </m:den>
          </m:f>
          <m:r>
            <w:rPr>
              <w:rFonts w:ascii="Cambria Math" w:hAnsi="Cambria Math" w:cs="Arial"/>
            </w:rPr>
            <m:t xml:space="preserve">  </m:t>
          </m:r>
          <m:r>
            <m:rPr>
              <m:sty m:val="p"/>
            </m:rPr>
            <w:rPr>
              <w:rFonts w:ascii="Cambria Math" w:hAnsi="Cambria Math" w:cs="Arial"/>
            </w:rPr>
            <m:t>and</m:t>
          </m:r>
          <m:r>
            <w:rPr>
              <w:rFonts w:ascii="Cambria Math" w:hAnsi="Cambria Math" w:cs="Arial"/>
            </w:rPr>
            <m:t xml:space="preserve"> </m:t>
          </m:r>
          <m:sSup>
            <m:sSupPr>
              <m:ctrlPr>
                <w:rPr>
                  <w:rFonts w:ascii="Cambria Math" w:hAnsi="Cambria Math" w:cs="Arial"/>
                  <w:i/>
                </w:rPr>
              </m:ctrlPr>
            </m:sSupPr>
            <m:e>
              <m:r>
                <w:rPr>
                  <w:rFonts w:ascii="Cambria Math" w:hAnsi="Cambria Math" w:cs="Arial"/>
                </w:rPr>
                <m:t>σ</m:t>
              </m:r>
            </m:e>
            <m:sup>
              <m:r>
                <w:rPr>
                  <w:rFonts w:ascii="Cambria Math" w:hAnsi="Cambria Math" w:cs="Arial"/>
                </w:rPr>
                <m:t>2</m:t>
              </m:r>
            </m:sup>
          </m:sSup>
          <m:r>
            <w:rPr>
              <w:rFonts w:ascii="Cambria Math" w:hAnsi="Cambria Math" w:cs="Arial"/>
            </w:rPr>
            <m:t>=</m:t>
          </m:r>
          <m:f>
            <m:fPr>
              <m:ctrlPr>
                <w:rPr>
                  <w:rFonts w:ascii="Cambria Math" w:hAnsi="Cambria Math" w:cs="Arial"/>
                  <w:i/>
                </w:rPr>
              </m:ctrlPr>
            </m:fPr>
            <m:num>
              <m:r>
                <w:rPr>
                  <w:rFonts w:ascii="Cambria Math" w:hAnsi="Cambria Math" w:cs="Arial"/>
                </w:rPr>
                <m:t>r(1-p)</m:t>
              </m:r>
            </m:num>
            <m:den>
              <m:sSup>
                <m:sSupPr>
                  <m:ctrlPr>
                    <w:rPr>
                      <w:rFonts w:ascii="Cambria Math" w:hAnsi="Cambria Math" w:cs="Arial"/>
                      <w:i/>
                    </w:rPr>
                  </m:ctrlPr>
                </m:sSupPr>
                <m:e>
                  <m:r>
                    <w:rPr>
                      <w:rFonts w:ascii="Cambria Math" w:hAnsi="Cambria Math" w:cs="Arial"/>
                    </w:rPr>
                    <m:t>p</m:t>
                  </m:r>
                </m:e>
                <m:sup>
                  <m:r>
                    <w:rPr>
                      <w:rFonts w:ascii="Cambria Math" w:hAnsi="Cambria Math" w:cs="Arial"/>
                    </w:rPr>
                    <m:t>2</m:t>
                  </m:r>
                </m:sup>
              </m:sSup>
            </m:den>
          </m:f>
          <m:r>
            <w:rPr>
              <w:rFonts w:ascii="Cambria Math" w:hAnsi="Cambria Math" w:cs="Arial"/>
            </w:rPr>
            <m:t xml:space="preserve">                                                                                                      (4)</m:t>
          </m:r>
        </m:oMath>
      </m:oMathPara>
    </w:p>
    <w:p w14:paraId="163117BF" w14:textId="77777777" w:rsidR="00F86B78" w:rsidRPr="00862A76" w:rsidRDefault="00F86B78" w:rsidP="00F86B78">
      <w:pPr>
        <w:jc w:val="both"/>
        <w:rPr>
          <w:rFonts w:ascii="Arial" w:hAnsi="Arial" w:cs="Arial"/>
        </w:rPr>
      </w:pPr>
      <w:r w:rsidRPr="00862A76">
        <w:rPr>
          <w:rFonts w:ascii="Arial" w:hAnsi="Arial" w:cs="Arial"/>
        </w:rPr>
        <w:t>In the context of regression modelling, the negative binomial regression model extends the Poisson regression model by introducing a dispersion parameter</w:t>
      </w:r>
      <w:r w:rsidRPr="00862A76">
        <w:rPr>
          <w:rStyle w:val="katex-mathml"/>
          <w:rFonts w:ascii="Arial" w:hAnsi="Arial" w:cs="Arial"/>
          <w:bdr w:val="none" w:sz="0" w:space="0" w:color="auto" w:frame="1"/>
        </w:rPr>
        <w:t xml:space="preserve"> </w:t>
      </w:r>
      <m:oMath>
        <m:r>
          <w:rPr>
            <w:rStyle w:val="katex-mathml"/>
            <w:rFonts w:ascii="Cambria Math" w:hAnsi="Cambria Math" w:cs="Arial"/>
            <w:bdr w:val="none" w:sz="0" w:space="0" w:color="auto" w:frame="1"/>
          </w:rPr>
          <m:t>r</m:t>
        </m:r>
      </m:oMath>
      <w:r w:rsidRPr="00862A76">
        <w:rPr>
          <w:rFonts w:ascii="Arial" w:hAnsi="Arial" w:cs="Arial"/>
        </w:rPr>
        <w:t xml:space="preserve">. The mean </w:t>
      </w:r>
      <m:oMath>
        <m:r>
          <w:rPr>
            <w:rFonts w:ascii="Cambria Math" w:hAnsi="Cambria Math" w:cs="Arial"/>
          </w:rPr>
          <m:t>μ</m:t>
        </m:r>
      </m:oMath>
      <w:r w:rsidRPr="00862A76">
        <w:rPr>
          <w:rFonts w:ascii="Arial" w:eastAsiaTheme="minorEastAsia" w:hAnsi="Arial" w:cs="Arial"/>
        </w:rPr>
        <w:t xml:space="preserve"> </w:t>
      </w:r>
      <w:r w:rsidRPr="00862A76">
        <w:rPr>
          <w:rFonts w:ascii="Arial" w:hAnsi="Arial" w:cs="Arial"/>
        </w:rPr>
        <w:t xml:space="preserve">is related to the linear predictor </w:t>
      </w:r>
      <m:oMath>
        <m:r>
          <w:rPr>
            <w:rFonts w:ascii="Cambria Math" w:hAnsi="Cambria Math" w:cs="Arial"/>
          </w:rPr>
          <m:t>η</m:t>
        </m:r>
      </m:oMath>
      <w:r w:rsidRPr="00862A76">
        <w:rPr>
          <w:rFonts w:ascii="Arial" w:eastAsiaTheme="minorEastAsia" w:hAnsi="Arial" w:cs="Arial"/>
        </w:rPr>
        <w:t xml:space="preserve"> </w:t>
      </w:r>
      <w:r w:rsidRPr="00862A76">
        <w:rPr>
          <w:rFonts w:ascii="Arial" w:hAnsi="Arial" w:cs="Arial"/>
        </w:rPr>
        <w:t xml:space="preserve">through the logarithmic link function,  </w:t>
      </w:r>
      <m:oMath>
        <m:func>
          <m:funcPr>
            <m:ctrlPr>
              <w:rPr>
                <w:rFonts w:ascii="Cambria Math" w:hAnsi="Cambria Math" w:cs="Arial"/>
                <w:i/>
              </w:rPr>
            </m:ctrlPr>
          </m:funcPr>
          <m:fName>
            <m:r>
              <m:rPr>
                <m:sty m:val="p"/>
              </m:rPr>
              <w:rPr>
                <w:rFonts w:ascii="Cambria Math" w:hAnsi="Cambria Math" w:cs="Arial"/>
              </w:rPr>
              <m:t>ln</m:t>
            </m:r>
          </m:fName>
          <m:e>
            <m:d>
              <m:dPr>
                <m:ctrlPr>
                  <w:rPr>
                    <w:rFonts w:ascii="Cambria Math" w:hAnsi="Cambria Math" w:cs="Arial"/>
                    <w:i/>
                  </w:rPr>
                </m:ctrlPr>
              </m:dPr>
              <m:e>
                <m:r>
                  <w:rPr>
                    <w:rFonts w:ascii="Cambria Math" w:hAnsi="Cambria Math" w:cs="Arial"/>
                  </w:rPr>
                  <m:t>μ</m:t>
                </m:r>
              </m:e>
            </m:d>
          </m:e>
        </m:func>
        <m:r>
          <w:rPr>
            <w:rFonts w:ascii="Cambria Math" w:hAnsi="Cambria Math" w:cs="Arial"/>
          </w:rPr>
          <m:t>=η</m:t>
        </m:r>
      </m:oMath>
      <w:r w:rsidRPr="00862A76">
        <w:rPr>
          <w:rFonts w:ascii="Arial" w:eastAsiaTheme="minorEastAsia" w:hAnsi="Arial" w:cs="Arial"/>
        </w:rPr>
        <w:t xml:space="preserve"> </w:t>
      </w:r>
      <w:r w:rsidRPr="00862A76">
        <w:rPr>
          <w:rFonts w:ascii="Arial" w:hAnsi="Arial" w:cs="Arial"/>
        </w:rPr>
        <w:t>(</w:t>
      </w:r>
      <w:proofErr w:type="spellStart"/>
      <w:r w:rsidRPr="00862A76">
        <w:rPr>
          <w:rFonts w:ascii="Arial" w:hAnsi="Arial" w:cs="Arial"/>
        </w:rPr>
        <w:t>Hilbe</w:t>
      </w:r>
      <w:proofErr w:type="spellEnd"/>
      <w:r w:rsidRPr="00862A76">
        <w:rPr>
          <w:rFonts w:ascii="Arial" w:hAnsi="Arial" w:cs="Arial"/>
        </w:rPr>
        <w:t>, 2011).</w:t>
      </w:r>
    </w:p>
    <w:p w14:paraId="7468B31B" w14:textId="77777777" w:rsidR="00F86B78" w:rsidRPr="00862A76" w:rsidRDefault="00F86B78" w:rsidP="00F86B78">
      <w:pPr>
        <w:jc w:val="both"/>
        <w:rPr>
          <w:rFonts w:ascii="Arial" w:hAnsi="Arial" w:cs="Arial"/>
        </w:rPr>
      </w:pPr>
      <w:r w:rsidRPr="00862A76">
        <w:rPr>
          <w:rFonts w:ascii="Arial" w:hAnsi="Arial" w:cs="Arial"/>
        </w:rPr>
        <w:t xml:space="preserve">The linear predictor </w:t>
      </w:r>
      <m:oMath>
        <m:r>
          <w:rPr>
            <w:rFonts w:ascii="Cambria Math" w:hAnsi="Cambria Math" w:cs="Arial"/>
          </w:rPr>
          <m:t>η</m:t>
        </m:r>
      </m:oMath>
      <w:r w:rsidRPr="00862A76">
        <w:rPr>
          <w:rFonts w:ascii="Arial" w:eastAsiaTheme="minorEastAsia" w:hAnsi="Arial" w:cs="Arial"/>
        </w:rPr>
        <w:t xml:space="preserve"> </w:t>
      </w:r>
      <w:r w:rsidRPr="00862A76">
        <w:rPr>
          <w:rFonts w:ascii="Arial" w:hAnsi="Arial" w:cs="Arial"/>
        </w:rPr>
        <w:t>is modelled as a linear combination of predictors:</w:t>
      </w:r>
    </w:p>
    <w:p w14:paraId="6FABFFE7" w14:textId="77777777" w:rsidR="00F86B78" w:rsidRPr="00862A76" w:rsidRDefault="00F86B78" w:rsidP="00F86B78">
      <w:pPr>
        <w:jc w:val="both"/>
        <w:rPr>
          <w:rFonts w:ascii="Arial" w:eastAsiaTheme="minorEastAsia" w:hAnsi="Arial" w:cs="Arial"/>
        </w:rPr>
      </w:pPr>
      <m:oMathPara>
        <m:oMath>
          <m:r>
            <w:rPr>
              <w:rFonts w:ascii="Cambria Math" w:hAnsi="Cambria Math" w:cs="Arial"/>
            </w:rPr>
            <m:t>η=</m:t>
          </m:r>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1</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2</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2</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3</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3</m:t>
              </m:r>
            </m:sub>
          </m:sSub>
          <m:r>
            <w:rPr>
              <w:rFonts w:ascii="Cambria Math" w:hAnsi="Cambria Math" w:cs="Arial"/>
            </w:rPr>
            <m:t>+</m:t>
          </m:r>
          <m:sSub>
            <m:sSubPr>
              <m:ctrlPr>
                <w:rPr>
                  <w:rFonts w:ascii="Cambria Math" w:hAnsi="Cambria Math" w:cs="Arial"/>
                  <w:i/>
                </w:rPr>
              </m:ctrlPr>
            </m:sSubPr>
            <m:e>
              <m:r>
                <w:rPr>
                  <w:rFonts w:ascii="Cambria Math" w:hAnsi="Cambria Math" w:cs="Arial"/>
                </w:rPr>
                <m:t>ε</m:t>
              </m:r>
            </m:e>
            <m:sub>
              <m:r>
                <w:rPr>
                  <w:rFonts w:ascii="Cambria Math" w:hAnsi="Cambria Math" w:cs="Arial"/>
                </w:rPr>
                <m:t>i</m:t>
              </m:r>
            </m:sub>
          </m:sSub>
          <m:r>
            <w:rPr>
              <w:rFonts w:ascii="Cambria Math" w:hAnsi="Cambria Math" w:cs="Arial"/>
            </w:rPr>
            <m:t xml:space="preserve">                                                                                                         (5)</m:t>
          </m:r>
        </m:oMath>
      </m:oMathPara>
    </w:p>
    <w:p w14:paraId="34852CBE" w14:textId="77777777" w:rsidR="00F86B78" w:rsidRPr="00862A76" w:rsidRDefault="00F86B78" w:rsidP="00F86B78">
      <w:pPr>
        <w:jc w:val="both"/>
        <w:rPr>
          <w:rFonts w:ascii="Arial" w:eastAsiaTheme="minorEastAsia" w:hAnsi="Arial" w:cs="Arial"/>
        </w:rPr>
      </w:pPr>
      <w:r w:rsidRPr="00862A76">
        <w:rPr>
          <w:rFonts w:ascii="Arial" w:eastAsiaTheme="minorEastAsia" w:hAnsi="Arial" w:cs="Arial"/>
        </w:rPr>
        <w:t xml:space="preserve">where </w:t>
      </w:r>
      <m:oMath>
        <m:sSub>
          <m:sSubPr>
            <m:ctrlPr>
              <w:rPr>
                <w:rFonts w:ascii="Cambria Math" w:eastAsiaTheme="minorEastAsia" w:hAnsi="Cambria Math" w:cs="Arial"/>
                <w:i/>
              </w:rPr>
            </m:ctrlPr>
          </m:sSubPr>
          <m:e>
            <m:r>
              <w:rPr>
                <w:rFonts w:ascii="Cambria Math" w:eastAsiaTheme="minorEastAsia" w:hAnsi="Cambria Math" w:cs="Arial"/>
              </w:rPr>
              <m:t>x</m:t>
            </m:r>
          </m:e>
          <m:sub>
            <m:r>
              <w:rPr>
                <w:rFonts w:ascii="Cambria Math" w:eastAsiaTheme="minorEastAsia" w:hAnsi="Cambria Math" w:cs="Arial"/>
              </w:rPr>
              <m:t>1</m:t>
            </m:r>
          </m:sub>
        </m:sSub>
        <m:r>
          <w:rPr>
            <w:rFonts w:ascii="Cambria Math" w:eastAsiaTheme="minorEastAsia" w:hAnsi="Cambria Math" w:cs="Arial"/>
          </w:rPr>
          <m:t>=</m:t>
        </m:r>
      </m:oMath>
      <w:r w:rsidRPr="00862A76">
        <w:rPr>
          <w:rFonts w:ascii="Arial" w:eastAsiaTheme="minorEastAsia" w:hAnsi="Arial" w:cs="Arial"/>
        </w:rPr>
        <w:t xml:space="preserve"> confirmed cases, </w:t>
      </w:r>
      <m:oMath>
        <m:sSub>
          <m:sSubPr>
            <m:ctrlPr>
              <w:rPr>
                <w:rFonts w:ascii="Cambria Math" w:eastAsiaTheme="minorEastAsia" w:hAnsi="Cambria Math" w:cs="Arial"/>
                <w:i/>
              </w:rPr>
            </m:ctrlPr>
          </m:sSubPr>
          <m:e>
            <m:r>
              <w:rPr>
                <w:rFonts w:ascii="Cambria Math" w:eastAsiaTheme="minorEastAsia" w:hAnsi="Cambria Math" w:cs="Arial"/>
              </w:rPr>
              <m:t>x</m:t>
            </m:r>
          </m:e>
          <m:sub>
            <m:r>
              <w:rPr>
                <w:rFonts w:ascii="Cambria Math" w:eastAsiaTheme="minorEastAsia" w:hAnsi="Cambria Math" w:cs="Arial"/>
              </w:rPr>
              <m:t>2</m:t>
            </m:r>
          </m:sub>
        </m:sSub>
        <m:r>
          <w:rPr>
            <w:rFonts w:ascii="Cambria Math" w:eastAsiaTheme="minorEastAsia" w:hAnsi="Cambria Math" w:cs="Arial"/>
          </w:rPr>
          <m:t>=</m:t>
        </m:r>
      </m:oMath>
      <w:r w:rsidRPr="00862A76">
        <w:rPr>
          <w:rFonts w:ascii="Arial" w:eastAsiaTheme="minorEastAsia" w:hAnsi="Arial" w:cs="Arial"/>
        </w:rPr>
        <w:t xml:space="preserve"> active cases, </w:t>
      </w:r>
      <m:oMath>
        <m:sSub>
          <m:sSubPr>
            <m:ctrlPr>
              <w:rPr>
                <w:rFonts w:ascii="Cambria Math" w:eastAsiaTheme="minorEastAsia" w:hAnsi="Cambria Math" w:cs="Arial"/>
                <w:i/>
              </w:rPr>
            </m:ctrlPr>
          </m:sSubPr>
          <m:e>
            <m:r>
              <w:rPr>
                <w:rFonts w:ascii="Cambria Math" w:eastAsiaTheme="minorEastAsia" w:hAnsi="Cambria Math" w:cs="Arial"/>
              </w:rPr>
              <m:t>x</m:t>
            </m:r>
          </m:e>
          <m:sub>
            <m:r>
              <w:rPr>
                <w:rFonts w:ascii="Cambria Math" w:eastAsiaTheme="minorEastAsia" w:hAnsi="Cambria Math" w:cs="Arial"/>
              </w:rPr>
              <m:t>3</m:t>
            </m:r>
          </m:sub>
        </m:sSub>
        <m:r>
          <w:rPr>
            <w:rFonts w:ascii="Cambria Math" w:eastAsiaTheme="minorEastAsia" w:hAnsi="Cambria Math" w:cs="Arial"/>
          </w:rPr>
          <m:t>=</m:t>
        </m:r>
      </m:oMath>
      <w:r w:rsidRPr="00862A76">
        <w:rPr>
          <w:rFonts w:ascii="Arial" w:eastAsiaTheme="minorEastAsia" w:hAnsi="Arial" w:cs="Arial"/>
        </w:rPr>
        <w:t xml:space="preserve"> severe cases, </w:t>
      </w:r>
      <m:oMath>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rPr>
              <m:t>0</m:t>
            </m:r>
          </m:sub>
        </m:sSub>
        <m:r>
          <w:rPr>
            <w:rFonts w:ascii="Cambria Math" w:eastAsiaTheme="minorEastAsia" w:hAnsi="Cambria Math" w:cs="Arial"/>
          </w:rPr>
          <m:t>=</m:t>
        </m:r>
      </m:oMath>
      <w:r w:rsidRPr="00862A76">
        <w:rPr>
          <w:rFonts w:ascii="Arial" w:eastAsiaTheme="minorEastAsia" w:hAnsi="Arial" w:cs="Arial"/>
        </w:rPr>
        <w:t xml:space="preserve"> intercept, </w:t>
      </w:r>
      <m:oMath>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rPr>
              <m:t>1</m:t>
            </m:r>
          </m:sub>
        </m:sSub>
        <m:r>
          <w:rPr>
            <w:rFonts w:ascii="Cambria Math" w:eastAsiaTheme="minorEastAsia" w:hAnsi="Cambria Math" w:cs="Arial"/>
          </w:rPr>
          <m:t xml:space="preserve">, </m:t>
        </m:r>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rPr>
              <m:t>2</m:t>
            </m:r>
          </m:sub>
        </m:sSub>
        <m:r>
          <w:rPr>
            <w:rFonts w:ascii="Cambria Math" w:eastAsiaTheme="minorEastAsia" w:hAnsi="Cambria Math" w:cs="Arial"/>
          </w:rPr>
          <m:t>,</m:t>
        </m:r>
      </m:oMath>
      <w:r w:rsidRPr="00862A76">
        <w:rPr>
          <w:rFonts w:ascii="Arial" w:eastAsiaTheme="minorEastAsia" w:hAnsi="Arial" w:cs="Arial"/>
        </w:rPr>
        <w:t xml:space="preserve"> and </w:t>
      </w:r>
      <m:oMath>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rPr>
              <m:t>3</m:t>
            </m:r>
          </m:sub>
        </m:sSub>
      </m:oMath>
      <w:r w:rsidRPr="00862A76">
        <w:rPr>
          <w:rFonts w:ascii="Arial" w:eastAsiaTheme="minorEastAsia" w:hAnsi="Arial" w:cs="Arial"/>
        </w:rPr>
        <w:t xml:space="preserve"> are the slope coefficients corresponding to the confirmed, active, and severe </w:t>
      </w:r>
      <w:r w:rsidRPr="00862A76">
        <w:rPr>
          <w:rFonts w:ascii="Arial" w:hAnsi="Arial" w:cs="Arial"/>
        </w:rPr>
        <w:t>diabetes mellitus</w:t>
      </w:r>
      <w:r w:rsidRPr="00862A76">
        <w:rPr>
          <w:rFonts w:ascii="Arial" w:eastAsiaTheme="minorEastAsia" w:hAnsi="Arial" w:cs="Arial"/>
        </w:rPr>
        <w:t xml:space="preserve"> cases respectively, and </w:t>
      </w:r>
      <m:oMath>
        <m:sSub>
          <m:sSubPr>
            <m:ctrlPr>
              <w:rPr>
                <w:rFonts w:ascii="Cambria Math" w:eastAsiaTheme="minorEastAsia" w:hAnsi="Cambria Math" w:cs="Arial"/>
                <w:i/>
              </w:rPr>
            </m:ctrlPr>
          </m:sSubPr>
          <m:e>
            <m:r>
              <w:rPr>
                <w:rFonts w:ascii="Cambria Math" w:eastAsiaTheme="minorEastAsia" w:hAnsi="Cambria Math" w:cs="Arial"/>
              </w:rPr>
              <m:t>ε</m:t>
            </m:r>
          </m:e>
          <m:sub>
            <m:r>
              <w:rPr>
                <w:rFonts w:ascii="Cambria Math" w:eastAsiaTheme="minorEastAsia" w:hAnsi="Cambria Math" w:cs="Arial"/>
              </w:rPr>
              <m:t>i</m:t>
            </m:r>
          </m:sub>
        </m:sSub>
      </m:oMath>
      <w:r w:rsidRPr="00862A76">
        <w:rPr>
          <w:rFonts w:ascii="Arial" w:eastAsiaTheme="minorEastAsia" w:hAnsi="Arial" w:cs="Arial"/>
        </w:rPr>
        <w:t xml:space="preserve"> are the error terms which account for the unexplained variations or factors not included in the model.</w:t>
      </w:r>
    </w:p>
    <w:p w14:paraId="7412372F" w14:textId="77777777" w:rsidR="00F86B78" w:rsidRPr="00862A76" w:rsidRDefault="00F86B78" w:rsidP="00756351">
      <w:pPr>
        <w:jc w:val="both"/>
        <w:rPr>
          <w:rFonts w:ascii="Arial" w:hAnsi="Arial" w:cs="Arial"/>
        </w:rPr>
      </w:pPr>
      <w:r w:rsidRPr="00862A76">
        <w:rPr>
          <w:rFonts w:ascii="Arial" w:hAnsi="Arial" w:cs="Arial"/>
        </w:rPr>
        <w:t xml:space="preserve">The dispersion parameter </w:t>
      </w:r>
      <m:oMath>
        <m:r>
          <w:rPr>
            <w:rStyle w:val="katex-mathml"/>
            <w:rFonts w:ascii="Cambria Math" w:hAnsi="Cambria Math" w:cs="Arial"/>
            <w:bdr w:val="none" w:sz="0" w:space="0" w:color="auto" w:frame="1"/>
          </w:rPr>
          <m:t>r</m:t>
        </m:r>
      </m:oMath>
      <w:r w:rsidRPr="00862A76">
        <w:rPr>
          <w:rStyle w:val="katex-mathml"/>
          <w:rFonts w:ascii="Arial" w:hAnsi="Arial" w:cs="Arial"/>
          <w:bdr w:val="none" w:sz="0" w:space="0" w:color="auto" w:frame="1"/>
        </w:rPr>
        <w:t xml:space="preserve"> </w:t>
      </w:r>
      <w:r w:rsidRPr="00862A76">
        <w:rPr>
          <w:rFonts w:ascii="Arial" w:hAnsi="Arial" w:cs="Arial"/>
        </w:rPr>
        <w:t>is estimated along with the coefficients during the model fitting process. The negative binomial regression model allows for handling overdispersed count data and provides a flexible approach for modelling relationships between predictors and count outcomes.</w:t>
      </w:r>
    </w:p>
    <w:p w14:paraId="79DBEED2" w14:textId="77777777" w:rsidR="00F86B78" w:rsidRPr="00862A76" w:rsidRDefault="00F86B78" w:rsidP="00F86B78">
      <w:pPr>
        <w:jc w:val="both"/>
        <w:rPr>
          <w:rFonts w:ascii="Times New Roman" w:hAnsi="Times New Roman"/>
          <w:sz w:val="24"/>
          <w:szCs w:val="24"/>
        </w:rPr>
      </w:pPr>
    </w:p>
    <w:p w14:paraId="0565EC19" w14:textId="77777777" w:rsidR="00F86B78" w:rsidRPr="00862A76" w:rsidRDefault="00F86B78" w:rsidP="00F86B78">
      <w:pPr>
        <w:jc w:val="both"/>
        <w:rPr>
          <w:rFonts w:ascii="Arial" w:hAnsi="Arial" w:cs="Arial"/>
          <w:b/>
        </w:rPr>
      </w:pPr>
      <w:r w:rsidRPr="00862A76">
        <w:rPr>
          <w:b/>
        </w:rPr>
        <w:t>2.2.3 Generalised Poisson Regression Model</w:t>
      </w:r>
    </w:p>
    <w:p w14:paraId="321F2DA9" w14:textId="77777777" w:rsidR="00F86B78" w:rsidRPr="00862A76" w:rsidRDefault="00F86B78" w:rsidP="00F86B78">
      <w:pPr>
        <w:jc w:val="both"/>
        <w:rPr>
          <w:rFonts w:ascii="Arial" w:hAnsi="Arial" w:cs="Arial"/>
        </w:rPr>
      </w:pPr>
      <w:r w:rsidRPr="00862A76">
        <w:t>Generalised Poisson regression extends Poisson regression by introducing an additional parameter to account for overdispersion (Agresti, 2007). The probability mass function of the generalised Poisson distribution is given by:</w:t>
      </w:r>
    </w:p>
    <w:p w14:paraId="7127772C" w14:textId="77777777" w:rsidR="00F86B78" w:rsidRPr="00862A76" w:rsidRDefault="00F86B78" w:rsidP="00F86B78">
      <w:pPr>
        <w:jc w:val="both"/>
        <w:rPr>
          <w:rFonts w:ascii="Arial" w:eastAsiaTheme="minorEastAsia" w:hAnsi="Arial" w:cs="Arial"/>
        </w:rPr>
      </w:pPr>
      <m:oMathPara>
        <m:oMath>
          <m:r>
            <w:rPr>
              <w:rFonts w:ascii="Cambria Math" w:hAnsi="Cambria Math" w:cs="Arial"/>
            </w:rPr>
            <m:t>P</m:t>
          </m:r>
          <m:d>
            <m:dPr>
              <m:ctrlPr>
                <w:rPr>
                  <w:rFonts w:ascii="Cambria Math" w:hAnsi="Cambria Math" w:cs="Arial"/>
                  <w:i/>
                </w:rPr>
              </m:ctrlPr>
            </m:dPr>
            <m:e>
              <m:r>
                <w:rPr>
                  <w:rFonts w:ascii="Cambria Math" w:hAnsi="Cambria Math" w:cs="Arial"/>
                </w:rPr>
                <m:t>Y=y</m:t>
              </m:r>
            </m:e>
          </m:d>
          <m:r>
            <w:rPr>
              <w:rFonts w:ascii="Cambria Math" w:hAnsi="Cambria Math" w:cs="Arial"/>
            </w:rPr>
            <m:t>=</m:t>
          </m:r>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e</m:t>
                  </m:r>
                </m:e>
                <m:sup>
                  <m:r>
                    <w:rPr>
                      <w:rFonts w:ascii="Cambria Math" w:hAnsi="Cambria Math" w:cs="Arial"/>
                    </w:rPr>
                    <m:t>-λ</m:t>
                  </m:r>
                </m:sup>
              </m:sSup>
              <m:sSup>
                <m:sSupPr>
                  <m:ctrlPr>
                    <w:rPr>
                      <w:rFonts w:ascii="Cambria Math" w:hAnsi="Cambria Math" w:cs="Arial"/>
                      <w:i/>
                    </w:rPr>
                  </m:ctrlPr>
                </m:sSupPr>
                <m:e>
                  <m:r>
                    <w:rPr>
                      <w:rFonts w:ascii="Cambria Math" w:hAnsi="Cambria Math" w:cs="Arial"/>
                    </w:rPr>
                    <m:t>λ</m:t>
                  </m:r>
                </m:e>
                <m:sup>
                  <m:r>
                    <w:rPr>
                      <w:rFonts w:ascii="Cambria Math" w:hAnsi="Cambria Math" w:cs="Arial"/>
                    </w:rPr>
                    <m:t>y</m:t>
                  </m:r>
                </m:sup>
              </m:sSup>
            </m:num>
            <m:den>
              <m:d>
                <m:dPr>
                  <m:ctrlPr>
                    <w:rPr>
                      <w:rFonts w:ascii="Cambria Math" w:hAnsi="Cambria Math" w:cs="Arial"/>
                      <w:i/>
                    </w:rPr>
                  </m:ctrlPr>
                </m:dPr>
                <m:e>
                  <m:r>
                    <w:rPr>
                      <w:rFonts w:ascii="Cambria Math" w:hAnsi="Cambria Math" w:cs="Arial"/>
                    </w:rPr>
                    <m:t>1+αy</m:t>
                  </m:r>
                </m:e>
              </m:d>
              <m:r>
                <w:rPr>
                  <w:rFonts w:ascii="Cambria Math" w:hAnsi="Cambria Math" w:cs="Arial"/>
                </w:rPr>
                <m:t>y!</m:t>
              </m:r>
            </m:den>
          </m:f>
          <m:r>
            <w:rPr>
              <w:rFonts w:ascii="Cambria Math" w:hAnsi="Cambria Math" w:cs="Arial"/>
            </w:rPr>
            <m:t xml:space="preserve">                                                                                                          (6)</m:t>
          </m:r>
        </m:oMath>
      </m:oMathPara>
    </w:p>
    <w:p w14:paraId="1213B777" w14:textId="77777777" w:rsidR="00F86B78" w:rsidRPr="00862A76" w:rsidRDefault="00F86B78" w:rsidP="00F86B78">
      <w:pPr>
        <w:jc w:val="both"/>
        <w:rPr>
          <w:rFonts w:ascii="Arial" w:hAnsi="Arial" w:cs="Arial"/>
        </w:rPr>
      </w:pPr>
      <w:r w:rsidRPr="00862A76">
        <w:rPr>
          <w:rFonts w:ascii="Arial" w:eastAsiaTheme="minorEastAsia" w:hAnsi="Arial" w:cs="Arial"/>
        </w:rPr>
        <w:t xml:space="preserve">where </w:t>
      </w:r>
      <m:oMath>
        <m:r>
          <w:rPr>
            <w:rFonts w:ascii="Cambria Math" w:eastAsiaTheme="minorEastAsia" w:hAnsi="Cambria Math" w:cs="Arial"/>
          </w:rPr>
          <m:t>Y</m:t>
        </m:r>
      </m:oMath>
      <w:r w:rsidRPr="00862A76">
        <w:rPr>
          <w:rFonts w:ascii="Arial" w:eastAsiaTheme="minorEastAsia" w:hAnsi="Arial" w:cs="Arial"/>
        </w:rPr>
        <w:t xml:space="preserve"> </w:t>
      </w:r>
      <w:r w:rsidRPr="00862A76">
        <w:rPr>
          <w:rFonts w:ascii="Arial" w:hAnsi="Arial" w:cs="Arial"/>
        </w:rPr>
        <w:t xml:space="preserve">is the random variable representing the count, </w:t>
      </w:r>
      <m:oMath>
        <m:r>
          <w:rPr>
            <w:rFonts w:ascii="Cambria Math" w:hAnsi="Cambria Math" w:cs="Arial"/>
          </w:rPr>
          <m:t>y</m:t>
        </m:r>
      </m:oMath>
      <w:r w:rsidRPr="00862A76">
        <w:rPr>
          <w:rFonts w:ascii="Arial" w:hAnsi="Arial" w:cs="Arial"/>
        </w:rPr>
        <w:t xml:space="preserve"> is the observed count, </w:t>
      </w:r>
      <m:oMath>
        <m:r>
          <w:rPr>
            <w:rFonts w:ascii="Cambria Math" w:hAnsi="Cambria Math" w:cs="Arial"/>
          </w:rPr>
          <m:t>λ</m:t>
        </m:r>
      </m:oMath>
      <w:r w:rsidRPr="00862A76">
        <w:rPr>
          <w:rFonts w:ascii="Arial" w:eastAsiaTheme="minorEastAsia" w:hAnsi="Arial" w:cs="Arial"/>
        </w:rPr>
        <w:t xml:space="preserve"> </w:t>
      </w:r>
      <w:r w:rsidRPr="00862A76">
        <w:rPr>
          <w:rFonts w:ascii="Arial" w:hAnsi="Arial" w:cs="Arial"/>
        </w:rPr>
        <w:t xml:space="preserve">is the mean parameter, and </w:t>
      </w:r>
      <m:oMath>
        <m:r>
          <w:rPr>
            <w:rFonts w:ascii="Cambria Math" w:hAnsi="Cambria Math" w:cs="Arial"/>
          </w:rPr>
          <m:t>α</m:t>
        </m:r>
      </m:oMath>
      <w:r w:rsidRPr="00862A76">
        <w:rPr>
          <w:rFonts w:ascii="Arial" w:eastAsiaTheme="minorEastAsia" w:hAnsi="Arial" w:cs="Arial"/>
        </w:rPr>
        <w:t xml:space="preserve"> </w:t>
      </w:r>
      <w:r w:rsidRPr="00862A76">
        <w:rPr>
          <w:rFonts w:ascii="Arial" w:hAnsi="Arial" w:cs="Arial"/>
        </w:rPr>
        <w:t>is the overdispersion parameter.</w:t>
      </w:r>
    </w:p>
    <w:p w14:paraId="19721A0A" w14:textId="77777777" w:rsidR="00F86B78" w:rsidRPr="00862A76" w:rsidRDefault="00F86B78" w:rsidP="00F86B78">
      <w:pPr>
        <w:jc w:val="both"/>
        <w:rPr>
          <w:rFonts w:ascii="Arial" w:eastAsiaTheme="minorEastAsia" w:hAnsi="Arial" w:cs="Arial"/>
          <w:b/>
          <w:bCs/>
        </w:rPr>
      </w:pPr>
      <w:r w:rsidRPr="00862A76">
        <w:rPr>
          <w:rFonts w:ascii="Arial" w:hAnsi="Arial" w:cs="Arial"/>
        </w:rPr>
        <w:t xml:space="preserve">The mean </w:t>
      </w:r>
      <m:oMath>
        <m:r>
          <w:rPr>
            <w:rFonts w:ascii="Cambria Math" w:hAnsi="Cambria Math" w:cs="Arial"/>
          </w:rPr>
          <m:t>μ</m:t>
        </m:r>
      </m:oMath>
      <w:r w:rsidRPr="00862A76">
        <w:rPr>
          <w:rFonts w:ascii="Arial" w:eastAsiaTheme="minorEastAsia" w:hAnsi="Arial" w:cs="Arial"/>
        </w:rPr>
        <w:t xml:space="preserve"> </w:t>
      </w:r>
      <w:r w:rsidRPr="00862A76">
        <w:rPr>
          <w:rFonts w:ascii="Arial" w:hAnsi="Arial" w:cs="Arial"/>
        </w:rPr>
        <w:t xml:space="preserve">of the generalised Poisson distribution is given as </w:t>
      </w:r>
      <m:oMath>
        <m:r>
          <w:rPr>
            <w:rFonts w:ascii="Cambria Math" w:hAnsi="Cambria Math" w:cs="Arial"/>
          </w:rPr>
          <m:t>μ=λ</m:t>
        </m:r>
      </m:oMath>
      <w:r w:rsidRPr="00862A76">
        <w:rPr>
          <w:rFonts w:ascii="Arial" w:eastAsiaTheme="minorEastAsia" w:hAnsi="Arial" w:cs="Arial"/>
          <w:bCs/>
        </w:rPr>
        <w:t xml:space="preserve"> and the variance </w:t>
      </w:r>
      <m:oMath>
        <m:sSup>
          <m:sSupPr>
            <m:ctrlPr>
              <w:rPr>
                <w:rFonts w:ascii="Cambria Math" w:eastAsiaTheme="minorEastAsia" w:hAnsi="Cambria Math" w:cs="Arial"/>
                <w:bCs/>
                <w:i/>
              </w:rPr>
            </m:ctrlPr>
          </m:sSupPr>
          <m:e>
            <m:r>
              <w:rPr>
                <w:rFonts w:ascii="Cambria Math" w:eastAsiaTheme="minorEastAsia" w:hAnsi="Cambria Math" w:cs="Arial"/>
              </w:rPr>
              <m:t>σ</m:t>
            </m:r>
          </m:e>
          <m:sup>
            <m:r>
              <w:rPr>
                <w:rFonts w:ascii="Cambria Math" w:eastAsiaTheme="minorEastAsia" w:hAnsi="Cambria Math" w:cs="Arial"/>
              </w:rPr>
              <m:t>2</m:t>
            </m:r>
          </m:sup>
        </m:sSup>
      </m:oMath>
      <w:r w:rsidRPr="00862A76">
        <w:rPr>
          <w:rFonts w:ascii="Arial" w:eastAsiaTheme="minorEastAsia" w:hAnsi="Arial" w:cs="Arial"/>
          <w:bCs/>
        </w:rPr>
        <w:t xml:space="preserve"> is given as </w:t>
      </w:r>
      <m:oMath>
        <m:sSup>
          <m:sSupPr>
            <m:ctrlPr>
              <w:rPr>
                <w:rFonts w:ascii="Cambria Math" w:eastAsiaTheme="minorEastAsia" w:hAnsi="Cambria Math" w:cs="Arial"/>
                <w:bCs/>
                <w:i/>
              </w:rPr>
            </m:ctrlPr>
          </m:sSupPr>
          <m:e>
            <m:r>
              <w:rPr>
                <w:rFonts w:ascii="Cambria Math" w:eastAsiaTheme="minorEastAsia" w:hAnsi="Cambria Math" w:cs="Arial"/>
              </w:rPr>
              <m:t>σ</m:t>
            </m:r>
          </m:e>
          <m:sup>
            <m:r>
              <w:rPr>
                <w:rFonts w:ascii="Cambria Math" w:eastAsiaTheme="minorEastAsia" w:hAnsi="Cambria Math" w:cs="Arial"/>
              </w:rPr>
              <m:t>2</m:t>
            </m:r>
          </m:sup>
        </m:sSup>
        <m:r>
          <w:rPr>
            <w:rFonts w:ascii="Cambria Math" w:eastAsiaTheme="minorEastAsia" w:hAnsi="Cambria Math" w:cs="Arial"/>
          </w:rPr>
          <m:t>=λ</m:t>
        </m:r>
        <m:d>
          <m:dPr>
            <m:ctrlPr>
              <w:rPr>
                <w:rFonts w:ascii="Cambria Math" w:eastAsiaTheme="minorEastAsia" w:hAnsi="Cambria Math" w:cs="Arial"/>
                <w:bCs/>
                <w:i/>
              </w:rPr>
            </m:ctrlPr>
          </m:dPr>
          <m:e>
            <m:r>
              <w:rPr>
                <w:rFonts w:ascii="Cambria Math" w:eastAsiaTheme="minorEastAsia" w:hAnsi="Cambria Math" w:cs="Arial"/>
              </w:rPr>
              <m:t>1+αλ</m:t>
            </m:r>
          </m:e>
        </m:d>
        <m:r>
          <m:rPr>
            <m:sty m:val="bi"/>
          </m:rPr>
          <w:rPr>
            <w:rFonts w:ascii="Cambria Math" w:eastAsiaTheme="minorEastAsia" w:hAnsi="Cambria Math" w:cs="Arial"/>
          </w:rPr>
          <m:t>.</m:t>
        </m:r>
      </m:oMath>
    </w:p>
    <w:p w14:paraId="495DA1E3" w14:textId="77777777" w:rsidR="00F86B78" w:rsidRPr="00862A76" w:rsidRDefault="00F86B78" w:rsidP="00F86B78">
      <w:pPr>
        <w:jc w:val="both"/>
        <w:rPr>
          <w:rFonts w:ascii="Arial" w:hAnsi="Arial" w:cs="Arial"/>
        </w:rPr>
      </w:pPr>
      <w:r w:rsidRPr="00862A76">
        <w:rPr>
          <w:rFonts w:ascii="Arial" w:hAnsi="Arial" w:cs="Arial"/>
        </w:rPr>
        <w:t xml:space="preserve">In the context of regression modelling, the generalised Poisson regression model models the logarithm of the mean </w:t>
      </w:r>
      <m:oMath>
        <m:r>
          <w:rPr>
            <w:rFonts w:ascii="Cambria Math" w:hAnsi="Cambria Math" w:cs="Arial"/>
          </w:rPr>
          <m:t>λ</m:t>
        </m:r>
      </m:oMath>
      <w:r w:rsidRPr="00862A76">
        <w:rPr>
          <w:rFonts w:ascii="Arial" w:eastAsiaTheme="minorEastAsia" w:hAnsi="Arial" w:cs="Arial"/>
        </w:rPr>
        <w:t xml:space="preserve"> </w:t>
      </w:r>
      <w:r w:rsidRPr="00862A76">
        <w:rPr>
          <w:rFonts w:ascii="Arial" w:hAnsi="Arial" w:cs="Arial"/>
        </w:rPr>
        <w:t xml:space="preserve">as a linear combination of predictors using the link function. The link function is often the logarithmic function, leading to a linear predictor </w:t>
      </w:r>
      <m:oMath>
        <m:r>
          <w:rPr>
            <w:rFonts w:ascii="Cambria Math" w:hAnsi="Cambria Math" w:cs="Arial"/>
          </w:rPr>
          <m:t>η</m:t>
        </m:r>
      </m:oMath>
      <w:r w:rsidRPr="00862A76">
        <w:rPr>
          <w:rFonts w:ascii="Arial" w:eastAsiaTheme="minorEastAsia" w:hAnsi="Arial" w:cs="Arial"/>
        </w:rPr>
        <w:t xml:space="preserve">, </w:t>
      </w:r>
      <w:r w:rsidRPr="00862A76">
        <w:rPr>
          <w:rFonts w:ascii="Arial" w:hAnsi="Arial" w:cs="Arial"/>
        </w:rPr>
        <w:t xml:space="preserve"> </w:t>
      </w:r>
      <m:oMath>
        <m:func>
          <m:funcPr>
            <m:ctrlPr>
              <w:rPr>
                <w:rFonts w:ascii="Cambria Math" w:hAnsi="Cambria Math" w:cs="Arial"/>
                <w:i/>
              </w:rPr>
            </m:ctrlPr>
          </m:funcPr>
          <m:fName>
            <m:r>
              <m:rPr>
                <m:sty m:val="p"/>
              </m:rPr>
              <w:rPr>
                <w:rFonts w:ascii="Cambria Math" w:hAnsi="Cambria Math" w:cs="Arial"/>
              </w:rPr>
              <m:t>ln</m:t>
            </m:r>
          </m:fName>
          <m:e>
            <m:d>
              <m:dPr>
                <m:ctrlPr>
                  <w:rPr>
                    <w:rFonts w:ascii="Cambria Math" w:hAnsi="Cambria Math" w:cs="Arial"/>
                    <w:i/>
                  </w:rPr>
                </m:ctrlPr>
              </m:dPr>
              <m:e>
                <m:r>
                  <w:rPr>
                    <w:rFonts w:ascii="Cambria Math" w:hAnsi="Cambria Math" w:cs="Arial"/>
                  </w:rPr>
                  <m:t>λ</m:t>
                </m:r>
              </m:e>
            </m:d>
          </m:e>
        </m:func>
        <m:r>
          <w:rPr>
            <w:rFonts w:ascii="Cambria Math" w:hAnsi="Cambria Math" w:cs="Arial"/>
          </w:rPr>
          <m:t>=η</m:t>
        </m:r>
      </m:oMath>
      <w:r w:rsidRPr="00862A76">
        <w:rPr>
          <w:rFonts w:ascii="Arial" w:eastAsiaTheme="minorEastAsia" w:hAnsi="Arial" w:cs="Arial"/>
        </w:rPr>
        <w:t xml:space="preserve"> </w:t>
      </w:r>
      <w:r w:rsidRPr="00862A76">
        <w:rPr>
          <w:rFonts w:ascii="Arial" w:hAnsi="Arial" w:cs="Arial"/>
        </w:rPr>
        <w:t>(Agresti, 2007).</w:t>
      </w:r>
    </w:p>
    <w:p w14:paraId="28185A68" w14:textId="77777777" w:rsidR="00F86B78" w:rsidRPr="00862A76" w:rsidRDefault="00F86B78" w:rsidP="00F86B78">
      <w:pPr>
        <w:jc w:val="both"/>
        <w:rPr>
          <w:rFonts w:ascii="Arial" w:hAnsi="Arial" w:cs="Arial"/>
        </w:rPr>
      </w:pPr>
      <w:r w:rsidRPr="00862A76">
        <w:rPr>
          <w:rFonts w:ascii="Arial" w:hAnsi="Arial" w:cs="Arial"/>
        </w:rPr>
        <w:t xml:space="preserve">The linear predictor </w:t>
      </w:r>
      <m:oMath>
        <m:r>
          <w:rPr>
            <w:rFonts w:ascii="Cambria Math" w:hAnsi="Cambria Math" w:cs="Arial"/>
          </w:rPr>
          <m:t>η</m:t>
        </m:r>
      </m:oMath>
      <w:r w:rsidRPr="00862A76">
        <w:rPr>
          <w:rFonts w:ascii="Arial" w:hAnsi="Arial" w:cs="Arial"/>
        </w:rPr>
        <w:t xml:space="preserve"> is modelled as:</w:t>
      </w:r>
    </w:p>
    <w:p w14:paraId="4951128F" w14:textId="77777777" w:rsidR="00F86B78" w:rsidRPr="00862A76" w:rsidRDefault="00F86B78" w:rsidP="00F86B78">
      <w:pPr>
        <w:jc w:val="both"/>
        <w:rPr>
          <w:rFonts w:ascii="Arial" w:eastAsiaTheme="minorEastAsia" w:hAnsi="Arial" w:cs="Arial"/>
        </w:rPr>
      </w:pPr>
      <m:oMathPara>
        <m:oMath>
          <m:r>
            <w:rPr>
              <w:rFonts w:ascii="Cambria Math" w:hAnsi="Cambria Math" w:cs="Arial"/>
            </w:rPr>
            <m:t>η=</m:t>
          </m:r>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1</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2</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2</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3</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3</m:t>
              </m:r>
            </m:sub>
          </m:sSub>
          <m:r>
            <w:rPr>
              <w:rFonts w:ascii="Cambria Math" w:hAnsi="Cambria Math" w:cs="Arial"/>
            </w:rPr>
            <m:t>+</m:t>
          </m:r>
          <m:sSub>
            <m:sSubPr>
              <m:ctrlPr>
                <w:rPr>
                  <w:rFonts w:ascii="Cambria Math" w:hAnsi="Cambria Math" w:cs="Arial"/>
                  <w:i/>
                </w:rPr>
              </m:ctrlPr>
            </m:sSubPr>
            <m:e>
              <m:r>
                <w:rPr>
                  <w:rFonts w:ascii="Cambria Math" w:hAnsi="Cambria Math" w:cs="Arial"/>
                </w:rPr>
                <m:t>ε</m:t>
              </m:r>
            </m:e>
            <m:sub>
              <m:r>
                <w:rPr>
                  <w:rFonts w:ascii="Cambria Math" w:hAnsi="Cambria Math" w:cs="Arial"/>
                </w:rPr>
                <m:t>i</m:t>
              </m:r>
            </m:sub>
          </m:sSub>
          <m:r>
            <w:rPr>
              <w:rFonts w:ascii="Cambria Math" w:hAnsi="Cambria Math" w:cs="Arial"/>
            </w:rPr>
            <m:t xml:space="preserve">                                                                             (7)</m:t>
          </m:r>
        </m:oMath>
      </m:oMathPara>
    </w:p>
    <w:p w14:paraId="4641DC6E" w14:textId="77777777" w:rsidR="00F86B78" w:rsidRPr="00862A76" w:rsidRDefault="00F86B78" w:rsidP="00F86B78">
      <w:pPr>
        <w:jc w:val="both"/>
        <w:rPr>
          <w:rFonts w:ascii="Arial" w:eastAsiaTheme="minorEastAsia" w:hAnsi="Arial" w:cs="Arial"/>
        </w:rPr>
      </w:pPr>
      <w:r w:rsidRPr="00862A76">
        <w:lastRenderedPageBreak/>
        <w:t>All parameters are as previously defined.</w:t>
      </w:r>
    </w:p>
    <w:p w14:paraId="67B231B0" w14:textId="77777777" w:rsidR="00F86B78" w:rsidRDefault="00F86B78" w:rsidP="00F86B78">
      <w:pPr>
        <w:jc w:val="both"/>
        <w:rPr>
          <w:rFonts w:ascii="Arial" w:hAnsi="Arial" w:cs="Arial"/>
        </w:rPr>
      </w:pPr>
      <w:r w:rsidRPr="00862A76">
        <w:rPr>
          <w:rFonts w:ascii="Arial" w:hAnsi="Arial" w:cs="Arial"/>
        </w:rPr>
        <w:t xml:space="preserve">The model parameters, including the overdispersion parameter </w:t>
      </w:r>
      <m:oMath>
        <m:r>
          <w:rPr>
            <w:rFonts w:ascii="Cambria Math" w:hAnsi="Cambria Math" w:cs="Arial"/>
          </w:rPr>
          <m:t>α</m:t>
        </m:r>
      </m:oMath>
      <w:r w:rsidRPr="00862A76">
        <w:rPr>
          <w:rFonts w:ascii="Arial" w:hAnsi="Arial" w:cs="Arial"/>
        </w:rPr>
        <w:t>, are estimated during the model fitting process. The generalised Poisson regression allows for flexibility in handling overdispersed count data, and it is particularly useful when the assumption of equidispersion in the Poisson model is violated. The choice of the link function and the inclusion of predictors follow similar principles to other generalized linear models.</w:t>
      </w:r>
    </w:p>
    <w:p w14:paraId="4874B189" w14:textId="77777777" w:rsidR="00945D69" w:rsidRPr="00862A76" w:rsidRDefault="00945D69" w:rsidP="00F86B78">
      <w:pPr>
        <w:jc w:val="both"/>
        <w:rPr>
          <w:rFonts w:ascii="Arial" w:hAnsi="Arial" w:cs="Arial"/>
        </w:rPr>
      </w:pPr>
    </w:p>
    <w:p w14:paraId="3A2922F3" w14:textId="77777777" w:rsidR="00F86B78" w:rsidRPr="00862A76" w:rsidRDefault="00756351" w:rsidP="0005770B">
      <w:pPr>
        <w:jc w:val="both"/>
        <w:rPr>
          <w:rFonts w:ascii="Arial" w:hAnsi="Arial" w:cs="Arial"/>
          <w:b/>
        </w:rPr>
      </w:pPr>
      <w:r w:rsidRPr="00862A76">
        <w:rPr>
          <w:b/>
        </w:rPr>
        <w:t>2.3 Model Evaluation and Diagnostic Checks</w:t>
      </w:r>
    </w:p>
    <w:p w14:paraId="572EA156" w14:textId="77777777" w:rsidR="00F86B78" w:rsidRPr="00862A76" w:rsidRDefault="00F86B78" w:rsidP="0005770B">
      <w:pPr>
        <w:jc w:val="both"/>
        <w:rPr>
          <w:rFonts w:ascii="Arial" w:hAnsi="Arial" w:cs="Arial"/>
          <w:b/>
        </w:rPr>
      </w:pPr>
      <w:r w:rsidRPr="00862A76">
        <w:t>The following goodness-of-fit measures were used to evaluate model performance and assess the adequacy of the estimated models.</w:t>
      </w:r>
    </w:p>
    <w:p w14:paraId="32F05103" w14:textId="77777777" w:rsidR="00F86B78" w:rsidRPr="00862A76" w:rsidRDefault="00756351" w:rsidP="0005770B">
      <w:pPr>
        <w:jc w:val="both"/>
        <w:rPr>
          <w:rFonts w:ascii="Arial" w:hAnsi="Arial" w:cs="Arial"/>
          <w:b/>
        </w:rPr>
      </w:pPr>
      <w:r w:rsidRPr="00862A76">
        <w:rPr>
          <w:b/>
        </w:rPr>
        <w:t>2.3.1 Deviance Statistic</w:t>
      </w:r>
    </w:p>
    <w:p w14:paraId="4860A1BA" w14:textId="77777777" w:rsidR="00F86B78" w:rsidRPr="00862A76" w:rsidRDefault="00F86B78" w:rsidP="0005770B">
      <w:pPr>
        <w:jc w:val="both"/>
        <w:rPr>
          <w:rFonts w:ascii="Arial" w:hAnsi="Arial" w:cs="Arial"/>
        </w:rPr>
      </w:pPr>
      <w:r w:rsidRPr="00862A76">
        <w:t>Deviance is defined as −2 multiplied by the log-likelihood of the fitted model. It is expressed mathematically as:</w:t>
      </w:r>
    </w:p>
    <w:p w14:paraId="3E293AE8" w14:textId="77777777" w:rsidR="00F86B78" w:rsidRPr="00862A76" w:rsidRDefault="00F86B78" w:rsidP="0005770B">
      <w:pPr>
        <w:jc w:val="both"/>
        <w:rPr>
          <w:rFonts w:ascii="Arial" w:eastAsiaTheme="minorEastAsia" w:hAnsi="Arial" w:cs="Arial"/>
        </w:rPr>
      </w:pPr>
      <m:oMathPara>
        <m:oMath>
          <m:r>
            <m:rPr>
              <m:sty m:val="p"/>
            </m:rPr>
            <w:rPr>
              <w:rFonts w:ascii="Cambria Math" w:hAnsi="Cambria Math" w:cs="Arial"/>
            </w:rPr>
            <m:t>Deviance</m:t>
          </m:r>
          <m:r>
            <w:rPr>
              <w:rFonts w:ascii="Cambria Math" w:hAnsi="Cambria Math" w:cs="Arial"/>
            </w:rPr>
            <m:t>=</m:t>
          </m:r>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r>
                <w:rPr>
                  <w:rFonts w:ascii="Cambria Math" w:hAnsi="Cambria Math" w:cs="Arial"/>
                </w:rPr>
                <m:t>2</m:t>
              </m:r>
              <m:d>
                <m:dPr>
                  <m:begChr m:val="["/>
                  <m:endChr m:val="]"/>
                  <m:ctrlPr>
                    <w:rPr>
                      <w:rFonts w:ascii="Cambria Math" w:hAnsi="Cambria Math" w:cs="Arial"/>
                      <w:i/>
                    </w:rPr>
                  </m:ctrlPr>
                </m:dPr>
                <m:e>
                  <m:sSub>
                    <m:sSubPr>
                      <m:ctrlPr>
                        <w:rPr>
                          <w:rFonts w:ascii="Cambria Math" w:hAnsi="Cambria Math" w:cs="Arial"/>
                          <w:i/>
                        </w:rPr>
                      </m:ctrlPr>
                    </m:sSubPr>
                    <m:e>
                      <m:r>
                        <w:rPr>
                          <w:rFonts w:ascii="Cambria Math" w:hAnsi="Cambria Math" w:cs="Arial"/>
                        </w:rPr>
                        <m:t>y</m:t>
                      </m:r>
                    </m:e>
                    <m:sub>
                      <m:r>
                        <w:rPr>
                          <w:rFonts w:ascii="Cambria Math" w:hAnsi="Cambria Math" w:cs="Arial"/>
                        </w:rPr>
                        <m:t>i</m:t>
                      </m:r>
                    </m:sub>
                  </m:sSub>
                  <m:func>
                    <m:funcPr>
                      <m:ctrlPr>
                        <w:rPr>
                          <w:rFonts w:ascii="Cambria Math" w:hAnsi="Cambria Math" w:cs="Arial"/>
                          <w:i/>
                        </w:rPr>
                      </m:ctrlPr>
                    </m:funcPr>
                    <m:fName>
                      <m:r>
                        <m:rPr>
                          <m:sty m:val="p"/>
                        </m:rPr>
                        <w:rPr>
                          <w:rFonts w:ascii="Cambria Math" w:hAnsi="Cambria Math" w:cs="Arial"/>
                        </w:rPr>
                        <m:t>log</m:t>
                      </m:r>
                    </m:fName>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y</m:t>
                              </m:r>
                            </m:e>
                            <m:sub>
                              <m:r>
                                <w:rPr>
                                  <w:rFonts w:ascii="Cambria Math" w:hAnsi="Cambria Math" w:cs="Arial"/>
                                </w:rPr>
                                <m:t>i</m:t>
                              </m:r>
                            </m:sub>
                          </m:sSub>
                        </m:num>
                        <m:den>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y</m:t>
                                  </m:r>
                                </m:e>
                              </m:acc>
                            </m:e>
                            <m:sub>
                              <m:r>
                                <w:rPr>
                                  <w:rFonts w:ascii="Cambria Math" w:hAnsi="Cambria Math" w:cs="Arial"/>
                                </w:rPr>
                                <m:t>i</m:t>
                              </m:r>
                            </m:sub>
                          </m:sSub>
                        </m:den>
                      </m:f>
                    </m:e>
                  </m:func>
                  <m:r>
                    <w:rPr>
                      <w:rFonts w:ascii="Cambria Math" w:hAnsi="Cambria Math" w:cs="Arial"/>
                    </w:rPr>
                    <m:t>-</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y</m:t>
                          </m:r>
                        </m:e>
                        <m:sub>
                          <m:r>
                            <w:rPr>
                              <w:rFonts w:ascii="Cambria Math" w:hAnsi="Cambria Math" w:cs="Arial"/>
                            </w:rPr>
                            <m:t>i</m:t>
                          </m:r>
                        </m:sub>
                      </m:sSub>
                      <m:r>
                        <w:rPr>
                          <w:rFonts w:ascii="Cambria Math" w:hAnsi="Cambria Math" w:cs="Arial"/>
                        </w:rPr>
                        <m:t>-</m:t>
                      </m:r>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y</m:t>
                              </m:r>
                            </m:e>
                          </m:acc>
                        </m:e>
                        <m:sub>
                          <m:r>
                            <w:rPr>
                              <w:rFonts w:ascii="Cambria Math" w:hAnsi="Cambria Math" w:cs="Arial"/>
                            </w:rPr>
                            <m:t>i</m:t>
                          </m:r>
                        </m:sub>
                      </m:sSub>
                    </m:e>
                  </m:d>
                </m:e>
              </m:d>
            </m:e>
          </m:nary>
          <m:r>
            <w:rPr>
              <w:rFonts w:ascii="Cambria Math" w:hAnsi="Cambria Math" w:cs="Arial"/>
            </w:rPr>
            <m:t xml:space="preserve">                                                                                 (8)</m:t>
          </m:r>
        </m:oMath>
      </m:oMathPara>
    </w:p>
    <w:p w14:paraId="4EC5A40E" w14:textId="77777777" w:rsidR="00F86B78" w:rsidRPr="00862A76" w:rsidRDefault="00F86B78" w:rsidP="0005770B">
      <w:pPr>
        <w:jc w:val="both"/>
        <w:rPr>
          <w:rFonts w:ascii="Arial" w:eastAsiaTheme="minorEastAsia" w:hAnsi="Arial" w:cs="Arial"/>
        </w:rPr>
      </w:pPr>
      <w:r w:rsidRPr="00862A76">
        <w:rPr>
          <w:rFonts w:ascii="Arial" w:eastAsiaTheme="minorEastAsia" w:hAnsi="Arial" w:cs="Arial"/>
        </w:rPr>
        <w:t xml:space="preserve">where </w:t>
      </w:r>
      <m:oMath>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y</m:t>
                </m:r>
              </m:e>
            </m:acc>
          </m:e>
          <m:sub>
            <m:r>
              <w:rPr>
                <w:rFonts w:ascii="Cambria Math" w:eastAsiaTheme="minorEastAsia" w:hAnsi="Cambria Math" w:cs="Arial"/>
              </w:rPr>
              <m:t>i</m:t>
            </m:r>
          </m:sub>
        </m:sSub>
      </m:oMath>
      <w:r w:rsidRPr="00862A76">
        <w:rPr>
          <w:rFonts w:ascii="Arial" w:eastAsiaTheme="minorEastAsia" w:hAnsi="Arial" w:cs="Arial"/>
        </w:rPr>
        <w:t xml:space="preserve"> is the fitted value of </w:t>
      </w:r>
      <m:oMath>
        <m:sSub>
          <m:sSubPr>
            <m:ctrlPr>
              <w:rPr>
                <w:rFonts w:ascii="Cambria Math" w:eastAsiaTheme="minorEastAsia" w:hAnsi="Cambria Math" w:cs="Arial"/>
                <w:i/>
              </w:rPr>
            </m:ctrlPr>
          </m:sSubPr>
          <m:e>
            <m:r>
              <w:rPr>
                <w:rFonts w:ascii="Cambria Math" w:eastAsiaTheme="minorEastAsia" w:hAnsi="Cambria Math" w:cs="Arial"/>
              </w:rPr>
              <m:t>y</m:t>
            </m:r>
          </m:e>
          <m:sub>
            <m:r>
              <w:rPr>
                <w:rFonts w:ascii="Cambria Math" w:eastAsiaTheme="minorEastAsia" w:hAnsi="Cambria Math" w:cs="Arial"/>
              </w:rPr>
              <m:t>i</m:t>
            </m:r>
          </m:sub>
        </m:sSub>
      </m:oMath>
      <w:r w:rsidRPr="00862A76">
        <w:rPr>
          <w:rFonts w:ascii="Arial" w:eastAsiaTheme="minorEastAsia" w:hAnsi="Arial" w:cs="Arial"/>
        </w:rPr>
        <w:t>.</w:t>
      </w:r>
    </w:p>
    <w:p w14:paraId="0F339BC2" w14:textId="77777777" w:rsidR="00F86B78" w:rsidRPr="00862A76" w:rsidRDefault="00756351" w:rsidP="0005770B">
      <w:pPr>
        <w:jc w:val="both"/>
        <w:rPr>
          <w:rFonts w:ascii="Arial" w:eastAsiaTheme="minorEastAsia" w:hAnsi="Arial" w:cs="Arial"/>
          <w:b/>
        </w:rPr>
      </w:pPr>
      <w:r w:rsidRPr="00862A76">
        <w:rPr>
          <w:b/>
        </w:rPr>
        <w:t>2.3.2 Pearson Chi-square</w:t>
      </w:r>
    </w:p>
    <w:p w14:paraId="49EB1FD1" w14:textId="77777777" w:rsidR="00F86B78" w:rsidRPr="00862A76" w:rsidRDefault="00F86B78" w:rsidP="0005770B">
      <w:pPr>
        <w:jc w:val="both"/>
        <w:rPr>
          <w:rFonts w:ascii="Arial" w:eastAsiaTheme="minorEastAsia" w:hAnsi="Arial" w:cs="Arial"/>
        </w:rPr>
      </w:pPr>
      <w:r w:rsidRPr="00862A76">
        <w:t>This goodness-of-fit measure compares the fitted values of the outcome variable with the observed values. It is computed as:</w:t>
      </w:r>
    </w:p>
    <w:p w14:paraId="5C30738F" w14:textId="77777777" w:rsidR="00F86B78" w:rsidRPr="00862A76" w:rsidRDefault="00F86B78" w:rsidP="0005770B">
      <w:pPr>
        <w:jc w:val="both"/>
        <w:rPr>
          <w:rFonts w:ascii="Arial" w:eastAsiaTheme="minorEastAsia" w:hAnsi="Arial" w:cs="Arial"/>
        </w:rPr>
      </w:pPr>
      <m:oMathPara>
        <m:oMath>
          <m:r>
            <w:rPr>
              <w:rFonts w:ascii="Cambria Math" w:hAnsi="Cambria Math" w:cs="Arial"/>
            </w:rPr>
            <m:t xml:space="preserve"> </m:t>
          </m:r>
          <m:sSubSup>
            <m:sSubSupPr>
              <m:ctrlPr>
                <w:rPr>
                  <w:rFonts w:ascii="Cambria Math" w:hAnsi="Cambria Math" w:cs="Arial"/>
                  <w:i/>
                </w:rPr>
              </m:ctrlPr>
            </m:sSubSupPr>
            <m:e>
              <m:r>
                <m:rPr>
                  <m:scr m:val="script"/>
                </m:rPr>
                <w:rPr>
                  <w:rFonts w:ascii="Cambria Math" w:hAnsi="Cambria Math" w:cs="Arial"/>
                </w:rPr>
                <m:t>X</m:t>
              </m:r>
            </m:e>
            <m:sub>
              <m:r>
                <w:rPr>
                  <w:rFonts w:ascii="Cambria Math" w:hAnsi="Cambria Math" w:cs="Arial"/>
                </w:rPr>
                <m:t>p</m:t>
              </m:r>
            </m:sub>
            <m:sup>
              <m:r>
                <w:rPr>
                  <w:rFonts w:ascii="Cambria Math" w:hAnsi="Cambria Math" w:cs="Arial"/>
                </w:rPr>
                <m:t>2</m:t>
              </m:r>
            </m:sup>
          </m:sSubSup>
          <m:r>
            <w:rPr>
              <w:rFonts w:ascii="Cambria Math" w:hAnsi="Cambria Math" w:cs="Arial"/>
            </w:rPr>
            <m:t>=</m:t>
          </m:r>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f>
                <m:fPr>
                  <m:ctrlPr>
                    <w:rPr>
                      <w:rFonts w:ascii="Cambria Math" w:hAnsi="Cambria Math" w:cs="Arial"/>
                      <w:i/>
                    </w:rPr>
                  </m:ctrlPr>
                </m:fPr>
                <m:num>
                  <m:sSup>
                    <m:sSupPr>
                      <m:ctrlPr>
                        <w:rPr>
                          <w:rFonts w:ascii="Cambria Math" w:hAnsi="Cambria Math" w:cs="Arial"/>
                          <w:i/>
                        </w:rPr>
                      </m:ctrlPr>
                    </m:sSupPr>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y</m:t>
                              </m:r>
                            </m:e>
                            <m:sub>
                              <m:r>
                                <w:rPr>
                                  <w:rFonts w:ascii="Cambria Math" w:hAnsi="Cambria Math" w:cs="Arial"/>
                                </w:rPr>
                                <m:t>i</m:t>
                              </m:r>
                            </m:sub>
                          </m:sSub>
                          <m:r>
                            <w:rPr>
                              <w:rFonts w:ascii="Cambria Math" w:hAnsi="Cambria Math" w:cs="Arial"/>
                            </w:rPr>
                            <m:t>-</m:t>
                          </m:r>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y</m:t>
                                  </m:r>
                                </m:e>
                              </m:acc>
                            </m:e>
                            <m:sub>
                              <m:r>
                                <w:rPr>
                                  <w:rFonts w:ascii="Cambria Math" w:hAnsi="Cambria Math" w:cs="Arial"/>
                                </w:rPr>
                                <m:t>i</m:t>
                              </m:r>
                            </m:sub>
                          </m:sSub>
                        </m:e>
                      </m:d>
                    </m:e>
                    <m:sup>
                      <m:r>
                        <w:rPr>
                          <w:rFonts w:ascii="Cambria Math" w:hAnsi="Cambria Math" w:cs="Arial"/>
                        </w:rPr>
                        <m:t>2</m:t>
                      </m:r>
                    </m:sup>
                  </m:sSup>
                </m:num>
                <m:den>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y</m:t>
                          </m:r>
                        </m:e>
                      </m:acc>
                    </m:e>
                    <m:sub>
                      <m:r>
                        <w:rPr>
                          <w:rFonts w:ascii="Cambria Math" w:hAnsi="Cambria Math" w:cs="Arial"/>
                        </w:rPr>
                        <m:t>i</m:t>
                      </m:r>
                    </m:sub>
                  </m:sSub>
                </m:den>
              </m:f>
            </m:e>
          </m:nary>
          <m:r>
            <w:rPr>
              <w:rFonts w:ascii="Cambria Math" w:hAnsi="Cambria Math" w:cs="Arial"/>
            </w:rPr>
            <m:t xml:space="preserve">                                                                                                                    (9)</m:t>
          </m:r>
        </m:oMath>
      </m:oMathPara>
    </w:p>
    <w:p w14:paraId="49CE1E99" w14:textId="77777777" w:rsidR="00F86B78" w:rsidRPr="00862A76" w:rsidRDefault="00F86B78" w:rsidP="0005770B">
      <w:pPr>
        <w:jc w:val="both"/>
        <w:rPr>
          <w:rFonts w:ascii="Arial" w:eastAsiaTheme="minorEastAsia" w:hAnsi="Arial" w:cs="Arial"/>
        </w:rPr>
      </w:pPr>
      <w:r w:rsidRPr="00862A76">
        <w:rPr>
          <w:rFonts w:ascii="Arial" w:eastAsiaTheme="minorEastAsia" w:hAnsi="Arial" w:cs="Arial"/>
        </w:rPr>
        <w:t xml:space="preserve">where </w:t>
      </w:r>
      <m:oMath>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y</m:t>
                </m:r>
              </m:e>
            </m:acc>
          </m:e>
          <m:sub>
            <m:r>
              <w:rPr>
                <w:rFonts w:ascii="Cambria Math" w:eastAsiaTheme="minorEastAsia" w:hAnsi="Cambria Math" w:cs="Arial"/>
              </w:rPr>
              <m:t>i</m:t>
            </m:r>
          </m:sub>
        </m:sSub>
      </m:oMath>
      <w:r w:rsidRPr="00862A76">
        <w:rPr>
          <w:rFonts w:ascii="Arial" w:eastAsiaTheme="minorEastAsia" w:hAnsi="Arial" w:cs="Arial"/>
        </w:rPr>
        <w:t xml:space="preserve"> is the fitted value of </w:t>
      </w:r>
      <m:oMath>
        <m:sSub>
          <m:sSubPr>
            <m:ctrlPr>
              <w:rPr>
                <w:rFonts w:ascii="Cambria Math" w:eastAsiaTheme="minorEastAsia" w:hAnsi="Cambria Math" w:cs="Arial"/>
                <w:i/>
              </w:rPr>
            </m:ctrlPr>
          </m:sSubPr>
          <m:e>
            <m:r>
              <w:rPr>
                <w:rFonts w:ascii="Cambria Math" w:eastAsiaTheme="minorEastAsia" w:hAnsi="Cambria Math" w:cs="Arial"/>
              </w:rPr>
              <m:t>y</m:t>
            </m:r>
          </m:e>
          <m:sub>
            <m:r>
              <w:rPr>
                <w:rFonts w:ascii="Cambria Math" w:eastAsiaTheme="minorEastAsia" w:hAnsi="Cambria Math" w:cs="Arial"/>
              </w:rPr>
              <m:t>i</m:t>
            </m:r>
          </m:sub>
        </m:sSub>
      </m:oMath>
      <w:r w:rsidRPr="00862A76">
        <w:rPr>
          <w:rFonts w:ascii="Arial" w:eastAsiaTheme="minorEastAsia" w:hAnsi="Arial" w:cs="Arial"/>
        </w:rPr>
        <w:t>.</w:t>
      </w:r>
    </w:p>
    <w:p w14:paraId="0378B1C5" w14:textId="77777777" w:rsidR="00F86B78" w:rsidRPr="00862A76" w:rsidRDefault="00756351" w:rsidP="0005770B">
      <w:pPr>
        <w:jc w:val="both"/>
        <w:rPr>
          <w:rFonts w:ascii="Arial" w:eastAsiaTheme="minorEastAsia" w:hAnsi="Arial" w:cs="Arial"/>
          <w:b/>
        </w:rPr>
      </w:pPr>
      <w:r w:rsidRPr="00862A76">
        <w:rPr>
          <w:b/>
        </w:rPr>
        <w:t>2.3.3 Akaike Information Criterion (AIC)</w:t>
      </w:r>
    </w:p>
    <w:p w14:paraId="48489268" w14:textId="77777777" w:rsidR="00F86B78" w:rsidRPr="00862A76" w:rsidRDefault="00F86B78" w:rsidP="0005770B">
      <w:pPr>
        <w:jc w:val="both"/>
        <w:rPr>
          <w:rFonts w:ascii="Arial" w:eastAsiaTheme="minorEastAsia" w:hAnsi="Arial" w:cs="Arial"/>
        </w:rPr>
      </w:pPr>
      <w:r w:rsidRPr="00862A76">
        <w:t>The Akaike information criterion (AIC) is a goodness-of-fit measure defined as:</w:t>
      </w:r>
    </w:p>
    <w:p w14:paraId="23257055" w14:textId="77777777" w:rsidR="00F86B78" w:rsidRPr="00862A76" w:rsidRDefault="00F86B78" w:rsidP="0005770B">
      <w:pPr>
        <w:jc w:val="both"/>
        <w:rPr>
          <w:rFonts w:ascii="Arial" w:eastAsiaTheme="minorEastAsia" w:hAnsi="Arial" w:cs="Arial"/>
        </w:rPr>
      </w:pPr>
      <m:oMathPara>
        <m:oMath>
          <m:r>
            <m:rPr>
              <m:sty m:val="p"/>
            </m:rPr>
            <w:rPr>
              <w:rFonts w:ascii="Cambria Math" w:eastAsiaTheme="minorEastAsia" w:hAnsi="Cambria Math" w:cs="Arial"/>
            </w:rPr>
            <m:t>AIC</m:t>
          </m:r>
          <m:r>
            <w:rPr>
              <w:rFonts w:ascii="Cambria Math" w:eastAsiaTheme="minorEastAsia" w:hAnsi="Cambria Math" w:cs="Arial"/>
            </w:rPr>
            <m:t>=-2</m:t>
          </m:r>
          <m:func>
            <m:funcPr>
              <m:ctrlPr>
                <w:rPr>
                  <w:rFonts w:ascii="Cambria Math" w:eastAsiaTheme="minorEastAsia" w:hAnsi="Cambria Math" w:cs="Arial"/>
                  <w:i/>
                </w:rPr>
              </m:ctrlPr>
            </m:funcPr>
            <m:fName>
              <m:r>
                <m:rPr>
                  <m:sty m:val="p"/>
                </m:rPr>
                <w:rPr>
                  <w:rFonts w:ascii="Cambria Math" w:hAnsi="Cambria Math" w:cs="Arial"/>
                </w:rPr>
                <m:t>ln</m:t>
              </m:r>
            </m:fName>
            <m:e>
              <m:r>
                <w:rPr>
                  <w:rFonts w:ascii="Cambria Math" w:eastAsiaTheme="minorEastAsia" w:hAnsi="Cambria Math" w:cs="Arial"/>
                </w:rPr>
                <m:t xml:space="preserve">L+2k     </m:t>
              </m:r>
            </m:e>
          </m:func>
          <m:r>
            <w:rPr>
              <w:rFonts w:ascii="Cambria Math" w:eastAsiaTheme="minorEastAsia" w:hAnsi="Cambria Math" w:cs="Arial"/>
            </w:rPr>
            <m:t xml:space="preserve">                                                                                                            (10)</m:t>
          </m:r>
        </m:oMath>
      </m:oMathPara>
    </w:p>
    <w:p w14:paraId="6E532A78" w14:textId="77777777" w:rsidR="00F86B78" w:rsidRPr="00862A76" w:rsidRDefault="00756351" w:rsidP="0005770B">
      <w:pPr>
        <w:jc w:val="both"/>
        <w:rPr>
          <w:rFonts w:ascii="Arial" w:eastAsiaTheme="minorEastAsia" w:hAnsi="Arial" w:cs="Arial"/>
          <w:b/>
        </w:rPr>
      </w:pPr>
      <w:r w:rsidRPr="00862A76">
        <w:rPr>
          <w:b/>
        </w:rPr>
        <w:t>2.3.4 Bayesian Information Criterion (BIC)</w:t>
      </w:r>
    </w:p>
    <w:p w14:paraId="07912346" w14:textId="77777777" w:rsidR="00F86B78" w:rsidRPr="00862A76" w:rsidRDefault="00F86B78" w:rsidP="0005770B">
      <w:pPr>
        <w:jc w:val="both"/>
        <w:rPr>
          <w:rFonts w:ascii="Arial" w:eastAsiaTheme="minorEastAsia" w:hAnsi="Arial" w:cs="Arial"/>
        </w:rPr>
      </w:pPr>
      <w:r w:rsidRPr="00862A76">
        <w:t>The Bayesian information criterion (BIC) is a goodness-of-fit measure defined as:</w:t>
      </w:r>
    </w:p>
    <w:p w14:paraId="6602FAA3" w14:textId="77777777" w:rsidR="00F86B78" w:rsidRPr="00862A76" w:rsidRDefault="00F86B78" w:rsidP="0005770B">
      <w:pPr>
        <w:jc w:val="both"/>
        <w:rPr>
          <w:rFonts w:ascii="Arial" w:eastAsiaTheme="minorEastAsia" w:hAnsi="Arial" w:cs="Arial"/>
        </w:rPr>
      </w:pPr>
      <m:oMathPara>
        <m:oMath>
          <m:r>
            <m:rPr>
              <m:sty m:val="p"/>
            </m:rPr>
            <w:rPr>
              <w:rFonts w:ascii="Cambria Math" w:eastAsiaTheme="minorEastAsia" w:hAnsi="Cambria Math" w:cs="Arial"/>
            </w:rPr>
            <m:t>BIC</m:t>
          </m:r>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-2</m:t>
              </m:r>
              <m:func>
                <m:funcPr>
                  <m:ctrlPr>
                    <w:rPr>
                      <w:rFonts w:ascii="Cambria Math" w:eastAsiaTheme="minorEastAsia" w:hAnsi="Cambria Math" w:cs="Arial"/>
                      <w:i/>
                    </w:rPr>
                  </m:ctrlPr>
                </m:funcPr>
                <m:fName>
                  <m:r>
                    <m:rPr>
                      <m:sty m:val="p"/>
                    </m:rPr>
                    <w:rPr>
                      <w:rFonts w:ascii="Cambria Math" w:hAnsi="Cambria Math" w:cs="Arial"/>
                    </w:rPr>
                    <m:t>ln</m:t>
                  </m:r>
                </m:fName>
                <m:e>
                  <m:r>
                    <w:rPr>
                      <w:rFonts w:ascii="Cambria Math" w:eastAsiaTheme="minorEastAsia" w:hAnsi="Cambria Math" w:cs="Arial"/>
                    </w:rPr>
                    <m:t>L+k</m:t>
                  </m:r>
                  <m:func>
                    <m:funcPr>
                      <m:ctrlPr>
                        <w:rPr>
                          <w:rFonts w:ascii="Cambria Math" w:eastAsiaTheme="minorEastAsia" w:hAnsi="Cambria Math" w:cs="Arial"/>
                          <w:i/>
                        </w:rPr>
                      </m:ctrlPr>
                    </m:funcPr>
                    <m:fName>
                      <m:r>
                        <m:rPr>
                          <m:sty m:val="p"/>
                        </m:rPr>
                        <w:rPr>
                          <w:rFonts w:ascii="Cambria Math" w:hAnsi="Cambria Math" w:cs="Arial"/>
                        </w:rPr>
                        <m:t>ln</m:t>
                      </m:r>
                    </m:fName>
                    <m:e>
                      <m:r>
                        <w:rPr>
                          <w:rFonts w:ascii="Cambria Math" w:eastAsiaTheme="minorEastAsia" w:hAnsi="Cambria Math" w:cs="Arial"/>
                        </w:rPr>
                        <m:t>(n)</m:t>
                      </m:r>
                    </m:e>
                  </m:func>
                </m:e>
              </m:func>
            </m:num>
            <m:den>
              <m:r>
                <w:rPr>
                  <w:rFonts w:ascii="Cambria Math" w:eastAsiaTheme="minorEastAsia" w:hAnsi="Cambria Math" w:cs="Arial"/>
                </w:rPr>
                <m:t>n</m:t>
              </m:r>
            </m:den>
          </m:f>
          <m:r>
            <w:rPr>
              <w:rFonts w:ascii="Cambria Math" w:eastAsiaTheme="minorEastAsia" w:hAnsi="Cambria Math" w:cs="Arial"/>
            </w:rPr>
            <m:t xml:space="preserve">                                                                                                      (11)</m:t>
          </m:r>
        </m:oMath>
      </m:oMathPara>
    </w:p>
    <w:p w14:paraId="1B5620A0" w14:textId="77777777" w:rsidR="00F86B78" w:rsidRPr="00862A76" w:rsidRDefault="00F86B78" w:rsidP="0005770B">
      <w:pPr>
        <w:jc w:val="both"/>
        <w:rPr>
          <w:rFonts w:ascii="Arial" w:eastAsiaTheme="minorEastAsia" w:hAnsi="Arial" w:cs="Arial"/>
        </w:rPr>
      </w:pPr>
      <w:r w:rsidRPr="00862A76">
        <w:rPr>
          <w:rFonts w:ascii="Arial" w:eastAsiaTheme="minorEastAsia" w:hAnsi="Arial" w:cs="Arial"/>
        </w:rPr>
        <w:t xml:space="preserve">where </w:t>
      </w:r>
      <m:oMath>
        <m:r>
          <w:rPr>
            <w:rFonts w:ascii="Cambria Math" w:eastAsiaTheme="minorEastAsia" w:hAnsi="Cambria Math" w:cs="Arial"/>
          </w:rPr>
          <m:t>n</m:t>
        </m:r>
      </m:oMath>
      <w:r w:rsidRPr="00862A76">
        <w:rPr>
          <w:rFonts w:ascii="Arial" w:eastAsiaTheme="minorEastAsia" w:hAnsi="Arial" w:cs="Arial"/>
        </w:rPr>
        <w:t xml:space="preserve"> is the total number of observations, </w:t>
      </w:r>
      <m:oMath>
        <m:r>
          <w:rPr>
            <w:rFonts w:ascii="Cambria Math" w:eastAsiaTheme="minorEastAsia" w:hAnsi="Cambria Math" w:cs="Arial"/>
          </w:rPr>
          <m:t>k</m:t>
        </m:r>
      </m:oMath>
      <w:r w:rsidRPr="00862A76">
        <w:rPr>
          <w:rFonts w:ascii="Arial" w:eastAsiaTheme="minorEastAsia" w:hAnsi="Arial" w:cs="Arial"/>
        </w:rPr>
        <w:t xml:space="preserve"> is the number of model parameters, and </w:t>
      </w:r>
      <m:oMath>
        <m:r>
          <w:rPr>
            <w:rFonts w:ascii="Cambria Math" w:eastAsiaTheme="minorEastAsia" w:hAnsi="Cambria Math" w:cs="Arial"/>
          </w:rPr>
          <m:t>L</m:t>
        </m:r>
      </m:oMath>
      <w:r w:rsidRPr="00862A76">
        <w:rPr>
          <w:rFonts w:ascii="Arial" w:eastAsiaTheme="minorEastAsia" w:hAnsi="Arial" w:cs="Arial"/>
        </w:rPr>
        <w:t xml:space="preserve"> is the likelihood function of the final model defined as:</w:t>
      </w:r>
    </w:p>
    <w:p w14:paraId="522E52B2" w14:textId="77777777" w:rsidR="00F86B78" w:rsidRPr="00862A76" w:rsidRDefault="00F86B78" w:rsidP="0005770B">
      <w:pPr>
        <w:jc w:val="both"/>
        <w:rPr>
          <w:rFonts w:ascii="Arial" w:eastAsiaTheme="minorEastAsia" w:hAnsi="Arial" w:cs="Arial"/>
        </w:rPr>
      </w:pPr>
      <m:oMathPara>
        <m:oMath>
          <m:r>
            <w:rPr>
              <w:rFonts w:ascii="Cambria Math" w:eastAsiaTheme="minorEastAsia" w:hAnsi="Cambria Math" w:cs="Arial"/>
            </w:rPr>
            <m:t>L=</m:t>
          </m:r>
          <m:nary>
            <m:naryPr>
              <m:chr m:val="∏"/>
              <m:limLoc m:val="undOvr"/>
              <m:ctrlPr>
                <w:rPr>
                  <w:rFonts w:ascii="Cambria Math" w:eastAsiaTheme="minorEastAsia" w:hAnsi="Cambria Math" w:cs="Arial"/>
                  <w:i/>
                </w:rPr>
              </m:ctrlPr>
            </m:naryPr>
            <m:sub>
              <m:r>
                <w:rPr>
                  <w:rFonts w:ascii="Cambria Math" w:eastAsiaTheme="minorEastAsia" w:hAnsi="Cambria Math" w:cs="Arial"/>
                </w:rPr>
                <m:t>i=0</m:t>
              </m:r>
            </m:sub>
            <m:sup>
              <m:r>
                <w:rPr>
                  <w:rFonts w:ascii="Cambria Math" w:eastAsiaTheme="minorEastAsia" w:hAnsi="Cambria Math" w:cs="Arial"/>
                </w:rPr>
                <m:t>n</m:t>
              </m:r>
            </m:sup>
            <m:e>
              <m:sSup>
                <m:sSupPr>
                  <m:ctrlPr>
                    <w:rPr>
                      <w:rFonts w:ascii="Cambria Math" w:eastAsiaTheme="minorEastAsia" w:hAnsi="Cambria Math" w:cs="Arial"/>
                      <w:i/>
                    </w:rPr>
                  </m:ctrlPr>
                </m:sSupPr>
                <m:e>
                  <m:d>
                    <m:dPr>
                      <m:ctrlPr>
                        <w:rPr>
                          <w:rFonts w:ascii="Cambria Math" w:eastAsiaTheme="minorEastAsia" w:hAnsi="Cambria Math" w:cs="Arial"/>
                          <w:i/>
                        </w:rPr>
                      </m:ctrlPr>
                    </m:dPr>
                    <m:e>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2π</m:t>
                          </m:r>
                          <m:sSubSup>
                            <m:sSubSupPr>
                              <m:ctrlPr>
                                <w:rPr>
                                  <w:rFonts w:ascii="Cambria Math" w:eastAsiaTheme="minorEastAsia" w:hAnsi="Cambria Math" w:cs="Arial"/>
                                  <w:i/>
                                </w:rPr>
                              </m:ctrlPr>
                            </m:sSubSupPr>
                            <m:e>
                              <m:r>
                                <w:rPr>
                                  <w:rFonts w:ascii="Cambria Math" w:eastAsiaTheme="minorEastAsia" w:hAnsi="Cambria Math" w:cs="Arial"/>
                                </w:rPr>
                                <m:t>σ</m:t>
                              </m:r>
                            </m:e>
                            <m:sub>
                              <m:r>
                                <w:rPr>
                                  <w:rFonts w:ascii="Cambria Math" w:eastAsiaTheme="minorEastAsia" w:hAnsi="Cambria Math" w:cs="Arial"/>
                                </w:rPr>
                                <m:t>i</m:t>
                              </m:r>
                            </m:sub>
                            <m:sup>
                              <m:r>
                                <w:rPr>
                                  <w:rFonts w:ascii="Cambria Math" w:eastAsiaTheme="minorEastAsia" w:hAnsi="Cambria Math" w:cs="Arial"/>
                                </w:rPr>
                                <m:t>2</m:t>
                              </m:r>
                            </m:sup>
                          </m:sSubSup>
                        </m:den>
                      </m:f>
                    </m:e>
                  </m:d>
                </m:e>
                <m:sup>
                  <m:f>
                    <m:fPr>
                      <m:type m:val="skw"/>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2</m:t>
                      </m:r>
                    </m:den>
                  </m:f>
                </m:sup>
              </m:sSup>
              <m:r>
                <w:rPr>
                  <w:rFonts w:ascii="Cambria Math" w:eastAsiaTheme="minorEastAsia" w:hAnsi="Cambria Math" w:cs="Arial"/>
                </w:rPr>
                <m:t>exp</m:t>
              </m:r>
              <m:d>
                <m:dPr>
                  <m:begChr m:val="["/>
                  <m:endChr m:val="]"/>
                  <m:ctrlPr>
                    <w:rPr>
                      <w:rFonts w:ascii="Cambria Math" w:eastAsiaTheme="minorEastAsia" w:hAnsi="Cambria Math" w:cs="Arial"/>
                      <w:i/>
                    </w:rPr>
                  </m:ctrlPr>
                </m:dPr>
                <m:e>
                  <m:r>
                    <w:rPr>
                      <w:rFonts w:ascii="Cambria Math" w:eastAsiaTheme="minorEastAsia" w:hAnsi="Cambria Math" w:cs="Arial"/>
                    </w:rPr>
                    <m:t>-</m:t>
                  </m:r>
                  <m:nary>
                    <m:naryPr>
                      <m:chr m:val="∑"/>
                      <m:ctrlPr>
                        <w:rPr>
                          <w:rFonts w:ascii="Cambria Math" w:eastAsiaTheme="minorEastAsia" w:hAnsi="Cambria Math" w:cs="Arial"/>
                          <w:i/>
                        </w:rPr>
                      </m:ctrlPr>
                    </m:naryPr>
                    <m:sub>
                      <m:r>
                        <w:rPr>
                          <w:rFonts w:ascii="Cambria Math" w:hAnsi="Cambria Math" w:cs="Arial"/>
                        </w:rPr>
                        <m:t>i=1</m:t>
                      </m:r>
                    </m:sub>
                    <m:sup>
                      <m:r>
                        <w:rPr>
                          <w:rFonts w:ascii="Cambria Math" w:hAnsi="Cambria Math" w:cs="Arial"/>
                        </w:rPr>
                        <m:t>n</m:t>
                      </m:r>
                    </m:sup>
                    <m:e>
                      <m:f>
                        <m:fPr>
                          <m:ctrlPr>
                            <w:rPr>
                              <w:rFonts w:ascii="Cambria Math" w:eastAsiaTheme="minorEastAsia" w:hAnsi="Cambria Math" w:cs="Arial"/>
                              <w:i/>
                            </w:rPr>
                          </m:ctrlPr>
                        </m:fPr>
                        <m:num>
                          <m:sSup>
                            <m:sSupPr>
                              <m:ctrlPr>
                                <w:rPr>
                                  <w:rFonts w:ascii="Cambria Math" w:eastAsiaTheme="minorEastAsia" w:hAnsi="Cambria Math" w:cs="Arial"/>
                                  <w:i/>
                                </w:rPr>
                              </m:ctrlPr>
                            </m:sSupPr>
                            <m:e>
                              <m:d>
                                <m:dPr>
                                  <m:ctrlPr>
                                    <w:rPr>
                                      <w:rFonts w:ascii="Cambria Math" w:eastAsiaTheme="minorEastAsia" w:hAnsi="Cambria Math" w:cs="Arial"/>
                                      <w:i/>
                                    </w:rPr>
                                  </m:ctrlPr>
                                </m:dPr>
                                <m:e>
                                  <m:sSub>
                                    <m:sSubPr>
                                      <m:ctrlPr>
                                        <w:rPr>
                                          <w:rFonts w:ascii="Cambria Math" w:eastAsiaTheme="minorEastAsia" w:hAnsi="Cambria Math" w:cs="Arial"/>
                                          <w:i/>
                                        </w:rPr>
                                      </m:ctrlPr>
                                    </m:sSubPr>
                                    <m:e>
                                      <m:r>
                                        <w:rPr>
                                          <w:rFonts w:ascii="Cambria Math" w:eastAsiaTheme="minorEastAsia" w:hAnsi="Cambria Math" w:cs="Arial"/>
                                        </w:rPr>
                                        <m:t>y</m:t>
                                      </m:r>
                                    </m:e>
                                    <m:sub>
                                      <m:r>
                                        <w:rPr>
                                          <w:rFonts w:ascii="Cambria Math" w:eastAsiaTheme="minorEastAsia" w:hAnsi="Cambria Math" w:cs="Arial"/>
                                        </w:rPr>
                                        <m:t>i</m:t>
                                      </m:r>
                                    </m:sub>
                                  </m:sSub>
                                  <m:r>
                                    <w:rPr>
                                      <w:rFonts w:ascii="Cambria Math" w:eastAsiaTheme="minorEastAsia" w:hAnsi="Cambria Math" w:cs="Arial"/>
                                    </w:rPr>
                                    <m:t>-μ</m:t>
                                  </m:r>
                                </m:e>
                              </m:d>
                            </m:e>
                            <m:sup>
                              <m:r>
                                <w:rPr>
                                  <w:rFonts w:ascii="Cambria Math" w:eastAsiaTheme="minorEastAsia" w:hAnsi="Cambria Math" w:cs="Arial"/>
                                </w:rPr>
                                <m:t>2</m:t>
                              </m:r>
                            </m:sup>
                          </m:sSup>
                        </m:num>
                        <m:den>
                          <m:r>
                            <w:rPr>
                              <w:rFonts w:ascii="Cambria Math" w:eastAsiaTheme="minorEastAsia" w:hAnsi="Cambria Math" w:cs="Arial"/>
                            </w:rPr>
                            <m:t>2</m:t>
                          </m:r>
                          <m:sSubSup>
                            <m:sSubSupPr>
                              <m:ctrlPr>
                                <w:rPr>
                                  <w:rFonts w:ascii="Cambria Math" w:eastAsiaTheme="minorEastAsia" w:hAnsi="Cambria Math" w:cs="Arial"/>
                                  <w:i/>
                                </w:rPr>
                              </m:ctrlPr>
                            </m:sSubSupPr>
                            <m:e>
                              <m:r>
                                <w:rPr>
                                  <w:rFonts w:ascii="Cambria Math" w:eastAsiaTheme="minorEastAsia" w:hAnsi="Cambria Math" w:cs="Arial"/>
                                </w:rPr>
                                <m:t>σ</m:t>
                              </m:r>
                            </m:e>
                            <m:sub>
                              <m:r>
                                <w:rPr>
                                  <w:rFonts w:ascii="Cambria Math" w:eastAsiaTheme="minorEastAsia" w:hAnsi="Cambria Math" w:cs="Arial"/>
                                </w:rPr>
                                <m:t>i</m:t>
                              </m:r>
                            </m:sub>
                            <m:sup>
                              <m:r>
                                <w:rPr>
                                  <w:rFonts w:ascii="Cambria Math" w:eastAsiaTheme="minorEastAsia" w:hAnsi="Cambria Math" w:cs="Arial"/>
                                </w:rPr>
                                <m:t>2</m:t>
                              </m:r>
                            </m:sup>
                          </m:sSubSup>
                        </m:den>
                      </m:f>
                    </m:e>
                  </m:nary>
                </m:e>
              </m:d>
            </m:e>
          </m:nary>
          <m:r>
            <w:rPr>
              <w:rFonts w:ascii="Cambria Math" w:eastAsiaTheme="minorEastAsia" w:hAnsi="Cambria Math" w:cs="Arial"/>
            </w:rPr>
            <m:t xml:space="preserve">                                                                         (12)</m:t>
          </m:r>
        </m:oMath>
      </m:oMathPara>
    </w:p>
    <w:p w14:paraId="562755D2" w14:textId="77777777" w:rsidR="00F86B78" w:rsidRPr="00862A76" w:rsidRDefault="001E2E8F" w:rsidP="00F86B78">
      <w:pPr>
        <w:jc w:val="both"/>
        <w:rPr>
          <w:rFonts w:ascii="Arial" w:eastAsiaTheme="minorEastAsia" w:hAnsi="Arial" w:cs="Arial"/>
        </w:rPr>
      </w:pPr>
      <m:oMathPara>
        <m:oMath>
          <m:func>
            <m:funcPr>
              <m:ctrlPr>
                <w:rPr>
                  <w:rFonts w:ascii="Cambria Math" w:eastAsiaTheme="minorEastAsia" w:hAnsi="Cambria Math" w:cs="Arial"/>
                </w:rPr>
              </m:ctrlPr>
            </m:funcPr>
            <m:fName>
              <m:r>
                <m:rPr>
                  <m:sty m:val="p"/>
                </m:rPr>
                <w:rPr>
                  <w:rFonts w:ascii="Cambria Math" w:eastAsiaTheme="minorEastAsia" w:hAnsi="Cambria Math" w:cs="Arial"/>
                </w:rPr>
                <m:t>ln</m:t>
              </m:r>
            </m:fName>
            <m:e>
              <m:d>
                <m:dPr>
                  <m:ctrlPr>
                    <w:rPr>
                      <w:rFonts w:ascii="Cambria Math" w:eastAsiaTheme="minorEastAsia" w:hAnsi="Cambria Math" w:cs="Arial"/>
                      <w:i/>
                    </w:rPr>
                  </m:ctrlPr>
                </m:dPr>
                <m:e>
                  <m:r>
                    <w:rPr>
                      <w:rFonts w:ascii="Cambria Math" w:eastAsiaTheme="minorEastAsia" w:hAnsi="Cambria Math" w:cs="Arial"/>
                    </w:rPr>
                    <m:t>L</m:t>
                  </m:r>
                </m:e>
              </m:d>
            </m:e>
          </m:func>
          <m:r>
            <w:rPr>
              <w:rFonts w:ascii="Cambria Math" w:eastAsiaTheme="minorEastAsia" w:hAnsi="Cambria Math" w:cs="Arial"/>
            </w:rPr>
            <m:t>=</m:t>
          </m:r>
          <m:r>
            <w:rPr>
              <w:rFonts w:ascii="Cambria Math" w:eastAsiaTheme="minorEastAsia" w:hAnsi="Cambria Math" w:cs="Arial"/>
            </w:rPr>
            <m:t>In</m:t>
          </m:r>
          <m:d>
            <m:dPr>
              <m:begChr m:val="["/>
              <m:endChr m:val="]"/>
              <m:ctrlPr>
                <w:rPr>
                  <w:rFonts w:ascii="Cambria Math" w:eastAsiaTheme="minorEastAsia" w:hAnsi="Cambria Math" w:cs="Arial"/>
                  <w:i/>
                </w:rPr>
              </m:ctrlPr>
            </m:dPr>
            <m:e>
              <m:nary>
                <m:naryPr>
                  <m:chr m:val="∏"/>
                  <m:limLoc m:val="undOvr"/>
                  <m:ctrlPr>
                    <w:rPr>
                      <w:rFonts w:ascii="Cambria Math" w:eastAsiaTheme="minorEastAsia" w:hAnsi="Cambria Math" w:cs="Arial"/>
                      <w:i/>
                    </w:rPr>
                  </m:ctrlPr>
                </m:naryPr>
                <m:sub>
                  <m:r>
                    <w:rPr>
                      <w:rFonts w:ascii="Cambria Math" w:eastAsiaTheme="minorEastAsia" w:hAnsi="Cambria Math" w:cs="Arial"/>
                    </w:rPr>
                    <m:t>i</m:t>
                  </m:r>
                  <m:r>
                    <w:rPr>
                      <w:rFonts w:ascii="Cambria Math" w:eastAsiaTheme="minorEastAsia" w:hAnsi="Cambria Math" w:cs="Arial"/>
                    </w:rPr>
                    <m:t>=1</m:t>
                  </m:r>
                </m:sub>
                <m:sup>
                  <m:r>
                    <w:rPr>
                      <w:rFonts w:ascii="Cambria Math" w:eastAsiaTheme="minorEastAsia" w:hAnsi="Cambria Math" w:cs="Arial"/>
                    </w:rPr>
                    <m:t>n</m:t>
                  </m:r>
                </m:sup>
                <m:e>
                  <m:sSup>
                    <m:sSupPr>
                      <m:ctrlPr>
                        <w:rPr>
                          <w:rFonts w:ascii="Cambria Math" w:eastAsiaTheme="minorEastAsia" w:hAnsi="Cambria Math" w:cs="Arial"/>
                          <w:i/>
                        </w:rPr>
                      </m:ctrlPr>
                    </m:sSupPr>
                    <m:e>
                      <m:d>
                        <m:dPr>
                          <m:ctrlPr>
                            <w:rPr>
                              <w:rFonts w:ascii="Cambria Math" w:eastAsiaTheme="minorEastAsia" w:hAnsi="Cambria Math" w:cs="Arial"/>
                              <w:i/>
                            </w:rPr>
                          </m:ctrlPr>
                        </m:dPr>
                        <m:e>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2</m:t>
                              </m:r>
                              <m:r>
                                <w:rPr>
                                  <w:rFonts w:ascii="Cambria Math" w:eastAsiaTheme="minorEastAsia" w:hAnsi="Cambria Math" w:cs="Arial"/>
                                </w:rPr>
                                <m:t>π</m:t>
                              </m:r>
                              <m:sSubSup>
                                <m:sSubSupPr>
                                  <m:ctrlPr>
                                    <w:rPr>
                                      <w:rFonts w:ascii="Cambria Math" w:eastAsiaTheme="minorEastAsia" w:hAnsi="Cambria Math" w:cs="Arial"/>
                                      <w:i/>
                                    </w:rPr>
                                  </m:ctrlPr>
                                </m:sSubSupPr>
                                <m:e>
                                  <m:r>
                                    <w:rPr>
                                      <w:rFonts w:ascii="Cambria Math" w:eastAsiaTheme="minorEastAsia" w:hAnsi="Cambria Math" w:cs="Arial"/>
                                    </w:rPr>
                                    <m:t>σ</m:t>
                                  </m:r>
                                </m:e>
                                <m:sub>
                                  <m:r>
                                    <w:rPr>
                                      <w:rFonts w:ascii="Cambria Math" w:eastAsiaTheme="minorEastAsia" w:hAnsi="Cambria Math" w:cs="Arial"/>
                                    </w:rPr>
                                    <m:t>i</m:t>
                                  </m:r>
                                </m:sub>
                                <m:sup>
                                  <m:r>
                                    <w:rPr>
                                      <w:rFonts w:ascii="Cambria Math" w:eastAsiaTheme="minorEastAsia" w:hAnsi="Cambria Math" w:cs="Arial"/>
                                    </w:rPr>
                                    <m:t>2</m:t>
                                  </m:r>
                                </m:sup>
                              </m:sSubSup>
                            </m:den>
                          </m:f>
                        </m:e>
                      </m:d>
                    </m:e>
                    <m:sup>
                      <m:f>
                        <m:fPr>
                          <m:type m:val="skw"/>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2</m:t>
                          </m:r>
                        </m:den>
                      </m:f>
                    </m:sup>
                  </m:sSup>
                </m:e>
              </m:nary>
            </m:e>
          </m:d>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2</m:t>
              </m:r>
            </m:den>
          </m:f>
          <m:nary>
            <m:naryPr>
              <m:chr m:val="∑"/>
              <m:ctrlPr>
                <w:rPr>
                  <w:rFonts w:ascii="Cambria Math" w:eastAsiaTheme="minorEastAsia" w:hAnsi="Cambria Math" w:cs="Arial"/>
                  <w:i/>
                </w:rPr>
              </m:ctrlPr>
            </m:naryPr>
            <m:sub>
              <m:r>
                <w:rPr>
                  <w:rFonts w:ascii="Cambria Math" w:hAnsi="Cambria Math" w:cs="Arial"/>
                </w:rPr>
                <m:t>i</m:t>
              </m:r>
              <m:r>
                <w:rPr>
                  <w:rFonts w:ascii="Cambria Math" w:hAnsi="Cambria Math" w:cs="Arial"/>
                </w:rPr>
                <m:t>=1</m:t>
              </m:r>
            </m:sub>
            <m:sup>
              <m:r>
                <w:rPr>
                  <w:rFonts w:ascii="Cambria Math" w:hAnsi="Cambria Math" w:cs="Arial"/>
                </w:rPr>
                <m:t>n</m:t>
              </m:r>
            </m:sup>
            <m:e>
              <m:f>
                <m:fPr>
                  <m:ctrlPr>
                    <w:rPr>
                      <w:rFonts w:ascii="Cambria Math" w:eastAsiaTheme="minorEastAsia" w:hAnsi="Cambria Math" w:cs="Arial"/>
                      <w:i/>
                    </w:rPr>
                  </m:ctrlPr>
                </m:fPr>
                <m:num>
                  <m:sSup>
                    <m:sSupPr>
                      <m:ctrlPr>
                        <w:rPr>
                          <w:rFonts w:ascii="Cambria Math" w:eastAsiaTheme="minorEastAsia" w:hAnsi="Cambria Math" w:cs="Arial"/>
                          <w:i/>
                        </w:rPr>
                      </m:ctrlPr>
                    </m:sSupPr>
                    <m:e>
                      <m:d>
                        <m:dPr>
                          <m:ctrlPr>
                            <w:rPr>
                              <w:rFonts w:ascii="Cambria Math" w:eastAsiaTheme="minorEastAsia" w:hAnsi="Cambria Math" w:cs="Arial"/>
                              <w:i/>
                            </w:rPr>
                          </m:ctrlPr>
                        </m:dPr>
                        <m:e>
                          <m:sSub>
                            <m:sSubPr>
                              <m:ctrlPr>
                                <w:rPr>
                                  <w:rFonts w:ascii="Cambria Math" w:eastAsiaTheme="minorEastAsia" w:hAnsi="Cambria Math" w:cs="Arial"/>
                                  <w:i/>
                                </w:rPr>
                              </m:ctrlPr>
                            </m:sSubPr>
                            <m:e>
                              <m:r>
                                <w:rPr>
                                  <w:rFonts w:ascii="Cambria Math" w:eastAsiaTheme="minorEastAsia" w:hAnsi="Cambria Math" w:cs="Arial"/>
                                </w:rPr>
                                <m:t>y</m:t>
                              </m:r>
                            </m:e>
                            <m:sub>
                              <m:r>
                                <w:rPr>
                                  <w:rFonts w:ascii="Cambria Math" w:eastAsiaTheme="minorEastAsia" w:hAnsi="Cambria Math" w:cs="Arial"/>
                                </w:rPr>
                                <m:t>i</m:t>
                              </m:r>
                            </m:sub>
                          </m:sSub>
                          <m:r>
                            <w:rPr>
                              <w:rFonts w:ascii="Cambria Math" w:eastAsiaTheme="minorEastAsia" w:hAnsi="Cambria Math" w:cs="Arial"/>
                            </w:rPr>
                            <m:t>-</m:t>
                          </m:r>
                          <m:r>
                            <w:rPr>
                              <w:rFonts w:ascii="Cambria Math" w:eastAsiaTheme="minorEastAsia" w:hAnsi="Cambria Math" w:cs="Arial"/>
                            </w:rPr>
                            <m:t>μ</m:t>
                          </m:r>
                        </m:e>
                      </m:d>
                    </m:e>
                    <m:sup>
                      <m:r>
                        <w:rPr>
                          <w:rFonts w:ascii="Cambria Math" w:eastAsiaTheme="minorEastAsia" w:hAnsi="Cambria Math" w:cs="Arial"/>
                        </w:rPr>
                        <m:t>2</m:t>
                      </m:r>
                    </m:sup>
                  </m:sSup>
                </m:num>
                <m:den>
                  <m:sSubSup>
                    <m:sSubSupPr>
                      <m:ctrlPr>
                        <w:rPr>
                          <w:rFonts w:ascii="Cambria Math" w:eastAsiaTheme="minorEastAsia" w:hAnsi="Cambria Math" w:cs="Arial"/>
                          <w:i/>
                        </w:rPr>
                      </m:ctrlPr>
                    </m:sSubSupPr>
                    <m:e>
                      <m:r>
                        <w:rPr>
                          <w:rFonts w:ascii="Cambria Math" w:eastAsiaTheme="minorEastAsia" w:hAnsi="Cambria Math" w:cs="Arial"/>
                        </w:rPr>
                        <m:t>σ</m:t>
                      </m:r>
                    </m:e>
                    <m:sub>
                      <m:r>
                        <w:rPr>
                          <w:rFonts w:ascii="Cambria Math" w:eastAsiaTheme="minorEastAsia" w:hAnsi="Cambria Math" w:cs="Arial"/>
                        </w:rPr>
                        <m:t>i</m:t>
                      </m:r>
                    </m:sub>
                    <m:sup>
                      <m:r>
                        <w:rPr>
                          <w:rFonts w:ascii="Cambria Math" w:eastAsiaTheme="minorEastAsia" w:hAnsi="Cambria Math" w:cs="Arial"/>
                        </w:rPr>
                        <m:t>2</m:t>
                      </m:r>
                    </m:sup>
                  </m:sSubSup>
                </m:den>
              </m:f>
            </m:e>
          </m:nary>
          <m:r>
            <w:rPr>
              <w:rFonts w:ascii="Cambria Math" w:eastAsiaTheme="minorEastAsia" w:hAnsi="Cambria Math" w:cs="Arial"/>
            </w:rPr>
            <m:t xml:space="preserve">                                                                (13)</m:t>
          </m:r>
        </m:oMath>
      </m:oMathPara>
    </w:p>
    <w:p w14:paraId="3E144D5A" w14:textId="77777777" w:rsidR="004658C6" w:rsidRPr="00862A76" w:rsidRDefault="00F86B78" w:rsidP="00F86B78">
      <w:pPr>
        <w:pStyle w:val="Body"/>
        <w:spacing w:after="0"/>
        <w:rPr>
          <w:rFonts w:ascii="Arial" w:hAnsi="Arial" w:cs="Arial"/>
        </w:rPr>
      </w:pPr>
      <w:r w:rsidRPr="00862A76">
        <w:t>Among a set of estimated count data regression models fitted to the same dataset, the preferred model is generally the one with the lowest information-criterion values and the highest log-likelihood.</w:t>
      </w:r>
    </w:p>
    <w:p w14:paraId="2BE85D66" w14:textId="77777777" w:rsidR="004658C6" w:rsidRPr="00862A76" w:rsidRDefault="004658C6" w:rsidP="004658C6">
      <w:pPr>
        <w:pStyle w:val="Head1"/>
        <w:spacing w:after="0"/>
        <w:jc w:val="both"/>
        <w:rPr>
          <w:rFonts w:ascii="Arial" w:hAnsi="Arial" w:cs="Arial"/>
        </w:rPr>
      </w:pPr>
      <w:r w:rsidRPr="00862A76">
        <w:t>3. RESULTS AND DISCUSSION</w:t>
      </w:r>
    </w:p>
    <w:p w14:paraId="0C53D485" w14:textId="77777777" w:rsidR="004658C6" w:rsidRPr="00862A76" w:rsidRDefault="004658C6" w:rsidP="004658C6">
      <w:pPr>
        <w:pStyle w:val="Head1"/>
        <w:spacing w:after="0"/>
        <w:jc w:val="both"/>
        <w:rPr>
          <w:rFonts w:ascii="Arial" w:hAnsi="Arial" w:cs="Arial"/>
        </w:rPr>
      </w:pPr>
    </w:p>
    <w:p w14:paraId="070CAA37" w14:textId="77777777" w:rsidR="00F86B78" w:rsidRPr="00862A76" w:rsidRDefault="00756351" w:rsidP="00756351">
      <w:pPr>
        <w:jc w:val="both"/>
        <w:rPr>
          <w:rFonts w:ascii="Arial" w:hAnsi="Arial" w:cs="Arial"/>
          <w:b/>
        </w:rPr>
      </w:pPr>
      <w:r w:rsidRPr="00862A76">
        <w:rPr>
          <w:b/>
        </w:rPr>
        <w:t>3.1 Descriptive Statistics of Diabetes Cases in Benue State</w:t>
      </w:r>
    </w:p>
    <w:p w14:paraId="0BEAC6CB" w14:textId="77777777" w:rsidR="00F86B78" w:rsidRPr="00862A76" w:rsidRDefault="00F86B78" w:rsidP="00756351">
      <w:pPr>
        <w:jc w:val="both"/>
        <w:rPr>
          <w:rFonts w:ascii="Arial" w:hAnsi="Arial" w:cs="Arial"/>
        </w:rPr>
      </w:pPr>
      <w:r w:rsidRPr="00862A76">
        <w:t>The summary statistics for confirmed, active, severe, and death cases of diabetes mellitus in Benue State were computed and are reported in Table 1.</w:t>
      </w:r>
    </w:p>
    <w:p w14:paraId="48D8FFCF" w14:textId="77777777" w:rsidR="00F86B78" w:rsidRPr="00862A76" w:rsidRDefault="00F86B78" w:rsidP="00756351">
      <w:pPr>
        <w:jc w:val="both"/>
        <w:rPr>
          <w:rFonts w:ascii="Arial" w:hAnsi="Arial" w:cs="Arial"/>
          <w:b/>
        </w:rPr>
      </w:pPr>
      <w:r w:rsidRPr="00862A76">
        <w:rPr>
          <w:rFonts w:ascii="Arial" w:hAnsi="Arial" w:cs="Arial"/>
          <w:b/>
        </w:rPr>
        <w:t xml:space="preserve">Table 1: Descriptive Statistics of Study Variables </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674"/>
        <w:gridCol w:w="1714"/>
        <w:gridCol w:w="1602"/>
        <w:gridCol w:w="1615"/>
        <w:gridCol w:w="1603"/>
      </w:tblGrid>
      <w:tr w:rsidR="00F86B78" w:rsidRPr="00862A76" w14:paraId="5EDE472A" w14:textId="77777777" w:rsidTr="00D66510">
        <w:tc>
          <w:tcPr>
            <w:tcW w:w="1915" w:type="dxa"/>
            <w:tcBorders>
              <w:top w:val="single" w:sz="4" w:space="0" w:color="auto"/>
              <w:bottom w:val="single" w:sz="4" w:space="0" w:color="auto"/>
            </w:tcBorders>
          </w:tcPr>
          <w:p w14:paraId="47DA8C87" w14:textId="77777777" w:rsidR="00F86B78" w:rsidRPr="00862A76" w:rsidRDefault="00F86B78" w:rsidP="00D66510">
            <w:pPr>
              <w:rPr>
                <w:rFonts w:ascii="Arial" w:hAnsi="Arial" w:cs="Arial"/>
                <w:b/>
              </w:rPr>
            </w:pPr>
            <w:r w:rsidRPr="00862A76">
              <w:rPr>
                <w:rFonts w:ascii="Arial" w:hAnsi="Arial" w:cs="Arial"/>
                <w:b/>
              </w:rPr>
              <w:t xml:space="preserve">Variable </w:t>
            </w:r>
          </w:p>
        </w:tc>
        <w:tc>
          <w:tcPr>
            <w:tcW w:w="1915" w:type="dxa"/>
            <w:tcBorders>
              <w:top w:val="single" w:sz="4" w:space="0" w:color="auto"/>
              <w:bottom w:val="single" w:sz="4" w:space="0" w:color="auto"/>
            </w:tcBorders>
          </w:tcPr>
          <w:p w14:paraId="264DF933" w14:textId="77777777" w:rsidR="00F86B78" w:rsidRPr="00862A76" w:rsidRDefault="00F86B78" w:rsidP="00D66510">
            <w:pPr>
              <w:jc w:val="center"/>
              <w:rPr>
                <w:rFonts w:ascii="Arial" w:hAnsi="Arial" w:cs="Arial"/>
                <w:b/>
              </w:rPr>
            </w:pPr>
            <w:r w:rsidRPr="00862A76">
              <w:rPr>
                <w:rFonts w:ascii="Arial" w:hAnsi="Arial" w:cs="Arial"/>
                <w:b/>
              </w:rPr>
              <w:t>Confirmed Cases</w:t>
            </w:r>
          </w:p>
        </w:tc>
        <w:tc>
          <w:tcPr>
            <w:tcW w:w="1915" w:type="dxa"/>
            <w:tcBorders>
              <w:top w:val="single" w:sz="4" w:space="0" w:color="auto"/>
              <w:bottom w:val="single" w:sz="4" w:space="0" w:color="auto"/>
            </w:tcBorders>
          </w:tcPr>
          <w:p w14:paraId="185DF16C" w14:textId="77777777" w:rsidR="00F86B78" w:rsidRPr="00862A76" w:rsidRDefault="00F86B78" w:rsidP="00D66510">
            <w:pPr>
              <w:jc w:val="center"/>
              <w:rPr>
                <w:rFonts w:ascii="Arial" w:hAnsi="Arial" w:cs="Arial"/>
                <w:b/>
              </w:rPr>
            </w:pPr>
            <w:r w:rsidRPr="00862A76">
              <w:rPr>
                <w:rFonts w:ascii="Arial" w:hAnsi="Arial" w:cs="Arial"/>
                <w:b/>
              </w:rPr>
              <w:t>Active Cases</w:t>
            </w:r>
          </w:p>
        </w:tc>
        <w:tc>
          <w:tcPr>
            <w:tcW w:w="1915" w:type="dxa"/>
            <w:tcBorders>
              <w:top w:val="single" w:sz="4" w:space="0" w:color="auto"/>
              <w:bottom w:val="single" w:sz="4" w:space="0" w:color="auto"/>
            </w:tcBorders>
          </w:tcPr>
          <w:p w14:paraId="6703722E" w14:textId="77777777" w:rsidR="00F86B78" w:rsidRPr="00862A76" w:rsidRDefault="00F86B78" w:rsidP="00D66510">
            <w:pPr>
              <w:jc w:val="center"/>
              <w:rPr>
                <w:rFonts w:ascii="Arial" w:hAnsi="Arial" w:cs="Arial"/>
                <w:b/>
              </w:rPr>
            </w:pPr>
            <w:r w:rsidRPr="00862A76">
              <w:rPr>
                <w:rFonts w:ascii="Arial" w:hAnsi="Arial" w:cs="Arial"/>
                <w:b/>
              </w:rPr>
              <w:t>Severe Cases</w:t>
            </w:r>
          </w:p>
        </w:tc>
        <w:tc>
          <w:tcPr>
            <w:tcW w:w="1916" w:type="dxa"/>
            <w:tcBorders>
              <w:top w:val="single" w:sz="4" w:space="0" w:color="auto"/>
              <w:bottom w:val="single" w:sz="4" w:space="0" w:color="auto"/>
            </w:tcBorders>
          </w:tcPr>
          <w:p w14:paraId="0A404686" w14:textId="77777777" w:rsidR="00F86B78" w:rsidRPr="00862A76" w:rsidRDefault="00F86B78" w:rsidP="00D66510">
            <w:pPr>
              <w:jc w:val="center"/>
              <w:rPr>
                <w:rFonts w:ascii="Arial" w:hAnsi="Arial" w:cs="Arial"/>
                <w:b/>
              </w:rPr>
            </w:pPr>
            <w:r w:rsidRPr="00862A76">
              <w:rPr>
                <w:rFonts w:ascii="Arial" w:hAnsi="Arial" w:cs="Arial"/>
                <w:b/>
              </w:rPr>
              <w:t>Death Cases</w:t>
            </w:r>
          </w:p>
        </w:tc>
      </w:tr>
      <w:tr w:rsidR="00F86B78" w:rsidRPr="00862A76" w14:paraId="21B5354A" w14:textId="77777777" w:rsidTr="00D66510">
        <w:tc>
          <w:tcPr>
            <w:tcW w:w="1915" w:type="dxa"/>
            <w:tcBorders>
              <w:top w:val="single" w:sz="4" w:space="0" w:color="auto"/>
            </w:tcBorders>
          </w:tcPr>
          <w:p w14:paraId="105CF0D9" w14:textId="77777777" w:rsidR="00F86B78" w:rsidRPr="00862A76" w:rsidRDefault="00F86B78" w:rsidP="00D66510">
            <w:pPr>
              <w:rPr>
                <w:rFonts w:ascii="Arial" w:hAnsi="Arial" w:cs="Arial"/>
              </w:rPr>
            </w:pPr>
            <w:r w:rsidRPr="00862A76">
              <w:rPr>
                <w:rFonts w:ascii="Arial" w:hAnsi="Arial" w:cs="Arial"/>
              </w:rPr>
              <w:t xml:space="preserve">Mean </w:t>
            </w:r>
          </w:p>
        </w:tc>
        <w:tc>
          <w:tcPr>
            <w:tcW w:w="1915" w:type="dxa"/>
            <w:tcBorders>
              <w:top w:val="single" w:sz="4" w:space="0" w:color="auto"/>
            </w:tcBorders>
          </w:tcPr>
          <w:p w14:paraId="58907F76" w14:textId="77777777" w:rsidR="00F86B78" w:rsidRPr="00862A76" w:rsidRDefault="00F86B78" w:rsidP="00D66510">
            <w:pPr>
              <w:jc w:val="center"/>
              <w:rPr>
                <w:rFonts w:ascii="Arial" w:hAnsi="Arial" w:cs="Arial"/>
              </w:rPr>
            </w:pPr>
            <w:r w:rsidRPr="00862A76">
              <w:rPr>
                <w:rFonts w:ascii="Arial" w:hAnsi="Arial" w:cs="Arial"/>
              </w:rPr>
              <w:t>1189.8</w:t>
            </w:r>
          </w:p>
        </w:tc>
        <w:tc>
          <w:tcPr>
            <w:tcW w:w="1915" w:type="dxa"/>
            <w:tcBorders>
              <w:top w:val="single" w:sz="4" w:space="0" w:color="auto"/>
            </w:tcBorders>
          </w:tcPr>
          <w:p w14:paraId="3A76A869" w14:textId="77777777" w:rsidR="00F86B78" w:rsidRPr="00862A76" w:rsidRDefault="00F86B78" w:rsidP="00D66510">
            <w:pPr>
              <w:jc w:val="center"/>
              <w:rPr>
                <w:rFonts w:ascii="Arial" w:hAnsi="Arial" w:cs="Arial"/>
              </w:rPr>
            </w:pPr>
            <w:r w:rsidRPr="00862A76">
              <w:rPr>
                <w:rFonts w:ascii="Arial" w:hAnsi="Arial" w:cs="Arial"/>
              </w:rPr>
              <w:t>804.43</w:t>
            </w:r>
          </w:p>
        </w:tc>
        <w:tc>
          <w:tcPr>
            <w:tcW w:w="1915" w:type="dxa"/>
            <w:tcBorders>
              <w:top w:val="single" w:sz="4" w:space="0" w:color="auto"/>
            </w:tcBorders>
          </w:tcPr>
          <w:p w14:paraId="7527961D" w14:textId="77777777" w:rsidR="00F86B78" w:rsidRPr="00862A76" w:rsidRDefault="00F86B78" w:rsidP="00D66510">
            <w:pPr>
              <w:jc w:val="center"/>
              <w:rPr>
                <w:rFonts w:ascii="Arial" w:hAnsi="Arial" w:cs="Arial"/>
              </w:rPr>
            </w:pPr>
            <w:r w:rsidRPr="00862A76">
              <w:rPr>
                <w:rFonts w:ascii="Arial" w:hAnsi="Arial" w:cs="Arial"/>
              </w:rPr>
              <w:t>296.18</w:t>
            </w:r>
          </w:p>
        </w:tc>
        <w:tc>
          <w:tcPr>
            <w:tcW w:w="1916" w:type="dxa"/>
            <w:tcBorders>
              <w:top w:val="single" w:sz="4" w:space="0" w:color="auto"/>
            </w:tcBorders>
          </w:tcPr>
          <w:p w14:paraId="0AB6CBCD" w14:textId="77777777" w:rsidR="00F86B78" w:rsidRPr="00862A76" w:rsidRDefault="00F86B78" w:rsidP="00D66510">
            <w:pPr>
              <w:jc w:val="center"/>
              <w:rPr>
                <w:rFonts w:ascii="Arial" w:hAnsi="Arial" w:cs="Arial"/>
              </w:rPr>
            </w:pPr>
            <w:r w:rsidRPr="00862A76">
              <w:rPr>
                <w:rFonts w:ascii="Arial" w:hAnsi="Arial" w:cs="Arial"/>
              </w:rPr>
              <w:t>81.978</w:t>
            </w:r>
          </w:p>
        </w:tc>
      </w:tr>
      <w:tr w:rsidR="00F86B78" w:rsidRPr="00862A76" w14:paraId="76D83F4A" w14:textId="77777777" w:rsidTr="00D66510">
        <w:tc>
          <w:tcPr>
            <w:tcW w:w="1915" w:type="dxa"/>
          </w:tcPr>
          <w:p w14:paraId="3FCA2C1A" w14:textId="77777777" w:rsidR="00F86B78" w:rsidRPr="00862A76" w:rsidRDefault="00F86B78" w:rsidP="00D66510">
            <w:pPr>
              <w:rPr>
                <w:rFonts w:ascii="Arial" w:hAnsi="Arial" w:cs="Arial"/>
              </w:rPr>
            </w:pPr>
            <w:r w:rsidRPr="00862A76">
              <w:rPr>
                <w:rFonts w:ascii="Arial" w:hAnsi="Arial" w:cs="Arial"/>
              </w:rPr>
              <w:t>SE Mean</w:t>
            </w:r>
          </w:p>
        </w:tc>
        <w:tc>
          <w:tcPr>
            <w:tcW w:w="1915" w:type="dxa"/>
          </w:tcPr>
          <w:p w14:paraId="4A0AC194" w14:textId="77777777" w:rsidR="00F86B78" w:rsidRPr="00862A76" w:rsidRDefault="00F86B78" w:rsidP="00D66510">
            <w:pPr>
              <w:jc w:val="center"/>
              <w:rPr>
                <w:rFonts w:ascii="Arial" w:hAnsi="Arial" w:cs="Arial"/>
              </w:rPr>
            </w:pPr>
            <w:r w:rsidRPr="00862A76">
              <w:rPr>
                <w:rFonts w:ascii="Arial" w:hAnsi="Arial" w:cs="Arial"/>
              </w:rPr>
              <w:t>3.06</w:t>
            </w:r>
          </w:p>
        </w:tc>
        <w:tc>
          <w:tcPr>
            <w:tcW w:w="1915" w:type="dxa"/>
          </w:tcPr>
          <w:p w14:paraId="19B12655" w14:textId="77777777" w:rsidR="00F86B78" w:rsidRPr="00862A76" w:rsidRDefault="00F86B78" w:rsidP="00D66510">
            <w:pPr>
              <w:jc w:val="center"/>
              <w:rPr>
                <w:rFonts w:ascii="Arial" w:hAnsi="Arial" w:cs="Arial"/>
              </w:rPr>
            </w:pPr>
            <w:r w:rsidRPr="00862A76">
              <w:rPr>
                <w:rFonts w:ascii="Arial" w:hAnsi="Arial" w:cs="Arial"/>
              </w:rPr>
              <w:t>6.58</w:t>
            </w:r>
          </w:p>
        </w:tc>
        <w:tc>
          <w:tcPr>
            <w:tcW w:w="1915" w:type="dxa"/>
          </w:tcPr>
          <w:p w14:paraId="3C183D02" w14:textId="77777777" w:rsidR="00F86B78" w:rsidRPr="00862A76" w:rsidRDefault="00F86B78" w:rsidP="00D66510">
            <w:pPr>
              <w:jc w:val="center"/>
              <w:rPr>
                <w:rFonts w:ascii="Arial" w:hAnsi="Arial" w:cs="Arial"/>
              </w:rPr>
            </w:pPr>
            <w:r w:rsidRPr="00862A76">
              <w:rPr>
                <w:rFonts w:ascii="Arial" w:hAnsi="Arial" w:cs="Arial"/>
              </w:rPr>
              <w:t>3.47</w:t>
            </w:r>
          </w:p>
        </w:tc>
        <w:tc>
          <w:tcPr>
            <w:tcW w:w="1916" w:type="dxa"/>
          </w:tcPr>
          <w:p w14:paraId="08E93D10" w14:textId="77777777" w:rsidR="00F86B78" w:rsidRPr="00862A76" w:rsidRDefault="00F86B78" w:rsidP="00D66510">
            <w:pPr>
              <w:jc w:val="center"/>
              <w:rPr>
                <w:rFonts w:ascii="Arial" w:hAnsi="Arial" w:cs="Arial"/>
              </w:rPr>
            </w:pPr>
            <w:r w:rsidRPr="00862A76">
              <w:rPr>
                <w:rFonts w:ascii="Arial" w:hAnsi="Arial" w:cs="Arial"/>
              </w:rPr>
              <w:t>0.874</w:t>
            </w:r>
          </w:p>
        </w:tc>
      </w:tr>
      <w:tr w:rsidR="00F86B78" w:rsidRPr="00862A76" w14:paraId="13D01DD1" w14:textId="77777777" w:rsidTr="00D66510">
        <w:tc>
          <w:tcPr>
            <w:tcW w:w="1915" w:type="dxa"/>
          </w:tcPr>
          <w:p w14:paraId="6100E7BA" w14:textId="77777777" w:rsidR="00F86B78" w:rsidRPr="00862A76" w:rsidRDefault="00F86B78" w:rsidP="00D66510">
            <w:pPr>
              <w:rPr>
                <w:rFonts w:ascii="Arial" w:hAnsi="Arial" w:cs="Arial"/>
              </w:rPr>
            </w:pPr>
            <w:r w:rsidRPr="00862A76">
              <w:rPr>
                <w:rFonts w:ascii="Arial" w:hAnsi="Arial" w:cs="Arial"/>
              </w:rPr>
              <w:t xml:space="preserve">Std Deviation </w:t>
            </w:r>
          </w:p>
        </w:tc>
        <w:tc>
          <w:tcPr>
            <w:tcW w:w="1915" w:type="dxa"/>
          </w:tcPr>
          <w:p w14:paraId="7AC6AF7F" w14:textId="77777777" w:rsidR="00F86B78" w:rsidRPr="00862A76" w:rsidRDefault="00F86B78" w:rsidP="00D66510">
            <w:pPr>
              <w:jc w:val="center"/>
              <w:rPr>
                <w:rFonts w:ascii="Arial" w:hAnsi="Arial" w:cs="Arial"/>
              </w:rPr>
            </w:pPr>
            <w:r w:rsidRPr="00862A76">
              <w:rPr>
                <w:rFonts w:ascii="Arial" w:hAnsi="Arial" w:cs="Arial"/>
              </w:rPr>
              <w:t>46.3</w:t>
            </w:r>
          </w:p>
        </w:tc>
        <w:tc>
          <w:tcPr>
            <w:tcW w:w="1915" w:type="dxa"/>
          </w:tcPr>
          <w:p w14:paraId="33478EAD" w14:textId="77777777" w:rsidR="00F86B78" w:rsidRPr="00862A76" w:rsidRDefault="00F86B78" w:rsidP="00D66510">
            <w:pPr>
              <w:jc w:val="center"/>
              <w:rPr>
                <w:rFonts w:ascii="Arial" w:hAnsi="Arial" w:cs="Arial"/>
              </w:rPr>
            </w:pPr>
            <w:r w:rsidRPr="00862A76">
              <w:rPr>
                <w:rFonts w:ascii="Arial" w:hAnsi="Arial" w:cs="Arial"/>
              </w:rPr>
              <w:t>99.32</w:t>
            </w:r>
          </w:p>
        </w:tc>
        <w:tc>
          <w:tcPr>
            <w:tcW w:w="1915" w:type="dxa"/>
          </w:tcPr>
          <w:p w14:paraId="5B396048" w14:textId="77777777" w:rsidR="00F86B78" w:rsidRPr="00862A76" w:rsidRDefault="00F86B78" w:rsidP="00D66510">
            <w:pPr>
              <w:jc w:val="center"/>
              <w:rPr>
                <w:rFonts w:ascii="Arial" w:hAnsi="Arial" w:cs="Arial"/>
              </w:rPr>
            </w:pPr>
            <w:r w:rsidRPr="00862A76">
              <w:rPr>
                <w:rFonts w:ascii="Arial" w:hAnsi="Arial" w:cs="Arial"/>
              </w:rPr>
              <w:t>52.39</w:t>
            </w:r>
          </w:p>
        </w:tc>
        <w:tc>
          <w:tcPr>
            <w:tcW w:w="1916" w:type="dxa"/>
          </w:tcPr>
          <w:p w14:paraId="432F9767" w14:textId="77777777" w:rsidR="00F86B78" w:rsidRPr="00862A76" w:rsidRDefault="00F86B78" w:rsidP="00D66510">
            <w:pPr>
              <w:jc w:val="center"/>
              <w:rPr>
                <w:rFonts w:ascii="Arial" w:hAnsi="Arial" w:cs="Arial"/>
              </w:rPr>
            </w:pPr>
            <w:r w:rsidRPr="00862A76">
              <w:rPr>
                <w:rFonts w:ascii="Arial" w:hAnsi="Arial" w:cs="Arial"/>
              </w:rPr>
              <w:t>13.201</w:t>
            </w:r>
          </w:p>
        </w:tc>
      </w:tr>
      <w:tr w:rsidR="00F86B78" w:rsidRPr="00862A76" w14:paraId="4DEDA568" w14:textId="77777777" w:rsidTr="00D66510">
        <w:tc>
          <w:tcPr>
            <w:tcW w:w="1915" w:type="dxa"/>
          </w:tcPr>
          <w:p w14:paraId="321494C6" w14:textId="77777777" w:rsidR="00F86B78" w:rsidRPr="00862A76" w:rsidRDefault="00F86B78" w:rsidP="00D66510">
            <w:pPr>
              <w:rPr>
                <w:rFonts w:ascii="Arial" w:hAnsi="Arial" w:cs="Arial"/>
              </w:rPr>
            </w:pPr>
            <w:r w:rsidRPr="00862A76">
              <w:rPr>
                <w:rFonts w:ascii="Arial" w:hAnsi="Arial" w:cs="Arial"/>
              </w:rPr>
              <w:lastRenderedPageBreak/>
              <w:t xml:space="preserve">Minimum </w:t>
            </w:r>
          </w:p>
        </w:tc>
        <w:tc>
          <w:tcPr>
            <w:tcW w:w="1915" w:type="dxa"/>
          </w:tcPr>
          <w:p w14:paraId="5A9C2C19" w14:textId="77777777" w:rsidR="00F86B78" w:rsidRPr="00862A76" w:rsidRDefault="00F86B78" w:rsidP="00D66510">
            <w:pPr>
              <w:jc w:val="center"/>
              <w:rPr>
                <w:rFonts w:ascii="Arial" w:hAnsi="Arial" w:cs="Arial"/>
              </w:rPr>
            </w:pPr>
            <w:r w:rsidRPr="00862A76">
              <w:rPr>
                <w:rFonts w:ascii="Arial" w:hAnsi="Arial" w:cs="Arial"/>
              </w:rPr>
              <w:t>954.0</w:t>
            </w:r>
          </w:p>
        </w:tc>
        <w:tc>
          <w:tcPr>
            <w:tcW w:w="1915" w:type="dxa"/>
          </w:tcPr>
          <w:p w14:paraId="34548F74" w14:textId="77777777" w:rsidR="00F86B78" w:rsidRPr="00862A76" w:rsidRDefault="00F86B78" w:rsidP="00D66510">
            <w:pPr>
              <w:jc w:val="center"/>
              <w:rPr>
                <w:rFonts w:ascii="Arial" w:hAnsi="Arial" w:cs="Arial"/>
              </w:rPr>
            </w:pPr>
            <w:r w:rsidRPr="00862A76">
              <w:rPr>
                <w:rFonts w:ascii="Arial" w:hAnsi="Arial" w:cs="Arial"/>
              </w:rPr>
              <w:t>631.0</w:t>
            </w:r>
          </w:p>
        </w:tc>
        <w:tc>
          <w:tcPr>
            <w:tcW w:w="1915" w:type="dxa"/>
          </w:tcPr>
          <w:p w14:paraId="2B101CD9" w14:textId="77777777" w:rsidR="00F86B78" w:rsidRPr="00862A76" w:rsidRDefault="00F86B78" w:rsidP="00D66510">
            <w:pPr>
              <w:jc w:val="center"/>
              <w:rPr>
                <w:rFonts w:ascii="Arial" w:hAnsi="Arial" w:cs="Arial"/>
              </w:rPr>
            </w:pPr>
            <w:r w:rsidRPr="00862A76">
              <w:rPr>
                <w:rFonts w:ascii="Arial" w:hAnsi="Arial" w:cs="Arial"/>
              </w:rPr>
              <w:t>199.0</w:t>
            </w:r>
          </w:p>
        </w:tc>
        <w:tc>
          <w:tcPr>
            <w:tcW w:w="1916" w:type="dxa"/>
          </w:tcPr>
          <w:p w14:paraId="242F8428" w14:textId="77777777" w:rsidR="00F86B78" w:rsidRPr="00862A76" w:rsidRDefault="00F86B78" w:rsidP="00D66510">
            <w:pPr>
              <w:jc w:val="center"/>
              <w:rPr>
                <w:rFonts w:ascii="Arial" w:hAnsi="Arial" w:cs="Arial"/>
              </w:rPr>
            </w:pPr>
            <w:r w:rsidRPr="00862A76">
              <w:rPr>
                <w:rFonts w:ascii="Arial" w:hAnsi="Arial" w:cs="Arial"/>
              </w:rPr>
              <w:t>53.00</w:t>
            </w:r>
          </w:p>
        </w:tc>
      </w:tr>
      <w:tr w:rsidR="00F86B78" w:rsidRPr="00862A76" w14:paraId="5D4DDD34" w14:textId="77777777" w:rsidTr="00D66510">
        <w:tc>
          <w:tcPr>
            <w:tcW w:w="1915" w:type="dxa"/>
          </w:tcPr>
          <w:p w14:paraId="30EF6D6F" w14:textId="77777777" w:rsidR="00F86B78" w:rsidRPr="00862A76" w:rsidRDefault="00F86B78" w:rsidP="00D66510">
            <w:pPr>
              <w:rPr>
                <w:rFonts w:ascii="Arial" w:hAnsi="Arial" w:cs="Arial"/>
              </w:rPr>
            </w:pPr>
            <w:r w:rsidRPr="00862A76">
              <w:rPr>
                <w:rFonts w:ascii="Arial" w:hAnsi="Arial" w:cs="Arial"/>
              </w:rPr>
              <w:t xml:space="preserve">Q1 </w:t>
            </w:r>
          </w:p>
        </w:tc>
        <w:tc>
          <w:tcPr>
            <w:tcW w:w="1915" w:type="dxa"/>
          </w:tcPr>
          <w:p w14:paraId="6C460F51" w14:textId="77777777" w:rsidR="00F86B78" w:rsidRPr="00862A76" w:rsidRDefault="00F86B78" w:rsidP="00D66510">
            <w:pPr>
              <w:jc w:val="center"/>
              <w:rPr>
                <w:rFonts w:ascii="Arial" w:hAnsi="Arial" w:cs="Arial"/>
              </w:rPr>
            </w:pPr>
            <w:r w:rsidRPr="00862A76">
              <w:rPr>
                <w:rFonts w:ascii="Arial" w:hAnsi="Arial" w:cs="Arial"/>
              </w:rPr>
              <w:t>1175.0</w:t>
            </w:r>
          </w:p>
        </w:tc>
        <w:tc>
          <w:tcPr>
            <w:tcW w:w="1915" w:type="dxa"/>
          </w:tcPr>
          <w:p w14:paraId="56C68804" w14:textId="77777777" w:rsidR="00F86B78" w:rsidRPr="00862A76" w:rsidRDefault="00F86B78" w:rsidP="00D66510">
            <w:pPr>
              <w:jc w:val="center"/>
              <w:rPr>
                <w:rFonts w:ascii="Arial" w:hAnsi="Arial" w:cs="Arial"/>
              </w:rPr>
            </w:pPr>
            <w:r w:rsidRPr="00862A76">
              <w:rPr>
                <w:rFonts w:ascii="Arial" w:hAnsi="Arial" w:cs="Arial"/>
              </w:rPr>
              <w:t>713.25</w:t>
            </w:r>
          </w:p>
        </w:tc>
        <w:tc>
          <w:tcPr>
            <w:tcW w:w="1915" w:type="dxa"/>
          </w:tcPr>
          <w:p w14:paraId="195CE962" w14:textId="77777777" w:rsidR="00F86B78" w:rsidRPr="00862A76" w:rsidRDefault="00F86B78" w:rsidP="00D66510">
            <w:pPr>
              <w:jc w:val="center"/>
              <w:rPr>
                <w:rFonts w:ascii="Arial" w:hAnsi="Arial" w:cs="Arial"/>
              </w:rPr>
            </w:pPr>
            <w:r w:rsidRPr="00862A76">
              <w:rPr>
                <w:rFonts w:ascii="Arial" w:hAnsi="Arial" w:cs="Arial"/>
              </w:rPr>
              <w:t>254.0</w:t>
            </w:r>
          </w:p>
        </w:tc>
        <w:tc>
          <w:tcPr>
            <w:tcW w:w="1916" w:type="dxa"/>
          </w:tcPr>
          <w:p w14:paraId="1C72059B" w14:textId="77777777" w:rsidR="00F86B78" w:rsidRPr="00862A76" w:rsidRDefault="00F86B78" w:rsidP="00D66510">
            <w:pPr>
              <w:jc w:val="center"/>
              <w:rPr>
                <w:rFonts w:ascii="Arial" w:hAnsi="Arial" w:cs="Arial"/>
              </w:rPr>
            </w:pPr>
            <w:r w:rsidRPr="00862A76">
              <w:rPr>
                <w:rFonts w:ascii="Arial" w:hAnsi="Arial" w:cs="Arial"/>
              </w:rPr>
              <w:t>72.00</w:t>
            </w:r>
          </w:p>
        </w:tc>
      </w:tr>
      <w:tr w:rsidR="00F86B78" w:rsidRPr="00862A76" w14:paraId="70C3B895" w14:textId="77777777" w:rsidTr="00D66510">
        <w:tc>
          <w:tcPr>
            <w:tcW w:w="1915" w:type="dxa"/>
          </w:tcPr>
          <w:p w14:paraId="0F2C0230" w14:textId="77777777" w:rsidR="00F86B78" w:rsidRPr="00862A76" w:rsidRDefault="00F86B78" w:rsidP="00D66510">
            <w:pPr>
              <w:rPr>
                <w:rFonts w:ascii="Arial" w:hAnsi="Arial" w:cs="Arial"/>
              </w:rPr>
            </w:pPr>
            <w:r w:rsidRPr="00862A76">
              <w:rPr>
                <w:rFonts w:ascii="Arial" w:hAnsi="Arial" w:cs="Arial"/>
              </w:rPr>
              <w:t>Median</w:t>
            </w:r>
          </w:p>
        </w:tc>
        <w:tc>
          <w:tcPr>
            <w:tcW w:w="1915" w:type="dxa"/>
          </w:tcPr>
          <w:p w14:paraId="265CAD4D" w14:textId="77777777" w:rsidR="00F86B78" w:rsidRPr="00862A76" w:rsidRDefault="00F86B78" w:rsidP="00D66510">
            <w:pPr>
              <w:jc w:val="center"/>
              <w:rPr>
                <w:rFonts w:ascii="Arial" w:hAnsi="Arial" w:cs="Arial"/>
              </w:rPr>
            </w:pPr>
            <w:r w:rsidRPr="00862A76">
              <w:rPr>
                <w:rFonts w:ascii="Arial" w:hAnsi="Arial" w:cs="Arial"/>
              </w:rPr>
              <w:t>1195.0</w:t>
            </w:r>
          </w:p>
        </w:tc>
        <w:tc>
          <w:tcPr>
            <w:tcW w:w="1915" w:type="dxa"/>
          </w:tcPr>
          <w:p w14:paraId="4C712FD9" w14:textId="77777777" w:rsidR="00F86B78" w:rsidRPr="00862A76" w:rsidRDefault="00F86B78" w:rsidP="00D66510">
            <w:pPr>
              <w:jc w:val="center"/>
              <w:rPr>
                <w:rFonts w:ascii="Arial" w:hAnsi="Arial" w:cs="Arial"/>
              </w:rPr>
            </w:pPr>
            <w:r w:rsidRPr="00862A76">
              <w:rPr>
                <w:rFonts w:ascii="Arial" w:hAnsi="Arial" w:cs="Arial"/>
              </w:rPr>
              <w:t>811.50</w:t>
            </w:r>
          </w:p>
        </w:tc>
        <w:tc>
          <w:tcPr>
            <w:tcW w:w="1915" w:type="dxa"/>
          </w:tcPr>
          <w:p w14:paraId="2D457F9C" w14:textId="77777777" w:rsidR="00F86B78" w:rsidRPr="00862A76" w:rsidRDefault="00F86B78" w:rsidP="00D66510">
            <w:pPr>
              <w:jc w:val="center"/>
              <w:rPr>
                <w:rFonts w:ascii="Arial" w:hAnsi="Arial" w:cs="Arial"/>
              </w:rPr>
            </w:pPr>
            <w:r w:rsidRPr="00862A76">
              <w:rPr>
                <w:rFonts w:ascii="Arial" w:hAnsi="Arial" w:cs="Arial"/>
              </w:rPr>
              <w:t>297.0</w:t>
            </w:r>
          </w:p>
        </w:tc>
        <w:tc>
          <w:tcPr>
            <w:tcW w:w="1916" w:type="dxa"/>
          </w:tcPr>
          <w:p w14:paraId="5E3D4D1A" w14:textId="77777777" w:rsidR="00F86B78" w:rsidRPr="00862A76" w:rsidRDefault="00F86B78" w:rsidP="00D66510">
            <w:pPr>
              <w:jc w:val="center"/>
              <w:rPr>
                <w:rFonts w:ascii="Arial" w:hAnsi="Arial" w:cs="Arial"/>
              </w:rPr>
            </w:pPr>
            <w:r w:rsidRPr="00862A76">
              <w:rPr>
                <w:rFonts w:ascii="Arial" w:hAnsi="Arial" w:cs="Arial"/>
              </w:rPr>
              <w:t>80.00</w:t>
            </w:r>
          </w:p>
        </w:tc>
      </w:tr>
      <w:tr w:rsidR="00F86B78" w:rsidRPr="00862A76" w14:paraId="1B9F7F1B" w14:textId="77777777" w:rsidTr="00D66510">
        <w:tc>
          <w:tcPr>
            <w:tcW w:w="1915" w:type="dxa"/>
          </w:tcPr>
          <w:p w14:paraId="1F8D19AD" w14:textId="77777777" w:rsidR="00F86B78" w:rsidRPr="00862A76" w:rsidRDefault="00F86B78" w:rsidP="00D66510">
            <w:pPr>
              <w:rPr>
                <w:rFonts w:ascii="Arial" w:hAnsi="Arial" w:cs="Arial"/>
              </w:rPr>
            </w:pPr>
            <w:r w:rsidRPr="00862A76">
              <w:rPr>
                <w:rFonts w:ascii="Arial" w:hAnsi="Arial" w:cs="Arial"/>
              </w:rPr>
              <w:t xml:space="preserve">Q3 </w:t>
            </w:r>
          </w:p>
        </w:tc>
        <w:tc>
          <w:tcPr>
            <w:tcW w:w="1915" w:type="dxa"/>
          </w:tcPr>
          <w:p w14:paraId="031ECAE8" w14:textId="77777777" w:rsidR="00F86B78" w:rsidRPr="00862A76" w:rsidRDefault="00F86B78" w:rsidP="00D66510">
            <w:pPr>
              <w:jc w:val="center"/>
              <w:rPr>
                <w:rFonts w:ascii="Arial" w:hAnsi="Arial" w:cs="Arial"/>
              </w:rPr>
            </w:pPr>
            <w:r w:rsidRPr="00862A76">
              <w:rPr>
                <w:rFonts w:ascii="Arial" w:hAnsi="Arial" w:cs="Arial"/>
              </w:rPr>
              <w:t>1217.0</w:t>
            </w:r>
          </w:p>
        </w:tc>
        <w:tc>
          <w:tcPr>
            <w:tcW w:w="1915" w:type="dxa"/>
          </w:tcPr>
          <w:p w14:paraId="4F5ADD94" w14:textId="77777777" w:rsidR="00F86B78" w:rsidRPr="00862A76" w:rsidRDefault="00F86B78" w:rsidP="00D66510">
            <w:pPr>
              <w:jc w:val="center"/>
              <w:rPr>
                <w:rFonts w:ascii="Arial" w:hAnsi="Arial" w:cs="Arial"/>
              </w:rPr>
            </w:pPr>
            <w:r w:rsidRPr="00862A76">
              <w:rPr>
                <w:rFonts w:ascii="Arial" w:hAnsi="Arial" w:cs="Arial"/>
              </w:rPr>
              <w:t>892.0</w:t>
            </w:r>
          </w:p>
        </w:tc>
        <w:tc>
          <w:tcPr>
            <w:tcW w:w="1915" w:type="dxa"/>
          </w:tcPr>
          <w:p w14:paraId="6BF3528E" w14:textId="77777777" w:rsidR="00F86B78" w:rsidRPr="00862A76" w:rsidRDefault="00F86B78" w:rsidP="00D66510">
            <w:pPr>
              <w:jc w:val="center"/>
              <w:rPr>
                <w:rFonts w:ascii="Arial" w:hAnsi="Arial" w:cs="Arial"/>
              </w:rPr>
            </w:pPr>
            <w:r w:rsidRPr="00862A76">
              <w:rPr>
                <w:rFonts w:ascii="Arial" w:hAnsi="Arial" w:cs="Arial"/>
              </w:rPr>
              <w:t>342.0</w:t>
            </w:r>
          </w:p>
        </w:tc>
        <w:tc>
          <w:tcPr>
            <w:tcW w:w="1916" w:type="dxa"/>
          </w:tcPr>
          <w:p w14:paraId="70B2EF9E" w14:textId="77777777" w:rsidR="00F86B78" w:rsidRPr="00862A76" w:rsidRDefault="00F86B78" w:rsidP="00D66510">
            <w:pPr>
              <w:jc w:val="center"/>
              <w:rPr>
                <w:rFonts w:ascii="Arial" w:hAnsi="Arial" w:cs="Arial"/>
              </w:rPr>
            </w:pPr>
            <w:r w:rsidRPr="00862A76">
              <w:rPr>
                <w:rFonts w:ascii="Arial" w:hAnsi="Arial" w:cs="Arial"/>
              </w:rPr>
              <w:t>91.00</w:t>
            </w:r>
          </w:p>
        </w:tc>
      </w:tr>
      <w:tr w:rsidR="00F86B78" w:rsidRPr="00862A76" w14:paraId="29ACF71B" w14:textId="77777777" w:rsidTr="00D66510">
        <w:tc>
          <w:tcPr>
            <w:tcW w:w="1915" w:type="dxa"/>
          </w:tcPr>
          <w:p w14:paraId="50DBE847" w14:textId="77777777" w:rsidR="00F86B78" w:rsidRPr="00862A76" w:rsidRDefault="00F86B78" w:rsidP="00D66510">
            <w:pPr>
              <w:rPr>
                <w:rFonts w:ascii="Arial" w:hAnsi="Arial" w:cs="Arial"/>
              </w:rPr>
            </w:pPr>
            <w:r w:rsidRPr="00862A76">
              <w:rPr>
                <w:rFonts w:ascii="Arial" w:hAnsi="Arial" w:cs="Arial"/>
              </w:rPr>
              <w:t>Maximum</w:t>
            </w:r>
          </w:p>
        </w:tc>
        <w:tc>
          <w:tcPr>
            <w:tcW w:w="1915" w:type="dxa"/>
          </w:tcPr>
          <w:p w14:paraId="1F6AD1D9" w14:textId="77777777" w:rsidR="00F86B78" w:rsidRPr="00862A76" w:rsidRDefault="00F86B78" w:rsidP="00D66510">
            <w:pPr>
              <w:jc w:val="center"/>
              <w:rPr>
                <w:rFonts w:ascii="Arial" w:hAnsi="Arial" w:cs="Arial"/>
              </w:rPr>
            </w:pPr>
            <w:r w:rsidRPr="00862A76">
              <w:rPr>
                <w:rFonts w:ascii="Arial" w:hAnsi="Arial" w:cs="Arial"/>
              </w:rPr>
              <w:t>1282.0</w:t>
            </w:r>
          </w:p>
        </w:tc>
        <w:tc>
          <w:tcPr>
            <w:tcW w:w="1915" w:type="dxa"/>
          </w:tcPr>
          <w:p w14:paraId="60013471" w14:textId="77777777" w:rsidR="00F86B78" w:rsidRPr="00862A76" w:rsidRDefault="00F86B78" w:rsidP="00D66510">
            <w:pPr>
              <w:jc w:val="center"/>
              <w:rPr>
                <w:rFonts w:ascii="Arial" w:hAnsi="Arial" w:cs="Arial"/>
              </w:rPr>
            </w:pPr>
            <w:r w:rsidRPr="00862A76">
              <w:rPr>
                <w:rFonts w:ascii="Arial" w:hAnsi="Arial" w:cs="Arial"/>
              </w:rPr>
              <w:t>976.0</w:t>
            </w:r>
          </w:p>
        </w:tc>
        <w:tc>
          <w:tcPr>
            <w:tcW w:w="1915" w:type="dxa"/>
          </w:tcPr>
          <w:p w14:paraId="2945BF40" w14:textId="77777777" w:rsidR="00F86B78" w:rsidRPr="00862A76" w:rsidRDefault="00F86B78" w:rsidP="00D66510">
            <w:pPr>
              <w:jc w:val="center"/>
              <w:rPr>
                <w:rFonts w:ascii="Arial" w:hAnsi="Arial" w:cs="Arial"/>
              </w:rPr>
            </w:pPr>
            <w:r w:rsidRPr="00862A76">
              <w:rPr>
                <w:rFonts w:ascii="Arial" w:hAnsi="Arial" w:cs="Arial"/>
              </w:rPr>
              <w:t>387.0</w:t>
            </w:r>
          </w:p>
        </w:tc>
        <w:tc>
          <w:tcPr>
            <w:tcW w:w="1916" w:type="dxa"/>
          </w:tcPr>
          <w:p w14:paraId="73C6B8D0" w14:textId="77777777" w:rsidR="00F86B78" w:rsidRPr="00862A76" w:rsidRDefault="00F86B78" w:rsidP="00D66510">
            <w:pPr>
              <w:jc w:val="center"/>
              <w:rPr>
                <w:rFonts w:ascii="Arial" w:hAnsi="Arial" w:cs="Arial"/>
              </w:rPr>
            </w:pPr>
            <w:r w:rsidRPr="00862A76">
              <w:rPr>
                <w:rFonts w:ascii="Arial" w:hAnsi="Arial" w:cs="Arial"/>
              </w:rPr>
              <w:t>111.0</w:t>
            </w:r>
          </w:p>
        </w:tc>
      </w:tr>
      <w:tr w:rsidR="00F86B78" w:rsidRPr="00862A76" w14:paraId="4C4DF280" w14:textId="77777777" w:rsidTr="00D66510">
        <w:tc>
          <w:tcPr>
            <w:tcW w:w="1915" w:type="dxa"/>
          </w:tcPr>
          <w:p w14:paraId="6B907DE1" w14:textId="77777777" w:rsidR="00F86B78" w:rsidRPr="00862A76" w:rsidRDefault="00F86B78" w:rsidP="00D66510">
            <w:pPr>
              <w:rPr>
                <w:rFonts w:ascii="Arial" w:hAnsi="Arial" w:cs="Arial"/>
              </w:rPr>
            </w:pPr>
            <w:r w:rsidRPr="00862A76">
              <w:rPr>
                <w:rFonts w:ascii="Arial" w:hAnsi="Arial" w:cs="Arial"/>
              </w:rPr>
              <w:t>No. of Obs.</w:t>
            </w:r>
          </w:p>
        </w:tc>
        <w:tc>
          <w:tcPr>
            <w:tcW w:w="1915" w:type="dxa"/>
          </w:tcPr>
          <w:p w14:paraId="213A0DFC" w14:textId="77777777" w:rsidR="00F86B78" w:rsidRPr="00862A76" w:rsidRDefault="00F86B78" w:rsidP="00D66510">
            <w:pPr>
              <w:jc w:val="center"/>
              <w:rPr>
                <w:rFonts w:ascii="Arial" w:hAnsi="Arial" w:cs="Arial"/>
              </w:rPr>
            </w:pPr>
            <w:r w:rsidRPr="00862A76">
              <w:rPr>
                <w:rFonts w:ascii="Arial" w:hAnsi="Arial" w:cs="Arial"/>
              </w:rPr>
              <w:t>228</w:t>
            </w:r>
          </w:p>
        </w:tc>
        <w:tc>
          <w:tcPr>
            <w:tcW w:w="1915" w:type="dxa"/>
          </w:tcPr>
          <w:p w14:paraId="4B375017" w14:textId="77777777" w:rsidR="00F86B78" w:rsidRPr="00862A76" w:rsidRDefault="00F86B78" w:rsidP="00D66510">
            <w:pPr>
              <w:jc w:val="center"/>
              <w:rPr>
                <w:rFonts w:ascii="Arial" w:hAnsi="Arial" w:cs="Arial"/>
              </w:rPr>
            </w:pPr>
            <w:r w:rsidRPr="00862A76">
              <w:rPr>
                <w:rFonts w:ascii="Arial" w:hAnsi="Arial" w:cs="Arial"/>
              </w:rPr>
              <w:t>228</w:t>
            </w:r>
          </w:p>
        </w:tc>
        <w:tc>
          <w:tcPr>
            <w:tcW w:w="1915" w:type="dxa"/>
          </w:tcPr>
          <w:p w14:paraId="24087081" w14:textId="77777777" w:rsidR="00F86B78" w:rsidRPr="00862A76" w:rsidRDefault="00F86B78" w:rsidP="00D66510">
            <w:pPr>
              <w:jc w:val="center"/>
              <w:rPr>
                <w:rFonts w:ascii="Arial" w:hAnsi="Arial" w:cs="Arial"/>
              </w:rPr>
            </w:pPr>
            <w:r w:rsidRPr="00862A76">
              <w:rPr>
                <w:rFonts w:ascii="Arial" w:hAnsi="Arial" w:cs="Arial"/>
              </w:rPr>
              <w:t>228</w:t>
            </w:r>
          </w:p>
        </w:tc>
        <w:tc>
          <w:tcPr>
            <w:tcW w:w="1916" w:type="dxa"/>
          </w:tcPr>
          <w:p w14:paraId="72D0B8C9" w14:textId="77777777" w:rsidR="00F86B78" w:rsidRPr="00862A76" w:rsidRDefault="00F86B78" w:rsidP="00D66510">
            <w:pPr>
              <w:jc w:val="center"/>
              <w:rPr>
                <w:rFonts w:ascii="Arial" w:hAnsi="Arial" w:cs="Arial"/>
              </w:rPr>
            </w:pPr>
            <w:r w:rsidRPr="00862A76">
              <w:rPr>
                <w:rFonts w:ascii="Arial" w:hAnsi="Arial" w:cs="Arial"/>
              </w:rPr>
              <w:t>228</w:t>
            </w:r>
          </w:p>
        </w:tc>
      </w:tr>
    </w:tbl>
    <w:p w14:paraId="655CFF86" w14:textId="77777777" w:rsidR="00F86B78" w:rsidRPr="00862A76" w:rsidRDefault="00F86B78" w:rsidP="00F86B78">
      <w:pPr>
        <w:pStyle w:val="NormalWeb"/>
        <w:spacing w:before="240" w:beforeAutospacing="0" w:after="0" w:afterAutospacing="0"/>
        <w:jc w:val="both"/>
        <w:rPr>
          <w:rFonts w:ascii="Arial" w:hAnsi="Arial" w:cs="Arial"/>
          <w:sz w:val="20"/>
          <w:szCs w:val="20"/>
        </w:rPr>
      </w:pPr>
      <w:r w:rsidRPr="00862A76">
        <w:t>The summary statistics presented in Table 1 indicate that the monthly mean numbers of confirmed, active, severe, and death cases were approximately 1,190, 804, 296, and 82, respectively, with corresponding standard deviations of approximately 46, 99, 52, and 13. The relatively large standard deviations indicate considerable dispersion around the mean for each category. In addition, the wide ranges between the minimum and maximum values support the presence of substantial variability in the monthly case counts during the study period.</w:t>
      </w:r>
    </w:p>
    <w:p w14:paraId="3BC3AE84" w14:textId="77777777" w:rsidR="00F86B78" w:rsidRPr="00862A76" w:rsidRDefault="00F86B78" w:rsidP="00F86B78">
      <w:pPr>
        <w:pStyle w:val="NormalWeb"/>
        <w:spacing w:before="240" w:beforeAutospacing="0" w:after="0" w:afterAutospacing="0"/>
        <w:jc w:val="both"/>
        <w:rPr>
          <w:rFonts w:ascii="Arial" w:hAnsi="Arial" w:cs="Arial"/>
          <w:sz w:val="20"/>
          <w:szCs w:val="20"/>
        </w:rPr>
      </w:pPr>
      <w:r w:rsidRPr="00862A76">
        <w:t>These summary statistics suggest that the high mean numbers of confirmed, active, and severe diabetes mellitus cases during the study period were accompanied by an elevated number of diabetes-related deaths in the region.</w:t>
      </w:r>
    </w:p>
    <w:p w14:paraId="5D0ADAF0" w14:textId="77777777" w:rsidR="00F86B78" w:rsidRPr="00862A76" w:rsidRDefault="00756351" w:rsidP="00F86B78">
      <w:pPr>
        <w:pStyle w:val="NormalWeb"/>
        <w:spacing w:before="240" w:beforeAutospacing="0" w:after="0" w:afterAutospacing="0"/>
        <w:jc w:val="both"/>
        <w:rPr>
          <w:rFonts w:ascii="Arial" w:hAnsi="Arial" w:cs="Arial"/>
          <w:sz w:val="20"/>
          <w:szCs w:val="20"/>
        </w:rPr>
      </w:pPr>
      <w:r w:rsidRPr="00862A76">
        <w:rPr>
          <w:b/>
        </w:rPr>
        <w:t>3.2 Graphical Examination of the Study Variables</w:t>
      </w:r>
    </w:p>
    <w:p w14:paraId="047E12FD" w14:textId="77777777" w:rsidR="00F86B78" w:rsidRPr="00862A76" w:rsidRDefault="00F86B78" w:rsidP="00F86B78">
      <w:pPr>
        <w:pStyle w:val="NormalWeb"/>
        <w:spacing w:before="240" w:beforeAutospacing="0" w:after="0" w:afterAutospacing="0"/>
        <w:jc w:val="both"/>
        <w:rPr>
          <w:rFonts w:ascii="Arial" w:hAnsi="Arial" w:cs="Arial"/>
          <w:sz w:val="20"/>
          <w:szCs w:val="20"/>
        </w:rPr>
      </w:pPr>
      <w:r w:rsidRPr="00862A76">
        <w:t>Examining graphs of confirmed, active, severe, and mortality cases of diabetes mellitus is useful for identifying trends and temporal patterns in the progression and fluctuation of the disease. These visual representations may help healthcare providers and policymakers recognise peak periods, seasonal variation, and possible changes associated with interventions. Such information can support targeted healthcare responses, resource allocation, and strategies for reducing disease incidence and managing complications. Time plots of confirmed, active, severe, and mortality cases are presented in Figures 1, 2, 3, and 4, respectively.</w:t>
      </w:r>
    </w:p>
    <w:p w14:paraId="73AB39AA" w14:textId="77777777" w:rsidR="00F86B78" w:rsidRPr="00862A76" w:rsidRDefault="00F86B78" w:rsidP="00F86B78">
      <w:pPr>
        <w:rPr>
          <w:rFonts w:ascii="Times New Roman" w:hAnsi="Times New Roman"/>
          <w:b/>
          <w:sz w:val="24"/>
          <w:szCs w:val="24"/>
        </w:rPr>
      </w:pPr>
    </w:p>
    <w:p w14:paraId="0AD03316" w14:textId="77777777" w:rsidR="00F86B78" w:rsidRPr="00862A76" w:rsidRDefault="00F86B78" w:rsidP="00F86B78">
      <w:pPr>
        <w:rPr>
          <w:rFonts w:ascii="Times New Roman" w:hAnsi="Times New Roman"/>
          <w:b/>
          <w:sz w:val="24"/>
          <w:szCs w:val="24"/>
        </w:rPr>
      </w:pPr>
      <w:r w:rsidRPr="00862A76">
        <w:rPr>
          <w:rFonts w:ascii="Times New Roman" w:hAnsi="Times New Roman"/>
          <w:b/>
          <w:noProof/>
          <w:sz w:val="24"/>
          <w:szCs w:val="24"/>
        </w:rPr>
        <w:drawing>
          <wp:inline distT="0" distB="0" distL="0" distR="0" wp14:anchorId="31BF81CE" wp14:editId="1AE399CC">
            <wp:extent cx="5483253" cy="1844702"/>
            <wp:effectExtent l="19050" t="0" r="3147"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5486400" cy="1845761"/>
                    </a:xfrm>
                    <a:prstGeom prst="rect">
                      <a:avLst/>
                    </a:prstGeom>
                    <a:noFill/>
                    <a:ln w="9525">
                      <a:noFill/>
                      <a:miter lim="800000"/>
                      <a:headEnd/>
                      <a:tailEnd/>
                    </a:ln>
                  </pic:spPr>
                </pic:pic>
              </a:graphicData>
            </a:graphic>
          </wp:inline>
        </w:drawing>
      </w:r>
    </w:p>
    <w:p w14:paraId="70447E13" w14:textId="77777777" w:rsidR="00F86B78" w:rsidRPr="00862A76" w:rsidRDefault="00F86B78" w:rsidP="00F86B78">
      <w:pPr>
        <w:rPr>
          <w:rFonts w:ascii="Arial" w:hAnsi="Arial" w:cs="Arial"/>
        </w:rPr>
      </w:pPr>
      <w:r w:rsidRPr="00862A76">
        <w:rPr>
          <w:rFonts w:ascii="Arial" w:hAnsi="Arial" w:cs="Arial"/>
          <w:b/>
        </w:rPr>
        <w:t>Figure 1: Time Series Plot of Diabetes Confirmed Cases in Benue State</w:t>
      </w:r>
    </w:p>
    <w:p w14:paraId="0EA589C1" w14:textId="77777777" w:rsidR="00F86B78" w:rsidRPr="00862A76" w:rsidRDefault="00F86B78" w:rsidP="00F86B78">
      <w:pPr>
        <w:rPr>
          <w:rFonts w:ascii="Times New Roman" w:hAnsi="Times New Roman"/>
          <w:sz w:val="24"/>
          <w:szCs w:val="24"/>
        </w:rPr>
      </w:pPr>
      <w:r w:rsidRPr="00862A76">
        <w:rPr>
          <w:rFonts w:ascii="Times New Roman" w:hAnsi="Times New Roman"/>
          <w:noProof/>
          <w:sz w:val="24"/>
          <w:szCs w:val="24"/>
        </w:rPr>
        <w:lastRenderedPageBreak/>
        <w:drawing>
          <wp:inline distT="0" distB="0" distL="0" distR="0" wp14:anchorId="288FF869" wp14:editId="36398AB1">
            <wp:extent cx="5483253" cy="1924215"/>
            <wp:effectExtent l="19050" t="0" r="3147"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5486400" cy="1925319"/>
                    </a:xfrm>
                    <a:prstGeom prst="rect">
                      <a:avLst/>
                    </a:prstGeom>
                    <a:noFill/>
                    <a:ln w="9525">
                      <a:noFill/>
                      <a:miter lim="800000"/>
                      <a:headEnd/>
                      <a:tailEnd/>
                    </a:ln>
                  </pic:spPr>
                </pic:pic>
              </a:graphicData>
            </a:graphic>
          </wp:inline>
        </w:drawing>
      </w:r>
    </w:p>
    <w:p w14:paraId="7FA2657C" w14:textId="77777777" w:rsidR="00F86B78" w:rsidRPr="00862A76" w:rsidRDefault="00F86B78" w:rsidP="00F86B78">
      <w:pPr>
        <w:rPr>
          <w:rFonts w:ascii="Arial" w:hAnsi="Arial" w:cs="Arial"/>
          <w:b/>
        </w:rPr>
      </w:pPr>
      <w:r w:rsidRPr="00862A76">
        <w:rPr>
          <w:rFonts w:ascii="Arial" w:hAnsi="Arial" w:cs="Arial"/>
          <w:b/>
        </w:rPr>
        <w:t>Figure 2: Time Series Plot of Active Cases of Diabetes in Benue State</w:t>
      </w:r>
    </w:p>
    <w:p w14:paraId="141C44FA" w14:textId="77777777" w:rsidR="00F86B78" w:rsidRPr="00862A76" w:rsidRDefault="00F86B78" w:rsidP="00F86B78">
      <w:pPr>
        <w:rPr>
          <w:rFonts w:ascii="Times New Roman" w:hAnsi="Times New Roman"/>
          <w:sz w:val="24"/>
          <w:szCs w:val="24"/>
        </w:rPr>
      </w:pPr>
      <w:r w:rsidRPr="00862A76">
        <w:rPr>
          <w:rFonts w:ascii="Times New Roman" w:hAnsi="Times New Roman"/>
          <w:noProof/>
          <w:sz w:val="24"/>
          <w:szCs w:val="24"/>
        </w:rPr>
        <w:drawing>
          <wp:inline distT="0" distB="0" distL="0" distR="0" wp14:anchorId="588A8B21" wp14:editId="5608613B">
            <wp:extent cx="5483253" cy="1892410"/>
            <wp:effectExtent l="19050" t="0" r="3147"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5486400" cy="1893496"/>
                    </a:xfrm>
                    <a:prstGeom prst="rect">
                      <a:avLst/>
                    </a:prstGeom>
                    <a:noFill/>
                    <a:ln w="9525">
                      <a:noFill/>
                      <a:miter lim="800000"/>
                      <a:headEnd/>
                      <a:tailEnd/>
                    </a:ln>
                  </pic:spPr>
                </pic:pic>
              </a:graphicData>
            </a:graphic>
          </wp:inline>
        </w:drawing>
      </w:r>
    </w:p>
    <w:p w14:paraId="1B8EF946" w14:textId="77777777" w:rsidR="00F86B78" w:rsidRPr="00862A76" w:rsidRDefault="00F86B78" w:rsidP="00F86B78">
      <w:pPr>
        <w:rPr>
          <w:rFonts w:ascii="Arial" w:hAnsi="Arial" w:cs="Arial"/>
        </w:rPr>
      </w:pPr>
      <w:r w:rsidRPr="00862A76">
        <w:rPr>
          <w:rFonts w:ascii="Arial" w:hAnsi="Arial" w:cs="Arial"/>
          <w:b/>
        </w:rPr>
        <w:t>Figure 3: Time Series Plot of Severe Cases of Diabetes in Benue State</w:t>
      </w:r>
    </w:p>
    <w:p w14:paraId="56FDACB9" w14:textId="77777777" w:rsidR="00F86B78" w:rsidRPr="00862A76" w:rsidRDefault="00F86B78" w:rsidP="00F86B78">
      <w:pPr>
        <w:rPr>
          <w:rFonts w:ascii="Times New Roman" w:hAnsi="Times New Roman"/>
          <w:sz w:val="24"/>
          <w:szCs w:val="24"/>
        </w:rPr>
      </w:pPr>
      <w:r w:rsidRPr="00862A76">
        <w:rPr>
          <w:rFonts w:ascii="Times New Roman" w:hAnsi="Times New Roman"/>
          <w:noProof/>
          <w:sz w:val="24"/>
          <w:szCs w:val="24"/>
        </w:rPr>
        <w:drawing>
          <wp:inline distT="0" distB="0" distL="0" distR="0" wp14:anchorId="1A86F206" wp14:editId="45FF7EA3">
            <wp:extent cx="5483253" cy="1868556"/>
            <wp:effectExtent l="19050" t="0" r="3147"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5486400" cy="1869628"/>
                    </a:xfrm>
                    <a:prstGeom prst="rect">
                      <a:avLst/>
                    </a:prstGeom>
                    <a:noFill/>
                    <a:ln w="9525">
                      <a:noFill/>
                      <a:miter lim="800000"/>
                      <a:headEnd/>
                      <a:tailEnd/>
                    </a:ln>
                  </pic:spPr>
                </pic:pic>
              </a:graphicData>
            </a:graphic>
          </wp:inline>
        </w:drawing>
      </w:r>
    </w:p>
    <w:p w14:paraId="5CD81B2F" w14:textId="77777777" w:rsidR="00F86B78" w:rsidRPr="00862A76" w:rsidRDefault="00F86B78" w:rsidP="00F86B78">
      <w:pPr>
        <w:rPr>
          <w:rFonts w:ascii="Arial" w:hAnsi="Arial" w:cs="Arial"/>
          <w:b/>
        </w:rPr>
      </w:pPr>
      <w:r w:rsidRPr="00862A76">
        <w:rPr>
          <w:rFonts w:ascii="Arial" w:hAnsi="Arial" w:cs="Arial"/>
          <w:b/>
        </w:rPr>
        <w:t>Figure 4:</w:t>
      </w:r>
      <w:r w:rsidRPr="00862A76">
        <w:rPr>
          <w:rFonts w:ascii="Arial" w:hAnsi="Arial" w:cs="Arial"/>
        </w:rPr>
        <w:t xml:space="preserve"> </w:t>
      </w:r>
      <w:r w:rsidRPr="00862A76">
        <w:rPr>
          <w:rFonts w:ascii="Arial" w:hAnsi="Arial" w:cs="Arial"/>
          <w:b/>
        </w:rPr>
        <w:t>Time Series Plot of Death Cases Due to Diabetes in Benue State</w:t>
      </w:r>
    </w:p>
    <w:p w14:paraId="6997BC14" w14:textId="77777777" w:rsidR="00F86B78" w:rsidRPr="00862A76" w:rsidRDefault="00F86B78" w:rsidP="00F86B78">
      <w:pPr>
        <w:pStyle w:val="NormalWeb"/>
        <w:spacing w:after="0" w:afterAutospacing="0"/>
        <w:jc w:val="both"/>
        <w:rPr>
          <w:rFonts w:ascii="Arial" w:hAnsi="Arial" w:cs="Arial"/>
          <w:sz w:val="20"/>
          <w:szCs w:val="20"/>
        </w:rPr>
      </w:pPr>
      <w:r w:rsidRPr="00862A76">
        <w:t>Figures 1–4 present time-series plots of confirmed diabetes mellitus cases (Figure 1), active cases (Figure 2), severe cases (Figure 3), and diabetes-related deaths (Figure 4) over the period shown. The vertical axes represent the case counts, whereas the horizontal axes represent time in months and years.</w:t>
      </w:r>
    </w:p>
    <w:p w14:paraId="7D173B94" w14:textId="77777777" w:rsidR="00F86B78" w:rsidRPr="00862A76" w:rsidRDefault="00F86B78" w:rsidP="00F86B78">
      <w:pPr>
        <w:pStyle w:val="NormalWeb"/>
        <w:spacing w:after="0" w:afterAutospacing="0"/>
        <w:jc w:val="both"/>
        <w:rPr>
          <w:rFonts w:ascii="Arial" w:hAnsi="Arial" w:cs="Arial"/>
          <w:sz w:val="20"/>
          <w:szCs w:val="20"/>
        </w:rPr>
      </w:pPr>
      <w:r w:rsidRPr="00862A76">
        <w:t xml:space="preserve">The time plots show monthly fluctuations in confirmed, active, severe, and death cases of diabetes mellitus, with recurring sharp declines that may reflect seasonal or cyclical variation. Overall, the data appear relatively stable, with a slight downward trend in </w:t>
      </w:r>
      <w:r w:rsidRPr="00862A76">
        <w:lastRenderedPageBreak/>
        <w:t>recent years and possible reductions in the numbers of confirmed, active, severe, and death cases after 2020. The figures therefore provide information on trends, seasonality, and irregular changes in diabetes case counts over time.</w:t>
      </w:r>
    </w:p>
    <w:p w14:paraId="7F55A7AE" w14:textId="77777777" w:rsidR="00F86B78" w:rsidRPr="00862A76" w:rsidRDefault="00756351" w:rsidP="00F86B78">
      <w:pPr>
        <w:rPr>
          <w:rFonts w:ascii="Arial" w:hAnsi="Arial" w:cs="Arial"/>
          <w:b/>
        </w:rPr>
      </w:pPr>
      <w:r w:rsidRPr="00862A76">
        <w:rPr>
          <w:b/>
        </w:rPr>
        <w:t>3.3 Omnibus Test Statistic for Model Selection</w:t>
      </w:r>
    </w:p>
    <w:p w14:paraId="140EB56D" w14:textId="77777777" w:rsidR="00F86B78" w:rsidRPr="00862A76" w:rsidRDefault="00F86B78" w:rsidP="00F86B78">
      <w:pPr>
        <w:jc w:val="both"/>
        <w:rPr>
          <w:rFonts w:ascii="Arial" w:hAnsi="Arial" w:cs="Arial"/>
        </w:rPr>
      </w:pPr>
      <w:r w:rsidRPr="00862A76">
        <w:t>The omnibus test statistic supports model selection by assessing whether the additional complexity required to account for dispersion produces a significant improvement in model fit. The omnibus test results are presented in Table 2.</w:t>
      </w:r>
    </w:p>
    <w:p w14:paraId="1352C9C7" w14:textId="77777777" w:rsidR="00F86B78" w:rsidRPr="00862A76" w:rsidRDefault="00F86B78" w:rsidP="00F86B78">
      <w:pPr>
        <w:rPr>
          <w:rFonts w:ascii="Arial" w:hAnsi="Arial" w:cs="Arial"/>
          <w:b/>
        </w:rPr>
      </w:pPr>
    </w:p>
    <w:p w14:paraId="6A138D17" w14:textId="77777777" w:rsidR="00F86B78" w:rsidRPr="00862A76" w:rsidRDefault="00F86B78" w:rsidP="00F86B78">
      <w:pPr>
        <w:rPr>
          <w:rFonts w:ascii="Arial" w:hAnsi="Arial" w:cs="Arial"/>
          <w:b/>
        </w:rPr>
      </w:pPr>
      <w:r w:rsidRPr="00862A76">
        <w:rPr>
          <w:rFonts w:ascii="Arial" w:hAnsi="Arial" w:cs="Arial"/>
          <w:b/>
        </w:rPr>
        <w:t>Table 2: Omnibus Test for Diabetic Cases in Benue state</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750"/>
        <w:gridCol w:w="1816"/>
        <w:gridCol w:w="1642"/>
      </w:tblGrid>
      <w:tr w:rsidR="00F86B78" w:rsidRPr="00862A76" w14:paraId="17B7F0F9" w14:textId="77777777" w:rsidTr="00D66510">
        <w:tc>
          <w:tcPr>
            <w:tcW w:w="5418" w:type="dxa"/>
            <w:tcBorders>
              <w:top w:val="single" w:sz="4" w:space="0" w:color="auto"/>
              <w:bottom w:val="single" w:sz="4" w:space="0" w:color="auto"/>
            </w:tcBorders>
          </w:tcPr>
          <w:p w14:paraId="0B18953C" w14:textId="77777777" w:rsidR="00F86B78" w:rsidRPr="00862A76" w:rsidRDefault="00F86B78" w:rsidP="00D66510">
            <w:pPr>
              <w:rPr>
                <w:rFonts w:ascii="Arial" w:hAnsi="Arial" w:cs="Arial"/>
                <w:b/>
              </w:rPr>
            </w:pPr>
            <w:r w:rsidRPr="00862A76">
              <w:rPr>
                <w:rFonts w:ascii="Arial" w:hAnsi="Arial" w:cs="Arial"/>
                <w:b/>
              </w:rPr>
              <w:t xml:space="preserve">Model </w:t>
            </w:r>
          </w:p>
        </w:tc>
        <w:tc>
          <w:tcPr>
            <w:tcW w:w="1980" w:type="dxa"/>
            <w:tcBorders>
              <w:top w:val="single" w:sz="4" w:space="0" w:color="auto"/>
              <w:bottom w:val="single" w:sz="4" w:space="0" w:color="auto"/>
            </w:tcBorders>
          </w:tcPr>
          <w:p w14:paraId="4921C529" w14:textId="77777777" w:rsidR="00F86B78" w:rsidRPr="00862A76" w:rsidRDefault="00F86B78" w:rsidP="00D66510">
            <w:pPr>
              <w:rPr>
                <w:rFonts w:ascii="Arial" w:hAnsi="Arial" w:cs="Arial"/>
                <w:b/>
              </w:rPr>
            </w:pPr>
            <w:r w:rsidRPr="00862A76">
              <w:rPr>
                <w:rFonts w:ascii="Arial" w:hAnsi="Arial" w:cs="Arial"/>
                <w:b/>
              </w:rPr>
              <w:t>LR statistic</w:t>
            </w:r>
          </w:p>
        </w:tc>
        <w:tc>
          <w:tcPr>
            <w:tcW w:w="1800" w:type="dxa"/>
            <w:tcBorders>
              <w:top w:val="single" w:sz="4" w:space="0" w:color="auto"/>
              <w:bottom w:val="single" w:sz="4" w:space="0" w:color="auto"/>
            </w:tcBorders>
          </w:tcPr>
          <w:p w14:paraId="2F958FBC" w14:textId="77777777" w:rsidR="00F86B78" w:rsidRPr="00862A76" w:rsidRDefault="00F86B78" w:rsidP="00D66510">
            <w:pPr>
              <w:rPr>
                <w:rFonts w:ascii="Arial" w:hAnsi="Arial" w:cs="Arial"/>
                <w:b/>
              </w:rPr>
            </w:pPr>
            <w:r w:rsidRPr="00862A76">
              <w:rPr>
                <w:rFonts w:ascii="Arial" w:hAnsi="Arial" w:cs="Arial"/>
                <w:b/>
              </w:rPr>
              <w:t>P-value</w:t>
            </w:r>
          </w:p>
        </w:tc>
      </w:tr>
      <w:tr w:rsidR="00F86B78" w:rsidRPr="00862A76" w14:paraId="2E28160E" w14:textId="77777777" w:rsidTr="00D66510">
        <w:tc>
          <w:tcPr>
            <w:tcW w:w="5418" w:type="dxa"/>
            <w:tcBorders>
              <w:top w:val="single" w:sz="4" w:space="0" w:color="auto"/>
            </w:tcBorders>
          </w:tcPr>
          <w:p w14:paraId="06A4337D" w14:textId="77777777" w:rsidR="00F86B78" w:rsidRPr="00862A76" w:rsidRDefault="00F86B78" w:rsidP="00D66510">
            <w:pPr>
              <w:rPr>
                <w:rFonts w:ascii="Arial" w:hAnsi="Arial" w:cs="Arial"/>
              </w:rPr>
            </w:pPr>
            <w:r w:rsidRPr="00862A76">
              <w:rPr>
                <w:rFonts w:ascii="Arial" w:hAnsi="Arial" w:cs="Arial"/>
              </w:rPr>
              <w:t>Poisson Regression versus Negative Binomial</w:t>
            </w:r>
          </w:p>
        </w:tc>
        <w:tc>
          <w:tcPr>
            <w:tcW w:w="1980" w:type="dxa"/>
            <w:tcBorders>
              <w:top w:val="single" w:sz="4" w:space="0" w:color="auto"/>
            </w:tcBorders>
          </w:tcPr>
          <w:p w14:paraId="6457EA45" w14:textId="77777777" w:rsidR="00F86B78" w:rsidRPr="00862A76" w:rsidRDefault="00F86B78" w:rsidP="00D66510">
            <w:pPr>
              <w:rPr>
                <w:rFonts w:ascii="Arial" w:hAnsi="Arial" w:cs="Arial"/>
              </w:rPr>
            </w:pPr>
            <w:r w:rsidRPr="00862A76">
              <w:rPr>
                <w:rFonts w:ascii="Arial" w:hAnsi="Arial" w:cs="Arial"/>
              </w:rPr>
              <w:t>12.34</w:t>
            </w:r>
          </w:p>
        </w:tc>
        <w:tc>
          <w:tcPr>
            <w:tcW w:w="1800" w:type="dxa"/>
            <w:tcBorders>
              <w:top w:val="single" w:sz="4" w:space="0" w:color="auto"/>
            </w:tcBorders>
          </w:tcPr>
          <w:p w14:paraId="1BC34B2F" w14:textId="77777777" w:rsidR="00F86B78" w:rsidRPr="00862A76" w:rsidRDefault="00F86B78" w:rsidP="00D66510">
            <w:pPr>
              <w:rPr>
                <w:rFonts w:ascii="Arial" w:hAnsi="Arial" w:cs="Arial"/>
              </w:rPr>
            </w:pPr>
            <w:r w:rsidRPr="00862A76">
              <w:rPr>
                <w:rFonts w:ascii="Arial" w:hAnsi="Arial" w:cs="Arial"/>
              </w:rPr>
              <w:t>0.0004</w:t>
            </w:r>
          </w:p>
        </w:tc>
      </w:tr>
      <w:tr w:rsidR="00F86B78" w:rsidRPr="00862A76" w14:paraId="0D91237A" w14:textId="77777777" w:rsidTr="00D66510">
        <w:tc>
          <w:tcPr>
            <w:tcW w:w="5418" w:type="dxa"/>
          </w:tcPr>
          <w:p w14:paraId="52E2D19B" w14:textId="77777777" w:rsidR="00F86B78" w:rsidRPr="00862A76" w:rsidRDefault="00F86B78" w:rsidP="00D66510">
            <w:pPr>
              <w:rPr>
                <w:rFonts w:ascii="Arial" w:hAnsi="Arial" w:cs="Arial"/>
              </w:rPr>
            </w:pPr>
            <w:r w:rsidRPr="00862A76">
              <w:rPr>
                <w:rFonts w:ascii="Arial" w:hAnsi="Arial" w:cs="Arial"/>
              </w:rPr>
              <w:t>Poisson versus Generalized Poisson</w:t>
            </w:r>
          </w:p>
        </w:tc>
        <w:tc>
          <w:tcPr>
            <w:tcW w:w="1980" w:type="dxa"/>
          </w:tcPr>
          <w:p w14:paraId="628FFBD3" w14:textId="77777777" w:rsidR="00F86B78" w:rsidRPr="00862A76" w:rsidRDefault="00F86B78" w:rsidP="00D66510">
            <w:pPr>
              <w:rPr>
                <w:rFonts w:ascii="Arial" w:hAnsi="Arial" w:cs="Arial"/>
              </w:rPr>
            </w:pPr>
            <w:r w:rsidRPr="00862A76">
              <w:rPr>
                <w:rFonts w:ascii="Arial" w:hAnsi="Arial" w:cs="Arial"/>
              </w:rPr>
              <w:t>9.78</w:t>
            </w:r>
          </w:p>
        </w:tc>
        <w:tc>
          <w:tcPr>
            <w:tcW w:w="1800" w:type="dxa"/>
          </w:tcPr>
          <w:p w14:paraId="48BCC9A9" w14:textId="77777777" w:rsidR="00F86B78" w:rsidRPr="00862A76" w:rsidRDefault="00F86B78" w:rsidP="00D66510">
            <w:pPr>
              <w:rPr>
                <w:rFonts w:ascii="Arial" w:hAnsi="Arial" w:cs="Arial"/>
              </w:rPr>
            </w:pPr>
            <w:r w:rsidRPr="00862A76">
              <w:rPr>
                <w:rFonts w:ascii="Arial" w:hAnsi="Arial" w:cs="Arial"/>
              </w:rPr>
              <w:t>0.0020</w:t>
            </w:r>
          </w:p>
        </w:tc>
      </w:tr>
      <w:tr w:rsidR="00F86B78" w:rsidRPr="00862A76" w14:paraId="0ACEBA12" w14:textId="77777777" w:rsidTr="00D66510">
        <w:tc>
          <w:tcPr>
            <w:tcW w:w="5418" w:type="dxa"/>
          </w:tcPr>
          <w:p w14:paraId="140AB2F3" w14:textId="77777777" w:rsidR="00F86B78" w:rsidRPr="00862A76" w:rsidRDefault="00F86B78" w:rsidP="00D66510">
            <w:pPr>
              <w:rPr>
                <w:rFonts w:ascii="Arial" w:hAnsi="Arial" w:cs="Arial"/>
              </w:rPr>
            </w:pPr>
            <w:r w:rsidRPr="00862A76">
              <w:rPr>
                <w:rFonts w:ascii="Arial" w:hAnsi="Arial" w:cs="Arial"/>
              </w:rPr>
              <w:t>Negative Binomial versus Generalized Poisson</w:t>
            </w:r>
          </w:p>
        </w:tc>
        <w:tc>
          <w:tcPr>
            <w:tcW w:w="1980" w:type="dxa"/>
          </w:tcPr>
          <w:p w14:paraId="797FCD85" w14:textId="77777777" w:rsidR="00F86B78" w:rsidRPr="00862A76" w:rsidRDefault="00F86B78" w:rsidP="00D66510">
            <w:pPr>
              <w:rPr>
                <w:rFonts w:ascii="Arial" w:hAnsi="Arial" w:cs="Arial"/>
              </w:rPr>
            </w:pPr>
            <w:r w:rsidRPr="00862A76">
              <w:rPr>
                <w:rFonts w:ascii="Arial" w:hAnsi="Arial" w:cs="Arial"/>
              </w:rPr>
              <w:t>1.45</w:t>
            </w:r>
          </w:p>
        </w:tc>
        <w:tc>
          <w:tcPr>
            <w:tcW w:w="1800" w:type="dxa"/>
          </w:tcPr>
          <w:p w14:paraId="36FC5ED4" w14:textId="77777777" w:rsidR="00F86B78" w:rsidRPr="00862A76" w:rsidRDefault="00F86B78" w:rsidP="00D66510">
            <w:pPr>
              <w:rPr>
                <w:rFonts w:ascii="Arial" w:hAnsi="Arial" w:cs="Arial"/>
              </w:rPr>
            </w:pPr>
            <w:r w:rsidRPr="00862A76">
              <w:rPr>
                <w:rFonts w:ascii="Arial" w:hAnsi="Arial" w:cs="Arial"/>
              </w:rPr>
              <w:t>0.2280</w:t>
            </w:r>
          </w:p>
        </w:tc>
      </w:tr>
    </w:tbl>
    <w:p w14:paraId="37C4E9DB" w14:textId="77777777" w:rsidR="00F86B78" w:rsidRPr="00862A76" w:rsidRDefault="00F86B78" w:rsidP="00F86B78">
      <w:pPr>
        <w:spacing w:before="100" w:beforeAutospacing="1"/>
        <w:jc w:val="both"/>
        <w:rPr>
          <w:rFonts w:ascii="Arial" w:hAnsi="Arial" w:cs="Arial"/>
        </w:rPr>
      </w:pPr>
      <w:r w:rsidRPr="00862A76">
        <w:rPr>
          <w:rFonts w:ascii="Arial" w:hAnsi="Arial" w:cs="Arial"/>
        </w:rPr>
        <w:t>The omnibus tests presented in Table 2 compare Poisson regression with negative binomial and generalised Poisson regression to determine whether models containing dispersion parameters provide a better fit. A significant result (</w:t>
      </w:r>
      <m:oMath>
        <m:r>
          <w:rPr>
            <w:rFonts w:ascii="Cambria Math" w:hAnsi="Cambria Math" w:cs="Arial"/>
          </w:rPr>
          <m:t>p&lt;0.05</m:t>
        </m:r>
      </m:oMath>
      <w:r w:rsidRPr="00862A76">
        <w:rPr>
          <w:rFonts w:ascii="Arial" w:hAnsi="Arial" w:cs="Arial"/>
        </w:rPr>
        <w:t xml:space="preserve">) indicates that the observed variability exceeds what the Poisson model can adequately represent. The likelihood-ratio statistics and p-values show that the negative binomial and generalised Poisson models each fit significantly better than the Poisson model. Both comparisons yielded </w:t>
      </w:r>
      <m:oMath>
        <m:r>
          <w:rPr>
            <w:rFonts w:ascii="Cambria Math" w:hAnsi="Cambria Math" w:cs="Arial"/>
          </w:rPr>
          <m:t>p&lt;0.05</m:t>
        </m:r>
      </m:oMath>
      <w:r w:rsidRPr="00862A76">
        <w:rPr>
          <w:rFonts w:ascii="Arial" w:hAnsi="Arial" w:cs="Arial"/>
        </w:rPr>
        <w:t>, indicating evidence of overdispersion and supporting the use of models that account for dispersion. Generalised Poisson regression can accommodate both overdispersion and underdispersion; its improved fit over Poisson regression indicates that the equidispersion assumption is inadequate.</w:t>
      </w:r>
    </w:p>
    <w:p w14:paraId="184C3B92" w14:textId="77777777" w:rsidR="00F86B78" w:rsidRPr="00862A76" w:rsidRDefault="00F86B78" w:rsidP="00F86B78">
      <w:pPr>
        <w:spacing w:before="100" w:beforeAutospacing="1"/>
        <w:jc w:val="both"/>
        <w:rPr>
          <w:rFonts w:ascii="Arial" w:hAnsi="Arial" w:cs="Arial"/>
        </w:rPr>
      </w:pPr>
      <w:r w:rsidRPr="00862A76">
        <w:rPr>
          <w:rFonts w:ascii="Arial" w:hAnsi="Arial" w:cs="Arial"/>
        </w:rPr>
        <w:t>For the comparison between negative binomial and generalised Poisson regression, a significant result would indicate that the generalised Poisson model captures the dispersion pattern more effectively. However, the low likelihood-ratio statistic and high p-value (</w:t>
      </w:r>
      <m:oMath>
        <m:r>
          <w:rPr>
            <w:rFonts w:ascii="Cambria Math" w:hAnsi="Cambria Math" w:cs="Arial"/>
          </w:rPr>
          <m:t>p&gt;0.05</m:t>
        </m:r>
      </m:oMath>
      <w:r w:rsidRPr="00862A76">
        <w:rPr>
          <w:rFonts w:ascii="Arial" w:hAnsi="Arial" w:cs="Arial"/>
        </w:rPr>
        <w:t xml:space="preserve">) indicate no significant improvement in fit from the generalised Poisson model. The comparison yielded </w:t>
      </w:r>
      <m:oMath>
        <m:r>
          <w:rPr>
            <w:rFonts w:ascii="Cambria Math" w:hAnsi="Cambria Math" w:cs="Arial"/>
          </w:rPr>
          <m:t>p&gt;0.05</m:t>
        </m:r>
      </m:oMath>
      <w:r w:rsidRPr="00862A76">
        <w:rPr>
          <w:rFonts w:ascii="Arial" w:hAnsi="Arial" w:cs="Arial"/>
        </w:rPr>
        <w:t>, suggesting that the negative binomial model adequately represents the dispersion pattern and may be preferred as the simpler model.</w:t>
      </w:r>
    </w:p>
    <w:p w14:paraId="3F960EAE" w14:textId="77777777" w:rsidR="00F86B78" w:rsidRPr="00862A76" w:rsidRDefault="00756351" w:rsidP="00F86B78">
      <w:pPr>
        <w:spacing w:before="240"/>
        <w:jc w:val="both"/>
        <w:rPr>
          <w:rFonts w:ascii="Arial" w:hAnsi="Arial" w:cs="Arial"/>
          <w:b/>
        </w:rPr>
      </w:pPr>
      <w:r w:rsidRPr="00862A76">
        <w:rPr>
          <w:b/>
        </w:rPr>
        <w:t>3.4 Test of Multicollinearity for Diabetes Mellitus Cases in Benue State</w:t>
      </w:r>
    </w:p>
    <w:p w14:paraId="7ABDFD5A" w14:textId="77777777" w:rsidR="00F86B78" w:rsidRPr="00862A76" w:rsidRDefault="00F86B78" w:rsidP="00F86B78">
      <w:pPr>
        <w:jc w:val="both"/>
        <w:rPr>
          <w:rFonts w:ascii="Arial" w:hAnsi="Arial" w:cs="Arial"/>
        </w:rPr>
      </w:pPr>
      <w:r w:rsidRPr="00862A76">
        <w:t>As a preliminary step in estimating the model parameters for diabetes mellitus cases in Benue State, multicollinearity was assessed by calculating the variance inflation factor (VIF) for each predictor variable. A VIF value greater than 10 was considered indicative of multicollinearity. The calculated VIF values are presented in Table 3.</w:t>
      </w:r>
    </w:p>
    <w:p w14:paraId="65AD6539" w14:textId="77777777" w:rsidR="00F86B78" w:rsidRPr="00862A76" w:rsidRDefault="00F86B78" w:rsidP="00F86B78">
      <w:pPr>
        <w:jc w:val="both"/>
        <w:rPr>
          <w:rFonts w:ascii="Arial" w:hAnsi="Arial" w:cs="Arial"/>
          <w:b/>
        </w:rPr>
      </w:pPr>
      <w:r w:rsidRPr="00862A76">
        <w:rPr>
          <w:rFonts w:ascii="Arial" w:hAnsi="Arial" w:cs="Arial"/>
          <w:b/>
        </w:rPr>
        <w:t>Table 3: Variance Inflation Factors (VIF) of the Predictor Variables</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788"/>
        <w:gridCol w:w="2710"/>
        <w:gridCol w:w="2710"/>
      </w:tblGrid>
      <w:tr w:rsidR="00F86B78" w:rsidRPr="00862A76" w14:paraId="7195178E" w14:textId="77777777" w:rsidTr="00D66510">
        <w:tc>
          <w:tcPr>
            <w:tcW w:w="3192" w:type="dxa"/>
            <w:tcBorders>
              <w:top w:val="single" w:sz="4" w:space="0" w:color="auto"/>
              <w:bottom w:val="single" w:sz="4" w:space="0" w:color="auto"/>
            </w:tcBorders>
          </w:tcPr>
          <w:p w14:paraId="48111B8A" w14:textId="77777777" w:rsidR="00F86B78" w:rsidRPr="00862A76" w:rsidRDefault="00F86B78" w:rsidP="00D66510">
            <w:pPr>
              <w:rPr>
                <w:rFonts w:ascii="Arial" w:hAnsi="Arial" w:cs="Arial"/>
                <w:b/>
              </w:rPr>
            </w:pPr>
            <w:r w:rsidRPr="00862A76">
              <w:rPr>
                <w:rFonts w:ascii="Arial" w:hAnsi="Arial" w:cs="Arial"/>
                <w:b/>
              </w:rPr>
              <w:t xml:space="preserve">Predictors </w:t>
            </w:r>
          </w:p>
        </w:tc>
        <w:tc>
          <w:tcPr>
            <w:tcW w:w="3192" w:type="dxa"/>
            <w:tcBorders>
              <w:top w:val="single" w:sz="4" w:space="0" w:color="auto"/>
              <w:bottom w:val="single" w:sz="4" w:space="0" w:color="auto"/>
            </w:tcBorders>
          </w:tcPr>
          <w:p w14:paraId="535A632F" w14:textId="77777777" w:rsidR="00F86B78" w:rsidRPr="00862A76" w:rsidRDefault="00F86B78" w:rsidP="00D66510">
            <w:pPr>
              <w:rPr>
                <w:rFonts w:ascii="Arial" w:hAnsi="Arial" w:cs="Arial"/>
                <w:b/>
              </w:rPr>
            </w:pPr>
            <w:r w:rsidRPr="00862A76">
              <w:rPr>
                <w:rFonts w:ascii="Arial" w:hAnsi="Arial" w:cs="Arial"/>
                <w:b/>
              </w:rPr>
              <w:t>VIF</w:t>
            </w:r>
          </w:p>
        </w:tc>
        <w:tc>
          <w:tcPr>
            <w:tcW w:w="3192" w:type="dxa"/>
            <w:tcBorders>
              <w:top w:val="single" w:sz="4" w:space="0" w:color="auto"/>
              <w:bottom w:val="single" w:sz="4" w:space="0" w:color="auto"/>
            </w:tcBorders>
          </w:tcPr>
          <w:p w14:paraId="4D9BEB0C" w14:textId="77777777" w:rsidR="00F86B78" w:rsidRPr="00862A76" w:rsidRDefault="00F86B78" w:rsidP="00D66510">
            <w:pPr>
              <w:rPr>
                <w:rFonts w:ascii="Arial" w:hAnsi="Arial" w:cs="Arial"/>
                <w:b/>
              </w:rPr>
            </w:pPr>
            <w:r w:rsidRPr="00862A76">
              <w:rPr>
                <w:rFonts w:ascii="Arial" w:hAnsi="Arial" w:cs="Arial"/>
                <w:b/>
              </w:rPr>
              <w:t>1/VIF</w:t>
            </w:r>
          </w:p>
        </w:tc>
      </w:tr>
      <w:tr w:rsidR="00F86B78" w:rsidRPr="00862A76" w14:paraId="1E2C7994" w14:textId="77777777" w:rsidTr="00D66510">
        <w:tc>
          <w:tcPr>
            <w:tcW w:w="3192" w:type="dxa"/>
            <w:tcBorders>
              <w:top w:val="single" w:sz="4" w:space="0" w:color="auto"/>
            </w:tcBorders>
          </w:tcPr>
          <w:p w14:paraId="7FB58783" w14:textId="77777777" w:rsidR="00F86B78" w:rsidRPr="00862A76" w:rsidRDefault="00F86B78" w:rsidP="00D66510">
            <w:pPr>
              <w:rPr>
                <w:rFonts w:ascii="Arial" w:hAnsi="Arial" w:cs="Arial"/>
              </w:rPr>
            </w:pPr>
            <w:r w:rsidRPr="00862A76">
              <w:rPr>
                <w:rFonts w:ascii="Arial" w:hAnsi="Arial" w:cs="Arial"/>
              </w:rPr>
              <w:t xml:space="preserve">Confirmed Cases </w:t>
            </w:r>
            <m:oMath>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r>
                <w:rPr>
                  <w:rFonts w:ascii="Cambria Math" w:hAnsi="Cambria Math" w:cs="Arial"/>
                </w:rPr>
                <m:t>)</m:t>
              </m:r>
            </m:oMath>
          </w:p>
        </w:tc>
        <w:tc>
          <w:tcPr>
            <w:tcW w:w="3192" w:type="dxa"/>
            <w:tcBorders>
              <w:top w:val="single" w:sz="4" w:space="0" w:color="auto"/>
            </w:tcBorders>
          </w:tcPr>
          <w:p w14:paraId="721CA034" w14:textId="77777777" w:rsidR="00F86B78" w:rsidRPr="00862A76" w:rsidRDefault="00F86B78" w:rsidP="00D66510">
            <w:pPr>
              <w:rPr>
                <w:rFonts w:ascii="Arial" w:hAnsi="Arial" w:cs="Arial"/>
              </w:rPr>
            </w:pPr>
            <w:r w:rsidRPr="00862A76">
              <w:rPr>
                <w:rFonts w:ascii="Arial" w:hAnsi="Arial" w:cs="Arial"/>
              </w:rPr>
              <w:t>2.30</w:t>
            </w:r>
          </w:p>
        </w:tc>
        <w:tc>
          <w:tcPr>
            <w:tcW w:w="3192" w:type="dxa"/>
            <w:tcBorders>
              <w:top w:val="single" w:sz="4" w:space="0" w:color="auto"/>
            </w:tcBorders>
          </w:tcPr>
          <w:p w14:paraId="4F3ACF38" w14:textId="77777777" w:rsidR="00F86B78" w:rsidRPr="00862A76" w:rsidRDefault="00F86B78" w:rsidP="00D66510">
            <w:pPr>
              <w:rPr>
                <w:rFonts w:ascii="Arial" w:hAnsi="Arial" w:cs="Arial"/>
              </w:rPr>
            </w:pPr>
            <w:r w:rsidRPr="00862A76">
              <w:rPr>
                <w:rFonts w:ascii="Arial" w:hAnsi="Arial" w:cs="Arial"/>
              </w:rPr>
              <w:t>0.4348</w:t>
            </w:r>
          </w:p>
        </w:tc>
      </w:tr>
      <w:tr w:rsidR="00F86B78" w:rsidRPr="00862A76" w14:paraId="2FE4D866" w14:textId="77777777" w:rsidTr="00D66510">
        <w:tc>
          <w:tcPr>
            <w:tcW w:w="3192" w:type="dxa"/>
          </w:tcPr>
          <w:p w14:paraId="2B40DB43" w14:textId="77777777" w:rsidR="00F86B78" w:rsidRPr="00862A76" w:rsidRDefault="00F86B78" w:rsidP="00D66510">
            <w:pPr>
              <w:rPr>
                <w:rFonts w:ascii="Arial" w:hAnsi="Arial" w:cs="Arial"/>
              </w:rPr>
            </w:pPr>
            <w:r w:rsidRPr="00862A76">
              <w:rPr>
                <w:rFonts w:ascii="Arial" w:hAnsi="Arial" w:cs="Arial"/>
              </w:rPr>
              <w:t xml:space="preserve">Active Cases </w:t>
            </w:r>
            <m:oMath>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2</m:t>
                  </m:r>
                </m:sub>
              </m:sSub>
              <m:r>
                <w:rPr>
                  <w:rFonts w:ascii="Cambria Math" w:hAnsi="Cambria Math" w:cs="Arial"/>
                </w:rPr>
                <m:t>)</m:t>
              </m:r>
            </m:oMath>
          </w:p>
        </w:tc>
        <w:tc>
          <w:tcPr>
            <w:tcW w:w="3192" w:type="dxa"/>
          </w:tcPr>
          <w:p w14:paraId="72287187" w14:textId="77777777" w:rsidR="00F86B78" w:rsidRPr="00862A76" w:rsidRDefault="00F86B78" w:rsidP="00D66510">
            <w:pPr>
              <w:rPr>
                <w:rFonts w:ascii="Arial" w:hAnsi="Arial" w:cs="Arial"/>
              </w:rPr>
            </w:pPr>
            <w:r w:rsidRPr="00862A76">
              <w:rPr>
                <w:rFonts w:ascii="Arial" w:hAnsi="Arial" w:cs="Arial"/>
              </w:rPr>
              <w:t>1.80</w:t>
            </w:r>
          </w:p>
        </w:tc>
        <w:tc>
          <w:tcPr>
            <w:tcW w:w="3192" w:type="dxa"/>
          </w:tcPr>
          <w:p w14:paraId="1498403B" w14:textId="77777777" w:rsidR="00F86B78" w:rsidRPr="00862A76" w:rsidRDefault="00F86B78" w:rsidP="00D66510">
            <w:pPr>
              <w:rPr>
                <w:rFonts w:ascii="Arial" w:hAnsi="Arial" w:cs="Arial"/>
              </w:rPr>
            </w:pPr>
            <w:r w:rsidRPr="00862A76">
              <w:rPr>
                <w:rFonts w:ascii="Arial" w:hAnsi="Arial" w:cs="Arial"/>
              </w:rPr>
              <w:t>0.5556</w:t>
            </w:r>
          </w:p>
        </w:tc>
      </w:tr>
      <w:tr w:rsidR="00F86B78" w:rsidRPr="00862A76" w14:paraId="1A7C0437" w14:textId="77777777" w:rsidTr="00D66510">
        <w:tc>
          <w:tcPr>
            <w:tcW w:w="3192" w:type="dxa"/>
          </w:tcPr>
          <w:p w14:paraId="794E8709" w14:textId="77777777" w:rsidR="00F86B78" w:rsidRPr="00862A76" w:rsidRDefault="00F86B78" w:rsidP="00D66510">
            <w:pPr>
              <w:rPr>
                <w:rFonts w:ascii="Arial" w:hAnsi="Arial" w:cs="Arial"/>
              </w:rPr>
            </w:pPr>
            <w:r w:rsidRPr="00862A76">
              <w:rPr>
                <w:rFonts w:ascii="Arial" w:hAnsi="Arial" w:cs="Arial"/>
              </w:rPr>
              <w:t xml:space="preserve">Severe Cases </w:t>
            </w:r>
            <m:oMath>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3</m:t>
                  </m:r>
                </m:sub>
              </m:sSub>
              <m:r>
                <w:rPr>
                  <w:rFonts w:ascii="Cambria Math" w:hAnsi="Cambria Math" w:cs="Arial"/>
                </w:rPr>
                <m:t>)</m:t>
              </m:r>
            </m:oMath>
          </w:p>
        </w:tc>
        <w:tc>
          <w:tcPr>
            <w:tcW w:w="3192" w:type="dxa"/>
          </w:tcPr>
          <w:p w14:paraId="549F5722" w14:textId="77777777" w:rsidR="00F86B78" w:rsidRPr="00862A76" w:rsidRDefault="00F86B78" w:rsidP="00D66510">
            <w:pPr>
              <w:rPr>
                <w:rFonts w:ascii="Arial" w:hAnsi="Arial" w:cs="Arial"/>
              </w:rPr>
            </w:pPr>
            <w:r w:rsidRPr="00862A76">
              <w:rPr>
                <w:rFonts w:ascii="Arial" w:hAnsi="Arial" w:cs="Arial"/>
              </w:rPr>
              <w:t>2.10</w:t>
            </w:r>
          </w:p>
        </w:tc>
        <w:tc>
          <w:tcPr>
            <w:tcW w:w="3192" w:type="dxa"/>
          </w:tcPr>
          <w:p w14:paraId="7FDE9EB8" w14:textId="77777777" w:rsidR="00F86B78" w:rsidRPr="00862A76" w:rsidRDefault="00F86B78" w:rsidP="00D66510">
            <w:pPr>
              <w:rPr>
                <w:rFonts w:ascii="Arial" w:hAnsi="Arial" w:cs="Arial"/>
              </w:rPr>
            </w:pPr>
            <w:r w:rsidRPr="00862A76">
              <w:rPr>
                <w:rFonts w:ascii="Arial" w:hAnsi="Arial" w:cs="Arial"/>
              </w:rPr>
              <w:t>0.4762</w:t>
            </w:r>
          </w:p>
        </w:tc>
      </w:tr>
      <w:tr w:rsidR="00F86B78" w:rsidRPr="00862A76" w14:paraId="43DBCF7A" w14:textId="77777777" w:rsidTr="00D66510">
        <w:tc>
          <w:tcPr>
            <w:tcW w:w="3192" w:type="dxa"/>
          </w:tcPr>
          <w:p w14:paraId="22BA5FC4" w14:textId="77777777" w:rsidR="00F86B78" w:rsidRPr="00862A76" w:rsidRDefault="00F86B78" w:rsidP="00D66510">
            <w:pPr>
              <w:rPr>
                <w:rFonts w:ascii="Arial" w:hAnsi="Arial" w:cs="Arial"/>
              </w:rPr>
            </w:pPr>
            <w:r w:rsidRPr="00862A76">
              <w:rPr>
                <w:rFonts w:ascii="Arial" w:hAnsi="Arial" w:cs="Arial"/>
              </w:rPr>
              <w:t xml:space="preserve">Mean </w:t>
            </w:r>
          </w:p>
        </w:tc>
        <w:tc>
          <w:tcPr>
            <w:tcW w:w="3192" w:type="dxa"/>
          </w:tcPr>
          <w:p w14:paraId="62F89501" w14:textId="77777777" w:rsidR="00F86B78" w:rsidRPr="00862A76" w:rsidRDefault="00F86B78" w:rsidP="00D66510">
            <w:pPr>
              <w:rPr>
                <w:rFonts w:ascii="Arial" w:hAnsi="Arial" w:cs="Arial"/>
              </w:rPr>
            </w:pPr>
            <w:r w:rsidRPr="00862A76">
              <w:rPr>
                <w:rFonts w:ascii="Arial" w:hAnsi="Arial" w:cs="Arial"/>
              </w:rPr>
              <w:t>2.0667</w:t>
            </w:r>
          </w:p>
        </w:tc>
        <w:tc>
          <w:tcPr>
            <w:tcW w:w="3192" w:type="dxa"/>
          </w:tcPr>
          <w:p w14:paraId="7579270B" w14:textId="77777777" w:rsidR="00F86B78" w:rsidRPr="00862A76" w:rsidRDefault="00F86B78" w:rsidP="00D66510">
            <w:pPr>
              <w:rPr>
                <w:rFonts w:ascii="Arial" w:hAnsi="Arial" w:cs="Arial"/>
              </w:rPr>
            </w:pPr>
          </w:p>
        </w:tc>
      </w:tr>
    </w:tbl>
    <w:p w14:paraId="62B3462C" w14:textId="77777777" w:rsidR="00F86B78" w:rsidRPr="00862A76" w:rsidRDefault="00F86B78" w:rsidP="00F86B78">
      <w:pPr>
        <w:jc w:val="both"/>
        <w:rPr>
          <w:rFonts w:ascii="Arial" w:hAnsi="Arial" w:cs="Arial"/>
        </w:rPr>
      </w:pPr>
      <w:r w:rsidRPr="00862A76">
        <w:t>The results presented in Table 3 show that all predictor variables had VIF values below the threshold of 10, indicating no evidence of substantial multicollinearity. The variables could therefore be retained in the models without a high risk of inflated standard errors or unstable coefficient estimates.</w:t>
      </w:r>
    </w:p>
    <w:p w14:paraId="1297F16F" w14:textId="77777777" w:rsidR="00F86B78" w:rsidRPr="00862A76" w:rsidRDefault="00756351" w:rsidP="00F86B78">
      <w:pPr>
        <w:jc w:val="both"/>
        <w:rPr>
          <w:rFonts w:ascii="Arial" w:hAnsi="Arial" w:cs="Arial"/>
          <w:b/>
        </w:rPr>
      </w:pPr>
      <w:r w:rsidRPr="00862A76">
        <w:rPr>
          <w:b/>
        </w:rPr>
        <w:t>3.5 Modelling Diabetes Mellitus Cases in Benue State Using Count Data Regression Models</w:t>
      </w:r>
    </w:p>
    <w:p w14:paraId="6A15F4EE" w14:textId="77777777" w:rsidR="00F86B78" w:rsidRPr="00862A76" w:rsidRDefault="00F86B78" w:rsidP="00F86B78">
      <w:pPr>
        <w:jc w:val="both"/>
        <w:rPr>
          <w:rFonts w:ascii="Arial" w:hAnsi="Arial" w:cs="Arial"/>
        </w:rPr>
      </w:pPr>
      <w:r w:rsidRPr="00862A76">
        <w:t xml:space="preserve">To identify factors associated with the number of diabetes-related deaths in Benue State, three count data regression models—Poisson regression (PR), negative binomial regression (NBR), </w:t>
      </w:r>
      <w:r w:rsidRPr="00862A76">
        <w:lastRenderedPageBreak/>
        <w:t>and generalised Poisson regression (GPR)—were fitted. The model parameters were estimated using maximum likelihood estimation, and the results are presented in Table 4.</w:t>
      </w:r>
    </w:p>
    <w:p w14:paraId="676244D8" w14:textId="77777777" w:rsidR="00F86B78" w:rsidRPr="00862A76" w:rsidRDefault="00F86B78" w:rsidP="00F86B78">
      <w:pPr>
        <w:jc w:val="both"/>
        <w:rPr>
          <w:rFonts w:ascii="Arial" w:hAnsi="Arial" w:cs="Arial"/>
        </w:rPr>
      </w:pPr>
      <w:r w:rsidRPr="00862A76">
        <w:rPr>
          <w:rFonts w:ascii="Arial" w:hAnsi="Arial" w:cs="Arial"/>
          <w:b/>
        </w:rPr>
        <w:t>Table 4: Parameter Estimates of</w:t>
      </w:r>
      <w:r w:rsidRPr="00862A76">
        <w:rPr>
          <w:rFonts w:ascii="Arial" w:hAnsi="Arial" w:cs="Arial"/>
        </w:rPr>
        <w:t xml:space="preserve"> </w:t>
      </w:r>
      <w:r w:rsidRPr="00862A76">
        <w:rPr>
          <w:rFonts w:ascii="Arial" w:hAnsi="Arial" w:cs="Arial"/>
          <w:b/>
        </w:rPr>
        <w:t>Count Data Regression Models</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398"/>
        <w:gridCol w:w="1453"/>
        <w:gridCol w:w="1127"/>
        <w:gridCol w:w="1250"/>
        <w:gridCol w:w="965"/>
        <w:gridCol w:w="1077"/>
        <w:gridCol w:w="938"/>
      </w:tblGrid>
      <w:tr w:rsidR="00F86B78" w:rsidRPr="00862A76" w14:paraId="51419A6D" w14:textId="77777777" w:rsidTr="00D66510">
        <w:tc>
          <w:tcPr>
            <w:tcW w:w="1478" w:type="dxa"/>
            <w:vMerge w:val="restart"/>
            <w:tcBorders>
              <w:top w:val="single" w:sz="4" w:space="0" w:color="auto"/>
              <w:bottom w:val="nil"/>
            </w:tcBorders>
          </w:tcPr>
          <w:p w14:paraId="3FF8125F" w14:textId="77777777" w:rsidR="00F86B78" w:rsidRPr="00862A76" w:rsidRDefault="00F86B78" w:rsidP="00D66510">
            <w:pPr>
              <w:jc w:val="both"/>
              <w:rPr>
                <w:rFonts w:ascii="Arial" w:hAnsi="Arial" w:cs="Arial"/>
                <w:b/>
              </w:rPr>
            </w:pPr>
            <w:r w:rsidRPr="00862A76">
              <w:rPr>
                <w:rFonts w:ascii="Arial" w:hAnsi="Arial" w:cs="Arial"/>
                <w:b/>
              </w:rPr>
              <w:t xml:space="preserve">Parameter </w:t>
            </w:r>
          </w:p>
        </w:tc>
        <w:tc>
          <w:tcPr>
            <w:tcW w:w="1533" w:type="dxa"/>
            <w:vMerge w:val="restart"/>
            <w:tcBorders>
              <w:top w:val="single" w:sz="4" w:space="0" w:color="auto"/>
              <w:bottom w:val="nil"/>
            </w:tcBorders>
          </w:tcPr>
          <w:p w14:paraId="2AE5A2AD" w14:textId="77777777" w:rsidR="00F86B78" w:rsidRPr="00862A76" w:rsidRDefault="00F86B78" w:rsidP="00D66510">
            <w:pPr>
              <w:jc w:val="both"/>
              <w:rPr>
                <w:rFonts w:ascii="Arial" w:hAnsi="Arial" w:cs="Arial"/>
                <w:b/>
              </w:rPr>
            </w:pPr>
            <w:r w:rsidRPr="00862A76">
              <w:rPr>
                <w:rFonts w:ascii="Arial" w:hAnsi="Arial" w:cs="Arial"/>
                <w:b/>
              </w:rPr>
              <w:t xml:space="preserve">Coefficient </w:t>
            </w:r>
          </w:p>
        </w:tc>
        <w:tc>
          <w:tcPr>
            <w:tcW w:w="1245" w:type="dxa"/>
            <w:vMerge w:val="restart"/>
            <w:tcBorders>
              <w:top w:val="single" w:sz="4" w:space="0" w:color="auto"/>
              <w:bottom w:val="nil"/>
            </w:tcBorders>
          </w:tcPr>
          <w:p w14:paraId="469E8A5C" w14:textId="77777777" w:rsidR="00F86B78" w:rsidRPr="00862A76" w:rsidRDefault="00F86B78" w:rsidP="00D66510">
            <w:pPr>
              <w:jc w:val="both"/>
              <w:rPr>
                <w:rFonts w:ascii="Arial" w:hAnsi="Arial" w:cs="Arial"/>
                <w:b/>
              </w:rPr>
            </w:pPr>
            <w:r w:rsidRPr="00862A76">
              <w:rPr>
                <w:rFonts w:ascii="Arial" w:hAnsi="Arial" w:cs="Arial"/>
                <w:b/>
              </w:rPr>
              <w:t>Std. Error</w:t>
            </w:r>
          </w:p>
        </w:tc>
        <w:tc>
          <w:tcPr>
            <w:tcW w:w="1360" w:type="dxa"/>
            <w:vMerge w:val="restart"/>
            <w:tcBorders>
              <w:top w:val="single" w:sz="4" w:space="0" w:color="auto"/>
              <w:bottom w:val="nil"/>
            </w:tcBorders>
          </w:tcPr>
          <w:p w14:paraId="4B2EB826" w14:textId="77777777" w:rsidR="00F86B78" w:rsidRPr="00862A76" w:rsidRDefault="00F86B78" w:rsidP="00D66510">
            <w:pPr>
              <w:jc w:val="both"/>
              <w:rPr>
                <w:rFonts w:ascii="Arial" w:hAnsi="Arial" w:cs="Arial"/>
                <w:b/>
              </w:rPr>
            </w:pPr>
            <w:r w:rsidRPr="00862A76">
              <w:rPr>
                <w:rFonts w:ascii="Arial" w:hAnsi="Arial" w:cs="Arial"/>
                <w:b/>
              </w:rPr>
              <w:t>z-statistic</w:t>
            </w:r>
          </w:p>
        </w:tc>
        <w:tc>
          <w:tcPr>
            <w:tcW w:w="1062" w:type="dxa"/>
            <w:vMerge w:val="restart"/>
            <w:tcBorders>
              <w:top w:val="single" w:sz="4" w:space="0" w:color="auto"/>
              <w:bottom w:val="nil"/>
            </w:tcBorders>
          </w:tcPr>
          <w:p w14:paraId="5A5B63A4" w14:textId="77777777" w:rsidR="00F86B78" w:rsidRPr="00862A76" w:rsidRDefault="00F86B78" w:rsidP="00D66510">
            <w:pPr>
              <w:jc w:val="both"/>
              <w:rPr>
                <w:rFonts w:ascii="Arial" w:hAnsi="Arial" w:cs="Arial"/>
                <w:b/>
              </w:rPr>
            </w:pPr>
            <m:oMathPara>
              <m:oMath>
                <m:r>
                  <m:rPr>
                    <m:sty m:val="bi"/>
                  </m:rPr>
                  <w:rPr>
                    <w:rFonts w:ascii="Cambria Math" w:hAnsi="Cambria Math" w:cs="Arial"/>
                  </w:rPr>
                  <m:t>p</m:t>
                </m:r>
                <m:r>
                  <w:rPr>
                    <w:rFonts w:ascii="Cambria Math" w:hAnsi="Cambria Math" w:cs="Arial"/>
                  </w:rPr>
                  <m:t>&gt;</m:t>
                </m:r>
                <m:d>
                  <m:dPr>
                    <m:begChr m:val="|"/>
                    <m:endChr m:val="|"/>
                    <m:ctrlPr>
                      <w:rPr>
                        <w:rFonts w:ascii="Cambria Math" w:hAnsi="Cambria Math" w:cs="Arial"/>
                        <w:b/>
                        <w:i/>
                      </w:rPr>
                    </m:ctrlPr>
                  </m:dPr>
                  <m:e>
                    <m:r>
                      <m:rPr>
                        <m:sty m:val="bi"/>
                      </m:rPr>
                      <w:rPr>
                        <w:rFonts w:ascii="Cambria Math" w:hAnsi="Cambria Math" w:cs="Arial"/>
                      </w:rPr>
                      <m:t>z</m:t>
                    </m:r>
                  </m:e>
                </m:d>
              </m:oMath>
            </m:oMathPara>
          </w:p>
        </w:tc>
        <w:tc>
          <w:tcPr>
            <w:tcW w:w="2178" w:type="dxa"/>
            <w:gridSpan w:val="2"/>
            <w:tcBorders>
              <w:top w:val="single" w:sz="4" w:space="0" w:color="auto"/>
              <w:bottom w:val="nil"/>
            </w:tcBorders>
          </w:tcPr>
          <w:p w14:paraId="7F0A829C" w14:textId="77777777" w:rsidR="00F86B78" w:rsidRPr="00862A76" w:rsidRDefault="00F86B78" w:rsidP="00D66510">
            <w:pPr>
              <w:jc w:val="both"/>
              <w:rPr>
                <w:rFonts w:ascii="Arial" w:eastAsia="Calibri" w:hAnsi="Arial" w:cs="Arial"/>
                <w:b/>
              </w:rPr>
            </w:pPr>
            <w:r w:rsidRPr="00862A76">
              <w:rPr>
                <w:rFonts w:ascii="Arial" w:eastAsia="Calibri" w:hAnsi="Arial" w:cs="Arial"/>
                <w:b/>
              </w:rPr>
              <w:t>95% Conf. Interval</w:t>
            </w:r>
          </w:p>
        </w:tc>
      </w:tr>
      <w:tr w:rsidR="00F86B78" w:rsidRPr="00862A76" w14:paraId="13BC7570" w14:textId="77777777" w:rsidTr="00D66510">
        <w:tc>
          <w:tcPr>
            <w:tcW w:w="1478" w:type="dxa"/>
            <w:vMerge/>
            <w:tcBorders>
              <w:top w:val="nil"/>
              <w:bottom w:val="single" w:sz="4" w:space="0" w:color="auto"/>
            </w:tcBorders>
          </w:tcPr>
          <w:p w14:paraId="5CCE15E5" w14:textId="77777777" w:rsidR="00F86B78" w:rsidRPr="00862A76" w:rsidRDefault="00F86B78" w:rsidP="00D66510">
            <w:pPr>
              <w:jc w:val="both"/>
              <w:rPr>
                <w:rFonts w:ascii="Arial" w:hAnsi="Arial" w:cs="Arial"/>
                <w:b/>
              </w:rPr>
            </w:pPr>
          </w:p>
        </w:tc>
        <w:tc>
          <w:tcPr>
            <w:tcW w:w="1533" w:type="dxa"/>
            <w:vMerge/>
            <w:tcBorders>
              <w:top w:val="nil"/>
              <w:bottom w:val="single" w:sz="4" w:space="0" w:color="auto"/>
            </w:tcBorders>
          </w:tcPr>
          <w:p w14:paraId="692AEB46" w14:textId="77777777" w:rsidR="00F86B78" w:rsidRPr="00862A76" w:rsidRDefault="00F86B78" w:rsidP="00D66510">
            <w:pPr>
              <w:jc w:val="both"/>
              <w:rPr>
                <w:rFonts w:ascii="Arial" w:hAnsi="Arial" w:cs="Arial"/>
                <w:b/>
              </w:rPr>
            </w:pPr>
          </w:p>
        </w:tc>
        <w:tc>
          <w:tcPr>
            <w:tcW w:w="1245" w:type="dxa"/>
            <w:vMerge/>
            <w:tcBorders>
              <w:top w:val="nil"/>
              <w:bottom w:val="single" w:sz="4" w:space="0" w:color="auto"/>
            </w:tcBorders>
          </w:tcPr>
          <w:p w14:paraId="2E90CAA7" w14:textId="77777777" w:rsidR="00F86B78" w:rsidRPr="00862A76" w:rsidRDefault="00F86B78" w:rsidP="00D66510">
            <w:pPr>
              <w:jc w:val="both"/>
              <w:rPr>
                <w:rFonts w:ascii="Arial" w:hAnsi="Arial" w:cs="Arial"/>
                <w:b/>
              </w:rPr>
            </w:pPr>
          </w:p>
        </w:tc>
        <w:tc>
          <w:tcPr>
            <w:tcW w:w="1360" w:type="dxa"/>
            <w:vMerge/>
            <w:tcBorders>
              <w:top w:val="nil"/>
              <w:bottom w:val="single" w:sz="4" w:space="0" w:color="auto"/>
            </w:tcBorders>
          </w:tcPr>
          <w:p w14:paraId="03BB2391" w14:textId="77777777" w:rsidR="00F86B78" w:rsidRPr="00862A76" w:rsidRDefault="00F86B78" w:rsidP="00D66510">
            <w:pPr>
              <w:jc w:val="both"/>
              <w:rPr>
                <w:rFonts w:ascii="Arial" w:hAnsi="Arial" w:cs="Arial"/>
                <w:b/>
              </w:rPr>
            </w:pPr>
          </w:p>
        </w:tc>
        <w:tc>
          <w:tcPr>
            <w:tcW w:w="1062" w:type="dxa"/>
            <w:vMerge/>
            <w:tcBorders>
              <w:top w:val="nil"/>
              <w:bottom w:val="single" w:sz="4" w:space="0" w:color="auto"/>
            </w:tcBorders>
          </w:tcPr>
          <w:p w14:paraId="3D501C4F" w14:textId="77777777" w:rsidR="00F86B78" w:rsidRPr="00862A76" w:rsidRDefault="00F86B78" w:rsidP="00D66510">
            <w:pPr>
              <w:jc w:val="both"/>
              <w:rPr>
                <w:rFonts w:ascii="Arial" w:hAnsi="Arial" w:cs="Arial"/>
                <w:b/>
              </w:rPr>
            </w:pPr>
          </w:p>
        </w:tc>
        <w:tc>
          <w:tcPr>
            <w:tcW w:w="1184" w:type="dxa"/>
            <w:tcBorders>
              <w:top w:val="nil"/>
              <w:bottom w:val="single" w:sz="4" w:space="0" w:color="auto"/>
            </w:tcBorders>
          </w:tcPr>
          <w:p w14:paraId="455AEA1A" w14:textId="77777777" w:rsidR="00F86B78" w:rsidRPr="00862A76" w:rsidRDefault="00F86B78" w:rsidP="00D66510">
            <w:pPr>
              <w:jc w:val="both"/>
              <w:rPr>
                <w:rFonts w:ascii="Arial" w:hAnsi="Arial" w:cs="Arial"/>
                <w:b/>
              </w:rPr>
            </w:pPr>
            <w:r w:rsidRPr="00862A76">
              <w:rPr>
                <w:rFonts w:ascii="Arial" w:hAnsi="Arial" w:cs="Arial"/>
                <w:b/>
              </w:rPr>
              <w:t>Lower</w:t>
            </w:r>
          </w:p>
        </w:tc>
        <w:tc>
          <w:tcPr>
            <w:tcW w:w="994" w:type="dxa"/>
            <w:tcBorders>
              <w:top w:val="nil"/>
              <w:bottom w:val="single" w:sz="4" w:space="0" w:color="auto"/>
            </w:tcBorders>
          </w:tcPr>
          <w:p w14:paraId="4BD3B465" w14:textId="77777777" w:rsidR="00F86B78" w:rsidRPr="00862A76" w:rsidRDefault="00F86B78" w:rsidP="00D66510">
            <w:pPr>
              <w:jc w:val="both"/>
              <w:rPr>
                <w:rFonts w:ascii="Arial" w:hAnsi="Arial" w:cs="Arial"/>
                <w:b/>
              </w:rPr>
            </w:pPr>
            <w:r w:rsidRPr="00862A76">
              <w:rPr>
                <w:rFonts w:ascii="Arial" w:hAnsi="Arial" w:cs="Arial"/>
                <w:b/>
              </w:rPr>
              <w:t>Upper</w:t>
            </w:r>
          </w:p>
        </w:tc>
      </w:tr>
      <w:tr w:rsidR="00F86B78" w:rsidRPr="00862A76" w14:paraId="44362726" w14:textId="77777777" w:rsidTr="00D66510">
        <w:tc>
          <w:tcPr>
            <w:tcW w:w="8856" w:type="dxa"/>
            <w:gridSpan w:val="7"/>
            <w:tcBorders>
              <w:top w:val="single" w:sz="4" w:space="0" w:color="auto"/>
            </w:tcBorders>
          </w:tcPr>
          <w:p w14:paraId="3FF20EFF" w14:textId="77777777" w:rsidR="00F86B78" w:rsidRPr="00862A76" w:rsidRDefault="00F86B78" w:rsidP="00D66510">
            <w:pPr>
              <w:jc w:val="center"/>
              <w:rPr>
                <w:rFonts w:ascii="Arial" w:hAnsi="Arial" w:cs="Arial"/>
                <w:b/>
              </w:rPr>
            </w:pPr>
            <w:r w:rsidRPr="00862A76">
              <w:rPr>
                <w:rFonts w:ascii="Arial" w:hAnsi="Arial" w:cs="Arial"/>
                <w:b/>
              </w:rPr>
              <w:t>Poisson Regression (PR) Model</w:t>
            </w:r>
          </w:p>
        </w:tc>
      </w:tr>
      <w:tr w:rsidR="00F86B78" w:rsidRPr="00862A76" w14:paraId="170A8126" w14:textId="77777777" w:rsidTr="00D66510">
        <w:tc>
          <w:tcPr>
            <w:tcW w:w="1478" w:type="dxa"/>
          </w:tcPr>
          <w:p w14:paraId="6C88C6D3" w14:textId="77777777" w:rsidR="00F86B78" w:rsidRPr="00862A76" w:rsidRDefault="001E2E8F" w:rsidP="00D66510">
            <w:pPr>
              <w:jc w:val="both"/>
              <w:rPr>
                <w:rFonts w:ascii="Arial" w:hAnsi="Arial" w:cs="Arial"/>
              </w:rPr>
            </w:pPr>
            <m:oMathPara>
              <m:oMath>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oMath>
            </m:oMathPara>
          </w:p>
        </w:tc>
        <w:tc>
          <w:tcPr>
            <w:tcW w:w="1533" w:type="dxa"/>
          </w:tcPr>
          <w:p w14:paraId="56408DAE" w14:textId="77777777" w:rsidR="00F86B78" w:rsidRPr="00862A76" w:rsidRDefault="00F86B78" w:rsidP="00D66510">
            <w:pPr>
              <w:rPr>
                <w:rFonts w:ascii="Arial" w:hAnsi="Arial" w:cs="Arial"/>
              </w:rPr>
            </w:pPr>
            <w:r w:rsidRPr="00862A76">
              <w:rPr>
                <w:rFonts w:ascii="Arial" w:hAnsi="Arial" w:cs="Arial"/>
              </w:rPr>
              <w:t>0.1234</w:t>
            </w:r>
          </w:p>
        </w:tc>
        <w:tc>
          <w:tcPr>
            <w:tcW w:w="1245" w:type="dxa"/>
          </w:tcPr>
          <w:p w14:paraId="05881DF6" w14:textId="77777777" w:rsidR="00F86B78" w:rsidRPr="00862A76" w:rsidRDefault="00F86B78" w:rsidP="00D66510">
            <w:pPr>
              <w:rPr>
                <w:rFonts w:ascii="Arial" w:hAnsi="Arial" w:cs="Arial"/>
              </w:rPr>
            </w:pPr>
            <w:r w:rsidRPr="00862A76">
              <w:rPr>
                <w:rFonts w:ascii="Arial" w:hAnsi="Arial" w:cs="Arial"/>
              </w:rPr>
              <w:t>0.0563</w:t>
            </w:r>
          </w:p>
        </w:tc>
        <w:tc>
          <w:tcPr>
            <w:tcW w:w="1360" w:type="dxa"/>
          </w:tcPr>
          <w:p w14:paraId="51F2205C" w14:textId="77777777" w:rsidR="00F86B78" w:rsidRPr="00862A76" w:rsidRDefault="00F86B78" w:rsidP="00D66510">
            <w:pPr>
              <w:rPr>
                <w:rFonts w:ascii="Arial" w:hAnsi="Arial" w:cs="Arial"/>
              </w:rPr>
            </w:pPr>
            <w:r w:rsidRPr="00862A76">
              <w:rPr>
                <w:rFonts w:ascii="Arial" w:hAnsi="Arial" w:cs="Arial"/>
              </w:rPr>
              <w:t>2.1918</w:t>
            </w:r>
          </w:p>
        </w:tc>
        <w:tc>
          <w:tcPr>
            <w:tcW w:w="1062" w:type="dxa"/>
          </w:tcPr>
          <w:p w14:paraId="50D059E3" w14:textId="77777777" w:rsidR="00F86B78" w:rsidRPr="00862A76" w:rsidRDefault="00F86B78" w:rsidP="00D66510">
            <w:pPr>
              <w:rPr>
                <w:rFonts w:ascii="Arial" w:hAnsi="Arial" w:cs="Arial"/>
              </w:rPr>
            </w:pPr>
            <w:r w:rsidRPr="00862A76">
              <w:rPr>
                <w:rFonts w:ascii="Arial" w:hAnsi="Arial" w:cs="Arial"/>
              </w:rPr>
              <w:t>0.029</w:t>
            </w:r>
          </w:p>
        </w:tc>
        <w:tc>
          <w:tcPr>
            <w:tcW w:w="1184" w:type="dxa"/>
          </w:tcPr>
          <w:p w14:paraId="64154BF4" w14:textId="77777777" w:rsidR="00F86B78" w:rsidRPr="00862A76" w:rsidRDefault="00F86B78" w:rsidP="00D66510">
            <w:pPr>
              <w:rPr>
                <w:rFonts w:ascii="Arial" w:hAnsi="Arial" w:cs="Arial"/>
              </w:rPr>
            </w:pPr>
            <w:r w:rsidRPr="00862A76">
              <w:rPr>
                <w:rFonts w:ascii="Arial" w:hAnsi="Arial" w:cs="Arial"/>
              </w:rPr>
              <w:t>0.012</w:t>
            </w:r>
          </w:p>
        </w:tc>
        <w:tc>
          <w:tcPr>
            <w:tcW w:w="994" w:type="dxa"/>
          </w:tcPr>
          <w:p w14:paraId="200FBE76" w14:textId="77777777" w:rsidR="00F86B78" w:rsidRPr="00862A76" w:rsidRDefault="00F86B78" w:rsidP="00D66510">
            <w:pPr>
              <w:rPr>
                <w:rFonts w:ascii="Arial" w:hAnsi="Arial" w:cs="Arial"/>
              </w:rPr>
            </w:pPr>
            <w:r w:rsidRPr="00862A76">
              <w:rPr>
                <w:rFonts w:ascii="Arial" w:hAnsi="Arial" w:cs="Arial"/>
              </w:rPr>
              <w:t>0.235</w:t>
            </w:r>
          </w:p>
        </w:tc>
      </w:tr>
      <w:tr w:rsidR="00F86B78" w:rsidRPr="00862A76" w14:paraId="2255C2DA" w14:textId="77777777" w:rsidTr="00D66510">
        <w:tc>
          <w:tcPr>
            <w:tcW w:w="1478" w:type="dxa"/>
          </w:tcPr>
          <w:p w14:paraId="09093ED6" w14:textId="77777777" w:rsidR="00F86B78" w:rsidRPr="00862A76" w:rsidRDefault="001E2E8F" w:rsidP="00D66510">
            <w:pPr>
              <w:rPr>
                <w:rFonts w:ascii="Arial" w:hAnsi="Arial" w:cs="Arial"/>
              </w:rPr>
            </w:pPr>
            <m:oMathPara>
              <m:oMath>
                <m:sSub>
                  <m:sSubPr>
                    <m:ctrlPr>
                      <w:rPr>
                        <w:rFonts w:ascii="Cambria Math" w:hAnsi="Cambria Math" w:cs="Arial"/>
                        <w:i/>
                      </w:rPr>
                    </m:ctrlPr>
                  </m:sSubPr>
                  <m:e>
                    <m:r>
                      <w:rPr>
                        <w:rFonts w:ascii="Cambria Math" w:hAnsi="Cambria Math" w:cs="Arial"/>
                      </w:rPr>
                      <m:t>β</m:t>
                    </m:r>
                  </m:e>
                  <m:sub>
                    <m:r>
                      <w:rPr>
                        <w:rFonts w:ascii="Cambria Math" w:hAnsi="Cambria Math" w:cs="Arial"/>
                      </w:rPr>
                      <m:t>1</m:t>
                    </m:r>
                  </m:sub>
                </m:sSub>
              </m:oMath>
            </m:oMathPara>
          </w:p>
        </w:tc>
        <w:tc>
          <w:tcPr>
            <w:tcW w:w="1533" w:type="dxa"/>
          </w:tcPr>
          <w:p w14:paraId="42BC5BC7" w14:textId="77777777" w:rsidR="00F86B78" w:rsidRPr="00862A76" w:rsidRDefault="00F86B78" w:rsidP="00D66510">
            <w:pPr>
              <w:rPr>
                <w:rFonts w:ascii="Arial" w:hAnsi="Arial" w:cs="Arial"/>
              </w:rPr>
            </w:pPr>
            <w:r w:rsidRPr="00862A76">
              <w:rPr>
                <w:rFonts w:ascii="Arial" w:hAnsi="Arial" w:cs="Arial"/>
              </w:rPr>
              <w:t>0.0152</w:t>
            </w:r>
          </w:p>
        </w:tc>
        <w:tc>
          <w:tcPr>
            <w:tcW w:w="1245" w:type="dxa"/>
          </w:tcPr>
          <w:p w14:paraId="4F19B86F" w14:textId="77777777" w:rsidR="00F86B78" w:rsidRPr="00862A76" w:rsidRDefault="00F86B78" w:rsidP="00D66510">
            <w:pPr>
              <w:rPr>
                <w:rFonts w:ascii="Arial" w:hAnsi="Arial" w:cs="Arial"/>
              </w:rPr>
            </w:pPr>
            <w:r w:rsidRPr="00862A76">
              <w:rPr>
                <w:rFonts w:ascii="Arial" w:hAnsi="Arial" w:cs="Arial"/>
              </w:rPr>
              <w:t>0.0068</w:t>
            </w:r>
          </w:p>
        </w:tc>
        <w:tc>
          <w:tcPr>
            <w:tcW w:w="1360" w:type="dxa"/>
          </w:tcPr>
          <w:p w14:paraId="28C55DAE" w14:textId="77777777" w:rsidR="00F86B78" w:rsidRPr="00862A76" w:rsidRDefault="00F86B78" w:rsidP="00D66510">
            <w:pPr>
              <w:rPr>
                <w:rFonts w:ascii="Arial" w:hAnsi="Arial" w:cs="Arial"/>
              </w:rPr>
            </w:pPr>
            <w:r w:rsidRPr="00862A76">
              <w:rPr>
                <w:rFonts w:ascii="Arial" w:hAnsi="Arial" w:cs="Arial"/>
              </w:rPr>
              <w:t>2.2353</w:t>
            </w:r>
          </w:p>
        </w:tc>
        <w:tc>
          <w:tcPr>
            <w:tcW w:w="1062" w:type="dxa"/>
          </w:tcPr>
          <w:p w14:paraId="36A7B082" w14:textId="77777777" w:rsidR="00F86B78" w:rsidRPr="00862A76" w:rsidRDefault="00F86B78" w:rsidP="00D66510">
            <w:pPr>
              <w:rPr>
                <w:rFonts w:ascii="Arial" w:hAnsi="Arial" w:cs="Arial"/>
              </w:rPr>
            </w:pPr>
            <w:r w:rsidRPr="00862A76">
              <w:rPr>
                <w:rFonts w:ascii="Arial" w:hAnsi="Arial" w:cs="Arial"/>
              </w:rPr>
              <w:t>0.026</w:t>
            </w:r>
          </w:p>
        </w:tc>
        <w:tc>
          <w:tcPr>
            <w:tcW w:w="1184" w:type="dxa"/>
          </w:tcPr>
          <w:p w14:paraId="5A2B2BF7" w14:textId="77777777" w:rsidR="00F86B78" w:rsidRPr="00862A76" w:rsidRDefault="00F86B78" w:rsidP="00D66510">
            <w:pPr>
              <w:rPr>
                <w:rFonts w:ascii="Arial" w:hAnsi="Arial" w:cs="Arial"/>
              </w:rPr>
            </w:pPr>
            <w:r w:rsidRPr="00862A76">
              <w:rPr>
                <w:rFonts w:ascii="Arial" w:hAnsi="Arial" w:cs="Arial"/>
              </w:rPr>
              <w:t>0.002</w:t>
            </w:r>
          </w:p>
        </w:tc>
        <w:tc>
          <w:tcPr>
            <w:tcW w:w="994" w:type="dxa"/>
          </w:tcPr>
          <w:p w14:paraId="45427A2C" w14:textId="77777777" w:rsidR="00F86B78" w:rsidRPr="00862A76" w:rsidRDefault="00F86B78" w:rsidP="00D66510">
            <w:pPr>
              <w:rPr>
                <w:rFonts w:ascii="Arial" w:hAnsi="Arial" w:cs="Arial"/>
              </w:rPr>
            </w:pPr>
            <w:r w:rsidRPr="00862A76">
              <w:rPr>
                <w:rFonts w:ascii="Arial" w:hAnsi="Arial" w:cs="Arial"/>
              </w:rPr>
              <w:t>0.128</w:t>
            </w:r>
          </w:p>
        </w:tc>
      </w:tr>
      <w:tr w:rsidR="00F86B78" w:rsidRPr="00862A76" w14:paraId="361EB2A5" w14:textId="77777777" w:rsidTr="00D66510">
        <w:tc>
          <w:tcPr>
            <w:tcW w:w="1478" w:type="dxa"/>
          </w:tcPr>
          <w:p w14:paraId="4F20E901" w14:textId="77777777" w:rsidR="00F86B78" w:rsidRPr="00862A76" w:rsidRDefault="001E2E8F" w:rsidP="00D66510">
            <w:pPr>
              <w:rPr>
                <w:rFonts w:ascii="Arial" w:hAnsi="Arial" w:cs="Arial"/>
              </w:rPr>
            </w:pPr>
            <m:oMathPara>
              <m:oMath>
                <m:sSub>
                  <m:sSubPr>
                    <m:ctrlPr>
                      <w:rPr>
                        <w:rFonts w:ascii="Cambria Math" w:hAnsi="Cambria Math" w:cs="Arial"/>
                        <w:i/>
                      </w:rPr>
                    </m:ctrlPr>
                  </m:sSubPr>
                  <m:e>
                    <m:r>
                      <w:rPr>
                        <w:rFonts w:ascii="Cambria Math" w:hAnsi="Cambria Math" w:cs="Arial"/>
                      </w:rPr>
                      <m:t>β</m:t>
                    </m:r>
                  </m:e>
                  <m:sub>
                    <m:r>
                      <w:rPr>
                        <w:rFonts w:ascii="Cambria Math" w:hAnsi="Cambria Math" w:cs="Arial"/>
                      </w:rPr>
                      <m:t>2</m:t>
                    </m:r>
                  </m:sub>
                </m:sSub>
              </m:oMath>
            </m:oMathPara>
          </w:p>
        </w:tc>
        <w:tc>
          <w:tcPr>
            <w:tcW w:w="1533" w:type="dxa"/>
          </w:tcPr>
          <w:p w14:paraId="3C97B3F7" w14:textId="77777777" w:rsidR="00F86B78" w:rsidRPr="00862A76" w:rsidRDefault="00F86B78" w:rsidP="00D66510">
            <w:pPr>
              <w:rPr>
                <w:rFonts w:ascii="Arial" w:hAnsi="Arial" w:cs="Arial"/>
              </w:rPr>
            </w:pPr>
            <w:r w:rsidRPr="00862A76">
              <w:rPr>
                <w:rFonts w:ascii="Arial" w:hAnsi="Arial" w:cs="Arial"/>
              </w:rPr>
              <w:t>0.0478</w:t>
            </w:r>
          </w:p>
        </w:tc>
        <w:tc>
          <w:tcPr>
            <w:tcW w:w="1245" w:type="dxa"/>
          </w:tcPr>
          <w:p w14:paraId="22DFD416" w14:textId="77777777" w:rsidR="00F86B78" w:rsidRPr="00862A76" w:rsidRDefault="00F86B78" w:rsidP="00D66510">
            <w:pPr>
              <w:rPr>
                <w:rFonts w:ascii="Arial" w:hAnsi="Arial" w:cs="Arial"/>
              </w:rPr>
            </w:pPr>
            <w:r w:rsidRPr="00862A76">
              <w:rPr>
                <w:rFonts w:ascii="Arial" w:hAnsi="Arial" w:cs="Arial"/>
              </w:rPr>
              <w:t>0.0136</w:t>
            </w:r>
          </w:p>
        </w:tc>
        <w:tc>
          <w:tcPr>
            <w:tcW w:w="1360" w:type="dxa"/>
          </w:tcPr>
          <w:p w14:paraId="7FD82329" w14:textId="77777777" w:rsidR="00F86B78" w:rsidRPr="00862A76" w:rsidRDefault="00F86B78" w:rsidP="00D66510">
            <w:pPr>
              <w:rPr>
                <w:rFonts w:ascii="Arial" w:hAnsi="Arial" w:cs="Arial"/>
              </w:rPr>
            </w:pPr>
            <w:r w:rsidRPr="00862A76">
              <w:rPr>
                <w:rFonts w:ascii="Arial" w:hAnsi="Arial" w:cs="Arial"/>
              </w:rPr>
              <w:t>3.5147</w:t>
            </w:r>
          </w:p>
        </w:tc>
        <w:tc>
          <w:tcPr>
            <w:tcW w:w="1062" w:type="dxa"/>
          </w:tcPr>
          <w:p w14:paraId="21C9CD90" w14:textId="77777777" w:rsidR="00F86B78" w:rsidRPr="00862A76" w:rsidRDefault="00F86B78" w:rsidP="00D66510">
            <w:pPr>
              <w:rPr>
                <w:rFonts w:ascii="Arial" w:hAnsi="Arial" w:cs="Arial"/>
              </w:rPr>
            </w:pPr>
            <w:r w:rsidRPr="00862A76">
              <w:rPr>
                <w:rFonts w:ascii="Arial" w:hAnsi="Arial" w:cs="Arial"/>
              </w:rPr>
              <w:t>0.000</w:t>
            </w:r>
          </w:p>
        </w:tc>
        <w:tc>
          <w:tcPr>
            <w:tcW w:w="1184" w:type="dxa"/>
          </w:tcPr>
          <w:p w14:paraId="55DFD5EB" w14:textId="77777777" w:rsidR="00F86B78" w:rsidRPr="00862A76" w:rsidRDefault="00F86B78" w:rsidP="00D66510">
            <w:pPr>
              <w:rPr>
                <w:rFonts w:ascii="Arial" w:hAnsi="Arial" w:cs="Arial"/>
              </w:rPr>
            </w:pPr>
            <w:r w:rsidRPr="00862A76">
              <w:rPr>
                <w:rFonts w:ascii="Arial" w:hAnsi="Arial" w:cs="Arial"/>
              </w:rPr>
              <w:t>0.021</w:t>
            </w:r>
          </w:p>
        </w:tc>
        <w:tc>
          <w:tcPr>
            <w:tcW w:w="994" w:type="dxa"/>
          </w:tcPr>
          <w:p w14:paraId="071E7297" w14:textId="77777777" w:rsidR="00F86B78" w:rsidRPr="00862A76" w:rsidRDefault="00F86B78" w:rsidP="00D66510">
            <w:pPr>
              <w:rPr>
                <w:rFonts w:ascii="Arial" w:hAnsi="Arial" w:cs="Arial"/>
              </w:rPr>
            </w:pPr>
            <w:r w:rsidRPr="00862A76">
              <w:rPr>
                <w:rFonts w:ascii="Arial" w:hAnsi="Arial" w:cs="Arial"/>
              </w:rPr>
              <w:t>0.074</w:t>
            </w:r>
          </w:p>
        </w:tc>
      </w:tr>
      <w:tr w:rsidR="00F86B78" w:rsidRPr="00862A76" w14:paraId="05E9276D" w14:textId="77777777" w:rsidTr="00D66510">
        <w:tc>
          <w:tcPr>
            <w:tcW w:w="1478" w:type="dxa"/>
          </w:tcPr>
          <w:p w14:paraId="52B828BA" w14:textId="77777777" w:rsidR="00F86B78" w:rsidRPr="00862A76" w:rsidRDefault="001E2E8F" w:rsidP="00D66510">
            <w:pPr>
              <w:rPr>
                <w:rFonts w:ascii="Arial" w:hAnsi="Arial" w:cs="Arial"/>
              </w:rPr>
            </w:pPr>
            <m:oMathPara>
              <m:oMath>
                <m:sSub>
                  <m:sSubPr>
                    <m:ctrlPr>
                      <w:rPr>
                        <w:rFonts w:ascii="Cambria Math" w:hAnsi="Cambria Math" w:cs="Arial"/>
                        <w:i/>
                      </w:rPr>
                    </m:ctrlPr>
                  </m:sSubPr>
                  <m:e>
                    <m:r>
                      <w:rPr>
                        <w:rFonts w:ascii="Cambria Math" w:hAnsi="Cambria Math" w:cs="Arial"/>
                      </w:rPr>
                      <m:t>β</m:t>
                    </m:r>
                  </m:e>
                  <m:sub>
                    <m:r>
                      <w:rPr>
                        <w:rFonts w:ascii="Cambria Math" w:hAnsi="Cambria Math" w:cs="Arial"/>
                      </w:rPr>
                      <m:t>3</m:t>
                    </m:r>
                  </m:sub>
                </m:sSub>
              </m:oMath>
            </m:oMathPara>
          </w:p>
        </w:tc>
        <w:tc>
          <w:tcPr>
            <w:tcW w:w="1533" w:type="dxa"/>
          </w:tcPr>
          <w:p w14:paraId="7DFF37AA" w14:textId="77777777" w:rsidR="00F86B78" w:rsidRPr="00862A76" w:rsidRDefault="00F86B78" w:rsidP="00D66510">
            <w:pPr>
              <w:rPr>
                <w:rFonts w:ascii="Arial" w:hAnsi="Arial" w:cs="Arial"/>
              </w:rPr>
            </w:pPr>
            <w:r w:rsidRPr="00862A76">
              <w:rPr>
                <w:rFonts w:ascii="Arial" w:hAnsi="Arial" w:cs="Arial"/>
              </w:rPr>
              <w:t>0.0321</w:t>
            </w:r>
          </w:p>
        </w:tc>
        <w:tc>
          <w:tcPr>
            <w:tcW w:w="1245" w:type="dxa"/>
          </w:tcPr>
          <w:p w14:paraId="43077BA1" w14:textId="77777777" w:rsidR="00F86B78" w:rsidRPr="00862A76" w:rsidRDefault="00F86B78" w:rsidP="00D66510">
            <w:pPr>
              <w:rPr>
                <w:rFonts w:ascii="Arial" w:hAnsi="Arial" w:cs="Arial"/>
              </w:rPr>
            </w:pPr>
            <w:r w:rsidRPr="00862A76">
              <w:rPr>
                <w:rFonts w:ascii="Arial" w:hAnsi="Arial" w:cs="Arial"/>
              </w:rPr>
              <w:t>0.0141</w:t>
            </w:r>
          </w:p>
        </w:tc>
        <w:tc>
          <w:tcPr>
            <w:tcW w:w="1360" w:type="dxa"/>
          </w:tcPr>
          <w:p w14:paraId="111EA788" w14:textId="77777777" w:rsidR="00F86B78" w:rsidRPr="00862A76" w:rsidRDefault="00F86B78" w:rsidP="00D66510">
            <w:pPr>
              <w:rPr>
                <w:rFonts w:ascii="Arial" w:hAnsi="Arial" w:cs="Arial"/>
              </w:rPr>
            </w:pPr>
            <w:r w:rsidRPr="00862A76">
              <w:rPr>
                <w:rFonts w:ascii="Arial" w:hAnsi="Arial" w:cs="Arial"/>
              </w:rPr>
              <w:t>2.2766</w:t>
            </w:r>
          </w:p>
        </w:tc>
        <w:tc>
          <w:tcPr>
            <w:tcW w:w="1062" w:type="dxa"/>
          </w:tcPr>
          <w:p w14:paraId="600DD04A" w14:textId="77777777" w:rsidR="00F86B78" w:rsidRPr="00862A76" w:rsidRDefault="00F86B78" w:rsidP="00D66510">
            <w:pPr>
              <w:rPr>
                <w:rFonts w:ascii="Arial" w:hAnsi="Arial" w:cs="Arial"/>
              </w:rPr>
            </w:pPr>
            <w:r w:rsidRPr="00862A76">
              <w:rPr>
                <w:rFonts w:ascii="Arial" w:hAnsi="Arial" w:cs="Arial"/>
              </w:rPr>
              <w:t>0.023</w:t>
            </w:r>
          </w:p>
        </w:tc>
        <w:tc>
          <w:tcPr>
            <w:tcW w:w="1184" w:type="dxa"/>
          </w:tcPr>
          <w:p w14:paraId="0CFC9674" w14:textId="77777777" w:rsidR="00F86B78" w:rsidRPr="00862A76" w:rsidRDefault="00F86B78" w:rsidP="00D66510">
            <w:pPr>
              <w:rPr>
                <w:rFonts w:ascii="Arial" w:hAnsi="Arial" w:cs="Arial"/>
              </w:rPr>
            </w:pPr>
            <w:r w:rsidRPr="00862A76">
              <w:rPr>
                <w:rFonts w:ascii="Arial" w:hAnsi="Arial" w:cs="Arial"/>
              </w:rPr>
              <w:t>0.006</w:t>
            </w:r>
          </w:p>
        </w:tc>
        <w:tc>
          <w:tcPr>
            <w:tcW w:w="994" w:type="dxa"/>
          </w:tcPr>
          <w:p w14:paraId="5124A560" w14:textId="77777777" w:rsidR="00F86B78" w:rsidRPr="00862A76" w:rsidRDefault="00F86B78" w:rsidP="00D66510">
            <w:pPr>
              <w:rPr>
                <w:rFonts w:ascii="Arial" w:hAnsi="Arial" w:cs="Arial"/>
              </w:rPr>
            </w:pPr>
            <w:r w:rsidRPr="00862A76">
              <w:rPr>
                <w:rFonts w:ascii="Arial" w:hAnsi="Arial" w:cs="Arial"/>
              </w:rPr>
              <w:t>0.065</w:t>
            </w:r>
          </w:p>
        </w:tc>
      </w:tr>
      <w:tr w:rsidR="00F86B78" w:rsidRPr="00862A76" w14:paraId="2017CDBE" w14:textId="77777777" w:rsidTr="00D66510">
        <w:tc>
          <w:tcPr>
            <w:tcW w:w="8856" w:type="dxa"/>
            <w:gridSpan w:val="7"/>
          </w:tcPr>
          <w:p w14:paraId="5C9A2204" w14:textId="77777777" w:rsidR="00F86B78" w:rsidRPr="00862A76" w:rsidRDefault="00F86B78" w:rsidP="00D66510">
            <w:pPr>
              <w:jc w:val="center"/>
              <w:rPr>
                <w:rFonts w:ascii="Arial" w:hAnsi="Arial" w:cs="Arial"/>
              </w:rPr>
            </w:pPr>
            <w:r w:rsidRPr="00862A76">
              <w:rPr>
                <w:rFonts w:ascii="Arial" w:hAnsi="Arial" w:cs="Arial"/>
                <w:b/>
              </w:rPr>
              <w:t>Negative Binomial Regression (NBR) Model</w:t>
            </w:r>
          </w:p>
        </w:tc>
      </w:tr>
      <w:tr w:rsidR="00F86B78" w:rsidRPr="00862A76" w14:paraId="387A8B88" w14:textId="77777777" w:rsidTr="00D66510">
        <w:tc>
          <w:tcPr>
            <w:tcW w:w="1478" w:type="dxa"/>
          </w:tcPr>
          <w:p w14:paraId="4C3CC724" w14:textId="77777777" w:rsidR="00F86B78" w:rsidRPr="00862A76" w:rsidRDefault="001E2E8F" w:rsidP="00D66510">
            <w:pPr>
              <w:jc w:val="both"/>
              <w:rPr>
                <w:rFonts w:ascii="Arial" w:hAnsi="Arial" w:cs="Arial"/>
              </w:rPr>
            </w:pPr>
            <m:oMathPara>
              <m:oMath>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oMath>
            </m:oMathPara>
          </w:p>
        </w:tc>
        <w:tc>
          <w:tcPr>
            <w:tcW w:w="1533" w:type="dxa"/>
          </w:tcPr>
          <w:p w14:paraId="52B0971B" w14:textId="77777777" w:rsidR="00F86B78" w:rsidRPr="00862A76" w:rsidRDefault="00F86B78" w:rsidP="00D66510">
            <w:pPr>
              <w:rPr>
                <w:rFonts w:ascii="Arial" w:hAnsi="Arial" w:cs="Arial"/>
              </w:rPr>
            </w:pPr>
            <w:r w:rsidRPr="00862A76">
              <w:rPr>
                <w:rFonts w:ascii="Arial" w:hAnsi="Arial" w:cs="Arial"/>
              </w:rPr>
              <w:t>0.1898</w:t>
            </w:r>
          </w:p>
        </w:tc>
        <w:tc>
          <w:tcPr>
            <w:tcW w:w="1245" w:type="dxa"/>
          </w:tcPr>
          <w:p w14:paraId="5BA1B748" w14:textId="77777777" w:rsidR="00F86B78" w:rsidRPr="00862A76" w:rsidRDefault="00F86B78" w:rsidP="00D66510">
            <w:pPr>
              <w:rPr>
                <w:rFonts w:ascii="Arial" w:hAnsi="Arial" w:cs="Arial"/>
              </w:rPr>
            </w:pPr>
            <w:r w:rsidRPr="00862A76">
              <w:rPr>
                <w:rFonts w:ascii="Arial" w:hAnsi="Arial" w:cs="Arial"/>
              </w:rPr>
              <w:t>0.0581</w:t>
            </w:r>
          </w:p>
        </w:tc>
        <w:tc>
          <w:tcPr>
            <w:tcW w:w="1360" w:type="dxa"/>
          </w:tcPr>
          <w:p w14:paraId="66012224" w14:textId="77777777" w:rsidR="00F86B78" w:rsidRPr="00862A76" w:rsidRDefault="00F86B78" w:rsidP="00D66510">
            <w:pPr>
              <w:rPr>
                <w:rFonts w:ascii="Arial" w:hAnsi="Arial" w:cs="Arial"/>
              </w:rPr>
            </w:pPr>
            <w:r w:rsidRPr="00862A76">
              <w:rPr>
                <w:rFonts w:ascii="Arial" w:hAnsi="Arial" w:cs="Arial"/>
              </w:rPr>
              <w:t>3.2668</w:t>
            </w:r>
          </w:p>
        </w:tc>
        <w:tc>
          <w:tcPr>
            <w:tcW w:w="1062" w:type="dxa"/>
          </w:tcPr>
          <w:p w14:paraId="5487A8E0" w14:textId="77777777" w:rsidR="00F86B78" w:rsidRPr="00862A76" w:rsidRDefault="00F86B78" w:rsidP="00D66510">
            <w:pPr>
              <w:rPr>
                <w:rFonts w:ascii="Arial" w:hAnsi="Arial" w:cs="Arial"/>
              </w:rPr>
            </w:pPr>
            <w:r w:rsidRPr="00862A76">
              <w:rPr>
                <w:rFonts w:ascii="Arial" w:hAnsi="Arial" w:cs="Arial"/>
              </w:rPr>
              <w:t>0.004</w:t>
            </w:r>
          </w:p>
        </w:tc>
        <w:tc>
          <w:tcPr>
            <w:tcW w:w="1184" w:type="dxa"/>
          </w:tcPr>
          <w:p w14:paraId="7366857E" w14:textId="77777777" w:rsidR="00F86B78" w:rsidRPr="00862A76" w:rsidRDefault="00F86B78" w:rsidP="00D66510">
            <w:pPr>
              <w:rPr>
                <w:rFonts w:ascii="Arial" w:hAnsi="Arial" w:cs="Arial"/>
              </w:rPr>
            </w:pPr>
            <w:r w:rsidRPr="00862A76">
              <w:rPr>
                <w:rFonts w:ascii="Arial" w:hAnsi="Arial" w:cs="Arial"/>
              </w:rPr>
              <w:t>0.014</w:t>
            </w:r>
          </w:p>
        </w:tc>
        <w:tc>
          <w:tcPr>
            <w:tcW w:w="994" w:type="dxa"/>
          </w:tcPr>
          <w:p w14:paraId="3F1C3719" w14:textId="77777777" w:rsidR="00F86B78" w:rsidRPr="00862A76" w:rsidRDefault="00F86B78" w:rsidP="00D66510">
            <w:pPr>
              <w:rPr>
                <w:rFonts w:ascii="Arial" w:hAnsi="Arial" w:cs="Arial"/>
              </w:rPr>
            </w:pPr>
            <w:r w:rsidRPr="00862A76">
              <w:rPr>
                <w:rFonts w:ascii="Arial" w:hAnsi="Arial" w:cs="Arial"/>
              </w:rPr>
              <w:t>0.224</w:t>
            </w:r>
          </w:p>
        </w:tc>
      </w:tr>
      <w:tr w:rsidR="00F86B78" w:rsidRPr="00862A76" w14:paraId="385B425C" w14:textId="77777777" w:rsidTr="00D66510">
        <w:tc>
          <w:tcPr>
            <w:tcW w:w="1478" w:type="dxa"/>
          </w:tcPr>
          <w:p w14:paraId="5047A4E4" w14:textId="77777777" w:rsidR="00F86B78" w:rsidRPr="00862A76" w:rsidRDefault="001E2E8F" w:rsidP="00D66510">
            <w:pPr>
              <w:rPr>
                <w:rFonts w:ascii="Arial" w:hAnsi="Arial" w:cs="Arial"/>
              </w:rPr>
            </w:pPr>
            <m:oMathPara>
              <m:oMath>
                <m:sSub>
                  <m:sSubPr>
                    <m:ctrlPr>
                      <w:rPr>
                        <w:rFonts w:ascii="Cambria Math" w:hAnsi="Cambria Math" w:cs="Arial"/>
                        <w:i/>
                      </w:rPr>
                    </m:ctrlPr>
                  </m:sSubPr>
                  <m:e>
                    <m:r>
                      <w:rPr>
                        <w:rFonts w:ascii="Cambria Math" w:hAnsi="Cambria Math" w:cs="Arial"/>
                      </w:rPr>
                      <m:t>β</m:t>
                    </m:r>
                  </m:e>
                  <m:sub>
                    <m:r>
                      <w:rPr>
                        <w:rFonts w:ascii="Cambria Math" w:hAnsi="Cambria Math" w:cs="Arial"/>
                      </w:rPr>
                      <m:t>1</m:t>
                    </m:r>
                  </m:sub>
                </m:sSub>
              </m:oMath>
            </m:oMathPara>
          </w:p>
        </w:tc>
        <w:tc>
          <w:tcPr>
            <w:tcW w:w="1533" w:type="dxa"/>
          </w:tcPr>
          <w:p w14:paraId="678D996A" w14:textId="77777777" w:rsidR="00F86B78" w:rsidRPr="00862A76" w:rsidRDefault="00F86B78" w:rsidP="00D66510">
            <w:pPr>
              <w:rPr>
                <w:rFonts w:ascii="Arial" w:hAnsi="Arial" w:cs="Arial"/>
              </w:rPr>
            </w:pPr>
            <w:r w:rsidRPr="00862A76">
              <w:rPr>
                <w:rFonts w:ascii="Arial" w:hAnsi="Arial" w:cs="Arial"/>
              </w:rPr>
              <w:t>0.1127</w:t>
            </w:r>
          </w:p>
        </w:tc>
        <w:tc>
          <w:tcPr>
            <w:tcW w:w="1245" w:type="dxa"/>
          </w:tcPr>
          <w:p w14:paraId="3E436880" w14:textId="77777777" w:rsidR="00F86B78" w:rsidRPr="00862A76" w:rsidRDefault="00F86B78" w:rsidP="00D66510">
            <w:pPr>
              <w:rPr>
                <w:rFonts w:ascii="Arial" w:hAnsi="Arial" w:cs="Arial"/>
              </w:rPr>
            </w:pPr>
            <w:r w:rsidRPr="00862A76">
              <w:rPr>
                <w:rFonts w:ascii="Arial" w:hAnsi="Arial" w:cs="Arial"/>
              </w:rPr>
              <w:t>0.0072</w:t>
            </w:r>
          </w:p>
        </w:tc>
        <w:tc>
          <w:tcPr>
            <w:tcW w:w="1360" w:type="dxa"/>
          </w:tcPr>
          <w:p w14:paraId="3B0CCD0B" w14:textId="77777777" w:rsidR="00F86B78" w:rsidRPr="00862A76" w:rsidRDefault="00F86B78" w:rsidP="00D66510">
            <w:pPr>
              <w:rPr>
                <w:rFonts w:ascii="Arial" w:hAnsi="Arial" w:cs="Arial"/>
              </w:rPr>
            </w:pPr>
            <w:r w:rsidRPr="00862A76">
              <w:rPr>
                <w:rFonts w:ascii="Arial" w:hAnsi="Arial" w:cs="Arial"/>
              </w:rPr>
              <w:t>15.653</w:t>
            </w:r>
          </w:p>
        </w:tc>
        <w:tc>
          <w:tcPr>
            <w:tcW w:w="1062" w:type="dxa"/>
          </w:tcPr>
          <w:p w14:paraId="7522F0F7" w14:textId="77777777" w:rsidR="00F86B78" w:rsidRPr="00862A76" w:rsidRDefault="00F86B78" w:rsidP="00D66510">
            <w:pPr>
              <w:rPr>
                <w:rFonts w:ascii="Arial" w:hAnsi="Arial" w:cs="Arial"/>
              </w:rPr>
            </w:pPr>
            <w:r w:rsidRPr="00862A76">
              <w:rPr>
                <w:rFonts w:ascii="Arial" w:hAnsi="Arial" w:cs="Arial"/>
              </w:rPr>
              <w:t>0.000</w:t>
            </w:r>
          </w:p>
        </w:tc>
        <w:tc>
          <w:tcPr>
            <w:tcW w:w="1184" w:type="dxa"/>
          </w:tcPr>
          <w:p w14:paraId="588328FE" w14:textId="77777777" w:rsidR="00F86B78" w:rsidRPr="00862A76" w:rsidRDefault="00F86B78" w:rsidP="00D66510">
            <w:pPr>
              <w:rPr>
                <w:rFonts w:ascii="Arial" w:hAnsi="Arial" w:cs="Arial"/>
              </w:rPr>
            </w:pPr>
            <w:r w:rsidRPr="00862A76">
              <w:rPr>
                <w:rFonts w:ascii="Arial" w:hAnsi="Arial" w:cs="Arial"/>
              </w:rPr>
              <w:t>0.011</w:t>
            </w:r>
          </w:p>
        </w:tc>
        <w:tc>
          <w:tcPr>
            <w:tcW w:w="994" w:type="dxa"/>
          </w:tcPr>
          <w:p w14:paraId="3AC87C74" w14:textId="77777777" w:rsidR="00F86B78" w:rsidRPr="00862A76" w:rsidRDefault="00F86B78" w:rsidP="00D66510">
            <w:pPr>
              <w:rPr>
                <w:rFonts w:ascii="Arial" w:hAnsi="Arial" w:cs="Arial"/>
              </w:rPr>
            </w:pPr>
            <w:r w:rsidRPr="00862A76">
              <w:rPr>
                <w:rFonts w:ascii="Arial" w:hAnsi="Arial" w:cs="Arial"/>
              </w:rPr>
              <w:t>0.127</w:t>
            </w:r>
          </w:p>
        </w:tc>
      </w:tr>
      <w:tr w:rsidR="00F86B78" w:rsidRPr="00862A76" w14:paraId="1A80E856" w14:textId="77777777" w:rsidTr="00D66510">
        <w:tc>
          <w:tcPr>
            <w:tcW w:w="1478" w:type="dxa"/>
          </w:tcPr>
          <w:p w14:paraId="200DA38F" w14:textId="77777777" w:rsidR="00F86B78" w:rsidRPr="00862A76" w:rsidRDefault="001E2E8F" w:rsidP="00D66510">
            <w:pPr>
              <w:rPr>
                <w:rFonts w:ascii="Arial" w:hAnsi="Arial" w:cs="Arial"/>
              </w:rPr>
            </w:pPr>
            <m:oMathPara>
              <m:oMath>
                <m:sSub>
                  <m:sSubPr>
                    <m:ctrlPr>
                      <w:rPr>
                        <w:rFonts w:ascii="Cambria Math" w:hAnsi="Cambria Math" w:cs="Arial"/>
                        <w:i/>
                      </w:rPr>
                    </m:ctrlPr>
                  </m:sSubPr>
                  <m:e>
                    <m:r>
                      <w:rPr>
                        <w:rFonts w:ascii="Cambria Math" w:hAnsi="Cambria Math" w:cs="Arial"/>
                      </w:rPr>
                      <m:t>β</m:t>
                    </m:r>
                  </m:e>
                  <m:sub>
                    <m:r>
                      <w:rPr>
                        <w:rFonts w:ascii="Cambria Math" w:hAnsi="Cambria Math" w:cs="Arial"/>
                      </w:rPr>
                      <m:t>2</m:t>
                    </m:r>
                  </m:sub>
                </m:sSub>
              </m:oMath>
            </m:oMathPara>
          </w:p>
        </w:tc>
        <w:tc>
          <w:tcPr>
            <w:tcW w:w="1533" w:type="dxa"/>
          </w:tcPr>
          <w:p w14:paraId="46485A26" w14:textId="77777777" w:rsidR="00F86B78" w:rsidRPr="00862A76" w:rsidRDefault="00F86B78" w:rsidP="00D66510">
            <w:pPr>
              <w:rPr>
                <w:rFonts w:ascii="Arial" w:hAnsi="Arial" w:cs="Arial"/>
              </w:rPr>
            </w:pPr>
            <w:r w:rsidRPr="00862A76">
              <w:rPr>
                <w:rFonts w:ascii="Arial" w:hAnsi="Arial" w:cs="Arial"/>
              </w:rPr>
              <w:t>0.0451</w:t>
            </w:r>
          </w:p>
        </w:tc>
        <w:tc>
          <w:tcPr>
            <w:tcW w:w="1245" w:type="dxa"/>
          </w:tcPr>
          <w:p w14:paraId="60B73C4B" w14:textId="77777777" w:rsidR="00F86B78" w:rsidRPr="00862A76" w:rsidRDefault="00F86B78" w:rsidP="00D66510">
            <w:pPr>
              <w:rPr>
                <w:rFonts w:ascii="Arial" w:hAnsi="Arial" w:cs="Arial"/>
              </w:rPr>
            </w:pPr>
            <w:r w:rsidRPr="00862A76">
              <w:rPr>
                <w:rFonts w:ascii="Arial" w:hAnsi="Arial" w:cs="Arial"/>
              </w:rPr>
              <w:t>0.0144</w:t>
            </w:r>
          </w:p>
        </w:tc>
        <w:tc>
          <w:tcPr>
            <w:tcW w:w="1360" w:type="dxa"/>
          </w:tcPr>
          <w:p w14:paraId="7090F6F0" w14:textId="77777777" w:rsidR="00F86B78" w:rsidRPr="00862A76" w:rsidRDefault="00F86B78" w:rsidP="00D66510">
            <w:pPr>
              <w:rPr>
                <w:rFonts w:ascii="Arial" w:hAnsi="Arial" w:cs="Arial"/>
              </w:rPr>
            </w:pPr>
            <w:r w:rsidRPr="00862A76">
              <w:rPr>
                <w:rFonts w:ascii="Arial" w:hAnsi="Arial" w:cs="Arial"/>
              </w:rPr>
              <w:t>3.1319</w:t>
            </w:r>
          </w:p>
        </w:tc>
        <w:tc>
          <w:tcPr>
            <w:tcW w:w="1062" w:type="dxa"/>
          </w:tcPr>
          <w:p w14:paraId="045E5266" w14:textId="77777777" w:rsidR="00F86B78" w:rsidRPr="00862A76" w:rsidRDefault="00F86B78" w:rsidP="00D66510">
            <w:pPr>
              <w:rPr>
                <w:rFonts w:ascii="Arial" w:hAnsi="Arial" w:cs="Arial"/>
              </w:rPr>
            </w:pPr>
            <w:r w:rsidRPr="00862A76">
              <w:rPr>
                <w:rFonts w:ascii="Arial" w:hAnsi="Arial" w:cs="Arial"/>
              </w:rPr>
              <w:t>0.002</w:t>
            </w:r>
          </w:p>
        </w:tc>
        <w:tc>
          <w:tcPr>
            <w:tcW w:w="1184" w:type="dxa"/>
          </w:tcPr>
          <w:p w14:paraId="318BB440" w14:textId="77777777" w:rsidR="00F86B78" w:rsidRPr="00862A76" w:rsidRDefault="00F86B78" w:rsidP="00D66510">
            <w:pPr>
              <w:rPr>
                <w:rFonts w:ascii="Arial" w:hAnsi="Arial" w:cs="Arial"/>
              </w:rPr>
            </w:pPr>
            <w:r w:rsidRPr="00862A76">
              <w:rPr>
                <w:rFonts w:ascii="Arial" w:hAnsi="Arial" w:cs="Arial"/>
              </w:rPr>
              <w:t>0.017</w:t>
            </w:r>
          </w:p>
        </w:tc>
        <w:tc>
          <w:tcPr>
            <w:tcW w:w="994" w:type="dxa"/>
          </w:tcPr>
          <w:p w14:paraId="578EC0A2" w14:textId="77777777" w:rsidR="00F86B78" w:rsidRPr="00862A76" w:rsidRDefault="00F86B78" w:rsidP="00D66510">
            <w:pPr>
              <w:rPr>
                <w:rFonts w:ascii="Arial" w:hAnsi="Arial" w:cs="Arial"/>
              </w:rPr>
            </w:pPr>
            <w:r w:rsidRPr="00862A76">
              <w:rPr>
                <w:rFonts w:ascii="Arial" w:hAnsi="Arial" w:cs="Arial"/>
              </w:rPr>
              <w:t>0.073</w:t>
            </w:r>
          </w:p>
        </w:tc>
      </w:tr>
      <w:tr w:rsidR="00F86B78" w:rsidRPr="00862A76" w14:paraId="1839FB1F" w14:textId="77777777" w:rsidTr="00D66510">
        <w:tc>
          <w:tcPr>
            <w:tcW w:w="1478" w:type="dxa"/>
          </w:tcPr>
          <w:p w14:paraId="5E5DEAC8" w14:textId="77777777" w:rsidR="00F86B78" w:rsidRPr="00862A76" w:rsidRDefault="001E2E8F" w:rsidP="00D66510">
            <w:pPr>
              <w:rPr>
                <w:rFonts w:ascii="Arial" w:hAnsi="Arial" w:cs="Arial"/>
              </w:rPr>
            </w:pPr>
            <m:oMathPara>
              <m:oMath>
                <m:sSub>
                  <m:sSubPr>
                    <m:ctrlPr>
                      <w:rPr>
                        <w:rFonts w:ascii="Cambria Math" w:hAnsi="Cambria Math" w:cs="Arial"/>
                        <w:i/>
                      </w:rPr>
                    </m:ctrlPr>
                  </m:sSubPr>
                  <m:e>
                    <m:r>
                      <w:rPr>
                        <w:rFonts w:ascii="Cambria Math" w:hAnsi="Cambria Math" w:cs="Arial"/>
                      </w:rPr>
                      <m:t>β</m:t>
                    </m:r>
                  </m:e>
                  <m:sub>
                    <m:r>
                      <w:rPr>
                        <w:rFonts w:ascii="Cambria Math" w:hAnsi="Cambria Math" w:cs="Arial"/>
                      </w:rPr>
                      <m:t>3</m:t>
                    </m:r>
                  </m:sub>
                </m:sSub>
              </m:oMath>
            </m:oMathPara>
          </w:p>
        </w:tc>
        <w:tc>
          <w:tcPr>
            <w:tcW w:w="1533" w:type="dxa"/>
          </w:tcPr>
          <w:p w14:paraId="5404D5B1" w14:textId="77777777" w:rsidR="00F86B78" w:rsidRPr="00862A76" w:rsidRDefault="00F86B78" w:rsidP="00D66510">
            <w:pPr>
              <w:rPr>
                <w:rFonts w:ascii="Arial" w:hAnsi="Arial" w:cs="Arial"/>
              </w:rPr>
            </w:pPr>
            <w:r w:rsidRPr="00862A76">
              <w:rPr>
                <w:rFonts w:ascii="Arial" w:hAnsi="Arial" w:cs="Arial"/>
              </w:rPr>
              <w:t>0.1308</w:t>
            </w:r>
          </w:p>
        </w:tc>
        <w:tc>
          <w:tcPr>
            <w:tcW w:w="1245" w:type="dxa"/>
          </w:tcPr>
          <w:p w14:paraId="5886DBBD" w14:textId="77777777" w:rsidR="00F86B78" w:rsidRPr="00862A76" w:rsidRDefault="00F86B78" w:rsidP="00D66510">
            <w:pPr>
              <w:rPr>
                <w:rFonts w:ascii="Arial" w:hAnsi="Arial" w:cs="Arial"/>
              </w:rPr>
            </w:pPr>
            <w:r w:rsidRPr="00862A76">
              <w:rPr>
                <w:rFonts w:ascii="Arial" w:hAnsi="Arial" w:cs="Arial"/>
              </w:rPr>
              <w:t>0.0151</w:t>
            </w:r>
          </w:p>
        </w:tc>
        <w:tc>
          <w:tcPr>
            <w:tcW w:w="1360" w:type="dxa"/>
          </w:tcPr>
          <w:p w14:paraId="48A8C5D7" w14:textId="77777777" w:rsidR="00F86B78" w:rsidRPr="00862A76" w:rsidRDefault="00F86B78" w:rsidP="00D66510">
            <w:pPr>
              <w:rPr>
                <w:rFonts w:ascii="Arial" w:hAnsi="Arial" w:cs="Arial"/>
              </w:rPr>
            </w:pPr>
            <w:r w:rsidRPr="00862A76">
              <w:rPr>
                <w:rFonts w:ascii="Arial" w:hAnsi="Arial" w:cs="Arial"/>
              </w:rPr>
              <w:t>8.6623</w:t>
            </w:r>
          </w:p>
        </w:tc>
        <w:tc>
          <w:tcPr>
            <w:tcW w:w="1062" w:type="dxa"/>
          </w:tcPr>
          <w:p w14:paraId="0DBA9D54" w14:textId="77777777" w:rsidR="00F86B78" w:rsidRPr="00862A76" w:rsidRDefault="00F86B78" w:rsidP="00D66510">
            <w:pPr>
              <w:rPr>
                <w:rFonts w:ascii="Arial" w:hAnsi="Arial" w:cs="Arial"/>
              </w:rPr>
            </w:pPr>
            <w:r w:rsidRPr="00862A76">
              <w:rPr>
                <w:rFonts w:ascii="Arial" w:hAnsi="Arial" w:cs="Arial"/>
              </w:rPr>
              <w:t>0.000</w:t>
            </w:r>
          </w:p>
        </w:tc>
        <w:tc>
          <w:tcPr>
            <w:tcW w:w="1184" w:type="dxa"/>
          </w:tcPr>
          <w:p w14:paraId="4B325949" w14:textId="77777777" w:rsidR="00F86B78" w:rsidRPr="00862A76" w:rsidRDefault="00F86B78" w:rsidP="00D66510">
            <w:pPr>
              <w:rPr>
                <w:rFonts w:ascii="Arial" w:hAnsi="Arial" w:cs="Arial"/>
              </w:rPr>
            </w:pPr>
            <w:r w:rsidRPr="00862A76">
              <w:rPr>
                <w:rFonts w:ascii="Arial" w:hAnsi="Arial" w:cs="Arial"/>
              </w:rPr>
              <w:t>0.069</w:t>
            </w:r>
          </w:p>
        </w:tc>
        <w:tc>
          <w:tcPr>
            <w:tcW w:w="994" w:type="dxa"/>
          </w:tcPr>
          <w:p w14:paraId="65982114" w14:textId="77777777" w:rsidR="00F86B78" w:rsidRPr="00862A76" w:rsidRDefault="00F86B78" w:rsidP="00D66510">
            <w:pPr>
              <w:rPr>
                <w:rFonts w:ascii="Arial" w:hAnsi="Arial" w:cs="Arial"/>
              </w:rPr>
            </w:pPr>
            <w:r w:rsidRPr="00862A76">
              <w:rPr>
                <w:rFonts w:ascii="Arial" w:hAnsi="Arial" w:cs="Arial"/>
              </w:rPr>
              <w:t>0.179</w:t>
            </w:r>
          </w:p>
        </w:tc>
      </w:tr>
      <w:tr w:rsidR="00F86B78" w:rsidRPr="00862A76" w14:paraId="1F54ED10" w14:textId="77777777" w:rsidTr="00D66510">
        <w:tc>
          <w:tcPr>
            <w:tcW w:w="8856" w:type="dxa"/>
            <w:gridSpan w:val="7"/>
          </w:tcPr>
          <w:p w14:paraId="03639B99" w14:textId="77777777" w:rsidR="00F86B78" w:rsidRPr="00862A76" w:rsidRDefault="00F86B78" w:rsidP="00D66510">
            <w:pPr>
              <w:jc w:val="center"/>
              <w:rPr>
                <w:rFonts w:ascii="Arial" w:hAnsi="Arial" w:cs="Arial"/>
              </w:rPr>
            </w:pPr>
            <w:r w:rsidRPr="00862A76">
              <w:rPr>
                <w:rFonts w:ascii="Arial" w:hAnsi="Arial" w:cs="Arial"/>
                <w:b/>
              </w:rPr>
              <w:t>Generalized Poisson Regression (GPR) Model</w:t>
            </w:r>
          </w:p>
        </w:tc>
      </w:tr>
      <w:tr w:rsidR="00F86B78" w:rsidRPr="00862A76" w14:paraId="44B57DF2" w14:textId="77777777" w:rsidTr="00D66510">
        <w:tc>
          <w:tcPr>
            <w:tcW w:w="1478" w:type="dxa"/>
          </w:tcPr>
          <w:p w14:paraId="1817464C" w14:textId="77777777" w:rsidR="00F86B78" w:rsidRPr="00862A76" w:rsidRDefault="001E2E8F" w:rsidP="00D66510">
            <w:pPr>
              <w:jc w:val="both"/>
              <w:rPr>
                <w:rFonts w:ascii="Arial" w:hAnsi="Arial" w:cs="Arial"/>
              </w:rPr>
            </w:pPr>
            <m:oMathPara>
              <m:oMath>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oMath>
            </m:oMathPara>
          </w:p>
        </w:tc>
        <w:tc>
          <w:tcPr>
            <w:tcW w:w="1533" w:type="dxa"/>
          </w:tcPr>
          <w:p w14:paraId="4FF09006" w14:textId="77777777" w:rsidR="00F86B78" w:rsidRPr="00862A76" w:rsidRDefault="00F86B78" w:rsidP="00D66510">
            <w:pPr>
              <w:rPr>
                <w:rFonts w:ascii="Arial" w:hAnsi="Arial" w:cs="Arial"/>
              </w:rPr>
            </w:pPr>
            <w:r w:rsidRPr="00862A76">
              <w:rPr>
                <w:rFonts w:ascii="Arial" w:hAnsi="Arial" w:cs="Arial"/>
              </w:rPr>
              <w:t>0.2056</w:t>
            </w:r>
          </w:p>
        </w:tc>
        <w:tc>
          <w:tcPr>
            <w:tcW w:w="1245" w:type="dxa"/>
          </w:tcPr>
          <w:p w14:paraId="5AD21BC8" w14:textId="77777777" w:rsidR="00F86B78" w:rsidRPr="00862A76" w:rsidRDefault="00F86B78" w:rsidP="00D66510">
            <w:pPr>
              <w:rPr>
                <w:rFonts w:ascii="Arial" w:hAnsi="Arial" w:cs="Arial"/>
              </w:rPr>
            </w:pPr>
            <w:r w:rsidRPr="00862A76">
              <w:rPr>
                <w:rFonts w:ascii="Arial" w:hAnsi="Arial" w:cs="Arial"/>
              </w:rPr>
              <w:t>0.0590</w:t>
            </w:r>
          </w:p>
        </w:tc>
        <w:tc>
          <w:tcPr>
            <w:tcW w:w="1360" w:type="dxa"/>
          </w:tcPr>
          <w:p w14:paraId="4980AD2F" w14:textId="77777777" w:rsidR="00F86B78" w:rsidRPr="00862A76" w:rsidRDefault="00F86B78" w:rsidP="00D66510">
            <w:pPr>
              <w:rPr>
                <w:rFonts w:ascii="Arial" w:hAnsi="Arial" w:cs="Arial"/>
              </w:rPr>
            </w:pPr>
            <w:r w:rsidRPr="00862A76">
              <w:rPr>
                <w:rFonts w:ascii="Arial" w:hAnsi="Arial" w:cs="Arial"/>
              </w:rPr>
              <w:t>3.4847</w:t>
            </w:r>
          </w:p>
        </w:tc>
        <w:tc>
          <w:tcPr>
            <w:tcW w:w="1062" w:type="dxa"/>
          </w:tcPr>
          <w:p w14:paraId="6880C2A2" w14:textId="77777777" w:rsidR="00F86B78" w:rsidRPr="00862A76" w:rsidRDefault="00F86B78" w:rsidP="00D66510">
            <w:pPr>
              <w:rPr>
                <w:rFonts w:ascii="Arial" w:hAnsi="Arial" w:cs="Arial"/>
              </w:rPr>
            </w:pPr>
            <w:r w:rsidRPr="00862A76">
              <w:rPr>
                <w:rFonts w:ascii="Arial" w:hAnsi="Arial" w:cs="Arial"/>
              </w:rPr>
              <w:t>0.001</w:t>
            </w:r>
          </w:p>
        </w:tc>
        <w:tc>
          <w:tcPr>
            <w:tcW w:w="1184" w:type="dxa"/>
          </w:tcPr>
          <w:p w14:paraId="2EB7A389" w14:textId="77777777" w:rsidR="00F86B78" w:rsidRPr="00862A76" w:rsidRDefault="00F86B78" w:rsidP="00D66510">
            <w:pPr>
              <w:rPr>
                <w:rFonts w:ascii="Arial" w:hAnsi="Arial" w:cs="Arial"/>
              </w:rPr>
            </w:pPr>
            <w:r w:rsidRPr="00862A76">
              <w:rPr>
                <w:rFonts w:ascii="Arial" w:hAnsi="Arial" w:cs="Arial"/>
              </w:rPr>
              <w:t>0.019</w:t>
            </w:r>
          </w:p>
        </w:tc>
        <w:tc>
          <w:tcPr>
            <w:tcW w:w="994" w:type="dxa"/>
          </w:tcPr>
          <w:p w14:paraId="56097AB6" w14:textId="77777777" w:rsidR="00F86B78" w:rsidRPr="00862A76" w:rsidRDefault="00F86B78" w:rsidP="00D66510">
            <w:pPr>
              <w:rPr>
                <w:rFonts w:ascii="Arial" w:hAnsi="Arial" w:cs="Arial"/>
              </w:rPr>
            </w:pPr>
            <w:r w:rsidRPr="00862A76">
              <w:rPr>
                <w:rFonts w:ascii="Arial" w:hAnsi="Arial" w:cs="Arial"/>
              </w:rPr>
              <w:t>0.352</w:t>
            </w:r>
          </w:p>
        </w:tc>
      </w:tr>
      <w:tr w:rsidR="00F86B78" w:rsidRPr="00862A76" w14:paraId="390DE4CF" w14:textId="77777777" w:rsidTr="00D66510">
        <w:tc>
          <w:tcPr>
            <w:tcW w:w="1478" w:type="dxa"/>
          </w:tcPr>
          <w:p w14:paraId="01AD80FD" w14:textId="77777777" w:rsidR="00F86B78" w:rsidRPr="00862A76" w:rsidRDefault="001E2E8F" w:rsidP="00D66510">
            <w:pPr>
              <w:rPr>
                <w:rFonts w:ascii="Arial" w:hAnsi="Arial" w:cs="Arial"/>
              </w:rPr>
            </w:pPr>
            <m:oMathPara>
              <m:oMath>
                <m:sSub>
                  <m:sSubPr>
                    <m:ctrlPr>
                      <w:rPr>
                        <w:rFonts w:ascii="Cambria Math" w:hAnsi="Cambria Math" w:cs="Arial"/>
                        <w:i/>
                      </w:rPr>
                    </m:ctrlPr>
                  </m:sSubPr>
                  <m:e>
                    <m:r>
                      <w:rPr>
                        <w:rFonts w:ascii="Cambria Math" w:hAnsi="Cambria Math" w:cs="Arial"/>
                      </w:rPr>
                      <m:t>β</m:t>
                    </m:r>
                  </m:e>
                  <m:sub>
                    <m:r>
                      <w:rPr>
                        <w:rFonts w:ascii="Cambria Math" w:hAnsi="Cambria Math" w:cs="Arial"/>
                      </w:rPr>
                      <m:t>1</m:t>
                    </m:r>
                  </m:sub>
                </m:sSub>
              </m:oMath>
            </m:oMathPara>
          </w:p>
        </w:tc>
        <w:tc>
          <w:tcPr>
            <w:tcW w:w="1533" w:type="dxa"/>
          </w:tcPr>
          <w:p w14:paraId="783A15BD" w14:textId="77777777" w:rsidR="00F86B78" w:rsidRPr="00862A76" w:rsidRDefault="00F86B78" w:rsidP="00D66510">
            <w:pPr>
              <w:rPr>
                <w:rFonts w:ascii="Arial" w:hAnsi="Arial" w:cs="Arial"/>
              </w:rPr>
            </w:pPr>
            <w:r w:rsidRPr="00862A76">
              <w:rPr>
                <w:rFonts w:ascii="Arial" w:hAnsi="Arial" w:cs="Arial"/>
              </w:rPr>
              <w:t>0.1141</w:t>
            </w:r>
          </w:p>
        </w:tc>
        <w:tc>
          <w:tcPr>
            <w:tcW w:w="1245" w:type="dxa"/>
          </w:tcPr>
          <w:p w14:paraId="6760FDD4" w14:textId="77777777" w:rsidR="00F86B78" w:rsidRPr="00862A76" w:rsidRDefault="00F86B78" w:rsidP="00D66510">
            <w:pPr>
              <w:rPr>
                <w:rFonts w:ascii="Arial" w:hAnsi="Arial" w:cs="Arial"/>
              </w:rPr>
            </w:pPr>
            <w:r w:rsidRPr="00862A76">
              <w:rPr>
                <w:rFonts w:ascii="Arial" w:hAnsi="Arial" w:cs="Arial"/>
              </w:rPr>
              <w:t>0.0073</w:t>
            </w:r>
          </w:p>
        </w:tc>
        <w:tc>
          <w:tcPr>
            <w:tcW w:w="1360" w:type="dxa"/>
          </w:tcPr>
          <w:p w14:paraId="0EF69CD6" w14:textId="77777777" w:rsidR="00F86B78" w:rsidRPr="00862A76" w:rsidRDefault="00F86B78" w:rsidP="00D66510">
            <w:pPr>
              <w:rPr>
                <w:rFonts w:ascii="Arial" w:hAnsi="Arial" w:cs="Arial"/>
              </w:rPr>
            </w:pPr>
            <w:r w:rsidRPr="00862A76">
              <w:rPr>
                <w:rFonts w:ascii="Arial" w:hAnsi="Arial" w:cs="Arial"/>
              </w:rPr>
              <w:t>15.630</w:t>
            </w:r>
          </w:p>
        </w:tc>
        <w:tc>
          <w:tcPr>
            <w:tcW w:w="1062" w:type="dxa"/>
          </w:tcPr>
          <w:p w14:paraId="25EB8A05" w14:textId="77777777" w:rsidR="00F86B78" w:rsidRPr="00862A76" w:rsidRDefault="00F86B78" w:rsidP="00D66510">
            <w:pPr>
              <w:rPr>
                <w:rFonts w:ascii="Arial" w:hAnsi="Arial" w:cs="Arial"/>
              </w:rPr>
            </w:pPr>
            <w:r w:rsidRPr="00862A76">
              <w:rPr>
                <w:rFonts w:ascii="Arial" w:hAnsi="Arial" w:cs="Arial"/>
              </w:rPr>
              <w:t>0.000</w:t>
            </w:r>
          </w:p>
        </w:tc>
        <w:tc>
          <w:tcPr>
            <w:tcW w:w="1184" w:type="dxa"/>
          </w:tcPr>
          <w:p w14:paraId="581AB835" w14:textId="77777777" w:rsidR="00F86B78" w:rsidRPr="00862A76" w:rsidRDefault="00F86B78" w:rsidP="00D66510">
            <w:pPr>
              <w:rPr>
                <w:rFonts w:ascii="Arial" w:hAnsi="Arial" w:cs="Arial"/>
              </w:rPr>
            </w:pPr>
            <w:r w:rsidRPr="00862A76">
              <w:rPr>
                <w:rFonts w:ascii="Arial" w:hAnsi="Arial" w:cs="Arial"/>
              </w:rPr>
              <w:t>0.051</w:t>
            </w:r>
          </w:p>
        </w:tc>
        <w:tc>
          <w:tcPr>
            <w:tcW w:w="994" w:type="dxa"/>
          </w:tcPr>
          <w:p w14:paraId="1419B3A8" w14:textId="77777777" w:rsidR="00F86B78" w:rsidRPr="00862A76" w:rsidRDefault="00F86B78" w:rsidP="00D66510">
            <w:pPr>
              <w:rPr>
                <w:rFonts w:ascii="Arial" w:hAnsi="Arial" w:cs="Arial"/>
              </w:rPr>
            </w:pPr>
            <w:r w:rsidRPr="00862A76">
              <w:rPr>
                <w:rFonts w:ascii="Arial" w:hAnsi="Arial" w:cs="Arial"/>
              </w:rPr>
              <w:t>0.229</w:t>
            </w:r>
          </w:p>
        </w:tc>
      </w:tr>
      <w:tr w:rsidR="00F86B78" w:rsidRPr="00862A76" w14:paraId="5840BC76" w14:textId="77777777" w:rsidTr="00D66510">
        <w:tc>
          <w:tcPr>
            <w:tcW w:w="1478" w:type="dxa"/>
          </w:tcPr>
          <w:p w14:paraId="650FBC8D" w14:textId="77777777" w:rsidR="00F86B78" w:rsidRPr="00862A76" w:rsidRDefault="001E2E8F" w:rsidP="00D66510">
            <w:pPr>
              <w:rPr>
                <w:rFonts w:ascii="Arial" w:hAnsi="Arial" w:cs="Arial"/>
              </w:rPr>
            </w:pPr>
            <m:oMathPara>
              <m:oMath>
                <m:sSub>
                  <m:sSubPr>
                    <m:ctrlPr>
                      <w:rPr>
                        <w:rFonts w:ascii="Cambria Math" w:hAnsi="Cambria Math" w:cs="Arial"/>
                        <w:i/>
                      </w:rPr>
                    </m:ctrlPr>
                  </m:sSubPr>
                  <m:e>
                    <m:r>
                      <w:rPr>
                        <w:rFonts w:ascii="Cambria Math" w:hAnsi="Cambria Math" w:cs="Arial"/>
                      </w:rPr>
                      <m:t>β</m:t>
                    </m:r>
                  </m:e>
                  <m:sub>
                    <m:r>
                      <w:rPr>
                        <w:rFonts w:ascii="Cambria Math" w:hAnsi="Cambria Math" w:cs="Arial"/>
                      </w:rPr>
                      <m:t>2</m:t>
                    </m:r>
                  </m:sub>
                </m:sSub>
              </m:oMath>
            </m:oMathPara>
          </w:p>
        </w:tc>
        <w:tc>
          <w:tcPr>
            <w:tcW w:w="1533" w:type="dxa"/>
          </w:tcPr>
          <w:p w14:paraId="27C167E2" w14:textId="77777777" w:rsidR="00F86B78" w:rsidRPr="00862A76" w:rsidRDefault="00F86B78" w:rsidP="00D66510">
            <w:pPr>
              <w:rPr>
                <w:rFonts w:ascii="Arial" w:hAnsi="Arial" w:cs="Arial"/>
              </w:rPr>
            </w:pPr>
            <w:r w:rsidRPr="00862A76">
              <w:rPr>
                <w:rFonts w:ascii="Arial" w:hAnsi="Arial" w:cs="Arial"/>
              </w:rPr>
              <w:t>0.0467</w:t>
            </w:r>
          </w:p>
        </w:tc>
        <w:tc>
          <w:tcPr>
            <w:tcW w:w="1245" w:type="dxa"/>
          </w:tcPr>
          <w:p w14:paraId="41BB09D7" w14:textId="77777777" w:rsidR="00F86B78" w:rsidRPr="00862A76" w:rsidRDefault="00F86B78" w:rsidP="00D66510">
            <w:pPr>
              <w:rPr>
                <w:rFonts w:ascii="Arial" w:hAnsi="Arial" w:cs="Arial"/>
              </w:rPr>
            </w:pPr>
            <w:r w:rsidRPr="00862A76">
              <w:rPr>
                <w:rFonts w:ascii="Arial" w:hAnsi="Arial" w:cs="Arial"/>
              </w:rPr>
              <w:t>0.0153</w:t>
            </w:r>
          </w:p>
        </w:tc>
        <w:tc>
          <w:tcPr>
            <w:tcW w:w="1360" w:type="dxa"/>
          </w:tcPr>
          <w:p w14:paraId="3F75548C" w14:textId="77777777" w:rsidR="00F86B78" w:rsidRPr="00862A76" w:rsidRDefault="00F86B78" w:rsidP="00D66510">
            <w:pPr>
              <w:rPr>
                <w:rFonts w:ascii="Arial" w:hAnsi="Arial" w:cs="Arial"/>
              </w:rPr>
            </w:pPr>
            <w:r w:rsidRPr="00862A76">
              <w:rPr>
                <w:rFonts w:ascii="Arial" w:hAnsi="Arial" w:cs="Arial"/>
              </w:rPr>
              <w:t>3.0523</w:t>
            </w:r>
          </w:p>
        </w:tc>
        <w:tc>
          <w:tcPr>
            <w:tcW w:w="1062" w:type="dxa"/>
          </w:tcPr>
          <w:p w14:paraId="133957BA" w14:textId="77777777" w:rsidR="00F86B78" w:rsidRPr="00862A76" w:rsidRDefault="00F86B78" w:rsidP="00D66510">
            <w:pPr>
              <w:rPr>
                <w:rFonts w:ascii="Arial" w:hAnsi="Arial" w:cs="Arial"/>
              </w:rPr>
            </w:pPr>
            <w:r w:rsidRPr="00862A76">
              <w:rPr>
                <w:rFonts w:ascii="Arial" w:hAnsi="Arial" w:cs="Arial"/>
              </w:rPr>
              <w:t>0.002</w:t>
            </w:r>
          </w:p>
        </w:tc>
        <w:tc>
          <w:tcPr>
            <w:tcW w:w="1184" w:type="dxa"/>
          </w:tcPr>
          <w:p w14:paraId="19E73E62" w14:textId="77777777" w:rsidR="00F86B78" w:rsidRPr="00862A76" w:rsidRDefault="00F86B78" w:rsidP="00D66510">
            <w:pPr>
              <w:rPr>
                <w:rFonts w:ascii="Arial" w:hAnsi="Arial" w:cs="Arial"/>
              </w:rPr>
            </w:pPr>
            <w:r w:rsidRPr="00862A76">
              <w:rPr>
                <w:rFonts w:ascii="Arial" w:hAnsi="Arial" w:cs="Arial"/>
              </w:rPr>
              <w:t>0.017</w:t>
            </w:r>
          </w:p>
        </w:tc>
        <w:tc>
          <w:tcPr>
            <w:tcW w:w="994" w:type="dxa"/>
          </w:tcPr>
          <w:p w14:paraId="5750F7D6" w14:textId="77777777" w:rsidR="00F86B78" w:rsidRPr="00862A76" w:rsidRDefault="00F86B78" w:rsidP="00D66510">
            <w:pPr>
              <w:rPr>
                <w:rFonts w:ascii="Arial" w:hAnsi="Arial" w:cs="Arial"/>
              </w:rPr>
            </w:pPr>
            <w:r w:rsidRPr="00862A76">
              <w:rPr>
                <w:rFonts w:ascii="Arial" w:hAnsi="Arial" w:cs="Arial"/>
              </w:rPr>
              <w:t>0.076</w:t>
            </w:r>
          </w:p>
        </w:tc>
      </w:tr>
      <w:tr w:rsidR="00F86B78" w:rsidRPr="00862A76" w14:paraId="3A045D19" w14:textId="77777777" w:rsidTr="00D66510">
        <w:tc>
          <w:tcPr>
            <w:tcW w:w="1478" w:type="dxa"/>
          </w:tcPr>
          <w:p w14:paraId="468ACE0A" w14:textId="77777777" w:rsidR="00F86B78" w:rsidRPr="00862A76" w:rsidRDefault="001E2E8F" w:rsidP="00D66510">
            <w:pPr>
              <w:rPr>
                <w:rFonts w:ascii="Arial" w:hAnsi="Arial" w:cs="Arial"/>
              </w:rPr>
            </w:pPr>
            <m:oMathPara>
              <m:oMath>
                <m:sSub>
                  <m:sSubPr>
                    <m:ctrlPr>
                      <w:rPr>
                        <w:rFonts w:ascii="Cambria Math" w:hAnsi="Cambria Math" w:cs="Arial"/>
                        <w:i/>
                      </w:rPr>
                    </m:ctrlPr>
                  </m:sSubPr>
                  <m:e>
                    <m:r>
                      <w:rPr>
                        <w:rFonts w:ascii="Cambria Math" w:hAnsi="Cambria Math" w:cs="Arial"/>
                      </w:rPr>
                      <m:t>β</m:t>
                    </m:r>
                  </m:e>
                  <m:sub>
                    <m:r>
                      <w:rPr>
                        <w:rFonts w:ascii="Cambria Math" w:hAnsi="Cambria Math" w:cs="Arial"/>
                      </w:rPr>
                      <m:t>3</m:t>
                    </m:r>
                  </m:sub>
                </m:sSub>
              </m:oMath>
            </m:oMathPara>
          </w:p>
        </w:tc>
        <w:tc>
          <w:tcPr>
            <w:tcW w:w="1533" w:type="dxa"/>
          </w:tcPr>
          <w:p w14:paraId="560F20EF" w14:textId="77777777" w:rsidR="00F86B78" w:rsidRPr="00862A76" w:rsidRDefault="00F86B78" w:rsidP="00D66510">
            <w:pPr>
              <w:rPr>
                <w:rFonts w:ascii="Arial" w:hAnsi="Arial" w:cs="Arial"/>
              </w:rPr>
            </w:pPr>
            <w:r w:rsidRPr="00862A76">
              <w:rPr>
                <w:rFonts w:ascii="Arial" w:hAnsi="Arial" w:cs="Arial"/>
              </w:rPr>
              <w:t>0.0312</w:t>
            </w:r>
          </w:p>
        </w:tc>
        <w:tc>
          <w:tcPr>
            <w:tcW w:w="1245" w:type="dxa"/>
          </w:tcPr>
          <w:p w14:paraId="1D6F5FB8" w14:textId="77777777" w:rsidR="00F86B78" w:rsidRPr="00862A76" w:rsidRDefault="00F86B78" w:rsidP="00D66510">
            <w:pPr>
              <w:rPr>
                <w:rFonts w:ascii="Arial" w:hAnsi="Arial" w:cs="Arial"/>
              </w:rPr>
            </w:pPr>
            <w:r w:rsidRPr="00862A76">
              <w:rPr>
                <w:rFonts w:ascii="Arial" w:hAnsi="Arial" w:cs="Arial"/>
              </w:rPr>
              <w:t>0.0155</w:t>
            </w:r>
          </w:p>
        </w:tc>
        <w:tc>
          <w:tcPr>
            <w:tcW w:w="1360" w:type="dxa"/>
          </w:tcPr>
          <w:p w14:paraId="54B7E917" w14:textId="77777777" w:rsidR="00F86B78" w:rsidRPr="00862A76" w:rsidRDefault="00F86B78" w:rsidP="00D66510">
            <w:pPr>
              <w:rPr>
                <w:rFonts w:ascii="Arial" w:hAnsi="Arial" w:cs="Arial"/>
              </w:rPr>
            </w:pPr>
            <w:r w:rsidRPr="00862A76">
              <w:rPr>
                <w:rFonts w:ascii="Arial" w:hAnsi="Arial" w:cs="Arial"/>
              </w:rPr>
              <w:t>2.0129</w:t>
            </w:r>
          </w:p>
        </w:tc>
        <w:tc>
          <w:tcPr>
            <w:tcW w:w="1062" w:type="dxa"/>
          </w:tcPr>
          <w:p w14:paraId="2E75E9A1" w14:textId="77777777" w:rsidR="00F86B78" w:rsidRPr="00862A76" w:rsidRDefault="00F86B78" w:rsidP="00D66510">
            <w:pPr>
              <w:rPr>
                <w:rFonts w:ascii="Arial" w:hAnsi="Arial" w:cs="Arial"/>
              </w:rPr>
            </w:pPr>
            <w:r w:rsidRPr="00862A76">
              <w:rPr>
                <w:rFonts w:ascii="Arial" w:hAnsi="Arial" w:cs="Arial"/>
              </w:rPr>
              <w:t>0.044</w:t>
            </w:r>
          </w:p>
        </w:tc>
        <w:tc>
          <w:tcPr>
            <w:tcW w:w="1184" w:type="dxa"/>
          </w:tcPr>
          <w:p w14:paraId="7C9089E5" w14:textId="77777777" w:rsidR="00F86B78" w:rsidRPr="00862A76" w:rsidRDefault="00F86B78" w:rsidP="00D66510">
            <w:pPr>
              <w:rPr>
                <w:rFonts w:ascii="Arial" w:hAnsi="Arial" w:cs="Arial"/>
              </w:rPr>
            </w:pPr>
            <w:r w:rsidRPr="00862A76">
              <w:rPr>
                <w:rFonts w:ascii="Arial" w:hAnsi="Arial" w:cs="Arial"/>
              </w:rPr>
              <w:t>0.006</w:t>
            </w:r>
          </w:p>
        </w:tc>
        <w:tc>
          <w:tcPr>
            <w:tcW w:w="994" w:type="dxa"/>
          </w:tcPr>
          <w:p w14:paraId="5007102D" w14:textId="77777777" w:rsidR="00F86B78" w:rsidRPr="00862A76" w:rsidRDefault="00F86B78" w:rsidP="00D66510">
            <w:pPr>
              <w:rPr>
                <w:rFonts w:ascii="Arial" w:hAnsi="Arial" w:cs="Arial"/>
              </w:rPr>
            </w:pPr>
            <w:r w:rsidRPr="00862A76">
              <w:rPr>
                <w:rFonts w:ascii="Arial" w:hAnsi="Arial" w:cs="Arial"/>
              </w:rPr>
              <w:t>0.064</w:t>
            </w:r>
          </w:p>
        </w:tc>
      </w:tr>
    </w:tbl>
    <w:p w14:paraId="54745E40" w14:textId="77777777" w:rsidR="00F86B78" w:rsidRPr="00862A76" w:rsidRDefault="00F86B78" w:rsidP="00F86B78">
      <w:pPr>
        <w:jc w:val="both"/>
        <w:rPr>
          <w:rFonts w:ascii="Arial" w:hAnsi="Arial" w:cs="Arial"/>
        </w:rPr>
      </w:pPr>
      <w:r w:rsidRPr="00862A76">
        <w:t>In the Poisson regression model, the response variable is count-based, and the logarithm of the expected count is modelled as a function of the predictor variables. The parameter estimates from the Poisson regression model, presented in the upper panel of Table 4, can be expressed as follows:</w:t>
      </w:r>
    </w:p>
    <w:p w14:paraId="0F5092BF" w14:textId="77777777" w:rsidR="00F86B78" w:rsidRPr="00862A76" w:rsidRDefault="001E2E8F" w:rsidP="00F86B78">
      <w:pPr>
        <w:jc w:val="both"/>
        <w:rPr>
          <w:rFonts w:ascii="Arial" w:hAnsi="Arial" w:cs="Arial"/>
        </w:rPr>
      </w:pPr>
      <m:oMathPara>
        <m:oMath>
          <m:func>
            <m:funcPr>
              <m:ctrlPr>
                <w:rPr>
                  <w:rFonts w:ascii="Cambria Math" w:hAnsi="Cambria Math" w:cs="Arial"/>
                  <w:i/>
                </w:rPr>
              </m:ctrlPr>
            </m:funcPr>
            <m:fName>
              <m:r>
                <m:rPr>
                  <m:sty m:val="p"/>
                </m:rPr>
                <w:rPr>
                  <w:rFonts w:ascii="Cambria Math" w:hAnsi="Cambria Math" w:cs="Arial"/>
                </w:rPr>
                <m:t>ln</m:t>
              </m:r>
            </m:fName>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λ</m:t>
                      </m:r>
                    </m:e>
                    <m:sub>
                      <m:r>
                        <w:rPr>
                          <w:rFonts w:ascii="Cambria Math" w:hAnsi="Cambria Math" w:cs="Arial"/>
                        </w:rPr>
                        <m:t>i</m:t>
                      </m:r>
                    </m:sub>
                  </m:sSub>
                </m:e>
              </m:d>
              <m:r>
                <w:rPr>
                  <w:rFonts w:ascii="Cambria Math" w:hAnsi="Cambria Math" w:cs="Arial"/>
                </w:rPr>
                <m:t>=</m:t>
              </m:r>
            </m:e>
          </m:func>
          <m:r>
            <w:rPr>
              <w:rFonts w:ascii="Cambria Math" w:hAnsi="Cambria Math" w:cs="Arial"/>
            </w:rPr>
            <m:t xml:space="preserve"> 0.1234+0.0152</m:t>
          </m:r>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r>
            <w:rPr>
              <w:rFonts w:ascii="Cambria Math" w:hAnsi="Cambria Math" w:cs="Arial"/>
            </w:rPr>
            <m:t>+0.0478</m:t>
          </m:r>
          <m:sSub>
            <m:sSubPr>
              <m:ctrlPr>
                <w:rPr>
                  <w:rFonts w:ascii="Cambria Math" w:hAnsi="Cambria Math" w:cs="Arial"/>
                  <w:i/>
                </w:rPr>
              </m:ctrlPr>
            </m:sSubPr>
            <m:e>
              <m:r>
                <w:rPr>
                  <w:rFonts w:ascii="Cambria Math" w:hAnsi="Cambria Math" w:cs="Arial"/>
                </w:rPr>
                <m:t>x</m:t>
              </m:r>
            </m:e>
            <m:sub>
              <m:r>
                <w:rPr>
                  <w:rFonts w:ascii="Cambria Math" w:hAnsi="Cambria Math" w:cs="Arial"/>
                </w:rPr>
                <m:t>2</m:t>
              </m:r>
            </m:sub>
          </m:sSub>
          <m:r>
            <w:rPr>
              <w:rFonts w:ascii="Cambria Math" w:hAnsi="Cambria Math" w:cs="Arial"/>
            </w:rPr>
            <m:t>+0.0321</m:t>
          </m:r>
          <m:sSub>
            <m:sSubPr>
              <m:ctrlPr>
                <w:rPr>
                  <w:rFonts w:ascii="Cambria Math" w:hAnsi="Cambria Math" w:cs="Arial"/>
                  <w:i/>
                </w:rPr>
              </m:ctrlPr>
            </m:sSubPr>
            <m:e>
              <m:r>
                <w:rPr>
                  <w:rFonts w:ascii="Cambria Math" w:hAnsi="Cambria Math" w:cs="Arial"/>
                </w:rPr>
                <m:t>x</m:t>
              </m:r>
            </m:e>
            <m:sub>
              <m:r>
                <w:rPr>
                  <w:rFonts w:ascii="Cambria Math" w:hAnsi="Cambria Math" w:cs="Arial"/>
                </w:rPr>
                <m:t>3</m:t>
              </m:r>
            </m:sub>
          </m:sSub>
          <m:r>
            <w:rPr>
              <w:rFonts w:ascii="Cambria Math" w:hAnsi="Cambria Math" w:cs="Arial"/>
            </w:rPr>
            <m:t xml:space="preserve">                                                  (14)</m:t>
          </m:r>
        </m:oMath>
      </m:oMathPara>
    </w:p>
    <w:p w14:paraId="211A6688" w14:textId="77777777" w:rsidR="00F86B78" w:rsidRPr="00862A76" w:rsidRDefault="00F86B78" w:rsidP="00F86B78">
      <w:pPr>
        <w:spacing w:before="240"/>
        <w:jc w:val="both"/>
        <w:rPr>
          <w:rFonts w:ascii="Arial" w:hAnsi="Arial" w:cs="Arial"/>
          <w:shd w:val="clear" w:color="auto" w:fill="FFFFFF"/>
        </w:rPr>
      </w:pPr>
      <w:r w:rsidRPr="00862A76">
        <w:t>The intercept in the Poisson regression model represents the estimated log count of diabetes-related deaths when all predictor variables are set to zero. In Table 4, the intercept is positive and statistically significant at the 5% level, indicating that, with all other variables held constant, the log of the expected number of diabetes-related deaths is 0.1234.</w:t>
      </w:r>
    </w:p>
    <w:p w14:paraId="0CDC2B47" w14:textId="77777777" w:rsidR="00F86B78" w:rsidRPr="00862A76" w:rsidRDefault="00F86B78" w:rsidP="00F86B78">
      <w:pPr>
        <w:spacing w:before="240"/>
        <w:jc w:val="both"/>
        <w:rPr>
          <w:rFonts w:ascii="Arial" w:hAnsi="Arial" w:cs="Arial"/>
        </w:rPr>
      </w:pPr>
      <w:r w:rsidRPr="00862A76">
        <w:rPr>
          <w:rFonts w:ascii="Arial" w:hAnsi="Arial" w:cs="Arial"/>
          <w:shd w:val="clear" w:color="auto" w:fill="FFFFFF"/>
        </w:rPr>
        <w:t>The coefficients for confirmed (</w:t>
      </w:r>
      <m:oMath>
        <m:sSub>
          <m:sSubPr>
            <m:ctrlPr>
              <w:rPr>
                <w:rFonts w:ascii="Cambria Math" w:hAnsi="Cambria Math" w:cs="Arial"/>
                <w:i/>
                <w:shd w:val="clear" w:color="auto" w:fill="FFFFFF"/>
              </w:rPr>
            </m:ctrlPr>
          </m:sSubPr>
          <m:e>
            <m:r>
              <w:rPr>
                <w:rFonts w:ascii="Cambria Math" w:hAnsi="Cambria Math" w:cs="Arial"/>
                <w:shd w:val="clear" w:color="auto" w:fill="FFFFFF"/>
              </w:rPr>
              <m:t>β</m:t>
            </m:r>
          </m:e>
          <m:sub>
            <m:r>
              <w:rPr>
                <w:rFonts w:ascii="Cambria Math" w:hAnsi="Cambria Math" w:cs="Arial"/>
                <w:shd w:val="clear" w:color="auto" w:fill="FFFFFF"/>
              </w:rPr>
              <m:t>1</m:t>
            </m:r>
          </m:sub>
        </m:sSub>
      </m:oMath>
      <w:r w:rsidRPr="00862A76">
        <w:rPr>
          <w:rFonts w:ascii="Arial" w:hAnsi="Arial" w:cs="Arial"/>
          <w:shd w:val="clear" w:color="auto" w:fill="FFFFFF"/>
        </w:rPr>
        <w:t>), active (</w:t>
      </w:r>
      <m:oMath>
        <m:sSub>
          <m:sSubPr>
            <m:ctrlPr>
              <w:rPr>
                <w:rFonts w:ascii="Cambria Math" w:hAnsi="Cambria Math" w:cs="Arial"/>
                <w:i/>
                <w:shd w:val="clear" w:color="auto" w:fill="FFFFFF"/>
              </w:rPr>
            </m:ctrlPr>
          </m:sSubPr>
          <m:e>
            <m:r>
              <w:rPr>
                <w:rFonts w:ascii="Cambria Math" w:hAnsi="Cambria Math" w:cs="Arial"/>
                <w:shd w:val="clear" w:color="auto" w:fill="FFFFFF"/>
              </w:rPr>
              <m:t>β</m:t>
            </m:r>
          </m:e>
          <m:sub>
            <m:r>
              <w:rPr>
                <w:rFonts w:ascii="Cambria Math" w:hAnsi="Cambria Math" w:cs="Arial"/>
                <w:shd w:val="clear" w:color="auto" w:fill="FFFFFF"/>
              </w:rPr>
              <m:t>2</m:t>
            </m:r>
          </m:sub>
        </m:sSub>
      </m:oMath>
      <w:r w:rsidRPr="00862A76">
        <w:rPr>
          <w:rFonts w:ascii="Arial" w:hAnsi="Arial" w:cs="Arial"/>
          <w:shd w:val="clear" w:color="auto" w:fill="FFFFFF"/>
        </w:rPr>
        <w:t>), and severe (</w:t>
      </w:r>
      <m:oMath>
        <m:sSub>
          <m:sSubPr>
            <m:ctrlPr>
              <w:rPr>
                <w:rFonts w:ascii="Cambria Math" w:hAnsi="Cambria Math" w:cs="Arial"/>
                <w:i/>
                <w:shd w:val="clear" w:color="auto" w:fill="FFFFFF"/>
              </w:rPr>
            </m:ctrlPr>
          </m:sSubPr>
          <m:e>
            <m:r>
              <w:rPr>
                <w:rFonts w:ascii="Cambria Math" w:hAnsi="Cambria Math" w:cs="Arial"/>
                <w:shd w:val="clear" w:color="auto" w:fill="FFFFFF"/>
              </w:rPr>
              <m:t>β</m:t>
            </m:r>
          </m:e>
          <m:sub>
            <m:r>
              <w:rPr>
                <w:rFonts w:ascii="Cambria Math" w:hAnsi="Cambria Math" w:cs="Arial"/>
                <w:shd w:val="clear" w:color="auto" w:fill="FFFFFF"/>
              </w:rPr>
              <m:t>3</m:t>
            </m:r>
          </m:sub>
        </m:sSub>
      </m:oMath>
      <w:r w:rsidRPr="00862A76">
        <w:rPr>
          <w:rFonts w:ascii="Arial" w:hAnsi="Arial" w:cs="Arial"/>
          <w:shd w:val="clear" w:color="auto" w:fill="FFFFFF"/>
        </w:rPr>
        <w:t xml:space="preserve">) cases </w:t>
      </w:r>
      <w:r w:rsidRPr="00862A76">
        <w:rPr>
          <w:rFonts w:ascii="Arial" w:hAnsi="Arial" w:cs="Arial"/>
        </w:rPr>
        <w:t>are positive and statistically significant at the 5% level. This indicates that increases in confirmed, active, and severe diabetes cases are associated with increases in the expected log count of diabetes-related deaths. Specifically, each additional confirmed, active, and severe case is associated with an increase of 0.0152, 0.0478, and 0.0321, respectively, in the expected log count of diabetes-related deaths.</w:t>
      </w:r>
    </w:p>
    <w:p w14:paraId="7574FB49" w14:textId="77777777" w:rsidR="00F86B78" w:rsidRPr="00862A76" w:rsidRDefault="00F86B78" w:rsidP="00F86B78">
      <w:pPr>
        <w:jc w:val="both"/>
        <w:rPr>
          <w:rFonts w:ascii="Arial" w:hAnsi="Arial" w:cs="Arial"/>
        </w:rPr>
      </w:pPr>
      <w:r w:rsidRPr="00862A76">
        <w:t>The parameter estimates from the negative binomial regression model, presented in the middle panel of Table 4, can be expressed as follows:</w:t>
      </w:r>
    </w:p>
    <w:p w14:paraId="23D91E13" w14:textId="77777777" w:rsidR="00F86B78" w:rsidRPr="00862A76" w:rsidRDefault="00F86B78" w:rsidP="00F86B78">
      <w:pPr>
        <w:jc w:val="both"/>
        <w:rPr>
          <w:rFonts w:ascii="Arial" w:eastAsiaTheme="minorEastAsia" w:hAnsi="Arial" w:cs="Arial"/>
        </w:rPr>
      </w:pPr>
      <m:oMathPara>
        <m:oMath>
          <m:r>
            <w:rPr>
              <w:rFonts w:ascii="Cambria Math" w:hAnsi="Cambria Math" w:cs="Arial"/>
            </w:rPr>
            <m:t>η= 0.1898+0.1127</m:t>
          </m:r>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r>
            <w:rPr>
              <w:rFonts w:ascii="Cambria Math" w:hAnsi="Cambria Math" w:cs="Arial"/>
            </w:rPr>
            <m:t>+0.0451</m:t>
          </m:r>
          <m:sSub>
            <m:sSubPr>
              <m:ctrlPr>
                <w:rPr>
                  <w:rFonts w:ascii="Cambria Math" w:hAnsi="Cambria Math" w:cs="Arial"/>
                  <w:i/>
                </w:rPr>
              </m:ctrlPr>
            </m:sSubPr>
            <m:e>
              <m:r>
                <w:rPr>
                  <w:rFonts w:ascii="Cambria Math" w:hAnsi="Cambria Math" w:cs="Arial"/>
                </w:rPr>
                <m:t>x</m:t>
              </m:r>
            </m:e>
            <m:sub>
              <m:r>
                <w:rPr>
                  <w:rFonts w:ascii="Cambria Math" w:hAnsi="Cambria Math" w:cs="Arial"/>
                </w:rPr>
                <m:t>2</m:t>
              </m:r>
            </m:sub>
          </m:sSub>
          <m:r>
            <w:rPr>
              <w:rFonts w:ascii="Cambria Math" w:hAnsi="Cambria Math" w:cs="Arial"/>
            </w:rPr>
            <m:t>+0.1308</m:t>
          </m:r>
          <m:sSub>
            <m:sSubPr>
              <m:ctrlPr>
                <w:rPr>
                  <w:rFonts w:ascii="Cambria Math" w:hAnsi="Cambria Math" w:cs="Arial"/>
                  <w:i/>
                </w:rPr>
              </m:ctrlPr>
            </m:sSubPr>
            <m:e>
              <m:r>
                <w:rPr>
                  <w:rFonts w:ascii="Cambria Math" w:hAnsi="Cambria Math" w:cs="Arial"/>
                </w:rPr>
                <m:t>x</m:t>
              </m:r>
            </m:e>
            <m:sub>
              <m:r>
                <w:rPr>
                  <w:rFonts w:ascii="Cambria Math" w:hAnsi="Cambria Math" w:cs="Arial"/>
                </w:rPr>
                <m:t>3</m:t>
              </m:r>
            </m:sub>
          </m:sSub>
          <m:r>
            <w:rPr>
              <w:rFonts w:ascii="Cambria Math" w:hAnsi="Cambria Math" w:cs="Arial"/>
            </w:rPr>
            <m:t xml:space="preserve">                                                  (15)</m:t>
          </m:r>
        </m:oMath>
      </m:oMathPara>
    </w:p>
    <w:p w14:paraId="5B6390CC" w14:textId="77777777" w:rsidR="00F86B78" w:rsidRPr="00862A76" w:rsidRDefault="00F86B78" w:rsidP="00F86B78">
      <w:pPr>
        <w:spacing w:before="240"/>
        <w:jc w:val="both"/>
        <w:rPr>
          <w:rFonts w:ascii="Arial" w:hAnsi="Arial" w:cs="Arial"/>
        </w:rPr>
      </w:pPr>
      <w:r w:rsidRPr="00862A76">
        <w:t>The intercept in the negative binomial regression model represents the predicted log count when all predictor variables are held constant. In the model presented in Table 4, the intercept is positive and statistically significant at the 5% level, indicating that the expected log count of diabetes-related deaths is 0.1898 when all independent variables are set to zero.</w:t>
      </w:r>
    </w:p>
    <w:p w14:paraId="15B6D068" w14:textId="77777777" w:rsidR="00F86B78" w:rsidRPr="00862A76" w:rsidRDefault="00F86B78" w:rsidP="00F86B78">
      <w:pPr>
        <w:spacing w:before="240"/>
        <w:jc w:val="both"/>
        <w:rPr>
          <w:rFonts w:ascii="Arial" w:hAnsi="Arial" w:cs="Arial"/>
        </w:rPr>
      </w:pPr>
      <w:r w:rsidRPr="00862A76">
        <w:rPr>
          <w:rFonts w:ascii="Arial" w:hAnsi="Arial" w:cs="Arial"/>
          <w:shd w:val="clear" w:color="auto" w:fill="FFFFFF"/>
        </w:rPr>
        <w:t>The coefficients for confirmed (</w:t>
      </w:r>
      <m:oMath>
        <m:sSub>
          <m:sSubPr>
            <m:ctrlPr>
              <w:rPr>
                <w:rFonts w:ascii="Cambria Math" w:hAnsi="Cambria Math" w:cs="Arial"/>
                <w:i/>
                <w:shd w:val="clear" w:color="auto" w:fill="FFFFFF"/>
              </w:rPr>
            </m:ctrlPr>
          </m:sSubPr>
          <m:e>
            <m:r>
              <w:rPr>
                <w:rFonts w:ascii="Cambria Math" w:hAnsi="Cambria Math" w:cs="Arial"/>
                <w:shd w:val="clear" w:color="auto" w:fill="FFFFFF"/>
              </w:rPr>
              <m:t>β</m:t>
            </m:r>
          </m:e>
          <m:sub>
            <m:r>
              <w:rPr>
                <w:rFonts w:ascii="Cambria Math" w:hAnsi="Cambria Math" w:cs="Arial"/>
                <w:shd w:val="clear" w:color="auto" w:fill="FFFFFF"/>
              </w:rPr>
              <m:t>1</m:t>
            </m:r>
          </m:sub>
        </m:sSub>
      </m:oMath>
      <w:r w:rsidRPr="00862A76">
        <w:rPr>
          <w:rFonts w:ascii="Arial" w:hAnsi="Arial" w:cs="Arial"/>
          <w:shd w:val="clear" w:color="auto" w:fill="FFFFFF"/>
        </w:rPr>
        <w:t>), active (</w:t>
      </w:r>
      <m:oMath>
        <m:sSub>
          <m:sSubPr>
            <m:ctrlPr>
              <w:rPr>
                <w:rFonts w:ascii="Cambria Math" w:hAnsi="Cambria Math" w:cs="Arial"/>
                <w:i/>
                <w:shd w:val="clear" w:color="auto" w:fill="FFFFFF"/>
              </w:rPr>
            </m:ctrlPr>
          </m:sSubPr>
          <m:e>
            <m:r>
              <w:rPr>
                <w:rFonts w:ascii="Cambria Math" w:hAnsi="Cambria Math" w:cs="Arial"/>
                <w:shd w:val="clear" w:color="auto" w:fill="FFFFFF"/>
              </w:rPr>
              <m:t>β</m:t>
            </m:r>
          </m:e>
          <m:sub>
            <m:r>
              <w:rPr>
                <w:rFonts w:ascii="Cambria Math" w:hAnsi="Cambria Math" w:cs="Arial"/>
                <w:shd w:val="clear" w:color="auto" w:fill="FFFFFF"/>
              </w:rPr>
              <m:t>2</m:t>
            </m:r>
          </m:sub>
        </m:sSub>
      </m:oMath>
      <w:r w:rsidRPr="00862A76">
        <w:rPr>
          <w:rFonts w:ascii="Arial" w:hAnsi="Arial" w:cs="Arial"/>
          <w:shd w:val="clear" w:color="auto" w:fill="FFFFFF"/>
        </w:rPr>
        <w:t>), and severe (</w:t>
      </w:r>
      <m:oMath>
        <m:sSub>
          <m:sSubPr>
            <m:ctrlPr>
              <w:rPr>
                <w:rFonts w:ascii="Cambria Math" w:hAnsi="Cambria Math" w:cs="Arial"/>
                <w:i/>
                <w:shd w:val="clear" w:color="auto" w:fill="FFFFFF"/>
              </w:rPr>
            </m:ctrlPr>
          </m:sSubPr>
          <m:e>
            <m:r>
              <w:rPr>
                <w:rFonts w:ascii="Cambria Math" w:hAnsi="Cambria Math" w:cs="Arial"/>
                <w:shd w:val="clear" w:color="auto" w:fill="FFFFFF"/>
              </w:rPr>
              <m:t>β</m:t>
            </m:r>
          </m:e>
          <m:sub>
            <m:r>
              <w:rPr>
                <w:rFonts w:ascii="Cambria Math" w:hAnsi="Cambria Math" w:cs="Arial"/>
                <w:shd w:val="clear" w:color="auto" w:fill="FFFFFF"/>
              </w:rPr>
              <m:t>3</m:t>
            </m:r>
          </m:sub>
        </m:sSub>
      </m:oMath>
      <w:r w:rsidRPr="00862A76">
        <w:rPr>
          <w:rFonts w:ascii="Arial" w:hAnsi="Arial" w:cs="Arial"/>
          <w:shd w:val="clear" w:color="auto" w:fill="FFFFFF"/>
        </w:rPr>
        <w:t xml:space="preserve">) cases </w:t>
      </w:r>
      <w:r w:rsidRPr="00862A76">
        <w:rPr>
          <w:rFonts w:ascii="Arial" w:hAnsi="Arial" w:cs="Arial"/>
        </w:rPr>
        <w:t>are positive and statistically significant at the 5% level. Thus, higher numbers of confirmed, active, and severe diabetes cases are associated with higher expected log counts of diabetes-related deaths. Specifically, a one-case increase in the confirmed, active, and severe categories is associated with increases of 0.1127, 0.0451, and 0.1308, respectively, in the expected log count of diabetes-related deaths.</w:t>
      </w:r>
    </w:p>
    <w:p w14:paraId="2165E7A5" w14:textId="77777777" w:rsidR="00F86B78" w:rsidRPr="00862A76" w:rsidRDefault="00F86B78" w:rsidP="00F86B78">
      <w:pPr>
        <w:jc w:val="both"/>
        <w:rPr>
          <w:rFonts w:ascii="Arial" w:hAnsi="Arial" w:cs="Arial"/>
        </w:rPr>
      </w:pPr>
      <w:r w:rsidRPr="00862A76">
        <w:lastRenderedPageBreak/>
        <w:t>The parameter estimates from the generalised Poisson regression model, presented in the lower panel of Table 4, can be expressed as follows:</w:t>
      </w:r>
    </w:p>
    <w:p w14:paraId="5D7471D1" w14:textId="77777777" w:rsidR="00F86B78" w:rsidRPr="00862A76" w:rsidRDefault="00F86B78" w:rsidP="00F86B78">
      <w:pPr>
        <w:jc w:val="both"/>
        <w:rPr>
          <w:rFonts w:ascii="Arial" w:eastAsiaTheme="minorEastAsia" w:hAnsi="Arial" w:cs="Arial"/>
        </w:rPr>
      </w:pPr>
      <m:oMathPara>
        <m:oMath>
          <m:r>
            <w:rPr>
              <w:rFonts w:ascii="Cambria Math" w:hAnsi="Cambria Math" w:cs="Arial"/>
            </w:rPr>
            <m:t>η= 0.2056+0.1141</m:t>
          </m:r>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r>
            <w:rPr>
              <w:rFonts w:ascii="Cambria Math" w:hAnsi="Cambria Math" w:cs="Arial"/>
            </w:rPr>
            <m:t>+0.0467</m:t>
          </m:r>
          <m:sSub>
            <m:sSubPr>
              <m:ctrlPr>
                <w:rPr>
                  <w:rFonts w:ascii="Cambria Math" w:hAnsi="Cambria Math" w:cs="Arial"/>
                  <w:i/>
                </w:rPr>
              </m:ctrlPr>
            </m:sSubPr>
            <m:e>
              <m:r>
                <w:rPr>
                  <w:rFonts w:ascii="Cambria Math" w:hAnsi="Cambria Math" w:cs="Arial"/>
                </w:rPr>
                <m:t>x</m:t>
              </m:r>
            </m:e>
            <m:sub>
              <m:r>
                <w:rPr>
                  <w:rFonts w:ascii="Cambria Math" w:hAnsi="Cambria Math" w:cs="Arial"/>
                </w:rPr>
                <m:t>2</m:t>
              </m:r>
            </m:sub>
          </m:sSub>
          <m:r>
            <w:rPr>
              <w:rFonts w:ascii="Cambria Math" w:hAnsi="Cambria Math" w:cs="Arial"/>
            </w:rPr>
            <m:t>+0.0312</m:t>
          </m:r>
          <m:sSub>
            <m:sSubPr>
              <m:ctrlPr>
                <w:rPr>
                  <w:rFonts w:ascii="Cambria Math" w:hAnsi="Cambria Math" w:cs="Arial"/>
                  <w:i/>
                </w:rPr>
              </m:ctrlPr>
            </m:sSubPr>
            <m:e>
              <m:r>
                <w:rPr>
                  <w:rFonts w:ascii="Cambria Math" w:hAnsi="Cambria Math" w:cs="Arial"/>
                </w:rPr>
                <m:t>x</m:t>
              </m:r>
            </m:e>
            <m:sub>
              <m:r>
                <w:rPr>
                  <w:rFonts w:ascii="Cambria Math" w:hAnsi="Cambria Math" w:cs="Arial"/>
                </w:rPr>
                <m:t>3</m:t>
              </m:r>
            </m:sub>
          </m:sSub>
          <m:r>
            <w:rPr>
              <w:rFonts w:ascii="Cambria Math" w:hAnsi="Cambria Math" w:cs="Arial"/>
            </w:rPr>
            <m:t xml:space="preserve">                                                  (16)</m:t>
          </m:r>
        </m:oMath>
      </m:oMathPara>
    </w:p>
    <w:p w14:paraId="573F46B3" w14:textId="77777777" w:rsidR="00F86B78" w:rsidRPr="00862A76" w:rsidRDefault="00F86B78" w:rsidP="00F86B78">
      <w:pPr>
        <w:spacing w:before="240"/>
        <w:jc w:val="both"/>
        <w:rPr>
          <w:rFonts w:ascii="Arial" w:hAnsi="Arial" w:cs="Arial"/>
        </w:rPr>
      </w:pPr>
      <w:r w:rsidRPr="00862A76">
        <w:t>The parameter estimates from the generalised Poisson regression model show that all model parameters are statistically significant at the 5% level, as their p-values are below 0.05. The coefficients for confirmed, active, and severe diabetes cases are positive, indicating that a one-case increase in these predictors is associated with increases of 0.1141, 0.0467, and 0.0312, respectively, in the expected log count of diabetes-related deaths in Benue State.</w:t>
      </w:r>
    </w:p>
    <w:p w14:paraId="318830D2" w14:textId="77777777" w:rsidR="00F86B78" w:rsidRPr="00862A76" w:rsidRDefault="00F86B78" w:rsidP="00F86B78">
      <w:pPr>
        <w:spacing w:before="240"/>
        <w:jc w:val="both"/>
        <w:rPr>
          <w:rFonts w:ascii="Arial" w:hAnsi="Arial" w:cs="Arial"/>
        </w:rPr>
      </w:pPr>
      <w:r w:rsidRPr="00862A76">
        <w:t>The z-statistics for confirmed, active, and severe cases are 15.630, 3.0523, and 2.0129, respectively. Because the absolute values exceed 2, each predictor is statistically significant at approximately the 5% level and is positively associated with diabetes-related deaths in Benue State.</w:t>
      </w:r>
    </w:p>
    <w:p w14:paraId="50C5C26D" w14:textId="77777777" w:rsidR="00F86B78" w:rsidRPr="00862A76" w:rsidRDefault="00F86B78" w:rsidP="00F86B78">
      <w:pPr>
        <w:spacing w:before="240"/>
        <w:jc w:val="both"/>
        <w:rPr>
          <w:rFonts w:ascii="Arial" w:hAnsi="Arial" w:cs="Arial"/>
        </w:rPr>
      </w:pPr>
      <w:r w:rsidRPr="00862A76">
        <w:rPr>
          <w:rFonts w:ascii="Arial" w:hAnsi="Arial" w:cs="Arial"/>
        </w:rPr>
        <w:t>Overall, the Poisson, negative binomial, and generalised Poisson regression results indicate that confirmed (</w:t>
      </w:r>
      <m:oMath>
        <m:sSub>
          <m:sSubPr>
            <m:ctrlPr>
              <w:rPr>
                <w:rFonts w:ascii="Cambria Math" w:hAnsi="Cambria Math" w:cs="Arial"/>
                <w:i/>
              </w:rPr>
            </m:ctrlPr>
          </m:sSubPr>
          <m:e>
            <m:r>
              <w:rPr>
                <w:rFonts w:ascii="Cambria Math" w:hAnsi="Cambria Math" w:cs="Arial"/>
              </w:rPr>
              <m:t>β</m:t>
            </m:r>
          </m:e>
          <m:sub>
            <m:r>
              <w:rPr>
                <w:rFonts w:ascii="Cambria Math" w:hAnsi="Cambria Math" w:cs="Arial"/>
              </w:rPr>
              <m:t>1</m:t>
            </m:r>
          </m:sub>
        </m:sSub>
      </m:oMath>
      <w:r w:rsidRPr="00862A76">
        <w:rPr>
          <w:rFonts w:ascii="Arial" w:hAnsi="Arial" w:cs="Arial"/>
        </w:rPr>
        <w:t>), active (</w:t>
      </w:r>
      <m:oMath>
        <m:sSub>
          <m:sSubPr>
            <m:ctrlPr>
              <w:rPr>
                <w:rFonts w:ascii="Cambria Math" w:hAnsi="Cambria Math" w:cs="Arial"/>
                <w:i/>
              </w:rPr>
            </m:ctrlPr>
          </m:sSubPr>
          <m:e>
            <m:r>
              <w:rPr>
                <w:rFonts w:ascii="Cambria Math" w:hAnsi="Cambria Math" w:cs="Arial"/>
              </w:rPr>
              <m:t>β</m:t>
            </m:r>
          </m:e>
          <m:sub>
            <m:r>
              <w:rPr>
                <w:rFonts w:ascii="Cambria Math" w:hAnsi="Cambria Math" w:cs="Arial"/>
              </w:rPr>
              <m:t>2</m:t>
            </m:r>
          </m:sub>
        </m:sSub>
      </m:oMath>
      <w:r w:rsidRPr="00862A76">
        <w:rPr>
          <w:rFonts w:ascii="Arial" w:hAnsi="Arial" w:cs="Arial"/>
        </w:rPr>
        <w:t>), and severe (</w:t>
      </w:r>
      <m:oMath>
        <m:sSub>
          <m:sSubPr>
            <m:ctrlPr>
              <w:rPr>
                <w:rFonts w:ascii="Cambria Math" w:hAnsi="Cambria Math" w:cs="Arial"/>
                <w:i/>
              </w:rPr>
            </m:ctrlPr>
          </m:sSubPr>
          <m:e>
            <m:r>
              <w:rPr>
                <w:rFonts w:ascii="Cambria Math" w:hAnsi="Cambria Math" w:cs="Arial"/>
              </w:rPr>
              <m:t>β</m:t>
            </m:r>
          </m:e>
          <m:sub>
            <m:r>
              <w:rPr>
                <w:rFonts w:ascii="Cambria Math" w:hAnsi="Cambria Math" w:cs="Arial"/>
              </w:rPr>
              <m:t>3</m:t>
            </m:r>
          </m:sub>
        </m:sSub>
      </m:oMath>
      <w:r w:rsidRPr="00862A76">
        <w:rPr>
          <w:rFonts w:ascii="Arial" w:hAnsi="Arial" w:cs="Arial"/>
        </w:rPr>
        <w:t>) diabetes cases are significant predictors of diabetes-related deaths in Benue State.</w:t>
      </w:r>
    </w:p>
    <w:p w14:paraId="4DC0BD24" w14:textId="77777777" w:rsidR="00F86B78" w:rsidRPr="00862A76" w:rsidRDefault="00756351" w:rsidP="00F86B78">
      <w:pPr>
        <w:jc w:val="both"/>
        <w:rPr>
          <w:rFonts w:ascii="Arial" w:hAnsi="Arial" w:cs="Arial"/>
          <w:b/>
        </w:rPr>
      </w:pPr>
      <w:r w:rsidRPr="00862A76">
        <w:rPr>
          <w:b/>
        </w:rPr>
        <w:t>3.6 Overdispersion Test for Count Data Regression Models</w:t>
      </w:r>
    </w:p>
    <w:p w14:paraId="7624FD58" w14:textId="77777777" w:rsidR="00F86B78" w:rsidRPr="00862A76" w:rsidRDefault="00F86B78" w:rsidP="00F86B78">
      <w:pPr>
        <w:jc w:val="both"/>
        <w:rPr>
          <w:rFonts w:ascii="Times New Roman" w:hAnsi="Times New Roman"/>
          <w:b/>
          <w:sz w:val="24"/>
          <w:szCs w:val="24"/>
        </w:rPr>
      </w:pPr>
      <w:r w:rsidRPr="00862A76">
        <w:rPr>
          <w:rFonts w:ascii="Arial" w:hAnsi="Arial" w:cs="Arial"/>
        </w:rPr>
        <w:t xml:space="preserve">A key assumption in Poisson regression is </w:t>
      </w:r>
      <w:proofErr w:type="spellStart"/>
      <w:r w:rsidRPr="00862A76">
        <w:rPr>
          <w:rFonts w:ascii="Arial" w:hAnsi="Arial" w:cs="Arial"/>
        </w:rPr>
        <w:t>equidispersion</w:t>
      </w:r>
      <w:proofErr w:type="spellEnd"/>
      <w:r w:rsidRPr="00862A76">
        <w:rPr>
          <w:rFonts w:ascii="Arial" w:hAnsi="Arial" w:cs="Arial"/>
        </w:rPr>
        <w:t>, meaning that the mean and variance should be equal. However, this assumption is often violated due to the presence of over-dispersion in most datasets. Over-dispersion can be detected by calculating the ratio of the deviance to the degrees of freedom (</w:t>
      </w:r>
      <w:proofErr w:type="spellStart"/>
      <w:r w:rsidRPr="00862A76">
        <w:rPr>
          <w:rFonts w:ascii="Arial" w:hAnsi="Arial" w:cs="Arial"/>
        </w:rPr>
        <w:t>df</w:t>
      </w:r>
      <w:proofErr w:type="spellEnd"/>
      <w:r w:rsidRPr="00862A76">
        <w:rPr>
          <w:rFonts w:ascii="Arial" w:hAnsi="Arial" w:cs="Arial"/>
        </w:rPr>
        <w:t>): a ratio greater than 1 indicates over-dispersion, while a ratio below 1 suggests under-dispersion. The results of the goodness-of-fit test used to assess over-dispersion in the count data regression models are shown in Table 5.</w:t>
      </w:r>
    </w:p>
    <w:p w14:paraId="04180F0F" w14:textId="77777777" w:rsidR="00F86B78" w:rsidRPr="00862A76" w:rsidRDefault="00F86B78" w:rsidP="00F86B78">
      <w:pPr>
        <w:jc w:val="both"/>
        <w:rPr>
          <w:rFonts w:ascii="Arial" w:hAnsi="Arial" w:cs="Arial"/>
          <w:b/>
        </w:rPr>
      </w:pPr>
      <w:r w:rsidRPr="00862A76">
        <w:rPr>
          <w:rFonts w:ascii="Arial" w:hAnsi="Arial" w:cs="Arial"/>
          <w:b/>
        </w:rPr>
        <w:t>Table 5: Goodness of Fit Test for Count Data Regression Models</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519"/>
        <w:gridCol w:w="2080"/>
        <w:gridCol w:w="1540"/>
        <w:gridCol w:w="2069"/>
      </w:tblGrid>
      <w:tr w:rsidR="00F86B78" w:rsidRPr="00862A76" w14:paraId="74224A5E" w14:textId="77777777" w:rsidTr="00D66510">
        <w:tc>
          <w:tcPr>
            <w:tcW w:w="2718" w:type="dxa"/>
            <w:tcBorders>
              <w:top w:val="single" w:sz="4" w:space="0" w:color="auto"/>
              <w:bottom w:val="single" w:sz="4" w:space="0" w:color="auto"/>
            </w:tcBorders>
          </w:tcPr>
          <w:p w14:paraId="2A06701E" w14:textId="77777777" w:rsidR="00F86B78" w:rsidRPr="00862A76" w:rsidRDefault="00F86B78" w:rsidP="00D66510">
            <w:pPr>
              <w:jc w:val="both"/>
              <w:rPr>
                <w:rFonts w:ascii="Arial" w:hAnsi="Arial" w:cs="Arial"/>
                <w:b/>
              </w:rPr>
            </w:pPr>
            <w:r w:rsidRPr="00862A76">
              <w:rPr>
                <w:rFonts w:ascii="Arial" w:hAnsi="Arial" w:cs="Arial"/>
                <w:b/>
              </w:rPr>
              <w:t xml:space="preserve">Criterion </w:t>
            </w:r>
          </w:p>
        </w:tc>
        <w:tc>
          <w:tcPr>
            <w:tcW w:w="2250" w:type="dxa"/>
            <w:tcBorders>
              <w:top w:val="single" w:sz="4" w:space="0" w:color="auto"/>
              <w:bottom w:val="single" w:sz="4" w:space="0" w:color="auto"/>
            </w:tcBorders>
          </w:tcPr>
          <w:p w14:paraId="5407F52E" w14:textId="77777777" w:rsidR="00F86B78" w:rsidRPr="00862A76" w:rsidRDefault="00F86B78" w:rsidP="00D66510">
            <w:pPr>
              <w:jc w:val="both"/>
              <w:rPr>
                <w:rFonts w:ascii="Arial" w:hAnsi="Arial" w:cs="Arial"/>
                <w:b/>
              </w:rPr>
            </w:pPr>
            <w:r w:rsidRPr="00862A76">
              <w:rPr>
                <w:rFonts w:ascii="Arial" w:hAnsi="Arial" w:cs="Arial"/>
                <w:b/>
              </w:rPr>
              <w:t xml:space="preserve">Value </w:t>
            </w:r>
          </w:p>
        </w:tc>
        <w:tc>
          <w:tcPr>
            <w:tcW w:w="1674" w:type="dxa"/>
            <w:tcBorders>
              <w:top w:val="single" w:sz="4" w:space="0" w:color="auto"/>
              <w:bottom w:val="single" w:sz="4" w:space="0" w:color="auto"/>
            </w:tcBorders>
          </w:tcPr>
          <w:p w14:paraId="5055CE16" w14:textId="77777777" w:rsidR="00F86B78" w:rsidRPr="00862A76" w:rsidRDefault="00F86B78" w:rsidP="00D66510">
            <w:pPr>
              <w:jc w:val="both"/>
              <w:rPr>
                <w:rFonts w:ascii="Arial" w:hAnsi="Arial" w:cs="Arial"/>
                <w:b/>
              </w:rPr>
            </w:pPr>
            <w:proofErr w:type="spellStart"/>
            <w:r w:rsidRPr="00862A76">
              <w:rPr>
                <w:rFonts w:ascii="Arial" w:hAnsi="Arial" w:cs="Arial"/>
                <w:b/>
              </w:rPr>
              <w:t>Df</w:t>
            </w:r>
            <w:proofErr w:type="spellEnd"/>
          </w:p>
        </w:tc>
        <w:tc>
          <w:tcPr>
            <w:tcW w:w="2214" w:type="dxa"/>
            <w:tcBorders>
              <w:top w:val="single" w:sz="4" w:space="0" w:color="auto"/>
              <w:bottom w:val="single" w:sz="4" w:space="0" w:color="auto"/>
            </w:tcBorders>
          </w:tcPr>
          <w:p w14:paraId="06CFFCCF" w14:textId="77777777" w:rsidR="00F86B78" w:rsidRPr="00862A76" w:rsidRDefault="00F86B78" w:rsidP="00D66510">
            <w:pPr>
              <w:jc w:val="both"/>
              <w:rPr>
                <w:rFonts w:ascii="Arial" w:hAnsi="Arial" w:cs="Arial"/>
                <w:b/>
              </w:rPr>
            </w:pPr>
            <w:r w:rsidRPr="00862A76">
              <w:rPr>
                <w:rFonts w:ascii="Arial" w:hAnsi="Arial" w:cs="Arial"/>
                <w:b/>
              </w:rPr>
              <w:t>Value/</w:t>
            </w:r>
            <w:proofErr w:type="spellStart"/>
            <w:r w:rsidRPr="00862A76">
              <w:rPr>
                <w:rFonts w:ascii="Arial" w:hAnsi="Arial" w:cs="Arial"/>
                <w:b/>
              </w:rPr>
              <w:t>df</w:t>
            </w:r>
            <w:proofErr w:type="spellEnd"/>
          </w:p>
        </w:tc>
      </w:tr>
      <w:tr w:rsidR="00F86B78" w:rsidRPr="00862A76" w14:paraId="2C6AA18C" w14:textId="77777777" w:rsidTr="00D66510">
        <w:tc>
          <w:tcPr>
            <w:tcW w:w="8856" w:type="dxa"/>
            <w:gridSpan w:val="4"/>
            <w:tcBorders>
              <w:top w:val="single" w:sz="4" w:space="0" w:color="auto"/>
            </w:tcBorders>
          </w:tcPr>
          <w:p w14:paraId="628BE8B0" w14:textId="77777777" w:rsidR="00F86B78" w:rsidRPr="00862A76" w:rsidRDefault="00F86B78" w:rsidP="00D66510">
            <w:pPr>
              <w:jc w:val="center"/>
              <w:rPr>
                <w:rFonts w:ascii="Arial" w:hAnsi="Arial" w:cs="Arial"/>
                <w:b/>
              </w:rPr>
            </w:pPr>
            <w:r w:rsidRPr="00862A76">
              <w:rPr>
                <w:rFonts w:ascii="Arial" w:hAnsi="Arial" w:cs="Arial"/>
                <w:b/>
              </w:rPr>
              <w:t>Poisson Regression Model</w:t>
            </w:r>
          </w:p>
        </w:tc>
      </w:tr>
      <w:tr w:rsidR="00F86B78" w:rsidRPr="00862A76" w14:paraId="58E50E91" w14:textId="77777777" w:rsidTr="00D66510">
        <w:tc>
          <w:tcPr>
            <w:tcW w:w="2718" w:type="dxa"/>
          </w:tcPr>
          <w:p w14:paraId="11C44A22" w14:textId="77777777" w:rsidR="00F86B78" w:rsidRPr="00862A76" w:rsidRDefault="00F86B78" w:rsidP="00D66510">
            <w:pPr>
              <w:jc w:val="both"/>
              <w:rPr>
                <w:rFonts w:ascii="Arial" w:hAnsi="Arial" w:cs="Arial"/>
              </w:rPr>
            </w:pPr>
            <w:r w:rsidRPr="00862A76">
              <w:rPr>
                <w:rFonts w:ascii="Arial" w:hAnsi="Arial" w:cs="Arial"/>
              </w:rPr>
              <w:t xml:space="preserve">Deviance </w:t>
            </w:r>
          </w:p>
        </w:tc>
        <w:tc>
          <w:tcPr>
            <w:tcW w:w="2250" w:type="dxa"/>
          </w:tcPr>
          <w:p w14:paraId="325CBEC3" w14:textId="77777777" w:rsidR="00F86B78" w:rsidRPr="00862A76" w:rsidRDefault="00F86B78" w:rsidP="00D66510">
            <w:pPr>
              <w:jc w:val="both"/>
              <w:rPr>
                <w:rFonts w:ascii="Arial" w:hAnsi="Arial" w:cs="Arial"/>
              </w:rPr>
            </w:pPr>
            <w:r w:rsidRPr="00862A76">
              <w:rPr>
                <w:rFonts w:ascii="Arial" w:hAnsi="Arial" w:cs="Arial"/>
              </w:rPr>
              <w:t>238.56</w:t>
            </w:r>
          </w:p>
        </w:tc>
        <w:tc>
          <w:tcPr>
            <w:tcW w:w="1674" w:type="dxa"/>
          </w:tcPr>
          <w:p w14:paraId="2B0F1276" w14:textId="77777777" w:rsidR="00F86B78" w:rsidRPr="00862A76" w:rsidRDefault="00F86B78" w:rsidP="00D66510">
            <w:pPr>
              <w:jc w:val="both"/>
              <w:rPr>
                <w:rFonts w:ascii="Arial" w:hAnsi="Arial" w:cs="Arial"/>
              </w:rPr>
            </w:pPr>
            <w:r w:rsidRPr="00862A76">
              <w:rPr>
                <w:rFonts w:ascii="Arial" w:hAnsi="Arial" w:cs="Arial"/>
              </w:rPr>
              <w:t>224</w:t>
            </w:r>
          </w:p>
        </w:tc>
        <w:tc>
          <w:tcPr>
            <w:tcW w:w="2214" w:type="dxa"/>
          </w:tcPr>
          <w:p w14:paraId="7C44079D" w14:textId="77777777" w:rsidR="00F86B78" w:rsidRPr="00862A76" w:rsidRDefault="00F86B78" w:rsidP="00D66510">
            <w:pPr>
              <w:jc w:val="both"/>
              <w:rPr>
                <w:rFonts w:ascii="Arial" w:hAnsi="Arial" w:cs="Arial"/>
              </w:rPr>
            </w:pPr>
            <w:r w:rsidRPr="00862A76">
              <w:rPr>
                <w:rFonts w:ascii="Arial" w:hAnsi="Arial" w:cs="Arial"/>
              </w:rPr>
              <w:t>1.0650</w:t>
            </w:r>
          </w:p>
        </w:tc>
      </w:tr>
      <w:tr w:rsidR="00F86B78" w:rsidRPr="00862A76" w14:paraId="76FA63AB" w14:textId="77777777" w:rsidTr="00D66510">
        <w:tc>
          <w:tcPr>
            <w:tcW w:w="2718" w:type="dxa"/>
          </w:tcPr>
          <w:p w14:paraId="666CA651" w14:textId="77777777" w:rsidR="00F86B78" w:rsidRPr="00862A76" w:rsidRDefault="00F86B78" w:rsidP="00D66510">
            <w:pPr>
              <w:jc w:val="both"/>
              <w:rPr>
                <w:rFonts w:ascii="Arial" w:hAnsi="Arial" w:cs="Arial"/>
              </w:rPr>
            </w:pPr>
            <w:r w:rsidRPr="00862A76">
              <w:rPr>
                <w:rFonts w:ascii="Arial" w:hAnsi="Arial" w:cs="Arial"/>
              </w:rPr>
              <w:t>Pearson Chi-Square</w:t>
            </w:r>
          </w:p>
        </w:tc>
        <w:tc>
          <w:tcPr>
            <w:tcW w:w="2250" w:type="dxa"/>
          </w:tcPr>
          <w:p w14:paraId="713562DD" w14:textId="77777777" w:rsidR="00F86B78" w:rsidRPr="00862A76" w:rsidRDefault="00F86B78" w:rsidP="00D66510">
            <w:pPr>
              <w:jc w:val="both"/>
              <w:rPr>
                <w:rFonts w:ascii="Arial" w:hAnsi="Arial" w:cs="Arial"/>
              </w:rPr>
            </w:pPr>
            <w:r w:rsidRPr="00862A76">
              <w:rPr>
                <w:rFonts w:ascii="Arial" w:hAnsi="Arial" w:cs="Arial"/>
              </w:rPr>
              <w:t>226.13</w:t>
            </w:r>
          </w:p>
        </w:tc>
        <w:tc>
          <w:tcPr>
            <w:tcW w:w="1674" w:type="dxa"/>
          </w:tcPr>
          <w:p w14:paraId="281EB8A4" w14:textId="77777777" w:rsidR="00F86B78" w:rsidRPr="00862A76" w:rsidRDefault="00F86B78" w:rsidP="00D66510">
            <w:pPr>
              <w:jc w:val="both"/>
              <w:rPr>
                <w:rFonts w:ascii="Arial" w:hAnsi="Arial" w:cs="Arial"/>
              </w:rPr>
            </w:pPr>
            <w:r w:rsidRPr="00862A76">
              <w:rPr>
                <w:rFonts w:ascii="Arial" w:hAnsi="Arial" w:cs="Arial"/>
              </w:rPr>
              <w:t>224</w:t>
            </w:r>
          </w:p>
        </w:tc>
        <w:tc>
          <w:tcPr>
            <w:tcW w:w="2214" w:type="dxa"/>
          </w:tcPr>
          <w:p w14:paraId="3D9E24E6" w14:textId="77777777" w:rsidR="00F86B78" w:rsidRPr="00862A76" w:rsidRDefault="00F86B78" w:rsidP="00D66510">
            <w:pPr>
              <w:jc w:val="both"/>
              <w:rPr>
                <w:rFonts w:ascii="Arial" w:hAnsi="Arial" w:cs="Arial"/>
              </w:rPr>
            </w:pPr>
            <w:r w:rsidRPr="00862A76">
              <w:rPr>
                <w:rFonts w:ascii="Arial" w:hAnsi="Arial" w:cs="Arial"/>
              </w:rPr>
              <w:t>1.0095</w:t>
            </w:r>
          </w:p>
        </w:tc>
      </w:tr>
      <w:tr w:rsidR="00F86B78" w:rsidRPr="00862A76" w14:paraId="545136C3" w14:textId="77777777" w:rsidTr="00D66510">
        <w:tc>
          <w:tcPr>
            <w:tcW w:w="8856" w:type="dxa"/>
            <w:gridSpan w:val="4"/>
          </w:tcPr>
          <w:p w14:paraId="7ECE8856" w14:textId="77777777" w:rsidR="00F86B78" w:rsidRPr="00862A76" w:rsidRDefault="00F86B78" w:rsidP="00D66510">
            <w:pPr>
              <w:jc w:val="center"/>
              <w:rPr>
                <w:rFonts w:ascii="Arial" w:hAnsi="Arial" w:cs="Arial"/>
              </w:rPr>
            </w:pPr>
            <w:r w:rsidRPr="00862A76">
              <w:rPr>
                <w:rFonts w:ascii="Arial" w:hAnsi="Arial" w:cs="Arial"/>
                <w:b/>
              </w:rPr>
              <w:t>Negative Binomial Regression Model</w:t>
            </w:r>
          </w:p>
        </w:tc>
      </w:tr>
      <w:tr w:rsidR="00F86B78" w:rsidRPr="00862A76" w14:paraId="51E33ABC" w14:textId="77777777" w:rsidTr="00D66510">
        <w:tc>
          <w:tcPr>
            <w:tcW w:w="2718" w:type="dxa"/>
          </w:tcPr>
          <w:p w14:paraId="4AAEC9DB" w14:textId="77777777" w:rsidR="00F86B78" w:rsidRPr="00862A76" w:rsidRDefault="00F86B78" w:rsidP="00D66510">
            <w:pPr>
              <w:jc w:val="both"/>
              <w:rPr>
                <w:rFonts w:ascii="Arial" w:hAnsi="Arial" w:cs="Arial"/>
              </w:rPr>
            </w:pPr>
            <w:r w:rsidRPr="00862A76">
              <w:rPr>
                <w:rFonts w:ascii="Arial" w:hAnsi="Arial" w:cs="Arial"/>
              </w:rPr>
              <w:t xml:space="preserve">Deviance </w:t>
            </w:r>
          </w:p>
        </w:tc>
        <w:tc>
          <w:tcPr>
            <w:tcW w:w="2250" w:type="dxa"/>
          </w:tcPr>
          <w:p w14:paraId="2E82A96E" w14:textId="77777777" w:rsidR="00F86B78" w:rsidRPr="00862A76" w:rsidRDefault="00F86B78" w:rsidP="00D66510">
            <w:pPr>
              <w:jc w:val="both"/>
              <w:rPr>
                <w:rFonts w:ascii="Arial" w:hAnsi="Arial" w:cs="Arial"/>
              </w:rPr>
            </w:pPr>
            <w:r w:rsidRPr="00862A76">
              <w:rPr>
                <w:rFonts w:ascii="Arial" w:hAnsi="Arial" w:cs="Arial"/>
              </w:rPr>
              <w:t>123.47</w:t>
            </w:r>
          </w:p>
        </w:tc>
        <w:tc>
          <w:tcPr>
            <w:tcW w:w="1674" w:type="dxa"/>
          </w:tcPr>
          <w:p w14:paraId="65AAB6C0" w14:textId="77777777" w:rsidR="00F86B78" w:rsidRPr="00862A76" w:rsidRDefault="00F86B78" w:rsidP="00D66510">
            <w:pPr>
              <w:jc w:val="both"/>
              <w:rPr>
                <w:rFonts w:ascii="Arial" w:hAnsi="Arial" w:cs="Arial"/>
              </w:rPr>
            </w:pPr>
            <w:r w:rsidRPr="00862A76">
              <w:rPr>
                <w:rFonts w:ascii="Arial" w:hAnsi="Arial" w:cs="Arial"/>
              </w:rPr>
              <w:t>224</w:t>
            </w:r>
          </w:p>
        </w:tc>
        <w:tc>
          <w:tcPr>
            <w:tcW w:w="2214" w:type="dxa"/>
          </w:tcPr>
          <w:p w14:paraId="6131E320" w14:textId="77777777" w:rsidR="00F86B78" w:rsidRPr="00862A76" w:rsidRDefault="00F86B78" w:rsidP="00D66510">
            <w:pPr>
              <w:jc w:val="both"/>
              <w:rPr>
                <w:rFonts w:ascii="Arial" w:hAnsi="Arial" w:cs="Arial"/>
              </w:rPr>
            </w:pPr>
            <w:r w:rsidRPr="00862A76">
              <w:rPr>
                <w:rFonts w:ascii="Arial" w:hAnsi="Arial" w:cs="Arial"/>
              </w:rPr>
              <w:t>0.5512</w:t>
            </w:r>
          </w:p>
        </w:tc>
      </w:tr>
      <w:tr w:rsidR="00F86B78" w:rsidRPr="00862A76" w14:paraId="46C84960" w14:textId="77777777" w:rsidTr="00D66510">
        <w:tc>
          <w:tcPr>
            <w:tcW w:w="2718" w:type="dxa"/>
          </w:tcPr>
          <w:p w14:paraId="15511EA8" w14:textId="77777777" w:rsidR="00F86B78" w:rsidRPr="00862A76" w:rsidRDefault="00F86B78" w:rsidP="00D66510">
            <w:pPr>
              <w:jc w:val="both"/>
              <w:rPr>
                <w:rFonts w:ascii="Arial" w:hAnsi="Arial" w:cs="Arial"/>
              </w:rPr>
            </w:pPr>
            <w:r w:rsidRPr="00862A76">
              <w:rPr>
                <w:rFonts w:ascii="Arial" w:hAnsi="Arial" w:cs="Arial"/>
              </w:rPr>
              <w:t>Pearson Chi-Square</w:t>
            </w:r>
          </w:p>
        </w:tc>
        <w:tc>
          <w:tcPr>
            <w:tcW w:w="2250" w:type="dxa"/>
          </w:tcPr>
          <w:p w14:paraId="6411DD22" w14:textId="77777777" w:rsidR="00F86B78" w:rsidRPr="00862A76" w:rsidRDefault="00F86B78" w:rsidP="00D66510">
            <w:pPr>
              <w:jc w:val="both"/>
              <w:rPr>
                <w:rFonts w:ascii="Arial" w:hAnsi="Arial" w:cs="Arial"/>
              </w:rPr>
            </w:pPr>
            <w:r w:rsidRPr="00862A76">
              <w:rPr>
                <w:rFonts w:ascii="Arial" w:hAnsi="Arial" w:cs="Arial"/>
              </w:rPr>
              <w:t>121.89</w:t>
            </w:r>
          </w:p>
        </w:tc>
        <w:tc>
          <w:tcPr>
            <w:tcW w:w="1674" w:type="dxa"/>
          </w:tcPr>
          <w:p w14:paraId="1C5D53D8" w14:textId="77777777" w:rsidR="00F86B78" w:rsidRPr="00862A76" w:rsidRDefault="00F86B78" w:rsidP="00D66510">
            <w:pPr>
              <w:jc w:val="both"/>
              <w:rPr>
                <w:rFonts w:ascii="Arial" w:hAnsi="Arial" w:cs="Arial"/>
              </w:rPr>
            </w:pPr>
            <w:r w:rsidRPr="00862A76">
              <w:rPr>
                <w:rFonts w:ascii="Arial" w:hAnsi="Arial" w:cs="Arial"/>
              </w:rPr>
              <w:t>224</w:t>
            </w:r>
          </w:p>
        </w:tc>
        <w:tc>
          <w:tcPr>
            <w:tcW w:w="2214" w:type="dxa"/>
          </w:tcPr>
          <w:p w14:paraId="43664DED" w14:textId="77777777" w:rsidR="00F86B78" w:rsidRPr="00862A76" w:rsidRDefault="00F86B78" w:rsidP="00D66510">
            <w:pPr>
              <w:jc w:val="both"/>
              <w:rPr>
                <w:rFonts w:ascii="Arial" w:hAnsi="Arial" w:cs="Arial"/>
              </w:rPr>
            </w:pPr>
            <w:r w:rsidRPr="00862A76">
              <w:rPr>
                <w:rFonts w:ascii="Arial" w:hAnsi="Arial" w:cs="Arial"/>
              </w:rPr>
              <w:t>0.5442</w:t>
            </w:r>
          </w:p>
        </w:tc>
      </w:tr>
      <w:tr w:rsidR="00F86B78" w:rsidRPr="00862A76" w14:paraId="66972119" w14:textId="77777777" w:rsidTr="00D66510">
        <w:tc>
          <w:tcPr>
            <w:tcW w:w="8856" w:type="dxa"/>
            <w:gridSpan w:val="4"/>
          </w:tcPr>
          <w:p w14:paraId="0CB3BE45" w14:textId="77777777" w:rsidR="00F86B78" w:rsidRPr="00862A76" w:rsidRDefault="00F86B78" w:rsidP="00D66510">
            <w:pPr>
              <w:jc w:val="center"/>
              <w:rPr>
                <w:rFonts w:ascii="Arial" w:hAnsi="Arial" w:cs="Arial"/>
              </w:rPr>
            </w:pPr>
            <w:r w:rsidRPr="00862A76">
              <w:rPr>
                <w:rFonts w:ascii="Arial" w:hAnsi="Arial" w:cs="Arial"/>
                <w:b/>
              </w:rPr>
              <w:t>Generalized Poisson Regression Model</w:t>
            </w:r>
          </w:p>
        </w:tc>
      </w:tr>
      <w:tr w:rsidR="00F86B78" w:rsidRPr="00862A76" w14:paraId="511E1C03" w14:textId="77777777" w:rsidTr="00D66510">
        <w:tc>
          <w:tcPr>
            <w:tcW w:w="2718" w:type="dxa"/>
          </w:tcPr>
          <w:p w14:paraId="4EDDB996" w14:textId="77777777" w:rsidR="00F86B78" w:rsidRPr="00862A76" w:rsidRDefault="00F86B78" w:rsidP="00D66510">
            <w:pPr>
              <w:jc w:val="both"/>
              <w:rPr>
                <w:rFonts w:ascii="Arial" w:hAnsi="Arial" w:cs="Arial"/>
              </w:rPr>
            </w:pPr>
            <w:r w:rsidRPr="00862A76">
              <w:rPr>
                <w:rFonts w:ascii="Arial" w:hAnsi="Arial" w:cs="Arial"/>
              </w:rPr>
              <w:t xml:space="preserve">Deviance </w:t>
            </w:r>
          </w:p>
        </w:tc>
        <w:tc>
          <w:tcPr>
            <w:tcW w:w="2250" w:type="dxa"/>
          </w:tcPr>
          <w:p w14:paraId="2B2592D9" w14:textId="77777777" w:rsidR="00F86B78" w:rsidRPr="00862A76" w:rsidRDefault="00F86B78" w:rsidP="00D66510">
            <w:pPr>
              <w:jc w:val="both"/>
              <w:rPr>
                <w:rFonts w:ascii="Arial" w:hAnsi="Arial" w:cs="Arial"/>
              </w:rPr>
            </w:pPr>
            <w:r w:rsidRPr="00862A76">
              <w:rPr>
                <w:rFonts w:ascii="Arial" w:hAnsi="Arial" w:cs="Arial"/>
              </w:rPr>
              <w:t>125.14</w:t>
            </w:r>
          </w:p>
        </w:tc>
        <w:tc>
          <w:tcPr>
            <w:tcW w:w="1674" w:type="dxa"/>
          </w:tcPr>
          <w:p w14:paraId="5B7F6320" w14:textId="77777777" w:rsidR="00F86B78" w:rsidRPr="00862A76" w:rsidRDefault="00F86B78" w:rsidP="00D66510">
            <w:pPr>
              <w:jc w:val="both"/>
              <w:rPr>
                <w:rFonts w:ascii="Arial" w:hAnsi="Arial" w:cs="Arial"/>
              </w:rPr>
            </w:pPr>
            <w:r w:rsidRPr="00862A76">
              <w:rPr>
                <w:rFonts w:ascii="Arial" w:hAnsi="Arial" w:cs="Arial"/>
              </w:rPr>
              <w:t>224</w:t>
            </w:r>
          </w:p>
        </w:tc>
        <w:tc>
          <w:tcPr>
            <w:tcW w:w="2214" w:type="dxa"/>
          </w:tcPr>
          <w:p w14:paraId="410AA9BA" w14:textId="77777777" w:rsidR="00F86B78" w:rsidRPr="00862A76" w:rsidRDefault="00F86B78" w:rsidP="00D66510">
            <w:pPr>
              <w:jc w:val="both"/>
              <w:rPr>
                <w:rFonts w:ascii="Arial" w:hAnsi="Arial" w:cs="Arial"/>
              </w:rPr>
            </w:pPr>
            <w:r w:rsidRPr="00862A76">
              <w:rPr>
                <w:rFonts w:ascii="Arial" w:hAnsi="Arial" w:cs="Arial"/>
              </w:rPr>
              <w:t>0.5587</w:t>
            </w:r>
          </w:p>
        </w:tc>
      </w:tr>
      <w:tr w:rsidR="00F86B78" w:rsidRPr="00862A76" w14:paraId="5C28DB34" w14:textId="77777777" w:rsidTr="00D66510">
        <w:tc>
          <w:tcPr>
            <w:tcW w:w="2718" w:type="dxa"/>
          </w:tcPr>
          <w:p w14:paraId="0B2577F5" w14:textId="77777777" w:rsidR="00F86B78" w:rsidRPr="00862A76" w:rsidRDefault="00F86B78" w:rsidP="00D66510">
            <w:pPr>
              <w:jc w:val="both"/>
              <w:rPr>
                <w:rFonts w:ascii="Arial" w:hAnsi="Arial" w:cs="Arial"/>
              </w:rPr>
            </w:pPr>
            <w:r w:rsidRPr="00862A76">
              <w:rPr>
                <w:rFonts w:ascii="Arial" w:hAnsi="Arial" w:cs="Arial"/>
              </w:rPr>
              <w:t>Pearson Chi-Square</w:t>
            </w:r>
          </w:p>
        </w:tc>
        <w:tc>
          <w:tcPr>
            <w:tcW w:w="2250" w:type="dxa"/>
          </w:tcPr>
          <w:p w14:paraId="3777B5D1" w14:textId="77777777" w:rsidR="00F86B78" w:rsidRPr="00862A76" w:rsidRDefault="00F86B78" w:rsidP="00D66510">
            <w:pPr>
              <w:jc w:val="both"/>
              <w:rPr>
                <w:rFonts w:ascii="Arial" w:hAnsi="Arial" w:cs="Arial"/>
              </w:rPr>
            </w:pPr>
            <w:r w:rsidRPr="00862A76">
              <w:rPr>
                <w:rFonts w:ascii="Arial" w:hAnsi="Arial" w:cs="Arial"/>
              </w:rPr>
              <w:t>123.05</w:t>
            </w:r>
          </w:p>
        </w:tc>
        <w:tc>
          <w:tcPr>
            <w:tcW w:w="1674" w:type="dxa"/>
          </w:tcPr>
          <w:p w14:paraId="0686D52B" w14:textId="77777777" w:rsidR="00F86B78" w:rsidRPr="00862A76" w:rsidRDefault="00F86B78" w:rsidP="00D66510">
            <w:pPr>
              <w:jc w:val="both"/>
              <w:rPr>
                <w:rFonts w:ascii="Arial" w:hAnsi="Arial" w:cs="Arial"/>
              </w:rPr>
            </w:pPr>
            <w:r w:rsidRPr="00862A76">
              <w:rPr>
                <w:rFonts w:ascii="Arial" w:hAnsi="Arial" w:cs="Arial"/>
              </w:rPr>
              <w:t>224</w:t>
            </w:r>
          </w:p>
        </w:tc>
        <w:tc>
          <w:tcPr>
            <w:tcW w:w="2214" w:type="dxa"/>
          </w:tcPr>
          <w:p w14:paraId="7DAC759C" w14:textId="77777777" w:rsidR="00F86B78" w:rsidRPr="00862A76" w:rsidRDefault="00F86B78" w:rsidP="00D66510">
            <w:pPr>
              <w:jc w:val="both"/>
              <w:rPr>
                <w:rFonts w:ascii="Arial" w:hAnsi="Arial" w:cs="Arial"/>
              </w:rPr>
            </w:pPr>
            <w:r w:rsidRPr="00862A76">
              <w:rPr>
                <w:rFonts w:ascii="Arial" w:hAnsi="Arial" w:cs="Arial"/>
              </w:rPr>
              <w:t>0.5493</w:t>
            </w:r>
          </w:p>
        </w:tc>
      </w:tr>
    </w:tbl>
    <w:p w14:paraId="266E4BB5" w14:textId="77777777" w:rsidR="00F86B78" w:rsidRPr="00862A76" w:rsidRDefault="00F86B78" w:rsidP="00F86B78">
      <w:pPr>
        <w:pStyle w:val="NormalWeb"/>
        <w:spacing w:before="240" w:beforeAutospacing="0" w:after="0" w:afterAutospacing="0"/>
        <w:jc w:val="both"/>
        <w:rPr>
          <w:rFonts w:ascii="Arial" w:hAnsi="Arial" w:cs="Arial"/>
          <w:sz w:val="20"/>
          <w:szCs w:val="20"/>
        </w:rPr>
      </w:pPr>
      <w:r w:rsidRPr="00862A76">
        <w:t xml:space="preserve">The goodness-of-fit results for the Poisson regression model in Table 5 show that the deviance/df and Pearson chi-square/df values exceed 1, indicating overdispersion in the diabetes count data. This finding is consistent with those of Adams </w:t>
      </w:r>
      <w:r w:rsidRPr="00862A76">
        <w:rPr>
          <w:i/>
        </w:rPr>
        <w:t>et al.</w:t>
      </w:r>
      <w:r w:rsidRPr="00862A76">
        <w:t xml:space="preserve"> (2020) and Kuhe </w:t>
      </w:r>
      <w:r w:rsidRPr="00862A76">
        <w:rPr>
          <w:i/>
        </w:rPr>
        <w:t>et al.</w:t>
      </w:r>
      <w:r w:rsidRPr="00862A76">
        <w:t xml:space="preserve"> (2024), who also reported overdispersion when modelling disease count data in Nigeria using Poisson regression.</w:t>
      </w:r>
    </w:p>
    <w:p w14:paraId="705B3538" w14:textId="77777777" w:rsidR="00F86B78" w:rsidRPr="00862A76" w:rsidRDefault="00F86B78" w:rsidP="00F86B78">
      <w:pPr>
        <w:spacing w:before="240"/>
        <w:jc w:val="both"/>
        <w:rPr>
          <w:rFonts w:ascii="Arial" w:hAnsi="Arial" w:cs="Arial"/>
        </w:rPr>
      </w:pPr>
      <w:r w:rsidRPr="00862A76">
        <w:t>Overdispersion may lead to underestimated standard errors and, consequently, inaccurate statistical inference. To address this issue, negative binomial and generalised Poisson regression models were fitted because both incorporate a dispersion parameter.</w:t>
      </w:r>
    </w:p>
    <w:p w14:paraId="761596B5" w14:textId="77777777" w:rsidR="00F86B78" w:rsidRPr="00862A76" w:rsidRDefault="00F86B78" w:rsidP="00F86B78">
      <w:pPr>
        <w:spacing w:before="240"/>
        <w:jc w:val="both"/>
        <w:rPr>
          <w:rFonts w:ascii="Arial" w:hAnsi="Arial" w:cs="Arial"/>
        </w:rPr>
      </w:pPr>
      <w:r w:rsidRPr="00862A76">
        <w:t>The goodness-of-fit results for the negative binomial and generalised Poisson regression models in Table 5 show deviance/df and Pearson chi-square/df values below 1, indicating underdispersion relative to the fitted models. These values suggest that both models accounted for more variability than was present in the observed counts.</w:t>
      </w:r>
    </w:p>
    <w:p w14:paraId="35439737" w14:textId="77777777" w:rsidR="00F86B78" w:rsidRPr="00862A76" w:rsidRDefault="00756351" w:rsidP="00F86B78">
      <w:pPr>
        <w:jc w:val="both"/>
        <w:rPr>
          <w:rFonts w:ascii="Arial" w:hAnsi="Arial" w:cs="Arial"/>
          <w:b/>
        </w:rPr>
      </w:pPr>
      <w:r w:rsidRPr="00862A76">
        <w:rPr>
          <w:b/>
        </w:rPr>
        <w:t>3.7 Model Comparison Using Performance Criteria</w:t>
      </w:r>
    </w:p>
    <w:p w14:paraId="7D0CDD63" w14:textId="77777777" w:rsidR="00F86B78" w:rsidRPr="00862A76" w:rsidRDefault="00F86B78" w:rsidP="00F86B78">
      <w:pPr>
        <w:jc w:val="both"/>
        <w:rPr>
          <w:rFonts w:ascii="Arial" w:hAnsi="Arial" w:cs="Arial"/>
        </w:rPr>
      </w:pPr>
      <w:r w:rsidRPr="00862A76">
        <w:lastRenderedPageBreak/>
        <w:t>To identify the most suitable count data model for diabetes cases among farmers in Benue State, three performance criteria were considered: −2 log-likelihood, Akaike information criterion (AIC), and Bayesian information criterion (BIC). Lower values indicate a better fit under each criterion. The model-comparison results are presented in Table 6.</w:t>
      </w:r>
    </w:p>
    <w:p w14:paraId="719618F2" w14:textId="77777777" w:rsidR="00F86B78" w:rsidRPr="00862A76" w:rsidRDefault="00F86B78" w:rsidP="00F86B78">
      <w:pPr>
        <w:jc w:val="both"/>
        <w:rPr>
          <w:rFonts w:ascii="Arial" w:hAnsi="Arial" w:cs="Arial"/>
          <w:b/>
        </w:rPr>
      </w:pPr>
      <w:r w:rsidRPr="00862A76">
        <w:rPr>
          <w:rFonts w:ascii="Arial" w:hAnsi="Arial" w:cs="Arial"/>
          <w:b/>
        </w:rPr>
        <w:t>Table 6: Model Comparison Using Performance Criteria</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037"/>
        <w:gridCol w:w="2089"/>
        <w:gridCol w:w="2041"/>
        <w:gridCol w:w="2041"/>
      </w:tblGrid>
      <w:tr w:rsidR="00F86B78" w:rsidRPr="00862A76" w14:paraId="689902DB" w14:textId="77777777" w:rsidTr="00D66510">
        <w:tc>
          <w:tcPr>
            <w:tcW w:w="2214" w:type="dxa"/>
            <w:tcBorders>
              <w:top w:val="single" w:sz="4" w:space="0" w:color="auto"/>
              <w:bottom w:val="single" w:sz="4" w:space="0" w:color="auto"/>
            </w:tcBorders>
          </w:tcPr>
          <w:p w14:paraId="2647F107" w14:textId="77777777" w:rsidR="00F86B78" w:rsidRPr="00862A76" w:rsidRDefault="00F86B78" w:rsidP="00D66510">
            <w:pPr>
              <w:rPr>
                <w:rFonts w:ascii="Arial" w:hAnsi="Arial" w:cs="Arial"/>
                <w:b/>
              </w:rPr>
            </w:pPr>
            <w:r w:rsidRPr="00862A76">
              <w:rPr>
                <w:rFonts w:ascii="Arial" w:hAnsi="Arial" w:cs="Arial"/>
                <w:b/>
              </w:rPr>
              <w:t xml:space="preserve">Model </w:t>
            </w:r>
          </w:p>
        </w:tc>
        <w:tc>
          <w:tcPr>
            <w:tcW w:w="2214" w:type="dxa"/>
            <w:tcBorders>
              <w:top w:val="single" w:sz="4" w:space="0" w:color="auto"/>
              <w:bottom w:val="single" w:sz="4" w:space="0" w:color="auto"/>
            </w:tcBorders>
          </w:tcPr>
          <w:p w14:paraId="30F66FC9" w14:textId="77777777" w:rsidR="00F86B78" w:rsidRPr="00862A76" w:rsidRDefault="00F86B78" w:rsidP="00D66510">
            <w:pPr>
              <w:rPr>
                <w:rFonts w:ascii="Arial" w:hAnsi="Arial" w:cs="Arial"/>
                <w:b/>
              </w:rPr>
            </w:pPr>
            <w:r w:rsidRPr="00862A76">
              <w:rPr>
                <w:rFonts w:ascii="Arial" w:hAnsi="Arial" w:cs="Arial"/>
                <w:b/>
              </w:rPr>
              <w:t>-2Log-Likelihood</w:t>
            </w:r>
          </w:p>
        </w:tc>
        <w:tc>
          <w:tcPr>
            <w:tcW w:w="2214" w:type="dxa"/>
            <w:tcBorders>
              <w:top w:val="single" w:sz="4" w:space="0" w:color="auto"/>
              <w:bottom w:val="single" w:sz="4" w:space="0" w:color="auto"/>
            </w:tcBorders>
          </w:tcPr>
          <w:p w14:paraId="792B4E7A" w14:textId="77777777" w:rsidR="00F86B78" w:rsidRPr="00862A76" w:rsidRDefault="00F86B78" w:rsidP="00D66510">
            <w:pPr>
              <w:rPr>
                <w:rFonts w:ascii="Arial" w:hAnsi="Arial" w:cs="Arial"/>
                <w:b/>
              </w:rPr>
            </w:pPr>
            <w:r w:rsidRPr="00862A76">
              <w:rPr>
                <w:rFonts w:ascii="Arial" w:hAnsi="Arial" w:cs="Arial"/>
                <w:b/>
              </w:rPr>
              <w:t>AIC</w:t>
            </w:r>
          </w:p>
        </w:tc>
        <w:tc>
          <w:tcPr>
            <w:tcW w:w="2214" w:type="dxa"/>
            <w:tcBorders>
              <w:top w:val="single" w:sz="4" w:space="0" w:color="auto"/>
              <w:bottom w:val="single" w:sz="4" w:space="0" w:color="auto"/>
            </w:tcBorders>
          </w:tcPr>
          <w:p w14:paraId="0D6EA412" w14:textId="77777777" w:rsidR="00F86B78" w:rsidRPr="00862A76" w:rsidRDefault="00F86B78" w:rsidP="00D66510">
            <w:pPr>
              <w:rPr>
                <w:rFonts w:ascii="Arial" w:hAnsi="Arial" w:cs="Arial"/>
                <w:b/>
              </w:rPr>
            </w:pPr>
            <w:r w:rsidRPr="00862A76">
              <w:rPr>
                <w:rFonts w:ascii="Arial" w:hAnsi="Arial" w:cs="Arial"/>
                <w:b/>
              </w:rPr>
              <w:t>BIC</w:t>
            </w:r>
          </w:p>
        </w:tc>
      </w:tr>
      <w:tr w:rsidR="00F86B78" w:rsidRPr="00862A76" w14:paraId="5C7131AB" w14:textId="77777777" w:rsidTr="00D66510">
        <w:tc>
          <w:tcPr>
            <w:tcW w:w="2214" w:type="dxa"/>
            <w:tcBorders>
              <w:top w:val="single" w:sz="4" w:space="0" w:color="auto"/>
            </w:tcBorders>
          </w:tcPr>
          <w:p w14:paraId="510F6DDD" w14:textId="77777777" w:rsidR="00F86B78" w:rsidRPr="00862A76" w:rsidRDefault="00F86B78" w:rsidP="00D66510">
            <w:pPr>
              <w:rPr>
                <w:rFonts w:ascii="Arial" w:hAnsi="Arial" w:cs="Arial"/>
              </w:rPr>
            </w:pPr>
            <w:r w:rsidRPr="00862A76">
              <w:rPr>
                <w:rFonts w:ascii="Arial" w:hAnsi="Arial" w:cs="Arial"/>
              </w:rPr>
              <w:t>PR</w:t>
            </w:r>
          </w:p>
        </w:tc>
        <w:tc>
          <w:tcPr>
            <w:tcW w:w="2214" w:type="dxa"/>
            <w:tcBorders>
              <w:top w:val="single" w:sz="4" w:space="0" w:color="auto"/>
            </w:tcBorders>
          </w:tcPr>
          <w:p w14:paraId="57F69D1D" w14:textId="77777777" w:rsidR="00F86B78" w:rsidRPr="00862A76" w:rsidRDefault="002E0A9E" w:rsidP="00D66510">
            <w:pPr>
              <w:rPr>
                <w:rFonts w:ascii="Arial" w:hAnsi="Arial" w:cs="Arial"/>
              </w:rPr>
            </w:pPr>
            <w:r w:rsidRPr="00862A76">
              <w:rPr>
                <w:rFonts w:ascii="Arial" w:hAnsi="Arial" w:cs="Arial"/>
              </w:rPr>
              <w:t>15</w:t>
            </w:r>
            <w:r w:rsidR="00F86B78" w:rsidRPr="00862A76">
              <w:rPr>
                <w:rFonts w:ascii="Arial" w:hAnsi="Arial" w:cs="Arial"/>
              </w:rPr>
              <w:t>8.25</w:t>
            </w:r>
          </w:p>
        </w:tc>
        <w:tc>
          <w:tcPr>
            <w:tcW w:w="2214" w:type="dxa"/>
            <w:tcBorders>
              <w:top w:val="single" w:sz="4" w:space="0" w:color="auto"/>
            </w:tcBorders>
          </w:tcPr>
          <w:p w14:paraId="2AF6359B" w14:textId="77777777" w:rsidR="00F86B78" w:rsidRPr="00862A76" w:rsidRDefault="00F86B78" w:rsidP="00D66510">
            <w:pPr>
              <w:rPr>
                <w:rFonts w:ascii="Arial" w:hAnsi="Arial" w:cs="Arial"/>
              </w:rPr>
            </w:pPr>
            <w:r w:rsidRPr="00862A76">
              <w:rPr>
                <w:rFonts w:ascii="Arial" w:hAnsi="Arial" w:cs="Arial"/>
              </w:rPr>
              <w:t>152.34</w:t>
            </w:r>
          </w:p>
        </w:tc>
        <w:tc>
          <w:tcPr>
            <w:tcW w:w="2214" w:type="dxa"/>
            <w:tcBorders>
              <w:top w:val="single" w:sz="4" w:space="0" w:color="auto"/>
            </w:tcBorders>
          </w:tcPr>
          <w:p w14:paraId="42734D81" w14:textId="77777777" w:rsidR="00F86B78" w:rsidRPr="00862A76" w:rsidRDefault="00F86B78" w:rsidP="00D66510">
            <w:pPr>
              <w:rPr>
                <w:rFonts w:ascii="Arial" w:hAnsi="Arial" w:cs="Arial"/>
              </w:rPr>
            </w:pPr>
            <w:r w:rsidRPr="00862A76">
              <w:rPr>
                <w:rFonts w:ascii="Arial" w:hAnsi="Arial" w:cs="Arial"/>
              </w:rPr>
              <w:t>160.78</w:t>
            </w:r>
          </w:p>
        </w:tc>
      </w:tr>
      <w:tr w:rsidR="00F86B78" w:rsidRPr="00862A76" w14:paraId="354B7D22" w14:textId="77777777" w:rsidTr="00D66510">
        <w:tc>
          <w:tcPr>
            <w:tcW w:w="2214" w:type="dxa"/>
          </w:tcPr>
          <w:p w14:paraId="7D8B44DC" w14:textId="77777777" w:rsidR="00F86B78" w:rsidRPr="00862A76" w:rsidRDefault="00F86B78" w:rsidP="00D66510">
            <w:pPr>
              <w:rPr>
                <w:rFonts w:ascii="Arial" w:hAnsi="Arial" w:cs="Arial"/>
                <w:b/>
              </w:rPr>
            </w:pPr>
            <w:r w:rsidRPr="00862A76">
              <w:rPr>
                <w:rFonts w:ascii="Arial" w:hAnsi="Arial" w:cs="Arial"/>
                <w:b/>
              </w:rPr>
              <w:t>NBR*</w:t>
            </w:r>
          </w:p>
        </w:tc>
        <w:tc>
          <w:tcPr>
            <w:tcW w:w="2214" w:type="dxa"/>
          </w:tcPr>
          <w:p w14:paraId="62DDA0A9" w14:textId="77777777" w:rsidR="00F86B78" w:rsidRPr="00862A76" w:rsidRDefault="00F86B78" w:rsidP="00D66510">
            <w:pPr>
              <w:rPr>
                <w:rFonts w:ascii="Arial" w:hAnsi="Arial" w:cs="Arial"/>
                <w:b/>
              </w:rPr>
            </w:pPr>
            <w:r w:rsidRPr="00862A76">
              <w:rPr>
                <w:rFonts w:ascii="Arial" w:hAnsi="Arial" w:cs="Arial"/>
                <w:b/>
              </w:rPr>
              <w:t>155.32</w:t>
            </w:r>
          </w:p>
        </w:tc>
        <w:tc>
          <w:tcPr>
            <w:tcW w:w="2214" w:type="dxa"/>
          </w:tcPr>
          <w:p w14:paraId="6B694D3B" w14:textId="77777777" w:rsidR="00F86B78" w:rsidRPr="00862A76" w:rsidRDefault="00F86B78" w:rsidP="00D66510">
            <w:pPr>
              <w:rPr>
                <w:rFonts w:ascii="Arial" w:hAnsi="Arial" w:cs="Arial"/>
                <w:b/>
              </w:rPr>
            </w:pPr>
            <w:r w:rsidRPr="00862A76">
              <w:rPr>
                <w:rFonts w:ascii="Arial" w:hAnsi="Arial" w:cs="Arial"/>
                <w:b/>
              </w:rPr>
              <w:t>150.12</w:t>
            </w:r>
          </w:p>
        </w:tc>
        <w:tc>
          <w:tcPr>
            <w:tcW w:w="2214" w:type="dxa"/>
          </w:tcPr>
          <w:p w14:paraId="41C4C878" w14:textId="77777777" w:rsidR="00F86B78" w:rsidRPr="00862A76" w:rsidRDefault="00F86B78" w:rsidP="00D66510">
            <w:pPr>
              <w:rPr>
                <w:rFonts w:ascii="Arial" w:hAnsi="Arial" w:cs="Arial"/>
                <w:b/>
              </w:rPr>
            </w:pPr>
            <w:r w:rsidRPr="00862A76">
              <w:rPr>
                <w:rFonts w:ascii="Arial" w:hAnsi="Arial" w:cs="Arial"/>
                <w:b/>
              </w:rPr>
              <w:t>158.47</w:t>
            </w:r>
          </w:p>
        </w:tc>
      </w:tr>
      <w:tr w:rsidR="00F86B78" w:rsidRPr="00862A76" w14:paraId="73358D23" w14:textId="77777777" w:rsidTr="00D66510">
        <w:tc>
          <w:tcPr>
            <w:tcW w:w="2214" w:type="dxa"/>
          </w:tcPr>
          <w:p w14:paraId="2C0C5D84" w14:textId="77777777" w:rsidR="00F86B78" w:rsidRPr="00862A76" w:rsidRDefault="00F86B78" w:rsidP="00D66510">
            <w:pPr>
              <w:rPr>
                <w:rFonts w:ascii="Arial" w:hAnsi="Arial" w:cs="Arial"/>
              </w:rPr>
            </w:pPr>
            <w:r w:rsidRPr="00862A76">
              <w:rPr>
                <w:rFonts w:ascii="Arial" w:hAnsi="Arial" w:cs="Arial"/>
              </w:rPr>
              <w:t>GPR</w:t>
            </w:r>
          </w:p>
        </w:tc>
        <w:tc>
          <w:tcPr>
            <w:tcW w:w="2214" w:type="dxa"/>
          </w:tcPr>
          <w:p w14:paraId="716C5476" w14:textId="77777777" w:rsidR="00F86B78" w:rsidRPr="00862A76" w:rsidRDefault="00F86B78" w:rsidP="00D66510">
            <w:pPr>
              <w:rPr>
                <w:rFonts w:ascii="Arial" w:hAnsi="Arial" w:cs="Arial"/>
              </w:rPr>
            </w:pPr>
            <w:r w:rsidRPr="00862A76">
              <w:rPr>
                <w:rFonts w:ascii="Arial" w:hAnsi="Arial" w:cs="Arial"/>
              </w:rPr>
              <w:t>146.78</w:t>
            </w:r>
          </w:p>
        </w:tc>
        <w:tc>
          <w:tcPr>
            <w:tcW w:w="2214" w:type="dxa"/>
          </w:tcPr>
          <w:p w14:paraId="63F125F5" w14:textId="77777777" w:rsidR="00F86B78" w:rsidRPr="00862A76" w:rsidRDefault="00F86B78" w:rsidP="00D66510">
            <w:pPr>
              <w:rPr>
                <w:rFonts w:ascii="Arial" w:hAnsi="Arial" w:cs="Arial"/>
              </w:rPr>
            </w:pPr>
            <w:r w:rsidRPr="00862A76">
              <w:rPr>
                <w:rFonts w:ascii="Arial" w:hAnsi="Arial" w:cs="Arial"/>
              </w:rPr>
              <w:t>151.35</w:t>
            </w:r>
          </w:p>
        </w:tc>
        <w:tc>
          <w:tcPr>
            <w:tcW w:w="2214" w:type="dxa"/>
          </w:tcPr>
          <w:p w14:paraId="354A01D8" w14:textId="77777777" w:rsidR="00F86B78" w:rsidRPr="00862A76" w:rsidRDefault="00F86B78" w:rsidP="00D66510">
            <w:pPr>
              <w:rPr>
                <w:rFonts w:ascii="Arial" w:hAnsi="Arial" w:cs="Arial"/>
              </w:rPr>
            </w:pPr>
            <w:r w:rsidRPr="00862A76">
              <w:rPr>
                <w:rFonts w:ascii="Arial" w:hAnsi="Arial" w:cs="Arial"/>
              </w:rPr>
              <w:t>159.42</w:t>
            </w:r>
          </w:p>
        </w:tc>
      </w:tr>
    </w:tbl>
    <w:p w14:paraId="68747777" w14:textId="77777777" w:rsidR="00F86B78" w:rsidRPr="00862A76" w:rsidRDefault="00F86B78" w:rsidP="000D5707">
      <w:pPr>
        <w:spacing w:before="240"/>
        <w:jc w:val="both"/>
        <w:rPr>
          <w:rFonts w:ascii="Arial" w:hAnsi="Arial" w:cs="Arial"/>
        </w:rPr>
      </w:pPr>
      <w:r w:rsidRPr="00862A76">
        <w:t>Table 6 compares the Poisson, negative binomial, and generalised Poisson regression models. The negative binomial regression model recorded the lowest AIC (150.12) and BIC (158.47), whereas the generalised Poisson regression model recorded the lowest −2 log-likelihood (146.78). On the basis of the two information criteria, the negative binomial regression model was selected as the preferred model for the diabetes-related mortality counts.</w:t>
      </w:r>
    </w:p>
    <w:p w14:paraId="571804E5" w14:textId="77777777" w:rsidR="000D5707" w:rsidRPr="00862A76" w:rsidRDefault="000D5707" w:rsidP="000D5707">
      <w:pPr>
        <w:spacing w:before="240"/>
        <w:jc w:val="both"/>
        <w:rPr>
          <w:rFonts w:ascii="Arial" w:hAnsi="Arial" w:cs="Arial"/>
        </w:rPr>
      </w:pPr>
      <w:r w:rsidRPr="00862A76">
        <w:t>Overall, the study yielded the following principal findings:</w:t>
      </w:r>
    </w:p>
    <w:p w14:paraId="4F8097E9" w14:textId="77777777" w:rsidR="00D66510" w:rsidRPr="00862A76" w:rsidRDefault="000D5707" w:rsidP="00D66510">
      <w:pPr>
        <w:jc w:val="both"/>
        <w:rPr>
          <w:rFonts w:ascii="Arial" w:hAnsi="Arial" w:cs="Arial"/>
        </w:rPr>
      </w:pPr>
      <w:r w:rsidRPr="00862A76">
        <w:t>(i) The negative binomial regression model provided a more appropriate fit than the conventional Poisson regression model for the overdispersed epidemiological count data examined in this farming population.</w:t>
      </w:r>
    </w:p>
    <w:p w14:paraId="1350B3DE" w14:textId="77777777" w:rsidR="00D66510" w:rsidRPr="00862A76" w:rsidRDefault="000D5707" w:rsidP="00D66510">
      <w:pPr>
        <w:jc w:val="both"/>
        <w:rPr>
          <w:rFonts w:ascii="Arial" w:hAnsi="Arial" w:cs="Arial"/>
        </w:rPr>
      </w:pPr>
      <w:r w:rsidRPr="00862A76">
        <w:t>(ii) The analysis identified confirmed, active, and severe diabetes cases as statistically significant predictors of diabetes-related mortality among farmers, providing evidence on an underexamined health burden in a rural agricultural population.</w:t>
      </w:r>
    </w:p>
    <w:p w14:paraId="1A11068B" w14:textId="77777777" w:rsidR="00D66510" w:rsidRPr="00862A76" w:rsidRDefault="000D5707" w:rsidP="00D66510">
      <w:pPr>
        <w:jc w:val="both"/>
        <w:rPr>
          <w:rFonts w:ascii="Arial" w:hAnsi="Arial" w:cs="Arial"/>
        </w:rPr>
      </w:pPr>
      <w:r w:rsidRPr="00862A76">
        <w:t>(iii) The fitted model may support evidence-informed resource allocation, targeted interventions for rural populations, and strengthened disease surveillance and diabetes-mortality prevention strategies.</w:t>
      </w:r>
    </w:p>
    <w:p w14:paraId="1A34D37F" w14:textId="77777777" w:rsidR="00F86B78" w:rsidRPr="00862A76" w:rsidRDefault="00F86B78" w:rsidP="00F86B78">
      <w:pPr>
        <w:pStyle w:val="ListParagraph"/>
        <w:numPr>
          <w:ilvl w:val="0"/>
          <w:numId w:val="4"/>
        </w:numPr>
        <w:jc w:val="both"/>
        <w:rPr>
          <w:rFonts w:ascii="Arial" w:hAnsi="Arial" w:cs="Arial"/>
          <w:b/>
          <w:sz w:val="20"/>
          <w:szCs w:val="20"/>
        </w:rPr>
      </w:pPr>
      <w:r w:rsidRPr="00862A76">
        <w:rPr>
          <w:b/>
        </w:rPr>
        <w:t>CONCLUSION</w:t>
      </w:r>
    </w:p>
    <w:p w14:paraId="77A2702C" w14:textId="77777777" w:rsidR="004658C6" w:rsidRPr="00862A76" w:rsidRDefault="00F86B78" w:rsidP="0005770B">
      <w:pPr>
        <w:spacing w:before="100" w:beforeAutospacing="1"/>
        <w:jc w:val="both"/>
      </w:pPr>
      <w:r w:rsidRPr="00862A76">
        <w:t>This study modelled diabetes-related mortality among farmers in Benue State, Nigeria, using Poisson, negative binomial, and generalised Poisson regression models. The analysis identified overdispersion in the Poisson model and showed that the negative binomial model had the lowest AIC and BIC, although the generalised Poisson model had the lowest −2 log-likelihood. On the basis of the information criteria, the negative binomial model was selected as the preferred model. Confirmed, active, and severe diabetes cases were positively and significantly associated with diabetes-related mortality. These findings indicate the importance of strengthening rural healthcare services, diabetes screening and education, disease surveillance, and data-informed health planning. Collaborative action by government agencies, healthcare institutions, relevant ministries, non-governmental organisations, and donor organisations may improve access to diabetes prevention, monitoring, and management services for farmers in Benue State. Capacity-building for local healthcare workers may also support earlier detection and more effective management of diabetes-related complications.</w:t>
      </w:r>
    </w:p>
    <w:p w14:paraId="6EB956E9" w14:textId="77777777" w:rsidR="00E63BD6" w:rsidRPr="00862A76" w:rsidRDefault="00E63BD6" w:rsidP="0005770B">
      <w:pPr>
        <w:spacing w:before="100" w:beforeAutospacing="1"/>
        <w:jc w:val="both"/>
        <w:rPr>
          <w:rFonts w:ascii="Arial" w:hAnsi="Arial" w:cs="Arial"/>
        </w:rPr>
      </w:pPr>
    </w:p>
    <w:p w14:paraId="2DB63B4D" w14:textId="77777777" w:rsidR="009006A4" w:rsidRPr="00862A76" w:rsidRDefault="009006A4" w:rsidP="00011EBF">
      <w:pPr>
        <w:jc w:val="both"/>
        <w:outlineLvl w:val="1"/>
        <w:rPr>
          <w:b/>
        </w:rPr>
      </w:pPr>
      <w:r w:rsidRPr="00862A76">
        <w:rPr>
          <w:b/>
        </w:rPr>
        <w:t>Limitation of the Study</w:t>
      </w:r>
    </w:p>
    <w:p w14:paraId="065F5E11" w14:textId="77777777" w:rsidR="00E63BD6" w:rsidRPr="00862A76" w:rsidRDefault="00E63BD6" w:rsidP="00011EBF">
      <w:pPr>
        <w:jc w:val="both"/>
        <w:outlineLvl w:val="1"/>
        <w:rPr>
          <w:rFonts w:ascii="Arial" w:hAnsi="Arial" w:cs="Arial"/>
          <w:b/>
          <w:bCs/>
          <w:lang w:val="en-IN" w:eastAsia="en-IN"/>
        </w:rPr>
      </w:pPr>
    </w:p>
    <w:p w14:paraId="430DC16E" w14:textId="77777777" w:rsidR="00011EBF" w:rsidRPr="00862A76" w:rsidRDefault="00011EBF" w:rsidP="00011EBF">
      <w:pPr>
        <w:jc w:val="both"/>
        <w:rPr>
          <w:rFonts w:ascii="Arial" w:hAnsi="Arial" w:cs="Arial"/>
          <w:lang w:val="en-IN" w:eastAsia="en-IN"/>
        </w:rPr>
      </w:pPr>
      <w:r w:rsidRPr="00862A76">
        <w:t>This study relied on secondary surveillance data and was therefore dependent on the completeness and accuracy of the original records. Individual-level clinical and demographic variables, including age, sex, disease duration, treatment status, comorbidities, and healthcare access, were unavailable. Furthermore, because the analysis used aggregated monthly data, the findings indicate associations rather than causal relationships.</w:t>
      </w:r>
    </w:p>
    <w:p w14:paraId="01C2653E" w14:textId="77777777" w:rsidR="00011EBF" w:rsidRPr="00862A76" w:rsidRDefault="00011EBF" w:rsidP="009006A4">
      <w:pPr>
        <w:rPr>
          <w:rFonts w:ascii="Times New Roman" w:hAnsi="Times New Roman"/>
          <w:b/>
        </w:rPr>
      </w:pPr>
    </w:p>
    <w:p w14:paraId="19B2AB8E" w14:textId="77777777" w:rsidR="009006A4" w:rsidRPr="00862A76" w:rsidRDefault="009006A4" w:rsidP="009006A4">
      <w:pPr>
        <w:rPr>
          <w:rFonts w:ascii="Arial" w:hAnsi="Arial" w:cs="Arial"/>
          <w:b/>
        </w:rPr>
      </w:pPr>
      <w:r w:rsidRPr="00862A76">
        <w:rPr>
          <w:b/>
        </w:rPr>
        <w:t>Declaration of AI Use</w:t>
      </w:r>
    </w:p>
    <w:p w14:paraId="766C2A9F" w14:textId="77777777" w:rsidR="009006A4" w:rsidRPr="00862A76" w:rsidRDefault="009006A4" w:rsidP="009006A4">
      <w:pPr>
        <w:rPr>
          <w:rFonts w:ascii="Arial" w:hAnsi="Arial" w:cs="Arial"/>
        </w:rPr>
      </w:pPr>
      <w:bookmarkStart w:id="0" w:name="_Hlk234486575"/>
    </w:p>
    <w:p w14:paraId="2EAC03E8" w14:textId="77777777" w:rsidR="009006A4" w:rsidRPr="00862A76" w:rsidRDefault="009006A4" w:rsidP="009006A4">
      <w:pPr>
        <w:jc w:val="both"/>
        <w:rPr>
          <w:rFonts w:ascii="Arial" w:hAnsi="Arial" w:cs="Arial"/>
        </w:rPr>
      </w:pPr>
      <w:r w:rsidRPr="00862A76">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bookmarkEnd w:id="0"/>
    <w:p w14:paraId="181EB5B9" w14:textId="77777777" w:rsidR="004658C6" w:rsidRPr="00862A76" w:rsidRDefault="004658C6" w:rsidP="004658C6">
      <w:pPr>
        <w:pStyle w:val="ReferHead"/>
        <w:spacing w:after="0"/>
        <w:jc w:val="both"/>
        <w:rPr>
          <w:rFonts w:ascii="Arial" w:hAnsi="Arial" w:cs="Arial"/>
          <w:b w:val="0"/>
          <w:caps w:val="0"/>
          <w:sz w:val="20"/>
        </w:rPr>
      </w:pPr>
    </w:p>
    <w:p w14:paraId="6D2E36E6" w14:textId="77777777" w:rsidR="004658C6" w:rsidRPr="00862A76" w:rsidRDefault="004658C6" w:rsidP="004658C6">
      <w:pPr>
        <w:pStyle w:val="ReferHead"/>
        <w:spacing w:after="0"/>
        <w:jc w:val="both"/>
        <w:rPr>
          <w:rFonts w:ascii="Arial" w:hAnsi="Arial" w:cs="Arial"/>
          <w:bCs/>
        </w:rPr>
      </w:pPr>
      <w:r w:rsidRPr="00862A76">
        <w:rPr>
          <w:rFonts w:ascii="Arial" w:hAnsi="Arial" w:cs="Arial"/>
          <w:bCs/>
        </w:rPr>
        <w:t xml:space="preserve">Consent </w:t>
      </w:r>
    </w:p>
    <w:p w14:paraId="20FCF457" w14:textId="77777777" w:rsidR="004658C6" w:rsidRPr="00862A76" w:rsidRDefault="004658C6" w:rsidP="004658C6">
      <w:pPr>
        <w:pStyle w:val="ReferHead"/>
        <w:spacing w:after="0"/>
        <w:jc w:val="both"/>
        <w:rPr>
          <w:rFonts w:ascii="Arial" w:hAnsi="Arial" w:cs="Arial"/>
          <w:bCs/>
        </w:rPr>
      </w:pPr>
    </w:p>
    <w:p w14:paraId="23367EE8" w14:textId="77777777" w:rsidR="004658C6" w:rsidRPr="00862A76" w:rsidRDefault="004658C6" w:rsidP="004658C6">
      <w:pPr>
        <w:pStyle w:val="ReferHead"/>
        <w:spacing w:after="0"/>
        <w:jc w:val="both"/>
        <w:rPr>
          <w:rFonts w:ascii="Arial" w:hAnsi="Arial" w:cs="Arial"/>
          <w:b w:val="0"/>
          <w:caps w:val="0"/>
          <w:sz w:val="20"/>
        </w:rPr>
      </w:pPr>
      <w:r w:rsidRPr="00862A76">
        <w:rPr>
          <w:rFonts w:ascii="Arial" w:hAnsi="Arial" w:cs="Arial"/>
          <w:b w:val="0"/>
          <w:caps w:val="0"/>
          <w:sz w:val="20"/>
        </w:rPr>
        <w:t>This study used secondary data already published in other sources and hence did not need consent from the patients.</w:t>
      </w:r>
    </w:p>
    <w:p w14:paraId="7CAF40D3" w14:textId="77777777" w:rsidR="004658C6" w:rsidRPr="00862A76" w:rsidRDefault="004658C6" w:rsidP="004658C6">
      <w:pPr>
        <w:pStyle w:val="ReferHead"/>
        <w:spacing w:after="0"/>
        <w:jc w:val="both"/>
        <w:rPr>
          <w:rFonts w:ascii="Arial" w:hAnsi="Arial" w:cs="Arial"/>
          <w:b w:val="0"/>
          <w:caps w:val="0"/>
          <w:sz w:val="20"/>
        </w:rPr>
      </w:pPr>
    </w:p>
    <w:p w14:paraId="6A56E7D8" w14:textId="77777777" w:rsidR="004658C6" w:rsidRPr="00862A76" w:rsidRDefault="004658C6" w:rsidP="004658C6">
      <w:pPr>
        <w:pStyle w:val="ReferHead"/>
        <w:spacing w:after="0"/>
        <w:jc w:val="both"/>
        <w:rPr>
          <w:rFonts w:ascii="Arial" w:hAnsi="Arial" w:cs="Arial"/>
          <w:bCs/>
        </w:rPr>
      </w:pPr>
      <w:r w:rsidRPr="00862A76">
        <w:rPr>
          <w:rFonts w:ascii="Arial" w:hAnsi="Arial" w:cs="Arial"/>
          <w:bCs/>
        </w:rPr>
        <w:t>Ethical approval</w:t>
      </w:r>
    </w:p>
    <w:p w14:paraId="230939CA" w14:textId="77777777" w:rsidR="004658C6" w:rsidRPr="00862A76" w:rsidRDefault="004658C6" w:rsidP="004658C6">
      <w:pPr>
        <w:pStyle w:val="ReferHead"/>
        <w:spacing w:after="0"/>
        <w:jc w:val="both"/>
        <w:rPr>
          <w:rFonts w:ascii="Arial" w:hAnsi="Arial" w:cs="Arial"/>
          <w:bCs/>
        </w:rPr>
      </w:pPr>
    </w:p>
    <w:p w14:paraId="33FAB893" w14:textId="77777777" w:rsidR="004658C6" w:rsidRPr="00862A76" w:rsidRDefault="004658C6" w:rsidP="004658C6">
      <w:pPr>
        <w:pStyle w:val="ReferHead"/>
        <w:spacing w:after="0"/>
        <w:jc w:val="both"/>
        <w:rPr>
          <w:rFonts w:ascii="Arial" w:hAnsi="Arial" w:cs="Arial"/>
          <w:b w:val="0"/>
          <w:caps w:val="0"/>
          <w:sz w:val="20"/>
        </w:rPr>
      </w:pPr>
      <w:r w:rsidRPr="00862A76">
        <w:rPr>
          <w:rFonts w:ascii="Arial" w:hAnsi="Arial" w:cs="Arial"/>
          <w:b w:val="0"/>
          <w:caps w:val="0"/>
          <w:sz w:val="20"/>
        </w:rPr>
        <w:t>This study used secondary data already published in other sources and hence did not need ethical approval from any committee.</w:t>
      </w:r>
    </w:p>
    <w:p w14:paraId="3487B01A" w14:textId="77777777" w:rsidR="004658C6" w:rsidRPr="00862A76" w:rsidRDefault="004658C6" w:rsidP="004658C6">
      <w:pPr>
        <w:pStyle w:val="ReferHead"/>
        <w:spacing w:after="0"/>
        <w:jc w:val="both"/>
        <w:rPr>
          <w:rFonts w:ascii="Arial" w:hAnsi="Arial" w:cs="Arial"/>
          <w:b w:val="0"/>
          <w:caps w:val="0"/>
          <w:sz w:val="20"/>
        </w:rPr>
      </w:pPr>
    </w:p>
    <w:p w14:paraId="547BA0F9" w14:textId="77777777" w:rsidR="004658C6" w:rsidRPr="00862A76" w:rsidRDefault="004658C6" w:rsidP="004658C6">
      <w:pPr>
        <w:pStyle w:val="ReferHead"/>
        <w:spacing w:after="0"/>
        <w:jc w:val="both"/>
        <w:rPr>
          <w:rFonts w:ascii="Arial" w:hAnsi="Arial" w:cs="Arial"/>
        </w:rPr>
      </w:pPr>
      <w:r w:rsidRPr="00862A76">
        <w:rPr>
          <w:rFonts w:ascii="Arial" w:hAnsi="Arial" w:cs="Arial"/>
        </w:rPr>
        <w:t>References</w:t>
      </w:r>
    </w:p>
    <w:p w14:paraId="25DB4DE5" w14:textId="77777777" w:rsidR="004658C6" w:rsidRPr="00862A76" w:rsidRDefault="004658C6" w:rsidP="004658C6">
      <w:pPr>
        <w:pStyle w:val="ReferHead"/>
        <w:spacing w:after="0"/>
        <w:jc w:val="both"/>
        <w:rPr>
          <w:rFonts w:ascii="Arial" w:hAnsi="Arial" w:cs="Arial"/>
        </w:rPr>
      </w:pPr>
    </w:p>
    <w:p w14:paraId="5139A934" w14:textId="77777777" w:rsidR="005941EF" w:rsidRDefault="005941EF" w:rsidP="005941EF">
      <w:pPr>
        <w:jc w:val="both"/>
        <w:rPr>
          <w:rFonts w:ascii="Arial" w:hAnsi="Arial" w:cs="Arial"/>
        </w:rPr>
      </w:pPr>
    </w:p>
    <w:p w14:paraId="762D144F" w14:textId="77777777" w:rsidR="00DE30F6" w:rsidRPr="00DE30F6" w:rsidRDefault="00DE30F6" w:rsidP="00DE30F6">
      <w:pPr>
        <w:spacing w:before="100" w:beforeAutospacing="1" w:after="100" w:afterAutospacing="1"/>
        <w:rPr>
          <w:rFonts w:ascii="Times New Roman" w:hAnsi="Times New Roman"/>
          <w:sz w:val="24"/>
          <w:szCs w:val="24"/>
        </w:rPr>
      </w:pPr>
      <w:r w:rsidRPr="00DE30F6">
        <w:rPr>
          <w:rFonts w:ascii="Times New Roman" w:hAnsi="Times New Roman"/>
          <w:sz w:val="24"/>
          <w:szCs w:val="24"/>
        </w:rPr>
        <w:t xml:space="preserve">Adams, S. O., </w:t>
      </w:r>
      <w:proofErr w:type="spellStart"/>
      <w:r w:rsidRPr="00DE30F6">
        <w:rPr>
          <w:rFonts w:ascii="Times New Roman" w:hAnsi="Times New Roman"/>
          <w:sz w:val="24"/>
          <w:szCs w:val="24"/>
        </w:rPr>
        <w:t>Bamanga</w:t>
      </w:r>
      <w:proofErr w:type="spellEnd"/>
      <w:r w:rsidRPr="00DE30F6">
        <w:rPr>
          <w:rFonts w:ascii="Times New Roman" w:hAnsi="Times New Roman"/>
          <w:sz w:val="24"/>
          <w:szCs w:val="24"/>
        </w:rPr>
        <w:t xml:space="preserve">, M. A., Olanrewaju, S. O., Yahaya, H. U., &amp; Akano, R. O. (2020). Modeling COVID-19 cases in Nigeria using some selected count data regression models. </w:t>
      </w:r>
      <w:r w:rsidRPr="00DE30F6">
        <w:rPr>
          <w:rFonts w:ascii="Times New Roman" w:hAnsi="Times New Roman"/>
          <w:i/>
          <w:iCs/>
          <w:sz w:val="24"/>
          <w:szCs w:val="24"/>
        </w:rPr>
        <w:t>International Journal of Healthcare and Medical Sciences, 6</w:t>
      </w:r>
      <w:r w:rsidRPr="00DE30F6">
        <w:rPr>
          <w:rFonts w:ascii="Times New Roman" w:hAnsi="Times New Roman"/>
          <w:sz w:val="24"/>
          <w:szCs w:val="24"/>
        </w:rPr>
        <w:t xml:space="preserve">(4), 64–73. </w:t>
      </w:r>
      <w:hyperlink r:id="rId17" w:tgtFrame="_new" w:history="1">
        <w:r w:rsidRPr="00DE30F6">
          <w:rPr>
            <w:rFonts w:ascii="Times New Roman" w:hAnsi="Times New Roman"/>
            <w:color w:val="0000FF"/>
            <w:sz w:val="24"/>
            <w:szCs w:val="24"/>
            <w:u w:val="single"/>
          </w:rPr>
          <w:t>https://doi.org/10.32861/ijhms.64.64.73</w:t>
        </w:r>
      </w:hyperlink>
    </w:p>
    <w:p w14:paraId="3A711A01" w14:textId="77777777" w:rsidR="00DE30F6" w:rsidRPr="00DE30F6" w:rsidRDefault="00DE30F6" w:rsidP="00DE30F6">
      <w:pPr>
        <w:spacing w:before="100" w:beforeAutospacing="1" w:after="100" w:afterAutospacing="1"/>
        <w:rPr>
          <w:rFonts w:ascii="Times New Roman" w:hAnsi="Times New Roman"/>
          <w:sz w:val="24"/>
          <w:szCs w:val="24"/>
        </w:rPr>
      </w:pPr>
      <w:r w:rsidRPr="00DE30F6">
        <w:rPr>
          <w:rFonts w:ascii="Times New Roman" w:hAnsi="Times New Roman"/>
          <w:sz w:val="24"/>
          <w:szCs w:val="24"/>
        </w:rPr>
        <w:t xml:space="preserve">Agresti, A. (2007). </w:t>
      </w:r>
      <w:r w:rsidRPr="00DE30F6">
        <w:rPr>
          <w:rFonts w:ascii="Times New Roman" w:hAnsi="Times New Roman"/>
          <w:i/>
          <w:iCs/>
          <w:sz w:val="24"/>
          <w:szCs w:val="24"/>
        </w:rPr>
        <w:t>An introduction to categorical data analysis</w:t>
      </w:r>
      <w:r w:rsidRPr="00DE30F6">
        <w:rPr>
          <w:rFonts w:ascii="Times New Roman" w:hAnsi="Times New Roman"/>
          <w:sz w:val="24"/>
          <w:szCs w:val="24"/>
        </w:rPr>
        <w:t xml:space="preserve"> (2nd ed.). Wiley. </w:t>
      </w:r>
      <w:hyperlink r:id="rId18" w:tgtFrame="_new" w:history="1">
        <w:r w:rsidRPr="00DE30F6">
          <w:rPr>
            <w:rFonts w:ascii="Times New Roman" w:hAnsi="Times New Roman"/>
            <w:color w:val="0000FF"/>
            <w:sz w:val="24"/>
            <w:szCs w:val="24"/>
            <w:u w:val="single"/>
          </w:rPr>
          <w:t>https://doi.org/10.1002/0470114754</w:t>
        </w:r>
      </w:hyperlink>
    </w:p>
    <w:p w14:paraId="1FFF6338" w14:textId="77777777" w:rsidR="00DE30F6" w:rsidRPr="00DE30F6" w:rsidRDefault="00DE30F6" w:rsidP="00DE30F6">
      <w:pPr>
        <w:spacing w:before="100" w:beforeAutospacing="1" w:after="100" w:afterAutospacing="1"/>
        <w:rPr>
          <w:rFonts w:ascii="Times New Roman" w:hAnsi="Times New Roman"/>
          <w:sz w:val="24"/>
          <w:szCs w:val="24"/>
        </w:rPr>
      </w:pPr>
      <w:r w:rsidRPr="00DE30F6">
        <w:rPr>
          <w:rFonts w:ascii="Times New Roman" w:hAnsi="Times New Roman"/>
          <w:sz w:val="24"/>
          <w:szCs w:val="24"/>
        </w:rPr>
        <w:t xml:space="preserve">Alimi, R. A., Alabi, M. O., &amp; Ibrahim, A.-M. M. (2025). Socioeconomic determinants of diabetes in Nigeria: A scoping review of prevalence, risk factors and interventions. </w:t>
      </w:r>
      <w:r w:rsidRPr="00DE30F6">
        <w:rPr>
          <w:rFonts w:ascii="Times New Roman" w:hAnsi="Times New Roman"/>
          <w:i/>
          <w:iCs/>
          <w:sz w:val="24"/>
          <w:szCs w:val="24"/>
        </w:rPr>
        <w:t>Journal of International Research in Medical and Pharmaceutical Sciences, 20</w:t>
      </w:r>
      <w:r w:rsidRPr="00DE30F6">
        <w:rPr>
          <w:rFonts w:ascii="Times New Roman" w:hAnsi="Times New Roman"/>
          <w:sz w:val="24"/>
          <w:szCs w:val="24"/>
        </w:rPr>
        <w:t xml:space="preserve">(3), 1–20. </w:t>
      </w:r>
      <w:hyperlink r:id="rId19" w:tgtFrame="_new" w:history="1">
        <w:r w:rsidRPr="00DE30F6">
          <w:rPr>
            <w:rFonts w:ascii="Times New Roman" w:hAnsi="Times New Roman"/>
            <w:color w:val="0000FF"/>
            <w:sz w:val="24"/>
            <w:szCs w:val="24"/>
            <w:u w:val="single"/>
          </w:rPr>
          <w:t>https://doi.org/10.56557/jirmeps/2025/v20i39640</w:t>
        </w:r>
      </w:hyperlink>
    </w:p>
    <w:p w14:paraId="238E206E" w14:textId="77777777" w:rsidR="00DE30F6" w:rsidRPr="00DE30F6" w:rsidRDefault="00DE30F6" w:rsidP="00DE30F6">
      <w:pPr>
        <w:spacing w:before="100" w:beforeAutospacing="1" w:after="100" w:afterAutospacing="1"/>
        <w:rPr>
          <w:rFonts w:ascii="Times New Roman" w:hAnsi="Times New Roman"/>
          <w:sz w:val="24"/>
          <w:szCs w:val="24"/>
        </w:rPr>
      </w:pPr>
      <w:r w:rsidRPr="00DE30F6">
        <w:rPr>
          <w:rFonts w:ascii="Times New Roman" w:hAnsi="Times New Roman"/>
          <w:sz w:val="24"/>
          <w:szCs w:val="24"/>
        </w:rPr>
        <w:t xml:space="preserve">American Diabetes Association. (2024). </w:t>
      </w:r>
      <w:r w:rsidRPr="00DE30F6">
        <w:rPr>
          <w:rFonts w:ascii="Times New Roman" w:hAnsi="Times New Roman"/>
          <w:i/>
          <w:iCs/>
          <w:sz w:val="24"/>
          <w:szCs w:val="24"/>
        </w:rPr>
        <w:t>Standards of care in diabetes—2024</w:t>
      </w:r>
      <w:r w:rsidRPr="00DE30F6">
        <w:rPr>
          <w:rFonts w:ascii="Times New Roman" w:hAnsi="Times New Roman"/>
          <w:sz w:val="24"/>
          <w:szCs w:val="24"/>
        </w:rPr>
        <w:t xml:space="preserve">. </w:t>
      </w:r>
      <w:r w:rsidRPr="00DE30F6">
        <w:rPr>
          <w:rFonts w:ascii="Times New Roman" w:hAnsi="Times New Roman"/>
          <w:i/>
          <w:iCs/>
          <w:sz w:val="24"/>
          <w:szCs w:val="24"/>
        </w:rPr>
        <w:t>Diabetes Care, 47</w:t>
      </w:r>
      <w:r w:rsidRPr="00DE30F6">
        <w:rPr>
          <w:rFonts w:ascii="Times New Roman" w:hAnsi="Times New Roman"/>
          <w:sz w:val="24"/>
          <w:szCs w:val="24"/>
        </w:rPr>
        <w:t xml:space="preserve">(Suppl. 1), S1–S321. </w:t>
      </w:r>
      <w:hyperlink r:id="rId20" w:tgtFrame="_new" w:history="1">
        <w:r w:rsidRPr="00DE30F6">
          <w:rPr>
            <w:rFonts w:ascii="Times New Roman" w:hAnsi="Times New Roman"/>
            <w:color w:val="0000FF"/>
            <w:sz w:val="24"/>
            <w:szCs w:val="24"/>
            <w:u w:val="single"/>
          </w:rPr>
          <w:t>https://diabetesjournals.org/care/issue/47/Supplement_1</w:t>
        </w:r>
      </w:hyperlink>
    </w:p>
    <w:p w14:paraId="1E7EE192" w14:textId="77777777" w:rsidR="00DE30F6" w:rsidRPr="00DE30F6" w:rsidRDefault="00DE30F6" w:rsidP="00DE30F6">
      <w:pPr>
        <w:spacing w:before="100" w:beforeAutospacing="1" w:after="100" w:afterAutospacing="1"/>
        <w:rPr>
          <w:rFonts w:ascii="Times New Roman" w:hAnsi="Times New Roman"/>
          <w:sz w:val="24"/>
          <w:szCs w:val="24"/>
        </w:rPr>
      </w:pPr>
      <w:proofErr w:type="spellStart"/>
      <w:r w:rsidRPr="00DE30F6">
        <w:rPr>
          <w:rFonts w:ascii="Times New Roman" w:hAnsi="Times New Roman"/>
          <w:sz w:val="24"/>
          <w:szCs w:val="24"/>
        </w:rPr>
        <w:t>Askarishahi</w:t>
      </w:r>
      <w:proofErr w:type="spellEnd"/>
      <w:r w:rsidRPr="00DE30F6">
        <w:rPr>
          <w:rFonts w:ascii="Times New Roman" w:hAnsi="Times New Roman"/>
          <w:sz w:val="24"/>
          <w:szCs w:val="24"/>
        </w:rPr>
        <w:t xml:space="preserve">, M., Malaki, M. H., </w:t>
      </w:r>
      <w:proofErr w:type="spellStart"/>
      <w:r w:rsidRPr="00DE30F6">
        <w:rPr>
          <w:rFonts w:ascii="Times New Roman" w:hAnsi="Times New Roman"/>
          <w:sz w:val="24"/>
          <w:szCs w:val="24"/>
        </w:rPr>
        <w:t>Fallahzadeh</w:t>
      </w:r>
      <w:proofErr w:type="spellEnd"/>
      <w:r w:rsidRPr="00DE30F6">
        <w:rPr>
          <w:rFonts w:ascii="Times New Roman" w:hAnsi="Times New Roman"/>
          <w:sz w:val="24"/>
          <w:szCs w:val="24"/>
        </w:rPr>
        <w:t>, H., Lotfi, M. H., &amp; Afkhami-</w:t>
      </w:r>
      <w:proofErr w:type="spellStart"/>
      <w:r w:rsidRPr="00DE30F6">
        <w:rPr>
          <w:rFonts w:ascii="Times New Roman" w:hAnsi="Times New Roman"/>
          <w:sz w:val="24"/>
          <w:szCs w:val="24"/>
        </w:rPr>
        <w:t>Ardekani</w:t>
      </w:r>
      <w:proofErr w:type="spellEnd"/>
      <w:r w:rsidRPr="00DE30F6">
        <w:rPr>
          <w:rFonts w:ascii="Times New Roman" w:hAnsi="Times New Roman"/>
          <w:sz w:val="24"/>
          <w:szCs w:val="24"/>
        </w:rPr>
        <w:t xml:space="preserve">, M. (2014). Trend analysis of the rate of mortality due to diabetes mellitus in Iran during the period 2003–2010: A </w:t>
      </w:r>
      <w:proofErr w:type="spellStart"/>
      <w:r w:rsidRPr="00DE30F6">
        <w:rPr>
          <w:rFonts w:ascii="Times New Roman" w:hAnsi="Times New Roman"/>
          <w:sz w:val="24"/>
          <w:szCs w:val="24"/>
        </w:rPr>
        <w:t>joinpoint</w:t>
      </w:r>
      <w:proofErr w:type="spellEnd"/>
      <w:r w:rsidRPr="00DE30F6">
        <w:rPr>
          <w:rFonts w:ascii="Times New Roman" w:hAnsi="Times New Roman"/>
          <w:sz w:val="24"/>
          <w:szCs w:val="24"/>
        </w:rPr>
        <w:t xml:space="preserve"> regression analysis. </w:t>
      </w:r>
      <w:r w:rsidRPr="00DE30F6">
        <w:rPr>
          <w:rFonts w:ascii="Times New Roman" w:hAnsi="Times New Roman"/>
          <w:i/>
          <w:iCs/>
          <w:sz w:val="24"/>
          <w:szCs w:val="24"/>
        </w:rPr>
        <w:t>Journal of Occupational Health and Epidemiology, 3</w:t>
      </w:r>
      <w:r w:rsidRPr="00DE30F6">
        <w:rPr>
          <w:rFonts w:ascii="Times New Roman" w:hAnsi="Times New Roman"/>
          <w:sz w:val="24"/>
          <w:szCs w:val="24"/>
        </w:rPr>
        <w:t>(2), 112–116. https://doi.org/10.18869/acadpub.johe.3.2.112</w:t>
      </w:r>
    </w:p>
    <w:p w14:paraId="04A06E11" w14:textId="77777777" w:rsidR="00DE30F6" w:rsidRPr="00DE30F6" w:rsidRDefault="00DE30F6" w:rsidP="00DE30F6">
      <w:pPr>
        <w:spacing w:before="100" w:beforeAutospacing="1" w:after="100" w:afterAutospacing="1"/>
        <w:rPr>
          <w:rFonts w:ascii="Times New Roman" w:hAnsi="Times New Roman"/>
          <w:sz w:val="24"/>
          <w:szCs w:val="24"/>
        </w:rPr>
      </w:pPr>
      <w:proofErr w:type="spellStart"/>
      <w:r w:rsidRPr="00DE30F6">
        <w:rPr>
          <w:rFonts w:ascii="Times New Roman" w:hAnsi="Times New Roman"/>
          <w:sz w:val="24"/>
          <w:szCs w:val="24"/>
        </w:rPr>
        <w:lastRenderedPageBreak/>
        <w:t>Barsasella</w:t>
      </w:r>
      <w:proofErr w:type="spellEnd"/>
      <w:r w:rsidRPr="00DE30F6">
        <w:rPr>
          <w:rFonts w:ascii="Times New Roman" w:hAnsi="Times New Roman"/>
          <w:sz w:val="24"/>
          <w:szCs w:val="24"/>
        </w:rPr>
        <w:t xml:space="preserve">, D., Bah, K., Mishra, P., Uddin, M., Dhar, E., Suryani, D. L., Setiadi, D., </w:t>
      </w:r>
      <w:proofErr w:type="spellStart"/>
      <w:r w:rsidRPr="00DE30F6">
        <w:rPr>
          <w:rFonts w:ascii="Times New Roman" w:hAnsi="Times New Roman"/>
          <w:sz w:val="24"/>
          <w:szCs w:val="24"/>
        </w:rPr>
        <w:t>Masturoh</w:t>
      </w:r>
      <w:proofErr w:type="spellEnd"/>
      <w:r w:rsidRPr="00DE30F6">
        <w:rPr>
          <w:rFonts w:ascii="Times New Roman" w:hAnsi="Times New Roman"/>
          <w:sz w:val="24"/>
          <w:szCs w:val="24"/>
        </w:rPr>
        <w:t xml:space="preserve">, I., </w:t>
      </w:r>
      <w:proofErr w:type="spellStart"/>
      <w:r w:rsidRPr="00DE30F6">
        <w:rPr>
          <w:rFonts w:ascii="Times New Roman" w:hAnsi="Times New Roman"/>
          <w:sz w:val="24"/>
          <w:szCs w:val="24"/>
        </w:rPr>
        <w:t>Sugiarti</w:t>
      </w:r>
      <w:proofErr w:type="spellEnd"/>
      <w:r w:rsidRPr="00DE30F6">
        <w:rPr>
          <w:rFonts w:ascii="Times New Roman" w:hAnsi="Times New Roman"/>
          <w:sz w:val="24"/>
          <w:szCs w:val="24"/>
        </w:rPr>
        <w:t xml:space="preserve">, I., </w:t>
      </w:r>
      <w:proofErr w:type="spellStart"/>
      <w:r w:rsidRPr="00DE30F6">
        <w:rPr>
          <w:rFonts w:ascii="Times New Roman" w:hAnsi="Times New Roman"/>
          <w:sz w:val="24"/>
          <w:szCs w:val="24"/>
        </w:rPr>
        <w:t>Jonnagaddala</w:t>
      </w:r>
      <w:proofErr w:type="spellEnd"/>
      <w:r w:rsidRPr="00DE30F6">
        <w:rPr>
          <w:rFonts w:ascii="Times New Roman" w:hAnsi="Times New Roman"/>
          <w:sz w:val="24"/>
          <w:szCs w:val="24"/>
        </w:rPr>
        <w:t xml:space="preserve">, J., &amp; Syed-Abdul, S. (2022). A machine learning model to predict length of stay and mortality among diabetes and hypertension inpatients. </w:t>
      </w:r>
      <w:r w:rsidRPr="00DE30F6">
        <w:rPr>
          <w:rFonts w:ascii="Times New Roman" w:hAnsi="Times New Roman"/>
          <w:i/>
          <w:iCs/>
          <w:sz w:val="24"/>
          <w:szCs w:val="24"/>
        </w:rPr>
        <w:t>Medicina, 58</w:t>
      </w:r>
      <w:r w:rsidRPr="00DE30F6">
        <w:rPr>
          <w:rFonts w:ascii="Times New Roman" w:hAnsi="Times New Roman"/>
          <w:sz w:val="24"/>
          <w:szCs w:val="24"/>
        </w:rPr>
        <w:t xml:space="preserve">(11), 1568. </w:t>
      </w:r>
      <w:hyperlink r:id="rId21" w:tgtFrame="_new" w:history="1">
        <w:r w:rsidRPr="00DE30F6">
          <w:rPr>
            <w:rFonts w:ascii="Times New Roman" w:hAnsi="Times New Roman"/>
            <w:color w:val="0000FF"/>
            <w:sz w:val="24"/>
            <w:szCs w:val="24"/>
            <w:u w:val="single"/>
          </w:rPr>
          <w:t>https://doi.org/10.3390/medicina58111568</w:t>
        </w:r>
      </w:hyperlink>
    </w:p>
    <w:p w14:paraId="19AB355B" w14:textId="77777777" w:rsidR="00DE30F6" w:rsidRPr="00DE30F6" w:rsidRDefault="00DE30F6" w:rsidP="00DE30F6">
      <w:pPr>
        <w:spacing w:before="100" w:beforeAutospacing="1" w:after="100" w:afterAutospacing="1"/>
        <w:rPr>
          <w:rFonts w:ascii="Times New Roman" w:hAnsi="Times New Roman"/>
          <w:sz w:val="24"/>
          <w:szCs w:val="24"/>
        </w:rPr>
      </w:pPr>
      <w:r w:rsidRPr="00DE30F6">
        <w:rPr>
          <w:rFonts w:ascii="Times New Roman" w:hAnsi="Times New Roman"/>
          <w:sz w:val="24"/>
          <w:szCs w:val="24"/>
        </w:rPr>
        <w:t xml:space="preserve">Ceriello, A., &amp; </w:t>
      </w:r>
      <w:proofErr w:type="spellStart"/>
      <w:r w:rsidRPr="00DE30F6">
        <w:rPr>
          <w:rFonts w:ascii="Times New Roman" w:hAnsi="Times New Roman"/>
          <w:sz w:val="24"/>
          <w:szCs w:val="24"/>
        </w:rPr>
        <w:t>Prattichizzo</w:t>
      </w:r>
      <w:proofErr w:type="spellEnd"/>
      <w:r w:rsidRPr="00DE30F6">
        <w:rPr>
          <w:rFonts w:ascii="Times New Roman" w:hAnsi="Times New Roman"/>
          <w:sz w:val="24"/>
          <w:szCs w:val="24"/>
        </w:rPr>
        <w:t xml:space="preserve">, F. (2021). Variability of risk factors and diabetes complications. </w:t>
      </w:r>
      <w:r w:rsidRPr="00DE30F6">
        <w:rPr>
          <w:rFonts w:ascii="Times New Roman" w:hAnsi="Times New Roman"/>
          <w:i/>
          <w:iCs/>
          <w:sz w:val="24"/>
          <w:szCs w:val="24"/>
        </w:rPr>
        <w:t>Cardiovascular Diabetology, 20</w:t>
      </w:r>
      <w:r w:rsidRPr="00DE30F6">
        <w:rPr>
          <w:rFonts w:ascii="Times New Roman" w:hAnsi="Times New Roman"/>
          <w:sz w:val="24"/>
          <w:szCs w:val="24"/>
        </w:rPr>
        <w:t xml:space="preserve">, Article 101. </w:t>
      </w:r>
      <w:hyperlink r:id="rId22" w:tgtFrame="_new" w:history="1">
        <w:r w:rsidRPr="00DE30F6">
          <w:rPr>
            <w:rFonts w:ascii="Times New Roman" w:hAnsi="Times New Roman"/>
            <w:color w:val="0000FF"/>
            <w:sz w:val="24"/>
            <w:szCs w:val="24"/>
            <w:u w:val="single"/>
          </w:rPr>
          <w:t>https://doi.org/10.1186/s12933-021-01289-4</w:t>
        </w:r>
      </w:hyperlink>
    </w:p>
    <w:p w14:paraId="582A99DB" w14:textId="77777777" w:rsidR="00DE30F6" w:rsidRPr="00DE30F6" w:rsidRDefault="00DE30F6" w:rsidP="00DE30F6">
      <w:pPr>
        <w:spacing w:before="100" w:beforeAutospacing="1" w:after="100" w:afterAutospacing="1"/>
        <w:rPr>
          <w:rFonts w:ascii="Times New Roman" w:hAnsi="Times New Roman"/>
          <w:sz w:val="24"/>
          <w:szCs w:val="24"/>
        </w:rPr>
      </w:pPr>
      <w:r w:rsidRPr="00DE30F6">
        <w:rPr>
          <w:rFonts w:ascii="Times New Roman" w:hAnsi="Times New Roman"/>
          <w:sz w:val="24"/>
          <w:szCs w:val="24"/>
        </w:rPr>
        <w:t xml:space="preserve">Corona, G., </w:t>
      </w:r>
      <w:proofErr w:type="spellStart"/>
      <w:r w:rsidRPr="00DE30F6">
        <w:rPr>
          <w:rFonts w:ascii="Times New Roman" w:hAnsi="Times New Roman"/>
          <w:sz w:val="24"/>
          <w:szCs w:val="24"/>
        </w:rPr>
        <w:t>Pizzocaro</w:t>
      </w:r>
      <w:proofErr w:type="spellEnd"/>
      <w:r w:rsidRPr="00DE30F6">
        <w:rPr>
          <w:rFonts w:ascii="Times New Roman" w:hAnsi="Times New Roman"/>
          <w:sz w:val="24"/>
          <w:szCs w:val="24"/>
        </w:rPr>
        <w:t xml:space="preserve">, A., Vena, W., </w:t>
      </w:r>
      <w:proofErr w:type="spellStart"/>
      <w:r w:rsidRPr="00DE30F6">
        <w:rPr>
          <w:rFonts w:ascii="Times New Roman" w:hAnsi="Times New Roman"/>
          <w:sz w:val="24"/>
          <w:szCs w:val="24"/>
        </w:rPr>
        <w:t>Rastrelli</w:t>
      </w:r>
      <w:proofErr w:type="spellEnd"/>
      <w:r w:rsidRPr="00DE30F6">
        <w:rPr>
          <w:rFonts w:ascii="Times New Roman" w:hAnsi="Times New Roman"/>
          <w:sz w:val="24"/>
          <w:szCs w:val="24"/>
        </w:rPr>
        <w:t xml:space="preserve">, G., Semeraro, F., Isidori, A. M., </w:t>
      </w:r>
      <w:proofErr w:type="spellStart"/>
      <w:r w:rsidRPr="00DE30F6">
        <w:rPr>
          <w:rFonts w:ascii="Times New Roman" w:hAnsi="Times New Roman"/>
          <w:sz w:val="24"/>
          <w:szCs w:val="24"/>
        </w:rPr>
        <w:t>Pivonello</w:t>
      </w:r>
      <w:proofErr w:type="spellEnd"/>
      <w:r w:rsidRPr="00DE30F6">
        <w:rPr>
          <w:rFonts w:ascii="Times New Roman" w:hAnsi="Times New Roman"/>
          <w:sz w:val="24"/>
          <w:szCs w:val="24"/>
        </w:rPr>
        <w:t xml:space="preserve">, R., Salonia, A., Sforza, A., &amp; Maggi, M. (2021). Diabetes is most important cause for mortality in COVID-19 hospitalized patients: Systematic review and meta-analysis. </w:t>
      </w:r>
      <w:r w:rsidRPr="00DE30F6">
        <w:rPr>
          <w:rFonts w:ascii="Times New Roman" w:hAnsi="Times New Roman"/>
          <w:i/>
          <w:iCs/>
          <w:sz w:val="24"/>
          <w:szCs w:val="24"/>
        </w:rPr>
        <w:t>Reviews in Endocrine and Metabolic Disorders, 22</w:t>
      </w:r>
      <w:r w:rsidRPr="00DE30F6">
        <w:rPr>
          <w:rFonts w:ascii="Times New Roman" w:hAnsi="Times New Roman"/>
          <w:sz w:val="24"/>
          <w:szCs w:val="24"/>
        </w:rPr>
        <w:t xml:space="preserve">, 275–296. </w:t>
      </w:r>
      <w:hyperlink r:id="rId23" w:tgtFrame="_new" w:history="1">
        <w:r w:rsidRPr="00DE30F6">
          <w:rPr>
            <w:rFonts w:ascii="Times New Roman" w:hAnsi="Times New Roman"/>
            <w:color w:val="0000FF"/>
            <w:sz w:val="24"/>
            <w:szCs w:val="24"/>
            <w:u w:val="single"/>
          </w:rPr>
          <w:t>https://doi.org/10.1007/s11154-021-09630-8</w:t>
        </w:r>
      </w:hyperlink>
    </w:p>
    <w:p w14:paraId="755D506E" w14:textId="77777777" w:rsidR="00DE30F6" w:rsidRPr="00DE30F6" w:rsidRDefault="00DE30F6" w:rsidP="00DE30F6">
      <w:pPr>
        <w:spacing w:before="100" w:beforeAutospacing="1" w:after="100" w:afterAutospacing="1"/>
        <w:rPr>
          <w:rFonts w:ascii="Times New Roman" w:hAnsi="Times New Roman"/>
          <w:sz w:val="24"/>
          <w:szCs w:val="24"/>
        </w:rPr>
      </w:pPr>
      <w:r w:rsidRPr="00DE30F6">
        <w:rPr>
          <w:rFonts w:ascii="Times New Roman" w:hAnsi="Times New Roman"/>
          <w:sz w:val="24"/>
          <w:szCs w:val="24"/>
        </w:rPr>
        <w:t xml:space="preserve">Damanik, J., &amp; </w:t>
      </w:r>
      <w:proofErr w:type="spellStart"/>
      <w:r w:rsidRPr="00DE30F6">
        <w:rPr>
          <w:rFonts w:ascii="Times New Roman" w:hAnsi="Times New Roman"/>
          <w:sz w:val="24"/>
          <w:szCs w:val="24"/>
        </w:rPr>
        <w:t>Yunir</w:t>
      </w:r>
      <w:proofErr w:type="spellEnd"/>
      <w:r w:rsidRPr="00DE30F6">
        <w:rPr>
          <w:rFonts w:ascii="Times New Roman" w:hAnsi="Times New Roman"/>
          <w:sz w:val="24"/>
          <w:szCs w:val="24"/>
        </w:rPr>
        <w:t xml:space="preserve">, E. (2021). Type 2 diabetes mellitus and cognitive impairment. </w:t>
      </w:r>
      <w:r w:rsidRPr="00DE30F6">
        <w:rPr>
          <w:rFonts w:ascii="Times New Roman" w:hAnsi="Times New Roman"/>
          <w:i/>
          <w:iCs/>
          <w:sz w:val="24"/>
          <w:szCs w:val="24"/>
        </w:rPr>
        <w:t xml:space="preserve">Acta Medica </w:t>
      </w:r>
      <w:proofErr w:type="spellStart"/>
      <w:r w:rsidRPr="00DE30F6">
        <w:rPr>
          <w:rFonts w:ascii="Times New Roman" w:hAnsi="Times New Roman"/>
          <w:i/>
          <w:iCs/>
          <w:sz w:val="24"/>
          <w:szCs w:val="24"/>
        </w:rPr>
        <w:t>Indonesiana</w:t>
      </w:r>
      <w:proofErr w:type="spellEnd"/>
      <w:r w:rsidRPr="00DE30F6">
        <w:rPr>
          <w:rFonts w:ascii="Times New Roman" w:hAnsi="Times New Roman"/>
          <w:i/>
          <w:iCs/>
          <w:sz w:val="24"/>
          <w:szCs w:val="24"/>
        </w:rPr>
        <w:t>, 53</w:t>
      </w:r>
      <w:r w:rsidRPr="00DE30F6">
        <w:rPr>
          <w:rFonts w:ascii="Times New Roman" w:hAnsi="Times New Roman"/>
          <w:sz w:val="24"/>
          <w:szCs w:val="24"/>
        </w:rPr>
        <w:t xml:space="preserve">(2), 213–220. </w:t>
      </w:r>
      <w:hyperlink r:id="rId24" w:tgtFrame="_new" w:history="1">
        <w:r w:rsidRPr="00DE30F6">
          <w:rPr>
            <w:rFonts w:ascii="Times New Roman" w:hAnsi="Times New Roman"/>
            <w:color w:val="0000FF"/>
            <w:sz w:val="24"/>
            <w:szCs w:val="24"/>
            <w:u w:val="single"/>
          </w:rPr>
          <w:t>https://www.actamedindones.org/index.php/ijim/article/view/979</w:t>
        </w:r>
      </w:hyperlink>
    </w:p>
    <w:p w14:paraId="17E37F0E" w14:textId="77777777" w:rsidR="00DE30F6" w:rsidRPr="00DE30F6" w:rsidRDefault="00DE30F6" w:rsidP="00DE30F6">
      <w:pPr>
        <w:spacing w:before="100" w:beforeAutospacing="1" w:after="100" w:afterAutospacing="1"/>
        <w:rPr>
          <w:rFonts w:ascii="Times New Roman" w:hAnsi="Times New Roman"/>
          <w:sz w:val="24"/>
          <w:szCs w:val="24"/>
        </w:rPr>
      </w:pPr>
      <w:r w:rsidRPr="00DE30F6">
        <w:rPr>
          <w:rFonts w:ascii="Times New Roman" w:hAnsi="Times New Roman"/>
          <w:sz w:val="24"/>
          <w:szCs w:val="24"/>
        </w:rPr>
        <w:t xml:space="preserve">Flood, D., Zhang, Y. S., Nichols, E., Li, C., Zaninotto, P., Langa, K. M., Lee, J., &amp; Manne-Goehler, J. (2025). Diabetes and all-cause mortality among middle-aged and older adults in China, England, Mexico, rural South Africa, and the USA: A population-based study of longitudinal ageing cohorts. </w:t>
      </w:r>
      <w:r w:rsidRPr="00DE30F6">
        <w:rPr>
          <w:rFonts w:ascii="Times New Roman" w:hAnsi="Times New Roman"/>
          <w:i/>
          <w:iCs/>
          <w:sz w:val="24"/>
          <w:szCs w:val="24"/>
        </w:rPr>
        <w:t>BMJ Open Diabetes Research &amp; Care, 13</w:t>
      </w:r>
      <w:r w:rsidRPr="00DE30F6">
        <w:rPr>
          <w:rFonts w:ascii="Times New Roman" w:hAnsi="Times New Roman"/>
          <w:sz w:val="24"/>
          <w:szCs w:val="24"/>
        </w:rPr>
        <w:t xml:space="preserve">(2), e004678. </w:t>
      </w:r>
      <w:hyperlink r:id="rId25" w:tgtFrame="_new" w:history="1">
        <w:r w:rsidRPr="00DE30F6">
          <w:rPr>
            <w:rFonts w:ascii="Times New Roman" w:hAnsi="Times New Roman"/>
            <w:color w:val="0000FF"/>
            <w:sz w:val="24"/>
            <w:szCs w:val="24"/>
            <w:u w:val="single"/>
          </w:rPr>
          <w:t>https://doi.org/10.1136/bmjdrc-2024-004678</w:t>
        </w:r>
      </w:hyperlink>
    </w:p>
    <w:p w14:paraId="0D8DEF91" w14:textId="77777777" w:rsidR="00DE30F6" w:rsidRPr="00DE30F6" w:rsidRDefault="00DE30F6" w:rsidP="00DE30F6">
      <w:pPr>
        <w:spacing w:before="100" w:beforeAutospacing="1" w:after="100" w:afterAutospacing="1"/>
        <w:rPr>
          <w:rFonts w:ascii="Times New Roman" w:hAnsi="Times New Roman"/>
          <w:sz w:val="24"/>
          <w:szCs w:val="24"/>
        </w:rPr>
      </w:pPr>
      <w:r w:rsidRPr="00DE30F6">
        <w:rPr>
          <w:rFonts w:ascii="Times New Roman" w:hAnsi="Times New Roman"/>
          <w:sz w:val="24"/>
          <w:szCs w:val="24"/>
        </w:rPr>
        <w:t xml:space="preserve">García de Lucas, M. D., &amp; Jiménez Millán, A. I. (2021). </w:t>
      </w:r>
      <w:proofErr w:type="spellStart"/>
      <w:r w:rsidRPr="00DE30F6">
        <w:rPr>
          <w:rFonts w:ascii="Times New Roman" w:hAnsi="Times New Roman"/>
          <w:sz w:val="24"/>
          <w:szCs w:val="24"/>
        </w:rPr>
        <w:t>Mujer</w:t>
      </w:r>
      <w:proofErr w:type="spellEnd"/>
      <w:r w:rsidRPr="00DE30F6">
        <w:rPr>
          <w:rFonts w:ascii="Times New Roman" w:hAnsi="Times New Roman"/>
          <w:sz w:val="24"/>
          <w:szCs w:val="24"/>
        </w:rPr>
        <w:t xml:space="preserve"> y diabetes mellitus [Woman and diabetes mellitus]. </w:t>
      </w:r>
      <w:r w:rsidRPr="00DE30F6">
        <w:rPr>
          <w:rFonts w:ascii="Times New Roman" w:hAnsi="Times New Roman"/>
          <w:i/>
          <w:iCs/>
          <w:sz w:val="24"/>
          <w:szCs w:val="24"/>
        </w:rPr>
        <w:t>Medicina Clínica, 156</w:t>
      </w:r>
      <w:r w:rsidRPr="00DE30F6">
        <w:rPr>
          <w:rFonts w:ascii="Times New Roman" w:hAnsi="Times New Roman"/>
          <w:sz w:val="24"/>
          <w:szCs w:val="24"/>
        </w:rPr>
        <w:t>(12), 606–608. https://www.sciencedirect.com/journal/medicina-clinica/vol/156</w:t>
      </w:r>
    </w:p>
    <w:p w14:paraId="192C38FD" w14:textId="77777777" w:rsidR="00DE30F6" w:rsidRPr="00DE30F6" w:rsidRDefault="00DE30F6" w:rsidP="00DE30F6">
      <w:pPr>
        <w:spacing w:before="100" w:beforeAutospacing="1" w:after="100" w:afterAutospacing="1"/>
        <w:rPr>
          <w:rFonts w:ascii="Times New Roman" w:hAnsi="Times New Roman"/>
          <w:sz w:val="24"/>
          <w:szCs w:val="24"/>
        </w:rPr>
      </w:pPr>
      <w:r w:rsidRPr="00DE30F6">
        <w:rPr>
          <w:rFonts w:ascii="Times New Roman" w:hAnsi="Times New Roman"/>
          <w:sz w:val="24"/>
          <w:szCs w:val="24"/>
        </w:rPr>
        <w:t xml:space="preserve">GBD 2021 Diabetes Collaborators. (2023). Global, regional, and national burden of diabetes from 1990 to 2021, with projections of prevalence to 2050: A systematic analysis for the Global Burden of Disease Study 2021. </w:t>
      </w:r>
      <w:r w:rsidRPr="00DE30F6">
        <w:rPr>
          <w:rFonts w:ascii="Times New Roman" w:hAnsi="Times New Roman"/>
          <w:i/>
          <w:iCs/>
          <w:sz w:val="24"/>
          <w:szCs w:val="24"/>
        </w:rPr>
        <w:t>The Lancet, 402</w:t>
      </w:r>
      <w:r w:rsidRPr="00DE30F6">
        <w:rPr>
          <w:rFonts w:ascii="Times New Roman" w:hAnsi="Times New Roman"/>
          <w:sz w:val="24"/>
          <w:szCs w:val="24"/>
        </w:rPr>
        <w:t xml:space="preserve">(10397), 203–234. </w:t>
      </w:r>
      <w:hyperlink r:id="rId26" w:tgtFrame="_new" w:history="1">
        <w:r w:rsidRPr="00DE30F6">
          <w:rPr>
            <w:rFonts w:ascii="Times New Roman" w:hAnsi="Times New Roman"/>
            <w:color w:val="0000FF"/>
            <w:sz w:val="24"/>
            <w:szCs w:val="24"/>
            <w:u w:val="single"/>
          </w:rPr>
          <w:t>https://doi.org/10.1016/S0140-6736(23)01301-6</w:t>
        </w:r>
      </w:hyperlink>
    </w:p>
    <w:p w14:paraId="5092F4F0" w14:textId="77777777" w:rsidR="00DE30F6" w:rsidRPr="00DE30F6" w:rsidRDefault="00DE30F6" w:rsidP="00DE30F6">
      <w:pPr>
        <w:spacing w:before="100" w:beforeAutospacing="1" w:after="100" w:afterAutospacing="1"/>
        <w:rPr>
          <w:rFonts w:ascii="Times New Roman" w:hAnsi="Times New Roman"/>
          <w:sz w:val="24"/>
          <w:szCs w:val="24"/>
        </w:rPr>
      </w:pPr>
      <w:r w:rsidRPr="00DE30F6">
        <w:rPr>
          <w:rFonts w:ascii="Times New Roman" w:hAnsi="Times New Roman"/>
          <w:sz w:val="24"/>
          <w:szCs w:val="24"/>
        </w:rPr>
        <w:t>Gholipour, K., Asghari-</w:t>
      </w:r>
      <w:proofErr w:type="spellStart"/>
      <w:r w:rsidRPr="00DE30F6">
        <w:rPr>
          <w:rFonts w:ascii="Times New Roman" w:hAnsi="Times New Roman"/>
          <w:sz w:val="24"/>
          <w:szCs w:val="24"/>
        </w:rPr>
        <w:t>Jafarabadi</w:t>
      </w:r>
      <w:proofErr w:type="spellEnd"/>
      <w:r w:rsidRPr="00DE30F6">
        <w:rPr>
          <w:rFonts w:ascii="Times New Roman" w:hAnsi="Times New Roman"/>
          <w:sz w:val="24"/>
          <w:szCs w:val="24"/>
        </w:rPr>
        <w:t xml:space="preserve">, M., </w:t>
      </w:r>
      <w:proofErr w:type="spellStart"/>
      <w:r w:rsidRPr="00DE30F6">
        <w:rPr>
          <w:rFonts w:ascii="Times New Roman" w:hAnsi="Times New Roman"/>
          <w:sz w:val="24"/>
          <w:szCs w:val="24"/>
        </w:rPr>
        <w:t>Iezadi</w:t>
      </w:r>
      <w:proofErr w:type="spellEnd"/>
      <w:r w:rsidRPr="00DE30F6">
        <w:rPr>
          <w:rFonts w:ascii="Times New Roman" w:hAnsi="Times New Roman"/>
          <w:sz w:val="24"/>
          <w:szCs w:val="24"/>
        </w:rPr>
        <w:t xml:space="preserve">, S., Jannati, A., &amp; Keshavarz, S. (2018). Modelling the prevalence of diabetes mellitus risk factors based on artificial neural network and multiple regression. </w:t>
      </w:r>
      <w:r w:rsidRPr="00DE30F6">
        <w:rPr>
          <w:rFonts w:ascii="Times New Roman" w:hAnsi="Times New Roman"/>
          <w:i/>
          <w:iCs/>
          <w:sz w:val="24"/>
          <w:szCs w:val="24"/>
        </w:rPr>
        <w:t>Eastern Mediterranean Health Journal, 24</w:t>
      </w:r>
      <w:r w:rsidRPr="00DE30F6">
        <w:rPr>
          <w:rFonts w:ascii="Times New Roman" w:hAnsi="Times New Roman"/>
          <w:sz w:val="24"/>
          <w:szCs w:val="24"/>
        </w:rPr>
        <w:t xml:space="preserve">(8), 770–777. </w:t>
      </w:r>
      <w:hyperlink r:id="rId27" w:tgtFrame="_new" w:history="1">
        <w:r w:rsidRPr="00DE30F6">
          <w:rPr>
            <w:rFonts w:ascii="Times New Roman" w:hAnsi="Times New Roman"/>
            <w:color w:val="0000FF"/>
            <w:sz w:val="24"/>
            <w:szCs w:val="24"/>
            <w:u w:val="single"/>
          </w:rPr>
          <w:t>https://doi.org/10.26719/emhj.18.012</w:t>
        </w:r>
      </w:hyperlink>
    </w:p>
    <w:p w14:paraId="30CB696A" w14:textId="77777777" w:rsidR="00DE30F6" w:rsidRPr="00DE30F6" w:rsidRDefault="00DE30F6" w:rsidP="00DE30F6">
      <w:pPr>
        <w:spacing w:before="100" w:beforeAutospacing="1" w:after="100" w:afterAutospacing="1"/>
        <w:rPr>
          <w:rFonts w:ascii="Times New Roman" w:hAnsi="Times New Roman"/>
          <w:sz w:val="24"/>
          <w:szCs w:val="24"/>
        </w:rPr>
      </w:pPr>
      <w:proofErr w:type="spellStart"/>
      <w:r w:rsidRPr="00DE30F6">
        <w:rPr>
          <w:rFonts w:ascii="Times New Roman" w:hAnsi="Times New Roman"/>
          <w:sz w:val="24"/>
          <w:szCs w:val="24"/>
        </w:rPr>
        <w:t>Glovaci</w:t>
      </w:r>
      <w:proofErr w:type="spellEnd"/>
      <w:r w:rsidRPr="00DE30F6">
        <w:rPr>
          <w:rFonts w:ascii="Times New Roman" w:hAnsi="Times New Roman"/>
          <w:sz w:val="24"/>
          <w:szCs w:val="24"/>
        </w:rPr>
        <w:t xml:space="preserve">, D., Fan, W., &amp; Wong, N. D. (2019). Epidemiology of diabetes mellitus and cardiovascular disease. </w:t>
      </w:r>
      <w:r w:rsidRPr="00DE30F6">
        <w:rPr>
          <w:rFonts w:ascii="Times New Roman" w:hAnsi="Times New Roman"/>
          <w:i/>
          <w:iCs/>
          <w:sz w:val="24"/>
          <w:szCs w:val="24"/>
        </w:rPr>
        <w:t>Current Cardiology Reports, 21</w:t>
      </w:r>
      <w:r w:rsidRPr="00DE30F6">
        <w:rPr>
          <w:rFonts w:ascii="Times New Roman" w:hAnsi="Times New Roman"/>
          <w:sz w:val="24"/>
          <w:szCs w:val="24"/>
        </w:rPr>
        <w:t xml:space="preserve">(4), Article 21. </w:t>
      </w:r>
      <w:hyperlink r:id="rId28" w:tgtFrame="_new" w:history="1">
        <w:r w:rsidRPr="00DE30F6">
          <w:rPr>
            <w:rFonts w:ascii="Times New Roman" w:hAnsi="Times New Roman"/>
            <w:color w:val="0000FF"/>
            <w:sz w:val="24"/>
            <w:szCs w:val="24"/>
            <w:u w:val="single"/>
          </w:rPr>
          <w:t>https://doi.org/10.1007/s11886-019-1107-y</w:t>
        </w:r>
      </w:hyperlink>
    </w:p>
    <w:p w14:paraId="0697D344" w14:textId="77777777" w:rsidR="00DE30F6" w:rsidRPr="00DE30F6" w:rsidRDefault="00DE30F6" w:rsidP="00DE30F6">
      <w:pPr>
        <w:spacing w:before="100" w:beforeAutospacing="1" w:after="100" w:afterAutospacing="1"/>
        <w:rPr>
          <w:rFonts w:ascii="Times New Roman" w:hAnsi="Times New Roman"/>
          <w:sz w:val="24"/>
          <w:szCs w:val="24"/>
        </w:rPr>
      </w:pPr>
      <w:proofErr w:type="spellStart"/>
      <w:r w:rsidRPr="00DE30F6">
        <w:rPr>
          <w:rFonts w:ascii="Times New Roman" w:hAnsi="Times New Roman"/>
          <w:sz w:val="24"/>
          <w:szCs w:val="24"/>
        </w:rPr>
        <w:lastRenderedPageBreak/>
        <w:t>Hilbe</w:t>
      </w:r>
      <w:proofErr w:type="spellEnd"/>
      <w:r w:rsidRPr="00DE30F6">
        <w:rPr>
          <w:rFonts w:ascii="Times New Roman" w:hAnsi="Times New Roman"/>
          <w:sz w:val="24"/>
          <w:szCs w:val="24"/>
        </w:rPr>
        <w:t xml:space="preserve">, J. M. (2011). </w:t>
      </w:r>
      <w:r w:rsidRPr="00DE30F6">
        <w:rPr>
          <w:rFonts w:ascii="Times New Roman" w:hAnsi="Times New Roman"/>
          <w:i/>
          <w:iCs/>
          <w:sz w:val="24"/>
          <w:szCs w:val="24"/>
        </w:rPr>
        <w:t>Negative binomial regression</w:t>
      </w:r>
      <w:r w:rsidRPr="00DE30F6">
        <w:rPr>
          <w:rFonts w:ascii="Times New Roman" w:hAnsi="Times New Roman"/>
          <w:sz w:val="24"/>
          <w:szCs w:val="24"/>
        </w:rPr>
        <w:t xml:space="preserve"> (2nd ed.). Cambridge University Press. </w:t>
      </w:r>
      <w:hyperlink r:id="rId29" w:tgtFrame="_new" w:history="1">
        <w:r w:rsidRPr="00DE30F6">
          <w:rPr>
            <w:rFonts w:ascii="Times New Roman" w:hAnsi="Times New Roman"/>
            <w:color w:val="0000FF"/>
            <w:sz w:val="24"/>
            <w:szCs w:val="24"/>
            <w:u w:val="single"/>
          </w:rPr>
          <w:t>https://doi.org/10.1017/CBO9780511973420</w:t>
        </w:r>
      </w:hyperlink>
    </w:p>
    <w:p w14:paraId="09907D52" w14:textId="77777777" w:rsidR="00DE30F6" w:rsidRPr="00DE30F6" w:rsidRDefault="00DE30F6" w:rsidP="00DE30F6">
      <w:pPr>
        <w:spacing w:before="100" w:beforeAutospacing="1" w:after="100" w:afterAutospacing="1"/>
        <w:rPr>
          <w:rFonts w:ascii="Times New Roman" w:hAnsi="Times New Roman"/>
          <w:sz w:val="24"/>
          <w:szCs w:val="24"/>
        </w:rPr>
      </w:pPr>
      <w:r w:rsidRPr="00DE30F6">
        <w:rPr>
          <w:rFonts w:ascii="Times New Roman" w:hAnsi="Times New Roman"/>
          <w:sz w:val="24"/>
          <w:szCs w:val="24"/>
        </w:rPr>
        <w:t xml:space="preserve">Javeed, N., &amp; Matveyenko, A. V. (2018). Circadian etiology of type 2 diabetes mellitus. </w:t>
      </w:r>
      <w:r w:rsidRPr="00DE30F6">
        <w:rPr>
          <w:rFonts w:ascii="Times New Roman" w:hAnsi="Times New Roman"/>
          <w:i/>
          <w:iCs/>
          <w:sz w:val="24"/>
          <w:szCs w:val="24"/>
        </w:rPr>
        <w:t>Physiology, 33</w:t>
      </w:r>
      <w:r w:rsidRPr="00DE30F6">
        <w:rPr>
          <w:rFonts w:ascii="Times New Roman" w:hAnsi="Times New Roman"/>
          <w:sz w:val="24"/>
          <w:szCs w:val="24"/>
        </w:rPr>
        <w:t xml:space="preserve">(2), 138–150. </w:t>
      </w:r>
      <w:hyperlink r:id="rId30" w:tgtFrame="_new" w:history="1">
        <w:r w:rsidRPr="00DE30F6">
          <w:rPr>
            <w:rFonts w:ascii="Times New Roman" w:hAnsi="Times New Roman"/>
            <w:color w:val="0000FF"/>
            <w:sz w:val="24"/>
            <w:szCs w:val="24"/>
            <w:u w:val="single"/>
          </w:rPr>
          <w:t>https://doi.org/10.1152/physiol.00003.2018</w:t>
        </w:r>
      </w:hyperlink>
    </w:p>
    <w:p w14:paraId="07246D50" w14:textId="77777777" w:rsidR="00DE30F6" w:rsidRPr="00DE30F6" w:rsidRDefault="00DE30F6" w:rsidP="00DE30F6">
      <w:pPr>
        <w:spacing w:before="100" w:beforeAutospacing="1" w:after="100" w:afterAutospacing="1"/>
        <w:rPr>
          <w:rFonts w:ascii="Times New Roman" w:hAnsi="Times New Roman"/>
          <w:sz w:val="24"/>
          <w:szCs w:val="24"/>
        </w:rPr>
      </w:pPr>
      <w:proofErr w:type="spellStart"/>
      <w:r w:rsidRPr="00DE30F6">
        <w:rPr>
          <w:rFonts w:ascii="Times New Roman" w:hAnsi="Times New Roman"/>
          <w:sz w:val="24"/>
          <w:szCs w:val="24"/>
        </w:rPr>
        <w:t>Kaombe</w:t>
      </w:r>
      <w:proofErr w:type="spellEnd"/>
      <w:r w:rsidRPr="00DE30F6">
        <w:rPr>
          <w:rFonts w:ascii="Times New Roman" w:hAnsi="Times New Roman"/>
          <w:sz w:val="24"/>
          <w:szCs w:val="24"/>
        </w:rPr>
        <w:t xml:space="preserve">, T. M., Banda, J. C., Hamuza, G. A., &amp; </w:t>
      </w:r>
      <w:proofErr w:type="spellStart"/>
      <w:r w:rsidRPr="00DE30F6">
        <w:rPr>
          <w:rFonts w:ascii="Times New Roman" w:hAnsi="Times New Roman"/>
          <w:sz w:val="24"/>
          <w:szCs w:val="24"/>
        </w:rPr>
        <w:t>Muula</w:t>
      </w:r>
      <w:proofErr w:type="spellEnd"/>
      <w:r w:rsidRPr="00DE30F6">
        <w:rPr>
          <w:rFonts w:ascii="Times New Roman" w:hAnsi="Times New Roman"/>
          <w:sz w:val="24"/>
          <w:szCs w:val="24"/>
        </w:rPr>
        <w:t xml:space="preserve">, A. S. (2023). Bivariate logistic regression model diagnostics applied to analysis of outlier cancer patients with comorbid diabetes and hypertension in Malawi. </w:t>
      </w:r>
      <w:r w:rsidRPr="00DE30F6">
        <w:rPr>
          <w:rFonts w:ascii="Times New Roman" w:hAnsi="Times New Roman"/>
          <w:i/>
          <w:iCs/>
          <w:sz w:val="24"/>
          <w:szCs w:val="24"/>
        </w:rPr>
        <w:t>Scientific Reports, 13</w:t>
      </w:r>
      <w:r w:rsidRPr="00DE30F6">
        <w:rPr>
          <w:rFonts w:ascii="Times New Roman" w:hAnsi="Times New Roman"/>
          <w:sz w:val="24"/>
          <w:szCs w:val="24"/>
        </w:rPr>
        <w:t xml:space="preserve">, Article 8340. </w:t>
      </w:r>
      <w:hyperlink r:id="rId31" w:tgtFrame="_new" w:history="1">
        <w:r w:rsidRPr="00DE30F6">
          <w:rPr>
            <w:rFonts w:ascii="Times New Roman" w:hAnsi="Times New Roman"/>
            <w:color w:val="0000FF"/>
            <w:sz w:val="24"/>
            <w:szCs w:val="24"/>
            <w:u w:val="single"/>
          </w:rPr>
          <w:t>https://doi.org/10.1038/s41598-023-35475-z</w:t>
        </w:r>
      </w:hyperlink>
    </w:p>
    <w:p w14:paraId="1B824439" w14:textId="77777777" w:rsidR="00DE30F6" w:rsidRPr="00DE30F6" w:rsidRDefault="00DE30F6" w:rsidP="00DE30F6">
      <w:pPr>
        <w:spacing w:before="100" w:beforeAutospacing="1" w:after="100" w:afterAutospacing="1"/>
        <w:rPr>
          <w:rFonts w:ascii="Times New Roman" w:hAnsi="Times New Roman"/>
          <w:sz w:val="24"/>
          <w:szCs w:val="24"/>
        </w:rPr>
      </w:pPr>
      <w:proofErr w:type="spellStart"/>
      <w:r w:rsidRPr="00DE30F6">
        <w:rPr>
          <w:rFonts w:ascii="Times New Roman" w:hAnsi="Times New Roman"/>
          <w:sz w:val="24"/>
          <w:szCs w:val="24"/>
        </w:rPr>
        <w:t>Kuhe</w:t>
      </w:r>
      <w:proofErr w:type="spellEnd"/>
      <w:r w:rsidRPr="00DE30F6">
        <w:rPr>
          <w:rFonts w:ascii="Times New Roman" w:hAnsi="Times New Roman"/>
          <w:sz w:val="24"/>
          <w:szCs w:val="24"/>
        </w:rPr>
        <w:t xml:space="preserve">, D. A., </w:t>
      </w:r>
      <w:proofErr w:type="spellStart"/>
      <w:r w:rsidRPr="00DE30F6">
        <w:rPr>
          <w:rFonts w:ascii="Times New Roman" w:hAnsi="Times New Roman"/>
          <w:sz w:val="24"/>
          <w:szCs w:val="24"/>
        </w:rPr>
        <w:t>Udoumoh</w:t>
      </w:r>
      <w:proofErr w:type="spellEnd"/>
      <w:r w:rsidRPr="00DE30F6">
        <w:rPr>
          <w:rFonts w:ascii="Times New Roman" w:hAnsi="Times New Roman"/>
          <w:sz w:val="24"/>
          <w:szCs w:val="24"/>
        </w:rPr>
        <w:t xml:space="preserve">, E. F., &amp; </w:t>
      </w:r>
      <w:proofErr w:type="spellStart"/>
      <w:r w:rsidRPr="00DE30F6">
        <w:rPr>
          <w:rFonts w:ascii="Times New Roman" w:hAnsi="Times New Roman"/>
          <w:sz w:val="24"/>
          <w:szCs w:val="24"/>
        </w:rPr>
        <w:t>Ibeajaa</w:t>
      </w:r>
      <w:proofErr w:type="spellEnd"/>
      <w:r w:rsidRPr="00DE30F6">
        <w:rPr>
          <w:rFonts w:ascii="Times New Roman" w:hAnsi="Times New Roman"/>
          <w:sz w:val="24"/>
          <w:szCs w:val="24"/>
        </w:rPr>
        <w:t xml:space="preserve">, U. L. (2024). Modeling novel COVID-19 pandemic in Nigeria using count data regression models. </w:t>
      </w:r>
      <w:r w:rsidRPr="00DE30F6">
        <w:rPr>
          <w:rFonts w:ascii="Times New Roman" w:hAnsi="Times New Roman"/>
          <w:i/>
          <w:iCs/>
          <w:sz w:val="24"/>
          <w:szCs w:val="24"/>
        </w:rPr>
        <w:t>FUDMA Journal of Sciences, 8</w:t>
      </w:r>
      <w:r w:rsidRPr="00DE30F6">
        <w:rPr>
          <w:rFonts w:ascii="Times New Roman" w:hAnsi="Times New Roman"/>
          <w:sz w:val="24"/>
          <w:szCs w:val="24"/>
        </w:rPr>
        <w:t xml:space="preserve">(1), 111–117. </w:t>
      </w:r>
      <w:hyperlink r:id="rId32" w:tgtFrame="_new" w:history="1">
        <w:r w:rsidRPr="00DE30F6">
          <w:rPr>
            <w:rFonts w:ascii="Times New Roman" w:hAnsi="Times New Roman"/>
            <w:color w:val="0000FF"/>
            <w:sz w:val="24"/>
            <w:szCs w:val="24"/>
            <w:u w:val="single"/>
          </w:rPr>
          <w:t>https://doi.org/10.33003/fjs-2024-0801-2211</w:t>
        </w:r>
      </w:hyperlink>
    </w:p>
    <w:p w14:paraId="6F7FEDFC" w14:textId="77777777" w:rsidR="00DE30F6" w:rsidRPr="00DE30F6" w:rsidRDefault="00DE30F6" w:rsidP="00DE30F6">
      <w:pPr>
        <w:spacing w:before="100" w:beforeAutospacing="1" w:after="100" w:afterAutospacing="1"/>
        <w:rPr>
          <w:rFonts w:ascii="Times New Roman" w:hAnsi="Times New Roman"/>
          <w:sz w:val="24"/>
          <w:szCs w:val="24"/>
        </w:rPr>
      </w:pPr>
      <w:r w:rsidRPr="00DE30F6">
        <w:rPr>
          <w:rFonts w:ascii="Times New Roman" w:hAnsi="Times New Roman"/>
          <w:sz w:val="24"/>
          <w:szCs w:val="24"/>
        </w:rPr>
        <w:t xml:space="preserve">Lee, S., Zhou, J., Leung, K. S. K., Wu, W. K. K., Wong, W. T., Liu, T., Wong, I. C. K., Jeevaratnam, K., Zhang, Q., &amp; Tse, G. (2021). Development of a predictive risk model for all-cause mortality in patients with diabetes in Hong Kong. </w:t>
      </w:r>
      <w:r w:rsidRPr="00DE30F6">
        <w:rPr>
          <w:rFonts w:ascii="Times New Roman" w:hAnsi="Times New Roman"/>
          <w:i/>
          <w:iCs/>
          <w:sz w:val="24"/>
          <w:szCs w:val="24"/>
        </w:rPr>
        <w:t>BMJ Open Diabetes Research &amp; Care, 9</w:t>
      </w:r>
      <w:r w:rsidRPr="00DE30F6">
        <w:rPr>
          <w:rFonts w:ascii="Times New Roman" w:hAnsi="Times New Roman"/>
          <w:sz w:val="24"/>
          <w:szCs w:val="24"/>
        </w:rPr>
        <w:t xml:space="preserve">(1), e001950. </w:t>
      </w:r>
      <w:hyperlink r:id="rId33" w:tgtFrame="_new" w:history="1">
        <w:r w:rsidRPr="00DE30F6">
          <w:rPr>
            <w:rFonts w:ascii="Times New Roman" w:hAnsi="Times New Roman"/>
            <w:color w:val="0000FF"/>
            <w:sz w:val="24"/>
            <w:szCs w:val="24"/>
            <w:u w:val="single"/>
          </w:rPr>
          <w:t>https://doi.org/10.1136/bmjdrc-2020-001950</w:t>
        </w:r>
      </w:hyperlink>
    </w:p>
    <w:p w14:paraId="19D9CDFE" w14:textId="77777777" w:rsidR="00DE30F6" w:rsidRPr="00DE30F6" w:rsidRDefault="00DE30F6" w:rsidP="00DE30F6">
      <w:pPr>
        <w:spacing w:before="100" w:beforeAutospacing="1" w:after="100" w:afterAutospacing="1"/>
        <w:rPr>
          <w:rFonts w:ascii="Times New Roman" w:hAnsi="Times New Roman"/>
          <w:sz w:val="24"/>
          <w:szCs w:val="24"/>
        </w:rPr>
      </w:pPr>
      <w:r w:rsidRPr="00DE30F6">
        <w:rPr>
          <w:rFonts w:ascii="Times New Roman" w:hAnsi="Times New Roman"/>
          <w:sz w:val="24"/>
          <w:szCs w:val="24"/>
        </w:rPr>
        <w:t xml:space="preserve">Li, W., Huang, E., &amp; Gao, S. (2017). Type 1 diabetes mellitus and cognitive impairments: A systematic review. </w:t>
      </w:r>
      <w:r w:rsidRPr="00DE30F6">
        <w:rPr>
          <w:rFonts w:ascii="Times New Roman" w:hAnsi="Times New Roman"/>
          <w:i/>
          <w:iCs/>
          <w:sz w:val="24"/>
          <w:szCs w:val="24"/>
        </w:rPr>
        <w:t>Journal of Alzheimer’s Disease, 57</w:t>
      </w:r>
      <w:r w:rsidRPr="00DE30F6">
        <w:rPr>
          <w:rFonts w:ascii="Times New Roman" w:hAnsi="Times New Roman"/>
          <w:sz w:val="24"/>
          <w:szCs w:val="24"/>
        </w:rPr>
        <w:t xml:space="preserve">(1), 29–36. </w:t>
      </w:r>
      <w:hyperlink r:id="rId34" w:tgtFrame="_new" w:history="1">
        <w:r w:rsidRPr="00DE30F6">
          <w:rPr>
            <w:rFonts w:ascii="Times New Roman" w:hAnsi="Times New Roman"/>
            <w:color w:val="0000FF"/>
            <w:sz w:val="24"/>
            <w:szCs w:val="24"/>
            <w:u w:val="single"/>
          </w:rPr>
          <w:t>https://doi.org/10.3233/JAD-161250</w:t>
        </w:r>
      </w:hyperlink>
    </w:p>
    <w:p w14:paraId="53C03D0C" w14:textId="77777777" w:rsidR="00DE30F6" w:rsidRPr="00DE30F6" w:rsidRDefault="00DE30F6" w:rsidP="00DE30F6">
      <w:pPr>
        <w:spacing w:before="100" w:beforeAutospacing="1" w:after="100" w:afterAutospacing="1"/>
        <w:rPr>
          <w:rFonts w:ascii="Times New Roman" w:hAnsi="Times New Roman"/>
          <w:sz w:val="24"/>
          <w:szCs w:val="24"/>
        </w:rPr>
      </w:pPr>
      <w:r w:rsidRPr="00DE30F6">
        <w:rPr>
          <w:rFonts w:ascii="Times New Roman" w:hAnsi="Times New Roman"/>
          <w:sz w:val="24"/>
          <w:szCs w:val="24"/>
        </w:rPr>
        <w:t xml:space="preserve">Li, Y., Guan, L., Ning, C., Zhang, P., Zhao, Y., Liu, Q., Ping, P., &amp; Fu, S. (2023). Machine learning-based models to predict one-year mortality among Chinese older patients with coronary artery disease combined with impaired glucose tolerance or diabetes mellitus. </w:t>
      </w:r>
      <w:r w:rsidRPr="00DE30F6">
        <w:rPr>
          <w:rFonts w:ascii="Times New Roman" w:hAnsi="Times New Roman"/>
          <w:i/>
          <w:iCs/>
          <w:sz w:val="24"/>
          <w:szCs w:val="24"/>
        </w:rPr>
        <w:t>Cardiovascular Diabetology, 22</w:t>
      </w:r>
      <w:r w:rsidRPr="00DE30F6">
        <w:rPr>
          <w:rFonts w:ascii="Times New Roman" w:hAnsi="Times New Roman"/>
          <w:sz w:val="24"/>
          <w:szCs w:val="24"/>
        </w:rPr>
        <w:t xml:space="preserve">, Article 139. </w:t>
      </w:r>
      <w:hyperlink r:id="rId35" w:tgtFrame="_new" w:history="1">
        <w:r w:rsidRPr="00DE30F6">
          <w:rPr>
            <w:rFonts w:ascii="Times New Roman" w:hAnsi="Times New Roman"/>
            <w:color w:val="0000FF"/>
            <w:sz w:val="24"/>
            <w:szCs w:val="24"/>
            <w:u w:val="single"/>
          </w:rPr>
          <w:t>https://doi.org/10.1186/s12933-023-01854-z</w:t>
        </w:r>
      </w:hyperlink>
    </w:p>
    <w:p w14:paraId="10F2E2E8" w14:textId="77777777" w:rsidR="00DE30F6" w:rsidRPr="00DE30F6" w:rsidRDefault="00DE30F6" w:rsidP="00DE30F6">
      <w:pPr>
        <w:spacing w:before="100" w:beforeAutospacing="1" w:after="100" w:afterAutospacing="1"/>
        <w:rPr>
          <w:rFonts w:ascii="Times New Roman" w:hAnsi="Times New Roman"/>
          <w:sz w:val="24"/>
          <w:szCs w:val="24"/>
        </w:rPr>
      </w:pPr>
      <w:r w:rsidRPr="00DE30F6">
        <w:rPr>
          <w:rFonts w:ascii="Times New Roman" w:hAnsi="Times New Roman"/>
          <w:sz w:val="24"/>
          <w:szCs w:val="24"/>
        </w:rPr>
        <w:t xml:space="preserve">Lin, M.-Y., Liu, J.-S., Huang, T.-Y., Wu, P.-H., Chiu, Y.-W., Kang, Y., Hsu, C.-C., Hwang, S.-J., &amp; Luh, H. (2021). Data analysis of the risks of type 2 diabetes mellitus complications before death using a data-driven modelling approach: Methodologies and challenges in prolonged diseases. </w:t>
      </w:r>
      <w:r w:rsidRPr="00DE30F6">
        <w:rPr>
          <w:rFonts w:ascii="Times New Roman" w:hAnsi="Times New Roman"/>
          <w:i/>
          <w:iCs/>
          <w:sz w:val="24"/>
          <w:szCs w:val="24"/>
        </w:rPr>
        <w:t>Information, 12</w:t>
      </w:r>
      <w:r w:rsidRPr="00DE30F6">
        <w:rPr>
          <w:rFonts w:ascii="Times New Roman" w:hAnsi="Times New Roman"/>
          <w:sz w:val="24"/>
          <w:szCs w:val="24"/>
        </w:rPr>
        <w:t xml:space="preserve">(8), 326. </w:t>
      </w:r>
      <w:hyperlink r:id="rId36" w:tgtFrame="_new" w:history="1">
        <w:r w:rsidRPr="00DE30F6">
          <w:rPr>
            <w:rFonts w:ascii="Times New Roman" w:hAnsi="Times New Roman"/>
            <w:color w:val="0000FF"/>
            <w:sz w:val="24"/>
            <w:szCs w:val="24"/>
            <w:u w:val="single"/>
          </w:rPr>
          <w:t>https://doi.org/10.3390/info12080326</w:t>
        </w:r>
      </w:hyperlink>
    </w:p>
    <w:p w14:paraId="50F7A730" w14:textId="77777777" w:rsidR="00DE30F6" w:rsidRPr="00DE30F6" w:rsidRDefault="00DE30F6" w:rsidP="00DE30F6">
      <w:pPr>
        <w:spacing w:before="100" w:beforeAutospacing="1" w:after="100" w:afterAutospacing="1"/>
        <w:rPr>
          <w:rFonts w:ascii="Times New Roman" w:hAnsi="Times New Roman"/>
          <w:sz w:val="24"/>
          <w:szCs w:val="24"/>
        </w:rPr>
      </w:pPr>
      <w:proofErr w:type="spellStart"/>
      <w:r w:rsidRPr="00DE30F6">
        <w:rPr>
          <w:rFonts w:ascii="Times New Roman" w:hAnsi="Times New Roman"/>
          <w:sz w:val="24"/>
          <w:szCs w:val="24"/>
        </w:rPr>
        <w:t>Lv</w:t>
      </w:r>
      <w:proofErr w:type="spellEnd"/>
      <w:r w:rsidRPr="00DE30F6">
        <w:rPr>
          <w:rFonts w:ascii="Times New Roman" w:hAnsi="Times New Roman"/>
          <w:sz w:val="24"/>
          <w:szCs w:val="24"/>
        </w:rPr>
        <w:t xml:space="preserve">, F., Gao, X., Huang, A. H., Zu, J., He, X., Sun, X., Liu, J., Gao, N., Jiao, Y., Keane, M. G., Zhang, L., Yeo, Y. H., Wang, Y., &amp; Ji, F. (2022). Excess diabetes mellitus-related deaths during the COVID-19 pandemic in the United States. </w:t>
      </w:r>
      <w:proofErr w:type="spellStart"/>
      <w:r w:rsidRPr="00DE30F6">
        <w:rPr>
          <w:rFonts w:ascii="Times New Roman" w:hAnsi="Times New Roman"/>
          <w:i/>
          <w:iCs/>
          <w:sz w:val="24"/>
          <w:szCs w:val="24"/>
        </w:rPr>
        <w:t>eClinicalMedicine</w:t>
      </w:r>
      <w:proofErr w:type="spellEnd"/>
      <w:r w:rsidRPr="00DE30F6">
        <w:rPr>
          <w:rFonts w:ascii="Times New Roman" w:hAnsi="Times New Roman"/>
          <w:i/>
          <w:iCs/>
          <w:sz w:val="24"/>
          <w:szCs w:val="24"/>
        </w:rPr>
        <w:t>, 54</w:t>
      </w:r>
      <w:r w:rsidRPr="00DE30F6">
        <w:rPr>
          <w:rFonts w:ascii="Times New Roman" w:hAnsi="Times New Roman"/>
          <w:sz w:val="24"/>
          <w:szCs w:val="24"/>
        </w:rPr>
        <w:t xml:space="preserve">, 101671. </w:t>
      </w:r>
      <w:hyperlink r:id="rId37" w:tgtFrame="_new" w:history="1">
        <w:r w:rsidRPr="00DE30F6">
          <w:rPr>
            <w:rFonts w:ascii="Times New Roman" w:hAnsi="Times New Roman"/>
            <w:color w:val="0000FF"/>
            <w:sz w:val="24"/>
            <w:szCs w:val="24"/>
            <w:u w:val="single"/>
          </w:rPr>
          <w:t>https://doi.org/10.1016/j.eclinm.2022.101671</w:t>
        </w:r>
      </w:hyperlink>
    </w:p>
    <w:p w14:paraId="47D5AC29" w14:textId="77777777" w:rsidR="00DE30F6" w:rsidRPr="00DE30F6" w:rsidRDefault="00DE30F6" w:rsidP="00DE30F6">
      <w:pPr>
        <w:spacing w:before="100" w:beforeAutospacing="1" w:after="100" w:afterAutospacing="1"/>
        <w:rPr>
          <w:rFonts w:ascii="Times New Roman" w:hAnsi="Times New Roman"/>
          <w:sz w:val="24"/>
          <w:szCs w:val="24"/>
        </w:rPr>
      </w:pPr>
      <w:r w:rsidRPr="00DE30F6">
        <w:rPr>
          <w:rFonts w:ascii="Times New Roman" w:hAnsi="Times New Roman"/>
          <w:sz w:val="24"/>
          <w:szCs w:val="24"/>
        </w:rPr>
        <w:lastRenderedPageBreak/>
        <w:t xml:space="preserve">Meigs, J. B. (2019). The genetic epidemiology of type 2 diabetes: Opportunities for health translation. </w:t>
      </w:r>
      <w:r w:rsidRPr="00DE30F6">
        <w:rPr>
          <w:rFonts w:ascii="Times New Roman" w:hAnsi="Times New Roman"/>
          <w:i/>
          <w:iCs/>
          <w:sz w:val="24"/>
          <w:szCs w:val="24"/>
        </w:rPr>
        <w:t>Current Diabetes Reports, 19</w:t>
      </w:r>
      <w:r w:rsidRPr="00DE30F6">
        <w:rPr>
          <w:rFonts w:ascii="Times New Roman" w:hAnsi="Times New Roman"/>
          <w:sz w:val="24"/>
          <w:szCs w:val="24"/>
        </w:rPr>
        <w:t xml:space="preserve">(8), Article 62. </w:t>
      </w:r>
      <w:hyperlink r:id="rId38" w:tgtFrame="_new" w:history="1">
        <w:r w:rsidRPr="00DE30F6">
          <w:rPr>
            <w:rFonts w:ascii="Times New Roman" w:hAnsi="Times New Roman"/>
            <w:color w:val="0000FF"/>
            <w:sz w:val="24"/>
            <w:szCs w:val="24"/>
            <w:u w:val="single"/>
          </w:rPr>
          <w:t>https://doi.org/10.1007/s11892-019-1173-y</w:t>
        </w:r>
      </w:hyperlink>
    </w:p>
    <w:p w14:paraId="6B3A84EC" w14:textId="77777777" w:rsidR="00DE30F6" w:rsidRPr="00DE30F6" w:rsidRDefault="00DE30F6" w:rsidP="00DE30F6">
      <w:pPr>
        <w:spacing w:before="100" w:beforeAutospacing="1" w:after="100" w:afterAutospacing="1"/>
        <w:rPr>
          <w:rFonts w:ascii="Times New Roman" w:hAnsi="Times New Roman"/>
          <w:sz w:val="24"/>
          <w:szCs w:val="24"/>
        </w:rPr>
      </w:pPr>
      <w:r w:rsidRPr="00DE30F6">
        <w:rPr>
          <w:rFonts w:ascii="Times New Roman" w:hAnsi="Times New Roman"/>
          <w:sz w:val="24"/>
          <w:szCs w:val="24"/>
        </w:rPr>
        <w:t>NCD Risk Factor Collaboration (NCD-</w:t>
      </w:r>
      <w:proofErr w:type="spellStart"/>
      <w:r w:rsidRPr="00DE30F6">
        <w:rPr>
          <w:rFonts w:ascii="Times New Roman" w:hAnsi="Times New Roman"/>
          <w:sz w:val="24"/>
          <w:szCs w:val="24"/>
        </w:rPr>
        <w:t>RisC</w:t>
      </w:r>
      <w:proofErr w:type="spellEnd"/>
      <w:r w:rsidRPr="00DE30F6">
        <w:rPr>
          <w:rFonts w:ascii="Times New Roman" w:hAnsi="Times New Roman"/>
          <w:sz w:val="24"/>
          <w:szCs w:val="24"/>
        </w:rPr>
        <w:t xml:space="preserve">). (2024). Worldwide trends in diabetes prevalence and treatment from 1990 to 2022: A pooled analysis of 1108 population-representative studies with 141 million participants. </w:t>
      </w:r>
      <w:r w:rsidRPr="00DE30F6">
        <w:rPr>
          <w:rFonts w:ascii="Times New Roman" w:hAnsi="Times New Roman"/>
          <w:i/>
          <w:iCs/>
          <w:sz w:val="24"/>
          <w:szCs w:val="24"/>
        </w:rPr>
        <w:t>The Lancet, 404</w:t>
      </w:r>
      <w:r w:rsidRPr="00DE30F6">
        <w:rPr>
          <w:rFonts w:ascii="Times New Roman" w:hAnsi="Times New Roman"/>
          <w:sz w:val="24"/>
          <w:szCs w:val="24"/>
        </w:rPr>
        <w:t xml:space="preserve">(10467), 2077–2093. </w:t>
      </w:r>
      <w:hyperlink r:id="rId39" w:tgtFrame="_new" w:history="1">
        <w:r w:rsidRPr="00DE30F6">
          <w:rPr>
            <w:rFonts w:ascii="Times New Roman" w:hAnsi="Times New Roman"/>
            <w:color w:val="0000FF"/>
            <w:sz w:val="24"/>
            <w:szCs w:val="24"/>
            <w:u w:val="single"/>
          </w:rPr>
          <w:t>https://doi.org/10.1016/S0140-6736(24)02317-1</w:t>
        </w:r>
      </w:hyperlink>
    </w:p>
    <w:p w14:paraId="3F0A3E61" w14:textId="77777777" w:rsidR="00DE30F6" w:rsidRPr="00DE30F6" w:rsidRDefault="00DE30F6" w:rsidP="00DE30F6">
      <w:pPr>
        <w:spacing w:before="100" w:beforeAutospacing="1" w:after="100" w:afterAutospacing="1"/>
        <w:rPr>
          <w:rFonts w:ascii="Times New Roman" w:hAnsi="Times New Roman"/>
          <w:sz w:val="24"/>
          <w:szCs w:val="24"/>
        </w:rPr>
      </w:pPr>
      <w:r w:rsidRPr="00DE30F6">
        <w:rPr>
          <w:rFonts w:ascii="Times New Roman" w:hAnsi="Times New Roman"/>
          <w:sz w:val="24"/>
          <w:szCs w:val="24"/>
        </w:rPr>
        <w:t xml:space="preserve">Nwankwo, C. H., &amp; </w:t>
      </w:r>
      <w:proofErr w:type="spellStart"/>
      <w:r w:rsidRPr="00DE30F6">
        <w:rPr>
          <w:rFonts w:ascii="Times New Roman" w:hAnsi="Times New Roman"/>
          <w:sz w:val="24"/>
          <w:szCs w:val="24"/>
        </w:rPr>
        <w:t>Nwaigwe</w:t>
      </w:r>
      <w:proofErr w:type="spellEnd"/>
      <w:r w:rsidRPr="00DE30F6">
        <w:rPr>
          <w:rFonts w:ascii="Times New Roman" w:hAnsi="Times New Roman"/>
          <w:sz w:val="24"/>
          <w:szCs w:val="24"/>
        </w:rPr>
        <w:t xml:space="preserve">, G. I. (2016). Statistical model of road traffic crashes data in Anambra State, Nigeria: A Poisson regression approach. </w:t>
      </w:r>
      <w:r w:rsidRPr="00DE30F6">
        <w:rPr>
          <w:rFonts w:ascii="Times New Roman" w:hAnsi="Times New Roman"/>
          <w:i/>
          <w:iCs/>
          <w:sz w:val="24"/>
          <w:szCs w:val="24"/>
        </w:rPr>
        <w:t>European Journal of Statistics and Probability, 4</w:t>
      </w:r>
      <w:r w:rsidRPr="00DE30F6">
        <w:rPr>
          <w:rFonts w:ascii="Times New Roman" w:hAnsi="Times New Roman"/>
          <w:sz w:val="24"/>
          <w:szCs w:val="24"/>
        </w:rPr>
        <w:t xml:space="preserve">(1), 41–60. </w:t>
      </w:r>
      <w:hyperlink r:id="rId40" w:tgtFrame="_new" w:history="1">
        <w:r w:rsidRPr="00DE30F6">
          <w:rPr>
            <w:rFonts w:ascii="Times New Roman" w:hAnsi="Times New Roman"/>
            <w:color w:val="0000FF"/>
            <w:sz w:val="24"/>
            <w:szCs w:val="24"/>
            <w:u w:val="single"/>
          </w:rPr>
          <w:t>https://eajournals.org/ejsp/vol-4-issue-1-march-2016/statistical-model-of-road-traffic-crashes-data-in-anambra-state-nigeria-a-poisson-regression-approach/</w:t>
        </w:r>
      </w:hyperlink>
    </w:p>
    <w:p w14:paraId="0707F7C4" w14:textId="77777777" w:rsidR="00DE30F6" w:rsidRPr="00DE30F6" w:rsidRDefault="00DE30F6" w:rsidP="00DE30F6">
      <w:pPr>
        <w:spacing w:before="100" w:beforeAutospacing="1" w:after="100" w:afterAutospacing="1"/>
        <w:rPr>
          <w:rFonts w:ascii="Times New Roman" w:hAnsi="Times New Roman"/>
          <w:sz w:val="24"/>
          <w:szCs w:val="24"/>
        </w:rPr>
      </w:pPr>
      <w:r w:rsidRPr="00DE30F6">
        <w:rPr>
          <w:rFonts w:ascii="Times New Roman" w:hAnsi="Times New Roman"/>
          <w:sz w:val="24"/>
          <w:szCs w:val="24"/>
        </w:rPr>
        <w:t xml:space="preserve">Onu, O. H., </w:t>
      </w:r>
      <w:proofErr w:type="spellStart"/>
      <w:r w:rsidRPr="00DE30F6">
        <w:rPr>
          <w:rFonts w:ascii="Times New Roman" w:hAnsi="Times New Roman"/>
          <w:sz w:val="24"/>
          <w:szCs w:val="24"/>
        </w:rPr>
        <w:t>Amakuro</w:t>
      </w:r>
      <w:proofErr w:type="spellEnd"/>
      <w:r w:rsidRPr="00DE30F6">
        <w:rPr>
          <w:rFonts w:ascii="Times New Roman" w:hAnsi="Times New Roman"/>
          <w:sz w:val="24"/>
          <w:szCs w:val="24"/>
        </w:rPr>
        <w:t xml:space="preserve">, O. A., &amp; </w:t>
      </w:r>
      <w:proofErr w:type="spellStart"/>
      <w:r w:rsidRPr="00DE30F6">
        <w:rPr>
          <w:rFonts w:ascii="Times New Roman" w:hAnsi="Times New Roman"/>
          <w:sz w:val="24"/>
          <w:szCs w:val="24"/>
        </w:rPr>
        <w:t>Alabge</w:t>
      </w:r>
      <w:proofErr w:type="spellEnd"/>
      <w:r w:rsidRPr="00DE30F6">
        <w:rPr>
          <w:rFonts w:ascii="Times New Roman" w:hAnsi="Times New Roman"/>
          <w:sz w:val="24"/>
          <w:szCs w:val="24"/>
        </w:rPr>
        <w:t xml:space="preserve">, S. A. (2022). Study of binary logistic and Poisson regression models of diabetic patients in Nigeria using dichotomous and non-dichotomous predictors. </w:t>
      </w:r>
      <w:r w:rsidRPr="00DE30F6">
        <w:rPr>
          <w:rFonts w:ascii="Times New Roman" w:hAnsi="Times New Roman"/>
          <w:i/>
          <w:iCs/>
          <w:sz w:val="24"/>
          <w:szCs w:val="24"/>
        </w:rPr>
        <w:t>Asian Journal of Probability and Statistics, 17</w:t>
      </w:r>
      <w:r w:rsidRPr="00DE30F6">
        <w:rPr>
          <w:rFonts w:ascii="Times New Roman" w:hAnsi="Times New Roman"/>
          <w:sz w:val="24"/>
          <w:szCs w:val="24"/>
        </w:rPr>
        <w:t>(3), 37–48. https://doi.org/10.9734/ajpas/2022/v17i330425</w:t>
      </w:r>
    </w:p>
    <w:p w14:paraId="69F36425" w14:textId="77777777" w:rsidR="00DE30F6" w:rsidRPr="00DE30F6" w:rsidRDefault="00DE30F6" w:rsidP="00DE30F6">
      <w:pPr>
        <w:spacing w:before="100" w:beforeAutospacing="1" w:after="100" w:afterAutospacing="1"/>
        <w:rPr>
          <w:rFonts w:ascii="Times New Roman" w:hAnsi="Times New Roman"/>
          <w:sz w:val="24"/>
          <w:szCs w:val="24"/>
        </w:rPr>
      </w:pPr>
      <w:r w:rsidRPr="00DE30F6">
        <w:rPr>
          <w:rFonts w:ascii="Times New Roman" w:hAnsi="Times New Roman"/>
          <w:sz w:val="24"/>
          <w:szCs w:val="24"/>
        </w:rPr>
        <w:t xml:space="preserve">Orozco-Beltrán, D., Sánchez, E., Garrido, A., Quesada, J. A., </w:t>
      </w:r>
      <w:proofErr w:type="spellStart"/>
      <w:r w:rsidRPr="00DE30F6">
        <w:rPr>
          <w:rFonts w:ascii="Times New Roman" w:hAnsi="Times New Roman"/>
          <w:sz w:val="24"/>
          <w:szCs w:val="24"/>
        </w:rPr>
        <w:t>Carratalá-Munuera</w:t>
      </w:r>
      <w:proofErr w:type="spellEnd"/>
      <w:r w:rsidRPr="00DE30F6">
        <w:rPr>
          <w:rFonts w:ascii="Times New Roman" w:hAnsi="Times New Roman"/>
          <w:sz w:val="24"/>
          <w:szCs w:val="24"/>
        </w:rPr>
        <w:t xml:space="preserve">, M. C., &amp; Gil-Guillén, V. F. (2017). Trends in mortality from diabetes mellitus in Spain: 1998–2013. </w:t>
      </w:r>
      <w:r w:rsidRPr="00DE30F6">
        <w:rPr>
          <w:rFonts w:ascii="Times New Roman" w:hAnsi="Times New Roman"/>
          <w:i/>
          <w:iCs/>
          <w:sz w:val="24"/>
          <w:szCs w:val="24"/>
        </w:rPr>
        <w:t xml:space="preserve">Revista Española de </w:t>
      </w:r>
      <w:proofErr w:type="spellStart"/>
      <w:r w:rsidRPr="00DE30F6">
        <w:rPr>
          <w:rFonts w:ascii="Times New Roman" w:hAnsi="Times New Roman"/>
          <w:i/>
          <w:iCs/>
          <w:sz w:val="24"/>
          <w:szCs w:val="24"/>
        </w:rPr>
        <w:t>Cardiología</w:t>
      </w:r>
      <w:proofErr w:type="spellEnd"/>
      <w:r w:rsidRPr="00DE30F6">
        <w:rPr>
          <w:rFonts w:ascii="Times New Roman" w:hAnsi="Times New Roman"/>
          <w:i/>
          <w:iCs/>
          <w:sz w:val="24"/>
          <w:szCs w:val="24"/>
        </w:rPr>
        <w:t xml:space="preserve"> (English Edition), 70</w:t>
      </w:r>
      <w:r w:rsidRPr="00DE30F6">
        <w:rPr>
          <w:rFonts w:ascii="Times New Roman" w:hAnsi="Times New Roman"/>
          <w:sz w:val="24"/>
          <w:szCs w:val="24"/>
        </w:rPr>
        <w:t>(6), 433–443. https://doi.org/10.1016/j.rec.2016.09.022</w:t>
      </w:r>
    </w:p>
    <w:p w14:paraId="3955D0BC" w14:textId="77777777" w:rsidR="00DE30F6" w:rsidRPr="00DE30F6" w:rsidRDefault="00DE30F6" w:rsidP="00DE30F6">
      <w:pPr>
        <w:spacing w:before="100" w:beforeAutospacing="1" w:after="100" w:afterAutospacing="1"/>
        <w:rPr>
          <w:rFonts w:ascii="Times New Roman" w:hAnsi="Times New Roman"/>
          <w:sz w:val="24"/>
          <w:szCs w:val="24"/>
        </w:rPr>
      </w:pPr>
      <w:r w:rsidRPr="00DE30F6">
        <w:rPr>
          <w:rFonts w:ascii="Times New Roman" w:hAnsi="Times New Roman"/>
          <w:sz w:val="24"/>
          <w:szCs w:val="24"/>
        </w:rPr>
        <w:t xml:space="preserve">Pan, D., Wang, H., Wu, S., Wang, J., Ning, Y., Gao, J., Wang, C., &amp; Gu, Y. (2024). Unveiling the hidden burden: Estimating all-cause mortality risk in older individuals with type 2 diabetes. </w:t>
      </w:r>
      <w:r w:rsidRPr="00DE30F6">
        <w:rPr>
          <w:rFonts w:ascii="Times New Roman" w:hAnsi="Times New Roman"/>
          <w:i/>
          <w:iCs/>
          <w:sz w:val="24"/>
          <w:szCs w:val="24"/>
        </w:rPr>
        <w:t>Journal of Diabetes Research, 2024</w:t>
      </w:r>
      <w:r w:rsidRPr="00DE30F6">
        <w:rPr>
          <w:rFonts w:ascii="Times New Roman" w:hAnsi="Times New Roman"/>
          <w:sz w:val="24"/>
          <w:szCs w:val="24"/>
        </w:rPr>
        <w:t xml:space="preserve">, Article 1741878. </w:t>
      </w:r>
      <w:hyperlink r:id="rId41" w:tgtFrame="_new" w:history="1">
        <w:r w:rsidRPr="00DE30F6">
          <w:rPr>
            <w:rFonts w:ascii="Times New Roman" w:hAnsi="Times New Roman"/>
            <w:color w:val="0000FF"/>
            <w:sz w:val="24"/>
            <w:szCs w:val="24"/>
            <w:u w:val="single"/>
          </w:rPr>
          <w:t>https://doi.org/10.1155/2024/1741878</w:t>
        </w:r>
      </w:hyperlink>
    </w:p>
    <w:p w14:paraId="2C35885A" w14:textId="77777777" w:rsidR="00DE30F6" w:rsidRPr="00DE30F6" w:rsidRDefault="00DE30F6" w:rsidP="00DE30F6">
      <w:pPr>
        <w:spacing w:before="100" w:beforeAutospacing="1" w:after="100" w:afterAutospacing="1"/>
        <w:rPr>
          <w:rFonts w:ascii="Times New Roman" w:hAnsi="Times New Roman"/>
          <w:sz w:val="24"/>
          <w:szCs w:val="24"/>
        </w:rPr>
      </w:pPr>
      <w:r w:rsidRPr="00DE30F6">
        <w:rPr>
          <w:rFonts w:ascii="Times New Roman" w:hAnsi="Times New Roman"/>
          <w:sz w:val="24"/>
          <w:szCs w:val="24"/>
        </w:rPr>
        <w:t xml:space="preserve">Soh, J. G. S., Mukhopadhyay, A., Mohankumar, B., Quek, S. C., &amp; Tai, B. C. (2023). Predictors of frequency of 1-year readmission in adult patients with diabetes. </w:t>
      </w:r>
      <w:r w:rsidRPr="00DE30F6">
        <w:rPr>
          <w:rFonts w:ascii="Times New Roman" w:hAnsi="Times New Roman"/>
          <w:i/>
          <w:iCs/>
          <w:sz w:val="24"/>
          <w:szCs w:val="24"/>
        </w:rPr>
        <w:t>Scientific Reports, 13</w:t>
      </w:r>
      <w:r w:rsidRPr="00DE30F6">
        <w:rPr>
          <w:rFonts w:ascii="Times New Roman" w:hAnsi="Times New Roman"/>
          <w:sz w:val="24"/>
          <w:szCs w:val="24"/>
        </w:rPr>
        <w:t xml:space="preserve">, Article 20656. </w:t>
      </w:r>
      <w:hyperlink r:id="rId42" w:tgtFrame="_new" w:history="1">
        <w:r w:rsidRPr="00DE30F6">
          <w:rPr>
            <w:rFonts w:ascii="Times New Roman" w:hAnsi="Times New Roman"/>
            <w:color w:val="0000FF"/>
            <w:sz w:val="24"/>
            <w:szCs w:val="24"/>
            <w:u w:val="single"/>
          </w:rPr>
          <w:t>https://doi.org/10.1038/s41598-023-47339-7</w:t>
        </w:r>
      </w:hyperlink>
    </w:p>
    <w:p w14:paraId="1CBCA62F" w14:textId="77777777" w:rsidR="00DE30F6" w:rsidRPr="00DE30F6" w:rsidRDefault="00DE30F6" w:rsidP="00DE30F6">
      <w:pPr>
        <w:spacing w:before="100" w:beforeAutospacing="1" w:after="100" w:afterAutospacing="1"/>
        <w:rPr>
          <w:rFonts w:ascii="Times New Roman" w:hAnsi="Times New Roman"/>
          <w:sz w:val="24"/>
          <w:szCs w:val="24"/>
        </w:rPr>
      </w:pPr>
      <w:r w:rsidRPr="00DE30F6">
        <w:rPr>
          <w:rFonts w:ascii="Times New Roman" w:hAnsi="Times New Roman"/>
          <w:sz w:val="24"/>
          <w:szCs w:val="24"/>
        </w:rPr>
        <w:t xml:space="preserve">Song, H. R., Lawson, A., D’Agostino, R. B., &amp; Liese, A. D. (2011). Modeling type 1 and type 2 diabetes mellitus incidence in youth: An application of Bayesian hierarchical regression for sparse small-area data. </w:t>
      </w:r>
      <w:r w:rsidRPr="00DE30F6">
        <w:rPr>
          <w:rFonts w:ascii="Times New Roman" w:hAnsi="Times New Roman"/>
          <w:i/>
          <w:iCs/>
          <w:sz w:val="24"/>
          <w:szCs w:val="24"/>
        </w:rPr>
        <w:t xml:space="preserve">Spatial and </w:t>
      </w:r>
      <w:proofErr w:type="spellStart"/>
      <w:r w:rsidRPr="00DE30F6">
        <w:rPr>
          <w:rFonts w:ascii="Times New Roman" w:hAnsi="Times New Roman"/>
          <w:i/>
          <w:iCs/>
          <w:sz w:val="24"/>
          <w:szCs w:val="24"/>
        </w:rPr>
        <w:t>Spatio</w:t>
      </w:r>
      <w:proofErr w:type="spellEnd"/>
      <w:r w:rsidRPr="00DE30F6">
        <w:rPr>
          <w:rFonts w:ascii="Times New Roman" w:hAnsi="Times New Roman"/>
          <w:i/>
          <w:iCs/>
          <w:sz w:val="24"/>
          <w:szCs w:val="24"/>
        </w:rPr>
        <w:t>-temporal Epidemiology, 2</w:t>
      </w:r>
      <w:r w:rsidRPr="00DE30F6">
        <w:rPr>
          <w:rFonts w:ascii="Times New Roman" w:hAnsi="Times New Roman"/>
          <w:sz w:val="24"/>
          <w:szCs w:val="24"/>
        </w:rPr>
        <w:t xml:space="preserve">(1), 23–33. </w:t>
      </w:r>
      <w:hyperlink r:id="rId43" w:tgtFrame="_new" w:history="1">
        <w:r w:rsidRPr="00DE30F6">
          <w:rPr>
            <w:rFonts w:ascii="Times New Roman" w:hAnsi="Times New Roman"/>
            <w:color w:val="0000FF"/>
            <w:sz w:val="24"/>
            <w:szCs w:val="24"/>
            <w:u w:val="single"/>
          </w:rPr>
          <w:t>https://doi.org/10.1016/j.sste.2010.09.008</w:t>
        </w:r>
      </w:hyperlink>
    </w:p>
    <w:p w14:paraId="0C40297A" w14:textId="77777777" w:rsidR="00DE30F6" w:rsidRPr="00DE30F6" w:rsidRDefault="00DE30F6" w:rsidP="00DE30F6">
      <w:pPr>
        <w:spacing w:before="100" w:beforeAutospacing="1" w:after="100" w:afterAutospacing="1"/>
        <w:rPr>
          <w:rFonts w:ascii="Times New Roman" w:hAnsi="Times New Roman"/>
          <w:sz w:val="24"/>
          <w:szCs w:val="24"/>
        </w:rPr>
      </w:pPr>
      <w:r w:rsidRPr="00DE30F6">
        <w:rPr>
          <w:rFonts w:ascii="Times New Roman" w:hAnsi="Times New Roman"/>
          <w:sz w:val="24"/>
          <w:szCs w:val="24"/>
        </w:rPr>
        <w:t xml:space="preserve">Tanaka, M., Akiyama, Y., Mori, K., Hosaka, I., Kato, K., Endo, K., Ogawa, T., Sato, T., Suzuki, T., Yano, T., Ohnishi, H., Hanawa, N., &amp; Furuhashi, M. (2024). Predictive modeling for the development of diabetes mellitus using key factors in various machine learning approaches. </w:t>
      </w:r>
      <w:r w:rsidRPr="00DE30F6">
        <w:rPr>
          <w:rFonts w:ascii="Times New Roman" w:hAnsi="Times New Roman"/>
          <w:i/>
          <w:iCs/>
          <w:sz w:val="24"/>
          <w:szCs w:val="24"/>
        </w:rPr>
        <w:t>Diabetes Epidemiology and Management, 13</w:t>
      </w:r>
      <w:r w:rsidRPr="00DE30F6">
        <w:rPr>
          <w:rFonts w:ascii="Times New Roman" w:hAnsi="Times New Roman"/>
          <w:sz w:val="24"/>
          <w:szCs w:val="24"/>
        </w:rPr>
        <w:t xml:space="preserve">, 100191. </w:t>
      </w:r>
      <w:hyperlink r:id="rId44" w:tgtFrame="_new" w:history="1">
        <w:r w:rsidRPr="00DE30F6">
          <w:rPr>
            <w:rFonts w:ascii="Times New Roman" w:hAnsi="Times New Roman"/>
            <w:color w:val="0000FF"/>
            <w:sz w:val="24"/>
            <w:szCs w:val="24"/>
            <w:u w:val="single"/>
          </w:rPr>
          <w:t>https://doi.org/10.1016/j.deman.2023.100191</w:t>
        </w:r>
      </w:hyperlink>
    </w:p>
    <w:p w14:paraId="1483DCFA" w14:textId="77777777" w:rsidR="00DE30F6" w:rsidRPr="00DE30F6" w:rsidRDefault="00DE30F6" w:rsidP="00DE30F6">
      <w:pPr>
        <w:spacing w:before="100" w:beforeAutospacing="1" w:after="100" w:afterAutospacing="1"/>
        <w:rPr>
          <w:rFonts w:ascii="Times New Roman" w:hAnsi="Times New Roman"/>
          <w:sz w:val="24"/>
          <w:szCs w:val="24"/>
        </w:rPr>
      </w:pPr>
      <w:proofErr w:type="spellStart"/>
      <w:r w:rsidRPr="00DE30F6">
        <w:rPr>
          <w:rFonts w:ascii="Times New Roman" w:hAnsi="Times New Roman"/>
          <w:sz w:val="24"/>
          <w:szCs w:val="24"/>
        </w:rPr>
        <w:lastRenderedPageBreak/>
        <w:t>Tlhaloganyang</w:t>
      </w:r>
      <w:proofErr w:type="spellEnd"/>
      <w:r w:rsidRPr="00DE30F6">
        <w:rPr>
          <w:rFonts w:ascii="Times New Roman" w:hAnsi="Times New Roman"/>
          <w:sz w:val="24"/>
          <w:szCs w:val="24"/>
        </w:rPr>
        <w:t xml:space="preserve">, B. P., &amp; </w:t>
      </w:r>
      <w:proofErr w:type="spellStart"/>
      <w:r w:rsidRPr="00DE30F6">
        <w:rPr>
          <w:rFonts w:ascii="Times New Roman" w:hAnsi="Times New Roman"/>
          <w:sz w:val="24"/>
          <w:szCs w:val="24"/>
        </w:rPr>
        <w:t>Thaga</w:t>
      </w:r>
      <w:proofErr w:type="spellEnd"/>
      <w:r w:rsidRPr="00DE30F6">
        <w:rPr>
          <w:rFonts w:ascii="Times New Roman" w:hAnsi="Times New Roman"/>
          <w:sz w:val="24"/>
          <w:szCs w:val="24"/>
        </w:rPr>
        <w:t xml:space="preserve">, K. (2020). Are zero-inflated distributions compulsory in the presence of zero inflation? </w:t>
      </w:r>
      <w:r w:rsidRPr="00DE30F6">
        <w:rPr>
          <w:rFonts w:ascii="Times New Roman" w:hAnsi="Times New Roman"/>
          <w:i/>
          <w:iCs/>
          <w:sz w:val="24"/>
          <w:szCs w:val="24"/>
        </w:rPr>
        <w:t>International Journal of Innovative Science and Research Technology, 5</w:t>
      </w:r>
      <w:r w:rsidRPr="00DE30F6">
        <w:rPr>
          <w:rFonts w:ascii="Times New Roman" w:hAnsi="Times New Roman"/>
          <w:sz w:val="24"/>
          <w:szCs w:val="24"/>
        </w:rPr>
        <w:t xml:space="preserve">(10), 1274–1277. </w:t>
      </w:r>
      <w:hyperlink r:id="rId45" w:tgtFrame="_new" w:history="1">
        <w:r w:rsidRPr="00DE30F6">
          <w:rPr>
            <w:rFonts w:ascii="Times New Roman" w:hAnsi="Times New Roman"/>
            <w:color w:val="0000FF"/>
            <w:sz w:val="24"/>
            <w:szCs w:val="24"/>
            <w:u w:val="single"/>
          </w:rPr>
          <w:t>https://ijisrt.com/are-zero-inflated-distributions-compulsory-in-the-presence-of-zero-inflation</w:t>
        </w:r>
      </w:hyperlink>
    </w:p>
    <w:p w14:paraId="21C12A61" w14:textId="77777777" w:rsidR="00DE30F6" w:rsidRPr="00DE30F6" w:rsidRDefault="00DE30F6" w:rsidP="00DE30F6">
      <w:pPr>
        <w:spacing w:before="100" w:beforeAutospacing="1" w:after="100" w:afterAutospacing="1"/>
        <w:rPr>
          <w:rFonts w:ascii="Times New Roman" w:hAnsi="Times New Roman"/>
          <w:sz w:val="24"/>
          <w:szCs w:val="24"/>
        </w:rPr>
      </w:pPr>
      <w:r w:rsidRPr="00DE30F6">
        <w:rPr>
          <w:rFonts w:ascii="Times New Roman" w:hAnsi="Times New Roman"/>
          <w:sz w:val="24"/>
          <w:szCs w:val="24"/>
        </w:rPr>
        <w:t xml:space="preserve">World Health Organization. (2019). </w:t>
      </w:r>
      <w:r w:rsidRPr="00DE30F6">
        <w:rPr>
          <w:rFonts w:ascii="Times New Roman" w:hAnsi="Times New Roman"/>
          <w:i/>
          <w:iCs/>
          <w:sz w:val="24"/>
          <w:szCs w:val="24"/>
        </w:rPr>
        <w:t>International statistical classification of diseases and related health problems</w:t>
      </w:r>
      <w:r w:rsidRPr="00DE30F6">
        <w:rPr>
          <w:rFonts w:ascii="Times New Roman" w:hAnsi="Times New Roman"/>
          <w:sz w:val="24"/>
          <w:szCs w:val="24"/>
        </w:rPr>
        <w:t xml:space="preserve"> (11th ed.). </w:t>
      </w:r>
      <w:hyperlink r:id="rId46" w:tgtFrame="_new" w:history="1">
        <w:r w:rsidRPr="00DE30F6">
          <w:rPr>
            <w:rFonts w:ascii="Times New Roman" w:hAnsi="Times New Roman"/>
            <w:color w:val="0000FF"/>
            <w:sz w:val="24"/>
            <w:szCs w:val="24"/>
            <w:u w:val="single"/>
          </w:rPr>
          <w:t>https://icd.who.int/</w:t>
        </w:r>
      </w:hyperlink>
    </w:p>
    <w:p w14:paraId="0A8390A0" w14:textId="77777777" w:rsidR="00DE30F6" w:rsidRPr="00DE30F6" w:rsidRDefault="00DE30F6" w:rsidP="00DE30F6">
      <w:pPr>
        <w:spacing w:before="100" w:beforeAutospacing="1" w:after="100" w:afterAutospacing="1"/>
        <w:rPr>
          <w:rFonts w:ascii="Times New Roman" w:hAnsi="Times New Roman"/>
          <w:sz w:val="24"/>
          <w:szCs w:val="24"/>
        </w:rPr>
      </w:pPr>
      <w:r w:rsidRPr="00DE30F6">
        <w:rPr>
          <w:rFonts w:ascii="Times New Roman" w:hAnsi="Times New Roman"/>
          <w:sz w:val="24"/>
          <w:szCs w:val="24"/>
        </w:rPr>
        <w:t xml:space="preserve">World Health Organization. (2024). </w:t>
      </w:r>
      <w:r w:rsidRPr="00DE30F6">
        <w:rPr>
          <w:rFonts w:ascii="Times New Roman" w:hAnsi="Times New Roman"/>
          <w:i/>
          <w:iCs/>
          <w:sz w:val="24"/>
          <w:szCs w:val="24"/>
        </w:rPr>
        <w:t>Diabetes</w:t>
      </w:r>
      <w:r w:rsidRPr="00DE30F6">
        <w:rPr>
          <w:rFonts w:ascii="Times New Roman" w:hAnsi="Times New Roman"/>
          <w:sz w:val="24"/>
          <w:szCs w:val="24"/>
        </w:rPr>
        <w:t xml:space="preserve">. </w:t>
      </w:r>
      <w:hyperlink r:id="rId47" w:tgtFrame="_new" w:history="1">
        <w:r w:rsidRPr="00DE30F6">
          <w:rPr>
            <w:rFonts w:ascii="Times New Roman" w:hAnsi="Times New Roman"/>
            <w:color w:val="0000FF"/>
            <w:sz w:val="24"/>
            <w:szCs w:val="24"/>
            <w:u w:val="single"/>
          </w:rPr>
          <w:t>https://www.who.int/news-room/fact-sheets/detail/diabetes</w:t>
        </w:r>
      </w:hyperlink>
    </w:p>
    <w:p w14:paraId="04710F3A" w14:textId="77777777" w:rsidR="00DE30F6" w:rsidRPr="0083691F" w:rsidRDefault="00DE30F6" w:rsidP="005941EF">
      <w:pPr>
        <w:jc w:val="both"/>
        <w:rPr>
          <w:rFonts w:ascii="Arial" w:hAnsi="Arial" w:cs="Arial"/>
        </w:rPr>
      </w:pPr>
    </w:p>
    <w:sectPr w:rsidR="00DE30F6" w:rsidRPr="0083691F" w:rsidSect="00AB2775">
      <w:headerReference w:type="even" r:id="rId48"/>
      <w:headerReference w:type="default" r:id="rId49"/>
      <w:footerReference w:type="default" r:id="rId50"/>
      <w:headerReference w:type="first" r:id="rId51"/>
      <w:type w:val="continuous"/>
      <w:pgSz w:w="12240" w:h="15840"/>
      <w:pgMar w:top="1440" w:right="2016" w:bottom="2016" w:left="2016"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A13A0" w14:textId="77777777" w:rsidR="001E2E8F" w:rsidRDefault="001E2E8F" w:rsidP="0005770B">
      <w:r>
        <w:separator/>
      </w:r>
    </w:p>
  </w:endnote>
  <w:endnote w:type="continuationSeparator" w:id="0">
    <w:p w14:paraId="1041ED49" w14:textId="77777777" w:rsidR="001E2E8F" w:rsidRDefault="001E2E8F" w:rsidP="00057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C85F7" w14:textId="77777777" w:rsidR="00D66510" w:rsidRDefault="00D665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A717" w14:textId="77777777" w:rsidR="00D66510" w:rsidRDefault="00D665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CFAC8" w14:textId="77777777" w:rsidR="00D66510" w:rsidRDefault="00D66510">
    <w:pPr>
      <w:pStyle w:val="Footer"/>
      <w:rPr>
        <w:rFonts w:ascii="Arial" w:hAnsi="Arial" w:cs="Arial"/>
        <w:sz w:val="16"/>
      </w:rPr>
    </w:pPr>
  </w:p>
  <w:p w14:paraId="49CD9DD4" w14:textId="77777777" w:rsidR="00D66510" w:rsidRDefault="00D66510" w:rsidP="004658C6">
    <w:pPr>
      <w:pStyle w:val="Footer"/>
      <w:jc w:val="center"/>
      <w:rPr>
        <w:rFonts w:ascii="Arial" w:hAnsi="Arial" w:cs="Arial"/>
        <w:sz w:val="16"/>
      </w:rPr>
    </w:pPr>
    <w:r>
      <w:rPr>
        <w:rFonts w:ascii="Arial" w:hAnsi="Arial" w:cs="Arial"/>
        <w:sz w:val="16"/>
      </w:rPr>
      <w:t>____________________________________________________________________________________________</w:t>
    </w:r>
  </w:p>
  <w:p w14:paraId="702C9951" w14:textId="77777777" w:rsidR="00D66510" w:rsidRDefault="00D66510">
    <w:pPr>
      <w:pStyle w:val="Footer"/>
      <w:rPr>
        <w:rFonts w:ascii="Arial" w:hAnsi="Arial" w:cs="Arial"/>
        <w:sz w:val="16"/>
      </w:rPr>
    </w:pPr>
  </w:p>
  <w:p w14:paraId="7A02A751" w14:textId="77777777" w:rsidR="00D66510" w:rsidRPr="009E048A" w:rsidRDefault="00D66510">
    <w:pPr>
      <w:pStyle w:val="Footer"/>
      <w:rPr>
        <w:rFonts w:ascii="Arial" w:hAnsi="Arial" w:cs="Arial"/>
        <w:i/>
        <w:sz w:val="16"/>
      </w:rPr>
    </w:pPr>
    <w:r w:rsidRPr="009E048A">
      <w:rPr>
        <w:rFonts w:ascii="Arial" w:hAnsi="Arial" w:cs="Arial"/>
        <w:i/>
        <w:sz w:val="16"/>
      </w:rPr>
      <w:t>*Corresponding author: Email: XYZ@ABC.COM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497219"/>
      <w:docPartObj>
        <w:docPartGallery w:val="Page Numbers (Bottom of Page)"/>
        <w:docPartUnique/>
      </w:docPartObj>
    </w:sdtPr>
    <w:sdtEndPr/>
    <w:sdtContent>
      <w:p w14:paraId="7AA653A8" w14:textId="77777777" w:rsidR="00D66510" w:rsidRDefault="00D66510">
        <w:pPr>
          <w:pStyle w:val="Footer"/>
          <w:jc w:val="center"/>
        </w:pPr>
        <w:r w:rsidRPr="00ED5D11">
          <w:rPr>
            <w:rFonts w:ascii="Arial" w:hAnsi="Arial" w:cs="Arial"/>
          </w:rPr>
          <w:fldChar w:fldCharType="begin"/>
        </w:r>
        <w:r w:rsidRPr="00ED5D11">
          <w:rPr>
            <w:rFonts w:ascii="Arial" w:hAnsi="Arial" w:cs="Arial"/>
          </w:rPr>
          <w:instrText xml:space="preserve"> PAGE   \* MERGEFORMAT </w:instrText>
        </w:r>
        <w:r w:rsidRPr="00ED5D11">
          <w:rPr>
            <w:rFonts w:ascii="Arial" w:hAnsi="Arial" w:cs="Arial"/>
          </w:rPr>
          <w:fldChar w:fldCharType="separate"/>
        </w:r>
        <w:r w:rsidR="00DB4FA6">
          <w:rPr>
            <w:rFonts w:ascii="Arial" w:hAnsi="Arial" w:cs="Arial"/>
            <w:noProof/>
          </w:rPr>
          <w:t>16</w:t>
        </w:r>
        <w:r w:rsidRPr="00ED5D11">
          <w:rPr>
            <w:rFonts w:ascii="Arial" w:hAnsi="Arial" w:cs="Arial"/>
          </w:rPr>
          <w:fldChar w:fldCharType="end"/>
        </w:r>
      </w:p>
    </w:sdtContent>
  </w:sdt>
  <w:p w14:paraId="59E43B48" w14:textId="77777777" w:rsidR="00D66510" w:rsidRPr="00C37E61" w:rsidRDefault="00D66510" w:rsidP="004658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24B8F" w14:textId="77777777" w:rsidR="001E2E8F" w:rsidRDefault="001E2E8F" w:rsidP="0005770B">
      <w:r>
        <w:separator/>
      </w:r>
    </w:p>
  </w:footnote>
  <w:footnote w:type="continuationSeparator" w:id="0">
    <w:p w14:paraId="17AB012D" w14:textId="77777777" w:rsidR="001E2E8F" w:rsidRDefault="001E2E8F" w:rsidP="00057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91218" w14:textId="77777777" w:rsidR="00D66510" w:rsidRDefault="001E2E8F">
    <w:pPr>
      <w:pStyle w:val="Header"/>
    </w:pPr>
    <w:r>
      <w:rPr>
        <w:noProof/>
      </w:rPr>
      <w:pict w14:anchorId="18E1B0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018266"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83229" w14:textId="77777777" w:rsidR="00D66510" w:rsidRDefault="001E2E8F">
    <w:pPr>
      <w:pStyle w:val="Header"/>
    </w:pPr>
    <w:r>
      <w:rPr>
        <w:noProof/>
      </w:rPr>
      <w:pict w14:anchorId="0BB999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018267"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7C559" w14:textId="77777777" w:rsidR="00D66510" w:rsidRPr="00296529" w:rsidRDefault="001E2E8F" w:rsidP="004658C6">
    <w:pPr>
      <w:ind w:left="2160"/>
      <w:jc w:val="center"/>
      <w:rPr>
        <w:rFonts w:ascii="Times New Roman" w:eastAsia="Calibri" w:hAnsi="Times New Roman"/>
        <w:i/>
        <w:sz w:val="18"/>
        <w:szCs w:val="22"/>
      </w:rPr>
    </w:pPr>
    <w:r>
      <w:rPr>
        <w:noProof/>
      </w:rPr>
      <w:pict w14:anchorId="58D3E1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018265"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5FEAC18B" w14:textId="77777777" w:rsidR="00D66510" w:rsidRPr="00296529" w:rsidRDefault="00D66510" w:rsidP="004658C6">
    <w:pPr>
      <w:ind w:left="4320"/>
      <w:rPr>
        <w:rFonts w:ascii="Times New Roman" w:eastAsia="Calibri" w:hAnsi="Times New Roman"/>
        <w:i/>
        <w:sz w:val="18"/>
        <w:szCs w:val="22"/>
      </w:rPr>
    </w:pPr>
    <w:r>
      <w:rPr>
        <w:rFonts w:ascii="Times New Roman" w:eastAsia="Calibri" w:hAnsi="Times New Roman"/>
        <w:i/>
        <w:sz w:val="18"/>
        <w:szCs w:val="22"/>
      </w:rPr>
      <w:t>.</w:t>
    </w:r>
  </w:p>
  <w:p w14:paraId="4C0FE602" w14:textId="77777777" w:rsidR="00D66510" w:rsidRPr="00296529" w:rsidRDefault="00D66510" w:rsidP="004658C6">
    <w:pPr>
      <w:jc w:val="center"/>
      <w:rPr>
        <w:rFonts w:ascii="Times New Roman" w:eastAsia="Calibri" w:hAnsi="Times New Roman"/>
        <w:i/>
        <w:sz w:val="18"/>
        <w:szCs w:val="22"/>
      </w:rPr>
    </w:pPr>
    <w:r>
      <w:rPr>
        <w:rFonts w:ascii="Times New Roman" w:eastAsia="Calibri" w:hAnsi="Times New Roman"/>
        <w:i/>
        <w:sz w:val="18"/>
        <w:szCs w:val="22"/>
      </w:rPr>
      <w:t>.</w:t>
    </w:r>
  </w:p>
  <w:p w14:paraId="18F7C5E0" w14:textId="77777777" w:rsidR="00D66510" w:rsidRPr="00296529" w:rsidRDefault="00D66510" w:rsidP="004658C6">
    <w:pPr>
      <w:spacing w:after="200"/>
      <w:jc w:val="center"/>
      <w:rPr>
        <w:rFonts w:ascii="Times New Roman" w:eastAsia="Calibri" w:hAnsi="Times New Roman"/>
        <w:b/>
        <w:i/>
        <w:sz w:val="32"/>
        <w:szCs w:val="22"/>
      </w:rPr>
    </w:pPr>
    <w:r>
      <w:rPr>
        <w:rFonts w:ascii="Times New Roman" w:eastAsia="Calibri" w:hAnsi="Times New Roman"/>
        <w:b/>
        <w:i/>
        <w:sz w:val="32"/>
        <w:szCs w:val="22"/>
      </w:rPr>
      <w:t>.</w:t>
    </w:r>
  </w:p>
  <w:p w14:paraId="746EF278" w14:textId="77777777" w:rsidR="00D66510" w:rsidRDefault="00D66510" w:rsidP="004658C6">
    <w:pPr>
      <w:jc w:val="center"/>
      <w:rPr>
        <w:rFonts w:ascii="Times New Roman" w:eastAsia="Calibri" w:hAnsi="Times New Roman"/>
        <w:i/>
        <w:sz w:val="18"/>
        <w:szCs w:val="22"/>
      </w:rPr>
    </w:pPr>
  </w:p>
  <w:p w14:paraId="5F58EC77" w14:textId="77777777" w:rsidR="00D66510" w:rsidRDefault="00D66510" w:rsidP="004658C6">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71746945" w14:textId="77777777" w:rsidR="00D66510" w:rsidRDefault="00D66510">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BD39F" w14:textId="77777777" w:rsidR="00D66510" w:rsidRDefault="001E2E8F">
    <w:pPr>
      <w:pStyle w:val="Header"/>
    </w:pPr>
    <w:r>
      <w:rPr>
        <w:noProof/>
      </w:rPr>
      <w:pict w14:anchorId="605CE1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018269" o:spid="_x0000_s1031"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15CBCFEB">
        <v:shape 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9E4CB" w14:textId="77777777" w:rsidR="00D66510" w:rsidRDefault="001E2E8F">
    <w:pPr>
      <w:pStyle w:val="Header"/>
    </w:pPr>
    <w:r>
      <w:rPr>
        <w:noProof/>
      </w:rPr>
      <w:pict w14:anchorId="1A28B8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018270" o:spid="_x0000_s1033"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31D4C01B">
        <v:shape id="_x0000_s1032"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CFE23" w14:textId="77777777" w:rsidR="00D66510" w:rsidRPr="00296529" w:rsidRDefault="001E2E8F" w:rsidP="004658C6">
    <w:pPr>
      <w:ind w:left="2160"/>
      <w:jc w:val="center"/>
      <w:rPr>
        <w:rFonts w:ascii="Times New Roman" w:eastAsia="Calibri" w:hAnsi="Times New Roman"/>
        <w:i/>
        <w:sz w:val="18"/>
        <w:szCs w:val="22"/>
      </w:rPr>
    </w:pPr>
    <w:r>
      <w:rPr>
        <w:noProof/>
      </w:rPr>
      <w:pict w14:anchorId="57C176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018268" o:spid="_x0000_s1029"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317B84CD">
        <v:shape id="_x0000_s1028"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492E4108" w14:textId="77777777" w:rsidR="00D66510" w:rsidRPr="00296529" w:rsidRDefault="00D66510" w:rsidP="004658C6">
    <w:pPr>
      <w:ind w:left="4320"/>
      <w:rPr>
        <w:rFonts w:ascii="Times New Roman" w:eastAsia="Calibri" w:hAnsi="Times New Roman"/>
        <w:i/>
        <w:sz w:val="18"/>
        <w:szCs w:val="22"/>
      </w:rPr>
    </w:pPr>
    <w:r>
      <w:rPr>
        <w:rFonts w:ascii="Times New Roman" w:eastAsia="Calibri" w:hAnsi="Times New Roman"/>
        <w:i/>
        <w:sz w:val="18"/>
        <w:szCs w:val="22"/>
      </w:rPr>
      <w:t>.</w:t>
    </w:r>
  </w:p>
  <w:p w14:paraId="0E81B237" w14:textId="77777777" w:rsidR="00D66510" w:rsidRPr="00296529" w:rsidRDefault="00D66510" w:rsidP="004658C6">
    <w:pPr>
      <w:jc w:val="center"/>
      <w:rPr>
        <w:rFonts w:ascii="Times New Roman" w:eastAsia="Calibri" w:hAnsi="Times New Roman"/>
        <w:i/>
        <w:sz w:val="18"/>
        <w:szCs w:val="22"/>
      </w:rPr>
    </w:pPr>
    <w:r>
      <w:rPr>
        <w:rFonts w:ascii="Times New Roman" w:eastAsia="Calibri" w:hAnsi="Times New Roman"/>
        <w:i/>
        <w:sz w:val="18"/>
        <w:szCs w:val="22"/>
      </w:rPr>
      <w:t>.</w:t>
    </w:r>
  </w:p>
  <w:p w14:paraId="209EA772" w14:textId="77777777" w:rsidR="00D66510" w:rsidRPr="00296529" w:rsidRDefault="00D66510" w:rsidP="004658C6">
    <w:pPr>
      <w:spacing w:after="200"/>
      <w:jc w:val="center"/>
      <w:rPr>
        <w:rFonts w:ascii="Times New Roman" w:eastAsia="Calibri" w:hAnsi="Times New Roman"/>
        <w:b/>
        <w:i/>
        <w:sz w:val="32"/>
        <w:szCs w:val="22"/>
      </w:rPr>
    </w:pPr>
    <w:r>
      <w:rPr>
        <w:rFonts w:ascii="Times New Roman" w:eastAsia="Calibri" w:hAnsi="Times New Roman"/>
        <w:b/>
        <w:i/>
        <w:sz w:val="32"/>
        <w:szCs w:val="22"/>
      </w:rPr>
      <w:t>.</w:t>
    </w:r>
  </w:p>
  <w:p w14:paraId="018A947D" w14:textId="77777777" w:rsidR="00D66510" w:rsidRDefault="00D66510" w:rsidP="004658C6">
    <w:pPr>
      <w:jc w:val="center"/>
      <w:rPr>
        <w:rFonts w:ascii="Times New Roman" w:eastAsia="Calibri" w:hAnsi="Times New Roman"/>
        <w:i/>
        <w:sz w:val="18"/>
        <w:szCs w:val="22"/>
      </w:rPr>
    </w:pPr>
  </w:p>
  <w:p w14:paraId="3C6F2B3E" w14:textId="77777777" w:rsidR="00D66510" w:rsidRDefault="00D66510" w:rsidP="004658C6">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0FDACD55" w14:textId="77777777" w:rsidR="00D66510" w:rsidRDefault="00D66510">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30CDD"/>
    <w:multiLevelType w:val="hybridMultilevel"/>
    <w:tmpl w:val="E4227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64212C"/>
    <w:multiLevelType w:val="hybridMultilevel"/>
    <w:tmpl w:val="FFAAB5B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F62F37"/>
    <w:multiLevelType w:val="hybridMultilevel"/>
    <w:tmpl w:val="0C28A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1C5824"/>
    <w:multiLevelType w:val="hybridMultilevel"/>
    <w:tmpl w:val="34C6FE4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num w:numId="1" w16cid:durableId="993412595">
    <w:abstractNumId w:val="4"/>
  </w:num>
  <w:num w:numId="2" w16cid:durableId="551504518">
    <w:abstractNumId w:val="0"/>
  </w:num>
  <w:num w:numId="3" w16cid:durableId="1778939886">
    <w:abstractNumId w:val="1"/>
  </w:num>
  <w:num w:numId="4" w16cid:durableId="2104298519">
    <w:abstractNumId w:val="3"/>
  </w:num>
  <w:num w:numId="5" w16cid:durableId="13218130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rQwMDSxMLWwMDazsDRQ0lEKTi0uzszPAykwrAUAYF1cAiwAAAA="/>
  </w:docVars>
  <w:rsids>
    <w:rsidRoot w:val="004658C6"/>
    <w:rsid w:val="00011EBF"/>
    <w:rsid w:val="0005770B"/>
    <w:rsid w:val="000D5707"/>
    <w:rsid w:val="001148C7"/>
    <w:rsid w:val="0018402A"/>
    <w:rsid w:val="001C62FA"/>
    <w:rsid w:val="001E2E8F"/>
    <w:rsid w:val="0027595D"/>
    <w:rsid w:val="0028589C"/>
    <w:rsid w:val="002E0A9E"/>
    <w:rsid w:val="00361E4A"/>
    <w:rsid w:val="00407A99"/>
    <w:rsid w:val="004658C6"/>
    <w:rsid w:val="004D5D25"/>
    <w:rsid w:val="00516A6D"/>
    <w:rsid w:val="005941EF"/>
    <w:rsid w:val="005A44DA"/>
    <w:rsid w:val="005B1D45"/>
    <w:rsid w:val="005C20A1"/>
    <w:rsid w:val="006A5D22"/>
    <w:rsid w:val="006D42C7"/>
    <w:rsid w:val="00756351"/>
    <w:rsid w:val="007C1AC4"/>
    <w:rsid w:val="0083691F"/>
    <w:rsid w:val="00862A76"/>
    <w:rsid w:val="008F2D11"/>
    <w:rsid w:val="009006A4"/>
    <w:rsid w:val="00945D69"/>
    <w:rsid w:val="0094663F"/>
    <w:rsid w:val="009D37E3"/>
    <w:rsid w:val="009F234C"/>
    <w:rsid w:val="00A839F7"/>
    <w:rsid w:val="00AB199B"/>
    <w:rsid w:val="00AB2775"/>
    <w:rsid w:val="00AD2C7F"/>
    <w:rsid w:val="00B42C33"/>
    <w:rsid w:val="00BE2274"/>
    <w:rsid w:val="00BF1AFA"/>
    <w:rsid w:val="00CC165D"/>
    <w:rsid w:val="00CF5DC3"/>
    <w:rsid w:val="00D03FA8"/>
    <w:rsid w:val="00D66510"/>
    <w:rsid w:val="00DB4FA6"/>
    <w:rsid w:val="00DE30F6"/>
    <w:rsid w:val="00E27803"/>
    <w:rsid w:val="00E63BD6"/>
    <w:rsid w:val="00E956E0"/>
    <w:rsid w:val="00F73E16"/>
    <w:rsid w:val="00F86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40BB9"/>
  <w15:chartTrackingRefBased/>
  <w15:docId w15:val="{7EF84BAF-DC51-4069-8222-BA638B8F0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8C6"/>
    <w:pPr>
      <w:spacing w:after="0" w:line="240" w:lineRule="auto"/>
    </w:pPr>
    <w:rPr>
      <w:rFonts w:ascii="Helvetica" w:eastAsia="Times New Roman" w:hAnsi="Helvetica"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658C6"/>
    <w:pPr>
      <w:spacing w:line="280" w:lineRule="exact"/>
      <w:jc w:val="right"/>
    </w:pPr>
    <w:rPr>
      <w:b/>
      <w:sz w:val="24"/>
    </w:rPr>
  </w:style>
  <w:style w:type="paragraph" w:customStyle="1" w:styleId="Affiliation">
    <w:name w:val="Affiliation"/>
    <w:basedOn w:val="Normal"/>
    <w:rsid w:val="004658C6"/>
    <w:pPr>
      <w:spacing w:after="240" w:line="240" w:lineRule="exact"/>
      <w:jc w:val="right"/>
    </w:pPr>
  </w:style>
  <w:style w:type="paragraph" w:customStyle="1" w:styleId="Body">
    <w:name w:val="Body"/>
    <w:basedOn w:val="Normal"/>
    <w:rsid w:val="004658C6"/>
    <w:pPr>
      <w:spacing w:after="240"/>
      <w:jc w:val="both"/>
    </w:pPr>
  </w:style>
  <w:style w:type="paragraph" w:customStyle="1" w:styleId="AbstHead">
    <w:name w:val="Abst Head"/>
    <w:basedOn w:val="Normal"/>
    <w:rsid w:val="004658C6"/>
    <w:pPr>
      <w:keepNext/>
      <w:spacing w:after="240"/>
    </w:pPr>
    <w:rPr>
      <w:b/>
      <w:caps/>
      <w:sz w:val="22"/>
    </w:rPr>
  </w:style>
  <w:style w:type="paragraph" w:customStyle="1" w:styleId="ConcHead">
    <w:name w:val="Conc Head"/>
    <w:basedOn w:val="Normal"/>
    <w:rsid w:val="004658C6"/>
    <w:pPr>
      <w:keepNext/>
      <w:spacing w:after="240"/>
    </w:pPr>
    <w:rPr>
      <w:b/>
      <w:caps/>
      <w:sz w:val="22"/>
    </w:rPr>
  </w:style>
  <w:style w:type="paragraph" w:customStyle="1" w:styleId="AcknHead">
    <w:name w:val="Ackn Head"/>
    <w:basedOn w:val="Normal"/>
    <w:rsid w:val="004658C6"/>
    <w:pPr>
      <w:keepNext/>
      <w:spacing w:after="240"/>
    </w:pPr>
    <w:rPr>
      <w:b/>
      <w:caps/>
      <w:sz w:val="22"/>
    </w:rPr>
  </w:style>
  <w:style w:type="paragraph" w:customStyle="1" w:styleId="ReferHead">
    <w:name w:val="Refer Head"/>
    <w:basedOn w:val="Normal"/>
    <w:rsid w:val="004658C6"/>
    <w:pPr>
      <w:keepNext/>
      <w:spacing w:after="240"/>
    </w:pPr>
    <w:rPr>
      <w:b/>
      <w:caps/>
      <w:sz w:val="22"/>
    </w:rPr>
  </w:style>
  <w:style w:type="paragraph" w:customStyle="1" w:styleId="DefAcrHead">
    <w:name w:val="DefAcrHead"/>
    <w:basedOn w:val="Normal"/>
    <w:rsid w:val="004658C6"/>
    <w:pPr>
      <w:keepNext/>
      <w:spacing w:after="240"/>
    </w:pPr>
    <w:rPr>
      <w:b/>
      <w:caps/>
      <w:sz w:val="22"/>
    </w:rPr>
  </w:style>
  <w:style w:type="paragraph" w:customStyle="1" w:styleId="Copyright">
    <w:name w:val="Copyright"/>
    <w:basedOn w:val="Normal"/>
    <w:rsid w:val="004658C6"/>
    <w:pPr>
      <w:spacing w:after="960" w:line="200" w:lineRule="exact"/>
    </w:pPr>
    <w:rPr>
      <w:sz w:val="16"/>
    </w:rPr>
  </w:style>
  <w:style w:type="paragraph" w:styleId="Title">
    <w:name w:val="Title"/>
    <w:basedOn w:val="Normal"/>
    <w:link w:val="TitleChar"/>
    <w:qFormat/>
    <w:rsid w:val="004658C6"/>
    <w:pPr>
      <w:spacing w:after="360"/>
      <w:jc w:val="right"/>
    </w:pPr>
    <w:rPr>
      <w:b/>
      <w:kern w:val="28"/>
      <w:sz w:val="36"/>
    </w:rPr>
  </w:style>
  <w:style w:type="character" w:customStyle="1" w:styleId="TitleChar">
    <w:name w:val="Title Char"/>
    <w:basedOn w:val="DefaultParagraphFont"/>
    <w:link w:val="Title"/>
    <w:rsid w:val="004658C6"/>
    <w:rPr>
      <w:rFonts w:ascii="Helvetica" w:eastAsia="Times New Roman" w:hAnsi="Helvetica" w:cs="Times New Roman"/>
      <w:b/>
      <w:kern w:val="28"/>
      <w:sz w:val="36"/>
      <w:szCs w:val="20"/>
    </w:rPr>
  </w:style>
  <w:style w:type="paragraph" w:customStyle="1" w:styleId="Reference">
    <w:name w:val="Reference"/>
    <w:basedOn w:val="Body"/>
    <w:rsid w:val="004658C6"/>
    <w:pPr>
      <w:numPr>
        <w:numId w:val="1"/>
      </w:numPr>
      <w:spacing w:after="0" w:line="240" w:lineRule="exact"/>
    </w:pPr>
  </w:style>
  <w:style w:type="paragraph" w:customStyle="1" w:styleId="Head1">
    <w:name w:val="Head1"/>
    <w:basedOn w:val="Normal"/>
    <w:rsid w:val="004658C6"/>
    <w:pPr>
      <w:keepNext/>
      <w:spacing w:after="240"/>
    </w:pPr>
    <w:rPr>
      <w:b/>
      <w:caps/>
      <w:sz w:val="22"/>
    </w:rPr>
  </w:style>
  <w:style w:type="paragraph" w:customStyle="1" w:styleId="Appendix">
    <w:name w:val="Appendix"/>
    <w:basedOn w:val="Normal"/>
    <w:rsid w:val="004658C6"/>
    <w:pPr>
      <w:keepNext/>
      <w:spacing w:after="240"/>
    </w:pPr>
    <w:rPr>
      <w:b/>
      <w:caps/>
      <w:sz w:val="22"/>
    </w:rPr>
  </w:style>
  <w:style w:type="paragraph" w:styleId="Footer">
    <w:name w:val="footer"/>
    <w:basedOn w:val="Normal"/>
    <w:link w:val="FooterChar"/>
    <w:uiPriority w:val="99"/>
    <w:rsid w:val="004658C6"/>
    <w:pPr>
      <w:tabs>
        <w:tab w:val="center" w:pos="4320"/>
        <w:tab w:val="right" w:pos="8640"/>
      </w:tabs>
    </w:pPr>
  </w:style>
  <w:style w:type="character" w:customStyle="1" w:styleId="FooterChar">
    <w:name w:val="Footer Char"/>
    <w:basedOn w:val="DefaultParagraphFont"/>
    <w:link w:val="Footer"/>
    <w:uiPriority w:val="99"/>
    <w:rsid w:val="004658C6"/>
    <w:rPr>
      <w:rFonts w:ascii="Helvetica" w:eastAsia="Times New Roman" w:hAnsi="Helvetica" w:cs="Times New Roman"/>
      <w:sz w:val="20"/>
      <w:szCs w:val="20"/>
    </w:rPr>
  </w:style>
  <w:style w:type="paragraph" w:styleId="Header">
    <w:name w:val="header"/>
    <w:basedOn w:val="Normal"/>
    <w:link w:val="HeaderChar"/>
    <w:rsid w:val="004658C6"/>
    <w:pPr>
      <w:tabs>
        <w:tab w:val="center" w:pos="4320"/>
        <w:tab w:val="right" w:pos="8640"/>
      </w:tabs>
    </w:pPr>
  </w:style>
  <w:style w:type="character" w:customStyle="1" w:styleId="HeaderChar">
    <w:name w:val="Header Char"/>
    <w:basedOn w:val="DefaultParagraphFont"/>
    <w:link w:val="Header"/>
    <w:rsid w:val="004658C6"/>
    <w:rPr>
      <w:rFonts w:ascii="Helvetica" w:eastAsia="Times New Roman" w:hAnsi="Helvetica" w:cs="Times New Roman"/>
      <w:sz w:val="20"/>
      <w:szCs w:val="20"/>
    </w:rPr>
  </w:style>
  <w:style w:type="character" w:styleId="Hyperlink">
    <w:name w:val="Hyperlink"/>
    <w:basedOn w:val="DefaultParagraphFont"/>
    <w:rsid w:val="004658C6"/>
    <w:rPr>
      <w:color w:val="FF0080"/>
      <w:u w:val="single"/>
    </w:rPr>
  </w:style>
  <w:style w:type="paragraph" w:styleId="BodyText3">
    <w:name w:val="Body Text 3"/>
    <w:basedOn w:val="Normal"/>
    <w:link w:val="BodyText3Char"/>
    <w:rsid w:val="004658C6"/>
    <w:pPr>
      <w:spacing w:after="120"/>
    </w:pPr>
    <w:rPr>
      <w:sz w:val="16"/>
      <w:szCs w:val="16"/>
    </w:rPr>
  </w:style>
  <w:style w:type="character" w:customStyle="1" w:styleId="BodyText3Char">
    <w:name w:val="Body Text 3 Char"/>
    <w:basedOn w:val="DefaultParagraphFont"/>
    <w:link w:val="BodyText3"/>
    <w:rsid w:val="004658C6"/>
    <w:rPr>
      <w:rFonts w:ascii="Helvetica" w:eastAsia="Times New Roman" w:hAnsi="Helvetica" w:cs="Times New Roman"/>
      <w:sz w:val="16"/>
      <w:szCs w:val="16"/>
    </w:rPr>
  </w:style>
  <w:style w:type="character" w:styleId="LineNumber">
    <w:name w:val="line number"/>
    <w:basedOn w:val="DefaultParagraphFont"/>
    <w:uiPriority w:val="99"/>
    <w:semiHidden/>
    <w:unhideWhenUsed/>
    <w:rsid w:val="004658C6"/>
  </w:style>
  <w:style w:type="paragraph" w:styleId="NormalWeb">
    <w:name w:val="Normal (Web)"/>
    <w:basedOn w:val="Normal"/>
    <w:uiPriority w:val="99"/>
    <w:unhideWhenUsed/>
    <w:rsid w:val="004658C6"/>
    <w:pPr>
      <w:spacing w:before="100" w:beforeAutospacing="1" w:after="100" w:afterAutospacing="1"/>
    </w:pPr>
    <w:rPr>
      <w:rFonts w:ascii="Times New Roman" w:hAnsi="Times New Roman"/>
      <w:sz w:val="24"/>
      <w:szCs w:val="24"/>
    </w:rPr>
  </w:style>
  <w:style w:type="paragraph" w:styleId="Subtitle">
    <w:name w:val="Subtitle"/>
    <w:basedOn w:val="Normal"/>
    <w:next w:val="Normal"/>
    <w:link w:val="SubtitleChar"/>
    <w:uiPriority w:val="11"/>
    <w:qFormat/>
    <w:rsid w:val="004658C6"/>
    <w:pPr>
      <w:numPr>
        <w:ilvl w:val="1"/>
      </w:numPr>
      <w:spacing w:after="160" w:line="259" w:lineRule="auto"/>
    </w:pPr>
    <w:rPr>
      <w:rFonts w:asciiTheme="minorHAnsi" w:eastAsiaTheme="minorEastAsia" w:hAnsiTheme="minorHAnsi" w:cstheme="minorBidi"/>
      <w:color w:val="5A5A5A" w:themeColor="text1" w:themeTint="A5"/>
      <w:spacing w:val="15"/>
      <w:kern w:val="2"/>
      <w:sz w:val="22"/>
      <w:szCs w:val="22"/>
    </w:rPr>
  </w:style>
  <w:style w:type="character" w:customStyle="1" w:styleId="SubtitleChar">
    <w:name w:val="Subtitle Char"/>
    <w:basedOn w:val="DefaultParagraphFont"/>
    <w:link w:val="Subtitle"/>
    <w:uiPriority w:val="11"/>
    <w:rsid w:val="004658C6"/>
    <w:rPr>
      <w:rFonts w:eastAsiaTheme="minorEastAsia"/>
      <w:color w:val="5A5A5A" w:themeColor="text1" w:themeTint="A5"/>
      <w:spacing w:val="15"/>
      <w:kern w:val="2"/>
    </w:rPr>
  </w:style>
  <w:style w:type="paragraph" w:styleId="BalloonText">
    <w:name w:val="Balloon Text"/>
    <w:basedOn w:val="Normal"/>
    <w:link w:val="BalloonTextChar"/>
    <w:uiPriority w:val="99"/>
    <w:semiHidden/>
    <w:unhideWhenUsed/>
    <w:rsid w:val="004658C6"/>
    <w:rPr>
      <w:rFonts w:ascii="Tahoma" w:hAnsi="Tahoma" w:cs="Tahoma"/>
      <w:sz w:val="16"/>
      <w:szCs w:val="16"/>
    </w:rPr>
  </w:style>
  <w:style w:type="character" w:customStyle="1" w:styleId="BalloonTextChar">
    <w:name w:val="Balloon Text Char"/>
    <w:basedOn w:val="DefaultParagraphFont"/>
    <w:link w:val="BalloonText"/>
    <w:uiPriority w:val="99"/>
    <w:semiHidden/>
    <w:rsid w:val="004658C6"/>
    <w:rPr>
      <w:rFonts w:ascii="Tahoma" w:eastAsia="Times New Roman" w:hAnsi="Tahoma" w:cs="Tahoma"/>
      <w:sz w:val="16"/>
      <w:szCs w:val="16"/>
    </w:rPr>
  </w:style>
  <w:style w:type="table" w:styleId="TableGrid">
    <w:name w:val="Table Grid"/>
    <w:basedOn w:val="TableNormal"/>
    <w:uiPriority w:val="59"/>
    <w:rsid w:val="004658C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4658C6"/>
    <w:rPr>
      <w:i/>
      <w:iCs/>
    </w:rPr>
  </w:style>
  <w:style w:type="character" w:customStyle="1" w:styleId="katex-mathml">
    <w:name w:val="katex-mathml"/>
    <w:basedOn w:val="DefaultParagraphFont"/>
    <w:rsid w:val="00F86B78"/>
  </w:style>
  <w:style w:type="paragraph" w:styleId="ListParagraph">
    <w:name w:val="List Paragraph"/>
    <w:basedOn w:val="Normal"/>
    <w:uiPriority w:val="34"/>
    <w:qFormat/>
    <w:rsid w:val="00F86B78"/>
    <w:pPr>
      <w:spacing w:after="200" w:line="276" w:lineRule="auto"/>
      <w:ind w:left="720"/>
      <w:contextualSpacing/>
    </w:pPr>
    <w:rPr>
      <w:rFonts w:asciiTheme="minorHAnsi" w:eastAsiaTheme="minorHAnsi" w:hAnsiTheme="minorHAnsi" w:cstheme="minorBidi"/>
      <w:sz w:val="22"/>
      <w:szCs w:val="22"/>
    </w:rPr>
  </w:style>
  <w:style w:type="character" w:customStyle="1" w:styleId="UnresolvedMention1">
    <w:name w:val="Unresolved Mention1"/>
    <w:basedOn w:val="DefaultParagraphFont"/>
    <w:uiPriority w:val="99"/>
    <w:semiHidden/>
    <w:unhideWhenUsed/>
    <w:rsid w:val="008F2D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462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hyperlink" Target="https://doi.org/10.1002/0470114754" TargetMode="External"/><Relationship Id="rId26" Type="http://schemas.openxmlformats.org/officeDocument/2006/relationships/hyperlink" Target="https://doi.org/10.1016/S0140-6736(23)01301-6" TargetMode="External"/><Relationship Id="rId39" Type="http://schemas.openxmlformats.org/officeDocument/2006/relationships/hyperlink" Target="https://doi.org/10.1016/S0140-6736(24)02317-1" TargetMode="External"/><Relationship Id="rId21" Type="http://schemas.openxmlformats.org/officeDocument/2006/relationships/hyperlink" Target="https://doi.org/10.3390/medicina58111568" TargetMode="External"/><Relationship Id="rId34" Type="http://schemas.openxmlformats.org/officeDocument/2006/relationships/hyperlink" Target="https://doi.org/10.3233/JAD-161250" TargetMode="External"/><Relationship Id="rId42" Type="http://schemas.openxmlformats.org/officeDocument/2006/relationships/hyperlink" Target="https://doi.org/10.1038/s41598-023-47339-7" TargetMode="External"/><Relationship Id="rId47" Type="http://schemas.openxmlformats.org/officeDocument/2006/relationships/hyperlink" Target="https://www.who.int/news-room/fact-sheets/detail/diabetes?utm_source=chatgpt.com" TargetMode="External"/><Relationship Id="rId50" Type="http://schemas.openxmlformats.org/officeDocument/2006/relationships/footer" Target="footer4.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emf"/><Relationship Id="rId29" Type="http://schemas.openxmlformats.org/officeDocument/2006/relationships/hyperlink" Target="https://doi.org/10.1017/CBO9780511973420" TargetMode="External"/><Relationship Id="rId11" Type="http://schemas.openxmlformats.org/officeDocument/2006/relationships/header" Target="header3.xml"/><Relationship Id="rId24" Type="http://schemas.openxmlformats.org/officeDocument/2006/relationships/hyperlink" Target="https://www.actamedindones.org/index.php/ijim/article/view/979?utm_source=chatgpt.com" TargetMode="External"/><Relationship Id="rId32" Type="http://schemas.openxmlformats.org/officeDocument/2006/relationships/hyperlink" Target="https://doi.org/10.33003/fjs-2024-0801-2211" TargetMode="External"/><Relationship Id="rId37" Type="http://schemas.openxmlformats.org/officeDocument/2006/relationships/hyperlink" Target="https://doi.org/10.1016/j.eclinm.2022.101671" TargetMode="External"/><Relationship Id="rId40" Type="http://schemas.openxmlformats.org/officeDocument/2006/relationships/hyperlink" Target="https://eajournals.org/ejsp/vol-4-issue-1-march-2016/statistical-model-of-road-traffic-crashes-data-in-anambra-state-nigeria-a-poisson-regression-approach/?utm_source=chatgpt.com" TargetMode="External"/><Relationship Id="rId45" Type="http://schemas.openxmlformats.org/officeDocument/2006/relationships/hyperlink" Target="https://ijisrt.com/are-zero-inflated-distributions-compulsory-in-the-presence-of-zero-inflation?utm_source=chatgpt.com"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oter" Target="footer2.xml"/><Relationship Id="rId19" Type="http://schemas.openxmlformats.org/officeDocument/2006/relationships/hyperlink" Target="https://doi.org/10.56557/jirmeps/2025/v20i39640" TargetMode="External"/><Relationship Id="rId31" Type="http://schemas.openxmlformats.org/officeDocument/2006/relationships/hyperlink" Target="https://doi.org/10.1038/s41598-023-35475-z" TargetMode="External"/><Relationship Id="rId44" Type="http://schemas.openxmlformats.org/officeDocument/2006/relationships/hyperlink" Target="https://doi.org/10.1016/j.deman.2023.100191"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hyperlink" Target="https://doi.org/10.1186/s12933-021-01289-4" TargetMode="External"/><Relationship Id="rId27" Type="http://schemas.openxmlformats.org/officeDocument/2006/relationships/hyperlink" Target="https://doi.org/10.26719/emhj.18.012" TargetMode="External"/><Relationship Id="rId30" Type="http://schemas.openxmlformats.org/officeDocument/2006/relationships/hyperlink" Target="https://doi.org/10.1152/physiol.00003.2018" TargetMode="External"/><Relationship Id="rId35" Type="http://schemas.openxmlformats.org/officeDocument/2006/relationships/hyperlink" Target="https://doi.org/10.1186/s12933-023-01854-z" TargetMode="External"/><Relationship Id="rId43" Type="http://schemas.openxmlformats.org/officeDocument/2006/relationships/hyperlink" Target="https://doi.org/10.1016/j.sste.2010.09.008" TargetMode="External"/><Relationship Id="rId48" Type="http://schemas.openxmlformats.org/officeDocument/2006/relationships/header" Target="header4.xml"/><Relationship Id="rId8" Type="http://schemas.openxmlformats.org/officeDocument/2006/relationships/header" Target="header2.xml"/><Relationship Id="rId51" Type="http://schemas.openxmlformats.org/officeDocument/2006/relationships/header" Target="header6.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yperlink" Target="https://doi.org/10.32861/ijhms.64.64.73" TargetMode="External"/><Relationship Id="rId25" Type="http://schemas.openxmlformats.org/officeDocument/2006/relationships/hyperlink" Target="https://doi.org/10.1136/bmjdrc-2024-004678" TargetMode="External"/><Relationship Id="rId33" Type="http://schemas.openxmlformats.org/officeDocument/2006/relationships/hyperlink" Target="https://doi.org/10.1136/bmjdrc-2020-001950" TargetMode="External"/><Relationship Id="rId38" Type="http://schemas.openxmlformats.org/officeDocument/2006/relationships/hyperlink" Target="https://doi.org/10.1007/s11892-019-1173-y" TargetMode="External"/><Relationship Id="rId46" Type="http://schemas.openxmlformats.org/officeDocument/2006/relationships/hyperlink" Target="https://icd.who.int/" TargetMode="External"/><Relationship Id="rId20" Type="http://schemas.openxmlformats.org/officeDocument/2006/relationships/hyperlink" Target="https://diabetesjournals.org/care/issue/47/Supplement_1?utm_source=chatgpt.com" TargetMode="External"/><Relationship Id="rId41" Type="http://schemas.openxmlformats.org/officeDocument/2006/relationships/hyperlink" Target="https://doi.org/10.1155/2024/1741878"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emf"/><Relationship Id="rId23" Type="http://schemas.openxmlformats.org/officeDocument/2006/relationships/hyperlink" Target="https://doi.org/10.1007/s11154-021-09630-8" TargetMode="External"/><Relationship Id="rId28" Type="http://schemas.openxmlformats.org/officeDocument/2006/relationships/hyperlink" Target="https://doi.org/10.1007/s11886-019-1107-y" TargetMode="External"/><Relationship Id="rId36" Type="http://schemas.openxmlformats.org/officeDocument/2006/relationships/hyperlink" Target="https://doi.org/10.3390/info12080326" TargetMode="External"/><Relationship Id="rId49"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18</Pages>
  <Words>7966</Words>
  <Characters>45412</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SDI PC New 16</cp:lastModifiedBy>
  <cp:revision>27</cp:revision>
  <dcterms:created xsi:type="dcterms:W3CDTF">2026-07-20T00:00:00Z</dcterms:created>
  <dcterms:modified xsi:type="dcterms:W3CDTF">2026-08-01T04:33:00Z</dcterms:modified>
</cp:coreProperties>
</file>