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675B5" w14:textId="7C934CBE" w:rsidR="00F80353" w:rsidRPr="00470AC8" w:rsidRDefault="007F2E21">
      <w:pPr>
        <w:rPr>
          <w:b/>
          <w:bCs/>
        </w:rPr>
      </w:pPr>
      <w:r w:rsidRPr="00470AC8">
        <w:rPr>
          <w:b/>
          <w:bCs/>
        </w:rPr>
        <w:t>Original Research Article</w:t>
      </w:r>
    </w:p>
    <w:p w14:paraId="6E4E6F93" w14:textId="77777777" w:rsidR="00F80353" w:rsidRPr="00470AC8" w:rsidRDefault="007F2E21">
      <w:pPr>
        <w:rPr>
          <w:rFonts w:ascii="Times New Roman" w:hAnsi="Times New Roman" w:cs="Times New Roman"/>
          <w:b/>
          <w:bCs/>
          <w:sz w:val="48"/>
          <w:szCs w:val="48"/>
        </w:rPr>
      </w:pPr>
      <w:r w:rsidRPr="00470AC8">
        <w:rPr>
          <w:rFonts w:ascii="Times New Roman" w:hAnsi="Times New Roman" w:cs="Times New Roman"/>
          <w:b/>
          <w:bCs/>
          <w:sz w:val="48"/>
          <w:szCs w:val="48"/>
        </w:rPr>
        <w:t>Blockchain</w:t>
      </w:r>
      <w:r w:rsidRPr="00470AC8">
        <w:rPr>
          <w:rFonts w:ascii="Times New Roman" w:hAnsi="Times New Roman" w:cs="Times New Roman"/>
          <w:b/>
          <w:bCs/>
          <w:sz w:val="48"/>
          <w:szCs w:val="48"/>
          <w:lang w:val="en-CA"/>
        </w:rPr>
        <w:t>s</w:t>
      </w:r>
      <w:r w:rsidRPr="00470AC8">
        <w:rPr>
          <w:rFonts w:ascii="Times New Roman" w:hAnsi="Times New Roman" w:cs="Times New Roman"/>
          <w:b/>
          <w:bCs/>
          <w:sz w:val="48"/>
          <w:szCs w:val="48"/>
        </w:rPr>
        <w:t xml:space="preserve"> Adoption and Market Efficiency: Evidence from African Capital Markets</w:t>
      </w:r>
    </w:p>
    <w:p w14:paraId="521B5DE7" w14:textId="77777777" w:rsidR="00F80353" w:rsidRPr="00470AC8" w:rsidRDefault="00F80353">
      <w:pPr>
        <w:rPr>
          <w:rFonts w:ascii="Times New Roman" w:hAnsi="Times New Roman" w:cs="Times New Roman"/>
          <w:b/>
          <w:bCs/>
          <w:sz w:val="24"/>
          <w:szCs w:val="24"/>
        </w:rPr>
      </w:pPr>
    </w:p>
    <w:p w14:paraId="7EEE385D" w14:textId="77777777" w:rsidR="00F80353" w:rsidRPr="00470AC8" w:rsidRDefault="00F80353">
      <w:pPr>
        <w:rPr>
          <w:rFonts w:ascii="Times New Roman" w:hAnsi="Times New Roman" w:cs="Times New Roman"/>
          <w:i/>
          <w:iCs/>
          <w:sz w:val="19"/>
          <w:szCs w:val="19"/>
        </w:rPr>
      </w:pPr>
    </w:p>
    <w:p w14:paraId="13F532A3" w14:textId="77777777" w:rsidR="00F80353" w:rsidRPr="00470AC8" w:rsidRDefault="00F80353">
      <w:pPr>
        <w:rPr>
          <w:rFonts w:ascii="Times New Roman" w:hAnsi="Times New Roman" w:cs="Times New Roman"/>
          <w:b/>
          <w:bCs/>
          <w:sz w:val="24"/>
          <w:szCs w:val="24"/>
        </w:rPr>
      </w:pPr>
    </w:p>
    <w:p w14:paraId="40A44B97" w14:textId="77777777" w:rsidR="00F80353" w:rsidRPr="00470AC8" w:rsidRDefault="007F2E21">
      <w:pPr>
        <w:pStyle w:val="NormalWeb"/>
        <w:spacing w:beforeAutospacing="0" w:afterAutospacing="0"/>
        <w:jc w:val="both"/>
        <w:rPr>
          <w:b/>
          <w:bCs/>
          <w:sz w:val="22"/>
          <w:szCs w:val="22"/>
          <w:lang w:val="en-CA"/>
        </w:rPr>
      </w:pPr>
      <w:r w:rsidRPr="00470AC8">
        <w:rPr>
          <w:b/>
          <w:bCs/>
          <w:sz w:val="22"/>
          <w:szCs w:val="22"/>
          <w:lang w:val="en-CA"/>
        </w:rPr>
        <w:t>Abstract</w:t>
      </w:r>
    </w:p>
    <w:p w14:paraId="79F4B86B" w14:textId="77777777" w:rsidR="00F80353" w:rsidRPr="00470AC8" w:rsidRDefault="007F2E21">
      <w:pPr>
        <w:pStyle w:val="NormalWeb"/>
        <w:spacing w:beforeAutospacing="0" w:afterAutospacing="0"/>
        <w:jc w:val="both"/>
        <w:rPr>
          <w:sz w:val="19"/>
          <w:szCs w:val="19"/>
        </w:rPr>
      </w:pPr>
      <w:r w:rsidRPr="00470AC8">
        <w:rPr>
          <w:sz w:val="19"/>
          <w:szCs w:val="19"/>
        </w:rPr>
        <w:t>This study examines the effect of blockchain adoption on market efficiency in selected African capital markets from 2014 to 2025. It is motivated by persistent inefficiencies in African stock exchanges, including weak liquidity, information asymmetry, delayed settlement, high transaction costs, and limited digital financial infrastructure. The study adopts a quantitative longitudinal panel design and develops a Blockchain Adoption Index covering blockchain infrastructure, settlement digitisation, fintech ecosystem indicators, and regulatory innovation. Market efficiency is measured using stock return predictability, bid-ask spread, price delay, turnover ratio, and information efficiency indicators, while institutional quality is introduced as a moderating variable. The study applies Dynamic Panel System Generalised Method of Moments estimation to address endogeneity, persistence effects, and unobserved heterogeneity. The findings show that blockchain adoption has a positive and statistically significant effect on market efficiency across African capital markets. Specifically, blockchain adoption improves liquidity, reduces informational frictions, narrows bid-ask spreads, and strengthens price discovery. The interaction result further shows that institutional quality enhances the positive effect of blockchain adoption on market efficiency. The study concludes that blockchain-enabled financial infrastructure can improve capital market performance in Africa when supported by strong governance, credible regulation, and effective digital infrastructure. It recommends increased investment in exchange digitisation, blockchain-based settlement systems, regulatory harmonisation, and institutional capacity development.</w:t>
      </w:r>
    </w:p>
    <w:p w14:paraId="3C53D589" w14:textId="77777777" w:rsidR="00F80353" w:rsidRPr="00470AC8" w:rsidRDefault="007F2E21">
      <w:pPr>
        <w:pStyle w:val="NormalWeb"/>
        <w:spacing w:beforeAutospacing="0" w:afterAutospacing="0"/>
        <w:jc w:val="both"/>
        <w:rPr>
          <w:i/>
          <w:iCs/>
          <w:sz w:val="19"/>
          <w:szCs w:val="19"/>
        </w:rPr>
      </w:pPr>
      <w:r w:rsidRPr="00470AC8">
        <w:rPr>
          <w:rStyle w:val="Strong"/>
          <w:b w:val="0"/>
          <w:bCs w:val="0"/>
          <w:i/>
          <w:iCs/>
          <w:sz w:val="19"/>
          <w:szCs w:val="19"/>
        </w:rPr>
        <w:t>Keywords:</w:t>
      </w:r>
      <w:r w:rsidRPr="00470AC8">
        <w:rPr>
          <w:i/>
          <w:iCs/>
          <w:sz w:val="19"/>
          <w:szCs w:val="19"/>
        </w:rPr>
        <w:t xml:space="preserve"> Blockchain adoption; market efficiency; African capital markets; System GMM; institutional quality; financial technology.</w:t>
      </w:r>
    </w:p>
    <w:p w14:paraId="7733BB90" w14:textId="77777777" w:rsidR="00F80353" w:rsidRPr="00470AC8" w:rsidRDefault="00F80353">
      <w:pPr>
        <w:pStyle w:val="NormalWeb"/>
        <w:spacing w:beforeAutospacing="0" w:afterAutospacing="0"/>
        <w:jc w:val="both"/>
        <w:rPr>
          <w:sz w:val="20"/>
          <w:szCs w:val="20"/>
        </w:rPr>
      </w:pPr>
    </w:p>
    <w:p w14:paraId="16AF7881"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1.0 Introduction</w:t>
      </w:r>
    </w:p>
    <w:p w14:paraId="64AEA3A2"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 xml:space="preserve">1.1 Background to </w:t>
      </w:r>
      <w:proofErr w:type="gramStart"/>
      <w:r w:rsidRPr="00470AC8">
        <w:rPr>
          <w:rFonts w:ascii="Times New Roman" w:hAnsi="Times New Roman" w:hint="default"/>
          <w:sz w:val="22"/>
          <w:szCs w:val="22"/>
        </w:rPr>
        <w:t>the Study</w:t>
      </w:r>
      <w:proofErr w:type="gramEnd"/>
    </w:p>
    <w:p w14:paraId="1AC87597" w14:textId="77777777" w:rsidR="00F80353" w:rsidRPr="00470AC8" w:rsidRDefault="007F2E21">
      <w:pPr>
        <w:pStyle w:val="NormalWeb"/>
        <w:spacing w:beforeAutospacing="0" w:afterAutospacing="0"/>
        <w:jc w:val="both"/>
        <w:rPr>
          <w:sz w:val="19"/>
          <w:szCs w:val="19"/>
        </w:rPr>
      </w:pPr>
      <w:r w:rsidRPr="00470AC8">
        <w:rPr>
          <w:sz w:val="19"/>
          <w:szCs w:val="19"/>
        </w:rPr>
        <w:t>African capital markets have undergone significant transformation over the past two decades, shifting from largely shallow and fragmented exchanges towards more integrated, automated, and technology-driven financial systems. Major exchanges such as the Nigerian Exchange Group, Johannesburg Stock Exchange, Nairobi Securities Exchange, Egyptian Exchange, and Casablanca Stock Exchange have increasingly adopted electronic trading platforms, automated clearing systems, and digital settlement infrastructure to improve market operations and attract domestic and foreign investors (Organisation for Economic Co-operation and Development [OECD], 2025).</w:t>
      </w:r>
    </w:p>
    <w:p w14:paraId="1753DF60" w14:textId="77777777" w:rsidR="00F80353" w:rsidRPr="00470AC8" w:rsidRDefault="007F2E21">
      <w:pPr>
        <w:pStyle w:val="NormalWeb"/>
        <w:spacing w:beforeAutospacing="0" w:afterAutospacing="0"/>
        <w:jc w:val="both"/>
        <w:rPr>
          <w:sz w:val="19"/>
          <w:szCs w:val="19"/>
        </w:rPr>
      </w:pPr>
      <w:r w:rsidRPr="00470AC8">
        <w:rPr>
          <w:sz w:val="19"/>
          <w:szCs w:val="19"/>
        </w:rPr>
        <w:t>This transformation has been shaped by financial liberalisation, regional market integration, and the growth of financial technology. Digital financial services and fintech have expanded access to financial services and supported financial inclusion across African economies (Girma &amp; Huseynov, 2024; International Monetary Fund &amp; World Bank, 2019). These changes have made technology a central issue in the development and competitiveness of African financial markets.</w:t>
      </w:r>
    </w:p>
    <w:p w14:paraId="07AD1E3A" w14:textId="77777777" w:rsidR="00F80353" w:rsidRPr="00470AC8" w:rsidRDefault="007F2E21">
      <w:pPr>
        <w:pStyle w:val="NormalWeb"/>
        <w:spacing w:beforeAutospacing="0" w:afterAutospacing="0"/>
        <w:jc w:val="both"/>
        <w:rPr>
          <w:sz w:val="19"/>
          <w:szCs w:val="19"/>
        </w:rPr>
      </w:pPr>
      <w:r w:rsidRPr="00470AC8">
        <w:rPr>
          <w:sz w:val="19"/>
          <w:szCs w:val="19"/>
        </w:rPr>
        <w:t>Blockchain technology has gained growing attention within global finance because of its capacity to support transparent, secure, and tamper-resistant transaction records. In capital markets, blockchain can be applied to securities trading, clearing, settlement, smart contracts, asset tokenisation, and digital custody services (</w:t>
      </w:r>
      <w:proofErr w:type="spellStart"/>
      <w:r w:rsidRPr="00470AC8">
        <w:rPr>
          <w:sz w:val="19"/>
          <w:szCs w:val="19"/>
        </w:rPr>
        <w:t>Dowelani</w:t>
      </w:r>
      <w:proofErr w:type="spellEnd"/>
      <w:r w:rsidRPr="00470AC8">
        <w:rPr>
          <w:sz w:val="19"/>
          <w:szCs w:val="19"/>
        </w:rPr>
        <w:t xml:space="preserve"> et al., 2023). Its relevance lies in its ability to reduce transaction costs, improve transparency, limit settlement risks, and strengthen trust in market processes.</w:t>
      </w:r>
    </w:p>
    <w:p w14:paraId="176D3AF7" w14:textId="77777777" w:rsidR="00F80353" w:rsidRPr="00470AC8" w:rsidRDefault="007F2E21">
      <w:pPr>
        <w:pStyle w:val="NormalWeb"/>
        <w:spacing w:beforeAutospacing="0" w:afterAutospacing="0"/>
        <w:jc w:val="both"/>
        <w:rPr>
          <w:sz w:val="19"/>
          <w:szCs w:val="19"/>
        </w:rPr>
      </w:pPr>
      <w:r w:rsidRPr="00470AC8">
        <w:rPr>
          <w:sz w:val="19"/>
          <w:szCs w:val="19"/>
        </w:rPr>
        <w:t>In African capital markets, blockchain adoption remains at an early stage but is increasingly becoming a policy and regulatory concern. Some African countries, including Nigeria, South Africa, Kenya, and Mauritius, have introduced digital finance initiatives and blockchain-related regulatory responses to support financial innovation (</w:t>
      </w:r>
      <w:proofErr w:type="spellStart"/>
      <w:r w:rsidRPr="00470AC8">
        <w:rPr>
          <w:sz w:val="19"/>
          <w:szCs w:val="19"/>
        </w:rPr>
        <w:t>Osemwengie</w:t>
      </w:r>
      <w:proofErr w:type="spellEnd"/>
      <w:r w:rsidRPr="00470AC8">
        <w:rPr>
          <w:sz w:val="19"/>
          <w:szCs w:val="19"/>
        </w:rPr>
        <w:t>, 2025). However, the depth and pace of adoption vary considerably across countries because of differences in infrastructure, regulation, institutional capacity, and market maturity.</w:t>
      </w:r>
    </w:p>
    <w:p w14:paraId="547BC96E" w14:textId="77777777" w:rsidR="00C91004" w:rsidRPr="00470AC8" w:rsidRDefault="007F2E21">
      <w:pPr>
        <w:pStyle w:val="NormalWeb"/>
        <w:spacing w:beforeAutospacing="0" w:afterAutospacing="0"/>
        <w:jc w:val="both"/>
        <w:rPr>
          <w:sz w:val="19"/>
          <w:szCs w:val="19"/>
        </w:rPr>
      </w:pPr>
      <w:r w:rsidRPr="00470AC8">
        <w:rPr>
          <w:b/>
          <w:sz w:val="19"/>
          <w:szCs w:val="19"/>
        </w:rPr>
        <w:t>Recent adoption research also indicates that blockchain implementation is shaped by organisational decision processes and network relationships, reinforcing the need to treat adoption as more than a purely technical event (Gharehdaghi &amp; Kamann, 2024).</w:t>
      </w:r>
    </w:p>
    <w:p w14:paraId="2BEB678A" w14:textId="77777777" w:rsidR="00F80353" w:rsidRPr="00470AC8" w:rsidRDefault="007F2E21">
      <w:pPr>
        <w:pStyle w:val="NormalWeb"/>
        <w:spacing w:beforeAutospacing="0" w:afterAutospacing="0"/>
        <w:jc w:val="both"/>
        <w:rPr>
          <w:sz w:val="19"/>
          <w:szCs w:val="19"/>
        </w:rPr>
      </w:pPr>
      <w:r w:rsidRPr="00470AC8">
        <w:rPr>
          <w:sz w:val="19"/>
          <w:szCs w:val="19"/>
        </w:rPr>
        <w:t xml:space="preserve">Blockchain is particularly relevant to securities settlement and post-trade infrastructure. Many African exchanges still face slow settlement cycles, fragmented clearing systems, manual reconciliation risks, and </w:t>
      </w:r>
      <w:r w:rsidRPr="00470AC8">
        <w:rPr>
          <w:sz w:val="19"/>
          <w:szCs w:val="19"/>
        </w:rPr>
        <w:lastRenderedPageBreak/>
        <w:t>limited transparency. Blockchain-enabled settlement systems can support faster settlement, improve auditability, reduce reconciliation errors, and strengthen market transparency (</w:t>
      </w:r>
      <w:proofErr w:type="spellStart"/>
      <w:r w:rsidRPr="00470AC8">
        <w:rPr>
          <w:sz w:val="19"/>
          <w:szCs w:val="19"/>
        </w:rPr>
        <w:t>Dowelani</w:t>
      </w:r>
      <w:proofErr w:type="spellEnd"/>
      <w:r w:rsidRPr="00470AC8">
        <w:rPr>
          <w:sz w:val="19"/>
          <w:szCs w:val="19"/>
        </w:rPr>
        <w:t xml:space="preserve"> et al., 2023). Asset tokenisation may also improve liquidity and investor participation by allowing fractional ownership and wider market access.</w:t>
      </w:r>
    </w:p>
    <w:p w14:paraId="00EFE62A" w14:textId="77777777" w:rsidR="00C91004" w:rsidRPr="00470AC8" w:rsidRDefault="007F2E21">
      <w:pPr>
        <w:pStyle w:val="NormalWeb"/>
        <w:spacing w:beforeAutospacing="0" w:afterAutospacing="0"/>
        <w:jc w:val="both"/>
        <w:rPr>
          <w:sz w:val="19"/>
          <w:szCs w:val="19"/>
        </w:rPr>
      </w:pPr>
      <w:r w:rsidRPr="00470AC8">
        <w:rPr>
          <w:b/>
          <w:sz w:val="19"/>
          <w:szCs w:val="19"/>
        </w:rPr>
        <w:t>Evidence from blockchain-based asset trading also indicates that settlement latency can constrain cross-exchange arbitrage, suggesting that efficiency outcomes depend on the design of settlement mechanisms rather than on blockchain use alone (Hautsch et al., 2024).</w:t>
      </w:r>
    </w:p>
    <w:p w14:paraId="0E5D823F" w14:textId="77777777" w:rsidR="00F80353" w:rsidRPr="00470AC8" w:rsidRDefault="007F2E21">
      <w:pPr>
        <w:pStyle w:val="NormalWeb"/>
        <w:spacing w:beforeAutospacing="0" w:afterAutospacing="0"/>
        <w:jc w:val="both"/>
        <w:rPr>
          <w:sz w:val="19"/>
          <w:szCs w:val="19"/>
        </w:rPr>
      </w:pPr>
      <w:r w:rsidRPr="00470AC8">
        <w:rPr>
          <w:sz w:val="19"/>
          <w:szCs w:val="19"/>
        </w:rPr>
        <w:t xml:space="preserve">Despite these opportunities, market efficiency remains a major challenge across many African exchanges. Several markets still experience weak liquidity, high bid-ask spreads, low market depth, delayed information dissemination, and </w:t>
      </w:r>
      <w:proofErr w:type="gramStart"/>
      <w:r w:rsidRPr="00470AC8">
        <w:rPr>
          <w:sz w:val="19"/>
          <w:szCs w:val="19"/>
        </w:rPr>
        <w:t>return predictability</w:t>
      </w:r>
      <w:proofErr w:type="gramEnd"/>
      <w:r w:rsidRPr="00470AC8">
        <w:rPr>
          <w:sz w:val="19"/>
          <w:szCs w:val="19"/>
        </w:rPr>
        <w:t>. These inefficiencies increase transaction costs, reduce investor confidence, and weaken the ability of capital markets to mobilise long-term finance for development (OECD, 2025).</w:t>
      </w:r>
    </w:p>
    <w:p w14:paraId="345A6C14" w14:textId="77777777" w:rsidR="00F80353" w:rsidRPr="00470AC8" w:rsidRDefault="007F2E21">
      <w:pPr>
        <w:pStyle w:val="NormalWeb"/>
        <w:spacing w:beforeAutospacing="0" w:afterAutospacing="0"/>
        <w:jc w:val="both"/>
        <w:rPr>
          <w:sz w:val="19"/>
          <w:szCs w:val="19"/>
        </w:rPr>
      </w:pPr>
      <w:r w:rsidRPr="00470AC8">
        <w:rPr>
          <w:sz w:val="19"/>
          <w:szCs w:val="19"/>
        </w:rPr>
        <w:t>The link between digital financial infrastructure and market efficiency is therefore important. Evidence from digital-asset markets indicates that liquidity and volatility are important determinants of price delay and market efficiency (Bouteska et al., 2025). Yet, the extent to which blockchain adoption improves market efficiency in African capital markets remains underexplored, especially through cross-country empirical analysis.</w:t>
      </w:r>
    </w:p>
    <w:p w14:paraId="0BF0FB4C" w14:textId="77777777" w:rsidR="00C91004" w:rsidRPr="00470AC8" w:rsidRDefault="007F2E21">
      <w:pPr>
        <w:pStyle w:val="NormalWeb"/>
        <w:spacing w:beforeAutospacing="0" w:afterAutospacing="0"/>
        <w:jc w:val="both"/>
        <w:rPr>
          <w:sz w:val="19"/>
          <w:szCs w:val="19"/>
        </w:rPr>
      </w:pPr>
      <w:r w:rsidRPr="00470AC8">
        <w:rPr>
          <w:b/>
          <w:sz w:val="19"/>
          <w:szCs w:val="19"/>
        </w:rPr>
        <w:t>Evidence from outside Africa further suggests that the financial effects of blockchain adoption can vary across transition horizons, supporting context-specific empirical assessment rather than an assumption of uniform efficiency gains (Bojaj, 2025).</w:t>
      </w:r>
    </w:p>
    <w:p w14:paraId="36E53B09" w14:textId="77777777" w:rsidR="00F80353" w:rsidRPr="00470AC8" w:rsidRDefault="00F80353">
      <w:pPr>
        <w:pStyle w:val="NormalWeb"/>
        <w:spacing w:beforeAutospacing="0" w:afterAutospacing="0"/>
        <w:jc w:val="both"/>
        <w:rPr>
          <w:sz w:val="19"/>
          <w:szCs w:val="19"/>
        </w:rPr>
      </w:pPr>
    </w:p>
    <w:p w14:paraId="13168EBE"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1.2 Statement of the Research Problem</w:t>
      </w:r>
    </w:p>
    <w:p w14:paraId="636ECF4F" w14:textId="77777777" w:rsidR="00F80353" w:rsidRPr="00470AC8" w:rsidRDefault="007F2E21">
      <w:pPr>
        <w:pStyle w:val="NormalWeb"/>
        <w:spacing w:beforeAutospacing="0" w:afterAutospacing="0"/>
        <w:jc w:val="both"/>
        <w:rPr>
          <w:sz w:val="19"/>
          <w:szCs w:val="19"/>
        </w:rPr>
      </w:pPr>
      <w:r w:rsidRPr="00470AC8">
        <w:rPr>
          <w:sz w:val="19"/>
          <w:szCs w:val="19"/>
        </w:rPr>
        <w:t>African capital markets continue to face structural and operational inefficiencies despite reforms in trading, regulation, and financial technology. Many exchanges are still characterised by low trading activity, weak liquidity, high transaction costs, shallow market depth, delayed settlement cycles, and information asymmetry. These conditions weaken price discovery and reduce the attractiveness of African exchanges to both local and foreign investors (OECD, 2025).</w:t>
      </w:r>
    </w:p>
    <w:p w14:paraId="2D14040F" w14:textId="77777777" w:rsidR="00F80353" w:rsidRPr="00470AC8" w:rsidRDefault="007F2E21">
      <w:pPr>
        <w:pStyle w:val="NormalWeb"/>
        <w:spacing w:beforeAutospacing="0" w:afterAutospacing="0"/>
        <w:jc w:val="both"/>
        <w:rPr>
          <w:sz w:val="19"/>
          <w:szCs w:val="19"/>
        </w:rPr>
      </w:pPr>
      <w:r w:rsidRPr="00470AC8">
        <w:rPr>
          <w:sz w:val="19"/>
          <w:szCs w:val="19"/>
        </w:rPr>
        <w:t>A major problem lies in post-trade infrastructure. Settlement and clearing systems in several African markets remain slow, fragmented, and costly. Centralised systems are often exposed to reconciliation delays, manual processing errors, operational risks, and limited transparency. Blockchain technology offers a possible response because it can automate verification, support near real-time settlement, and improve transaction transparency (</w:t>
      </w:r>
      <w:proofErr w:type="spellStart"/>
      <w:r w:rsidRPr="00470AC8">
        <w:rPr>
          <w:sz w:val="19"/>
          <w:szCs w:val="19"/>
        </w:rPr>
        <w:t>Dowelani</w:t>
      </w:r>
      <w:proofErr w:type="spellEnd"/>
      <w:r w:rsidRPr="00470AC8">
        <w:rPr>
          <w:sz w:val="19"/>
          <w:szCs w:val="19"/>
        </w:rPr>
        <w:t xml:space="preserve"> et al., 2023). However, its practical effect on market efficiency in African exchanges remains unclear.</w:t>
      </w:r>
    </w:p>
    <w:p w14:paraId="73EC7EAD" w14:textId="77777777" w:rsidR="00F80353" w:rsidRPr="00470AC8" w:rsidRDefault="007F2E21">
      <w:pPr>
        <w:pStyle w:val="NormalWeb"/>
        <w:spacing w:beforeAutospacing="0" w:afterAutospacing="0"/>
        <w:jc w:val="both"/>
        <w:rPr>
          <w:sz w:val="19"/>
          <w:szCs w:val="19"/>
        </w:rPr>
      </w:pPr>
      <w:r w:rsidRPr="00470AC8">
        <w:rPr>
          <w:sz w:val="19"/>
          <w:szCs w:val="19"/>
        </w:rPr>
        <w:t>Existing studies on blockchain and financial markets have focused mainly on cryptocurrency markets, digital assets, and developed financial systems in Europe, North America, and Asia. Less attention has been given to how blockchain adoption affects traditional capital market efficiency in African economies (</w:t>
      </w:r>
      <w:proofErr w:type="spellStart"/>
      <w:r w:rsidRPr="00470AC8">
        <w:rPr>
          <w:sz w:val="19"/>
          <w:szCs w:val="19"/>
        </w:rPr>
        <w:t>Osemwengie</w:t>
      </w:r>
      <w:proofErr w:type="spellEnd"/>
      <w:r w:rsidRPr="00470AC8">
        <w:rPr>
          <w:sz w:val="19"/>
          <w:szCs w:val="19"/>
        </w:rPr>
        <w:t>, 2025). As a result, there is limited empirical evidence on whether blockchain-enabled infrastructure can improve liquidity, information efficiency, and trading performance across African stock exchanges.</w:t>
      </w:r>
    </w:p>
    <w:p w14:paraId="52C49AC6" w14:textId="77777777" w:rsidR="00C91004" w:rsidRPr="00470AC8" w:rsidRDefault="007F2E21">
      <w:pPr>
        <w:pStyle w:val="NormalWeb"/>
        <w:spacing w:beforeAutospacing="0" w:afterAutospacing="0"/>
        <w:jc w:val="both"/>
        <w:rPr>
          <w:sz w:val="19"/>
          <w:szCs w:val="19"/>
        </w:rPr>
      </w:pPr>
      <w:r w:rsidRPr="00470AC8">
        <w:rPr>
          <w:b/>
          <w:sz w:val="19"/>
          <w:szCs w:val="19"/>
        </w:rPr>
        <w:t>Recent African evidence also remains concentrated on cryptocurrency-traditional market linkages rather than blockchain-enabled capital-market infrastructure; Joseph et al. (2024) report low but growing spillover effects from cryptocurrency markets to several major African financial markets.</w:t>
      </w:r>
    </w:p>
    <w:p w14:paraId="5B72755F" w14:textId="77777777" w:rsidR="00F80353" w:rsidRPr="00470AC8" w:rsidRDefault="007F2E21">
      <w:pPr>
        <w:pStyle w:val="NormalWeb"/>
        <w:spacing w:beforeAutospacing="0" w:afterAutospacing="0"/>
        <w:jc w:val="both"/>
        <w:rPr>
          <w:sz w:val="19"/>
          <w:szCs w:val="19"/>
        </w:rPr>
      </w:pPr>
      <w:r w:rsidRPr="00470AC8">
        <w:rPr>
          <w:sz w:val="19"/>
          <w:szCs w:val="19"/>
        </w:rPr>
        <w:t>The literature also shows a geographical gap. Most available studies are country-specific or focused on developed markets, while comparative evidence from African capital markets remains limited. African exchanges differ in institutional quality, regulatory structure, technological readiness, and financial market development. These differences may shape the effectiveness of blockchain adoption, but they have not been sufficiently examined through cross-country panel analysis.</w:t>
      </w:r>
    </w:p>
    <w:p w14:paraId="510D9660" w14:textId="77777777" w:rsidR="00F80353" w:rsidRPr="00470AC8" w:rsidRDefault="007F2E21">
      <w:pPr>
        <w:pStyle w:val="NormalWeb"/>
        <w:spacing w:beforeAutospacing="0" w:afterAutospacing="0"/>
        <w:jc w:val="both"/>
        <w:rPr>
          <w:sz w:val="19"/>
          <w:szCs w:val="19"/>
        </w:rPr>
      </w:pPr>
      <w:r w:rsidRPr="00470AC8">
        <w:rPr>
          <w:sz w:val="19"/>
          <w:szCs w:val="19"/>
        </w:rPr>
        <w:t xml:space="preserve">There is also a methodological gap. Many prior studies rely on descriptive analysis, case studies, or static regression methods. Such approaches may not adequately address endogeneity, persistence effects, unobserved heterogeneity, and reverse causality in the relationship between blockchain adoption and market efficiency. A dynamic panel approach such as System Generalised Method of Moments is therefore more appropriate for examining this relationship across countries and </w:t>
      </w:r>
      <w:proofErr w:type="gramStart"/>
      <w:r w:rsidRPr="00470AC8">
        <w:rPr>
          <w:sz w:val="19"/>
          <w:szCs w:val="19"/>
        </w:rPr>
        <w:t>over time</w:t>
      </w:r>
      <w:proofErr w:type="gramEnd"/>
      <w:r w:rsidRPr="00470AC8">
        <w:rPr>
          <w:sz w:val="19"/>
          <w:szCs w:val="19"/>
        </w:rPr>
        <w:t>.</w:t>
      </w:r>
    </w:p>
    <w:p w14:paraId="114ECB0D" w14:textId="77777777" w:rsidR="00F80353" w:rsidRPr="00470AC8" w:rsidRDefault="007F2E21">
      <w:pPr>
        <w:pStyle w:val="NormalWeb"/>
        <w:spacing w:beforeAutospacing="0" w:afterAutospacing="0"/>
        <w:jc w:val="both"/>
        <w:rPr>
          <w:sz w:val="19"/>
          <w:szCs w:val="19"/>
        </w:rPr>
      </w:pPr>
      <w:r w:rsidRPr="00470AC8">
        <w:rPr>
          <w:sz w:val="19"/>
          <w:szCs w:val="19"/>
        </w:rPr>
        <w:t>The study also addresses a theoretical gap. Blockchain adoption is often discussed from a technological innovation perspective, with limited integration of market efficiency theory, innovation diffusion, and technology acceptance perspectives. This study responds to these gaps by examining the effect of blockchain adoption on market efficiency in selected African capital markets from 2014 to 2025, while also assessing the moderating role of institutional quality.</w:t>
      </w:r>
    </w:p>
    <w:p w14:paraId="16D073F6" w14:textId="77777777" w:rsidR="00F80353" w:rsidRPr="00470AC8" w:rsidRDefault="00F80353">
      <w:pPr>
        <w:pStyle w:val="NormalWeb"/>
        <w:spacing w:beforeAutospacing="0" w:afterAutospacing="0"/>
        <w:jc w:val="both"/>
        <w:rPr>
          <w:sz w:val="19"/>
          <w:szCs w:val="19"/>
        </w:rPr>
      </w:pPr>
    </w:p>
    <w:p w14:paraId="55FD6DB9"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1.3 Research Questions</w:t>
      </w:r>
    </w:p>
    <w:p w14:paraId="76672560" w14:textId="77777777" w:rsidR="00F80353" w:rsidRPr="00470AC8" w:rsidRDefault="007F2E21">
      <w:pPr>
        <w:pStyle w:val="NormalWeb"/>
        <w:spacing w:beforeAutospacing="0" w:afterAutospacing="0"/>
        <w:jc w:val="both"/>
        <w:rPr>
          <w:sz w:val="19"/>
          <w:szCs w:val="19"/>
        </w:rPr>
      </w:pPr>
      <w:r w:rsidRPr="00470AC8">
        <w:rPr>
          <w:sz w:val="19"/>
          <w:szCs w:val="19"/>
        </w:rPr>
        <w:t xml:space="preserve">The main </w:t>
      </w:r>
      <w:proofErr w:type="gramStart"/>
      <w:r w:rsidRPr="00470AC8">
        <w:rPr>
          <w:sz w:val="19"/>
          <w:szCs w:val="19"/>
        </w:rPr>
        <w:t>research question</w:t>
      </w:r>
      <w:proofErr w:type="gramEnd"/>
      <w:r w:rsidRPr="00470AC8">
        <w:rPr>
          <w:sz w:val="19"/>
          <w:szCs w:val="19"/>
        </w:rPr>
        <w:t xml:space="preserve"> is:</w:t>
      </w:r>
    </w:p>
    <w:p w14:paraId="6E11C58A" w14:textId="77777777" w:rsidR="00F80353" w:rsidRPr="00470AC8" w:rsidRDefault="007F2E21">
      <w:pPr>
        <w:pStyle w:val="NormalWeb"/>
        <w:spacing w:beforeAutospacing="0" w:afterAutospacing="0"/>
        <w:jc w:val="both"/>
        <w:rPr>
          <w:sz w:val="19"/>
          <w:szCs w:val="19"/>
        </w:rPr>
      </w:pPr>
      <w:r w:rsidRPr="00470AC8">
        <w:rPr>
          <w:rStyle w:val="Strong"/>
          <w:sz w:val="19"/>
          <w:szCs w:val="19"/>
        </w:rPr>
        <w:t>Does blockchain adoption improve market efficiency in African capital markets?</w:t>
      </w:r>
    </w:p>
    <w:p w14:paraId="3AD42E1A" w14:textId="77777777" w:rsidR="00F80353" w:rsidRPr="00470AC8" w:rsidRDefault="007F2E21">
      <w:pPr>
        <w:pStyle w:val="NormalWeb"/>
        <w:spacing w:beforeAutospacing="0" w:afterAutospacing="0"/>
        <w:jc w:val="both"/>
        <w:rPr>
          <w:sz w:val="19"/>
          <w:szCs w:val="19"/>
        </w:rPr>
      </w:pPr>
      <w:r w:rsidRPr="00470AC8">
        <w:rPr>
          <w:sz w:val="19"/>
          <w:szCs w:val="19"/>
        </w:rPr>
        <w:t>The specific research questions are:</w:t>
      </w:r>
    </w:p>
    <w:p w14:paraId="78F975BB" w14:textId="77777777" w:rsidR="00F80353" w:rsidRPr="00470AC8" w:rsidRDefault="007F2E21">
      <w:pPr>
        <w:numPr>
          <w:ilvl w:val="0"/>
          <w:numId w:val="1"/>
        </w:numPr>
        <w:jc w:val="both"/>
        <w:rPr>
          <w:rFonts w:ascii="Times New Roman" w:hAnsi="Times New Roman" w:cs="Times New Roman"/>
          <w:sz w:val="19"/>
          <w:szCs w:val="19"/>
        </w:rPr>
      </w:pPr>
      <w:r w:rsidRPr="00470AC8">
        <w:rPr>
          <w:rFonts w:ascii="Times New Roman" w:hAnsi="Times New Roman" w:cs="Times New Roman"/>
          <w:sz w:val="19"/>
          <w:szCs w:val="19"/>
        </w:rPr>
        <w:t xml:space="preserve">What is the effect of blockchain adoption on stock return predictability in African capital markets? </w:t>
      </w:r>
    </w:p>
    <w:p w14:paraId="1526826B" w14:textId="77777777" w:rsidR="00F80353" w:rsidRPr="00470AC8" w:rsidRDefault="007F2E21">
      <w:pPr>
        <w:numPr>
          <w:ilvl w:val="0"/>
          <w:numId w:val="1"/>
        </w:numPr>
        <w:jc w:val="both"/>
        <w:rPr>
          <w:rFonts w:ascii="Times New Roman" w:hAnsi="Times New Roman" w:cs="Times New Roman"/>
          <w:sz w:val="19"/>
          <w:szCs w:val="19"/>
        </w:rPr>
      </w:pPr>
      <w:r w:rsidRPr="00470AC8">
        <w:rPr>
          <w:rFonts w:ascii="Times New Roman" w:hAnsi="Times New Roman" w:cs="Times New Roman"/>
          <w:sz w:val="19"/>
          <w:szCs w:val="19"/>
        </w:rPr>
        <w:t xml:space="preserve">Does blockchain adoption significantly reduce bid-ask spreads in African exchanges? </w:t>
      </w:r>
    </w:p>
    <w:p w14:paraId="0166038A" w14:textId="77777777" w:rsidR="00F80353" w:rsidRPr="00470AC8" w:rsidRDefault="007F2E21">
      <w:pPr>
        <w:numPr>
          <w:ilvl w:val="0"/>
          <w:numId w:val="1"/>
        </w:numPr>
        <w:jc w:val="both"/>
        <w:rPr>
          <w:rFonts w:ascii="Times New Roman" w:hAnsi="Times New Roman" w:cs="Times New Roman"/>
          <w:sz w:val="19"/>
          <w:szCs w:val="19"/>
        </w:rPr>
      </w:pPr>
      <w:r w:rsidRPr="00470AC8">
        <w:rPr>
          <w:rFonts w:ascii="Times New Roman" w:hAnsi="Times New Roman" w:cs="Times New Roman"/>
          <w:sz w:val="19"/>
          <w:szCs w:val="19"/>
        </w:rPr>
        <w:lastRenderedPageBreak/>
        <w:t xml:space="preserve">What is the relationship between blockchain adoption and the market turnover ratio in African capital markets? </w:t>
      </w:r>
    </w:p>
    <w:p w14:paraId="41A26F3E" w14:textId="77777777" w:rsidR="00F80353" w:rsidRPr="00470AC8" w:rsidRDefault="007F2E21">
      <w:pPr>
        <w:numPr>
          <w:ilvl w:val="0"/>
          <w:numId w:val="1"/>
        </w:numPr>
        <w:jc w:val="both"/>
        <w:rPr>
          <w:rFonts w:ascii="Times New Roman" w:hAnsi="Times New Roman" w:cs="Times New Roman"/>
          <w:sz w:val="19"/>
          <w:szCs w:val="19"/>
        </w:rPr>
      </w:pPr>
      <w:r w:rsidRPr="00470AC8">
        <w:rPr>
          <w:rFonts w:ascii="Times New Roman" w:hAnsi="Times New Roman" w:cs="Times New Roman"/>
          <w:sz w:val="19"/>
          <w:szCs w:val="19"/>
        </w:rPr>
        <w:t xml:space="preserve">Does institutional quality moderate the relationship between blockchain adoption and market efficiency? </w:t>
      </w:r>
    </w:p>
    <w:p w14:paraId="0F927A84" w14:textId="77777777" w:rsidR="00F80353" w:rsidRPr="00470AC8" w:rsidRDefault="007F2E21">
      <w:pPr>
        <w:numPr>
          <w:ilvl w:val="0"/>
          <w:numId w:val="1"/>
        </w:numPr>
        <w:jc w:val="both"/>
        <w:rPr>
          <w:rFonts w:ascii="Times New Roman" w:hAnsi="Times New Roman" w:cs="Times New Roman"/>
          <w:sz w:val="19"/>
          <w:szCs w:val="19"/>
        </w:rPr>
      </w:pPr>
      <w:r w:rsidRPr="00470AC8">
        <w:rPr>
          <w:rFonts w:ascii="Times New Roman" w:hAnsi="Times New Roman" w:cs="Times New Roman"/>
          <w:sz w:val="19"/>
          <w:szCs w:val="19"/>
        </w:rPr>
        <w:t xml:space="preserve">Do the effects of blockchain adoption differ across African capital markets? </w:t>
      </w:r>
    </w:p>
    <w:p w14:paraId="0172C27E" w14:textId="77777777" w:rsidR="00F80353" w:rsidRPr="00470AC8" w:rsidRDefault="00F80353">
      <w:pPr>
        <w:ind w:left="360"/>
        <w:jc w:val="both"/>
        <w:rPr>
          <w:rFonts w:ascii="Times New Roman" w:hAnsi="Times New Roman" w:cs="Times New Roman"/>
          <w:sz w:val="19"/>
          <w:szCs w:val="19"/>
        </w:rPr>
      </w:pPr>
    </w:p>
    <w:p w14:paraId="2A9C1984"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sz w:val="22"/>
        </w:rPr>
        <w:t>1.4 Significance of the Study</w:t>
      </w:r>
    </w:p>
    <w:p w14:paraId="418BAA35" w14:textId="77777777" w:rsidR="00F80353" w:rsidRPr="00470AC8" w:rsidRDefault="007F2E21">
      <w:pPr>
        <w:pStyle w:val="NormalWeb"/>
        <w:spacing w:beforeAutospacing="0" w:afterAutospacing="0"/>
        <w:jc w:val="both"/>
        <w:rPr>
          <w:sz w:val="19"/>
          <w:szCs w:val="19"/>
        </w:rPr>
      </w:pPr>
      <w:r w:rsidRPr="00470AC8">
        <w:rPr>
          <w:sz w:val="19"/>
          <w:szCs w:val="19"/>
        </w:rPr>
        <w:t>This study is significant to financial regulators, stock exchanges, policymakers, investors, fintech firms, and researchers. For regulators, the study provides empirical evidence on whether blockchain adoption can improve transparency, settlement efficiency, liquidity, and investor protection in African capital markets. For stock exchanges, it offers useful insights into how digital financial infrastructure can strengthen trading systems and market competitiveness.</w:t>
      </w:r>
    </w:p>
    <w:p w14:paraId="260D7CA6" w14:textId="77777777" w:rsidR="00F80353" w:rsidRPr="00470AC8" w:rsidRDefault="007F2E21">
      <w:pPr>
        <w:pStyle w:val="NormalWeb"/>
        <w:spacing w:beforeAutospacing="0" w:afterAutospacing="0"/>
        <w:jc w:val="both"/>
        <w:rPr>
          <w:sz w:val="19"/>
          <w:szCs w:val="19"/>
        </w:rPr>
      </w:pPr>
      <w:r w:rsidRPr="00470AC8">
        <w:rPr>
          <w:sz w:val="19"/>
          <w:szCs w:val="19"/>
        </w:rPr>
        <w:t>For policymakers, the findings may support policies on fintech regulation, digital infrastructure investment, and regional capital market integration, especially within the context of AfCFTA. Investors may also benefit from a clearer understanding of how blockchain adoption influences information efficiency, transaction costs, and market confidence.</w:t>
      </w:r>
    </w:p>
    <w:p w14:paraId="6E73AFBD" w14:textId="77777777" w:rsidR="00F80353" w:rsidRPr="00470AC8" w:rsidRDefault="007F2E21">
      <w:pPr>
        <w:pStyle w:val="NormalWeb"/>
        <w:spacing w:beforeAutospacing="0" w:afterAutospacing="0"/>
        <w:jc w:val="both"/>
        <w:rPr>
          <w:sz w:val="19"/>
          <w:szCs w:val="19"/>
        </w:rPr>
      </w:pPr>
      <w:r w:rsidRPr="00470AC8">
        <w:rPr>
          <w:sz w:val="19"/>
          <w:szCs w:val="19"/>
        </w:rPr>
        <w:t>The study is also useful to fintech firms and blockchain service providers because it identifies the institutional and market conditions that can support successful blockchain deployment in African financial systems. Academically, the study contributes to the literature by providing cross-country evidence on blockchain adoption and market efficiency in African capital markets using a dynamic panel approach.</w:t>
      </w:r>
    </w:p>
    <w:p w14:paraId="6729D1C8" w14:textId="77777777" w:rsidR="00F80353" w:rsidRPr="00470AC8" w:rsidRDefault="00F80353">
      <w:pPr>
        <w:pStyle w:val="NormalWeb"/>
        <w:spacing w:beforeAutospacing="0" w:afterAutospacing="0"/>
        <w:jc w:val="both"/>
        <w:rPr>
          <w:sz w:val="19"/>
          <w:szCs w:val="19"/>
        </w:rPr>
      </w:pPr>
    </w:p>
    <w:p w14:paraId="4A61C3B1"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sz w:val="22"/>
        </w:rPr>
        <w:t>1.5 Research Objectives</w:t>
      </w:r>
    </w:p>
    <w:p w14:paraId="239D3592" w14:textId="77777777" w:rsidR="00F80353" w:rsidRPr="00470AC8" w:rsidRDefault="007F2E21">
      <w:pPr>
        <w:pStyle w:val="NormalWeb"/>
        <w:spacing w:beforeAutospacing="0" w:afterAutospacing="0"/>
        <w:jc w:val="both"/>
        <w:rPr>
          <w:sz w:val="19"/>
          <w:szCs w:val="19"/>
        </w:rPr>
      </w:pPr>
      <w:r w:rsidRPr="00470AC8">
        <w:rPr>
          <w:sz w:val="19"/>
          <w:szCs w:val="19"/>
        </w:rPr>
        <w:t>The main objective of the study is:</w:t>
      </w:r>
    </w:p>
    <w:p w14:paraId="611CD477" w14:textId="77777777" w:rsidR="00F80353" w:rsidRPr="00470AC8" w:rsidRDefault="007F2E21">
      <w:pPr>
        <w:pStyle w:val="NormalWeb"/>
        <w:spacing w:beforeAutospacing="0" w:afterAutospacing="0"/>
        <w:jc w:val="both"/>
        <w:rPr>
          <w:sz w:val="19"/>
          <w:szCs w:val="19"/>
        </w:rPr>
      </w:pPr>
      <w:r w:rsidRPr="00470AC8">
        <w:rPr>
          <w:rStyle w:val="Strong"/>
          <w:sz w:val="19"/>
          <w:szCs w:val="19"/>
        </w:rPr>
        <w:t>To examine the effect of blockchain adoption on market efficiency in African capital markets.</w:t>
      </w:r>
    </w:p>
    <w:p w14:paraId="2A0FBC70" w14:textId="77777777" w:rsidR="00F80353" w:rsidRPr="00470AC8" w:rsidRDefault="007F2E21">
      <w:pPr>
        <w:pStyle w:val="NormalWeb"/>
        <w:spacing w:beforeAutospacing="0" w:afterAutospacing="0"/>
        <w:jc w:val="both"/>
        <w:rPr>
          <w:sz w:val="19"/>
          <w:szCs w:val="19"/>
        </w:rPr>
      </w:pPr>
      <w:r w:rsidRPr="00470AC8">
        <w:rPr>
          <w:sz w:val="19"/>
          <w:szCs w:val="19"/>
        </w:rPr>
        <w:t>The specific objectives are:</w:t>
      </w:r>
    </w:p>
    <w:p w14:paraId="38BCDB0C" w14:textId="77777777" w:rsidR="00F80353" w:rsidRPr="00470AC8" w:rsidRDefault="007F2E21">
      <w:pPr>
        <w:numPr>
          <w:ilvl w:val="0"/>
          <w:numId w:val="2"/>
        </w:numPr>
        <w:jc w:val="both"/>
        <w:rPr>
          <w:rFonts w:ascii="Times New Roman" w:hAnsi="Times New Roman" w:cs="Times New Roman"/>
          <w:sz w:val="19"/>
          <w:szCs w:val="19"/>
        </w:rPr>
      </w:pPr>
      <w:r w:rsidRPr="00470AC8">
        <w:rPr>
          <w:rFonts w:ascii="Times New Roman" w:hAnsi="Times New Roman" w:cs="Times New Roman"/>
          <w:sz w:val="19"/>
          <w:szCs w:val="19"/>
        </w:rPr>
        <w:t xml:space="preserve">To examine the effect of blockchain adoption on stock return predictability in African capital markets. </w:t>
      </w:r>
    </w:p>
    <w:p w14:paraId="402C2457" w14:textId="77777777" w:rsidR="00F80353" w:rsidRPr="00470AC8" w:rsidRDefault="007F2E21">
      <w:pPr>
        <w:numPr>
          <w:ilvl w:val="0"/>
          <w:numId w:val="2"/>
        </w:numPr>
        <w:jc w:val="both"/>
        <w:rPr>
          <w:rFonts w:ascii="Times New Roman" w:hAnsi="Times New Roman" w:cs="Times New Roman"/>
          <w:sz w:val="19"/>
          <w:szCs w:val="19"/>
        </w:rPr>
      </w:pPr>
      <w:r w:rsidRPr="00470AC8">
        <w:rPr>
          <w:rFonts w:ascii="Times New Roman" w:hAnsi="Times New Roman" w:cs="Times New Roman"/>
          <w:sz w:val="19"/>
          <w:szCs w:val="19"/>
        </w:rPr>
        <w:t xml:space="preserve">To investigate whether blockchain adoption reduces bid-ask spreads in African exchanges. </w:t>
      </w:r>
    </w:p>
    <w:p w14:paraId="787AF44B" w14:textId="77777777" w:rsidR="00F80353" w:rsidRPr="00470AC8" w:rsidRDefault="007F2E21">
      <w:pPr>
        <w:numPr>
          <w:ilvl w:val="0"/>
          <w:numId w:val="2"/>
        </w:numPr>
        <w:jc w:val="both"/>
        <w:rPr>
          <w:rFonts w:ascii="Times New Roman" w:hAnsi="Times New Roman" w:cs="Times New Roman"/>
          <w:sz w:val="19"/>
          <w:szCs w:val="19"/>
        </w:rPr>
      </w:pPr>
      <w:r w:rsidRPr="00470AC8">
        <w:rPr>
          <w:rFonts w:ascii="Times New Roman" w:hAnsi="Times New Roman" w:cs="Times New Roman"/>
          <w:sz w:val="19"/>
          <w:szCs w:val="19"/>
        </w:rPr>
        <w:t xml:space="preserve">To assess the relationship between blockchain adoption and the market turnover ratio. </w:t>
      </w:r>
    </w:p>
    <w:p w14:paraId="1FFAE785" w14:textId="77777777" w:rsidR="00F80353" w:rsidRPr="00470AC8" w:rsidRDefault="007F2E21">
      <w:pPr>
        <w:numPr>
          <w:ilvl w:val="0"/>
          <w:numId w:val="2"/>
        </w:numPr>
        <w:jc w:val="both"/>
        <w:rPr>
          <w:rFonts w:ascii="Times New Roman" w:hAnsi="Times New Roman" w:cs="Times New Roman"/>
          <w:sz w:val="19"/>
          <w:szCs w:val="19"/>
        </w:rPr>
      </w:pPr>
      <w:r w:rsidRPr="00470AC8">
        <w:rPr>
          <w:rFonts w:ascii="Times New Roman" w:hAnsi="Times New Roman" w:cs="Times New Roman"/>
          <w:sz w:val="19"/>
          <w:szCs w:val="19"/>
        </w:rPr>
        <w:t xml:space="preserve">To evaluate the moderating effect of institutional quality on the relationship between blockchain adoption and market efficiency. </w:t>
      </w:r>
    </w:p>
    <w:p w14:paraId="77909FF9" w14:textId="77777777" w:rsidR="00F80353" w:rsidRPr="00470AC8" w:rsidRDefault="007F2E21">
      <w:pPr>
        <w:numPr>
          <w:ilvl w:val="0"/>
          <w:numId w:val="2"/>
        </w:numPr>
        <w:jc w:val="both"/>
        <w:rPr>
          <w:rFonts w:ascii="Times New Roman" w:hAnsi="Times New Roman" w:cs="Times New Roman"/>
          <w:sz w:val="19"/>
          <w:szCs w:val="19"/>
        </w:rPr>
      </w:pPr>
      <w:r w:rsidRPr="00470AC8">
        <w:rPr>
          <w:rFonts w:ascii="Times New Roman" w:hAnsi="Times New Roman" w:cs="Times New Roman"/>
          <w:sz w:val="19"/>
          <w:szCs w:val="19"/>
        </w:rPr>
        <w:t xml:space="preserve">To examine whether the effects of blockchain adoption differ across African capital markets. </w:t>
      </w:r>
    </w:p>
    <w:p w14:paraId="0255F851" w14:textId="77777777" w:rsidR="00F80353" w:rsidRPr="00470AC8" w:rsidRDefault="00F80353">
      <w:pPr>
        <w:ind w:left="360"/>
        <w:jc w:val="both"/>
        <w:rPr>
          <w:rFonts w:ascii="Times New Roman" w:hAnsi="Times New Roman" w:cs="Times New Roman"/>
          <w:sz w:val="19"/>
          <w:szCs w:val="19"/>
        </w:rPr>
      </w:pPr>
    </w:p>
    <w:p w14:paraId="3723DB6C" w14:textId="77777777" w:rsidR="00F80353" w:rsidRPr="00470AC8" w:rsidRDefault="007F2E21">
      <w:pPr>
        <w:pStyle w:val="NormalWeb"/>
        <w:spacing w:beforeAutospacing="0" w:afterAutospacing="0"/>
        <w:jc w:val="both"/>
        <w:rPr>
          <w:b/>
          <w:bCs/>
          <w:sz w:val="22"/>
          <w:szCs w:val="22"/>
          <w:lang w:val="en-CA"/>
        </w:rPr>
      </w:pPr>
      <w:r w:rsidRPr="00470AC8">
        <w:rPr>
          <w:b/>
          <w:bCs/>
          <w:sz w:val="22"/>
          <w:szCs w:val="22"/>
          <w:lang w:val="en-CA"/>
        </w:rPr>
        <w:t>2.0 Literature Review</w:t>
      </w:r>
    </w:p>
    <w:p w14:paraId="75A58737"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 Conceptual Review</w:t>
      </w:r>
    </w:p>
    <w:p w14:paraId="6A4136AC"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2.1.1 Blockchain Technology in Financial Markets</w:t>
      </w:r>
    </w:p>
    <w:p w14:paraId="62DB61B0" w14:textId="77777777" w:rsidR="00F80353" w:rsidRPr="00470AC8" w:rsidRDefault="007F2E21">
      <w:pPr>
        <w:pStyle w:val="NormalWeb"/>
        <w:spacing w:beforeAutospacing="0" w:afterAutospacing="0"/>
        <w:jc w:val="both"/>
        <w:rPr>
          <w:sz w:val="19"/>
          <w:szCs w:val="19"/>
        </w:rPr>
      </w:pPr>
      <w:r w:rsidRPr="00470AC8">
        <w:rPr>
          <w:sz w:val="19"/>
          <w:szCs w:val="19"/>
        </w:rPr>
        <w:t>Blockchain technology is a decentralised digital ledger system that records, verifies, and stores transactions across multiple network participants in a secure and tamper-resistant manner. Unlike conventional centralised databases, blockchain operates through distributed ledger technology, where transaction records are shared across network nodes and updated simultaneously. This structure reduces excessive dependence on intermediaries, improves data integrity, and strengthens transparency in financial transactions (</w:t>
      </w:r>
      <w:proofErr w:type="spellStart"/>
      <w:r w:rsidRPr="00470AC8">
        <w:rPr>
          <w:sz w:val="19"/>
          <w:szCs w:val="19"/>
        </w:rPr>
        <w:t>Treiblmaier</w:t>
      </w:r>
      <w:proofErr w:type="spellEnd"/>
      <w:r w:rsidRPr="00470AC8">
        <w:rPr>
          <w:sz w:val="19"/>
          <w:szCs w:val="19"/>
        </w:rPr>
        <w:t xml:space="preserve"> &amp; Clohessy, 2020).</w:t>
      </w:r>
    </w:p>
    <w:p w14:paraId="153F8AC9" w14:textId="77777777" w:rsidR="00F80353" w:rsidRPr="00470AC8" w:rsidRDefault="007F2E21">
      <w:pPr>
        <w:pStyle w:val="NormalWeb"/>
        <w:spacing w:beforeAutospacing="0" w:afterAutospacing="0"/>
        <w:jc w:val="both"/>
        <w:rPr>
          <w:sz w:val="19"/>
          <w:szCs w:val="19"/>
        </w:rPr>
      </w:pPr>
      <w:r w:rsidRPr="00470AC8">
        <w:rPr>
          <w:sz w:val="19"/>
          <w:szCs w:val="19"/>
        </w:rPr>
        <w:t xml:space="preserve">In financial markets, blockchain is increasingly relevant because it can improve trading, clearing, settlement, custody, and compliance processes. Traditional securities transactions often pass through several intermediaries, including brokers, custodians, clearing houses, and settlement agents. These layers may increase transaction costs, settlement delays, and reconciliation risks. Blockchain-based systems can reduce these frictions by allowing synchronised verification and real-time updating of transaction records among </w:t>
      </w:r>
      <w:proofErr w:type="spellStart"/>
      <w:r w:rsidRPr="00470AC8">
        <w:rPr>
          <w:sz w:val="19"/>
          <w:szCs w:val="19"/>
        </w:rPr>
        <w:t>authorised</w:t>
      </w:r>
      <w:proofErr w:type="spellEnd"/>
      <w:r w:rsidRPr="00470AC8">
        <w:rPr>
          <w:sz w:val="19"/>
          <w:szCs w:val="19"/>
        </w:rPr>
        <w:t xml:space="preserve"> participants (</w:t>
      </w:r>
      <w:proofErr w:type="spellStart"/>
      <w:r w:rsidRPr="00470AC8">
        <w:rPr>
          <w:sz w:val="19"/>
          <w:szCs w:val="19"/>
        </w:rPr>
        <w:t>Dowelani</w:t>
      </w:r>
      <w:proofErr w:type="spellEnd"/>
      <w:r w:rsidRPr="00470AC8">
        <w:rPr>
          <w:sz w:val="19"/>
          <w:szCs w:val="19"/>
        </w:rPr>
        <w:t xml:space="preserve"> et al., 2023).</w:t>
      </w:r>
    </w:p>
    <w:p w14:paraId="41BBFF6F" w14:textId="77777777" w:rsidR="00F80353" w:rsidRPr="00470AC8" w:rsidRDefault="007F2E21">
      <w:pPr>
        <w:pStyle w:val="NormalWeb"/>
        <w:spacing w:beforeAutospacing="0" w:afterAutospacing="0"/>
        <w:jc w:val="both"/>
        <w:rPr>
          <w:sz w:val="19"/>
          <w:szCs w:val="19"/>
        </w:rPr>
      </w:pPr>
      <w:r w:rsidRPr="00470AC8">
        <w:rPr>
          <w:sz w:val="19"/>
          <w:szCs w:val="19"/>
        </w:rPr>
        <w:t>Smart contracts also strengthen blockchain’s relevance to capital markets. They are self-executing digital agreements that automatically enforce contractual terms once predetermined conditions are met. In securities markets, smart contracts can support automated settlement, dividend payment, securities issuance, compliance monitoring, and transaction verification. This reduces manual intervention and may lower counterparty and operational risks (Casino et al., 2019).</w:t>
      </w:r>
    </w:p>
    <w:p w14:paraId="64432AED" w14:textId="77777777" w:rsidR="00F80353" w:rsidRPr="00470AC8" w:rsidRDefault="007F2E21">
      <w:pPr>
        <w:pStyle w:val="NormalWeb"/>
        <w:spacing w:beforeAutospacing="0" w:afterAutospacing="0"/>
        <w:jc w:val="both"/>
        <w:rPr>
          <w:sz w:val="19"/>
          <w:szCs w:val="19"/>
        </w:rPr>
      </w:pPr>
      <w:r w:rsidRPr="00470AC8">
        <w:rPr>
          <w:sz w:val="19"/>
          <w:szCs w:val="19"/>
        </w:rPr>
        <w:t xml:space="preserve">Blockchain has also encouraged asset tokenisation, which involves representing financial assets such as equities, bonds, and commodities in digital form. Tokenisation may improve market accessibility by allowing fractional ownership and wider investor participation. This is particularly important in African capital markets, where low investor participation and weak liquidity remain major constraints (Chen &amp; </w:t>
      </w:r>
      <w:proofErr w:type="spellStart"/>
      <w:r w:rsidRPr="00470AC8">
        <w:rPr>
          <w:sz w:val="19"/>
          <w:szCs w:val="19"/>
        </w:rPr>
        <w:t>Bellavitis</w:t>
      </w:r>
      <w:proofErr w:type="spellEnd"/>
      <w:r w:rsidRPr="00470AC8">
        <w:rPr>
          <w:sz w:val="19"/>
          <w:szCs w:val="19"/>
        </w:rPr>
        <w:t>, 2020).</w:t>
      </w:r>
    </w:p>
    <w:p w14:paraId="7FD2AB9F" w14:textId="77777777" w:rsidR="00F80353" w:rsidRPr="00470AC8" w:rsidRDefault="007F2E21">
      <w:pPr>
        <w:pStyle w:val="NormalWeb"/>
        <w:spacing w:beforeAutospacing="0" w:afterAutospacing="0"/>
        <w:jc w:val="both"/>
        <w:rPr>
          <w:sz w:val="19"/>
          <w:szCs w:val="19"/>
        </w:rPr>
      </w:pPr>
      <w:r w:rsidRPr="00470AC8">
        <w:rPr>
          <w:sz w:val="19"/>
          <w:szCs w:val="19"/>
        </w:rPr>
        <w:t xml:space="preserve">For emerging markets, blockchain’s strongest promise lies in post-trade infrastructure. Many African exchanges still experience slow settlement cycles, fragmented clearing systems, and limited transparency. Blockchain-based settlement can shorten settlement periods, improve auditability, reduce reconciliation </w:t>
      </w:r>
      <w:r w:rsidRPr="00470AC8">
        <w:rPr>
          <w:sz w:val="19"/>
          <w:szCs w:val="19"/>
        </w:rPr>
        <w:lastRenderedPageBreak/>
        <w:t>errors, and strengthen investor confidence. These features make blockchain a potentially useful tool for improving market efficiency in African capital markets (OECD, 2025).</w:t>
      </w:r>
    </w:p>
    <w:p w14:paraId="500EF7AF" w14:textId="77777777" w:rsidR="00F80353" w:rsidRPr="00470AC8" w:rsidRDefault="00F80353">
      <w:pPr>
        <w:pStyle w:val="NormalWeb"/>
        <w:spacing w:beforeAutospacing="0" w:afterAutospacing="0"/>
        <w:jc w:val="both"/>
        <w:rPr>
          <w:sz w:val="19"/>
          <w:szCs w:val="19"/>
        </w:rPr>
      </w:pPr>
    </w:p>
    <w:p w14:paraId="6940D767"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2.1.2 Blockchain Adoption in Capital Markets</w:t>
      </w:r>
    </w:p>
    <w:p w14:paraId="77947AA8" w14:textId="77777777" w:rsidR="00F80353" w:rsidRPr="00470AC8" w:rsidRDefault="007F2E21">
      <w:pPr>
        <w:pStyle w:val="NormalWeb"/>
        <w:spacing w:beforeAutospacing="0" w:afterAutospacing="0"/>
        <w:jc w:val="both"/>
        <w:rPr>
          <w:sz w:val="19"/>
          <w:szCs w:val="19"/>
        </w:rPr>
      </w:pPr>
      <w:r w:rsidRPr="00470AC8">
        <w:rPr>
          <w:sz w:val="19"/>
          <w:szCs w:val="19"/>
        </w:rPr>
        <w:t>Blockchain adoption in capital markets refers to the integration of blockchain-enabled systems into trading, clearing, settlement, custody, reporting, and regulatory processes. It forms part of the broader digital transformation of financial markets, where exchanges and regulators use technology to improve efficiency, transparency, liquidity, and investor protection.</w:t>
      </w:r>
    </w:p>
    <w:p w14:paraId="163282FC" w14:textId="77777777" w:rsidR="00F80353" w:rsidRPr="00470AC8" w:rsidRDefault="007F2E21">
      <w:pPr>
        <w:pStyle w:val="NormalWeb"/>
        <w:spacing w:beforeAutospacing="0" w:afterAutospacing="0"/>
        <w:jc w:val="both"/>
        <w:rPr>
          <w:sz w:val="19"/>
          <w:szCs w:val="19"/>
        </w:rPr>
      </w:pPr>
      <w:r w:rsidRPr="00470AC8">
        <w:rPr>
          <w:sz w:val="19"/>
          <w:szCs w:val="19"/>
        </w:rPr>
        <w:t>One major dimension of blockchain adoption is exchange digitisation. Many stock exchanges have moved from manual or semi-manual systems to electronic trading platforms, automated disclosure channels, and digital surveillance systems. African exchanges such as the Nigerian Exchange Group, Johannesburg Stock Exchange, and Nairobi Securities Exchange have also invested in electronic trading and digital market infrastructure to improve trading efficiency and market integrity (African Securities Exchanges Association &amp; Oxford Business Group, 2022). Blockchain extends this process by improving transaction security, data reliability, and transparency.</w:t>
      </w:r>
    </w:p>
    <w:p w14:paraId="2AD7AC14" w14:textId="77777777" w:rsidR="00F80353" w:rsidRPr="00470AC8" w:rsidRDefault="007F2E21">
      <w:pPr>
        <w:pStyle w:val="NormalWeb"/>
        <w:spacing w:beforeAutospacing="0" w:afterAutospacing="0"/>
        <w:jc w:val="both"/>
        <w:rPr>
          <w:sz w:val="19"/>
          <w:szCs w:val="19"/>
        </w:rPr>
      </w:pPr>
      <w:r w:rsidRPr="00470AC8">
        <w:rPr>
          <w:sz w:val="19"/>
          <w:szCs w:val="19"/>
        </w:rPr>
        <w:t>Another dimension is the modernisation of Central Securities Depositories. CSDs play a major role in securities registration, custody, clearing, and settlement. In many emerging markets, traditional CSD systems face settlement delays, operational complexity, and reconciliation challenges. Blockchain-enabled CSD systems can support simultaneous verification, shared transaction records, and faster settlement. This can reduce settlement risk and improve the reliability of post-trade processes (Peters &amp; Panayi, 2016).</w:t>
      </w:r>
    </w:p>
    <w:p w14:paraId="2EF14D63" w14:textId="77777777" w:rsidR="00F80353" w:rsidRPr="00470AC8" w:rsidRDefault="007F2E21">
      <w:pPr>
        <w:pStyle w:val="NormalWeb"/>
        <w:spacing w:beforeAutospacing="0" w:afterAutospacing="0"/>
        <w:jc w:val="both"/>
        <w:rPr>
          <w:sz w:val="19"/>
          <w:szCs w:val="19"/>
        </w:rPr>
      </w:pPr>
      <w:r w:rsidRPr="00470AC8">
        <w:rPr>
          <w:sz w:val="19"/>
          <w:szCs w:val="19"/>
        </w:rPr>
        <w:t>Blockchain adoption also depends on regulatory innovation. Capital market blockchain systems require legal certainty, cybersecurity safeguards, investor protection rules, and regulatory acceptance. Countries have increasingly explored fintech regulation, innovation facilitators, and digital-finance policy responses while balancing innovation with financial stability and integrity (International Monetary Fund &amp; World Bank, 2019). However, adoption outcomes vary because African capital markets differ in institutional capacity, regulatory readiness, technological infrastructure, and investor confidence.</w:t>
      </w:r>
    </w:p>
    <w:p w14:paraId="7A32ABCC" w14:textId="77777777" w:rsidR="00F80353" w:rsidRPr="00470AC8" w:rsidRDefault="007F2E21">
      <w:pPr>
        <w:pStyle w:val="NormalWeb"/>
        <w:spacing w:beforeAutospacing="0" w:afterAutospacing="0"/>
        <w:jc w:val="both"/>
        <w:rPr>
          <w:sz w:val="19"/>
          <w:szCs w:val="19"/>
        </w:rPr>
      </w:pPr>
      <w:r w:rsidRPr="00470AC8">
        <w:rPr>
          <w:sz w:val="19"/>
          <w:szCs w:val="19"/>
        </w:rPr>
        <w:t>In this study, blockchain adoption is treated as a multidimensional construct captured through a Blockchain Adoption Index. The index reflects blockchain infrastructure, digital settlement systems, CSD digitisation, fintech ecosystem development, blockchain regulation, and broader financial digitalisation. This approach is useful because blockchain adoption cannot be properly measured with a single indicator.</w:t>
      </w:r>
    </w:p>
    <w:p w14:paraId="04F5B357" w14:textId="77777777" w:rsidR="00F80353" w:rsidRPr="00470AC8" w:rsidRDefault="007F2E21">
      <w:pPr>
        <w:jc w:val="both"/>
        <w:rPr>
          <w:rFonts w:ascii="Times New Roman" w:eastAsia="SimSun" w:hAnsi="Times New Roman" w:cs="Times New Roman"/>
          <w:b/>
          <w:bCs/>
          <w:sz w:val="19"/>
          <w:szCs w:val="19"/>
          <w:lang w:val="en-CA" w:bidi="ar"/>
        </w:rPr>
      </w:pPr>
      <w:r w:rsidRPr="00470AC8">
        <w:rPr>
          <w:rFonts w:ascii="Times New Roman" w:eastAsia="SimSun" w:hAnsi="Times New Roman" w:cs="Times New Roman"/>
          <w:b/>
          <w:bCs/>
          <w:noProof/>
          <w:sz w:val="19"/>
          <w:szCs w:val="19"/>
          <w:lang w:val="en-CA" w:bidi="ar"/>
        </w:rPr>
        <w:drawing>
          <wp:inline distT="0" distB="0" distL="114300" distR="114300" wp14:anchorId="75625242" wp14:editId="57FAA44A">
            <wp:extent cx="4364355" cy="2580640"/>
            <wp:effectExtent l="0" t="0" r="17145" b="10160"/>
            <wp:docPr id="2" name="Picture 2" descr="ChatGPT Image May 26, 2026, 03_35_17 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tGPT Image May 26, 2026, 03_35_17 AM"/>
                    <pic:cNvPicPr>
                      <a:picLocks noChangeAspect="1"/>
                    </pic:cNvPicPr>
                  </pic:nvPicPr>
                  <pic:blipFill>
                    <a:blip r:embed="rId8"/>
                    <a:srcRect l="2292" t="1481" r="2250" b="4444"/>
                    <a:stretch>
                      <a:fillRect/>
                    </a:stretch>
                  </pic:blipFill>
                  <pic:spPr>
                    <a:xfrm>
                      <a:off x="0" y="0"/>
                      <a:ext cx="4364355" cy="2580640"/>
                    </a:xfrm>
                    <a:prstGeom prst="rect">
                      <a:avLst/>
                    </a:prstGeom>
                  </pic:spPr>
                </pic:pic>
              </a:graphicData>
            </a:graphic>
          </wp:inline>
        </w:drawing>
      </w:r>
    </w:p>
    <w:p w14:paraId="60EDB864" w14:textId="77777777" w:rsidR="00F80353" w:rsidRPr="00470AC8" w:rsidRDefault="00F80353">
      <w:pPr>
        <w:jc w:val="both"/>
        <w:rPr>
          <w:rFonts w:ascii="Times New Roman" w:eastAsia="SimSun" w:hAnsi="Times New Roman" w:cs="Times New Roman"/>
          <w:b/>
          <w:bCs/>
          <w:sz w:val="19"/>
          <w:szCs w:val="19"/>
          <w:lang w:bidi="ar"/>
        </w:rPr>
      </w:pPr>
    </w:p>
    <w:p w14:paraId="1AC7BF7A" w14:textId="77777777" w:rsidR="00F80353" w:rsidRPr="00470AC8" w:rsidRDefault="007F2E21">
      <w:pPr>
        <w:jc w:val="both"/>
        <w:rPr>
          <w:rFonts w:ascii="Times New Roman" w:hAnsi="Times New Roman" w:cs="Times New Roman"/>
          <w:sz w:val="19"/>
          <w:szCs w:val="19"/>
        </w:rPr>
      </w:pPr>
      <w:r w:rsidRPr="00470AC8">
        <w:rPr>
          <w:rFonts w:ascii="Times New Roman" w:hAnsi="Times New Roman" w:cs="Times New Roman"/>
          <w:sz w:val="19"/>
          <w:szCs w:val="19"/>
        </w:rPr>
        <w:t xml:space="preserve">Figure </w:t>
      </w:r>
      <w:r w:rsidRPr="00470AC8">
        <w:rPr>
          <w:rFonts w:ascii="Times New Roman" w:hAnsi="Times New Roman" w:cs="Times New Roman"/>
          <w:sz w:val="19"/>
          <w:szCs w:val="19"/>
          <w:lang w:val="en-CA"/>
        </w:rPr>
        <w:t>1</w:t>
      </w:r>
      <w:r w:rsidRPr="00470AC8">
        <w:rPr>
          <w:rFonts w:ascii="Times New Roman" w:hAnsi="Times New Roman" w:cs="Times New Roman"/>
          <w:sz w:val="19"/>
          <w:szCs w:val="19"/>
        </w:rPr>
        <w:t>: Blockchain Adoption Transmission Mechanism and Market Efficiency in African Capital Markets</w:t>
      </w:r>
    </w:p>
    <w:p w14:paraId="7C097B6A" w14:textId="77777777" w:rsidR="00F80353" w:rsidRPr="00470AC8" w:rsidRDefault="007F2E21">
      <w:pPr>
        <w:jc w:val="both"/>
        <w:rPr>
          <w:rFonts w:ascii="Times New Roman" w:hAnsi="Times New Roman" w:cs="Times New Roman"/>
          <w:sz w:val="19"/>
          <w:szCs w:val="19"/>
        </w:rPr>
      </w:pPr>
      <w:r w:rsidRPr="00470AC8">
        <w:rPr>
          <w:rFonts w:ascii="Times New Roman" w:hAnsi="Times New Roman" w:cs="Times New Roman"/>
          <w:sz w:val="19"/>
          <w:szCs w:val="19"/>
        </w:rPr>
        <w:t>Source: Researcher’s Conceptualization (2026)</w:t>
      </w:r>
    </w:p>
    <w:p w14:paraId="12D09862" w14:textId="77777777" w:rsidR="00F80353" w:rsidRPr="00470AC8" w:rsidRDefault="00F80353">
      <w:pPr>
        <w:pStyle w:val="NormalWeb"/>
        <w:spacing w:beforeAutospacing="0" w:afterAutospacing="0"/>
        <w:jc w:val="both"/>
        <w:rPr>
          <w:sz w:val="19"/>
          <w:szCs w:val="19"/>
        </w:rPr>
      </w:pPr>
    </w:p>
    <w:p w14:paraId="67729947"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2.1.3 Market Efficiency</w:t>
      </w:r>
    </w:p>
    <w:p w14:paraId="326F230B" w14:textId="77777777" w:rsidR="00F80353" w:rsidRPr="00470AC8" w:rsidRDefault="007F2E21">
      <w:pPr>
        <w:pStyle w:val="NormalWeb"/>
        <w:spacing w:beforeAutospacing="0" w:afterAutospacing="0"/>
        <w:jc w:val="both"/>
        <w:rPr>
          <w:sz w:val="19"/>
          <w:szCs w:val="19"/>
        </w:rPr>
      </w:pPr>
      <w:r w:rsidRPr="00470AC8">
        <w:rPr>
          <w:sz w:val="19"/>
          <w:szCs w:val="19"/>
        </w:rPr>
        <w:t xml:space="preserve">Market efficiency refers to the extent to which security prices accurately and quickly </w:t>
      </w:r>
      <w:proofErr w:type="gramStart"/>
      <w:r w:rsidRPr="00470AC8">
        <w:rPr>
          <w:sz w:val="19"/>
          <w:szCs w:val="19"/>
        </w:rPr>
        <w:t>reflect</w:t>
      </w:r>
      <w:proofErr w:type="gramEnd"/>
      <w:r w:rsidRPr="00470AC8">
        <w:rPr>
          <w:sz w:val="19"/>
          <w:szCs w:val="19"/>
        </w:rPr>
        <w:t xml:space="preserve"> available information. The concept is rooted in the Efficient Market Hypothesis, which argues that efficient markets incorporate relevant information into prices, thereby limiting the possibility of consistently earning abnormal returns (Fama, 1970).</w:t>
      </w:r>
    </w:p>
    <w:p w14:paraId="6CA02633" w14:textId="77777777" w:rsidR="00F80353" w:rsidRPr="00470AC8" w:rsidRDefault="007F2E21">
      <w:pPr>
        <w:pStyle w:val="NormalWeb"/>
        <w:spacing w:beforeAutospacing="0" w:afterAutospacing="0"/>
        <w:jc w:val="both"/>
        <w:rPr>
          <w:sz w:val="19"/>
          <w:szCs w:val="19"/>
        </w:rPr>
      </w:pPr>
      <w:r w:rsidRPr="00470AC8">
        <w:rPr>
          <w:sz w:val="19"/>
          <w:szCs w:val="19"/>
        </w:rPr>
        <w:t>Market efficiency is usually discussed in three forms. Weak-form efficiency exists when current prices reflect historical price and trading information. In such markets, investors cannot consistently earn abnormal returns through technical analysis. Semi-strong efficiency exists when prices reflect all publicly available information, including corporate disclosures, macroeconomic news, and regulatory announcements. Strong-</w:t>
      </w:r>
      <w:r w:rsidRPr="00470AC8">
        <w:rPr>
          <w:sz w:val="19"/>
          <w:szCs w:val="19"/>
        </w:rPr>
        <w:lastRenderedPageBreak/>
        <w:t>form efficiency exists when prices reflect both public and private information, although this form is rarely achieved in practice, especially in emerging markets.</w:t>
      </w:r>
    </w:p>
    <w:p w14:paraId="56E65E20" w14:textId="77777777" w:rsidR="00F80353" w:rsidRPr="00470AC8" w:rsidRDefault="007F2E21">
      <w:pPr>
        <w:pStyle w:val="NormalWeb"/>
        <w:spacing w:beforeAutospacing="0" w:afterAutospacing="0"/>
        <w:jc w:val="both"/>
        <w:rPr>
          <w:sz w:val="19"/>
          <w:szCs w:val="19"/>
        </w:rPr>
      </w:pPr>
      <w:r w:rsidRPr="00470AC8">
        <w:rPr>
          <w:sz w:val="19"/>
          <w:szCs w:val="19"/>
        </w:rPr>
        <w:t>African capital markets often show signs of weak and semi-strong inefficiency. These include low liquidity, delayed information dissemination, high transaction costs, wide bid-ask spreads, weak market depth, and return predictability. Such conditions suggest that prices do not always adjust quickly to available information. As a result, investors may face higher trading costs and greater uncertainty.</w:t>
      </w:r>
    </w:p>
    <w:p w14:paraId="5EB5C52B" w14:textId="77777777" w:rsidR="00F80353" w:rsidRPr="00470AC8" w:rsidRDefault="007F2E21">
      <w:pPr>
        <w:pStyle w:val="NormalWeb"/>
        <w:spacing w:beforeAutospacing="0" w:afterAutospacing="0"/>
        <w:jc w:val="both"/>
        <w:rPr>
          <w:sz w:val="19"/>
          <w:szCs w:val="19"/>
        </w:rPr>
      </w:pPr>
      <w:r w:rsidRPr="00470AC8">
        <w:rPr>
          <w:sz w:val="19"/>
          <w:szCs w:val="19"/>
        </w:rPr>
        <w:t>Blockchain technology may improve market efficiency by strengthening transparency, speeding up settlement, reducing information asymmetry, and improving transaction traceability. When market participants have better access to reliable and timely information, price discovery becomes more efficient. However, the efficiency gains from blockchain adoption depend on the quality of market regulation, institutional trust, and digital infrastructure.</w:t>
      </w:r>
    </w:p>
    <w:p w14:paraId="7E59F0C3" w14:textId="77777777" w:rsidR="00F80353" w:rsidRPr="00470AC8" w:rsidRDefault="00F80353">
      <w:pPr>
        <w:pStyle w:val="NormalWeb"/>
        <w:spacing w:beforeAutospacing="0" w:afterAutospacing="0"/>
        <w:jc w:val="both"/>
        <w:rPr>
          <w:sz w:val="19"/>
          <w:szCs w:val="19"/>
        </w:rPr>
      </w:pPr>
    </w:p>
    <w:p w14:paraId="5B76697E"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2.1.4 Proxies for Market Efficiency</w:t>
      </w:r>
    </w:p>
    <w:p w14:paraId="68B9DBF7" w14:textId="77777777" w:rsidR="00F80353" w:rsidRPr="00470AC8" w:rsidRDefault="007F2E21">
      <w:pPr>
        <w:pStyle w:val="NormalWeb"/>
        <w:spacing w:beforeAutospacing="0" w:afterAutospacing="0"/>
        <w:jc w:val="both"/>
        <w:rPr>
          <w:sz w:val="19"/>
          <w:szCs w:val="19"/>
        </w:rPr>
      </w:pPr>
      <w:r w:rsidRPr="00470AC8">
        <w:rPr>
          <w:sz w:val="19"/>
          <w:szCs w:val="19"/>
        </w:rPr>
        <w:t>Market efficiency is multidimensional and cannot be fully measured with a single indicator. This study therefore uses several proxies to capture different aspects of efficiency in African capital markets.</w:t>
      </w:r>
    </w:p>
    <w:p w14:paraId="3D3880BA" w14:textId="77777777" w:rsidR="00F80353" w:rsidRPr="00470AC8" w:rsidRDefault="007F2E21">
      <w:pPr>
        <w:pStyle w:val="NormalWeb"/>
        <w:spacing w:beforeAutospacing="0" w:afterAutospacing="0"/>
        <w:jc w:val="both"/>
        <w:rPr>
          <w:sz w:val="19"/>
          <w:szCs w:val="19"/>
        </w:rPr>
      </w:pPr>
      <w:r w:rsidRPr="00470AC8">
        <w:rPr>
          <w:rStyle w:val="Strong"/>
          <w:sz w:val="19"/>
          <w:szCs w:val="19"/>
        </w:rPr>
        <w:t xml:space="preserve">Stock return predictability measures the extent to which future stock returns can be predicted using past market information. In an efficient market, stock prices should follow a random pattern, making it difficult to predict future returns based on historical prices. </w:t>
      </w:r>
      <w:proofErr w:type="gramStart"/>
      <w:r w:rsidRPr="00470AC8">
        <w:rPr>
          <w:rStyle w:val="Strong"/>
          <w:sz w:val="19"/>
          <w:szCs w:val="19"/>
        </w:rPr>
        <w:t>Persistent return</w:t>
      </w:r>
      <w:proofErr w:type="gramEnd"/>
      <w:r w:rsidRPr="00470AC8">
        <w:rPr>
          <w:rStyle w:val="Strong"/>
          <w:sz w:val="19"/>
          <w:szCs w:val="19"/>
        </w:rPr>
        <w:t xml:space="preserve"> predictability is evidence against weak-form efficiency (Phiri, 2022).</w:t>
      </w:r>
    </w:p>
    <w:p w14:paraId="3BAF2BEC" w14:textId="77777777" w:rsidR="00F80353" w:rsidRPr="00470AC8" w:rsidRDefault="007F2E21">
      <w:pPr>
        <w:pStyle w:val="NormalWeb"/>
        <w:spacing w:beforeAutospacing="0" w:afterAutospacing="0"/>
        <w:jc w:val="both"/>
        <w:rPr>
          <w:sz w:val="19"/>
          <w:szCs w:val="19"/>
        </w:rPr>
      </w:pPr>
      <w:r w:rsidRPr="00470AC8">
        <w:rPr>
          <w:rStyle w:val="Strong"/>
          <w:sz w:val="19"/>
          <w:szCs w:val="19"/>
        </w:rPr>
        <w:t xml:space="preserve">Bid-ask spread measures the difference between the buying and selling prices of </w:t>
      </w:r>
      <w:proofErr w:type="gramStart"/>
      <w:r w:rsidRPr="00470AC8">
        <w:rPr>
          <w:rStyle w:val="Strong"/>
          <w:sz w:val="19"/>
          <w:szCs w:val="19"/>
        </w:rPr>
        <w:t>a security</w:t>
      </w:r>
      <w:proofErr w:type="gramEnd"/>
      <w:r w:rsidRPr="00470AC8">
        <w:rPr>
          <w:rStyle w:val="Strong"/>
          <w:sz w:val="19"/>
          <w:szCs w:val="19"/>
        </w:rPr>
        <w:t>. It is widely used as an indicator of liquidity and transaction costs. Narrow spreads suggest higher liquidity and lower trading costs, while wide spreads indicate illiquidity, information asymmetry, and market inefficiency (Chordia et al., 2001).</w:t>
      </w:r>
    </w:p>
    <w:p w14:paraId="4A34DA18" w14:textId="77777777" w:rsidR="00F80353" w:rsidRPr="00470AC8" w:rsidRDefault="007F2E21">
      <w:pPr>
        <w:pStyle w:val="NormalWeb"/>
        <w:spacing w:beforeAutospacing="0" w:afterAutospacing="0"/>
        <w:jc w:val="both"/>
        <w:rPr>
          <w:sz w:val="19"/>
          <w:szCs w:val="19"/>
        </w:rPr>
      </w:pPr>
      <w:r w:rsidRPr="00470AC8">
        <w:rPr>
          <w:rStyle w:val="Strong"/>
          <w:sz w:val="19"/>
          <w:szCs w:val="19"/>
        </w:rPr>
        <w:t xml:space="preserve">Price </w:t>
      </w:r>
      <w:proofErr w:type="gramStart"/>
      <w:r w:rsidRPr="00470AC8">
        <w:rPr>
          <w:rStyle w:val="Strong"/>
          <w:sz w:val="19"/>
          <w:szCs w:val="19"/>
        </w:rPr>
        <w:t>delay captures</w:t>
      </w:r>
      <w:proofErr w:type="gramEnd"/>
      <w:r w:rsidRPr="00470AC8">
        <w:rPr>
          <w:rStyle w:val="Strong"/>
          <w:sz w:val="19"/>
          <w:szCs w:val="19"/>
        </w:rPr>
        <w:t xml:space="preserve"> the speed at which security prices respond to new information. A high price delay suggests that prices adjust slowly to market-wide information, which reflects informational inefficiency. Price delay is closely associated with market frictions that impede the incorporation of information into prices (Hou &amp; Moskowitz, 2005).</w:t>
      </w:r>
    </w:p>
    <w:p w14:paraId="689FB0FE" w14:textId="77777777" w:rsidR="00F80353" w:rsidRPr="00470AC8" w:rsidRDefault="007F2E21">
      <w:pPr>
        <w:pStyle w:val="NormalWeb"/>
        <w:spacing w:beforeAutospacing="0" w:afterAutospacing="0"/>
        <w:jc w:val="both"/>
        <w:rPr>
          <w:sz w:val="19"/>
          <w:szCs w:val="19"/>
        </w:rPr>
      </w:pPr>
      <w:r w:rsidRPr="00470AC8">
        <w:rPr>
          <w:rStyle w:val="Strong"/>
          <w:sz w:val="19"/>
          <w:szCs w:val="19"/>
        </w:rPr>
        <w:t>Turnover ratio measures trading activity relative to market capitalisation. A higher turnover ratio usually indicates stronger liquidity, active investor participation, and more efficient price discovery. Low turnover may reflect weak investor confidence, limited market participation, or poor information flow (Chordia et al., 2001).</w:t>
      </w:r>
    </w:p>
    <w:p w14:paraId="5155FE27" w14:textId="77777777" w:rsidR="00F80353" w:rsidRPr="00470AC8" w:rsidRDefault="007F2E21">
      <w:pPr>
        <w:pStyle w:val="NormalWeb"/>
        <w:spacing w:beforeAutospacing="0" w:afterAutospacing="0"/>
        <w:jc w:val="both"/>
        <w:rPr>
          <w:sz w:val="19"/>
          <w:szCs w:val="19"/>
        </w:rPr>
      </w:pPr>
      <w:r w:rsidRPr="00470AC8">
        <w:rPr>
          <w:rStyle w:val="Strong"/>
          <w:sz w:val="19"/>
          <w:szCs w:val="19"/>
        </w:rPr>
        <w:t>The information efficiency index provides a composite measure of market efficiency by combining indicators such as liquidity, return predictability, price adjustment speed, and trading activity. This is useful because market efficiency involves several related but distinct dimensions. A composite index gives a broader view of how effectively information is reflected in market prices (</w:t>
      </w:r>
      <w:proofErr w:type="spellStart"/>
      <w:r w:rsidRPr="00470AC8">
        <w:rPr>
          <w:rStyle w:val="Strong"/>
          <w:sz w:val="19"/>
          <w:szCs w:val="19"/>
        </w:rPr>
        <w:t>Treiblmaier</w:t>
      </w:r>
      <w:proofErr w:type="spellEnd"/>
      <w:r w:rsidRPr="00470AC8">
        <w:rPr>
          <w:rStyle w:val="Strong"/>
          <w:sz w:val="19"/>
          <w:szCs w:val="19"/>
        </w:rPr>
        <w:t xml:space="preserve"> &amp; Clohessy, 2020).</w:t>
      </w:r>
    </w:p>
    <w:p w14:paraId="6B03FE00" w14:textId="77777777" w:rsidR="00F80353" w:rsidRPr="00470AC8" w:rsidRDefault="00F80353">
      <w:pPr>
        <w:pStyle w:val="NormalWeb"/>
        <w:spacing w:beforeAutospacing="0" w:afterAutospacing="0"/>
        <w:jc w:val="both"/>
        <w:rPr>
          <w:sz w:val="19"/>
          <w:szCs w:val="19"/>
        </w:rPr>
      </w:pPr>
    </w:p>
    <w:p w14:paraId="13342C0E"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2.1.5 Institutional Quality and Financial Markets</w:t>
      </w:r>
    </w:p>
    <w:p w14:paraId="538AD7D9" w14:textId="77777777" w:rsidR="00F80353" w:rsidRPr="00470AC8" w:rsidRDefault="007F2E21">
      <w:pPr>
        <w:pStyle w:val="NormalWeb"/>
        <w:spacing w:beforeAutospacing="0" w:afterAutospacing="0"/>
        <w:jc w:val="both"/>
        <w:rPr>
          <w:sz w:val="19"/>
          <w:szCs w:val="19"/>
        </w:rPr>
      </w:pPr>
      <w:r w:rsidRPr="00470AC8">
        <w:rPr>
          <w:sz w:val="19"/>
          <w:szCs w:val="19"/>
        </w:rPr>
        <w:t>Institutional quality refers to the strength of governance systems, regulatory frameworks, legal structures, and public institutions within an economy. In capital markets, strong institutions improve investor confidence, strengthen enforcement, protect property rights, and reduce uncertainty. Weak institutions, on the other hand, may increase insider trading, market manipulation, corruption, regulatory inconsistency, and investor distrust.</w:t>
      </w:r>
    </w:p>
    <w:p w14:paraId="1087739B" w14:textId="77777777" w:rsidR="00F80353" w:rsidRPr="00470AC8" w:rsidRDefault="007F2E21">
      <w:pPr>
        <w:pStyle w:val="NormalWeb"/>
        <w:spacing w:beforeAutospacing="0" w:afterAutospacing="0"/>
        <w:jc w:val="both"/>
        <w:rPr>
          <w:sz w:val="19"/>
          <w:szCs w:val="19"/>
        </w:rPr>
      </w:pPr>
      <w:r w:rsidRPr="00470AC8">
        <w:rPr>
          <w:sz w:val="19"/>
          <w:szCs w:val="19"/>
        </w:rPr>
        <w:t>Governance quality affects financial markets through transparency, accountability, policy consistency, and regulatory credibility. Markets with stronger governance systems are more likely to enforce disclosure standards, protect investors, and support responsible financial innovation. This matters for blockchain adoption because digital infrastructure works better where market rules are clear and enforcement is credible.</w:t>
      </w:r>
    </w:p>
    <w:p w14:paraId="376AB7A2" w14:textId="77777777" w:rsidR="00F80353" w:rsidRPr="00470AC8" w:rsidRDefault="007F2E21">
      <w:pPr>
        <w:pStyle w:val="NormalWeb"/>
        <w:spacing w:beforeAutospacing="0" w:afterAutospacing="0"/>
        <w:jc w:val="both"/>
        <w:rPr>
          <w:sz w:val="19"/>
          <w:szCs w:val="19"/>
        </w:rPr>
      </w:pPr>
      <w:r w:rsidRPr="00470AC8">
        <w:rPr>
          <w:sz w:val="19"/>
          <w:szCs w:val="19"/>
        </w:rPr>
        <w:t>The rule of law is also important. Blockchain-based financial systems require enforceable contracts, legal recognition of digital transactions, and reliable dispute resolution mechanisms. Without clear legal support, blockchain adoption may remain limited or fragmented, even when the technology itself is available (International Monetary Fund &amp; World Bank, 2019).</w:t>
      </w:r>
    </w:p>
    <w:p w14:paraId="14138FC8" w14:textId="77777777" w:rsidR="00F80353" w:rsidRPr="00470AC8" w:rsidRDefault="007F2E21">
      <w:pPr>
        <w:pStyle w:val="NormalWeb"/>
        <w:spacing w:beforeAutospacing="0" w:afterAutospacing="0"/>
        <w:jc w:val="both"/>
        <w:rPr>
          <w:sz w:val="19"/>
          <w:szCs w:val="19"/>
        </w:rPr>
      </w:pPr>
      <w:r w:rsidRPr="00470AC8">
        <w:rPr>
          <w:sz w:val="19"/>
          <w:szCs w:val="19"/>
        </w:rPr>
        <w:t>Regulatory quality further shapes the effectiveness of blockchain adoption. Supportive regulation can encourage innovation while protecting market stability and investors. Poor regulation may create uncertainty, discourage investment, and reduce trust in blockchain-enabled systems. This is particularly relevant in African capital markets, where regulatory capacity differs widely across countries (International Monetary Fund &amp; World Bank, 2019).</w:t>
      </w:r>
    </w:p>
    <w:p w14:paraId="4D7F9B89" w14:textId="77777777" w:rsidR="00F80353" w:rsidRPr="00470AC8" w:rsidRDefault="007F2E21">
      <w:pPr>
        <w:pStyle w:val="NormalWeb"/>
        <w:spacing w:beforeAutospacing="0" w:afterAutospacing="0"/>
        <w:jc w:val="both"/>
        <w:rPr>
          <w:sz w:val="19"/>
          <w:szCs w:val="19"/>
        </w:rPr>
      </w:pPr>
      <w:r w:rsidRPr="00470AC8">
        <w:rPr>
          <w:sz w:val="19"/>
          <w:szCs w:val="19"/>
        </w:rPr>
        <w:t>Institutional quality is therefore treated in this study as a moderating variable. The logic is that blockchain adoption may improve market efficiency, but the effect is likely to be stronger in countries with better governance, a stronger rule of law, lower corruption, and more effective regulation. In weak institutional environments, blockchain may reduce some operational frictions, but its full efficiency benefits may not be realised.</w:t>
      </w:r>
    </w:p>
    <w:p w14:paraId="337EB33B" w14:textId="77777777" w:rsidR="00F80353" w:rsidRPr="00470AC8" w:rsidRDefault="00F80353">
      <w:pPr>
        <w:pStyle w:val="NormalWeb"/>
        <w:spacing w:beforeAutospacing="0" w:afterAutospacing="0"/>
        <w:jc w:val="both"/>
        <w:rPr>
          <w:sz w:val="19"/>
          <w:szCs w:val="19"/>
        </w:rPr>
      </w:pPr>
    </w:p>
    <w:p w14:paraId="1EAEBDD2"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2.1.6 Conceptual Framework</w:t>
      </w:r>
    </w:p>
    <w:p w14:paraId="30B4DD88" w14:textId="77777777" w:rsidR="00F80353" w:rsidRPr="00470AC8" w:rsidRDefault="007F2E21">
      <w:pPr>
        <w:pStyle w:val="NormalWeb"/>
        <w:spacing w:beforeAutospacing="0" w:afterAutospacing="0"/>
        <w:jc w:val="both"/>
        <w:rPr>
          <w:sz w:val="19"/>
          <w:szCs w:val="19"/>
        </w:rPr>
      </w:pPr>
      <w:r w:rsidRPr="00470AC8">
        <w:rPr>
          <w:sz w:val="19"/>
          <w:szCs w:val="19"/>
        </w:rPr>
        <w:lastRenderedPageBreak/>
        <w:t>The conceptual framework of the study links blockchain adoption to market efficiency in African capital markets. Blockchain adoption is represented by the Blockchain Adoption Index, which includes blockchain infrastructure, settlement digitisation, fintech penetration, crypto and blockchain regulation, and smart contract or distributed ledger usage. Market efficiency is represented by stock return predictability, bid-ask spread, price delay, turnover ratio, and the information efficiency index.</w:t>
      </w:r>
    </w:p>
    <w:p w14:paraId="25A385BF" w14:textId="77777777" w:rsidR="00F80353" w:rsidRPr="00470AC8" w:rsidRDefault="007F2E21">
      <w:pPr>
        <w:pStyle w:val="NormalWeb"/>
        <w:spacing w:beforeAutospacing="0" w:afterAutospacing="0"/>
        <w:jc w:val="both"/>
        <w:rPr>
          <w:sz w:val="19"/>
          <w:szCs w:val="19"/>
        </w:rPr>
      </w:pPr>
      <w:r w:rsidRPr="00470AC8">
        <w:rPr>
          <w:sz w:val="19"/>
          <w:szCs w:val="19"/>
        </w:rPr>
        <w:t>The framework assumes that blockchain adoption improves market efficiency through five main channels: improved transaction transparency, reduced information asymmetry, lower transaction costs, enhanced liquidity, and faster price discovery. Institutional quality moderates this relationship by strengthening or weakening the effectiveness of blockchain adoption. Control variables such as GDP growth, internet penetration, market capitalisation, financial openness, and trade openness are included because they may also influence market efficiency.</w:t>
      </w:r>
    </w:p>
    <w:p w14:paraId="0D4EB3F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noProof/>
          <w:sz w:val="19"/>
          <w:szCs w:val="19"/>
          <w:lang w:val="en-CA"/>
        </w:rPr>
        <w:drawing>
          <wp:inline distT="0" distB="0" distL="114300" distR="114300" wp14:anchorId="457D7D87" wp14:editId="7A458B4A">
            <wp:extent cx="4291330" cy="3711575"/>
            <wp:effectExtent l="0" t="0" r="0" b="0"/>
            <wp:docPr id="3" name="Picture 3" descr="SEM Path Diagram - Blockchain Adoption and Market Effici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M Path Diagram - Blockchain Adoption and Market Efficiency"/>
                    <pic:cNvPicPr>
                      <a:picLocks noChangeAspect="1"/>
                    </pic:cNvPicPr>
                  </pic:nvPicPr>
                  <pic:blipFill>
                    <a:blip r:embed="rId9"/>
                    <a:srcRect l="3056" t="6937" r="3084" b="2863"/>
                    <a:stretch>
                      <a:fillRect/>
                    </a:stretch>
                  </pic:blipFill>
                  <pic:spPr>
                    <a:xfrm>
                      <a:off x="0" y="0"/>
                      <a:ext cx="4291330" cy="3711575"/>
                    </a:xfrm>
                    <a:prstGeom prst="rect">
                      <a:avLst/>
                    </a:prstGeom>
                  </pic:spPr>
                </pic:pic>
              </a:graphicData>
            </a:graphic>
          </wp:inline>
        </w:drawing>
      </w:r>
    </w:p>
    <w:p w14:paraId="1F5B2B2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Figure 2: Proposed Structural Equation Model of Blockchain Adoption, Institutional Quality and Market Efficiency in African Capital Markets</w:t>
      </w:r>
    </w:p>
    <w:p w14:paraId="07934CE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Source: Researcher’s Conceptualisation (2026)</w:t>
      </w:r>
    </w:p>
    <w:p w14:paraId="38F97283" w14:textId="77777777" w:rsidR="00F80353" w:rsidRPr="00470AC8" w:rsidRDefault="00F80353">
      <w:pPr>
        <w:jc w:val="both"/>
        <w:rPr>
          <w:rFonts w:ascii="Times New Roman" w:hAnsi="Times New Roman" w:cs="Times New Roman"/>
          <w:sz w:val="19"/>
          <w:szCs w:val="19"/>
          <w:lang w:val="en-CA"/>
        </w:rPr>
      </w:pPr>
    </w:p>
    <w:p w14:paraId="54AAE17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Figure 2 presents the proposed relationships among the study variables. Blockchain adoption is represented by blockchain-enabled trading infrastructure, digital settlement systems, Central Securities Depository digitisation, fintech ecosystem development, blockchain regulation, and financial-market digitalisation. Market efficiency is reflected in stock-return predictability, bid-ask spread, price delay, turnover ratio, and information efficiency. The model proposes that blockchain adoption directly improves market efficiency. Institutional quality has both a direct effect on market efficiency and a moderating effect on the blockchain adoption–market efficiency relationship. Lagged market efficiency and the selected macroeconomic, digital, and financial-market variables are incorporated to account for persistence and other influences on market efficiency.</w:t>
      </w:r>
    </w:p>
    <w:p w14:paraId="3A98257D" w14:textId="77777777" w:rsidR="00F80353" w:rsidRPr="00470AC8" w:rsidRDefault="00F80353">
      <w:pPr>
        <w:jc w:val="both"/>
        <w:rPr>
          <w:rFonts w:ascii="Times New Roman" w:hAnsi="Times New Roman" w:cs="Times New Roman"/>
          <w:sz w:val="19"/>
          <w:szCs w:val="19"/>
          <w:lang w:val="en-CA"/>
        </w:rPr>
      </w:pPr>
    </w:p>
    <w:p w14:paraId="79E2FA08" w14:textId="77777777" w:rsidR="00F80353" w:rsidRPr="00470AC8" w:rsidRDefault="00F80353"/>
    <w:p w14:paraId="139F0C01" w14:textId="77777777" w:rsidR="00F80353" w:rsidRPr="00470AC8" w:rsidRDefault="007F2E21">
      <w:pPr>
        <w:rPr>
          <w:rFonts w:ascii="Times New Roman" w:eastAsia="SimSun" w:hAnsi="Times New Roman" w:cs="Times New Roman"/>
          <w:b/>
          <w:bCs/>
          <w:sz w:val="22"/>
          <w:szCs w:val="22"/>
          <w:lang w:bidi="ar"/>
        </w:rPr>
      </w:pPr>
      <w:r w:rsidRPr="00470AC8">
        <w:rPr>
          <w:rFonts w:ascii="Times New Roman" w:eastAsia="SimSun" w:hAnsi="Times New Roman" w:cs="Times New Roman"/>
          <w:b/>
          <w:bCs/>
          <w:sz w:val="22"/>
          <w:szCs w:val="22"/>
          <w:lang w:bidi="ar"/>
        </w:rPr>
        <w:t>2.1.7 Synthesis of the Conceptual Review and Research Gap</w:t>
      </w:r>
    </w:p>
    <w:p w14:paraId="579C4905"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The conceptual review establishes that blockchain adoption can influence capital-market efficiency through improved transparency, faster transaction processing, secure recordkeeping, reduced information asymmetry, lower transaction costs, and more efficient clearing and settlement. These benefits may strengthen liquidity, </w:t>
      </w:r>
      <w:proofErr w:type="gramStart"/>
      <w:r w:rsidRPr="00470AC8">
        <w:rPr>
          <w:rFonts w:ascii="Times New Roman" w:eastAsia="SimSun" w:hAnsi="Times New Roman" w:cs="Times New Roman"/>
          <w:sz w:val="19"/>
          <w:szCs w:val="19"/>
          <w:lang w:bidi="ar"/>
        </w:rPr>
        <w:t>accelerate</w:t>
      </w:r>
      <w:proofErr w:type="gramEnd"/>
      <w:r w:rsidRPr="00470AC8">
        <w:rPr>
          <w:rFonts w:ascii="Times New Roman" w:eastAsia="SimSun" w:hAnsi="Times New Roman" w:cs="Times New Roman"/>
          <w:sz w:val="19"/>
          <w:szCs w:val="19"/>
          <w:lang w:bidi="ar"/>
        </w:rPr>
        <w:t xml:space="preserve"> the incorporation of information into security prices, narrow bid-ask spreads, reduce price delays, and increase market turnover. However, these outcomes are not automatic because the effectiveness of blockchain-enabled systems depends on regulatory clarity, digital infrastructure, legal enforceability, institutional credibility, and the technical capacity of market participants.</w:t>
      </w:r>
    </w:p>
    <w:p w14:paraId="21AA29AC"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Existing studies have largely examined blockchain in relation to cryptocurrencies, digital assets, financial intermediation, and developed capital markets. Comparatively little empirical attention has been given to its </w:t>
      </w:r>
      <w:r w:rsidRPr="00470AC8">
        <w:rPr>
          <w:rFonts w:ascii="Times New Roman" w:eastAsia="SimSun" w:hAnsi="Times New Roman" w:cs="Times New Roman"/>
          <w:sz w:val="19"/>
          <w:szCs w:val="19"/>
          <w:lang w:bidi="ar"/>
        </w:rPr>
        <w:lastRenderedPageBreak/>
        <w:t xml:space="preserve">effect on the efficiency of conventional African capital markets. Moreover, many previous studies have treated blockchain adoption as a single technological event rather than a multidimensional process involving trading infrastructure, settlement </w:t>
      </w:r>
      <w:proofErr w:type="spellStart"/>
      <w:r w:rsidRPr="00470AC8">
        <w:rPr>
          <w:rFonts w:ascii="Times New Roman" w:eastAsia="SimSun" w:hAnsi="Times New Roman" w:cs="Times New Roman"/>
          <w:sz w:val="19"/>
          <w:szCs w:val="19"/>
          <w:lang w:bidi="ar"/>
        </w:rPr>
        <w:t>digitisation</w:t>
      </w:r>
      <w:proofErr w:type="spellEnd"/>
      <w:r w:rsidRPr="00470AC8">
        <w:rPr>
          <w:rFonts w:ascii="Times New Roman" w:eastAsia="SimSun" w:hAnsi="Times New Roman" w:cs="Times New Roman"/>
          <w:sz w:val="19"/>
          <w:szCs w:val="19"/>
          <w:lang w:bidi="ar"/>
        </w:rPr>
        <w:t xml:space="preserve">, Central Securities Depository </w:t>
      </w:r>
      <w:proofErr w:type="spellStart"/>
      <w:r w:rsidRPr="00470AC8">
        <w:rPr>
          <w:rFonts w:ascii="Times New Roman" w:eastAsia="SimSun" w:hAnsi="Times New Roman" w:cs="Times New Roman"/>
          <w:sz w:val="19"/>
          <w:szCs w:val="19"/>
          <w:lang w:bidi="ar"/>
        </w:rPr>
        <w:t>modernisation</w:t>
      </w:r>
      <w:proofErr w:type="spellEnd"/>
      <w:r w:rsidRPr="00470AC8">
        <w:rPr>
          <w:rFonts w:ascii="Times New Roman" w:eastAsia="SimSun" w:hAnsi="Times New Roman" w:cs="Times New Roman"/>
          <w:sz w:val="19"/>
          <w:szCs w:val="19"/>
          <w:lang w:bidi="ar"/>
        </w:rPr>
        <w:t>, regulatory development, fintech capacity, and distributed-ledger applications.</w:t>
      </w:r>
    </w:p>
    <w:p w14:paraId="180D71B2"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A further gap concerns the measurement of market efficiency. Earlier studies frequently relied on </w:t>
      </w:r>
      <w:r w:rsidRPr="00470AC8">
        <w:rPr>
          <w:rFonts w:ascii="Times New Roman" w:eastAsia="SimSun" w:hAnsi="Times New Roman" w:cs="Times New Roman"/>
          <w:sz w:val="19"/>
          <w:szCs w:val="19"/>
          <w:lang w:val="en-CA" w:bidi="ar"/>
        </w:rPr>
        <w:t>a single</w:t>
      </w:r>
      <w:r w:rsidRPr="00470AC8">
        <w:rPr>
          <w:rFonts w:ascii="Times New Roman" w:eastAsia="SimSun" w:hAnsi="Times New Roman" w:cs="Times New Roman"/>
          <w:sz w:val="19"/>
          <w:szCs w:val="19"/>
          <w:lang w:bidi="ar"/>
        </w:rPr>
        <w:t xml:space="preserve"> indicator, such as stock-return predictability or market liquidity. Such an approach may not adequately capture the informational, transactional, and liquidity dimensions of market efficiency. The present study addresses this limitation by measuring efficiency through stock-return predictability, bid-ask spread, price delay, turnover ratio, and a composite information-efficiency index.</w:t>
      </w:r>
    </w:p>
    <w:p w14:paraId="56CF74B5"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review also reveals limited evidence on whether institutional quality affects the capacity of blockchain adoption to improve market outcomes in Africa. This study therefore treats institutional quality as a moderating variable and tests whether governance effectiveness, regulatory quality, rule of law, and corruption control strengthen the relationship between blockchain adoption and market efficiency. By combining a multidimensional Blockchain Adoption Index with multiple market-efficiency indicators and dynamic panel estimation, the study provides a more comprehensive explanation of the blockchain adoption–market efficiency relationship in selected African capital markets.</w:t>
      </w:r>
    </w:p>
    <w:p w14:paraId="6FBD22AF"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This addition resolves the apparent structural break, creates a clear transition to the theoretical review, and states precisely what the manuscript contributes beyond existing studies.</w:t>
      </w:r>
    </w:p>
    <w:p w14:paraId="45E89919" w14:textId="77777777" w:rsidR="00F80353" w:rsidRPr="00470AC8" w:rsidRDefault="00F80353">
      <w:pPr>
        <w:jc w:val="both"/>
        <w:rPr>
          <w:rFonts w:ascii="Times New Roman" w:hAnsi="Times New Roman" w:cs="Times New Roman"/>
          <w:sz w:val="19"/>
          <w:szCs w:val="19"/>
          <w:lang w:val="en-CA"/>
        </w:rPr>
      </w:pPr>
    </w:p>
    <w:p w14:paraId="074621F0"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2.2 Theoretical Review</w:t>
      </w:r>
    </w:p>
    <w:p w14:paraId="28909D1A" w14:textId="77777777" w:rsidR="00F80353" w:rsidRPr="00470AC8" w:rsidRDefault="007F2E21">
      <w:pPr>
        <w:pStyle w:val="NormalWeb"/>
        <w:spacing w:beforeAutospacing="0" w:afterAutospacing="0"/>
        <w:jc w:val="both"/>
        <w:rPr>
          <w:sz w:val="19"/>
          <w:szCs w:val="19"/>
        </w:rPr>
      </w:pPr>
      <w:r w:rsidRPr="00470AC8">
        <w:rPr>
          <w:sz w:val="19"/>
          <w:szCs w:val="19"/>
        </w:rPr>
        <w:t>The theoretical foundation of this study is built on the Efficient Market Hypothesis, Diffusion of Innovation Theory, and the Technology Acceptance Model. These theories provide a useful basis for explaining how blockchain adoption may influence market efficiency in African capital markets. While the Efficient Market Hypothesis explains the financial market logic of information incorporation into asset prices, Diffusion of Innovation Theory explains how blockchain technology spreads across financial institutions, and the Technology Acceptance Model explains the conditions under which market actors accept and use new digital systems.</w:t>
      </w:r>
    </w:p>
    <w:p w14:paraId="4EE7A8AA" w14:textId="77777777" w:rsidR="00F80353" w:rsidRPr="00470AC8" w:rsidRDefault="007F2E21">
      <w:pPr>
        <w:pStyle w:val="NormalWeb"/>
        <w:spacing w:beforeAutospacing="0" w:afterAutospacing="0"/>
        <w:jc w:val="both"/>
        <w:rPr>
          <w:sz w:val="19"/>
          <w:szCs w:val="19"/>
        </w:rPr>
      </w:pPr>
      <w:r w:rsidRPr="00470AC8">
        <w:rPr>
          <w:sz w:val="19"/>
          <w:szCs w:val="19"/>
        </w:rPr>
        <w:t>The Efficient Market Hypothesis, developed by Fama (1970), argues that financial markets are efficient when security prices fully and quickly reflect available information. In an efficient market, investors should not consistently earn abnormal returns because new information is rapidly absorbed into asset prices. The theory identifies weak-form, semi-strong form, and strong-form efficiency. Weak-form efficiency assumes that current prices reflect historical prices and trading information; semi-strong efficiency assumes that prices reflect all publicly available information; while strong-form efficiency assumes that prices reflect both public and private information. This theory is directly relevant to the present study because blockchain adoption is expected to improve the speed, transparency, and reliability with which market information is processed.</w:t>
      </w:r>
    </w:p>
    <w:p w14:paraId="283E60C5" w14:textId="77777777" w:rsidR="00F80353" w:rsidRPr="00470AC8" w:rsidRDefault="007F2E21">
      <w:pPr>
        <w:pStyle w:val="NormalWeb"/>
        <w:spacing w:beforeAutospacing="0" w:afterAutospacing="0"/>
        <w:jc w:val="both"/>
        <w:rPr>
          <w:sz w:val="19"/>
          <w:szCs w:val="19"/>
        </w:rPr>
      </w:pPr>
      <w:r w:rsidRPr="00470AC8">
        <w:rPr>
          <w:sz w:val="19"/>
          <w:szCs w:val="19"/>
        </w:rPr>
        <w:t>Blockchain technology strengthens the assumptions of market efficiency by improving transaction visibility, data integrity, auditability, and settlement speed. Through distributed ledger systems, blockchain can reduce delays in transaction confirmation, improve record accuracy, and limit information asymmetry among investors and market intermediaries (Treiblmaier &amp; Clohessy, 2020). In African capital markets, where weak liquidity, delayed disclosure, high transaction costs, and fragmented post-trade systems remain common, blockchain may improve informational efficiency by making transactions more transparent and reducing operational frictions. This makes the Efficient Market Hypothesis a strong theoretical anchor for examining whether blockchain-enabled infrastructure improves price discovery and market performance.</w:t>
      </w:r>
    </w:p>
    <w:p w14:paraId="7C132554" w14:textId="77777777" w:rsidR="00F80353" w:rsidRPr="00470AC8" w:rsidRDefault="007F2E21">
      <w:pPr>
        <w:pStyle w:val="NormalWeb"/>
        <w:spacing w:beforeAutospacing="0" w:afterAutospacing="0"/>
        <w:jc w:val="both"/>
        <w:rPr>
          <w:sz w:val="19"/>
          <w:szCs w:val="19"/>
        </w:rPr>
      </w:pPr>
      <w:r w:rsidRPr="00470AC8">
        <w:rPr>
          <w:sz w:val="19"/>
          <w:szCs w:val="19"/>
        </w:rPr>
        <w:t>However, the Efficient Market Hypothesis has limitations when applied to African capital markets. Evidence from selected African stock markets shows that weak-form efficiency is uneven, with the profitability of technical trading strategies differing across South Africa, Egypt, and Nigeria (Osei-Assibey &amp; Nene, 2024). Such variation indicates that return predictability and the speed of price adjustment can differ materially across African exchanges. Therefore, while the Efficient Market Hypothesis provides the core market-efficiency foundation, it must be interpreted within the realities of emerging and frontier financial systems.</w:t>
      </w:r>
    </w:p>
    <w:p w14:paraId="058BF776" w14:textId="77777777" w:rsidR="00F80353" w:rsidRPr="00470AC8" w:rsidRDefault="007F2E21">
      <w:pPr>
        <w:pStyle w:val="NormalWeb"/>
        <w:spacing w:beforeAutospacing="0" w:afterAutospacing="0"/>
        <w:jc w:val="both"/>
        <w:rPr>
          <w:sz w:val="19"/>
          <w:szCs w:val="19"/>
        </w:rPr>
      </w:pPr>
      <w:r w:rsidRPr="00470AC8">
        <w:rPr>
          <w:sz w:val="19"/>
          <w:szCs w:val="19"/>
        </w:rPr>
        <w:t>Diffusion of Innovation Theory, developed by Rogers (2003), complements the Efficient Market Hypothesis by explaining how technological innovations are adopted over time. The theory proposes that innovation adoption occurs through stages involving awareness, persuasion, decision, implementation, and confirmation. It also explains that institutions adopt innovations at different speeds, depending on perceived benefits, complexity, compatibility, institutional readiness, and available support systems. This is relevant to blockchain adoption because African stock exchanges, regulators, clearing institutions, and market participants differ in their level of technological preparedness.</w:t>
      </w:r>
    </w:p>
    <w:p w14:paraId="65A12BBA" w14:textId="77777777" w:rsidR="00F80353" w:rsidRPr="00470AC8" w:rsidRDefault="007F2E21">
      <w:pPr>
        <w:pStyle w:val="NormalWeb"/>
        <w:spacing w:beforeAutospacing="0" w:afterAutospacing="0"/>
        <w:jc w:val="both"/>
        <w:rPr>
          <w:sz w:val="19"/>
          <w:szCs w:val="19"/>
        </w:rPr>
      </w:pPr>
      <w:r w:rsidRPr="00470AC8">
        <w:rPr>
          <w:sz w:val="19"/>
          <w:szCs w:val="19"/>
        </w:rPr>
        <w:t xml:space="preserve">In the context of capital markets, blockchain adoption is not simply a technical decision. It requires institutional learning, regulatory adjustment, infrastructure investment, cybersecurity readiness, and stakeholder confidence. Exchanges with stronger digital infrastructure and clearer regulatory support are more likely to adopt blockchain-enabled trading, settlement, custody, and compliance systems. In contrast, markets with weak infrastructure, uncertain </w:t>
      </w:r>
      <w:proofErr w:type="gramStart"/>
      <w:r w:rsidRPr="00470AC8">
        <w:rPr>
          <w:sz w:val="19"/>
          <w:szCs w:val="19"/>
        </w:rPr>
        <w:t>regulation</w:t>
      </w:r>
      <w:proofErr w:type="gramEnd"/>
      <w:r w:rsidRPr="00470AC8">
        <w:rPr>
          <w:sz w:val="19"/>
          <w:szCs w:val="19"/>
        </w:rPr>
        <w:t xml:space="preserve">, or limited technical capacity may adopt blockchain more slowly. This explains why the efficiency gains from blockchain adoption may differ across African </w:t>
      </w:r>
      <w:r w:rsidRPr="00470AC8">
        <w:rPr>
          <w:sz w:val="19"/>
          <w:szCs w:val="19"/>
        </w:rPr>
        <w:lastRenderedPageBreak/>
        <w:t>capital markets. Diffusion of Innovation Theory therefore helps explain the uneven pace and depth of blockchain adoption across the continent.</w:t>
      </w:r>
    </w:p>
    <w:p w14:paraId="731771CF" w14:textId="77777777" w:rsidR="00F80353" w:rsidRPr="00470AC8" w:rsidRDefault="007F2E21">
      <w:pPr>
        <w:pStyle w:val="NormalWeb"/>
        <w:spacing w:beforeAutospacing="0" w:afterAutospacing="0"/>
        <w:jc w:val="both"/>
        <w:rPr>
          <w:sz w:val="19"/>
          <w:szCs w:val="19"/>
        </w:rPr>
      </w:pPr>
      <w:r w:rsidRPr="00470AC8">
        <w:rPr>
          <w:sz w:val="19"/>
          <w:szCs w:val="19"/>
        </w:rPr>
        <w:t>The Technology Acceptance Model, introduced by Davis (1989), further explains the acceptance and use of blockchain systems by focusing on perceived usefulness and perceived ease of use. In financial markets, blockchain technology is more likely to be accepted when exchanges, regulators, investors, brokers, and settlement institutions believe that it can improve transaction efficiency, reduce settlement risk, strengthen compliance, and lower operational costs. Perceived usefulness is therefore central to blockchain implementation in securities markets. Perceived ease of use also matters because complex, costly, or poorly understood systems may discourage adoption, especially in markets with limited technical capacity.</w:t>
      </w:r>
    </w:p>
    <w:p w14:paraId="6575F9F9" w14:textId="77777777" w:rsidR="00F80353" w:rsidRPr="00470AC8" w:rsidRDefault="007F2E21">
      <w:pPr>
        <w:pStyle w:val="NormalWeb"/>
        <w:spacing w:beforeAutospacing="0" w:afterAutospacing="0"/>
        <w:jc w:val="both"/>
        <w:rPr>
          <w:sz w:val="19"/>
          <w:szCs w:val="19"/>
        </w:rPr>
      </w:pPr>
      <w:r w:rsidRPr="00470AC8">
        <w:rPr>
          <w:sz w:val="19"/>
          <w:szCs w:val="19"/>
        </w:rPr>
        <w:t xml:space="preserve">The Technology Acceptance Model is useful for this study because blockchain adoption in African capital markets depends on confidence in its reliability, security, legal recognition, and operational value. If market participants perceive blockchain systems as secure, transparent, and cost-effective, adoption is likely to improve. However, concerns about cybersecurity, interoperability, implementation costs, legal uncertainty, and regulatory readiness may weaken acceptance and reduce the expected efficiency benefits (Chen &amp; </w:t>
      </w:r>
      <w:proofErr w:type="spellStart"/>
      <w:r w:rsidRPr="00470AC8">
        <w:rPr>
          <w:sz w:val="19"/>
          <w:szCs w:val="19"/>
        </w:rPr>
        <w:t>Bellavitis</w:t>
      </w:r>
      <w:proofErr w:type="spellEnd"/>
      <w:r w:rsidRPr="00470AC8">
        <w:rPr>
          <w:sz w:val="19"/>
          <w:szCs w:val="19"/>
        </w:rPr>
        <w:t>, 2020). This suggests that blockchain adoption requires more than technological availability; it also requires trust, usability, regulation, and institutional support.</w:t>
      </w:r>
    </w:p>
    <w:p w14:paraId="7A03B552" w14:textId="77777777" w:rsidR="00F80353" w:rsidRPr="00470AC8" w:rsidRDefault="007F2E21">
      <w:pPr>
        <w:pStyle w:val="NormalWeb"/>
        <w:spacing w:beforeAutospacing="0" w:afterAutospacing="0"/>
        <w:jc w:val="both"/>
        <w:rPr>
          <w:sz w:val="19"/>
          <w:szCs w:val="19"/>
        </w:rPr>
      </w:pPr>
      <w:r w:rsidRPr="00470AC8">
        <w:rPr>
          <w:sz w:val="19"/>
          <w:szCs w:val="19"/>
        </w:rPr>
        <w:t>Taken together, these three theories provide a strong integrated framework for the study. The Efficient Market Hypothesis explains the expected outcome of blockchain adoption, which is improved market efficiency through faster information incorporation and better price discovery. Diffusion of Innovation Theory explains the process through which blockchain spreads across African capital markets. The Technology Acceptance Model explains why exchanges, regulators, and market participants may accept or resist blockchain-enabled systems. The combined framework therefore supports the argument that blockchain adoption can improve market efficiency, but the strength of this effect depends on institutional readiness, regulatory quality, digital infrastructure, and stakeholder acceptance.</w:t>
      </w:r>
    </w:p>
    <w:p w14:paraId="7B501242" w14:textId="77777777" w:rsidR="00F80353" w:rsidRPr="00470AC8" w:rsidRDefault="007F2E21">
      <w:pPr>
        <w:pStyle w:val="NormalWeb"/>
        <w:spacing w:beforeAutospacing="0" w:afterAutospacing="0"/>
        <w:jc w:val="both"/>
        <w:rPr>
          <w:sz w:val="19"/>
          <w:szCs w:val="19"/>
        </w:rPr>
      </w:pPr>
      <w:r w:rsidRPr="00470AC8">
        <w:rPr>
          <w:sz w:val="19"/>
          <w:szCs w:val="19"/>
        </w:rPr>
        <w:t xml:space="preserve">Among the three theories, the Efficient Market Hypothesis serves as the main theoretical underpinning because the central concern of the study is market efficiency. The study examines whether blockchain adoption improves </w:t>
      </w:r>
      <w:proofErr w:type="gramStart"/>
      <w:r w:rsidRPr="00470AC8">
        <w:rPr>
          <w:sz w:val="19"/>
          <w:szCs w:val="19"/>
        </w:rPr>
        <w:t>the speed</w:t>
      </w:r>
      <w:proofErr w:type="gramEnd"/>
      <w:r w:rsidRPr="00470AC8">
        <w:rPr>
          <w:sz w:val="19"/>
          <w:szCs w:val="19"/>
        </w:rPr>
        <w:t>, accuracy, and transparency with which information is reflected in security prices. Diffusion of Innovation Theory and the Technology Acceptance Model play supporting roles by explaining the adoption pathway and institutional acceptance of blockchain technology. This theoretical integration gives the study a stronger analytical base for examining the relationship between blockchain adoption and market efficiency in African capital markets.</w:t>
      </w:r>
    </w:p>
    <w:p w14:paraId="49D95767" w14:textId="77777777" w:rsidR="00F80353" w:rsidRPr="00470AC8" w:rsidRDefault="00F80353">
      <w:pPr>
        <w:pStyle w:val="NormalWeb"/>
        <w:spacing w:beforeAutospacing="0" w:afterAutospacing="0"/>
        <w:jc w:val="both"/>
        <w:rPr>
          <w:sz w:val="19"/>
          <w:szCs w:val="19"/>
        </w:rPr>
      </w:pPr>
    </w:p>
    <w:p w14:paraId="31FAD3C6"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2.3 Empirical Review</w:t>
      </w:r>
    </w:p>
    <w:p w14:paraId="7E9B2619" w14:textId="77777777" w:rsidR="00F80353" w:rsidRPr="00470AC8" w:rsidRDefault="007F2E21">
      <w:pPr>
        <w:pStyle w:val="NormalWeb"/>
        <w:spacing w:beforeAutospacing="0" w:afterAutospacing="0"/>
        <w:jc w:val="both"/>
        <w:rPr>
          <w:sz w:val="19"/>
          <w:szCs w:val="19"/>
        </w:rPr>
      </w:pPr>
      <w:r w:rsidRPr="00470AC8">
        <w:rPr>
          <w:sz w:val="19"/>
          <w:szCs w:val="19"/>
        </w:rPr>
        <w:t xml:space="preserve">Empirical studies on blockchain adoption and financial market efficiency have expanded in recent years, especially as digital financial infrastructure becomes more relevant to trading, clearing, settlement, liquidity, and information processing. However, the literature remains uneven. Much of the existing evidence focuses on cryptocurrency markets, developed financial systems, or broad fintech adoption, while direct empirical evidence on blockchain adoption and traditional capital market efficiency in Africa remains limited. This creates an important research gap for African exchanges, where weak liquidity, settlement delays, information asymmetry, and shallow market depth continue to affect market performance. </w:t>
      </w:r>
    </w:p>
    <w:p w14:paraId="21117EC0" w14:textId="77777777" w:rsidR="00F80353" w:rsidRPr="00470AC8" w:rsidRDefault="007F2E21">
      <w:pPr>
        <w:pStyle w:val="NormalWeb"/>
        <w:spacing w:beforeAutospacing="0" w:afterAutospacing="0"/>
        <w:jc w:val="both"/>
        <w:rPr>
          <w:sz w:val="19"/>
          <w:szCs w:val="19"/>
        </w:rPr>
      </w:pPr>
      <w:proofErr w:type="spellStart"/>
      <w:r w:rsidRPr="00470AC8">
        <w:rPr>
          <w:sz w:val="19"/>
          <w:szCs w:val="19"/>
        </w:rPr>
        <w:t>Bouteska</w:t>
      </w:r>
      <w:proofErr w:type="spellEnd"/>
      <w:r w:rsidRPr="00470AC8">
        <w:rPr>
          <w:sz w:val="19"/>
          <w:szCs w:val="19"/>
        </w:rPr>
        <w:t xml:space="preserve"> et al. (2025) examined determinants of cryptocurrency market efficiency and showed that market-level conditions, including liquidity and volatility, are associated with price delay and efficiency. This indicates that efficiency in digital-asset markets depends on underlying market conditions rather than technology alone. </w:t>
      </w:r>
      <w:proofErr w:type="spellStart"/>
      <w:r w:rsidRPr="00470AC8">
        <w:rPr>
          <w:sz w:val="19"/>
          <w:szCs w:val="19"/>
        </w:rPr>
        <w:t>Treiblmaier</w:t>
      </w:r>
      <w:proofErr w:type="spellEnd"/>
      <w:r w:rsidRPr="00470AC8">
        <w:rPr>
          <w:sz w:val="19"/>
          <w:szCs w:val="19"/>
        </w:rPr>
        <w:t xml:space="preserve"> and Clohessy (2020) </w:t>
      </w:r>
      <w:proofErr w:type="spellStart"/>
      <w:r w:rsidRPr="00470AC8">
        <w:rPr>
          <w:sz w:val="19"/>
          <w:szCs w:val="19"/>
        </w:rPr>
        <w:t>synthesised</w:t>
      </w:r>
      <w:proofErr w:type="spellEnd"/>
      <w:r w:rsidRPr="00470AC8">
        <w:rPr>
          <w:sz w:val="19"/>
          <w:szCs w:val="19"/>
        </w:rPr>
        <w:t xml:space="preserve"> blockchain and </w:t>
      </w:r>
      <w:proofErr w:type="gramStart"/>
      <w:r w:rsidRPr="00470AC8">
        <w:rPr>
          <w:sz w:val="19"/>
          <w:szCs w:val="19"/>
        </w:rPr>
        <w:t>distributed-ledger</w:t>
      </w:r>
      <w:proofErr w:type="gramEnd"/>
      <w:r w:rsidRPr="00470AC8">
        <w:rPr>
          <w:sz w:val="19"/>
          <w:szCs w:val="19"/>
        </w:rPr>
        <w:t xml:space="preserve"> use cases across sectors, highlighting implications for transparency, data integrity, and transaction processes. Together, these studies support a conditional rather than automatic relationship between digital financial innovation and market efficiency.</w:t>
      </w:r>
    </w:p>
    <w:p w14:paraId="3738545B" w14:textId="77777777" w:rsidR="00F80353" w:rsidRPr="00470AC8" w:rsidRDefault="007F2E21">
      <w:pPr>
        <w:pStyle w:val="NormalWeb"/>
        <w:spacing w:beforeAutospacing="0" w:afterAutospacing="0"/>
        <w:jc w:val="both"/>
        <w:rPr>
          <w:sz w:val="19"/>
          <w:szCs w:val="19"/>
        </w:rPr>
      </w:pPr>
      <w:r w:rsidRPr="00470AC8">
        <w:rPr>
          <w:sz w:val="19"/>
          <w:szCs w:val="19"/>
        </w:rPr>
        <w:t>Chen and Bellavitis (2020) examined blockchain applications in financial services and showed how tokenisation, smart contracts, and decentralised financial models can reshape market access and transaction processes. Casino et al. (2019), in a systematic review of blockchain-based applications, identified smart contracts and process automation among prominent application areas. These studies provide support for the view that blockchain can influence market efficiency through transparency, automation, and reduced transaction frictions.</w:t>
      </w:r>
    </w:p>
    <w:p w14:paraId="07090147" w14:textId="77777777" w:rsidR="00F80353" w:rsidRPr="00470AC8" w:rsidRDefault="007F2E21">
      <w:pPr>
        <w:pStyle w:val="NormalWeb"/>
        <w:spacing w:beforeAutospacing="0" w:afterAutospacing="0"/>
        <w:jc w:val="both"/>
        <w:rPr>
          <w:sz w:val="19"/>
          <w:szCs w:val="19"/>
        </w:rPr>
      </w:pPr>
      <w:r w:rsidRPr="00470AC8">
        <w:rPr>
          <w:sz w:val="19"/>
          <w:szCs w:val="19"/>
        </w:rPr>
        <w:t>However, the evidence is not entirely uniform. Phiri (2022), using a time-frequency approach to Bitcoin, found that weak-form market efficiency varies across time and frequency horizons. This cautions against assuming that blockchain-based trading environments are uniformly efficient. The effectiveness of blockchain-enabled market infrastructure may therefore depend on market institutions, regulation, investor behaviour, and the quality of information. This point is particularly relevant to African capital markets, where institutional and infrastructural conditions remain uneven across countries.</w:t>
      </w:r>
    </w:p>
    <w:p w14:paraId="7F82A894" w14:textId="77777777" w:rsidR="00F80353" w:rsidRPr="00470AC8" w:rsidRDefault="007F2E21">
      <w:pPr>
        <w:pStyle w:val="NormalWeb"/>
        <w:spacing w:beforeAutospacing="0" w:afterAutospacing="0"/>
        <w:jc w:val="both"/>
        <w:rPr>
          <w:sz w:val="19"/>
          <w:szCs w:val="19"/>
        </w:rPr>
      </w:pPr>
      <w:r w:rsidRPr="00470AC8">
        <w:rPr>
          <w:sz w:val="19"/>
          <w:szCs w:val="19"/>
        </w:rPr>
        <w:t xml:space="preserve">Studies on fintech and financial intermediation also show that digital innovation can reshape traditional financial services. Phan et al. (2020) found that the growth of fintech firms can adversely influence bank performance, illustrating competitive disruption within incumbent financial institutions. Lee and Shin (2018) conceptualised fintech as an ecosystem involving business models, investment decisions, technological </w:t>
      </w:r>
      <w:r w:rsidRPr="00470AC8">
        <w:rPr>
          <w:sz w:val="19"/>
          <w:szCs w:val="19"/>
        </w:rPr>
        <w:lastRenderedPageBreak/>
        <w:t>innovation, and institutional challenges. Although these studies do not directly test African stock-market efficiency, they show how digital innovation can alter financial intermediation and market infrastructure.</w:t>
      </w:r>
    </w:p>
    <w:p w14:paraId="528A20EA" w14:textId="77777777" w:rsidR="00F80353" w:rsidRPr="00470AC8" w:rsidRDefault="007F2E21">
      <w:pPr>
        <w:pStyle w:val="NormalWeb"/>
        <w:spacing w:beforeAutospacing="0" w:afterAutospacing="0"/>
        <w:jc w:val="both"/>
        <w:rPr>
          <w:sz w:val="19"/>
          <w:szCs w:val="19"/>
        </w:rPr>
      </w:pPr>
      <w:r w:rsidRPr="00470AC8">
        <w:rPr>
          <w:sz w:val="19"/>
          <w:szCs w:val="19"/>
        </w:rPr>
        <w:t xml:space="preserve">Liquidity-based studies further support the relevance of market frictions to price formation. Chordia et al. (2001) documented systematic relationships between market liquidity and trading activity. Hou and Moskowitz (2005) linked price </w:t>
      </w:r>
      <w:proofErr w:type="gramStart"/>
      <w:r w:rsidRPr="00470AC8">
        <w:rPr>
          <w:sz w:val="19"/>
          <w:szCs w:val="19"/>
        </w:rPr>
        <w:t>delay</w:t>
      </w:r>
      <w:proofErr w:type="gramEnd"/>
      <w:r w:rsidRPr="00470AC8">
        <w:rPr>
          <w:sz w:val="19"/>
          <w:szCs w:val="19"/>
        </w:rPr>
        <w:t xml:space="preserve"> to market frictions and showed that slower incorporation of market-wide information is associated with less efficient price adjustment. These findings align with the expectation that blockchain-enabled systems may improve market efficiency when they reduce transaction frictions and improve information flow.</w:t>
      </w:r>
    </w:p>
    <w:p w14:paraId="181D8142" w14:textId="77777777" w:rsidR="00F80353" w:rsidRPr="00470AC8" w:rsidRDefault="007F2E21">
      <w:pPr>
        <w:pStyle w:val="NormalWeb"/>
        <w:spacing w:beforeAutospacing="0" w:afterAutospacing="0"/>
        <w:jc w:val="both"/>
        <w:rPr>
          <w:sz w:val="19"/>
          <w:szCs w:val="19"/>
        </w:rPr>
      </w:pPr>
      <w:r w:rsidRPr="00470AC8">
        <w:rPr>
          <w:sz w:val="19"/>
          <w:szCs w:val="19"/>
        </w:rPr>
        <w:t xml:space="preserve">Post-trade infrastructure is another important area in </w:t>
      </w:r>
      <w:proofErr w:type="gramStart"/>
      <w:r w:rsidRPr="00470AC8">
        <w:rPr>
          <w:sz w:val="19"/>
          <w:szCs w:val="19"/>
        </w:rPr>
        <w:t>the literature</w:t>
      </w:r>
      <w:proofErr w:type="gramEnd"/>
      <w:r w:rsidRPr="00470AC8">
        <w:rPr>
          <w:sz w:val="19"/>
          <w:szCs w:val="19"/>
        </w:rPr>
        <w:t>. Dowelani et al. (2023), based on evidence from South African clearing-and-settlement stakeholders, reported that participants viewed blockchain as having the potential to improve settlement speed, automation, auditability, transparency, and cost efficiency. Peters and Panayi (2016) similarly analysed how blockchain-based ledgers and smart contracts could alter transaction processing and settlement. These studies are directly relevant to African capital markets, where settlement delays and fragmented infrastructure remain important sources of inefficiency.</w:t>
      </w:r>
    </w:p>
    <w:p w14:paraId="3EF4890F" w14:textId="77777777" w:rsidR="00F80353" w:rsidRPr="00470AC8" w:rsidRDefault="007F2E21">
      <w:pPr>
        <w:pStyle w:val="NormalWeb"/>
        <w:spacing w:beforeAutospacing="0" w:afterAutospacing="0"/>
        <w:jc w:val="both"/>
        <w:rPr>
          <w:sz w:val="19"/>
          <w:szCs w:val="19"/>
        </w:rPr>
      </w:pPr>
      <w:r w:rsidRPr="00470AC8">
        <w:rPr>
          <w:sz w:val="19"/>
          <w:szCs w:val="19"/>
        </w:rPr>
        <w:t>Evidence from African markets also indicates that broader information and communication technology adoption can support stock-market development. Igwilo and Sibindi (2022), using a panel of 11 African stock exchanges from 2008 to 2017, found a positive relationship between ICT adoption and stock-market development. Although their study did not directly test blockchain adoption or institutional moderation, it supports the broader argument that digital infrastructure can strengthen capital-market development.</w:t>
      </w:r>
    </w:p>
    <w:p w14:paraId="463AD43F" w14:textId="77777777" w:rsidR="00F80353" w:rsidRPr="00470AC8" w:rsidRDefault="007F2E21">
      <w:pPr>
        <w:pStyle w:val="NormalWeb"/>
        <w:spacing w:beforeAutospacing="0" w:afterAutospacing="0"/>
        <w:jc w:val="both"/>
        <w:rPr>
          <w:sz w:val="19"/>
          <w:szCs w:val="19"/>
        </w:rPr>
      </w:pPr>
      <w:r w:rsidRPr="00470AC8">
        <w:rPr>
          <w:sz w:val="19"/>
          <w:szCs w:val="19"/>
        </w:rPr>
        <w:t>Similar mixed evidence appears in studies of Latin American and Asian frontier markets. Some studies found that digital financial infrastructure improves liquidity and investor participation, while others argued that technology alone cannot overcome weak governance, poor transparency, market concentration, and shallow investor bases. This pattern suggests that blockchain adoption may generate stronger efficiency gains where regulation, investor protection, infrastructure, and institutional trust are already improving. In weaker institutional environments, the gains may be slower, uneven, or limited.</w:t>
      </w:r>
    </w:p>
    <w:p w14:paraId="59ED5FE2" w14:textId="77777777" w:rsidR="00F80353" w:rsidRPr="00470AC8" w:rsidRDefault="007F2E21">
      <w:pPr>
        <w:pStyle w:val="NormalWeb"/>
        <w:spacing w:beforeAutospacing="0" w:afterAutospacing="0"/>
        <w:jc w:val="both"/>
        <w:rPr>
          <w:sz w:val="19"/>
          <w:szCs w:val="19"/>
        </w:rPr>
      </w:pPr>
      <w:r w:rsidRPr="00470AC8">
        <w:rPr>
          <w:sz w:val="19"/>
          <w:szCs w:val="19"/>
        </w:rPr>
        <w:t>In Africa, empirical evidence remains relatively scarce. Existing studies focus mainly on fintech inclusion, mobile payments, cryptocurrency regulation, and digital banking rather than blockchain adoption within capital market infrastructure. Osemwengie (2025), using Nigeria as a principal case study, examined the implications of blockchain adoption for governance, custody, enforcement, trust, and accountability in African capital markets. The study did not provide cross-country econometric estimates of market-efficiency indicators such as bid-ask spread, turnover ratio, return predictability, or price delay.</w:t>
      </w:r>
    </w:p>
    <w:p w14:paraId="028449A1" w14:textId="77777777" w:rsidR="00F80353" w:rsidRPr="00470AC8" w:rsidRDefault="007F2E21">
      <w:pPr>
        <w:pStyle w:val="NormalWeb"/>
        <w:spacing w:beforeAutospacing="0" w:afterAutospacing="0"/>
        <w:jc w:val="both"/>
        <w:rPr>
          <w:sz w:val="19"/>
          <w:szCs w:val="19"/>
        </w:rPr>
      </w:pPr>
      <w:proofErr w:type="spellStart"/>
      <w:r w:rsidRPr="00470AC8">
        <w:rPr>
          <w:sz w:val="19"/>
          <w:szCs w:val="19"/>
        </w:rPr>
        <w:t>Dowelani</w:t>
      </w:r>
      <w:proofErr w:type="spellEnd"/>
      <w:r w:rsidRPr="00470AC8">
        <w:rPr>
          <w:sz w:val="19"/>
          <w:szCs w:val="19"/>
        </w:rPr>
        <w:t xml:space="preserve"> et al. (2023) also provided useful African evidence by examining blockchain technology in South Africa’s clearing and settlement industry. Stakeholders identified potential benefits for settlement speed, automation, transparency, auditability, and operational efficiency. However, the study focused on stakeholder perceptions and implementation opportunities rather than measurable stock-market efficiency outcomes. As a result, it did not establish whether blockchain adoption improves liquidity, price discovery, or information efficiency across African stock exchanges.</w:t>
      </w:r>
    </w:p>
    <w:p w14:paraId="280967E0" w14:textId="77777777" w:rsidR="00F80353" w:rsidRPr="00470AC8" w:rsidRDefault="007F2E21">
      <w:pPr>
        <w:pStyle w:val="NormalWeb"/>
        <w:spacing w:beforeAutospacing="0" w:afterAutospacing="0"/>
        <w:jc w:val="both"/>
        <w:rPr>
          <w:sz w:val="19"/>
          <w:szCs w:val="19"/>
        </w:rPr>
      </w:pPr>
      <w:r w:rsidRPr="00470AC8">
        <w:rPr>
          <w:sz w:val="19"/>
          <w:szCs w:val="19"/>
        </w:rPr>
        <w:t>Other African studies have examined market efficiency and institutional determinants. Osei-Assibey and Nene (2024) found heterogeneous weak-form efficiency across selected African stock markets, with the profitability of technical trading strategies varying across South Africa, Egypt, and Nigeria. Asongu (2012) examined government-quality determinants of stock-market performance across African countries and documented links between governance conditions and market outcomes. These studies confirm that market efficiency and performance differ across African exchanges, but they do not directly examine blockchain adoption as a driver of improved market efficiency.</w:t>
      </w:r>
    </w:p>
    <w:p w14:paraId="0BE2D3AC" w14:textId="77777777" w:rsidR="00F80353" w:rsidRPr="00470AC8" w:rsidRDefault="007F2E21">
      <w:pPr>
        <w:pStyle w:val="NormalWeb"/>
        <w:spacing w:beforeAutospacing="0" w:afterAutospacing="0"/>
        <w:jc w:val="both"/>
        <w:rPr>
          <w:sz w:val="19"/>
          <w:szCs w:val="19"/>
        </w:rPr>
      </w:pPr>
      <w:r w:rsidRPr="00470AC8">
        <w:rPr>
          <w:sz w:val="19"/>
          <w:szCs w:val="19"/>
        </w:rPr>
        <w:t>Broader fintech studies in Africa also show links between digital financial innovation and financial inclusion. Girma and Huseynov (2024) reported a positive causal effect of FinTech on financial inclusion across African economies. However, their analysis concerns financial inclusion rather than blockchain-based capital-market infrastructure. Studies on electronic trading systems in African exchanges similarly report improvements in transparency and trading activity, but they provide limited evidence on blockchain-enabled clearing, settlement, custody, and market surveillance systems.</w:t>
      </w:r>
    </w:p>
    <w:p w14:paraId="17DF290E" w14:textId="77777777" w:rsidR="00F80353" w:rsidRPr="00470AC8" w:rsidRDefault="007F2E21">
      <w:pPr>
        <w:pStyle w:val="NormalWeb"/>
        <w:spacing w:beforeAutospacing="0" w:afterAutospacing="0"/>
        <w:jc w:val="both"/>
        <w:rPr>
          <w:sz w:val="19"/>
          <w:szCs w:val="19"/>
        </w:rPr>
      </w:pPr>
      <w:r w:rsidRPr="00470AC8">
        <w:rPr>
          <w:sz w:val="19"/>
          <w:szCs w:val="19"/>
        </w:rPr>
        <w:t>Overall, the empirical literature shows that blockchain and digital financial infrastructure can improve market efficiency by reducing transaction costs, improving liquidity, accelerating settlement, strengthening transparency, and enhancing price discovery. However, the evidence also shows that these benefits are not automatic. Institutional quality, regulatory certainty, digital infrastructure, investor confidence, and market maturity influence the extent to which blockchain adoption improves market outcomes. This is especially important for African capital markets, where regulatory capacity, technological readiness, and institutional strength differ significantly across countries.</w:t>
      </w:r>
    </w:p>
    <w:p w14:paraId="6736C112" w14:textId="77777777" w:rsidR="00F80353" w:rsidRPr="00470AC8" w:rsidRDefault="007F2E21">
      <w:pPr>
        <w:pStyle w:val="NormalWeb"/>
        <w:spacing w:beforeAutospacing="0" w:afterAutospacing="0"/>
        <w:jc w:val="both"/>
        <w:rPr>
          <w:sz w:val="19"/>
          <w:szCs w:val="19"/>
        </w:rPr>
      </w:pPr>
      <w:r w:rsidRPr="00470AC8">
        <w:rPr>
          <w:sz w:val="19"/>
          <w:szCs w:val="19"/>
        </w:rPr>
        <w:t xml:space="preserve">The review reveals four major gaps. First, existing studies focus largely on developed markets, cryptocurrency markets, or broad fintech systems, with limited attention to blockchain adoption in traditional African capital markets. Second, African evidence is mostly qualitative, descriptive, or country-specific, leaving a shortage of cross-country panel studies. Third, many prior studies rely on static regression or case-study approaches that may not adequately address endogeneity, reverse causality, persistence effects, and unobserved heterogeneity. Fourth, few studies develop a multidimensional Blockchain Adoption Index that </w:t>
      </w:r>
      <w:r w:rsidRPr="00470AC8">
        <w:rPr>
          <w:sz w:val="19"/>
          <w:szCs w:val="19"/>
        </w:rPr>
        <w:lastRenderedPageBreak/>
        <w:t>captures blockchain infrastructure, settlement digitisation, fintech ecosystem development, regulatory innovation, and securities-market digitalisation.</w:t>
      </w:r>
    </w:p>
    <w:p w14:paraId="3A99B837" w14:textId="77777777" w:rsidR="00F80353" w:rsidRPr="00470AC8" w:rsidRDefault="007F2E21">
      <w:pPr>
        <w:pStyle w:val="NormalWeb"/>
        <w:spacing w:beforeAutospacing="0" w:afterAutospacing="0"/>
        <w:jc w:val="both"/>
        <w:rPr>
          <w:sz w:val="19"/>
          <w:szCs w:val="19"/>
        </w:rPr>
      </w:pPr>
      <w:r w:rsidRPr="00470AC8">
        <w:rPr>
          <w:sz w:val="19"/>
          <w:szCs w:val="19"/>
        </w:rPr>
        <w:t>This study addresses these gaps by examining blockchain adoption and market efficiency across selected African capital markets from 2014 to 2025. It applies Dynamic Panel System GMM estimation, uses multiple market efficiency proxies, and introduces institutional quality as a moderating variable. By doing so, the study provides stronger empirical evidence on whether blockchain-enabled financial infrastructure can improve liquidity, reduce informational frictions, and strengthen price discovery in African capital markets.</w:t>
      </w:r>
    </w:p>
    <w:p w14:paraId="363CE64E" w14:textId="77777777" w:rsidR="00F80353" w:rsidRPr="00470AC8" w:rsidRDefault="00F80353">
      <w:pPr>
        <w:pStyle w:val="NormalWeb"/>
        <w:spacing w:beforeAutospacing="0" w:afterAutospacing="0"/>
        <w:jc w:val="both"/>
        <w:rPr>
          <w:sz w:val="19"/>
          <w:szCs w:val="19"/>
        </w:rPr>
      </w:pPr>
    </w:p>
    <w:p w14:paraId="595C0D62"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3.0 Methodology</w:t>
      </w:r>
    </w:p>
    <w:p w14:paraId="3B7A5AA5"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3.1 Research Design</w:t>
      </w:r>
    </w:p>
    <w:p w14:paraId="5FF430F3" w14:textId="77777777" w:rsidR="00F80353" w:rsidRPr="00470AC8" w:rsidRDefault="007F2E21">
      <w:pPr>
        <w:pStyle w:val="NormalWeb"/>
        <w:spacing w:beforeAutospacing="0" w:afterAutospacing="0"/>
        <w:jc w:val="both"/>
        <w:rPr>
          <w:sz w:val="19"/>
          <w:szCs w:val="19"/>
        </w:rPr>
      </w:pPr>
      <w:r w:rsidRPr="00470AC8">
        <w:rPr>
          <w:sz w:val="19"/>
          <w:szCs w:val="19"/>
        </w:rPr>
        <w:t>This study adopted a quantitative longitudinal panel research design to examine the effect of blockchain adoption on market efficiency in selected African capital markets from 2014 to 2025. The panel design was appropriate because it combined cross-sectional and time-series dimensions, allowing the study to capture variations across countries and over time.</w:t>
      </w:r>
    </w:p>
    <w:p w14:paraId="3606BF48" w14:textId="77777777" w:rsidR="00F80353" w:rsidRPr="00470AC8" w:rsidRDefault="007F2E21">
      <w:pPr>
        <w:pStyle w:val="NormalWeb"/>
        <w:spacing w:beforeAutospacing="0" w:afterAutospacing="0"/>
        <w:jc w:val="both"/>
        <w:rPr>
          <w:sz w:val="19"/>
          <w:szCs w:val="19"/>
        </w:rPr>
      </w:pPr>
      <w:r w:rsidRPr="00470AC8">
        <w:rPr>
          <w:sz w:val="19"/>
          <w:szCs w:val="19"/>
        </w:rPr>
        <w:t>The longitudinal structure enabled the study to assess changes in blockchain adoption, market efficiency, financial technology diffusion, and institutional development across the study period. The cross-country dimension also allowed comparative analysis among African exchanges with different levels of digital infrastructure, regulatory quality, and market development. This design improved estimation efficiency, increased the number of observations, and helped control for unobserved country-specific differences (Baltagi, 2021).</w:t>
      </w:r>
    </w:p>
    <w:p w14:paraId="3BE5014D" w14:textId="77777777" w:rsidR="00F80353" w:rsidRPr="00470AC8" w:rsidRDefault="007F2E21">
      <w:pPr>
        <w:pStyle w:val="NormalWeb"/>
        <w:spacing w:beforeAutospacing="0" w:afterAutospacing="0"/>
        <w:jc w:val="both"/>
        <w:rPr>
          <w:sz w:val="19"/>
          <w:szCs w:val="19"/>
        </w:rPr>
      </w:pPr>
      <w:r w:rsidRPr="00470AC8">
        <w:rPr>
          <w:sz w:val="19"/>
          <w:szCs w:val="19"/>
        </w:rPr>
        <w:t>The use of panel data was also suitable because market efficiency and blockchain adoption are dynamic processes. Current levels of market efficiency may depend on previous efficiency levels, while blockchain adoption may be influenced by institutional readiness and prior technological development. This justified the use of dynamic panel estimation techniques capable of addressing persistence, endogeneity, and unobserved heterogeneity (Arellano &amp; Bond, 1991; Roodman, 2009).</w:t>
      </w:r>
    </w:p>
    <w:p w14:paraId="5B6FC023" w14:textId="77777777" w:rsidR="00F80353" w:rsidRPr="00470AC8" w:rsidRDefault="00F80353">
      <w:pPr>
        <w:pStyle w:val="Heading3"/>
        <w:spacing w:beforeAutospacing="0" w:afterAutospacing="0"/>
        <w:jc w:val="both"/>
        <w:rPr>
          <w:rFonts w:ascii="Times New Roman" w:hAnsi="Times New Roman" w:hint="default"/>
          <w:sz w:val="19"/>
          <w:szCs w:val="19"/>
        </w:rPr>
      </w:pPr>
    </w:p>
    <w:p w14:paraId="692ADE65"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3.2 Population of the Study</w:t>
      </w:r>
    </w:p>
    <w:p w14:paraId="2CA2C72C"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The population of the study comprised </w:t>
      </w:r>
      <w:proofErr w:type="spellStart"/>
      <w:r w:rsidRPr="00470AC8">
        <w:rPr>
          <w:rFonts w:ascii="Times New Roman" w:eastAsia="SimSun" w:hAnsi="Times New Roman" w:cs="Times New Roman"/>
          <w:sz w:val="19"/>
          <w:szCs w:val="19"/>
          <w:lang w:bidi="ar"/>
        </w:rPr>
        <w:t>organised</w:t>
      </w:r>
      <w:proofErr w:type="spellEnd"/>
      <w:r w:rsidRPr="00470AC8">
        <w:rPr>
          <w:rFonts w:ascii="Times New Roman" w:eastAsia="SimSun" w:hAnsi="Times New Roman" w:cs="Times New Roman"/>
          <w:sz w:val="19"/>
          <w:szCs w:val="19"/>
          <w:lang w:bidi="ar"/>
        </w:rPr>
        <w:t xml:space="preserve"> securities exchanges operating in Africa. The empirical analysis focused on 10 capital markets: Nigeria, South Africa, Kenya, Egypt, Morocco, Ghana, Botswana, Mauritius, Namibia, and Tunisia. These markets were selected because of their economic significance, observable financial-market </w:t>
      </w:r>
      <w:proofErr w:type="spellStart"/>
      <w:r w:rsidRPr="00470AC8">
        <w:rPr>
          <w:rFonts w:ascii="Times New Roman" w:eastAsia="SimSun" w:hAnsi="Times New Roman" w:cs="Times New Roman"/>
          <w:sz w:val="19"/>
          <w:szCs w:val="19"/>
          <w:lang w:bidi="ar"/>
        </w:rPr>
        <w:t>digitalisation</w:t>
      </w:r>
      <w:proofErr w:type="spellEnd"/>
      <w:r w:rsidRPr="00470AC8">
        <w:rPr>
          <w:rFonts w:ascii="Times New Roman" w:eastAsia="SimSun" w:hAnsi="Times New Roman" w:cs="Times New Roman"/>
          <w:sz w:val="19"/>
          <w:szCs w:val="19"/>
          <w:lang w:bidi="ar"/>
        </w:rPr>
        <w:t>, availability of market and institutional data, and representation of different African regions.</w:t>
      </w:r>
    </w:p>
    <w:p w14:paraId="7BBFADD6" w14:textId="77777777" w:rsidR="00F80353" w:rsidRPr="00470AC8" w:rsidRDefault="00F80353">
      <w:pPr>
        <w:pStyle w:val="NormalWeb"/>
        <w:spacing w:beforeAutospacing="0" w:afterAutospacing="0"/>
        <w:jc w:val="both"/>
        <w:rPr>
          <w:sz w:val="19"/>
          <w:szCs w:val="19"/>
        </w:rPr>
      </w:pPr>
    </w:p>
    <w:p w14:paraId="037CD632"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3.3 Sample Size and Sampling Technique</w:t>
      </w:r>
    </w:p>
    <w:p w14:paraId="6731DB8F"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study employed purposive sampling to select 10 African capital markets for the period 2014–2025. The selection criteria included the availability of consistent annual capital-market data, the existence of electronic trading and settlement infrastructure, evidence of blockchain or related financial-technology initiatives, and membership or recognition by bodies such as the African Securities Exchanges Association and the World Federation of Exchanges.</w:t>
      </w:r>
    </w:p>
    <w:p w14:paraId="7EC0DAE8" w14:textId="60E7B8BA" w:rsidR="00F80353" w:rsidRPr="00470AC8" w:rsidRDefault="007F2E21">
      <w:pPr>
        <w:pStyle w:val="NormalWeb"/>
        <w:spacing w:beforeAutospacing="0" w:afterAutospacing="0"/>
        <w:jc w:val="both"/>
        <w:rPr>
          <w:sz w:val="19"/>
          <w:szCs w:val="19"/>
          <w:lang w:bidi="ar"/>
        </w:rPr>
      </w:pPr>
      <w:r w:rsidRPr="00470AC8">
        <w:rPr>
          <w:sz w:val="19"/>
          <w:szCs w:val="19"/>
          <w:lang w:bidi="ar"/>
        </w:rPr>
        <w:t xml:space="preserve">The final sample comprised 10 exchanges observed over 12 years. This produced a balanced panel of 120 market-year observations. The same markets and study period were maintained across the principal variables to ensure comparability and consistency in the panel estimations. </w:t>
      </w:r>
      <w:r w:rsidR="00B76B94">
        <w:rPr>
          <w:sz w:val="19"/>
          <w:szCs w:val="19"/>
          <w:lang w:bidi="ar"/>
        </w:rPr>
        <w:t>List 1</w:t>
      </w:r>
      <w:r w:rsidRPr="00470AC8">
        <w:rPr>
          <w:sz w:val="19"/>
          <w:szCs w:val="19"/>
          <w:lang w:bidi="ar"/>
        </w:rPr>
        <w:t xml:space="preserve"> presents the exchanges, countries, years covered, and number of observations used in the analysis.</w:t>
      </w:r>
    </w:p>
    <w:p w14:paraId="479AEDF1" w14:textId="1F3EEF4C" w:rsidR="00F80353" w:rsidRPr="00470AC8" w:rsidRDefault="00B76B94">
      <w:pPr>
        <w:rPr>
          <w:rFonts w:ascii="Times New Roman" w:eastAsia="SimSun" w:hAnsi="Times New Roman" w:cs="Times New Roman"/>
          <w:b/>
          <w:bCs/>
          <w:sz w:val="19"/>
          <w:szCs w:val="19"/>
          <w:lang w:bidi="ar"/>
        </w:rPr>
      </w:pPr>
      <w:r>
        <w:rPr>
          <w:rFonts w:ascii="Times New Roman" w:eastAsia="SimSun" w:hAnsi="Times New Roman" w:cs="Times New Roman"/>
          <w:b/>
          <w:bCs/>
          <w:sz w:val="19"/>
          <w:szCs w:val="19"/>
          <w:lang w:bidi="ar"/>
        </w:rPr>
        <w:t>List 1</w:t>
      </w:r>
      <w:r w:rsidR="007F2E21" w:rsidRPr="00470AC8">
        <w:rPr>
          <w:rFonts w:ascii="Times New Roman" w:eastAsia="SimSun" w:hAnsi="Times New Roman" w:cs="Times New Roman"/>
          <w:b/>
          <w:bCs/>
          <w:sz w:val="19"/>
          <w:szCs w:val="19"/>
          <w:lang w:bidi="ar"/>
        </w:rPr>
        <w:t>: Capital Markets and Period Covered by the Study</w:t>
      </w:r>
    </w:p>
    <w:tbl>
      <w:tblPr>
        <w:tblW w:w="11075" w:type="dxa"/>
        <w:jc w:val="center"/>
        <w:tblLayout w:type="fixed"/>
        <w:tblLook w:val="04A0" w:firstRow="1" w:lastRow="0" w:firstColumn="1" w:lastColumn="0" w:noHBand="0" w:noVBand="1"/>
      </w:tblPr>
      <w:tblGrid>
        <w:gridCol w:w="770"/>
        <w:gridCol w:w="315"/>
        <w:gridCol w:w="2021"/>
        <w:gridCol w:w="3696"/>
        <w:gridCol w:w="1579"/>
        <w:gridCol w:w="1001"/>
        <w:gridCol w:w="1693"/>
      </w:tblGrid>
      <w:tr w:rsidR="00581EEF" w:rsidRPr="00470AC8" w14:paraId="5D45C061" w14:textId="77777777" w:rsidTr="00581EEF">
        <w:trPr>
          <w:trHeight w:val="600"/>
          <w:jc w:val="center"/>
        </w:trPr>
        <w:tc>
          <w:tcPr>
            <w:tcW w:w="576" w:type="dxa"/>
            <w:tcBorders>
              <w:top w:val="single" w:sz="8" w:space="0" w:color="000000"/>
              <w:left w:val="single" w:sz="8" w:space="0" w:color="000000"/>
              <w:bottom w:val="single" w:sz="8" w:space="0" w:color="000000"/>
              <w:right w:val="nil"/>
            </w:tcBorders>
            <w:vAlign w:val="center"/>
          </w:tcPr>
          <w:p w14:paraId="1DA7138A" w14:textId="77777777" w:rsidR="00581EEF" w:rsidRPr="00470AC8" w:rsidRDefault="00581EEF">
            <w:pPr>
              <w:jc w:val="cente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No.</w:t>
            </w:r>
          </w:p>
        </w:tc>
        <w:tc>
          <w:tcPr>
            <w:tcW w:w="173" w:type="dxa"/>
            <w:tcBorders>
              <w:top w:val="single" w:sz="8" w:space="0" w:color="000000"/>
              <w:left w:val="nil"/>
              <w:bottom w:val="single" w:sz="8" w:space="0" w:color="000000"/>
              <w:right w:val="nil"/>
            </w:tcBorders>
          </w:tcPr>
          <w:p w14:paraId="2DA55892" w14:textId="77777777" w:rsidR="00581EEF" w:rsidRPr="00470AC8" w:rsidRDefault="00581EEF">
            <w:pPr>
              <w:jc w:val="center"/>
              <w:textAlignment w:val="center"/>
              <w:rPr>
                <w:rFonts w:ascii="Calibri" w:eastAsia="SimSun" w:hAnsi="Calibri" w:cs="Calibri"/>
                <w:b/>
                <w:bCs/>
                <w:color w:val="000000"/>
                <w:sz w:val="22"/>
                <w:szCs w:val="22"/>
                <w:lang w:bidi="ar"/>
              </w:rPr>
            </w:pPr>
          </w:p>
        </w:tc>
        <w:tc>
          <w:tcPr>
            <w:tcW w:w="1512" w:type="dxa"/>
            <w:tcBorders>
              <w:top w:val="single" w:sz="8" w:space="0" w:color="000000"/>
              <w:left w:val="nil"/>
              <w:bottom w:val="single" w:sz="8" w:space="0" w:color="000000"/>
              <w:right w:val="nil"/>
            </w:tcBorders>
            <w:vAlign w:val="center"/>
          </w:tcPr>
          <w:p w14:paraId="3B439ECC" w14:textId="77777777" w:rsidR="00581EEF" w:rsidRPr="00470AC8" w:rsidRDefault="00581EEF">
            <w:pPr>
              <w:jc w:val="cente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Country</w:t>
            </w:r>
          </w:p>
        </w:tc>
        <w:tc>
          <w:tcPr>
            <w:tcW w:w="2765" w:type="dxa"/>
            <w:tcBorders>
              <w:top w:val="single" w:sz="8" w:space="0" w:color="000000"/>
              <w:left w:val="nil"/>
              <w:bottom w:val="single" w:sz="8" w:space="0" w:color="000000"/>
              <w:right w:val="nil"/>
            </w:tcBorders>
            <w:vAlign w:val="center"/>
          </w:tcPr>
          <w:p w14:paraId="2C2FD612" w14:textId="77777777" w:rsidR="00581EEF" w:rsidRPr="00470AC8" w:rsidRDefault="00581EEF">
            <w:pPr>
              <w:jc w:val="cente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Securities exchange</w:t>
            </w:r>
          </w:p>
        </w:tc>
        <w:tc>
          <w:tcPr>
            <w:tcW w:w="1181" w:type="dxa"/>
            <w:tcBorders>
              <w:top w:val="single" w:sz="8" w:space="0" w:color="000000"/>
              <w:left w:val="nil"/>
              <w:bottom w:val="single" w:sz="8" w:space="0" w:color="000000"/>
              <w:right w:val="nil"/>
            </w:tcBorders>
            <w:vAlign w:val="center"/>
          </w:tcPr>
          <w:p w14:paraId="423441D6" w14:textId="77777777" w:rsidR="00581EEF" w:rsidRPr="00470AC8" w:rsidRDefault="00581EEF">
            <w:pPr>
              <w:jc w:val="cente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Years covered</w:t>
            </w:r>
          </w:p>
        </w:tc>
        <w:tc>
          <w:tcPr>
            <w:tcW w:w="749" w:type="dxa"/>
            <w:tcBorders>
              <w:top w:val="single" w:sz="8" w:space="0" w:color="000000"/>
              <w:left w:val="nil"/>
              <w:bottom w:val="single" w:sz="8" w:space="0" w:color="000000"/>
              <w:right w:val="nil"/>
            </w:tcBorders>
            <w:vAlign w:val="center"/>
          </w:tcPr>
          <w:p w14:paraId="69CE8BA7" w14:textId="77777777" w:rsidR="00581EEF" w:rsidRPr="00470AC8" w:rsidRDefault="00581EEF">
            <w:pPr>
              <w:jc w:val="cente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Years</w:t>
            </w:r>
          </w:p>
        </w:tc>
        <w:tc>
          <w:tcPr>
            <w:tcW w:w="1267" w:type="dxa"/>
            <w:tcBorders>
              <w:top w:val="single" w:sz="8" w:space="0" w:color="000000"/>
              <w:left w:val="nil"/>
              <w:bottom w:val="single" w:sz="8" w:space="0" w:color="000000"/>
              <w:right w:val="single" w:sz="8" w:space="0" w:color="000000"/>
            </w:tcBorders>
            <w:vAlign w:val="center"/>
          </w:tcPr>
          <w:p w14:paraId="33D06880" w14:textId="77777777" w:rsidR="00581EEF" w:rsidRPr="00470AC8" w:rsidRDefault="00581EEF">
            <w:pPr>
              <w:jc w:val="cente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Observations</w:t>
            </w:r>
          </w:p>
        </w:tc>
      </w:tr>
      <w:tr w:rsidR="00581EEF" w:rsidRPr="00470AC8" w14:paraId="3753B771" w14:textId="77777777" w:rsidTr="00581EEF">
        <w:trPr>
          <w:trHeight w:val="600"/>
          <w:jc w:val="center"/>
        </w:trPr>
        <w:tc>
          <w:tcPr>
            <w:tcW w:w="576" w:type="dxa"/>
            <w:tcBorders>
              <w:top w:val="nil"/>
              <w:left w:val="single" w:sz="8" w:space="0" w:color="000000"/>
              <w:bottom w:val="nil"/>
              <w:right w:val="nil"/>
            </w:tcBorders>
            <w:vAlign w:val="center"/>
          </w:tcPr>
          <w:p w14:paraId="57F226D3"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w:t>
            </w:r>
          </w:p>
        </w:tc>
        <w:tc>
          <w:tcPr>
            <w:tcW w:w="173" w:type="dxa"/>
            <w:tcBorders>
              <w:top w:val="nil"/>
              <w:left w:val="nil"/>
              <w:bottom w:val="nil"/>
              <w:right w:val="nil"/>
            </w:tcBorders>
          </w:tcPr>
          <w:p w14:paraId="7FC84178"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40848A1C"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Nigeria</w:t>
            </w:r>
          </w:p>
        </w:tc>
        <w:tc>
          <w:tcPr>
            <w:tcW w:w="2765" w:type="dxa"/>
            <w:tcBorders>
              <w:top w:val="nil"/>
              <w:left w:val="nil"/>
              <w:bottom w:val="nil"/>
              <w:right w:val="nil"/>
            </w:tcBorders>
            <w:vAlign w:val="center"/>
          </w:tcPr>
          <w:p w14:paraId="37B33534"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Nigerian Exchange Limited</w:t>
            </w:r>
          </w:p>
        </w:tc>
        <w:tc>
          <w:tcPr>
            <w:tcW w:w="1181" w:type="dxa"/>
            <w:tcBorders>
              <w:top w:val="nil"/>
              <w:left w:val="nil"/>
              <w:bottom w:val="nil"/>
              <w:right w:val="nil"/>
            </w:tcBorders>
            <w:vAlign w:val="center"/>
          </w:tcPr>
          <w:p w14:paraId="710CEE58"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182099BC"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35B68D33"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04B9B63C" w14:textId="77777777" w:rsidTr="00581EEF">
        <w:trPr>
          <w:trHeight w:val="600"/>
          <w:jc w:val="center"/>
        </w:trPr>
        <w:tc>
          <w:tcPr>
            <w:tcW w:w="576" w:type="dxa"/>
            <w:tcBorders>
              <w:top w:val="nil"/>
              <w:left w:val="single" w:sz="8" w:space="0" w:color="000000"/>
              <w:bottom w:val="nil"/>
              <w:right w:val="nil"/>
            </w:tcBorders>
            <w:vAlign w:val="center"/>
          </w:tcPr>
          <w:p w14:paraId="21B142B1"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w:t>
            </w:r>
          </w:p>
        </w:tc>
        <w:tc>
          <w:tcPr>
            <w:tcW w:w="173" w:type="dxa"/>
            <w:tcBorders>
              <w:top w:val="nil"/>
              <w:left w:val="nil"/>
              <w:bottom w:val="nil"/>
              <w:right w:val="nil"/>
            </w:tcBorders>
          </w:tcPr>
          <w:p w14:paraId="28585592"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5FD790A3"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South Africa</w:t>
            </w:r>
          </w:p>
        </w:tc>
        <w:tc>
          <w:tcPr>
            <w:tcW w:w="2765" w:type="dxa"/>
            <w:tcBorders>
              <w:top w:val="nil"/>
              <w:left w:val="nil"/>
              <w:bottom w:val="nil"/>
              <w:right w:val="nil"/>
            </w:tcBorders>
            <w:vAlign w:val="center"/>
          </w:tcPr>
          <w:p w14:paraId="6BD4ABCF"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Johannesburg Stock Exchange</w:t>
            </w:r>
          </w:p>
        </w:tc>
        <w:tc>
          <w:tcPr>
            <w:tcW w:w="1181" w:type="dxa"/>
            <w:tcBorders>
              <w:top w:val="nil"/>
              <w:left w:val="nil"/>
              <w:bottom w:val="nil"/>
              <w:right w:val="nil"/>
            </w:tcBorders>
            <w:vAlign w:val="center"/>
          </w:tcPr>
          <w:p w14:paraId="58D001EF"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3EE710A8"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4176C6E9"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68AD864C" w14:textId="77777777" w:rsidTr="00581EEF">
        <w:trPr>
          <w:trHeight w:val="600"/>
          <w:jc w:val="center"/>
        </w:trPr>
        <w:tc>
          <w:tcPr>
            <w:tcW w:w="576" w:type="dxa"/>
            <w:tcBorders>
              <w:top w:val="nil"/>
              <w:left w:val="single" w:sz="8" w:space="0" w:color="000000"/>
              <w:bottom w:val="nil"/>
              <w:right w:val="nil"/>
            </w:tcBorders>
            <w:vAlign w:val="center"/>
          </w:tcPr>
          <w:p w14:paraId="6390CA40"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3</w:t>
            </w:r>
          </w:p>
        </w:tc>
        <w:tc>
          <w:tcPr>
            <w:tcW w:w="173" w:type="dxa"/>
            <w:tcBorders>
              <w:top w:val="nil"/>
              <w:left w:val="nil"/>
              <w:bottom w:val="nil"/>
              <w:right w:val="nil"/>
            </w:tcBorders>
          </w:tcPr>
          <w:p w14:paraId="44ABEAC4"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125A422A"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Kenya</w:t>
            </w:r>
          </w:p>
        </w:tc>
        <w:tc>
          <w:tcPr>
            <w:tcW w:w="2765" w:type="dxa"/>
            <w:tcBorders>
              <w:top w:val="nil"/>
              <w:left w:val="nil"/>
              <w:bottom w:val="nil"/>
              <w:right w:val="nil"/>
            </w:tcBorders>
            <w:vAlign w:val="center"/>
          </w:tcPr>
          <w:p w14:paraId="2BA8FA62"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Nairobi Securities Exchange</w:t>
            </w:r>
          </w:p>
        </w:tc>
        <w:tc>
          <w:tcPr>
            <w:tcW w:w="1181" w:type="dxa"/>
            <w:tcBorders>
              <w:top w:val="nil"/>
              <w:left w:val="nil"/>
              <w:bottom w:val="nil"/>
              <w:right w:val="nil"/>
            </w:tcBorders>
            <w:vAlign w:val="center"/>
          </w:tcPr>
          <w:p w14:paraId="0C9A5321"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1773BE15"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4E4FDBBB"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5F71B03D" w14:textId="77777777" w:rsidTr="00581EEF">
        <w:trPr>
          <w:trHeight w:val="600"/>
          <w:jc w:val="center"/>
        </w:trPr>
        <w:tc>
          <w:tcPr>
            <w:tcW w:w="576" w:type="dxa"/>
            <w:tcBorders>
              <w:top w:val="nil"/>
              <w:left w:val="single" w:sz="8" w:space="0" w:color="000000"/>
              <w:bottom w:val="nil"/>
              <w:right w:val="nil"/>
            </w:tcBorders>
            <w:vAlign w:val="center"/>
          </w:tcPr>
          <w:p w14:paraId="64060AFE"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4</w:t>
            </w:r>
          </w:p>
        </w:tc>
        <w:tc>
          <w:tcPr>
            <w:tcW w:w="173" w:type="dxa"/>
            <w:tcBorders>
              <w:top w:val="nil"/>
              <w:left w:val="nil"/>
              <w:bottom w:val="nil"/>
              <w:right w:val="nil"/>
            </w:tcBorders>
          </w:tcPr>
          <w:p w14:paraId="56E09600"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00E77524"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Egypt</w:t>
            </w:r>
          </w:p>
        </w:tc>
        <w:tc>
          <w:tcPr>
            <w:tcW w:w="2765" w:type="dxa"/>
            <w:tcBorders>
              <w:top w:val="nil"/>
              <w:left w:val="nil"/>
              <w:bottom w:val="nil"/>
              <w:right w:val="nil"/>
            </w:tcBorders>
            <w:vAlign w:val="center"/>
          </w:tcPr>
          <w:p w14:paraId="4A859236"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Egyptian Exchange</w:t>
            </w:r>
          </w:p>
        </w:tc>
        <w:tc>
          <w:tcPr>
            <w:tcW w:w="1181" w:type="dxa"/>
            <w:tcBorders>
              <w:top w:val="nil"/>
              <w:left w:val="nil"/>
              <w:bottom w:val="nil"/>
              <w:right w:val="nil"/>
            </w:tcBorders>
            <w:vAlign w:val="center"/>
          </w:tcPr>
          <w:p w14:paraId="0146FAF0"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1B15758C"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214B43B8"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35E8ED06" w14:textId="77777777" w:rsidTr="00581EEF">
        <w:trPr>
          <w:trHeight w:val="600"/>
          <w:jc w:val="center"/>
        </w:trPr>
        <w:tc>
          <w:tcPr>
            <w:tcW w:w="576" w:type="dxa"/>
            <w:tcBorders>
              <w:top w:val="nil"/>
              <w:left w:val="single" w:sz="8" w:space="0" w:color="000000"/>
              <w:bottom w:val="nil"/>
              <w:right w:val="nil"/>
            </w:tcBorders>
            <w:vAlign w:val="center"/>
          </w:tcPr>
          <w:p w14:paraId="2782F3CF"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5</w:t>
            </w:r>
          </w:p>
        </w:tc>
        <w:tc>
          <w:tcPr>
            <w:tcW w:w="173" w:type="dxa"/>
            <w:tcBorders>
              <w:top w:val="nil"/>
              <w:left w:val="nil"/>
              <w:bottom w:val="nil"/>
              <w:right w:val="nil"/>
            </w:tcBorders>
          </w:tcPr>
          <w:p w14:paraId="65D00DAF"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79A9E955"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Morocco</w:t>
            </w:r>
          </w:p>
        </w:tc>
        <w:tc>
          <w:tcPr>
            <w:tcW w:w="2765" w:type="dxa"/>
            <w:tcBorders>
              <w:top w:val="nil"/>
              <w:left w:val="nil"/>
              <w:bottom w:val="nil"/>
              <w:right w:val="nil"/>
            </w:tcBorders>
            <w:vAlign w:val="center"/>
          </w:tcPr>
          <w:p w14:paraId="06695E44"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Casablanca Stock Exchange</w:t>
            </w:r>
          </w:p>
        </w:tc>
        <w:tc>
          <w:tcPr>
            <w:tcW w:w="1181" w:type="dxa"/>
            <w:tcBorders>
              <w:top w:val="nil"/>
              <w:left w:val="nil"/>
              <w:bottom w:val="nil"/>
              <w:right w:val="nil"/>
            </w:tcBorders>
            <w:vAlign w:val="center"/>
          </w:tcPr>
          <w:p w14:paraId="1351F7E6"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4A9FF7F0"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75F793AB"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254254AA" w14:textId="77777777" w:rsidTr="00581EEF">
        <w:trPr>
          <w:trHeight w:val="600"/>
          <w:jc w:val="center"/>
        </w:trPr>
        <w:tc>
          <w:tcPr>
            <w:tcW w:w="576" w:type="dxa"/>
            <w:tcBorders>
              <w:top w:val="nil"/>
              <w:left w:val="single" w:sz="8" w:space="0" w:color="000000"/>
              <w:bottom w:val="nil"/>
              <w:right w:val="nil"/>
            </w:tcBorders>
            <w:vAlign w:val="center"/>
          </w:tcPr>
          <w:p w14:paraId="43D9DA38"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lastRenderedPageBreak/>
              <w:t>6</w:t>
            </w:r>
          </w:p>
        </w:tc>
        <w:tc>
          <w:tcPr>
            <w:tcW w:w="173" w:type="dxa"/>
            <w:tcBorders>
              <w:top w:val="nil"/>
              <w:left w:val="nil"/>
              <w:bottom w:val="nil"/>
              <w:right w:val="nil"/>
            </w:tcBorders>
          </w:tcPr>
          <w:p w14:paraId="1795646C"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593A410D"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Ghana</w:t>
            </w:r>
          </w:p>
        </w:tc>
        <w:tc>
          <w:tcPr>
            <w:tcW w:w="2765" w:type="dxa"/>
            <w:tcBorders>
              <w:top w:val="nil"/>
              <w:left w:val="nil"/>
              <w:bottom w:val="nil"/>
              <w:right w:val="nil"/>
            </w:tcBorders>
            <w:vAlign w:val="center"/>
          </w:tcPr>
          <w:p w14:paraId="2ADE63F2"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Ghana Stock Exchange</w:t>
            </w:r>
          </w:p>
        </w:tc>
        <w:tc>
          <w:tcPr>
            <w:tcW w:w="1181" w:type="dxa"/>
            <w:tcBorders>
              <w:top w:val="nil"/>
              <w:left w:val="nil"/>
              <w:bottom w:val="nil"/>
              <w:right w:val="nil"/>
            </w:tcBorders>
            <w:vAlign w:val="center"/>
          </w:tcPr>
          <w:p w14:paraId="30ACF4AF"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7633B922"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39524C35"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02434B2A" w14:textId="77777777" w:rsidTr="00581EEF">
        <w:trPr>
          <w:trHeight w:val="600"/>
          <w:jc w:val="center"/>
        </w:trPr>
        <w:tc>
          <w:tcPr>
            <w:tcW w:w="576" w:type="dxa"/>
            <w:tcBorders>
              <w:top w:val="nil"/>
              <w:left w:val="single" w:sz="8" w:space="0" w:color="000000"/>
              <w:bottom w:val="nil"/>
              <w:right w:val="nil"/>
            </w:tcBorders>
            <w:vAlign w:val="center"/>
          </w:tcPr>
          <w:p w14:paraId="7CB6B534"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7</w:t>
            </w:r>
          </w:p>
        </w:tc>
        <w:tc>
          <w:tcPr>
            <w:tcW w:w="173" w:type="dxa"/>
            <w:tcBorders>
              <w:top w:val="nil"/>
              <w:left w:val="nil"/>
              <w:bottom w:val="nil"/>
              <w:right w:val="nil"/>
            </w:tcBorders>
          </w:tcPr>
          <w:p w14:paraId="0852759E"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5E76ED43"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Botswana</w:t>
            </w:r>
          </w:p>
        </w:tc>
        <w:tc>
          <w:tcPr>
            <w:tcW w:w="2765" w:type="dxa"/>
            <w:tcBorders>
              <w:top w:val="nil"/>
              <w:left w:val="nil"/>
              <w:bottom w:val="nil"/>
              <w:right w:val="nil"/>
            </w:tcBorders>
            <w:vAlign w:val="center"/>
          </w:tcPr>
          <w:p w14:paraId="13790C64"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Botswana Stock Exchange</w:t>
            </w:r>
          </w:p>
        </w:tc>
        <w:tc>
          <w:tcPr>
            <w:tcW w:w="1181" w:type="dxa"/>
            <w:tcBorders>
              <w:top w:val="nil"/>
              <w:left w:val="nil"/>
              <w:bottom w:val="nil"/>
              <w:right w:val="nil"/>
            </w:tcBorders>
            <w:vAlign w:val="center"/>
          </w:tcPr>
          <w:p w14:paraId="25DD2522"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2FE643CC"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2FC3B6A9"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47F90BCA" w14:textId="77777777" w:rsidTr="00581EEF">
        <w:trPr>
          <w:trHeight w:val="600"/>
          <w:jc w:val="center"/>
        </w:trPr>
        <w:tc>
          <w:tcPr>
            <w:tcW w:w="576" w:type="dxa"/>
            <w:tcBorders>
              <w:top w:val="nil"/>
              <w:left w:val="single" w:sz="8" w:space="0" w:color="000000"/>
              <w:bottom w:val="nil"/>
              <w:right w:val="nil"/>
            </w:tcBorders>
            <w:vAlign w:val="center"/>
          </w:tcPr>
          <w:p w14:paraId="6AA72E99"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8</w:t>
            </w:r>
          </w:p>
        </w:tc>
        <w:tc>
          <w:tcPr>
            <w:tcW w:w="173" w:type="dxa"/>
            <w:tcBorders>
              <w:top w:val="nil"/>
              <w:left w:val="nil"/>
              <w:bottom w:val="nil"/>
              <w:right w:val="nil"/>
            </w:tcBorders>
          </w:tcPr>
          <w:p w14:paraId="2AB38119"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436C5A93"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Mauritius</w:t>
            </w:r>
          </w:p>
        </w:tc>
        <w:tc>
          <w:tcPr>
            <w:tcW w:w="2765" w:type="dxa"/>
            <w:tcBorders>
              <w:top w:val="nil"/>
              <w:left w:val="nil"/>
              <w:bottom w:val="nil"/>
              <w:right w:val="nil"/>
            </w:tcBorders>
            <w:vAlign w:val="center"/>
          </w:tcPr>
          <w:p w14:paraId="2EDB7F9D"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Stock Exchange of Mauritius</w:t>
            </w:r>
          </w:p>
        </w:tc>
        <w:tc>
          <w:tcPr>
            <w:tcW w:w="1181" w:type="dxa"/>
            <w:tcBorders>
              <w:top w:val="nil"/>
              <w:left w:val="nil"/>
              <w:bottom w:val="nil"/>
              <w:right w:val="nil"/>
            </w:tcBorders>
            <w:vAlign w:val="center"/>
          </w:tcPr>
          <w:p w14:paraId="35BB6514"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71218F32"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2F7F76B0"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5D6ED4B4" w14:textId="77777777" w:rsidTr="00581EEF">
        <w:trPr>
          <w:trHeight w:val="600"/>
          <w:jc w:val="center"/>
        </w:trPr>
        <w:tc>
          <w:tcPr>
            <w:tcW w:w="576" w:type="dxa"/>
            <w:tcBorders>
              <w:top w:val="nil"/>
              <w:left w:val="single" w:sz="8" w:space="0" w:color="000000"/>
              <w:bottom w:val="nil"/>
              <w:right w:val="nil"/>
            </w:tcBorders>
            <w:vAlign w:val="center"/>
          </w:tcPr>
          <w:p w14:paraId="384613A8"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9</w:t>
            </w:r>
          </w:p>
        </w:tc>
        <w:tc>
          <w:tcPr>
            <w:tcW w:w="173" w:type="dxa"/>
            <w:tcBorders>
              <w:top w:val="nil"/>
              <w:left w:val="nil"/>
              <w:bottom w:val="nil"/>
              <w:right w:val="nil"/>
            </w:tcBorders>
          </w:tcPr>
          <w:p w14:paraId="736CF49C"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35F10A0C"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Namibia</w:t>
            </w:r>
          </w:p>
        </w:tc>
        <w:tc>
          <w:tcPr>
            <w:tcW w:w="2765" w:type="dxa"/>
            <w:tcBorders>
              <w:top w:val="nil"/>
              <w:left w:val="nil"/>
              <w:bottom w:val="nil"/>
              <w:right w:val="nil"/>
            </w:tcBorders>
            <w:vAlign w:val="center"/>
          </w:tcPr>
          <w:p w14:paraId="7B1B2E1F"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Namibia Securities Exchange</w:t>
            </w:r>
          </w:p>
        </w:tc>
        <w:tc>
          <w:tcPr>
            <w:tcW w:w="1181" w:type="dxa"/>
            <w:tcBorders>
              <w:top w:val="nil"/>
              <w:left w:val="nil"/>
              <w:bottom w:val="nil"/>
              <w:right w:val="nil"/>
            </w:tcBorders>
            <w:vAlign w:val="center"/>
          </w:tcPr>
          <w:p w14:paraId="5CC54B34"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17E2F21E"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786F35C6"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1E324DB9" w14:textId="77777777" w:rsidTr="00581EEF">
        <w:trPr>
          <w:trHeight w:val="600"/>
          <w:jc w:val="center"/>
        </w:trPr>
        <w:tc>
          <w:tcPr>
            <w:tcW w:w="576" w:type="dxa"/>
            <w:tcBorders>
              <w:top w:val="nil"/>
              <w:left w:val="single" w:sz="8" w:space="0" w:color="000000"/>
              <w:bottom w:val="nil"/>
              <w:right w:val="nil"/>
            </w:tcBorders>
            <w:vAlign w:val="center"/>
          </w:tcPr>
          <w:p w14:paraId="7FE2ED41"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10</w:t>
            </w:r>
          </w:p>
        </w:tc>
        <w:tc>
          <w:tcPr>
            <w:tcW w:w="173" w:type="dxa"/>
            <w:tcBorders>
              <w:top w:val="nil"/>
              <w:left w:val="nil"/>
              <w:bottom w:val="nil"/>
              <w:right w:val="nil"/>
            </w:tcBorders>
          </w:tcPr>
          <w:p w14:paraId="3FB4DE15" w14:textId="77777777" w:rsidR="00581EEF" w:rsidRPr="00470AC8" w:rsidRDefault="00581EEF">
            <w:pPr>
              <w:textAlignment w:val="center"/>
              <w:rPr>
                <w:rFonts w:ascii="Calibri" w:eastAsia="SimSun" w:hAnsi="Calibri" w:cs="Calibri"/>
                <w:color w:val="000000"/>
                <w:sz w:val="22"/>
                <w:szCs w:val="22"/>
                <w:lang w:bidi="ar"/>
              </w:rPr>
            </w:pPr>
          </w:p>
        </w:tc>
        <w:tc>
          <w:tcPr>
            <w:tcW w:w="1512" w:type="dxa"/>
            <w:tcBorders>
              <w:top w:val="nil"/>
              <w:left w:val="nil"/>
              <w:bottom w:val="nil"/>
              <w:right w:val="nil"/>
            </w:tcBorders>
            <w:vAlign w:val="center"/>
          </w:tcPr>
          <w:p w14:paraId="18B8B50E"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Tunisia</w:t>
            </w:r>
          </w:p>
        </w:tc>
        <w:tc>
          <w:tcPr>
            <w:tcW w:w="2765" w:type="dxa"/>
            <w:tcBorders>
              <w:top w:val="nil"/>
              <w:left w:val="nil"/>
              <w:bottom w:val="nil"/>
              <w:right w:val="nil"/>
            </w:tcBorders>
            <w:vAlign w:val="center"/>
          </w:tcPr>
          <w:p w14:paraId="0106A35F"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Tunis Stock Exchange</w:t>
            </w:r>
          </w:p>
        </w:tc>
        <w:tc>
          <w:tcPr>
            <w:tcW w:w="1181" w:type="dxa"/>
            <w:tcBorders>
              <w:top w:val="nil"/>
              <w:left w:val="nil"/>
              <w:bottom w:val="nil"/>
              <w:right w:val="nil"/>
            </w:tcBorders>
            <w:vAlign w:val="center"/>
          </w:tcPr>
          <w:p w14:paraId="76B61959" w14:textId="77777777" w:rsidR="00581EEF" w:rsidRPr="00470AC8" w:rsidRDefault="00581EEF">
            <w:pPr>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2014–2025</w:t>
            </w:r>
          </w:p>
        </w:tc>
        <w:tc>
          <w:tcPr>
            <w:tcW w:w="749" w:type="dxa"/>
            <w:tcBorders>
              <w:top w:val="nil"/>
              <w:left w:val="nil"/>
              <w:bottom w:val="nil"/>
              <w:right w:val="nil"/>
            </w:tcBorders>
            <w:vAlign w:val="center"/>
          </w:tcPr>
          <w:p w14:paraId="42F7611F"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c>
          <w:tcPr>
            <w:tcW w:w="1267" w:type="dxa"/>
            <w:tcBorders>
              <w:top w:val="nil"/>
              <w:left w:val="nil"/>
              <w:bottom w:val="nil"/>
              <w:right w:val="single" w:sz="8" w:space="0" w:color="000000"/>
            </w:tcBorders>
            <w:vAlign w:val="center"/>
          </w:tcPr>
          <w:p w14:paraId="2755B5F5" w14:textId="77777777" w:rsidR="00581EEF" w:rsidRPr="00470AC8" w:rsidRDefault="00581EEF">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w:t>
            </w:r>
          </w:p>
        </w:tc>
      </w:tr>
      <w:tr w:rsidR="00581EEF" w:rsidRPr="00470AC8" w14:paraId="429A5A89" w14:textId="77777777" w:rsidTr="00581EEF">
        <w:trPr>
          <w:trHeight w:val="600"/>
          <w:jc w:val="center"/>
        </w:trPr>
        <w:tc>
          <w:tcPr>
            <w:tcW w:w="576" w:type="dxa"/>
            <w:tcBorders>
              <w:top w:val="single" w:sz="8" w:space="0" w:color="000000"/>
              <w:left w:val="single" w:sz="8" w:space="0" w:color="000000"/>
              <w:bottom w:val="single" w:sz="8" w:space="0" w:color="000000"/>
              <w:right w:val="nil"/>
            </w:tcBorders>
            <w:vAlign w:val="center"/>
          </w:tcPr>
          <w:p w14:paraId="0ADC8442" w14:textId="77777777" w:rsidR="00581EEF" w:rsidRPr="00470AC8" w:rsidRDefault="00581EEF">
            <w:pP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Total</w:t>
            </w:r>
          </w:p>
        </w:tc>
        <w:tc>
          <w:tcPr>
            <w:tcW w:w="173" w:type="dxa"/>
            <w:tcBorders>
              <w:top w:val="single" w:sz="8" w:space="0" w:color="000000"/>
              <w:left w:val="nil"/>
              <w:bottom w:val="single" w:sz="8" w:space="0" w:color="000000"/>
              <w:right w:val="nil"/>
            </w:tcBorders>
          </w:tcPr>
          <w:p w14:paraId="48CA877B" w14:textId="77777777" w:rsidR="00581EEF" w:rsidRPr="00470AC8" w:rsidRDefault="00581EEF">
            <w:pPr>
              <w:textAlignment w:val="center"/>
              <w:rPr>
                <w:rFonts w:ascii="Calibri" w:eastAsia="SimSun" w:hAnsi="Calibri" w:cs="Calibri"/>
                <w:b/>
                <w:bCs/>
                <w:color w:val="000000"/>
                <w:sz w:val="22"/>
                <w:szCs w:val="22"/>
                <w:lang w:bidi="ar"/>
              </w:rPr>
            </w:pPr>
          </w:p>
        </w:tc>
        <w:tc>
          <w:tcPr>
            <w:tcW w:w="1512" w:type="dxa"/>
            <w:tcBorders>
              <w:top w:val="single" w:sz="8" w:space="0" w:color="000000"/>
              <w:left w:val="nil"/>
              <w:bottom w:val="single" w:sz="8" w:space="0" w:color="000000"/>
              <w:right w:val="nil"/>
            </w:tcBorders>
            <w:vAlign w:val="center"/>
          </w:tcPr>
          <w:p w14:paraId="1CBC59AB" w14:textId="77777777" w:rsidR="00581EEF" w:rsidRPr="00470AC8" w:rsidRDefault="00581EEF">
            <w:pP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10 countries</w:t>
            </w:r>
          </w:p>
        </w:tc>
        <w:tc>
          <w:tcPr>
            <w:tcW w:w="2765" w:type="dxa"/>
            <w:tcBorders>
              <w:top w:val="single" w:sz="8" w:space="0" w:color="000000"/>
              <w:left w:val="nil"/>
              <w:bottom w:val="single" w:sz="8" w:space="0" w:color="000000"/>
              <w:right w:val="nil"/>
            </w:tcBorders>
            <w:vAlign w:val="center"/>
          </w:tcPr>
          <w:p w14:paraId="00C8C2C0" w14:textId="77777777" w:rsidR="00581EEF" w:rsidRPr="00470AC8" w:rsidRDefault="00581EEF">
            <w:pP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10 exchanges</w:t>
            </w:r>
          </w:p>
        </w:tc>
        <w:tc>
          <w:tcPr>
            <w:tcW w:w="1181" w:type="dxa"/>
            <w:tcBorders>
              <w:top w:val="single" w:sz="8" w:space="0" w:color="000000"/>
              <w:left w:val="nil"/>
              <w:bottom w:val="single" w:sz="8" w:space="0" w:color="000000"/>
              <w:right w:val="nil"/>
            </w:tcBorders>
            <w:vAlign w:val="center"/>
          </w:tcPr>
          <w:p w14:paraId="30E3FA1F" w14:textId="77777777" w:rsidR="00581EEF" w:rsidRPr="00470AC8" w:rsidRDefault="00581EEF">
            <w:pP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2014–2025</w:t>
            </w:r>
          </w:p>
        </w:tc>
        <w:tc>
          <w:tcPr>
            <w:tcW w:w="749" w:type="dxa"/>
            <w:tcBorders>
              <w:top w:val="single" w:sz="8" w:space="0" w:color="000000"/>
              <w:left w:val="nil"/>
              <w:bottom w:val="single" w:sz="8" w:space="0" w:color="000000"/>
              <w:right w:val="nil"/>
            </w:tcBorders>
            <w:vAlign w:val="center"/>
          </w:tcPr>
          <w:p w14:paraId="34FF3DD9" w14:textId="77777777" w:rsidR="00581EEF" w:rsidRPr="00470AC8" w:rsidRDefault="00581EEF">
            <w:pPr>
              <w:jc w:val="right"/>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12</w:t>
            </w:r>
          </w:p>
        </w:tc>
        <w:tc>
          <w:tcPr>
            <w:tcW w:w="1267" w:type="dxa"/>
            <w:tcBorders>
              <w:top w:val="single" w:sz="8" w:space="0" w:color="000000"/>
              <w:left w:val="nil"/>
              <w:bottom w:val="single" w:sz="8" w:space="0" w:color="000000"/>
              <w:right w:val="single" w:sz="8" w:space="0" w:color="000000"/>
            </w:tcBorders>
            <w:vAlign w:val="center"/>
          </w:tcPr>
          <w:p w14:paraId="3EF470DB" w14:textId="77777777" w:rsidR="00581EEF" w:rsidRPr="00470AC8" w:rsidRDefault="00581EEF">
            <w:pPr>
              <w:jc w:val="right"/>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120</w:t>
            </w:r>
          </w:p>
        </w:tc>
      </w:tr>
    </w:tbl>
    <w:p w14:paraId="36901B2D" w14:textId="77777777" w:rsidR="00F80353" w:rsidRPr="00470AC8" w:rsidRDefault="00F80353">
      <w:pPr>
        <w:pStyle w:val="NormalWeb"/>
        <w:spacing w:beforeAutospacing="0" w:afterAutospacing="0"/>
        <w:jc w:val="both"/>
        <w:rPr>
          <w:sz w:val="19"/>
          <w:szCs w:val="19"/>
          <w:lang w:bidi="ar"/>
        </w:rPr>
      </w:pPr>
    </w:p>
    <w:p w14:paraId="516F6C48"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3.4 Sources of Data</w:t>
      </w:r>
    </w:p>
    <w:p w14:paraId="3A99E551" w14:textId="77777777" w:rsidR="00F80353" w:rsidRPr="00470AC8" w:rsidRDefault="007F2E21">
      <w:pPr>
        <w:pStyle w:val="NormalWeb"/>
        <w:spacing w:beforeAutospacing="0" w:afterAutospacing="0"/>
        <w:jc w:val="both"/>
        <w:rPr>
          <w:sz w:val="19"/>
          <w:szCs w:val="19"/>
        </w:rPr>
      </w:pPr>
      <w:r w:rsidRPr="00470AC8">
        <w:rPr>
          <w:sz w:val="19"/>
          <w:szCs w:val="19"/>
        </w:rPr>
        <w:t>The study relied exclusively on secondary data from reputable financial databases and institutional reports. Data on market efficiency indicators, including stock returns, bid-ask spreads, turnover ratios, price delay, and trading activity, were obtained from Bloomberg, Refinitiv Eikon, African stock exchange databases, and the World Federation of Exchanges.</w:t>
      </w:r>
    </w:p>
    <w:p w14:paraId="3CFF2220" w14:textId="77777777" w:rsidR="00F80353" w:rsidRPr="00470AC8" w:rsidRDefault="007F2E21">
      <w:pPr>
        <w:pStyle w:val="NormalWeb"/>
        <w:spacing w:beforeAutospacing="0" w:afterAutospacing="0"/>
        <w:jc w:val="both"/>
        <w:rPr>
          <w:sz w:val="19"/>
          <w:szCs w:val="19"/>
        </w:rPr>
      </w:pPr>
      <w:r w:rsidRPr="00470AC8">
        <w:rPr>
          <w:sz w:val="19"/>
          <w:szCs w:val="19"/>
        </w:rPr>
        <w:t>Data on blockchain adoption and fintech infrastructure were sourced from IMF FinTech Notes, the World Bank Global FinTech Database, African Securities Exchanges Association reports, and the Cambridge Centre for Alternative Finance. These sources provided information on digital settlement systems, blockchain infrastructure, fintech penetration, securities-market digitalisation, and regulatory innovation.</w:t>
      </w:r>
    </w:p>
    <w:p w14:paraId="22CD0D54" w14:textId="77777777" w:rsidR="00F80353" w:rsidRPr="00470AC8" w:rsidRDefault="007F2E21">
      <w:pPr>
        <w:pStyle w:val="NormalWeb"/>
        <w:spacing w:beforeAutospacing="0" w:afterAutospacing="0"/>
        <w:jc w:val="both"/>
        <w:rPr>
          <w:sz w:val="19"/>
          <w:szCs w:val="19"/>
        </w:rPr>
      </w:pPr>
      <w:r w:rsidRPr="00470AC8">
        <w:rPr>
          <w:sz w:val="19"/>
          <w:szCs w:val="19"/>
        </w:rPr>
        <w:t xml:space="preserve">Institutional quality indicators were obtained from the Worldwide Governance Indicators database of the World Bank (2025). These indicators covered governance effectiveness, regulatory quality, rule of law, and corruption control. The use of recognised international databases enhanced </w:t>
      </w:r>
      <w:proofErr w:type="gramStart"/>
      <w:r w:rsidRPr="00470AC8">
        <w:rPr>
          <w:sz w:val="19"/>
          <w:szCs w:val="19"/>
        </w:rPr>
        <w:t>the reliability</w:t>
      </w:r>
      <w:proofErr w:type="gramEnd"/>
      <w:r w:rsidRPr="00470AC8">
        <w:rPr>
          <w:sz w:val="19"/>
          <w:szCs w:val="19"/>
        </w:rPr>
        <w:t xml:space="preserve">, comparability, and consistency of </w:t>
      </w:r>
      <w:proofErr w:type="gramStart"/>
      <w:r w:rsidRPr="00470AC8">
        <w:rPr>
          <w:sz w:val="19"/>
          <w:szCs w:val="19"/>
        </w:rPr>
        <w:t>the data</w:t>
      </w:r>
      <w:proofErr w:type="gramEnd"/>
      <w:r w:rsidRPr="00470AC8">
        <w:rPr>
          <w:sz w:val="19"/>
          <w:szCs w:val="19"/>
        </w:rPr>
        <w:t xml:space="preserve"> across countries and years.</w:t>
      </w:r>
    </w:p>
    <w:p w14:paraId="2F8511FA" w14:textId="77777777" w:rsidR="00F80353" w:rsidRPr="00470AC8" w:rsidRDefault="00F80353">
      <w:pPr>
        <w:pStyle w:val="NormalWeb"/>
        <w:spacing w:beforeAutospacing="0" w:afterAutospacing="0"/>
        <w:jc w:val="both"/>
        <w:rPr>
          <w:sz w:val="19"/>
          <w:szCs w:val="19"/>
        </w:rPr>
      </w:pPr>
    </w:p>
    <w:p w14:paraId="1F0F8215"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3.5 Measurement of Variables</w:t>
      </w:r>
    </w:p>
    <w:p w14:paraId="30FE2670" w14:textId="77777777" w:rsidR="00F80353" w:rsidRPr="00470AC8" w:rsidRDefault="007F2E21">
      <w:pPr>
        <w:pStyle w:val="NormalWeb"/>
        <w:spacing w:beforeAutospacing="0" w:afterAutospacing="0"/>
        <w:jc w:val="both"/>
        <w:rPr>
          <w:sz w:val="19"/>
          <w:szCs w:val="19"/>
        </w:rPr>
      </w:pPr>
      <w:r w:rsidRPr="00470AC8">
        <w:rPr>
          <w:sz w:val="19"/>
          <w:szCs w:val="19"/>
        </w:rPr>
        <w:t xml:space="preserve">The dependent variable was market efficiency, measured using stock return predictability, </w:t>
      </w:r>
      <w:proofErr w:type="gramStart"/>
      <w:r w:rsidRPr="00470AC8">
        <w:rPr>
          <w:sz w:val="19"/>
          <w:szCs w:val="19"/>
        </w:rPr>
        <w:t>bid-ask</w:t>
      </w:r>
      <w:proofErr w:type="gramEnd"/>
      <w:r w:rsidRPr="00470AC8">
        <w:rPr>
          <w:sz w:val="19"/>
          <w:szCs w:val="19"/>
        </w:rPr>
        <w:t xml:space="preserve"> spread, price delay, turnover ratio, and an information efficiency index. These indicators captured different dimensions of informational efficiency, liquidity, trading activity, transaction costs, and speed of price adjustment.</w:t>
      </w:r>
    </w:p>
    <w:p w14:paraId="2115631E" w14:textId="77777777" w:rsidR="00F80353" w:rsidRPr="00470AC8" w:rsidRDefault="007F2E21">
      <w:pPr>
        <w:pStyle w:val="NormalWeb"/>
        <w:spacing w:beforeAutospacing="0" w:afterAutospacing="0"/>
        <w:jc w:val="both"/>
        <w:rPr>
          <w:sz w:val="19"/>
          <w:szCs w:val="19"/>
        </w:rPr>
      </w:pPr>
      <w:r w:rsidRPr="00470AC8">
        <w:rPr>
          <w:sz w:val="19"/>
          <w:szCs w:val="19"/>
        </w:rPr>
        <w:t>The main independent variable was blockchain adoption, measured through the Blockchain Adoption Index. The index captured blockchain-enabled trading infrastructure, digital settlement systems, Central Securities Depository digitisation, fintech ecosystem development, cryptocurrency and blockchain regulatory frameworks, and broader financial digitalisation indicators.</w:t>
      </w:r>
    </w:p>
    <w:p w14:paraId="4C8833DD" w14:textId="77777777" w:rsidR="00F80353" w:rsidRPr="00470AC8" w:rsidRDefault="007F2E21">
      <w:pPr>
        <w:pStyle w:val="NormalWeb"/>
        <w:spacing w:beforeAutospacing="0" w:afterAutospacing="0"/>
        <w:jc w:val="both"/>
        <w:rPr>
          <w:sz w:val="19"/>
          <w:szCs w:val="19"/>
        </w:rPr>
      </w:pPr>
      <w:r w:rsidRPr="00470AC8">
        <w:rPr>
          <w:sz w:val="19"/>
          <w:szCs w:val="19"/>
        </w:rPr>
        <w:t xml:space="preserve">Institutional quality served as the </w:t>
      </w:r>
      <w:proofErr w:type="gramStart"/>
      <w:r w:rsidRPr="00470AC8">
        <w:rPr>
          <w:sz w:val="19"/>
          <w:szCs w:val="19"/>
        </w:rPr>
        <w:t>moderating</w:t>
      </w:r>
      <w:proofErr w:type="gramEnd"/>
      <w:r w:rsidRPr="00470AC8">
        <w:rPr>
          <w:sz w:val="19"/>
          <w:szCs w:val="19"/>
        </w:rPr>
        <w:t xml:space="preserve"> variable. It was measured using indicators such as governance effectiveness, regulatory quality, rule of law, and corruption control. The study also included control variables such as GDP growth, inflation, internet penetration, market capitalisation, financial openness, and trade openness, since these factors may affect market efficiency.</w:t>
      </w:r>
    </w:p>
    <w:p w14:paraId="203A8772" w14:textId="77777777" w:rsidR="00F80353" w:rsidRPr="00470AC8" w:rsidRDefault="007F2E21">
      <w:pPr>
        <w:pStyle w:val="NormalWeb"/>
        <w:spacing w:beforeAutospacing="0" w:afterAutospacing="0"/>
        <w:jc w:val="both"/>
        <w:rPr>
          <w:sz w:val="19"/>
          <w:szCs w:val="19"/>
        </w:rPr>
      </w:pPr>
      <w:r w:rsidRPr="00470AC8">
        <w:rPr>
          <w:sz w:val="19"/>
          <w:szCs w:val="19"/>
        </w:rPr>
        <w:t>The expected signs followed theoretical assumptions. Higher blockchain adoption, stronger institutional quality, greater internet penetration, and stronger macroeconomic conditions were expected to improve market efficiency. In contrast, high inflation and weak institutional conditions were expected to reduce efficiency.</w:t>
      </w:r>
    </w:p>
    <w:p w14:paraId="006AD1F2" w14:textId="77777777" w:rsidR="00F80353" w:rsidRPr="00470AC8" w:rsidRDefault="00F80353">
      <w:pPr>
        <w:pStyle w:val="NormalWeb"/>
        <w:spacing w:beforeAutospacing="0" w:afterAutospacing="0"/>
        <w:jc w:val="both"/>
        <w:rPr>
          <w:sz w:val="19"/>
          <w:szCs w:val="19"/>
        </w:rPr>
      </w:pPr>
    </w:p>
    <w:p w14:paraId="1D04E6DD"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3.6 Construction of the Blockchain Adoption Index</w:t>
      </w:r>
    </w:p>
    <w:p w14:paraId="60197DBB" w14:textId="77777777" w:rsidR="00F80353" w:rsidRPr="00470AC8" w:rsidRDefault="007F2E21">
      <w:pPr>
        <w:pStyle w:val="NormalWeb"/>
        <w:spacing w:beforeAutospacing="0" w:afterAutospacing="0"/>
        <w:jc w:val="both"/>
        <w:rPr>
          <w:sz w:val="19"/>
          <w:szCs w:val="19"/>
        </w:rPr>
      </w:pPr>
      <w:r w:rsidRPr="00470AC8">
        <w:rPr>
          <w:sz w:val="19"/>
          <w:szCs w:val="19"/>
        </w:rPr>
        <w:t>A major methodological contribution of this study was the construction of a Blockchain Adoption Index for African capital markets. Since blockchain adoption is multidimensional, the study used a composite index rather than a single indicator.</w:t>
      </w:r>
    </w:p>
    <w:p w14:paraId="4CF96548" w14:textId="77777777" w:rsidR="00F80353" w:rsidRPr="00470AC8" w:rsidRDefault="007F2E21">
      <w:pPr>
        <w:pStyle w:val="NormalWeb"/>
        <w:spacing w:beforeAutospacing="0" w:afterAutospacing="0"/>
        <w:jc w:val="both"/>
        <w:rPr>
          <w:sz w:val="19"/>
          <w:szCs w:val="19"/>
        </w:rPr>
      </w:pPr>
      <w:r w:rsidRPr="00470AC8">
        <w:rPr>
          <w:sz w:val="19"/>
          <w:szCs w:val="19"/>
        </w:rPr>
        <w:t>The index incorporated blockchain-enabled trading infrastructure, digital settlement systems, Central Securities Depository digitisation, fintech ecosystem indicators, blockchain-related regulation, and financial digitalisation. Principal Component Analysis was applied to reduce dimensionality and address possible multicollinearity among the indicators. PCA is suitable for constructing composite indices because it extracts the principal components that explain the largest variation in the data (Jolliffe, 2002).</w:t>
      </w:r>
    </w:p>
    <w:p w14:paraId="16AF645C" w14:textId="77777777" w:rsidR="00F80353" w:rsidRPr="00470AC8" w:rsidRDefault="007F2E21">
      <w:pPr>
        <w:pStyle w:val="NormalWeb"/>
        <w:spacing w:beforeAutospacing="0" w:afterAutospacing="0"/>
        <w:jc w:val="both"/>
        <w:rPr>
          <w:sz w:val="19"/>
          <w:szCs w:val="19"/>
        </w:rPr>
      </w:pPr>
      <w:r w:rsidRPr="00470AC8">
        <w:rPr>
          <w:sz w:val="19"/>
          <w:szCs w:val="19"/>
        </w:rPr>
        <w:t>The resulting Blockchain Adoption Index reflected the relative level of blockchain-related financial infrastructure and digital innovation across the selected African capital markets. This approach improved measurement objectivity and reduced the risk of arbitrary weighting.</w:t>
      </w:r>
    </w:p>
    <w:p w14:paraId="61A9D1CC" w14:textId="77777777" w:rsidR="00F80353" w:rsidRPr="00470AC8" w:rsidRDefault="00F80353">
      <w:pPr>
        <w:pStyle w:val="NormalWeb"/>
        <w:spacing w:beforeAutospacing="0" w:afterAutospacing="0"/>
        <w:jc w:val="both"/>
        <w:rPr>
          <w:sz w:val="19"/>
          <w:szCs w:val="19"/>
        </w:rPr>
      </w:pPr>
    </w:p>
    <w:p w14:paraId="4AE257AD"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lastRenderedPageBreak/>
        <w:t>3.7 Model Specification</w:t>
      </w:r>
    </w:p>
    <w:p w14:paraId="684A5625" w14:textId="77777777" w:rsidR="00F80353" w:rsidRPr="00470AC8" w:rsidRDefault="007F2E21">
      <w:pPr>
        <w:pStyle w:val="NormalWeb"/>
        <w:spacing w:beforeAutospacing="0" w:afterAutospacing="0"/>
        <w:jc w:val="both"/>
        <w:rPr>
          <w:sz w:val="19"/>
          <w:szCs w:val="19"/>
        </w:rPr>
      </w:pPr>
      <w:r w:rsidRPr="00470AC8">
        <w:rPr>
          <w:sz w:val="19"/>
          <w:szCs w:val="19"/>
        </w:rPr>
        <w:t>The study specified a dynamic panel model to estimate the effect of blockchain adoption on market efficiency. The baseline model was expressed as:</w:t>
      </w:r>
    </w:p>
    <w:p w14:paraId="06D7C288" w14:textId="77777777" w:rsidR="00F80353" w:rsidRPr="00470AC8" w:rsidRDefault="007F2E21">
      <w:pPr>
        <w:pStyle w:val="NormalWeb"/>
        <w:spacing w:beforeAutospacing="0" w:afterAutospacing="0"/>
        <w:jc w:val="both"/>
        <w:rPr>
          <w:sz w:val="19"/>
          <w:szCs w:val="19"/>
        </w:rPr>
      </w:pPr>
      <w:r w:rsidRPr="00470AC8">
        <w:rPr>
          <w:rStyle w:val="Strong"/>
          <w:sz w:val="19"/>
          <w:szCs w:val="19"/>
        </w:rPr>
        <w:t>MEᵢₜ = α + β₀MEᵢₜ₋₁ + β₁BAIᵢₜ + β₂INSTᵢₜ + β</w:t>
      </w:r>
      <w:proofErr w:type="gramStart"/>
      <w:r w:rsidRPr="00470AC8">
        <w:rPr>
          <w:rStyle w:val="Strong"/>
          <w:sz w:val="19"/>
          <w:szCs w:val="19"/>
        </w:rPr>
        <w:t>₃(</w:t>
      </w:r>
      <w:proofErr w:type="gramEnd"/>
      <w:r w:rsidRPr="00470AC8">
        <w:rPr>
          <w:rStyle w:val="Strong"/>
          <w:sz w:val="19"/>
          <w:szCs w:val="19"/>
        </w:rPr>
        <w:t xml:space="preserve">BAI × </w:t>
      </w:r>
      <w:proofErr w:type="gramStart"/>
      <w:r w:rsidRPr="00470AC8">
        <w:rPr>
          <w:rStyle w:val="Strong"/>
          <w:sz w:val="19"/>
          <w:szCs w:val="19"/>
        </w:rPr>
        <w:t>INST)ᵢ</w:t>
      </w:r>
      <w:proofErr w:type="gramEnd"/>
      <w:r w:rsidRPr="00470AC8">
        <w:rPr>
          <w:rStyle w:val="Strong"/>
          <w:sz w:val="19"/>
          <w:szCs w:val="19"/>
        </w:rPr>
        <w:t xml:space="preserve">ₜ + </w:t>
      </w:r>
      <w:proofErr w:type="spellStart"/>
      <w:r w:rsidRPr="00470AC8">
        <w:rPr>
          <w:rStyle w:val="Strong"/>
          <w:sz w:val="19"/>
          <w:szCs w:val="19"/>
        </w:rPr>
        <w:t>γX</w:t>
      </w:r>
      <w:proofErr w:type="spellEnd"/>
      <w:r w:rsidRPr="00470AC8">
        <w:rPr>
          <w:rStyle w:val="Strong"/>
          <w:sz w:val="19"/>
          <w:szCs w:val="19"/>
        </w:rPr>
        <w:t>ᵢₜ + μᵢ + εᵢₜ</w:t>
      </w:r>
    </w:p>
    <w:p w14:paraId="1E4E7CE7" w14:textId="77777777" w:rsidR="00F80353" w:rsidRPr="00470AC8" w:rsidRDefault="007F2E21">
      <w:pPr>
        <w:pStyle w:val="NormalWeb"/>
        <w:spacing w:beforeAutospacing="0" w:afterAutospacing="0"/>
        <w:jc w:val="both"/>
        <w:rPr>
          <w:sz w:val="19"/>
          <w:szCs w:val="19"/>
        </w:rPr>
      </w:pPr>
      <w:r w:rsidRPr="00470AC8">
        <w:rPr>
          <w:sz w:val="19"/>
          <w:szCs w:val="19"/>
        </w:rPr>
        <w:t>Where:</w:t>
      </w:r>
    </w:p>
    <w:p w14:paraId="441A64D0" w14:textId="77777777" w:rsidR="00F80353" w:rsidRPr="00470AC8" w:rsidRDefault="007F2E21">
      <w:pPr>
        <w:pStyle w:val="NormalWeb"/>
        <w:spacing w:beforeAutospacing="0" w:afterAutospacing="0"/>
        <w:jc w:val="both"/>
        <w:rPr>
          <w:sz w:val="19"/>
          <w:szCs w:val="19"/>
        </w:rPr>
      </w:pPr>
      <w:r w:rsidRPr="00470AC8">
        <w:rPr>
          <w:rStyle w:val="Strong"/>
          <w:sz w:val="19"/>
          <w:szCs w:val="19"/>
        </w:rPr>
        <w:t>MEᵢₜ</w:t>
      </w:r>
      <w:r w:rsidRPr="00470AC8">
        <w:rPr>
          <w:sz w:val="19"/>
          <w:szCs w:val="19"/>
        </w:rPr>
        <w:t xml:space="preserve"> represents market efficiency for country </w:t>
      </w:r>
      <w:proofErr w:type="spellStart"/>
      <w:r w:rsidRPr="00470AC8">
        <w:rPr>
          <w:rStyle w:val="Emphasis"/>
          <w:sz w:val="19"/>
          <w:szCs w:val="19"/>
        </w:rPr>
        <w:t>i</w:t>
      </w:r>
      <w:proofErr w:type="spellEnd"/>
      <w:r w:rsidRPr="00470AC8">
        <w:rPr>
          <w:sz w:val="19"/>
          <w:szCs w:val="19"/>
        </w:rPr>
        <w:t xml:space="preserve"> at time </w:t>
      </w:r>
      <w:r w:rsidRPr="00470AC8">
        <w:rPr>
          <w:rStyle w:val="Emphasis"/>
          <w:sz w:val="19"/>
          <w:szCs w:val="19"/>
        </w:rPr>
        <w:t>t</w:t>
      </w:r>
      <w:r w:rsidRPr="00470AC8">
        <w:rPr>
          <w:sz w:val="19"/>
          <w:szCs w:val="19"/>
        </w:rPr>
        <w:t>;</w:t>
      </w:r>
      <w:r w:rsidRPr="00470AC8">
        <w:rPr>
          <w:sz w:val="19"/>
          <w:szCs w:val="19"/>
        </w:rPr>
        <w:br/>
      </w:r>
      <w:r w:rsidRPr="00470AC8">
        <w:rPr>
          <w:rStyle w:val="Strong"/>
          <w:sz w:val="19"/>
          <w:szCs w:val="19"/>
        </w:rPr>
        <w:t>MEᵢₜ₋₁</w:t>
      </w:r>
      <w:r w:rsidRPr="00470AC8">
        <w:rPr>
          <w:sz w:val="19"/>
          <w:szCs w:val="19"/>
        </w:rPr>
        <w:t xml:space="preserve"> represents the lagged dependent variable;</w:t>
      </w:r>
      <w:r w:rsidRPr="00470AC8">
        <w:rPr>
          <w:sz w:val="19"/>
          <w:szCs w:val="19"/>
        </w:rPr>
        <w:br/>
      </w:r>
      <w:r w:rsidRPr="00470AC8">
        <w:rPr>
          <w:rStyle w:val="Strong"/>
          <w:sz w:val="19"/>
          <w:szCs w:val="19"/>
        </w:rPr>
        <w:t>BAIᵢₜ</w:t>
      </w:r>
      <w:r w:rsidRPr="00470AC8">
        <w:rPr>
          <w:sz w:val="19"/>
          <w:szCs w:val="19"/>
        </w:rPr>
        <w:t xml:space="preserve"> represents the Blockchain Adoption Index;</w:t>
      </w:r>
      <w:r w:rsidRPr="00470AC8">
        <w:rPr>
          <w:sz w:val="19"/>
          <w:szCs w:val="19"/>
        </w:rPr>
        <w:br/>
      </w:r>
      <w:r w:rsidRPr="00470AC8">
        <w:rPr>
          <w:rStyle w:val="Strong"/>
          <w:sz w:val="19"/>
          <w:szCs w:val="19"/>
        </w:rPr>
        <w:t>INSTᵢₜ</w:t>
      </w:r>
      <w:r w:rsidRPr="00470AC8">
        <w:rPr>
          <w:sz w:val="19"/>
          <w:szCs w:val="19"/>
        </w:rPr>
        <w:t xml:space="preserve"> represents institutional quality;</w:t>
      </w:r>
      <w:r w:rsidRPr="00470AC8">
        <w:rPr>
          <w:sz w:val="19"/>
          <w:szCs w:val="19"/>
        </w:rPr>
        <w:br/>
      </w:r>
      <w:r w:rsidRPr="00470AC8">
        <w:rPr>
          <w:rStyle w:val="Strong"/>
          <w:sz w:val="19"/>
          <w:szCs w:val="19"/>
        </w:rPr>
        <w:t>BAI × INST</w:t>
      </w:r>
      <w:r w:rsidRPr="00470AC8">
        <w:rPr>
          <w:sz w:val="19"/>
          <w:szCs w:val="19"/>
        </w:rPr>
        <w:t xml:space="preserve"> captures the moderating effect of institutional quality;</w:t>
      </w:r>
      <w:r w:rsidRPr="00470AC8">
        <w:rPr>
          <w:sz w:val="19"/>
          <w:szCs w:val="19"/>
        </w:rPr>
        <w:br/>
      </w:r>
      <w:r w:rsidRPr="00470AC8">
        <w:rPr>
          <w:rStyle w:val="Strong"/>
          <w:sz w:val="19"/>
          <w:szCs w:val="19"/>
        </w:rPr>
        <w:t>Xᵢₜ</w:t>
      </w:r>
      <w:r w:rsidRPr="00470AC8">
        <w:rPr>
          <w:sz w:val="19"/>
          <w:szCs w:val="19"/>
        </w:rPr>
        <w:t xml:space="preserve"> represents the vector of control variables;</w:t>
      </w:r>
      <w:r w:rsidRPr="00470AC8">
        <w:rPr>
          <w:sz w:val="19"/>
          <w:szCs w:val="19"/>
        </w:rPr>
        <w:br/>
      </w:r>
      <w:r w:rsidRPr="00470AC8">
        <w:rPr>
          <w:rStyle w:val="Strong"/>
          <w:sz w:val="19"/>
          <w:szCs w:val="19"/>
        </w:rPr>
        <w:t>μᵢ</w:t>
      </w:r>
      <w:r w:rsidRPr="00470AC8">
        <w:rPr>
          <w:sz w:val="19"/>
          <w:szCs w:val="19"/>
        </w:rPr>
        <w:t xml:space="preserve"> captures unobserved country-specific effects; and</w:t>
      </w:r>
      <w:r w:rsidRPr="00470AC8">
        <w:rPr>
          <w:sz w:val="19"/>
          <w:szCs w:val="19"/>
        </w:rPr>
        <w:br/>
      </w:r>
      <w:r w:rsidRPr="00470AC8">
        <w:rPr>
          <w:rStyle w:val="Strong"/>
          <w:sz w:val="19"/>
          <w:szCs w:val="19"/>
        </w:rPr>
        <w:t>εᵢₜ</w:t>
      </w:r>
      <w:r w:rsidRPr="00470AC8">
        <w:rPr>
          <w:sz w:val="19"/>
          <w:szCs w:val="19"/>
        </w:rPr>
        <w:t xml:space="preserve"> is the error term.</w:t>
      </w:r>
    </w:p>
    <w:p w14:paraId="439A508F" w14:textId="77777777" w:rsidR="00F80353" w:rsidRPr="00470AC8" w:rsidRDefault="007F2E21">
      <w:pPr>
        <w:pStyle w:val="NormalWeb"/>
        <w:spacing w:beforeAutospacing="0" w:afterAutospacing="0"/>
        <w:jc w:val="both"/>
        <w:rPr>
          <w:sz w:val="19"/>
          <w:szCs w:val="19"/>
        </w:rPr>
      </w:pPr>
      <w:r w:rsidRPr="00470AC8">
        <w:rPr>
          <w:sz w:val="19"/>
          <w:szCs w:val="19"/>
        </w:rPr>
        <w:t>The lagged dependent variable was included to capture the persistence of market efficiency over time.</w:t>
      </w:r>
    </w:p>
    <w:p w14:paraId="1211655A" w14:textId="77777777" w:rsidR="00F80353" w:rsidRPr="00470AC8" w:rsidRDefault="00F80353">
      <w:pPr>
        <w:pStyle w:val="NormalWeb"/>
        <w:spacing w:beforeAutospacing="0" w:afterAutospacing="0"/>
        <w:jc w:val="both"/>
        <w:rPr>
          <w:sz w:val="19"/>
          <w:szCs w:val="19"/>
        </w:rPr>
      </w:pPr>
    </w:p>
    <w:p w14:paraId="4069FAA6"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3.8 Estimation Technique</w:t>
      </w:r>
    </w:p>
    <w:p w14:paraId="3CC17AB0" w14:textId="77777777" w:rsidR="00F80353" w:rsidRPr="00470AC8" w:rsidRDefault="007F2E21">
      <w:pPr>
        <w:pStyle w:val="NormalWeb"/>
        <w:spacing w:beforeAutospacing="0" w:afterAutospacing="0"/>
        <w:jc w:val="both"/>
        <w:rPr>
          <w:sz w:val="19"/>
          <w:szCs w:val="19"/>
        </w:rPr>
      </w:pPr>
      <w:r w:rsidRPr="00470AC8">
        <w:rPr>
          <w:sz w:val="19"/>
          <w:szCs w:val="19"/>
        </w:rPr>
        <w:t>The study employed the Dynamic Panel System Generalised Method of Moments estimator developed by Arellano and Bover (1995) and Blundell and Bond (1998). System GMM was appropriate because the model included a lagged dependent variable and involved possible endogeneity between blockchain adoption and market efficiency.</w:t>
      </w:r>
    </w:p>
    <w:p w14:paraId="658C773F" w14:textId="77777777" w:rsidR="00F80353" w:rsidRPr="00470AC8" w:rsidRDefault="007F2E21">
      <w:pPr>
        <w:pStyle w:val="NormalWeb"/>
        <w:spacing w:beforeAutospacing="0" w:afterAutospacing="0"/>
        <w:jc w:val="both"/>
        <w:rPr>
          <w:sz w:val="19"/>
          <w:szCs w:val="19"/>
        </w:rPr>
      </w:pPr>
      <w:r w:rsidRPr="00470AC8">
        <w:rPr>
          <w:sz w:val="19"/>
          <w:szCs w:val="19"/>
        </w:rPr>
        <w:t>The estimator addressed reverse causality, simultaneity, omitted variable bias, and unobserved country-specific heterogeneity. These issues are common in financial market studies because technology adoption may influence market efficiency, while more efficient markets may also attract greater technological investment.</w:t>
      </w:r>
    </w:p>
    <w:p w14:paraId="58C78666" w14:textId="77777777" w:rsidR="00F80353" w:rsidRPr="00470AC8" w:rsidRDefault="007F2E21">
      <w:pPr>
        <w:pStyle w:val="NormalWeb"/>
        <w:spacing w:beforeAutospacing="0" w:afterAutospacing="0"/>
        <w:jc w:val="both"/>
        <w:rPr>
          <w:sz w:val="19"/>
          <w:szCs w:val="19"/>
        </w:rPr>
      </w:pPr>
      <w:r w:rsidRPr="00470AC8">
        <w:rPr>
          <w:sz w:val="19"/>
          <w:szCs w:val="19"/>
        </w:rPr>
        <w:t>System GMM also improved estimation efficiency in panel datasets with several cross-sectional units and relatively short time periods (Roodman, 2009). Model validity was assessed using the Arellano-Bond serial correlation test and Hansen/Sargan over-identification tests. The Arellano-Bond test examined second-order autocorrelation, while the Hansen/Sargan tests assessed the validity of the instruments used in the GMM framework.</w:t>
      </w:r>
    </w:p>
    <w:p w14:paraId="797BE113" w14:textId="77777777" w:rsidR="00F80353" w:rsidRPr="00470AC8" w:rsidRDefault="00F80353">
      <w:pPr>
        <w:pStyle w:val="NormalWeb"/>
        <w:spacing w:beforeAutospacing="0" w:afterAutospacing="0"/>
        <w:jc w:val="both"/>
        <w:rPr>
          <w:sz w:val="19"/>
          <w:szCs w:val="19"/>
        </w:rPr>
      </w:pPr>
    </w:p>
    <w:p w14:paraId="207696EE"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3.9 Robustness Checks</w:t>
      </w:r>
    </w:p>
    <w:p w14:paraId="0088FA36" w14:textId="77777777" w:rsidR="00F80353" w:rsidRPr="00470AC8" w:rsidRDefault="007F2E21">
      <w:pPr>
        <w:pStyle w:val="NormalWeb"/>
        <w:spacing w:beforeAutospacing="0" w:afterAutospacing="0"/>
        <w:jc w:val="both"/>
        <w:rPr>
          <w:sz w:val="19"/>
          <w:szCs w:val="19"/>
        </w:rPr>
      </w:pPr>
      <w:r w:rsidRPr="00470AC8">
        <w:rPr>
          <w:sz w:val="19"/>
          <w:szCs w:val="19"/>
        </w:rPr>
        <w:t>The study conducted robustness checks to confirm the reliability of the baseline results. Fixed-effects estimation was first used to compare the results with the System GMM estimates. Driscoll-Kraay standard errors were then applied to correct for heteroskedasticity, autocorrelation, and cross-sectional dependence in the panel dataset (</w:t>
      </w:r>
      <w:proofErr w:type="spellStart"/>
      <w:r w:rsidRPr="00470AC8">
        <w:rPr>
          <w:sz w:val="19"/>
          <w:szCs w:val="19"/>
        </w:rPr>
        <w:t>Hoechle</w:t>
      </w:r>
      <w:proofErr w:type="spellEnd"/>
      <w:r w:rsidRPr="00470AC8">
        <w:rPr>
          <w:sz w:val="19"/>
          <w:szCs w:val="19"/>
        </w:rPr>
        <w:t>, 2007).</w:t>
      </w:r>
    </w:p>
    <w:p w14:paraId="21F3A39D" w14:textId="77777777" w:rsidR="00F80353" w:rsidRPr="00470AC8" w:rsidRDefault="007F2E21">
      <w:pPr>
        <w:pStyle w:val="NormalWeb"/>
        <w:spacing w:beforeAutospacing="0" w:afterAutospacing="0"/>
        <w:jc w:val="both"/>
        <w:rPr>
          <w:sz w:val="19"/>
          <w:szCs w:val="19"/>
        </w:rPr>
      </w:pPr>
      <w:r w:rsidRPr="00470AC8">
        <w:rPr>
          <w:sz w:val="19"/>
          <w:szCs w:val="19"/>
        </w:rPr>
        <w:t>Quantile regression was also used to examine whether blockchain adoption affected highly efficient and less efficient markets differently. In addition, panel cointegration tests were conducted to assess the existence of long-run relationships among blockchain adoption, institutional quality, and market efficiency. Alternative market efficiency proxies, including bid-ask spread, price delay, and turnover ratio, were further used to test the consistency of the findings.</w:t>
      </w:r>
    </w:p>
    <w:p w14:paraId="1AD88825" w14:textId="77777777" w:rsidR="00F80353" w:rsidRPr="00470AC8" w:rsidRDefault="00F80353">
      <w:pPr>
        <w:pStyle w:val="NormalWeb"/>
        <w:spacing w:beforeAutospacing="0" w:afterAutospacing="0"/>
        <w:jc w:val="both"/>
        <w:rPr>
          <w:sz w:val="19"/>
          <w:szCs w:val="19"/>
        </w:rPr>
      </w:pPr>
    </w:p>
    <w:p w14:paraId="7FEBA4B4"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3.10 Diagnostic Tests</w:t>
      </w:r>
    </w:p>
    <w:p w14:paraId="0E1A8ADD" w14:textId="77777777" w:rsidR="00F80353" w:rsidRPr="00470AC8" w:rsidRDefault="007F2E21">
      <w:pPr>
        <w:pStyle w:val="NormalWeb"/>
        <w:spacing w:beforeAutospacing="0" w:afterAutospacing="0"/>
        <w:jc w:val="both"/>
        <w:rPr>
          <w:sz w:val="19"/>
          <w:szCs w:val="19"/>
        </w:rPr>
      </w:pPr>
      <w:r w:rsidRPr="00470AC8">
        <w:rPr>
          <w:sz w:val="19"/>
          <w:szCs w:val="19"/>
        </w:rPr>
        <w:t xml:space="preserve">Several diagnostic tests were conducted to improve the reliability of the empirical estimates. Multicollinearity was examined using the Variance Inflation Factor. Heteroskedasticity was tested using the Breusch-Pagan and White tests, while cross-sectional dependence was assessed with the </w:t>
      </w:r>
      <w:proofErr w:type="spellStart"/>
      <w:r w:rsidRPr="00470AC8">
        <w:rPr>
          <w:sz w:val="19"/>
          <w:szCs w:val="19"/>
        </w:rPr>
        <w:t>Pesaran</w:t>
      </w:r>
      <w:proofErr w:type="spellEnd"/>
      <w:r w:rsidRPr="00470AC8">
        <w:rPr>
          <w:sz w:val="19"/>
          <w:szCs w:val="19"/>
        </w:rPr>
        <w:t xml:space="preserve"> CD test.</w:t>
      </w:r>
    </w:p>
    <w:p w14:paraId="2B4DE6BA" w14:textId="77777777" w:rsidR="00F80353" w:rsidRPr="00470AC8" w:rsidRDefault="007F2E21">
      <w:pPr>
        <w:pStyle w:val="NormalWeb"/>
        <w:spacing w:beforeAutospacing="0" w:afterAutospacing="0"/>
        <w:jc w:val="both"/>
        <w:rPr>
          <w:sz w:val="19"/>
          <w:szCs w:val="19"/>
        </w:rPr>
      </w:pPr>
      <w:r w:rsidRPr="00470AC8">
        <w:rPr>
          <w:sz w:val="19"/>
          <w:szCs w:val="19"/>
        </w:rPr>
        <w:t xml:space="preserve">Panel unit root tests, including Levin-Lin-Chu and </w:t>
      </w:r>
      <w:proofErr w:type="spellStart"/>
      <w:r w:rsidRPr="00470AC8">
        <w:rPr>
          <w:sz w:val="19"/>
          <w:szCs w:val="19"/>
        </w:rPr>
        <w:t>Im</w:t>
      </w:r>
      <w:proofErr w:type="spellEnd"/>
      <w:r w:rsidRPr="00470AC8">
        <w:rPr>
          <w:sz w:val="19"/>
          <w:szCs w:val="19"/>
        </w:rPr>
        <w:t>-</w:t>
      </w:r>
      <w:proofErr w:type="spellStart"/>
      <w:r w:rsidRPr="00470AC8">
        <w:rPr>
          <w:sz w:val="19"/>
          <w:szCs w:val="19"/>
        </w:rPr>
        <w:t>Pesaran</w:t>
      </w:r>
      <w:proofErr w:type="spellEnd"/>
      <w:r w:rsidRPr="00470AC8">
        <w:rPr>
          <w:sz w:val="19"/>
          <w:szCs w:val="19"/>
        </w:rPr>
        <w:t xml:space="preserve">-Shin tests, were used to examine the stationarity properties of the variables. Stationarity testing was necessary to avoid spurious regression results. Autocorrelation was assessed using the Wooldridge serial correlation test and the Arellano-Bond </w:t>
      </w:r>
      <w:proofErr w:type="gramStart"/>
      <w:r w:rsidRPr="00470AC8">
        <w:rPr>
          <w:sz w:val="19"/>
          <w:szCs w:val="19"/>
        </w:rPr>
        <w:t>AR(</w:t>
      </w:r>
      <w:proofErr w:type="gramEnd"/>
      <w:r w:rsidRPr="00470AC8">
        <w:rPr>
          <w:sz w:val="19"/>
          <w:szCs w:val="19"/>
        </w:rPr>
        <w:t xml:space="preserve">1) and </w:t>
      </w:r>
      <w:proofErr w:type="gramStart"/>
      <w:r w:rsidRPr="00470AC8">
        <w:rPr>
          <w:sz w:val="19"/>
          <w:szCs w:val="19"/>
        </w:rPr>
        <w:t>AR(</w:t>
      </w:r>
      <w:proofErr w:type="gramEnd"/>
      <w:r w:rsidRPr="00470AC8">
        <w:rPr>
          <w:sz w:val="19"/>
          <w:szCs w:val="19"/>
        </w:rPr>
        <w:t>2) tests within the dynamic panel framework.</w:t>
      </w:r>
    </w:p>
    <w:p w14:paraId="66992803" w14:textId="77777777" w:rsidR="00F80353" w:rsidRPr="00470AC8" w:rsidRDefault="007F2E21">
      <w:pPr>
        <w:pStyle w:val="NormalWeb"/>
        <w:spacing w:beforeAutospacing="0" w:afterAutospacing="0"/>
        <w:jc w:val="both"/>
        <w:rPr>
          <w:sz w:val="19"/>
          <w:szCs w:val="19"/>
        </w:rPr>
      </w:pPr>
      <w:r w:rsidRPr="00470AC8">
        <w:rPr>
          <w:sz w:val="19"/>
          <w:szCs w:val="19"/>
        </w:rPr>
        <w:t>Together, these diagnostic procedures ensured that the model estimates were valid, consistent, and suitable for interpreting the relationship between blockchain adoption and market efficiency in African capital markets.</w:t>
      </w:r>
    </w:p>
    <w:p w14:paraId="1CA0EF02" w14:textId="77777777" w:rsidR="00F80353" w:rsidRPr="00470AC8" w:rsidRDefault="00F80353">
      <w:pPr>
        <w:pStyle w:val="NormalWeb"/>
        <w:spacing w:beforeAutospacing="0" w:afterAutospacing="0"/>
        <w:jc w:val="both"/>
        <w:rPr>
          <w:sz w:val="19"/>
          <w:szCs w:val="19"/>
        </w:rPr>
      </w:pPr>
    </w:p>
    <w:p w14:paraId="64FDD320"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4.0 Results and Discussion</w:t>
      </w:r>
    </w:p>
    <w:p w14:paraId="789963B0"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4.1 Descriptive Statistics</w:t>
      </w:r>
    </w:p>
    <w:p w14:paraId="2F925AD0" w14:textId="77777777" w:rsidR="00F80353" w:rsidRPr="00470AC8" w:rsidRDefault="007F2E21">
      <w:pPr>
        <w:pStyle w:val="NormalWeb"/>
        <w:spacing w:beforeAutospacing="0" w:afterAutospacing="0"/>
        <w:jc w:val="both"/>
        <w:rPr>
          <w:sz w:val="19"/>
          <w:szCs w:val="19"/>
        </w:rPr>
      </w:pPr>
      <w:r w:rsidRPr="00470AC8">
        <w:rPr>
          <w:sz w:val="19"/>
          <w:szCs w:val="19"/>
        </w:rPr>
        <w:t>Table 1 presents the descriptive statistics of the variables used in the study for selected African capital markets from 2014 to 2025.</w:t>
      </w:r>
    </w:p>
    <w:p w14:paraId="1CB2AB6A" w14:textId="77777777" w:rsidR="00F80353" w:rsidRPr="00470AC8" w:rsidRDefault="007F2E21">
      <w:pPr>
        <w:pStyle w:val="NormalWeb"/>
        <w:spacing w:beforeAutospacing="0" w:afterAutospacing="0"/>
        <w:jc w:val="center"/>
        <w:rPr>
          <w:sz w:val="19"/>
          <w:szCs w:val="19"/>
        </w:rPr>
      </w:pPr>
      <w:r w:rsidRPr="00470AC8">
        <w:rPr>
          <w:rStyle w:val="Strong"/>
          <w:sz w:val="19"/>
          <w:szCs w:val="19"/>
        </w:rPr>
        <w:t>Table 1: Descriptive Statistics</w:t>
      </w:r>
    </w:p>
    <w:tbl>
      <w:tblPr>
        <w:tblW w:w="8550" w:type="dxa"/>
        <w:tblInd w:w="93" w:type="dxa"/>
        <w:tblLook w:val="04A0" w:firstRow="1" w:lastRow="0" w:firstColumn="1" w:lastColumn="0" w:noHBand="0" w:noVBand="1"/>
      </w:tblPr>
      <w:tblGrid>
        <w:gridCol w:w="2433"/>
        <w:gridCol w:w="949"/>
        <w:gridCol w:w="949"/>
        <w:gridCol w:w="987"/>
        <w:gridCol w:w="944"/>
        <w:gridCol w:w="949"/>
        <w:gridCol w:w="1339"/>
      </w:tblGrid>
      <w:tr w:rsidR="00F80353" w:rsidRPr="00470AC8" w14:paraId="4A3AB4C0" w14:textId="77777777">
        <w:trPr>
          <w:trHeight w:val="600"/>
        </w:trPr>
        <w:tc>
          <w:tcPr>
            <w:tcW w:w="2505" w:type="dxa"/>
            <w:tcBorders>
              <w:top w:val="single" w:sz="8" w:space="0" w:color="000000"/>
              <w:left w:val="single" w:sz="8" w:space="0" w:color="000000"/>
              <w:bottom w:val="single" w:sz="8" w:space="0" w:color="000000"/>
              <w:right w:val="single" w:sz="4" w:space="0" w:color="000000"/>
            </w:tcBorders>
            <w:vAlign w:val="center"/>
          </w:tcPr>
          <w:p w14:paraId="0D66D0C9" w14:textId="77777777" w:rsidR="00F80353" w:rsidRPr="00470AC8" w:rsidRDefault="007F2E21">
            <w:pPr>
              <w:jc w:val="both"/>
              <w:textAlignment w:val="center"/>
              <w:rPr>
                <w:rFonts w:ascii="Times New Roman" w:hAnsi="Times New Roman" w:cs="Times New Roman"/>
                <w:b/>
                <w:bCs/>
                <w:color w:val="000000"/>
                <w:sz w:val="19"/>
                <w:szCs w:val="19"/>
              </w:rPr>
            </w:pPr>
            <w:r w:rsidRPr="00470AC8">
              <w:rPr>
                <w:rFonts w:ascii="Times New Roman" w:eastAsia="SimSun" w:hAnsi="Times New Roman" w:cs="Times New Roman"/>
                <w:b/>
                <w:bCs/>
                <w:color w:val="000000"/>
                <w:sz w:val="19"/>
                <w:szCs w:val="19"/>
                <w:lang w:bidi="ar"/>
              </w:rPr>
              <w:t>Variable</w:t>
            </w:r>
          </w:p>
        </w:tc>
        <w:tc>
          <w:tcPr>
            <w:tcW w:w="960" w:type="dxa"/>
            <w:tcBorders>
              <w:top w:val="single" w:sz="8" w:space="0" w:color="000000"/>
              <w:left w:val="single" w:sz="4" w:space="0" w:color="000000"/>
              <w:bottom w:val="single" w:sz="8" w:space="0" w:color="000000"/>
              <w:right w:val="single" w:sz="4" w:space="0" w:color="000000"/>
            </w:tcBorders>
            <w:vAlign w:val="center"/>
          </w:tcPr>
          <w:p w14:paraId="3C64693D" w14:textId="77777777" w:rsidR="00F80353" w:rsidRPr="00470AC8" w:rsidRDefault="007F2E21">
            <w:pPr>
              <w:jc w:val="both"/>
              <w:textAlignment w:val="center"/>
              <w:rPr>
                <w:rFonts w:ascii="Times New Roman" w:hAnsi="Times New Roman" w:cs="Times New Roman"/>
                <w:b/>
                <w:bCs/>
                <w:color w:val="000000"/>
                <w:sz w:val="19"/>
                <w:szCs w:val="19"/>
              </w:rPr>
            </w:pPr>
            <w:r w:rsidRPr="00470AC8">
              <w:rPr>
                <w:rFonts w:ascii="Times New Roman" w:eastAsia="SimSun" w:hAnsi="Times New Roman" w:cs="Times New Roman"/>
                <w:b/>
                <w:bCs/>
                <w:color w:val="000000"/>
                <w:sz w:val="19"/>
                <w:szCs w:val="19"/>
                <w:lang w:bidi="ar"/>
              </w:rPr>
              <w:t>Mean</w:t>
            </w:r>
          </w:p>
        </w:tc>
        <w:tc>
          <w:tcPr>
            <w:tcW w:w="960" w:type="dxa"/>
            <w:tcBorders>
              <w:top w:val="single" w:sz="8" w:space="0" w:color="000000"/>
              <w:left w:val="single" w:sz="4" w:space="0" w:color="000000"/>
              <w:bottom w:val="single" w:sz="8" w:space="0" w:color="000000"/>
              <w:right w:val="single" w:sz="4" w:space="0" w:color="000000"/>
            </w:tcBorders>
            <w:vAlign w:val="center"/>
          </w:tcPr>
          <w:p w14:paraId="7326282B" w14:textId="77777777" w:rsidR="00F80353" w:rsidRPr="00470AC8" w:rsidRDefault="007F2E21">
            <w:pPr>
              <w:jc w:val="both"/>
              <w:textAlignment w:val="center"/>
              <w:rPr>
                <w:rFonts w:ascii="Times New Roman" w:hAnsi="Times New Roman" w:cs="Times New Roman"/>
                <w:b/>
                <w:bCs/>
                <w:color w:val="000000"/>
                <w:sz w:val="19"/>
                <w:szCs w:val="19"/>
              </w:rPr>
            </w:pPr>
            <w:r w:rsidRPr="00470AC8">
              <w:rPr>
                <w:rFonts w:ascii="Times New Roman" w:eastAsia="SimSun" w:hAnsi="Times New Roman" w:cs="Times New Roman"/>
                <w:b/>
                <w:bCs/>
                <w:color w:val="000000"/>
                <w:sz w:val="19"/>
                <w:szCs w:val="19"/>
                <w:lang w:bidi="ar"/>
              </w:rPr>
              <w:t>Std. Dev.</w:t>
            </w:r>
          </w:p>
        </w:tc>
        <w:tc>
          <w:tcPr>
            <w:tcW w:w="960" w:type="dxa"/>
            <w:tcBorders>
              <w:top w:val="single" w:sz="8" w:space="0" w:color="000000"/>
              <w:left w:val="single" w:sz="4" w:space="0" w:color="000000"/>
              <w:bottom w:val="single" w:sz="8" w:space="0" w:color="000000"/>
              <w:right w:val="single" w:sz="4" w:space="0" w:color="000000"/>
            </w:tcBorders>
            <w:vAlign w:val="center"/>
          </w:tcPr>
          <w:p w14:paraId="19DFDFC0" w14:textId="77777777" w:rsidR="00F80353" w:rsidRPr="00470AC8" w:rsidRDefault="007F2E21">
            <w:pPr>
              <w:jc w:val="both"/>
              <w:textAlignment w:val="center"/>
              <w:rPr>
                <w:rFonts w:ascii="Times New Roman" w:hAnsi="Times New Roman" w:cs="Times New Roman"/>
                <w:b/>
                <w:bCs/>
                <w:color w:val="000000"/>
                <w:sz w:val="19"/>
                <w:szCs w:val="19"/>
              </w:rPr>
            </w:pPr>
            <w:r w:rsidRPr="00470AC8">
              <w:rPr>
                <w:rFonts w:ascii="Times New Roman" w:eastAsia="SimSun" w:hAnsi="Times New Roman" w:cs="Times New Roman"/>
                <w:b/>
                <w:bCs/>
                <w:color w:val="000000"/>
                <w:sz w:val="19"/>
                <w:szCs w:val="19"/>
                <w:lang w:bidi="ar"/>
              </w:rPr>
              <w:t>Skewness</w:t>
            </w:r>
          </w:p>
        </w:tc>
        <w:tc>
          <w:tcPr>
            <w:tcW w:w="960" w:type="dxa"/>
            <w:tcBorders>
              <w:top w:val="single" w:sz="8" w:space="0" w:color="000000"/>
              <w:left w:val="single" w:sz="4" w:space="0" w:color="000000"/>
              <w:bottom w:val="single" w:sz="8" w:space="0" w:color="000000"/>
              <w:right w:val="single" w:sz="4" w:space="0" w:color="000000"/>
            </w:tcBorders>
            <w:vAlign w:val="center"/>
          </w:tcPr>
          <w:p w14:paraId="3C979268" w14:textId="77777777" w:rsidR="00F80353" w:rsidRPr="00470AC8" w:rsidRDefault="007F2E21">
            <w:pPr>
              <w:jc w:val="both"/>
              <w:textAlignment w:val="center"/>
              <w:rPr>
                <w:rFonts w:ascii="Times New Roman" w:hAnsi="Times New Roman" w:cs="Times New Roman"/>
                <w:b/>
                <w:bCs/>
                <w:color w:val="000000"/>
                <w:sz w:val="19"/>
                <w:szCs w:val="19"/>
              </w:rPr>
            </w:pPr>
            <w:r w:rsidRPr="00470AC8">
              <w:rPr>
                <w:rFonts w:ascii="Times New Roman" w:eastAsia="SimSun" w:hAnsi="Times New Roman" w:cs="Times New Roman"/>
                <w:b/>
                <w:bCs/>
                <w:color w:val="000000"/>
                <w:sz w:val="19"/>
                <w:szCs w:val="19"/>
                <w:lang w:bidi="ar"/>
              </w:rPr>
              <w:t>Min</w:t>
            </w:r>
          </w:p>
        </w:tc>
        <w:tc>
          <w:tcPr>
            <w:tcW w:w="960" w:type="dxa"/>
            <w:tcBorders>
              <w:top w:val="single" w:sz="8" w:space="0" w:color="000000"/>
              <w:left w:val="single" w:sz="4" w:space="0" w:color="000000"/>
              <w:bottom w:val="single" w:sz="8" w:space="0" w:color="000000"/>
              <w:right w:val="single" w:sz="4" w:space="0" w:color="000000"/>
            </w:tcBorders>
            <w:vAlign w:val="center"/>
          </w:tcPr>
          <w:p w14:paraId="1DD86877" w14:textId="77777777" w:rsidR="00F80353" w:rsidRPr="00470AC8" w:rsidRDefault="007F2E21">
            <w:pPr>
              <w:jc w:val="both"/>
              <w:textAlignment w:val="center"/>
              <w:rPr>
                <w:rFonts w:ascii="Times New Roman" w:hAnsi="Times New Roman" w:cs="Times New Roman"/>
                <w:b/>
                <w:bCs/>
                <w:color w:val="000000"/>
                <w:sz w:val="19"/>
                <w:szCs w:val="19"/>
              </w:rPr>
            </w:pPr>
            <w:r w:rsidRPr="00470AC8">
              <w:rPr>
                <w:rFonts w:ascii="Times New Roman" w:eastAsia="SimSun" w:hAnsi="Times New Roman" w:cs="Times New Roman"/>
                <w:b/>
                <w:bCs/>
                <w:color w:val="000000"/>
                <w:sz w:val="19"/>
                <w:szCs w:val="19"/>
                <w:lang w:bidi="ar"/>
              </w:rPr>
              <w:t>Max</w:t>
            </w:r>
          </w:p>
        </w:tc>
        <w:tc>
          <w:tcPr>
            <w:tcW w:w="1245" w:type="dxa"/>
            <w:tcBorders>
              <w:top w:val="single" w:sz="8" w:space="0" w:color="000000"/>
              <w:left w:val="single" w:sz="4" w:space="0" w:color="000000"/>
              <w:bottom w:val="single" w:sz="8" w:space="0" w:color="000000"/>
              <w:right w:val="single" w:sz="8" w:space="0" w:color="000000"/>
            </w:tcBorders>
            <w:noWrap/>
            <w:vAlign w:val="center"/>
          </w:tcPr>
          <w:p w14:paraId="122C580D" w14:textId="77777777" w:rsidR="00F80353" w:rsidRPr="00470AC8" w:rsidRDefault="007F2E21">
            <w:pPr>
              <w:textAlignment w:val="center"/>
              <w:rPr>
                <w:rFonts w:ascii="Calibri" w:hAnsi="Calibri" w:cs="Calibri"/>
                <w:b/>
                <w:bCs/>
                <w:color w:val="000000"/>
                <w:sz w:val="22"/>
                <w:szCs w:val="22"/>
              </w:rPr>
            </w:pPr>
            <w:r w:rsidRPr="00470AC8">
              <w:rPr>
                <w:rFonts w:ascii="Calibri" w:eastAsia="SimSun" w:hAnsi="Calibri" w:cs="Calibri"/>
                <w:b/>
                <w:bCs/>
                <w:color w:val="000000"/>
                <w:sz w:val="22"/>
                <w:szCs w:val="22"/>
                <w:lang w:bidi="ar"/>
              </w:rPr>
              <w:t>Observation</w:t>
            </w:r>
          </w:p>
        </w:tc>
      </w:tr>
      <w:tr w:rsidR="00F80353" w:rsidRPr="00470AC8" w14:paraId="64587BA5" w14:textId="77777777">
        <w:trPr>
          <w:trHeight w:val="600"/>
        </w:trPr>
        <w:tc>
          <w:tcPr>
            <w:tcW w:w="2505" w:type="dxa"/>
            <w:tcBorders>
              <w:top w:val="nil"/>
              <w:left w:val="single" w:sz="8" w:space="0" w:color="000000"/>
              <w:bottom w:val="single" w:sz="4" w:space="0" w:color="000000"/>
              <w:right w:val="single" w:sz="4" w:space="0" w:color="000000"/>
            </w:tcBorders>
            <w:vAlign w:val="center"/>
          </w:tcPr>
          <w:p w14:paraId="49351546"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lastRenderedPageBreak/>
              <w:t>Market Efficiency Index (ME)</w:t>
            </w:r>
          </w:p>
        </w:tc>
        <w:tc>
          <w:tcPr>
            <w:tcW w:w="960" w:type="dxa"/>
            <w:tcBorders>
              <w:top w:val="nil"/>
              <w:left w:val="single" w:sz="4" w:space="0" w:color="000000"/>
              <w:bottom w:val="single" w:sz="4" w:space="0" w:color="000000"/>
              <w:right w:val="single" w:sz="4" w:space="0" w:color="000000"/>
            </w:tcBorders>
            <w:vAlign w:val="center"/>
          </w:tcPr>
          <w:p w14:paraId="147DEB02"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0.547</w:t>
            </w:r>
          </w:p>
        </w:tc>
        <w:tc>
          <w:tcPr>
            <w:tcW w:w="960" w:type="dxa"/>
            <w:tcBorders>
              <w:top w:val="nil"/>
              <w:left w:val="single" w:sz="4" w:space="0" w:color="000000"/>
              <w:bottom w:val="single" w:sz="4" w:space="0" w:color="000000"/>
              <w:right w:val="single" w:sz="4" w:space="0" w:color="000000"/>
            </w:tcBorders>
            <w:vAlign w:val="center"/>
          </w:tcPr>
          <w:p w14:paraId="3DAD77A1"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0.214</w:t>
            </w:r>
          </w:p>
        </w:tc>
        <w:tc>
          <w:tcPr>
            <w:tcW w:w="960" w:type="dxa"/>
            <w:tcBorders>
              <w:top w:val="nil"/>
              <w:left w:val="single" w:sz="4" w:space="0" w:color="000000"/>
              <w:bottom w:val="single" w:sz="4" w:space="0" w:color="000000"/>
              <w:right w:val="single" w:sz="4" w:space="0" w:color="000000"/>
            </w:tcBorders>
            <w:vAlign w:val="center"/>
          </w:tcPr>
          <w:p w14:paraId="42D33567"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-0.381</w:t>
            </w:r>
          </w:p>
        </w:tc>
        <w:tc>
          <w:tcPr>
            <w:tcW w:w="960" w:type="dxa"/>
            <w:tcBorders>
              <w:top w:val="nil"/>
              <w:left w:val="single" w:sz="4" w:space="0" w:color="000000"/>
              <w:bottom w:val="single" w:sz="4" w:space="0" w:color="000000"/>
              <w:right w:val="single" w:sz="4" w:space="0" w:color="000000"/>
            </w:tcBorders>
            <w:vAlign w:val="center"/>
          </w:tcPr>
          <w:p w14:paraId="3BB4890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0.102</w:t>
            </w:r>
          </w:p>
        </w:tc>
        <w:tc>
          <w:tcPr>
            <w:tcW w:w="960" w:type="dxa"/>
            <w:tcBorders>
              <w:top w:val="nil"/>
              <w:left w:val="single" w:sz="4" w:space="0" w:color="000000"/>
              <w:bottom w:val="single" w:sz="4" w:space="0" w:color="000000"/>
              <w:right w:val="single" w:sz="4" w:space="0" w:color="000000"/>
            </w:tcBorders>
            <w:vAlign w:val="center"/>
          </w:tcPr>
          <w:p w14:paraId="17FAD9B8"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0.931</w:t>
            </w:r>
          </w:p>
        </w:tc>
        <w:tc>
          <w:tcPr>
            <w:tcW w:w="0" w:type="auto"/>
            <w:tcBorders>
              <w:top w:val="nil"/>
              <w:left w:val="single" w:sz="4" w:space="0" w:color="000000"/>
              <w:bottom w:val="single" w:sz="4" w:space="0" w:color="000000"/>
              <w:right w:val="single" w:sz="8" w:space="0" w:color="000000"/>
            </w:tcBorders>
            <w:noWrap/>
            <w:vAlign w:val="center"/>
          </w:tcPr>
          <w:p w14:paraId="0D7F3672"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56701146"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318C46AE"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Blockchain Adoption Index (BAI)</w:t>
            </w:r>
          </w:p>
        </w:tc>
        <w:tc>
          <w:tcPr>
            <w:tcW w:w="960" w:type="dxa"/>
            <w:tcBorders>
              <w:top w:val="single" w:sz="4" w:space="0" w:color="000000"/>
              <w:left w:val="single" w:sz="4" w:space="0" w:color="000000"/>
              <w:bottom w:val="single" w:sz="4" w:space="0" w:color="000000"/>
              <w:right w:val="single" w:sz="4" w:space="0" w:color="000000"/>
            </w:tcBorders>
            <w:vAlign w:val="center"/>
          </w:tcPr>
          <w:p w14:paraId="6D803D9A"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0.463</w:t>
            </w:r>
          </w:p>
        </w:tc>
        <w:tc>
          <w:tcPr>
            <w:tcW w:w="960" w:type="dxa"/>
            <w:tcBorders>
              <w:top w:val="single" w:sz="4" w:space="0" w:color="000000"/>
              <w:left w:val="single" w:sz="4" w:space="0" w:color="000000"/>
              <w:bottom w:val="single" w:sz="4" w:space="0" w:color="000000"/>
              <w:right w:val="single" w:sz="4" w:space="0" w:color="000000"/>
            </w:tcBorders>
            <w:vAlign w:val="center"/>
          </w:tcPr>
          <w:p w14:paraId="6BC82638"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0.287</w:t>
            </w:r>
          </w:p>
        </w:tc>
        <w:tc>
          <w:tcPr>
            <w:tcW w:w="960" w:type="dxa"/>
            <w:tcBorders>
              <w:top w:val="single" w:sz="4" w:space="0" w:color="000000"/>
              <w:left w:val="single" w:sz="4" w:space="0" w:color="000000"/>
              <w:bottom w:val="single" w:sz="4" w:space="0" w:color="000000"/>
              <w:right w:val="single" w:sz="4" w:space="0" w:color="000000"/>
            </w:tcBorders>
            <w:vAlign w:val="center"/>
          </w:tcPr>
          <w:p w14:paraId="786F141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0.524</w:t>
            </w:r>
          </w:p>
        </w:tc>
        <w:tc>
          <w:tcPr>
            <w:tcW w:w="960" w:type="dxa"/>
            <w:tcBorders>
              <w:top w:val="single" w:sz="4" w:space="0" w:color="000000"/>
              <w:left w:val="single" w:sz="4" w:space="0" w:color="000000"/>
              <w:bottom w:val="single" w:sz="4" w:space="0" w:color="000000"/>
              <w:right w:val="single" w:sz="4" w:space="0" w:color="000000"/>
            </w:tcBorders>
            <w:vAlign w:val="center"/>
          </w:tcPr>
          <w:p w14:paraId="5863EB1C"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0.011</w:t>
            </w:r>
          </w:p>
        </w:tc>
        <w:tc>
          <w:tcPr>
            <w:tcW w:w="960" w:type="dxa"/>
            <w:tcBorders>
              <w:top w:val="single" w:sz="4" w:space="0" w:color="000000"/>
              <w:left w:val="single" w:sz="4" w:space="0" w:color="000000"/>
              <w:bottom w:val="single" w:sz="4" w:space="0" w:color="000000"/>
              <w:right w:val="single" w:sz="4" w:space="0" w:color="000000"/>
            </w:tcBorders>
            <w:vAlign w:val="center"/>
          </w:tcPr>
          <w:p w14:paraId="0C3F8923"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0.944</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C7CAFC5"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1DB37976"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24539C3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Institutional Quality (INST)</w:t>
            </w:r>
          </w:p>
        </w:tc>
        <w:tc>
          <w:tcPr>
            <w:tcW w:w="960" w:type="dxa"/>
            <w:tcBorders>
              <w:top w:val="single" w:sz="4" w:space="0" w:color="000000"/>
              <w:left w:val="single" w:sz="4" w:space="0" w:color="000000"/>
              <w:bottom w:val="single" w:sz="4" w:space="0" w:color="000000"/>
              <w:right w:val="single" w:sz="4" w:space="0" w:color="000000"/>
            </w:tcBorders>
            <w:vAlign w:val="center"/>
          </w:tcPr>
          <w:p w14:paraId="369DF35B"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-0.126</w:t>
            </w:r>
          </w:p>
        </w:tc>
        <w:tc>
          <w:tcPr>
            <w:tcW w:w="960" w:type="dxa"/>
            <w:tcBorders>
              <w:top w:val="single" w:sz="4" w:space="0" w:color="000000"/>
              <w:left w:val="single" w:sz="4" w:space="0" w:color="000000"/>
              <w:bottom w:val="single" w:sz="4" w:space="0" w:color="000000"/>
              <w:right w:val="single" w:sz="4" w:space="0" w:color="000000"/>
            </w:tcBorders>
            <w:vAlign w:val="center"/>
          </w:tcPr>
          <w:p w14:paraId="648DB50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0.691</w:t>
            </w:r>
          </w:p>
        </w:tc>
        <w:tc>
          <w:tcPr>
            <w:tcW w:w="960" w:type="dxa"/>
            <w:tcBorders>
              <w:top w:val="single" w:sz="4" w:space="0" w:color="000000"/>
              <w:left w:val="single" w:sz="4" w:space="0" w:color="000000"/>
              <w:bottom w:val="single" w:sz="4" w:space="0" w:color="000000"/>
              <w:right w:val="single" w:sz="4" w:space="0" w:color="000000"/>
            </w:tcBorders>
            <w:vAlign w:val="center"/>
          </w:tcPr>
          <w:p w14:paraId="2B67F9D6"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-0.214</w:t>
            </w:r>
          </w:p>
        </w:tc>
        <w:tc>
          <w:tcPr>
            <w:tcW w:w="960" w:type="dxa"/>
            <w:tcBorders>
              <w:top w:val="single" w:sz="4" w:space="0" w:color="000000"/>
              <w:left w:val="single" w:sz="4" w:space="0" w:color="000000"/>
              <w:bottom w:val="single" w:sz="4" w:space="0" w:color="000000"/>
              <w:right w:val="single" w:sz="4" w:space="0" w:color="000000"/>
            </w:tcBorders>
            <w:vAlign w:val="center"/>
          </w:tcPr>
          <w:p w14:paraId="4EE8441C"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-1.543</w:t>
            </w:r>
          </w:p>
        </w:tc>
        <w:tc>
          <w:tcPr>
            <w:tcW w:w="960" w:type="dxa"/>
            <w:tcBorders>
              <w:top w:val="single" w:sz="4" w:space="0" w:color="000000"/>
              <w:left w:val="single" w:sz="4" w:space="0" w:color="000000"/>
              <w:bottom w:val="single" w:sz="4" w:space="0" w:color="000000"/>
              <w:right w:val="single" w:sz="4" w:space="0" w:color="000000"/>
            </w:tcBorders>
            <w:vAlign w:val="center"/>
          </w:tcPr>
          <w:p w14:paraId="3F89B6F2"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1.267</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213C346A"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4CE8D353"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09476B21"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Bid-Ask Spread (BAS)</w:t>
            </w:r>
          </w:p>
        </w:tc>
        <w:tc>
          <w:tcPr>
            <w:tcW w:w="960" w:type="dxa"/>
            <w:tcBorders>
              <w:top w:val="single" w:sz="4" w:space="0" w:color="000000"/>
              <w:left w:val="single" w:sz="4" w:space="0" w:color="000000"/>
              <w:bottom w:val="single" w:sz="4" w:space="0" w:color="000000"/>
              <w:right w:val="single" w:sz="4" w:space="0" w:color="000000"/>
            </w:tcBorders>
            <w:vAlign w:val="center"/>
          </w:tcPr>
          <w:p w14:paraId="13E57A80"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0.084</w:t>
            </w:r>
          </w:p>
        </w:tc>
        <w:tc>
          <w:tcPr>
            <w:tcW w:w="960" w:type="dxa"/>
            <w:tcBorders>
              <w:top w:val="single" w:sz="4" w:space="0" w:color="000000"/>
              <w:left w:val="single" w:sz="4" w:space="0" w:color="000000"/>
              <w:bottom w:val="single" w:sz="4" w:space="0" w:color="000000"/>
              <w:right w:val="single" w:sz="4" w:space="0" w:color="000000"/>
            </w:tcBorders>
            <w:vAlign w:val="center"/>
          </w:tcPr>
          <w:p w14:paraId="65994C1A"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0.041</w:t>
            </w:r>
          </w:p>
        </w:tc>
        <w:tc>
          <w:tcPr>
            <w:tcW w:w="960" w:type="dxa"/>
            <w:tcBorders>
              <w:top w:val="single" w:sz="4" w:space="0" w:color="000000"/>
              <w:left w:val="single" w:sz="4" w:space="0" w:color="000000"/>
              <w:bottom w:val="single" w:sz="4" w:space="0" w:color="000000"/>
              <w:right w:val="single" w:sz="4" w:space="0" w:color="000000"/>
            </w:tcBorders>
            <w:vAlign w:val="center"/>
          </w:tcPr>
          <w:p w14:paraId="450965D9"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1.183</w:t>
            </w:r>
          </w:p>
        </w:tc>
        <w:tc>
          <w:tcPr>
            <w:tcW w:w="960" w:type="dxa"/>
            <w:tcBorders>
              <w:top w:val="single" w:sz="4" w:space="0" w:color="000000"/>
              <w:left w:val="single" w:sz="4" w:space="0" w:color="000000"/>
              <w:bottom w:val="single" w:sz="4" w:space="0" w:color="000000"/>
              <w:right w:val="single" w:sz="4" w:space="0" w:color="000000"/>
            </w:tcBorders>
            <w:vAlign w:val="center"/>
          </w:tcPr>
          <w:p w14:paraId="14951EF6"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0.012</w:t>
            </w:r>
          </w:p>
        </w:tc>
        <w:tc>
          <w:tcPr>
            <w:tcW w:w="960" w:type="dxa"/>
            <w:tcBorders>
              <w:top w:val="single" w:sz="4" w:space="0" w:color="000000"/>
              <w:left w:val="single" w:sz="4" w:space="0" w:color="000000"/>
              <w:bottom w:val="single" w:sz="4" w:space="0" w:color="000000"/>
              <w:right w:val="single" w:sz="4" w:space="0" w:color="000000"/>
            </w:tcBorders>
            <w:vAlign w:val="center"/>
          </w:tcPr>
          <w:p w14:paraId="37D170C6"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0.237</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8E0389D"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265CE7EF"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1AFFED66"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Turnover Ratio (TURN)</w:t>
            </w:r>
          </w:p>
        </w:tc>
        <w:tc>
          <w:tcPr>
            <w:tcW w:w="960" w:type="dxa"/>
            <w:tcBorders>
              <w:top w:val="single" w:sz="4" w:space="0" w:color="000000"/>
              <w:left w:val="single" w:sz="4" w:space="0" w:color="000000"/>
              <w:bottom w:val="single" w:sz="4" w:space="0" w:color="000000"/>
              <w:right w:val="single" w:sz="4" w:space="0" w:color="000000"/>
            </w:tcBorders>
            <w:vAlign w:val="center"/>
          </w:tcPr>
          <w:p w14:paraId="67431827"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0.312</w:t>
            </w:r>
          </w:p>
        </w:tc>
        <w:tc>
          <w:tcPr>
            <w:tcW w:w="960" w:type="dxa"/>
            <w:tcBorders>
              <w:top w:val="single" w:sz="4" w:space="0" w:color="000000"/>
              <w:left w:val="single" w:sz="4" w:space="0" w:color="000000"/>
              <w:bottom w:val="single" w:sz="4" w:space="0" w:color="000000"/>
              <w:right w:val="single" w:sz="4" w:space="0" w:color="000000"/>
            </w:tcBorders>
            <w:vAlign w:val="center"/>
          </w:tcPr>
          <w:p w14:paraId="14026F8E"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0.195</w:t>
            </w:r>
          </w:p>
        </w:tc>
        <w:tc>
          <w:tcPr>
            <w:tcW w:w="960" w:type="dxa"/>
            <w:tcBorders>
              <w:top w:val="single" w:sz="4" w:space="0" w:color="000000"/>
              <w:left w:val="single" w:sz="4" w:space="0" w:color="000000"/>
              <w:bottom w:val="single" w:sz="4" w:space="0" w:color="000000"/>
              <w:right w:val="single" w:sz="4" w:space="0" w:color="000000"/>
            </w:tcBorders>
            <w:vAlign w:val="center"/>
          </w:tcPr>
          <w:p w14:paraId="3C7E56D4"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0.674</w:t>
            </w:r>
          </w:p>
        </w:tc>
        <w:tc>
          <w:tcPr>
            <w:tcW w:w="960" w:type="dxa"/>
            <w:tcBorders>
              <w:top w:val="single" w:sz="4" w:space="0" w:color="000000"/>
              <w:left w:val="single" w:sz="4" w:space="0" w:color="000000"/>
              <w:bottom w:val="single" w:sz="4" w:space="0" w:color="000000"/>
              <w:right w:val="single" w:sz="4" w:space="0" w:color="000000"/>
            </w:tcBorders>
            <w:vAlign w:val="center"/>
          </w:tcPr>
          <w:p w14:paraId="55D5DE5A"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0.031</w:t>
            </w:r>
          </w:p>
        </w:tc>
        <w:tc>
          <w:tcPr>
            <w:tcW w:w="960" w:type="dxa"/>
            <w:tcBorders>
              <w:top w:val="single" w:sz="4" w:space="0" w:color="000000"/>
              <w:left w:val="single" w:sz="4" w:space="0" w:color="000000"/>
              <w:bottom w:val="single" w:sz="4" w:space="0" w:color="000000"/>
              <w:right w:val="single" w:sz="4" w:space="0" w:color="000000"/>
            </w:tcBorders>
            <w:vAlign w:val="center"/>
          </w:tcPr>
          <w:p w14:paraId="08C00CA6"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0.911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4AB1E9A3"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7C8FAA58"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553A8DD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Price Delay (PDEL)</w:t>
            </w:r>
          </w:p>
        </w:tc>
        <w:tc>
          <w:tcPr>
            <w:tcW w:w="960" w:type="dxa"/>
            <w:tcBorders>
              <w:top w:val="single" w:sz="4" w:space="0" w:color="000000"/>
              <w:left w:val="single" w:sz="4" w:space="0" w:color="000000"/>
              <w:bottom w:val="single" w:sz="4" w:space="0" w:color="000000"/>
              <w:right w:val="single" w:sz="4" w:space="0" w:color="000000"/>
            </w:tcBorders>
            <w:vAlign w:val="center"/>
          </w:tcPr>
          <w:p w14:paraId="426179E1"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0.428</w:t>
            </w:r>
          </w:p>
        </w:tc>
        <w:tc>
          <w:tcPr>
            <w:tcW w:w="960" w:type="dxa"/>
            <w:tcBorders>
              <w:top w:val="single" w:sz="4" w:space="0" w:color="000000"/>
              <w:left w:val="single" w:sz="4" w:space="0" w:color="000000"/>
              <w:bottom w:val="single" w:sz="4" w:space="0" w:color="000000"/>
              <w:right w:val="single" w:sz="4" w:space="0" w:color="000000"/>
            </w:tcBorders>
            <w:vAlign w:val="center"/>
          </w:tcPr>
          <w:p w14:paraId="308D8CB9"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0.173</w:t>
            </w:r>
          </w:p>
        </w:tc>
        <w:tc>
          <w:tcPr>
            <w:tcW w:w="960" w:type="dxa"/>
            <w:tcBorders>
              <w:top w:val="single" w:sz="4" w:space="0" w:color="000000"/>
              <w:left w:val="single" w:sz="4" w:space="0" w:color="000000"/>
              <w:bottom w:val="single" w:sz="4" w:space="0" w:color="000000"/>
              <w:right w:val="single" w:sz="4" w:space="0" w:color="000000"/>
            </w:tcBorders>
            <w:vAlign w:val="center"/>
          </w:tcPr>
          <w:p w14:paraId="415C62D5"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0.917</w:t>
            </w:r>
          </w:p>
        </w:tc>
        <w:tc>
          <w:tcPr>
            <w:tcW w:w="960" w:type="dxa"/>
            <w:tcBorders>
              <w:top w:val="single" w:sz="4" w:space="0" w:color="000000"/>
              <w:left w:val="single" w:sz="4" w:space="0" w:color="000000"/>
              <w:bottom w:val="single" w:sz="4" w:space="0" w:color="000000"/>
              <w:right w:val="single" w:sz="4" w:space="0" w:color="000000"/>
            </w:tcBorders>
            <w:vAlign w:val="center"/>
          </w:tcPr>
          <w:p w14:paraId="1048661D"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0.084</w:t>
            </w:r>
          </w:p>
        </w:tc>
        <w:tc>
          <w:tcPr>
            <w:tcW w:w="960" w:type="dxa"/>
            <w:tcBorders>
              <w:top w:val="single" w:sz="4" w:space="0" w:color="000000"/>
              <w:left w:val="single" w:sz="4" w:space="0" w:color="000000"/>
              <w:bottom w:val="single" w:sz="4" w:space="0" w:color="000000"/>
              <w:right w:val="single" w:sz="4" w:space="0" w:color="000000"/>
            </w:tcBorders>
            <w:vAlign w:val="center"/>
          </w:tcPr>
          <w:p w14:paraId="44822D1E"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0.811</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5109B5C8"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146B0414"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2E86F95E"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GDP Growth (GDPG)</w:t>
            </w:r>
          </w:p>
        </w:tc>
        <w:tc>
          <w:tcPr>
            <w:tcW w:w="960" w:type="dxa"/>
            <w:tcBorders>
              <w:top w:val="single" w:sz="4" w:space="0" w:color="000000"/>
              <w:left w:val="single" w:sz="4" w:space="0" w:color="000000"/>
              <w:bottom w:val="single" w:sz="4" w:space="0" w:color="000000"/>
              <w:right w:val="single" w:sz="4" w:space="0" w:color="000000"/>
            </w:tcBorders>
            <w:vAlign w:val="center"/>
          </w:tcPr>
          <w:p w14:paraId="0B194752"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3.964</w:t>
            </w:r>
          </w:p>
        </w:tc>
        <w:tc>
          <w:tcPr>
            <w:tcW w:w="960" w:type="dxa"/>
            <w:tcBorders>
              <w:top w:val="single" w:sz="4" w:space="0" w:color="000000"/>
              <w:left w:val="single" w:sz="4" w:space="0" w:color="000000"/>
              <w:bottom w:val="single" w:sz="4" w:space="0" w:color="000000"/>
              <w:right w:val="single" w:sz="4" w:space="0" w:color="000000"/>
            </w:tcBorders>
            <w:vAlign w:val="center"/>
          </w:tcPr>
          <w:p w14:paraId="63D1C2CB"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2.118</w:t>
            </w:r>
          </w:p>
        </w:tc>
        <w:tc>
          <w:tcPr>
            <w:tcW w:w="960" w:type="dxa"/>
            <w:tcBorders>
              <w:top w:val="single" w:sz="4" w:space="0" w:color="000000"/>
              <w:left w:val="single" w:sz="4" w:space="0" w:color="000000"/>
              <w:bottom w:val="single" w:sz="4" w:space="0" w:color="000000"/>
              <w:right w:val="single" w:sz="4" w:space="0" w:color="000000"/>
            </w:tcBorders>
            <w:vAlign w:val="center"/>
          </w:tcPr>
          <w:p w14:paraId="012AD3D2"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-0.452</w:t>
            </w:r>
          </w:p>
        </w:tc>
        <w:tc>
          <w:tcPr>
            <w:tcW w:w="960" w:type="dxa"/>
            <w:tcBorders>
              <w:top w:val="single" w:sz="4" w:space="0" w:color="000000"/>
              <w:left w:val="single" w:sz="4" w:space="0" w:color="000000"/>
              <w:bottom w:val="single" w:sz="4" w:space="0" w:color="000000"/>
              <w:right w:val="single" w:sz="4" w:space="0" w:color="000000"/>
            </w:tcBorders>
            <w:vAlign w:val="center"/>
          </w:tcPr>
          <w:p w14:paraId="630CCC3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-5.401</w:t>
            </w:r>
          </w:p>
        </w:tc>
        <w:tc>
          <w:tcPr>
            <w:tcW w:w="960" w:type="dxa"/>
            <w:tcBorders>
              <w:top w:val="single" w:sz="4" w:space="0" w:color="000000"/>
              <w:left w:val="single" w:sz="4" w:space="0" w:color="000000"/>
              <w:bottom w:val="single" w:sz="4" w:space="0" w:color="000000"/>
              <w:right w:val="single" w:sz="4" w:space="0" w:color="000000"/>
            </w:tcBorders>
            <w:vAlign w:val="center"/>
          </w:tcPr>
          <w:p w14:paraId="7D046620"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8.713</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2CCECBBE"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6F102164" w14:textId="77777777">
        <w:trPr>
          <w:trHeight w:val="600"/>
        </w:trPr>
        <w:tc>
          <w:tcPr>
            <w:tcW w:w="2505" w:type="dxa"/>
            <w:tcBorders>
              <w:top w:val="single" w:sz="4" w:space="0" w:color="000000"/>
              <w:left w:val="single" w:sz="8" w:space="0" w:color="000000"/>
              <w:bottom w:val="single" w:sz="4" w:space="0" w:color="000000"/>
              <w:right w:val="single" w:sz="4" w:space="0" w:color="000000"/>
            </w:tcBorders>
            <w:vAlign w:val="center"/>
          </w:tcPr>
          <w:p w14:paraId="688834C0"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Inflation (INF)</w:t>
            </w:r>
          </w:p>
        </w:tc>
        <w:tc>
          <w:tcPr>
            <w:tcW w:w="960" w:type="dxa"/>
            <w:tcBorders>
              <w:top w:val="single" w:sz="4" w:space="0" w:color="000000"/>
              <w:left w:val="single" w:sz="4" w:space="0" w:color="000000"/>
              <w:bottom w:val="single" w:sz="4" w:space="0" w:color="000000"/>
              <w:right w:val="single" w:sz="4" w:space="0" w:color="000000"/>
            </w:tcBorders>
            <w:vAlign w:val="center"/>
          </w:tcPr>
          <w:p w14:paraId="4C5CA083"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8.731</w:t>
            </w:r>
          </w:p>
        </w:tc>
        <w:tc>
          <w:tcPr>
            <w:tcW w:w="960" w:type="dxa"/>
            <w:tcBorders>
              <w:top w:val="single" w:sz="4" w:space="0" w:color="000000"/>
              <w:left w:val="single" w:sz="4" w:space="0" w:color="000000"/>
              <w:bottom w:val="single" w:sz="4" w:space="0" w:color="000000"/>
              <w:right w:val="single" w:sz="4" w:space="0" w:color="000000"/>
            </w:tcBorders>
            <w:vAlign w:val="center"/>
          </w:tcPr>
          <w:p w14:paraId="1886979C"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5.142</w:t>
            </w:r>
          </w:p>
        </w:tc>
        <w:tc>
          <w:tcPr>
            <w:tcW w:w="960" w:type="dxa"/>
            <w:tcBorders>
              <w:top w:val="single" w:sz="4" w:space="0" w:color="000000"/>
              <w:left w:val="single" w:sz="4" w:space="0" w:color="000000"/>
              <w:bottom w:val="single" w:sz="4" w:space="0" w:color="000000"/>
              <w:right w:val="single" w:sz="4" w:space="0" w:color="000000"/>
            </w:tcBorders>
            <w:vAlign w:val="center"/>
          </w:tcPr>
          <w:p w14:paraId="7E73033A"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1.734</w:t>
            </w:r>
          </w:p>
        </w:tc>
        <w:tc>
          <w:tcPr>
            <w:tcW w:w="960" w:type="dxa"/>
            <w:tcBorders>
              <w:top w:val="single" w:sz="4" w:space="0" w:color="000000"/>
              <w:left w:val="single" w:sz="4" w:space="0" w:color="000000"/>
              <w:bottom w:val="single" w:sz="4" w:space="0" w:color="000000"/>
              <w:right w:val="single" w:sz="4" w:space="0" w:color="000000"/>
            </w:tcBorders>
            <w:vAlign w:val="center"/>
          </w:tcPr>
          <w:p w14:paraId="1D4FB3D2"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1.103</w:t>
            </w:r>
          </w:p>
        </w:tc>
        <w:tc>
          <w:tcPr>
            <w:tcW w:w="960" w:type="dxa"/>
            <w:tcBorders>
              <w:top w:val="single" w:sz="4" w:space="0" w:color="000000"/>
              <w:left w:val="single" w:sz="4" w:space="0" w:color="000000"/>
              <w:bottom w:val="single" w:sz="4" w:space="0" w:color="000000"/>
              <w:right w:val="single" w:sz="4" w:space="0" w:color="000000"/>
            </w:tcBorders>
            <w:vAlign w:val="center"/>
          </w:tcPr>
          <w:p w14:paraId="15B23A8F"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28.617</w:t>
            </w:r>
          </w:p>
        </w:tc>
        <w:tc>
          <w:tcPr>
            <w:tcW w:w="0" w:type="auto"/>
            <w:tcBorders>
              <w:top w:val="single" w:sz="4" w:space="0" w:color="000000"/>
              <w:left w:val="single" w:sz="4" w:space="0" w:color="000000"/>
              <w:bottom w:val="single" w:sz="4" w:space="0" w:color="000000"/>
              <w:right w:val="single" w:sz="8" w:space="0" w:color="000000"/>
            </w:tcBorders>
            <w:noWrap/>
            <w:vAlign w:val="center"/>
          </w:tcPr>
          <w:p w14:paraId="717D4D6C"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r w:rsidR="00F80353" w:rsidRPr="00470AC8" w14:paraId="5F9CCEE3" w14:textId="77777777">
        <w:trPr>
          <w:trHeight w:val="600"/>
        </w:trPr>
        <w:tc>
          <w:tcPr>
            <w:tcW w:w="2505" w:type="dxa"/>
            <w:tcBorders>
              <w:top w:val="single" w:sz="4" w:space="0" w:color="000000"/>
              <w:left w:val="single" w:sz="8" w:space="0" w:color="000000"/>
              <w:bottom w:val="single" w:sz="8" w:space="0" w:color="000000"/>
              <w:right w:val="single" w:sz="4" w:space="0" w:color="000000"/>
            </w:tcBorders>
            <w:vAlign w:val="center"/>
          </w:tcPr>
          <w:p w14:paraId="58DDEE97"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Internet Penetration (INTP)</w:t>
            </w:r>
          </w:p>
        </w:tc>
        <w:tc>
          <w:tcPr>
            <w:tcW w:w="960" w:type="dxa"/>
            <w:tcBorders>
              <w:top w:val="single" w:sz="4" w:space="0" w:color="000000"/>
              <w:left w:val="single" w:sz="4" w:space="0" w:color="000000"/>
              <w:bottom w:val="single" w:sz="8" w:space="0" w:color="000000"/>
              <w:right w:val="single" w:sz="4" w:space="0" w:color="000000"/>
            </w:tcBorders>
            <w:vAlign w:val="center"/>
          </w:tcPr>
          <w:p w14:paraId="5516FB09"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47.518</w:t>
            </w:r>
          </w:p>
        </w:tc>
        <w:tc>
          <w:tcPr>
            <w:tcW w:w="960" w:type="dxa"/>
            <w:tcBorders>
              <w:top w:val="single" w:sz="4" w:space="0" w:color="000000"/>
              <w:left w:val="single" w:sz="4" w:space="0" w:color="000000"/>
              <w:bottom w:val="single" w:sz="8" w:space="0" w:color="000000"/>
              <w:right w:val="single" w:sz="4" w:space="0" w:color="000000"/>
            </w:tcBorders>
            <w:vAlign w:val="center"/>
          </w:tcPr>
          <w:p w14:paraId="6DA95C7D"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19.662</w:t>
            </w:r>
          </w:p>
        </w:tc>
        <w:tc>
          <w:tcPr>
            <w:tcW w:w="960" w:type="dxa"/>
            <w:tcBorders>
              <w:top w:val="single" w:sz="4" w:space="0" w:color="000000"/>
              <w:left w:val="single" w:sz="4" w:space="0" w:color="000000"/>
              <w:bottom w:val="single" w:sz="8" w:space="0" w:color="000000"/>
              <w:right w:val="single" w:sz="4" w:space="0" w:color="000000"/>
            </w:tcBorders>
            <w:vAlign w:val="center"/>
          </w:tcPr>
          <w:p w14:paraId="154E078C"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0.206</w:t>
            </w:r>
          </w:p>
        </w:tc>
        <w:tc>
          <w:tcPr>
            <w:tcW w:w="960" w:type="dxa"/>
            <w:tcBorders>
              <w:top w:val="single" w:sz="4" w:space="0" w:color="000000"/>
              <w:left w:val="single" w:sz="4" w:space="0" w:color="000000"/>
              <w:bottom w:val="single" w:sz="8" w:space="0" w:color="000000"/>
              <w:right w:val="single" w:sz="4" w:space="0" w:color="000000"/>
            </w:tcBorders>
            <w:vAlign w:val="center"/>
          </w:tcPr>
          <w:p w14:paraId="6D843B22"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9.811</w:t>
            </w:r>
          </w:p>
        </w:tc>
        <w:tc>
          <w:tcPr>
            <w:tcW w:w="960" w:type="dxa"/>
            <w:tcBorders>
              <w:top w:val="single" w:sz="4" w:space="0" w:color="000000"/>
              <w:left w:val="single" w:sz="4" w:space="0" w:color="000000"/>
              <w:bottom w:val="single" w:sz="8" w:space="0" w:color="000000"/>
              <w:right w:val="single" w:sz="4" w:space="0" w:color="000000"/>
            </w:tcBorders>
            <w:vAlign w:val="center"/>
          </w:tcPr>
          <w:p w14:paraId="04DD66D0" w14:textId="77777777" w:rsidR="00F80353" w:rsidRPr="00470AC8" w:rsidRDefault="007F2E21">
            <w:pPr>
              <w:jc w:val="both"/>
              <w:textAlignment w:val="center"/>
              <w:rPr>
                <w:rFonts w:ascii="Times New Roman" w:hAnsi="Times New Roman" w:cs="Times New Roman"/>
                <w:color w:val="000000"/>
                <w:sz w:val="19"/>
                <w:szCs w:val="19"/>
              </w:rPr>
            </w:pPr>
            <w:r w:rsidRPr="00470AC8">
              <w:rPr>
                <w:rFonts w:ascii="Times New Roman" w:eastAsia="SimSun" w:hAnsi="Times New Roman" w:cs="Times New Roman"/>
                <w:color w:val="000000"/>
                <w:sz w:val="19"/>
                <w:szCs w:val="19"/>
                <w:lang w:bidi="ar"/>
              </w:rPr>
              <w:t>88.134</w:t>
            </w:r>
          </w:p>
        </w:tc>
        <w:tc>
          <w:tcPr>
            <w:tcW w:w="0" w:type="auto"/>
            <w:tcBorders>
              <w:top w:val="single" w:sz="4" w:space="0" w:color="000000"/>
              <w:left w:val="single" w:sz="4" w:space="0" w:color="000000"/>
              <w:bottom w:val="single" w:sz="8" w:space="0" w:color="000000"/>
              <w:right w:val="single" w:sz="8" w:space="0" w:color="000000"/>
            </w:tcBorders>
            <w:noWrap/>
            <w:vAlign w:val="center"/>
          </w:tcPr>
          <w:p w14:paraId="3CBDFCEC" w14:textId="77777777" w:rsidR="00F80353" w:rsidRPr="00470AC8" w:rsidRDefault="007F2E21">
            <w:pPr>
              <w:jc w:val="right"/>
              <w:textAlignment w:val="center"/>
              <w:rPr>
                <w:rFonts w:ascii="Calibri" w:hAnsi="Calibri" w:cs="Calibri"/>
                <w:color w:val="000000"/>
                <w:sz w:val="22"/>
                <w:szCs w:val="22"/>
              </w:rPr>
            </w:pPr>
            <w:r w:rsidRPr="00470AC8">
              <w:rPr>
                <w:rFonts w:ascii="Calibri" w:eastAsia="SimSun" w:hAnsi="Calibri" w:cs="Calibri"/>
                <w:color w:val="000000"/>
                <w:sz w:val="22"/>
                <w:szCs w:val="22"/>
                <w:lang w:bidi="ar"/>
              </w:rPr>
              <w:t>120</w:t>
            </w:r>
          </w:p>
        </w:tc>
      </w:tr>
    </w:tbl>
    <w:p w14:paraId="1DB9BC8C" w14:textId="77777777" w:rsidR="00F80353" w:rsidRPr="00470AC8" w:rsidRDefault="007F2E21">
      <w:pPr>
        <w:pStyle w:val="NormalWeb"/>
        <w:spacing w:beforeAutospacing="0" w:afterAutospacing="0"/>
        <w:jc w:val="both"/>
        <w:rPr>
          <w:sz w:val="19"/>
          <w:szCs w:val="19"/>
        </w:rPr>
      </w:pPr>
      <w:r w:rsidRPr="00470AC8">
        <w:rPr>
          <w:sz w:val="19"/>
          <w:szCs w:val="19"/>
        </w:rPr>
        <w:t>The descriptive statistics and subsequent estimations were based on a balanced panel of 10 African capital markets covering 2014–2025, resulting in 120 market-year observations.</w:t>
      </w:r>
    </w:p>
    <w:p w14:paraId="798317C7" w14:textId="77777777" w:rsidR="00F80353" w:rsidRPr="00470AC8" w:rsidRDefault="007F2E21">
      <w:pPr>
        <w:pStyle w:val="NormalWeb"/>
        <w:spacing w:beforeAutospacing="0" w:afterAutospacing="0"/>
        <w:jc w:val="both"/>
        <w:rPr>
          <w:sz w:val="19"/>
          <w:szCs w:val="19"/>
        </w:rPr>
      </w:pPr>
      <w:r w:rsidRPr="00470AC8">
        <w:rPr>
          <w:sz w:val="19"/>
          <w:szCs w:val="19"/>
        </w:rPr>
        <w:t>The descriptive statistics show considerable variation in blockchain adoption, institutional quality, and market efficiency across African capital markets. The mean value of the Blockchain Adoption Index is 0.463, suggesting a moderate level of blockchain-related financial innovation among the sampled markets. However, the relatively high standard deviation of 0.287 indicates that adoption remains uneven across countries.</w:t>
      </w:r>
    </w:p>
    <w:p w14:paraId="35343417" w14:textId="77777777" w:rsidR="00F80353" w:rsidRPr="00470AC8" w:rsidRDefault="007F2E21">
      <w:pPr>
        <w:pStyle w:val="NormalWeb"/>
        <w:spacing w:beforeAutospacing="0" w:afterAutospacing="0"/>
        <w:jc w:val="both"/>
        <w:rPr>
          <w:sz w:val="19"/>
          <w:szCs w:val="19"/>
        </w:rPr>
      </w:pPr>
      <w:r w:rsidRPr="00470AC8">
        <w:rPr>
          <w:sz w:val="19"/>
          <w:szCs w:val="19"/>
        </w:rPr>
        <w:t>The average market efficiency score of 0.547 suggests moderate informational efficiency. This means that while some African exchanges have improved in trading, disclosure, and settlement processes, several still face market frictions. The bid-ask spread and price delay values further confirm the presence of liquidity constraints and slow information adjustment in some markets.</w:t>
      </w:r>
    </w:p>
    <w:p w14:paraId="2EBF2781" w14:textId="77777777" w:rsidR="00F80353" w:rsidRPr="00470AC8" w:rsidRDefault="007F2E21">
      <w:pPr>
        <w:pStyle w:val="NormalWeb"/>
        <w:spacing w:beforeAutospacing="0" w:afterAutospacing="0"/>
        <w:jc w:val="both"/>
        <w:rPr>
          <w:sz w:val="19"/>
          <w:szCs w:val="19"/>
        </w:rPr>
      </w:pPr>
      <w:r w:rsidRPr="00470AC8">
        <w:rPr>
          <w:sz w:val="19"/>
          <w:szCs w:val="19"/>
        </w:rPr>
        <w:t>The turnover ratio shows moderate variation, indicating differences in trading activity and investor participation across exchanges. Internet penetration also varies widely, reflecting differences in digital readiness. Overall, the descriptive evidence supports the use of panel estimation because African capital markets differ substantially in market structure, technological readiness, and institutional strength.</w:t>
      </w:r>
    </w:p>
    <w:p w14:paraId="765B4ED6" w14:textId="77777777" w:rsidR="00F80353" w:rsidRPr="00470AC8" w:rsidRDefault="00F80353">
      <w:pPr>
        <w:pStyle w:val="NormalWeb"/>
        <w:spacing w:beforeAutospacing="0" w:afterAutospacing="0"/>
        <w:jc w:val="both"/>
        <w:rPr>
          <w:sz w:val="19"/>
          <w:szCs w:val="19"/>
        </w:rPr>
      </w:pPr>
    </w:p>
    <w:p w14:paraId="27EC52D1"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4.2 Correlation Matrix</w:t>
      </w:r>
    </w:p>
    <w:p w14:paraId="3031E522" w14:textId="77777777" w:rsidR="00F80353" w:rsidRPr="00470AC8" w:rsidRDefault="007F2E21">
      <w:pPr>
        <w:pStyle w:val="NormalWeb"/>
        <w:spacing w:beforeAutospacing="0" w:afterAutospacing="0"/>
        <w:jc w:val="both"/>
        <w:rPr>
          <w:sz w:val="19"/>
          <w:szCs w:val="19"/>
        </w:rPr>
      </w:pPr>
      <w:r w:rsidRPr="00470AC8">
        <w:rPr>
          <w:sz w:val="19"/>
          <w:szCs w:val="19"/>
        </w:rPr>
        <w:t>Table 2 presents the pairwise correlations among the major variables.</w:t>
      </w:r>
    </w:p>
    <w:p w14:paraId="05300E97" w14:textId="77777777" w:rsidR="00F80353" w:rsidRPr="00470AC8" w:rsidRDefault="007F2E21">
      <w:pPr>
        <w:pStyle w:val="NormalWeb"/>
        <w:spacing w:beforeAutospacing="0" w:afterAutospacing="0"/>
        <w:jc w:val="center"/>
        <w:rPr>
          <w:sz w:val="19"/>
          <w:szCs w:val="19"/>
        </w:rPr>
      </w:pPr>
      <w:r w:rsidRPr="00470AC8">
        <w:rPr>
          <w:rStyle w:val="Strong"/>
          <w:sz w:val="19"/>
          <w:szCs w:val="19"/>
        </w:rPr>
        <w:t>Table 2: Correlation Matrix</w:t>
      </w:r>
    </w:p>
    <w:tbl>
      <w:tblPr>
        <w:tblW w:w="8190" w:type="dxa"/>
        <w:tblInd w:w="93" w:type="dxa"/>
        <w:tblLook w:val="04A0" w:firstRow="1" w:lastRow="0" w:firstColumn="1" w:lastColumn="0" w:noHBand="0" w:noVBand="1"/>
      </w:tblPr>
      <w:tblGrid>
        <w:gridCol w:w="1335"/>
        <w:gridCol w:w="1125"/>
        <w:gridCol w:w="1080"/>
        <w:gridCol w:w="1170"/>
        <w:gridCol w:w="1110"/>
        <w:gridCol w:w="1185"/>
        <w:gridCol w:w="1185"/>
      </w:tblGrid>
      <w:tr w:rsidR="00F80353" w:rsidRPr="00470AC8" w14:paraId="4E4063D6" w14:textId="77777777">
        <w:trPr>
          <w:trHeight w:val="500"/>
        </w:trPr>
        <w:tc>
          <w:tcPr>
            <w:tcW w:w="1335" w:type="dxa"/>
            <w:tcBorders>
              <w:top w:val="single" w:sz="8" w:space="0" w:color="000000"/>
              <w:left w:val="single" w:sz="8" w:space="0" w:color="000000"/>
              <w:bottom w:val="single" w:sz="8" w:space="0" w:color="000000"/>
              <w:right w:val="nil"/>
            </w:tcBorders>
            <w:vAlign w:val="center"/>
          </w:tcPr>
          <w:p w14:paraId="1FAC640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Variable</w:t>
            </w:r>
          </w:p>
        </w:tc>
        <w:tc>
          <w:tcPr>
            <w:tcW w:w="1125" w:type="dxa"/>
            <w:tcBorders>
              <w:top w:val="single" w:sz="8" w:space="0" w:color="000000"/>
              <w:left w:val="nil"/>
              <w:bottom w:val="single" w:sz="8" w:space="0" w:color="000000"/>
              <w:right w:val="nil"/>
            </w:tcBorders>
            <w:vAlign w:val="center"/>
          </w:tcPr>
          <w:p w14:paraId="33869B6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ME</w:t>
            </w:r>
          </w:p>
        </w:tc>
        <w:tc>
          <w:tcPr>
            <w:tcW w:w="1080" w:type="dxa"/>
            <w:tcBorders>
              <w:top w:val="single" w:sz="8" w:space="0" w:color="000000"/>
              <w:left w:val="nil"/>
              <w:bottom w:val="single" w:sz="8" w:space="0" w:color="000000"/>
              <w:right w:val="nil"/>
            </w:tcBorders>
            <w:vAlign w:val="center"/>
          </w:tcPr>
          <w:p w14:paraId="4E050BC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BAI</w:t>
            </w:r>
          </w:p>
        </w:tc>
        <w:tc>
          <w:tcPr>
            <w:tcW w:w="1170" w:type="dxa"/>
            <w:tcBorders>
              <w:top w:val="single" w:sz="8" w:space="0" w:color="000000"/>
              <w:left w:val="nil"/>
              <w:bottom w:val="single" w:sz="8" w:space="0" w:color="000000"/>
              <w:right w:val="nil"/>
            </w:tcBorders>
            <w:vAlign w:val="center"/>
          </w:tcPr>
          <w:p w14:paraId="32A2663B"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INST</w:t>
            </w:r>
          </w:p>
        </w:tc>
        <w:tc>
          <w:tcPr>
            <w:tcW w:w="1110" w:type="dxa"/>
            <w:tcBorders>
              <w:top w:val="single" w:sz="8" w:space="0" w:color="000000"/>
              <w:left w:val="nil"/>
              <w:bottom w:val="single" w:sz="8" w:space="0" w:color="000000"/>
              <w:right w:val="nil"/>
            </w:tcBorders>
            <w:vAlign w:val="center"/>
          </w:tcPr>
          <w:p w14:paraId="1B38A61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BAS</w:t>
            </w:r>
          </w:p>
        </w:tc>
        <w:tc>
          <w:tcPr>
            <w:tcW w:w="1185" w:type="dxa"/>
            <w:tcBorders>
              <w:top w:val="single" w:sz="8" w:space="0" w:color="000000"/>
              <w:left w:val="nil"/>
              <w:bottom w:val="single" w:sz="8" w:space="0" w:color="000000"/>
              <w:right w:val="nil"/>
            </w:tcBorders>
            <w:vAlign w:val="center"/>
          </w:tcPr>
          <w:p w14:paraId="6748DD8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TURN</w:t>
            </w:r>
          </w:p>
        </w:tc>
        <w:tc>
          <w:tcPr>
            <w:tcW w:w="1185" w:type="dxa"/>
            <w:tcBorders>
              <w:top w:val="single" w:sz="8" w:space="0" w:color="000000"/>
              <w:left w:val="nil"/>
              <w:bottom w:val="single" w:sz="8" w:space="0" w:color="000000"/>
              <w:right w:val="single" w:sz="8" w:space="0" w:color="000000"/>
            </w:tcBorders>
            <w:vAlign w:val="center"/>
          </w:tcPr>
          <w:p w14:paraId="71686D92"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GDPG</w:t>
            </w:r>
          </w:p>
        </w:tc>
      </w:tr>
      <w:tr w:rsidR="00F80353" w:rsidRPr="00470AC8" w14:paraId="1F6D471C" w14:textId="77777777">
        <w:trPr>
          <w:trHeight w:val="500"/>
        </w:trPr>
        <w:tc>
          <w:tcPr>
            <w:tcW w:w="1335" w:type="dxa"/>
            <w:tcBorders>
              <w:top w:val="nil"/>
              <w:left w:val="single" w:sz="8" w:space="0" w:color="000000"/>
              <w:bottom w:val="nil"/>
              <w:right w:val="nil"/>
            </w:tcBorders>
            <w:vAlign w:val="center"/>
          </w:tcPr>
          <w:p w14:paraId="1742F4D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ME</w:t>
            </w:r>
          </w:p>
        </w:tc>
        <w:tc>
          <w:tcPr>
            <w:tcW w:w="1125" w:type="dxa"/>
            <w:tcBorders>
              <w:top w:val="nil"/>
              <w:left w:val="nil"/>
              <w:bottom w:val="nil"/>
              <w:right w:val="nil"/>
            </w:tcBorders>
            <w:vAlign w:val="center"/>
          </w:tcPr>
          <w:p w14:paraId="7EB8A03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1</w:t>
            </w:r>
          </w:p>
        </w:tc>
        <w:tc>
          <w:tcPr>
            <w:tcW w:w="1080" w:type="dxa"/>
            <w:tcBorders>
              <w:top w:val="nil"/>
              <w:left w:val="nil"/>
              <w:bottom w:val="nil"/>
              <w:right w:val="nil"/>
            </w:tcBorders>
            <w:vAlign w:val="center"/>
          </w:tcPr>
          <w:p w14:paraId="0BE86230" w14:textId="77777777" w:rsidR="00F80353" w:rsidRPr="00470AC8" w:rsidRDefault="00F80353">
            <w:pPr>
              <w:jc w:val="both"/>
              <w:rPr>
                <w:rFonts w:ascii="Times New Roman" w:hAnsi="Times New Roman" w:cs="Times New Roman"/>
                <w:sz w:val="19"/>
                <w:szCs w:val="19"/>
                <w:lang w:val="en-CA"/>
              </w:rPr>
            </w:pPr>
          </w:p>
        </w:tc>
        <w:tc>
          <w:tcPr>
            <w:tcW w:w="1170" w:type="dxa"/>
            <w:tcBorders>
              <w:top w:val="nil"/>
              <w:left w:val="nil"/>
              <w:bottom w:val="nil"/>
              <w:right w:val="nil"/>
            </w:tcBorders>
            <w:vAlign w:val="center"/>
          </w:tcPr>
          <w:p w14:paraId="6D0B820F" w14:textId="77777777" w:rsidR="00F80353" w:rsidRPr="00470AC8" w:rsidRDefault="00F80353">
            <w:pPr>
              <w:jc w:val="both"/>
              <w:rPr>
                <w:rFonts w:ascii="Times New Roman" w:hAnsi="Times New Roman" w:cs="Times New Roman"/>
                <w:sz w:val="19"/>
                <w:szCs w:val="19"/>
                <w:lang w:val="en-CA"/>
              </w:rPr>
            </w:pPr>
          </w:p>
        </w:tc>
        <w:tc>
          <w:tcPr>
            <w:tcW w:w="1110" w:type="dxa"/>
            <w:tcBorders>
              <w:top w:val="nil"/>
              <w:left w:val="nil"/>
              <w:bottom w:val="nil"/>
              <w:right w:val="nil"/>
            </w:tcBorders>
            <w:vAlign w:val="center"/>
          </w:tcPr>
          <w:p w14:paraId="6D89633F"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nil"/>
            </w:tcBorders>
            <w:vAlign w:val="center"/>
          </w:tcPr>
          <w:p w14:paraId="4AB15402"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0FF0AEC4" w14:textId="77777777" w:rsidR="00F80353" w:rsidRPr="00470AC8" w:rsidRDefault="00F80353">
            <w:pPr>
              <w:jc w:val="both"/>
              <w:rPr>
                <w:rFonts w:ascii="Times New Roman" w:hAnsi="Times New Roman" w:cs="Times New Roman"/>
                <w:sz w:val="19"/>
                <w:szCs w:val="19"/>
                <w:lang w:val="en-CA"/>
              </w:rPr>
            </w:pPr>
          </w:p>
        </w:tc>
      </w:tr>
      <w:tr w:rsidR="00F80353" w:rsidRPr="00470AC8" w14:paraId="2C3DD9FE" w14:textId="77777777">
        <w:trPr>
          <w:trHeight w:val="500"/>
        </w:trPr>
        <w:tc>
          <w:tcPr>
            <w:tcW w:w="1335" w:type="dxa"/>
            <w:tcBorders>
              <w:top w:val="nil"/>
              <w:left w:val="single" w:sz="8" w:space="0" w:color="000000"/>
              <w:bottom w:val="nil"/>
              <w:right w:val="nil"/>
            </w:tcBorders>
            <w:vAlign w:val="center"/>
          </w:tcPr>
          <w:p w14:paraId="3E4DAF9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BAI</w:t>
            </w:r>
          </w:p>
        </w:tc>
        <w:tc>
          <w:tcPr>
            <w:tcW w:w="1125" w:type="dxa"/>
            <w:tcBorders>
              <w:top w:val="nil"/>
              <w:left w:val="nil"/>
              <w:bottom w:val="nil"/>
              <w:right w:val="nil"/>
            </w:tcBorders>
            <w:vAlign w:val="center"/>
          </w:tcPr>
          <w:p w14:paraId="455663C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0.621</w:t>
            </w:r>
          </w:p>
        </w:tc>
        <w:tc>
          <w:tcPr>
            <w:tcW w:w="1080" w:type="dxa"/>
            <w:tcBorders>
              <w:top w:val="nil"/>
              <w:left w:val="nil"/>
              <w:bottom w:val="nil"/>
              <w:right w:val="nil"/>
            </w:tcBorders>
            <w:vAlign w:val="center"/>
          </w:tcPr>
          <w:p w14:paraId="1E3F02B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1</w:t>
            </w:r>
          </w:p>
        </w:tc>
        <w:tc>
          <w:tcPr>
            <w:tcW w:w="1170" w:type="dxa"/>
            <w:tcBorders>
              <w:top w:val="nil"/>
              <w:left w:val="nil"/>
              <w:bottom w:val="nil"/>
              <w:right w:val="nil"/>
            </w:tcBorders>
            <w:vAlign w:val="center"/>
          </w:tcPr>
          <w:p w14:paraId="7258FC00" w14:textId="77777777" w:rsidR="00F80353" w:rsidRPr="00470AC8" w:rsidRDefault="00F80353">
            <w:pPr>
              <w:jc w:val="both"/>
              <w:rPr>
                <w:rFonts w:ascii="Times New Roman" w:hAnsi="Times New Roman" w:cs="Times New Roman"/>
                <w:sz w:val="19"/>
                <w:szCs w:val="19"/>
                <w:lang w:val="en-CA"/>
              </w:rPr>
            </w:pPr>
          </w:p>
        </w:tc>
        <w:tc>
          <w:tcPr>
            <w:tcW w:w="1110" w:type="dxa"/>
            <w:tcBorders>
              <w:top w:val="nil"/>
              <w:left w:val="nil"/>
              <w:bottom w:val="nil"/>
              <w:right w:val="nil"/>
            </w:tcBorders>
            <w:vAlign w:val="center"/>
          </w:tcPr>
          <w:p w14:paraId="5AC8890E"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nil"/>
            </w:tcBorders>
            <w:vAlign w:val="center"/>
          </w:tcPr>
          <w:p w14:paraId="5A3EBE11"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340E862A" w14:textId="77777777" w:rsidR="00F80353" w:rsidRPr="00470AC8" w:rsidRDefault="00F80353">
            <w:pPr>
              <w:jc w:val="both"/>
              <w:rPr>
                <w:rFonts w:ascii="Times New Roman" w:hAnsi="Times New Roman" w:cs="Times New Roman"/>
                <w:sz w:val="19"/>
                <w:szCs w:val="19"/>
                <w:lang w:val="en-CA"/>
              </w:rPr>
            </w:pPr>
          </w:p>
        </w:tc>
      </w:tr>
      <w:tr w:rsidR="00F80353" w:rsidRPr="00470AC8" w14:paraId="171D348D" w14:textId="77777777">
        <w:trPr>
          <w:trHeight w:val="500"/>
        </w:trPr>
        <w:tc>
          <w:tcPr>
            <w:tcW w:w="1335" w:type="dxa"/>
            <w:tcBorders>
              <w:top w:val="nil"/>
              <w:left w:val="single" w:sz="8" w:space="0" w:color="000000"/>
              <w:bottom w:val="nil"/>
              <w:right w:val="nil"/>
            </w:tcBorders>
            <w:vAlign w:val="center"/>
          </w:tcPr>
          <w:p w14:paraId="5BE0ABDB"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INST</w:t>
            </w:r>
          </w:p>
        </w:tc>
        <w:tc>
          <w:tcPr>
            <w:tcW w:w="1125" w:type="dxa"/>
            <w:tcBorders>
              <w:top w:val="nil"/>
              <w:left w:val="nil"/>
              <w:bottom w:val="nil"/>
              <w:right w:val="nil"/>
            </w:tcBorders>
            <w:vAlign w:val="center"/>
          </w:tcPr>
          <w:p w14:paraId="552DCE7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0.584</w:t>
            </w:r>
          </w:p>
        </w:tc>
        <w:tc>
          <w:tcPr>
            <w:tcW w:w="1080" w:type="dxa"/>
            <w:tcBorders>
              <w:top w:val="nil"/>
              <w:left w:val="nil"/>
              <w:bottom w:val="nil"/>
              <w:right w:val="nil"/>
            </w:tcBorders>
            <w:vAlign w:val="center"/>
          </w:tcPr>
          <w:p w14:paraId="5955B5B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0.533</w:t>
            </w:r>
          </w:p>
        </w:tc>
        <w:tc>
          <w:tcPr>
            <w:tcW w:w="1170" w:type="dxa"/>
            <w:tcBorders>
              <w:top w:val="nil"/>
              <w:left w:val="nil"/>
              <w:bottom w:val="nil"/>
              <w:right w:val="nil"/>
            </w:tcBorders>
            <w:vAlign w:val="center"/>
          </w:tcPr>
          <w:p w14:paraId="482A1B0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1</w:t>
            </w:r>
          </w:p>
        </w:tc>
        <w:tc>
          <w:tcPr>
            <w:tcW w:w="1110" w:type="dxa"/>
            <w:tcBorders>
              <w:top w:val="nil"/>
              <w:left w:val="nil"/>
              <w:bottom w:val="nil"/>
              <w:right w:val="nil"/>
            </w:tcBorders>
            <w:vAlign w:val="center"/>
          </w:tcPr>
          <w:p w14:paraId="125CCA8B"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nil"/>
            </w:tcBorders>
            <w:vAlign w:val="center"/>
          </w:tcPr>
          <w:p w14:paraId="0CD303E7"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16495A63" w14:textId="77777777" w:rsidR="00F80353" w:rsidRPr="00470AC8" w:rsidRDefault="00F80353">
            <w:pPr>
              <w:jc w:val="both"/>
              <w:rPr>
                <w:rFonts w:ascii="Times New Roman" w:hAnsi="Times New Roman" w:cs="Times New Roman"/>
                <w:sz w:val="19"/>
                <w:szCs w:val="19"/>
                <w:lang w:val="en-CA"/>
              </w:rPr>
            </w:pPr>
          </w:p>
        </w:tc>
      </w:tr>
      <w:tr w:rsidR="00F80353" w:rsidRPr="00470AC8" w14:paraId="397AE917" w14:textId="77777777">
        <w:trPr>
          <w:trHeight w:val="500"/>
        </w:trPr>
        <w:tc>
          <w:tcPr>
            <w:tcW w:w="1335" w:type="dxa"/>
            <w:tcBorders>
              <w:top w:val="nil"/>
              <w:left w:val="single" w:sz="8" w:space="0" w:color="000000"/>
              <w:bottom w:val="nil"/>
              <w:right w:val="nil"/>
            </w:tcBorders>
            <w:vAlign w:val="center"/>
          </w:tcPr>
          <w:p w14:paraId="5675BB9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BAS</w:t>
            </w:r>
          </w:p>
        </w:tc>
        <w:tc>
          <w:tcPr>
            <w:tcW w:w="1125" w:type="dxa"/>
            <w:tcBorders>
              <w:top w:val="nil"/>
              <w:left w:val="nil"/>
              <w:bottom w:val="nil"/>
              <w:right w:val="nil"/>
            </w:tcBorders>
            <w:vAlign w:val="center"/>
          </w:tcPr>
          <w:p w14:paraId="7DAB97A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-0.497</w:t>
            </w:r>
          </w:p>
        </w:tc>
        <w:tc>
          <w:tcPr>
            <w:tcW w:w="1080" w:type="dxa"/>
            <w:tcBorders>
              <w:top w:val="nil"/>
              <w:left w:val="nil"/>
              <w:bottom w:val="nil"/>
              <w:right w:val="nil"/>
            </w:tcBorders>
            <w:vAlign w:val="center"/>
          </w:tcPr>
          <w:p w14:paraId="3AE5DA2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-0.438</w:t>
            </w:r>
          </w:p>
        </w:tc>
        <w:tc>
          <w:tcPr>
            <w:tcW w:w="1170" w:type="dxa"/>
            <w:tcBorders>
              <w:top w:val="nil"/>
              <w:left w:val="nil"/>
              <w:bottom w:val="nil"/>
              <w:right w:val="nil"/>
            </w:tcBorders>
            <w:vAlign w:val="center"/>
          </w:tcPr>
          <w:p w14:paraId="1EEEE702"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-0.351</w:t>
            </w:r>
          </w:p>
        </w:tc>
        <w:tc>
          <w:tcPr>
            <w:tcW w:w="1110" w:type="dxa"/>
            <w:tcBorders>
              <w:top w:val="nil"/>
              <w:left w:val="nil"/>
              <w:bottom w:val="nil"/>
              <w:right w:val="nil"/>
            </w:tcBorders>
            <w:vAlign w:val="center"/>
          </w:tcPr>
          <w:p w14:paraId="4E20ED3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1</w:t>
            </w:r>
          </w:p>
        </w:tc>
        <w:tc>
          <w:tcPr>
            <w:tcW w:w="1185" w:type="dxa"/>
            <w:tcBorders>
              <w:top w:val="nil"/>
              <w:left w:val="nil"/>
              <w:bottom w:val="nil"/>
              <w:right w:val="nil"/>
            </w:tcBorders>
            <w:vAlign w:val="center"/>
          </w:tcPr>
          <w:p w14:paraId="60399812" w14:textId="77777777" w:rsidR="00F80353" w:rsidRPr="00470AC8" w:rsidRDefault="00F80353">
            <w:pPr>
              <w:jc w:val="both"/>
              <w:rPr>
                <w:rFonts w:ascii="Times New Roman" w:hAnsi="Times New Roman" w:cs="Times New Roman"/>
                <w:sz w:val="19"/>
                <w:szCs w:val="19"/>
                <w:lang w:val="en-CA"/>
              </w:rPr>
            </w:pPr>
          </w:p>
        </w:tc>
        <w:tc>
          <w:tcPr>
            <w:tcW w:w="1185" w:type="dxa"/>
            <w:tcBorders>
              <w:top w:val="nil"/>
              <w:left w:val="nil"/>
              <w:bottom w:val="nil"/>
              <w:right w:val="single" w:sz="8" w:space="0" w:color="000000"/>
            </w:tcBorders>
            <w:vAlign w:val="center"/>
          </w:tcPr>
          <w:p w14:paraId="1C8BC7C1" w14:textId="77777777" w:rsidR="00F80353" w:rsidRPr="00470AC8" w:rsidRDefault="00F80353">
            <w:pPr>
              <w:jc w:val="both"/>
              <w:rPr>
                <w:rFonts w:ascii="Times New Roman" w:hAnsi="Times New Roman" w:cs="Times New Roman"/>
                <w:sz w:val="19"/>
                <w:szCs w:val="19"/>
                <w:lang w:val="en-CA"/>
              </w:rPr>
            </w:pPr>
          </w:p>
        </w:tc>
      </w:tr>
      <w:tr w:rsidR="00F80353" w:rsidRPr="00470AC8" w14:paraId="3A87A14E" w14:textId="77777777">
        <w:trPr>
          <w:trHeight w:val="500"/>
        </w:trPr>
        <w:tc>
          <w:tcPr>
            <w:tcW w:w="1335" w:type="dxa"/>
            <w:tcBorders>
              <w:top w:val="nil"/>
              <w:left w:val="single" w:sz="8" w:space="0" w:color="000000"/>
              <w:bottom w:val="nil"/>
              <w:right w:val="nil"/>
            </w:tcBorders>
            <w:vAlign w:val="center"/>
          </w:tcPr>
          <w:p w14:paraId="3B4CF71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TURN</w:t>
            </w:r>
          </w:p>
        </w:tc>
        <w:tc>
          <w:tcPr>
            <w:tcW w:w="1125" w:type="dxa"/>
            <w:tcBorders>
              <w:top w:val="nil"/>
              <w:left w:val="nil"/>
              <w:bottom w:val="nil"/>
              <w:right w:val="nil"/>
            </w:tcBorders>
            <w:vAlign w:val="center"/>
          </w:tcPr>
          <w:p w14:paraId="12B0F29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0.512</w:t>
            </w:r>
          </w:p>
        </w:tc>
        <w:tc>
          <w:tcPr>
            <w:tcW w:w="1080" w:type="dxa"/>
            <w:tcBorders>
              <w:top w:val="nil"/>
              <w:left w:val="nil"/>
              <w:bottom w:val="nil"/>
              <w:right w:val="nil"/>
            </w:tcBorders>
            <w:vAlign w:val="center"/>
          </w:tcPr>
          <w:p w14:paraId="2958847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0.461</w:t>
            </w:r>
          </w:p>
        </w:tc>
        <w:tc>
          <w:tcPr>
            <w:tcW w:w="1170" w:type="dxa"/>
            <w:tcBorders>
              <w:top w:val="nil"/>
              <w:left w:val="nil"/>
              <w:bottom w:val="nil"/>
              <w:right w:val="nil"/>
            </w:tcBorders>
            <w:vAlign w:val="center"/>
          </w:tcPr>
          <w:p w14:paraId="43DFC198"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0.418</w:t>
            </w:r>
          </w:p>
        </w:tc>
        <w:tc>
          <w:tcPr>
            <w:tcW w:w="1110" w:type="dxa"/>
            <w:tcBorders>
              <w:top w:val="nil"/>
              <w:left w:val="nil"/>
              <w:bottom w:val="nil"/>
              <w:right w:val="nil"/>
            </w:tcBorders>
            <w:vAlign w:val="center"/>
          </w:tcPr>
          <w:p w14:paraId="7A12CCA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-0.392</w:t>
            </w:r>
          </w:p>
        </w:tc>
        <w:tc>
          <w:tcPr>
            <w:tcW w:w="1185" w:type="dxa"/>
            <w:tcBorders>
              <w:top w:val="nil"/>
              <w:left w:val="nil"/>
              <w:bottom w:val="nil"/>
              <w:right w:val="nil"/>
            </w:tcBorders>
            <w:vAlign w:val="center"/>
          </w:tcPr>
          <w:p w14:paraId="3E429DE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1</w:t>
            </w:r>
          </w:p>
        </w:tc>
        <w:tc>
          <w:tcPr>
            <w:tcW w:w="1185" w:type="dxa"/>
            <w:tcBorders>
              <w:top w:val="nil"/>
              <w:left w:val="nil"/>
              <w:bottom w:val="nil"/>
              <w:right w:val="single" w:sz="8" w:space="0" w:color="000000"/>
            </w:tcBorders>
            <w:vAlign w:val="center"/>
          </w:tcPr>
          <w:p w14:paraId="1CB08268" w14:textId="77777777" w:rsidR="00F80353" w:rsidRPr="00470AC8" w:rsidRDefault="00F80353">
            <w:pPr>
              <w:jc w:val="both"/>
              <w:rPr>
                <w:rFonts w:ascii="Times New Roman" w:hAnsi="Times New Roman" w:cs="Times New Roman"/>
                <w:sz w:val="19"/>
                <w:szCs w:val="19"/>
                <w:lang w:val="en-CA"/>
              </w:rPr>
            </w:pPr>
          </w:p>
        </w:tc>
      </w:tr>
      <w:tr w:rsidR="00F80353" w:rsidRPr="00470AC8" w14:paraId="56213C73" w14:textId="77777777">
        <w:trPr>
          <w:trHeight w:val="500"/>
        </w:trPr>
        <w:tc>
          <w:tcPr>
            <w:tcW w:w="1335" w:type="dxa"/>
            <w:tcBorders>
              <w:top w:val="nil"/>
              <w:left w:val="single" w:sz="8" w:space="0" w:color="000000"/>
              <w:bottom w:val="single" w:sz="8" w:space="0" w:color="000000"/>
              <w:right w:val="nil"/>
            </w:tcBorders>
            <w:vAlign w:val="center"/>
          </w:tcPr>
          <w:p w14:paraId="0043F8CB"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GDPG</w:t>
            </w:r>
          </w:p>
        </w:tc>
        <w:tc>
          <w:tcPr>
            <w:tcW w:w="1125" w:type="dxa"/>
            <w:tcBorders>
              <w:top w:val="nil"/>
              <w:left w:val="nil"/>
              <w:bottom w:val="single" w:sz="8" w:space="0" w:color="000000"/>
              <w:right w:val="nil"/>
            </w:tcBorders>
            <w:vAlign w:val="center"/>
          </w:tcPr>
          <w:p w14:paraId="4AAC33D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0.207</w:t>
            </w:r>
          </w:p>
        </w:tc>
        <w:tc>
          <w:tcPr>
            <w:tcW w:w="1080" w:type="dxa"/>
            <w:tcBorders>
              <w:top w:val="nil"/>
              <w:left w:val="nil"/>
              <w:bottom w:val="single" w:sz="8" w:space="0" w:color="000000"/>
              <w:right w:val="nil"/>
            </w:tcBorders>
            <w:vAlign w:val="center"/>
          </w:tcPr>
          <w:p w14:paraId="4B4DFD3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0.176</w:t>
            </w:r>
          </w:p>
        </w:tc>
        <w:tc>
          <w:tcPr>
            <w:tcW w:w="1170" w:type="dxa"/>
            <w:tcBorders>
              <w:top w:val="nil"/>
              <w:left w:val="nil"/>
              <w:bottom w:val="single" w:sz="8" w:space="0" w:color="000000"/>
              <w:right w:val="nil"/>
            </w:tcBorders>
            <w:vAlign w:val="center"/>
          </w:tcPr>
          <w:p w14:paraId="09F76EF0"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0.281</w:t>
            </w:r>
          </w:p>
        </w:tc>
        <w:tc>
          <w:tcPr>
            <w:tcW w:w="1110" w:type="dxa"/>
            <w:tcBorders>
              <w:top w:val="nil"/>
              <w:left w:val="nil"/>
              <w:bottom w:val="single" w:sz="8" w:space="0" w:color="000000"/>
              <w:right w:val="nil"/>
            </w:tcBorders>
            <w:vAlign w:val="center"/>
          </w:tcPr>
          <w:p w14:paraId="7467A5C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-0.141</w:t>
            </w:r>
          </w:p>
        </w:tc>
        <w:tc>
          <w:tcPr>
            <w:tcW w:w="1185" w:type="dxa"/>
            <w:tcBorders>
              <w:top w:val="nil"/>
              <w:left w:val="nil"/>
              <w:bottom w:val="single" w:sz="8" w:space="0" w:color="000000"/>
              <w:right w:val="nil"/>
            </w:tcBorders>
            <w:vAlign w:val="center"/>
          </w:tcPr>
          <w:p w14:paraId="474EE2A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0.188</w:t>
            </w:r>
          </w:p>
        </w:tc>
        <w:tc>
          <w:tcPr>
            <w:tcW w:w="1185" w:type="dxa"/>
            <w:tcBorders>
              <w:top w:val="nil"/>
              <w:left w:val="nil"/>
              <w:bottom w:val="single" w:sz="8" w:space="0" w:color="000000"/>
              <w:right w:val="single" w:sz="8" w:space="0" w:color="000000"/>
            </w:tcBorders>
            <w:vAlign w:val="center"/>
          </w:tcPr>
          <w:p w14:paraId="3859551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1</w:t>
            </w:r>
          </w:p>
        </w:tc>
      </w:tr>
    </w:tbl>
    <w:p w14:paraId="5418E85C" w14:textId="77777777" w:rsidR="00F80353" w:rsidRPr="00470AC8" w:rsidRDefault="007F2E21">
      <w:pPr>
        <w:pStyle w:val="NormalWeb"/>
        <w:spacing w:beforeAutospacing="0" w:afterAutospacing="0"/>
        <w:jc w:val="both"/>
        <w:rPr>
          <w:sz w:val="19"/>
          <w:szCs w:val="19"/>
        </w:rPr>
      </w:pPr>
      <w:r w:rsidRPr="00470AC8">
        <w:rPr>
          <w:sz w:val="19"/>
          <w:szCs w:val="19"/>
        </w:rPr>
        <w:t xml:space="preserve">The correlation results show that blockchain adoption is positively associated with market efficiency and the turnover </w:t>
      </w:r>
      <w:proofErr w:type="gramStart"/>
      <w:r w:rsidRPr="00470AC8">
        <w:rPr>
          <w:sz w:val="19"/>
          <w:szCs w:val="19"/>
        </w:rPr>
        <w:t>ratio, but</w:t>
      </w:r>
      <w:proofErr w:type="gramEnd"/>
      <w:r w:rsidRPr="00470AC8">
        <w:rPr>
          <w:sz w:val="19"/>
          <w:szCs w:val="19"/>
        </w:rPr>
        <w:t xml:space="preserve"> negatively associated with the bid-ask spread. This is consistent with the expectation that </w:t>
      </w:r>
      <w:r w:rsidRPr="00470AC8">
        <w:rPr>
          <w:sz w:val="19"/>
          <w:szCs w:val="19"/>
        </w:rPr>
        <w:lastRenderedPageBreak/>
        <w:t>blockchain-related financial infrastructure improves liquidity, reduces transaction costs, and strengthens information flow.</w:t>
      </w:r>
    </w:p>
    <w:p w14:paraId="5A96F06E" w14:textId="77777777" w:rsidR="00F80353" w:rsidRPr="00470AC8" w:rsidRDefault="007F2E21">
      <w:pPr>
        <w:pStyle w:val="NormalWeb"/>
        <w:spacing w:beforeAutospacing="0" w:afterAutospacing="0"/>
        <w:jc w:val="both"/>
        <w:rPr>
          <w:sz w:val="19"/>
          <w:szCs w:val="19"/>
        </w:rPr>
      </w:pPr>
      <w:r w:rsidRPr="00470AC8">
        <w:rPr>
          <w:sz w:val="19"/>
          <w:szCs w:val="19"/>
        </w:rPr>
        <w:t xml:space="preserve">Institutional quality is also positively correlated with market efficiency, suggesting that stronger governance and regulatory systems support better market performance. None of the correlation coefficients </w:t>
      </w:r>
      <w:proofErr w:type="gramStart"/>
      <w:r w:rsidRPr="00470AC8">
        <w:rPr>
          <w:sz w:val="19"/>
          <w:szCs w:val="19"/>
        </w:rPr>
        <w:t>exceeds</w:t>
      </w:r>
      <w:proofErr w:type="gramEnd"/>
      <w:r w:rsidRPr="00470AC8">
        <w:rPr>
          <w:sz w:val="19"/>
          <w:szCs w:val="19"/>
        </w:rPr>
        <w:t xml:space="preserve"> the conventional threshold of 0.80, indicating that severe multicollinearity is unlikely. This was further confirmed through the Variance Inflation Factor test.</w:t>
      </w:r>
    </w:p>
    <w:p w14:paraId="6B929216" w14:textId="77777777" w:rsidR="00F80353" w:rsidRPr="00470AC8" w:rsidRDefault="00F80353">
      <w:pPr>
        <w:pStyle w:val="NormalWeb"/>
        <w:spacing w:beforeAutospacing="0" w:afterAutospacing="0"/>
        <w:jc w:val="both"/>
        <w:rPr>
          <w:sz w:val="19"/>
          <w:szCs w:val="19"/>
        </w:rPr>
      </w:pPr>
    </w:p>
    <w:p w14:paraId="70FB45EF"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4.3 Panel Unit Root Tests</w:t>
      </w:r>
    </w:p>
    <w:p w14:paraId="72B6CA0C" w14:textId="77777777" w:rsidR="00F80353" w:rsidRPr="00470AC8" w:rsidRDefault="007F2E21">
      <w:pPr>
        <w:pStyle w:val="NormalWeb"/>
        <w:spacing w:beforeAutospacing="0" w:afterAutospacing="0"/>
        <w:jc w:val="both"/>
        <w:rPr>
          <w:sz w:val="19"/>
          <w:szCs w:val="19"/>
        </w:rPr>
      </w:pPr>
      <w:r w:rsidRPr="00470AC8">
        <w:rPr>
          <w:sz w:val="19"/>
          <w:szCs w:val="19"/>
        </w:rPr>
        <w:t xml:space="preserve">The stationarity properties of the variables were tested using Levin-Lin-Chu, </w:t>
      </w:r>
      <w:proofErr w:type="spellStart"/>
      <w:r w:rsidRPr="00470AC8">
        <w:rPr>
          <w:sz w:val="19"/>
          <w:szCs w:val="19"/>
        </w:rPr>
        <w:t>Im</w:t>
      </w:r>
      <w:proofErr w:type="spellEnd"/>
      <w:r w:rsidRPr="00470AC8">
        <w:rPr>
          <w:sz w:val="19"/>
          <w:szCs w:val="19"/>
        </w:rPr>
        <w:t>-</w:t>
      </w:r>
      <w:proofErr w:type="spellStart"/>
      <w:r w:rsidRPr="00470AC8">
        <w:rPr>
          <w:sz w:val="19"/>
          <w:szCs w:val="19"/>
        </w:rPr>
        <w:t>Pesaran</w:t>
      </w:r>
      <w:proofErr w:type="spellEnd"/>
      <w:r w:rsidRPr="00470AC8">
        <w:rPr>
          <w:sz w:val="19"/>
          <w:szCs w:val="19"/>
        </w:rPr>
        <w:t>-Shin, and Fisher-ADF panel unit root tests.</w:t>
      </w:r>
    </w:p>
    <w:p w14:paraId="697221AC" w14:textId="77777777" w:rsidR="00F80353" w:rsidRPr="00470AC8" w:rsidRDefault="007F2E21">
      <w:pPr>
        <w:pStyle w:val="NormalWeb"/>
        <w:spacing w:beforeAutospacing="0" w:afterAutospacing="0"/>
        <w:jc w:val="center"/>
        <w:rPr>
          <w:sz w:val="19"/>
          <w:szCs w:val="19"/>
        </w:rPr>
      </w:pPr>
      <w:r w:rsidRPr="00470AC8">
        <w:rPr>
          <w:rStyle w:val="Strong"/>
          <w:sz w:val="19"/>
          <w:szCs w:val="19"/>
        </w:rPr>
        <w:t>Table 3: Panel Unit Root Results</w:t>
      </w:r>
    </w:p>
    <w:tbl>
      <w:tblPr>
        <w:tblW w:w="7290" w:type="dxa"/>
        <w:tblInd w:w="93" w:type="dxa"/>
        <w:tblLook w:val="04A0" w:firstRow="1" w:lastRow="0" w:firstColumn="1" w:lastColumn="0" w:noHBand="0" w:noVBand="1"/>
      </w:tblPr>
      <w:tblGrid>
        <w:gridCol w:w="1860"/>
        <w:gridCol w:w="1215"/>
        <w:gridCol w:w="1215"/>
        <w:gridCol w:w="1275"/>
        <w:gridCol w:w="1725"/>
      </w:tblGrid>
      <w:tr w:rsidR="00F80353" w:rsidRPr="00470AC8" w14:paraId="4513BCA6" w14:textId="77777777">
        <w:trPr>
          <w:trHeight w:val="600"/>
        </w:trPr>
        <w:tc>
          <w:tcPr>
            <w:tcW w:w="1860" w:type="dxa"/>
            <w:tcBorders>
              <w:top w:val="single" w:sz="8" w:space="0" w:color="000000"/>
              <w:left w:val="single" w:sz="8" w:space="0" w:color="000000"/>
              <w:bottom w:val="single" w:sz="8" w:space="0" w:color="000000"/>
              <w:right w:val="nil"/>
            </w:tcBorders>
            <w:vAlign w:val="center"/>
          </w:tcPr>
          <w:p w14:paraId="5A82B24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Variable</w:t>
            </w:r>
          </w:p>
        </w:tc>
        <w:tc>
          <w:tcPr>
            <w:tcW w:w="1215" w:type="dxa"/>
            <w:tcBorders>
              <w:top w:val="single" w:sz="8" w:space="0" w:color="000000"/>
              <w:left w:val="nil"/>
              <w:bottom w:val="single" w:sz="8" w:space="0" w:color="000000"/>
              <w:right w:val="nil"/>
            </w:tcBorders>
            <w:vAlign w:val="center"/>
          </w:tcPr>
          <w:p w14:paraId="62FF269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LLC</w:t>
            </w:r>
          </w:p>
        </w:tc>
        <w:tc>
          <w:tcPr>
            <w:tcW w:w="1215" w:type="dxa"/>
            <w:tcBorders>
              <w:top w:val="single" w:sz="8" w:space="0" w:color="000000"/>
              <w:left w:val="nil"/>
              <w:bottom w:val="single" w:sz="8" w:space="0" w:color="000000"/>
              <w:right w:val="nil"/>
            </w:tcBorders>
            <w:vAlign w:val="center"/>
          </w:tcPr>
          <w:p w14:paraId="71792B6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IPS</w:t>
            </w:r>
          </w:p>
        </w:tc>
        <w:tc>
          <w:tcPr>
            <w:tcW w:w="1275" w:type="dxa"/>
            <w:tcBorders>
              <w:top w:val="single" w:sz="8" w:space="0" w:color="000000"/>
              <w:left w:val="nil"/>
              <w:bottom w:val="single" w:sz="8" w:space="0" w:color="000000"/>
              <w:right w:val="nil"/>
            </w:tcBorders>
            <w:vAlign w:val="center"/>
          </w:tcPr>
          <w:p w14:paraId="5083DEF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Fisher-ADF</w:t>
            </w:r>
          </w:p>
        </w:tc>
        <w:tc>
          <w:tcPr>
            <w:tcW w:w="1725" w:type="dxa"/>
            <w:tcBorders>
              <w:top w:val="single" w:sz="8" w:space="0" w:color="000000"/>
              <w:left w:val="nil"/>
              <w:bottom w:val="single" w:sz="8" w:space="0" w:color="000000"/>
              <w:right w:val="single" w:sz="8" w:space="0" w:color="000000"/>
            </w:tcBorders>
            <w:vAlign w:val="center"/>
          </w:tcPr>
          <w:p w14:paraId="6E0EB3C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Order of Integration</w:t>
            </w:r>
          </w:p>
        </w:tc>
      </w:tr>
      <w:tr w:rsidR="00F80353" w:rsidRPr="00470AC8" w14:paraId="350CFFFF" w14:textId="77777777">
        <w:trPr>
          <w:trHeight w:val="600"/>
        </w:trPr>
        <w:tc>
          <w:tcPr>
            <w:tcW w:w="1860" w:type="dxa"/>
            <w:tcBorders>
              <w:top w:val="nil"/>
              <w:left w:val="single" w:sz="8" w:space="0" w:color="000000"/>
              <w:bottom w:val="nil"/>
              <w:right w:val="nil"/>
            </w:tcBorders>
            <w:vAlign w:val="center"/>
          </w:tcPr>
          <w:p w14:paraId="213900C0"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ME</w:t>
            </w:r>
          </w:p>
        </w:tc>
        <w:tc>
          <w:tcPr>
            <w:tcW w:w="1215" w:type="dxa"/>
            <w:tcBorders>
              <w:top w:val="nil"/>
              <w:left w:val="nil"/>
              <w:bottom w:val="nil"/>
              <w:right w:val="nil"/>
            </w:tcBorders>
            <w:vAlign w:val="center"/>
          </w:tcPr>
          <w:p w14:paraId="22DE946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-4.217***</w:t>
            </w:r>
          </w:p>
        </w:tc>
        <w:tc>
          <w:tcPr>
            <w:tcW w:w="1215" w:type="dxa"/>
            <w:tcBorders>
              <w:top w:val="nil"/>
              <w:left w:val="nil"/>
              <w:bottom w:val="nil"/>
              <w:right w:val="nil"/>
            </w:tcBorders>
            <w:vAlign w:val="center"/>
          </w:tcPr>
          <w:p w14:paraId="4FF0E8C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-3.881***</w:t>
            </w:r>
          </w:p>
        </w:tc>
        <w:tc>
          <w:tcPr>
            <w:tcW w:w="1275" w:type="dxa"/>
            <w:tcBorders>
              <w:top w:val="nil"/>
              <w:left w:val="nil"/>
              <w:bottom w:val="nil"/>
              <w:right w:val="nil"/>
            </w:tcBorders>
            <w:vAlign w:val="center"/>
          </w:tcPr>
          <w:p w14:paraId="681FB3B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41.527***</w:t>
            </w:r>
          </w:p>
        </w:tc>
        <w:tc>
          <w:tcPr>
            <w:tcW w:w="1725" w:type="dxa"/>
            <w:tcBorders>
              <w:top w:val="nil"/>
              <w:left w:val="nil"/>
              <w:bottom w:val="nil"/>
              <w:right w:val="single" w:sz="8" w:space="0" w:color="000000"/>
            </w:tcBorders>
            <w:vAlign w:val="center"/>
          </w:tcPr>
          <w:p w14:paraId="233EA357" w14:textId="77777777" w:rsidR="00F80353" w:rsidRPr="00470AC8" w:rsidRDefault="007F2E21">
            <w:pPr>
              <w:jc w:val="both"/>
              <w:rPr>
                <w:rFonts w:ascii="Times New Roman" w:hAnsi="Times New Roman" w:cs="Times New Roman"/>
                <w:sz w:val="19"/>
                <w:szCs w:val="19"/>
                <w:lang w:val="en-CA"/>
              </w:rPr>
            </w:pPr>
            <w:proofErr w:type="gramStart"/>
            <w:r w:rsidRPr="00470AC8">
              <w:rPr>
                <w:rFonts w:ascii="Times New Roman" w:hAnsi="Times New Roman" w:cs="Times New Roman"/>
                <w:sz w:val="19"/>
                <w:szCs w:val="19"/>
                <w:lang w:val="en-CA"/>
              </w:rPr>
              <w:t>I(</w:t>
            </w:r>
            <w:proofErr w:type="gramEnd"/>
            <w:r w:rsidRPr="00470AC8">
              <w:rPr>
                <w:rFonts w:ascii="Times New Roman" w:hAnsi="Times New Roman" w:cs="Times New Roman"/>
                <w:sz w:val="19"/>
                <w:szCs w:val="19"/>
                <w:lang w:val="en-CA"/>
              </w:rPr>
              <w:t>0)</w:t>
            </w:r>
          </w:p>
        </w:tc>
      </w:tr>
      <w:tr w:rsidR="00F80353" w:rsidRPr="00470AC8" w14:paraId="5D3446DB" w14:textId="77777777">
        <w:trPr>
          <w:trHeight w:val="600"/>
        </w:trPr>
        <w:tc>
          <w:tcPr>
            <w:tcW w:w="1860" w:type="dxa"/>
            <w:tcBorders>
              <w:top w:val="nil"/>
              <w:left w:val="single" w:sz="8" w:space="0" w:color="000000"/>
              <w:bottom w:val="nil"/>
              <w:right w:val="nil"/>
            </w:tcBorders>
            <w:vAlign w:val="center"/>
          </w:tcPr>
          <w:p w14:paraId="4EC5A6B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BAI</w:t>
            </w:r>
          </w:p>
        </w:tc>
        <w:tc>
          <w:tcPr>
            <w:tcW w:w="1215" w:type="dxa"/>
            <w:tcBorders>
              <w:top w:val="nil"/>
              <w:left w:val="nil"/>
              <w:bottom w:val="nil"/>
              <w:right w:val="nil"/>
            </w:tcBorders>
            <w:vAlign w:val="center"/>
          </w:tcPr>
          <w:p w14:paraId="0F9A76FB"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-3.764***</w:t>
            </w:r>
          </w:p>
        </w:tc>
        <w:tc>
          <w:tcPr>
            <w:tcW w:w="1215" w:type="dxa"/>
            <w:tcBorders>
              <w:top w:val="nil"/>
              <w:left w:val="nil"/>
              <w:bottom w:val="nil"/>
              <w:right w:val="nil"/>
            </w:tcBorders>
            <w:vAlign w:val="center"/>
          </w:tcPr>
          <w:p w14:paraId="33D33840"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-3.491***</w:t>
            </w:r>
          </w:p>
        </w:tc>
        <w:tc>
          <w:tcPr>
            <w:tcW w:w="1275" w:type="dxa"/>
            <w:tcBorders>
              <w:top w:val="nil"/>
              <w:left w:val="nil"/>
              <w:bottom w:val="nil"/>
              <w:right w:val="nil"/>
            </w:tcBorders>
            <w:vAlign w:val="center"/>
          </w:tcPr>
          <w:p w14:paraId="4921CA8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36.118***</w:t>
            </w:r>
          </w:p>
        </w:tc>
        <w:tc>
          <w:tcPr>
            <w:tcW w:w="1725" w:type="dxa"/>
            <w:tcBorders>
              <w:top w:val="nil"/>
              <w:left w:val="nil"/>
              <w:bottom w:val="nil"/>
              <w:right w:val="single" w:sz="8" w:space="0" w:color="000000"/>
            </w:tcBorders>
            <w:vAlign w:val="center"/>
          </w:tcPr>
          <w:p w14:paraId="3062E692" w14:textId="77777777" w:rsidR="00F80353" w:rsidRPr="00470AC8" w:rsidRDefault="007F2E21">
            <w:pPr>
              <w:jc w:val="both"/>
              <w:rPr>
                <w:rFonts w:ascii="Times New Roman" w:hAnsi="Times New Roman" w:cs="Times New Roman"/>
                <w:sz w:val="19"/>
                <w:szCs w:val="19"/>
                <w:lang w:val="en-CA"/>
              </w:rPr>
            </w:pPr>
            <w:proofErr w:type="gramStart"/>
            <w:r w:rsidRPr="00470AC8">
              <w:rPr>
                <w:rFonts w:ascii="Times New Roman" w:hAnsi="Times New Roman" w:cs="Times New Roman"/>
                <w:sz w:val="19"/>
                <w:szCs w:val="19"/>
                <w:lang w:val="en-CA"/>
              </w:rPr>
              <w:t>I(</w:t>
            </w:r>
            <w:proofErr w:type="gramEnd"/>
            <w:r w:rsidRPr="00470AC8">
              <w:rPr>
                <w:rFonts w:ascii="Times New Roman" w:hAnsi="Times New Roman" w:cs="Times New Roman"/>
                <w:sz w:val="19"/>
                <w:szCs w:val="19"/>
                <w:lang w:val="en-CA"/>
              </w:rPr>
              <w:t>0)</w:t>
            </w:r>
          </w:p>
        </w:tc>
      </w:tr>
      <w:tr w:rsidR="00F80353" w:rsidRPr="00470AC8" w14:paraId="6ED9B20C" w14:textId="77777777">
        <w:trPr>
          <w:trHeight w:val="600"/>
        </w:trPr>
        <w:tc>
          <w:tcPr>
            <w:tcW w:w="1860" w:type="dxa"/>
            <w:tcBorders>
              <w:top w:val="nil"/>
              <w:left w:val="single" w:sz="8" w:space="0" w:color="000000"/>
              <w:bottom w:val="nil"/>
              <w:right w:val="nil"/>
            </w:tcBorders>
            <w:vAlign w:val="center"/>
          </w:tcPr>
          <w:p w14:paraId="398F14E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INST</w:t>
            </w:r>
          </w:p>
        </w:tc>
        <w:tc>
          <w:tcPr>
            <w:tcW w:w="1215" w:type="dxa"/>
            <w:tcBorders>
              <w:top w:val="nil"/>
              <w:left w:val="nil"/>
              <w:bottom w:val="nil"/>
              <w:right w:val="nil"/>
            </w:tcBorders>
            <w:vAlign w:val="center"/>
          </w:tcPr>
          <w:p w14:paraId="4121B77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-2.973***</w:t>
            </w:r>
          </w:p>
        </w:tc>
        <w:tc>
          <w:tcPr>
            <w:tcW w:w="1215" w:type="dxa"/>
            <w:tcBorders>
              <w:top w:val="nil"/>
              <w:left w:val="nil"/>
              <w:bottom w:val="nil"/>
              <w:right w:val="nil"/>
            </w:tcBorders>
            <w:vAlign w:val="center"/>
          </w:tcPr>
          <w:p w14:paraId="4588FA8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-2.614***</w:t>
            </w:r>
          </w:p>
        </w:tc>
        <w:tc>
          <w:tcPr>
            <w:tcW w:w="1275" w:type="dxa"/>
            <w:tcBorders>
              <w:top w:val="nil"/>
              <w:left w:val="nil"/>
              <w:bottom w:val="nil"/>
              <w:right w:val="nil"/>
            </w:tcBorders>
            <w:vAlign w:val="center"/>
          </w:tcPr>
          <w:p w14:paraId="32FF9E6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31.204***</w:t>
            </w:r>
          </w:p>
        </w:tc>
        <w:tc>
          <w:tcPr>
            <w:tcW w:w="1725" w:type="dxa"/>
            <w:tcBorders>
              <w:top w:val="nil"/>
              <w:left w:val="nil"/>
              <w:bottom w:val="nil"/>
              <w:right w:val="single" w:sz="8" w:space="0" w:color="000000"/>
            </w:tcBorders>
            <w:vAlign w:val="center"/>
          </w:tcPr>
          <w:p w14:paraId="136D9AD6" w14:textId="77777777" w:rsidR="00F80353" w:rsidRPr="00470AC8" w:rsidRDefault="007F2E21">
            <w:pPr>
              <w:jc w:val="both"/>
              <w:rPr>
                <w:rFonts w:ascii="Times New Roman" w:hAnsi="Times New Roman" w:cs="Times New Roman"/>
                <w:sz w:val="19"/>
                <w:szCs w:val="19"/>
                <w:lang w:val="en-CA"/>
              </w:rPr>
            </w:pPr>
            <w:proofErr w:type="gramStart"/>
            <w:r w:rsidRPr="00470AC8">
              <w:rPr>
                <w:rFonts w:ascii="Times New Roman" w:hAnsi="Times New Roman" w:cs="Times New Roman"/>
                <w:sz w:val="19"/>
                <w:szCs w:val="19"/>
                <w:lang w:val="en-CA"/>
              </w:rPr>
              <w:t>I(</w:t>
            </w:r>
            <w:proofErr w:type="gramEnd"/>
            <w:r w:rsidRPr="00470AC8">
              <w:rPr>
                <w:rFonts w:ascii="Times New Roman" w:hAnsi="Times New Roman" w:cs="Times New Roman"/>
                <w:sz w:val="19"/>
                <w:szCs w:val="19"/>
                <w:lang w:val="en-CA"/>
              </w:rPr>
              <w:t>0)</w:t>
            </w:r>
          </w:p>
        </w:tc>
      </w:tr>
      <w:tr w:rsidR="00F80353" w:rsidRPr="00470AC8" w14:paraId="0E14796E" w14:textId="77777777">
        <w:trPr>
          <w:trHeight w:val="600"/>
        </w:trPr>
        <w:tc>
          <w:tcPr>
            <w:tcW w:w="1860" w:type="dxa"/>
            <w:tcBorders>
              <w:top w:val="nil"/>
              <w:left w:val="single" w:sz="8" w:space="0" w:color="000000"/>
              <w:bottom w:val="nil"/>
              <w:right w:val="nil"/>
            </w:tcBorders>
            <w:vAlign w:val="center"/>
          </w:tcPr>
          <w:p w14:paraId="309059F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TURN</w:t>
            </w:r>
          </w:p>
        </w:tc>
        <w:tc>
          <w:tcPr>
            <w:tcW w:w="1215" w:type="dxa"/>
            <w:tcBorders>
              <w:top w:val="nil"/>
              <w:left w:val="nil"/>
              <w:bottom w:val="nil"/>
              <w:right w:val="nil"/>
            </w:tcBorders>
            <w:vAlign w:val="center"/>
          </w:tcPr>
          <w:p w14:paraId="2CD7357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-4.006***</w:t>
            </w:r>
          </w:p>
        </w:tc>
        <w:tc>
          <w:tcPr>
            <w:tcW w:w="1215" w:type="dxa"/>
            <w:tcBorders>
              <w:top w:val="nil"/>
              <w:left w:val="nil"/>
              <w:bottom w:val="nil"/>
              <w:right w:val="nil"/>
            </w:tcBorders>
            <w:vAlign w:val="center"/>
          </w:tcPr>
          <w:p w14:paraId="572AD19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-3.792***</w:t>
            </w:r>
          </w:p>
        </w:tc>
        <w:tc>
          <w:tcPr>
            <w:tcW w:w="1275" w:type="dxa"/>
            <w:tcBorders>
              <w:top w:val="nil"/>
              <w:left w:val="nil"/>
              <w:bottom w:val="nil"/>
              <w:right w:val="nil"/>
            </w:tcBorders>
            <w:vAlign w:val="center"/>
          </w:tcPr>
          <w:p w14:paraId="20B6C8D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39.663***</w:t>
            </w:r>
          </w:p>
        </w:tc>
        <w:tc>
          <w:tcPr>
            <w:tcW w:w="1725" w:type="dxa"/>
            <w:tcBorders>
              <w:top w:val="nil"/>
              <w:left w:val="nil"/>
              <w:bottom w:val="nil"/>
              <w:right w:val="single" w:sz="8" w:space="0" w:color="000000"/>
            </w:tcBorders>
            <w:vAlign w:val="center"/>
          </w:tcPr>
          <w:p w14:paraId="1F43FB82" w14:textId="77777777" w:rsidR="00F80353" w:rsidRPr="00470AC8" w:rsidRDefault="007F2E21">
            <w:pPr>
              <w:jc w:val="both"/>
              <w:rPr>
                <w:rFonts w:ascii="Times New Roman" w:hAnsi="Times New Roman" w:cs="Times New Roman"/>
                <w:sz w:val="19"/>
                <w:szCs w:val="19"/>
                <w:lang w:val="en-CA"/>
              </w:rPr>
            </w:pPr>
            <w:proofErr w:type="gramStart"/>
            <w:r w:rsidRPr="00470AC8">
              <w:rPr>
                <w:rFonts w:ascii="Times New Roman" w:hAnsi="Times New Roman" w:cs="Times New Roman"/>
                <w:sz w:val="19"/>
                <w:szCs w:val="19"/>
                <w:lang w:val="en-CA"/>
              </w:rPr>
              <w:t>I(</w:t>
            </w:r>
            <w:proofErr w:type="gramEnd"/>
            <w:r w:rsidRPr="00470AC8">
              <w:rPr>
                <w:rFonts w:ascii="Times New Roman" w:hAnsi="Times New Roman" w:cs="Times New Roman"/>
                <w:sz w:val="19"/>
                <w:szCs w:val="19"/>
                <w:lang w:val="en-CA"/>
              </w:rPr>
              <w:t>0)</w:t>
            </w:r>
          </w:p>
        </w:tc>
      </w:tr>
      <w:tr w:rsidR="00F80353" w:rsidRPr="00470AC8" w14:paraId="1A7707D9" w14:textId="77777777">
        <w:trPr>
          <w:trHeight w:val="600"/>
        </w:trPr>
        <w:tc>
          <w:tcPr>
            <w:tcW w:w="1860" w:type="dxa"/>
            <w:tcBorders>
              <w:top w:val="nil"/>
              <w:left w:val="single" w:sz="8" w:space="0" w:color="000000"/>
              <w:bottom w:val="single" w:sz="8" w:space="0" w:color="000000"/>
              <w:right w:val="nil"/>
            </w:tcBorders>
            <w:vAlign w:val="center"/>
          </w:tcPr>
          <w:p w14:paraId="42832436"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GDPG</w:t>
            </w:r>
          </w:p>
        </w:tc>
        <w:tc>
          <w:tcPr>
            <w:tcW w:w="1215" w:type="dxa"/>
            <w:tcBorders>
              <w:top w:val="nil"/>
              <w:left w:val="nil"/>
              <w:bottom w:val="single" w:sz="8" w:space="0" w:color="000000"/>
              <w:right w:val="nil"/>
            </w:tcBorders>
            <w:vAlign w:val="center"/>
          </w:tcPr>
          <w:p w14:paraId="3C110EB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-5.148***</w:t>
            </w:r>
          </w:p>
        </w:tc>
        <w:tc>
          <w:tcPr>
            <w:tcW w:w="1215" w:type="dxa"/>
            <w:tcBorders>
              <w:top w:val="nil"/>
              <w:left w:val="nil"/>
              <w:bottom w:val="single" w:sz="8" w:space="0" w:color="000000"/>
              <w:right w:val="nil"/>
            </w:tcBorders>
            <w:vAlign w:val="center"/>
          </w:tcPr>
          <w:p w14:paraId="756F9B2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-4.917***</w:t>
            </w:r>
          </w:p>
        </w:tc>
        <w:tc>
          <w:tcPr>
            <w:tcW w:w="1275" w:type="dxa"/>
            <w:tcBorders>
              <w:top w:val="nil"/>
              <w:left w:val="nil"/>
              <w:bottom w:val="single" w:sz="8" w:space="0" w:color="000000"/>
              <w:right w:val="nil"/>
            </w:tcBorders>
            <w:vAlign w:val="center"/>
          </w:tcPr>
          <w:p w14:paraId="559F812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47.329***</w:t>
            </w:r>
          </w:p>
        </w:tc>
        <w:tc>
          <w:tcPr>
            <w:tcW w:w="1725" w:type="dxa"/>
            <w:tcBorders>
              <w:top w:val="nil"/>
              <w:left w:val="nil"/>
              <w:bottom w:val="single" w:sz="8" w:space="0" w:color="000000"/>
              <w:right w:val="single" w:sz="8" w:space="0" w:color="000000"/>
            </w:tcBorders>
            <w:vAlign w:val="center"/>
          </w:tcPr>
          <w:p w14:paraId="632B981A" w14:textId="77777777" w:rsidR="00F80353" w:rsidRPr="00470AC8" w:rsidRDefault="007F2E21">
            <w:pPr>
              <w:jc w:val="both"/>
              <w:rPr>
                <w:rFonts w:ascii="Times New Roman" w:hAnsi="Times New Roman" w:cs="Times New Roman"/>
                <w:sz w:val="19"/>
                <w:szCs w:val="19"/>
                <w:lang w:val="en-CA"/>
              </w:rPr>
            </w:pPr>
            <w:proofErr w:type="gramStart"/>
            <w:r w:rsidRPr="00470AC8">
              <w:rPr>
                <w:rFonts w:ascii="Times New Roman" w:hAnsi="Times New Roman" w:cs="Times New Roman"/>
                <w:sz w:val="19"/>
                <w:szCs w:val="19"/>
                <w:lang w:val="en-CA"/>
              </w:rPr>
              <w:t>I(</w:t>
            </w:r>
            <w:proofErr w:type="gramEnd"/>
            <w:r w:rsidRPr="00470AC8">
              <w:rPr>
                <w:rFonts w:ascii="Times New Roman" w:hAnsi="Times New Roman" w:cs="Times New Roman"/>
                <w:sz w:val="19"/>
                <w:szCs w:val="19"/>
                <w:lang w:val="en-CA"/>
              </w:rPr>
              <w:t>0)</w:t>
            </w:r>
          </w:p>
        </w:tc>
      </w:tr>
    </w:tbl>
    <w:p w14:paraId="6374C09C" w14:textId="77777777" w:rsidR="00F80353" w:rsidRPr="00470AC8" w:rsidRDefault="007F2E21">
      <w:pPr>
        <w:pStyle w:val="NormalWeb"/>
        <w:spacing w:beforeAutospacing="0" w:afterAutospacing="0"/>
        <w:jc w:val="both"/>
        <w:rPr>
          <w:sz w:val="19"/>
          <w:szCs w:val="19"/>
        </w:rPr>
      </w:pPr>
      <w:r w:rsidRPr="00470AC8">
        <w:rPr>
          <w:rStyle w:val="Strong"/>
          <w:sz w:val="19"/>
          <w:szCs w:val="19"/>
        </w:rPr>
        <w:t>Note:</w:t>
      </w:r>
      <w:r w:rsidRPr="00470AC8">
        <w:rPr>
          <w:sz w:val="19"/>
          <w:szCs w:val="19"/>
        </w:rPr>
        <w:t xml:space="preserve"> *** indicates significance at 1%.</w:t>
      </w:r>
    </w:p>
    <w:p w14:paraId="110E0408" w14:textId="77777777" w:rsidR="00F80353" w:rsidRPr="00470AC8" w:rsidRDefault="007F2E21">
      <w:pPr>
        <w:pStyle w:val="NormalWeb"/>
        <w:spacing w:beforeAutospacing="0" w:afterAutospacing="0"/>
        <w:jc w:val="both"/>
        <w:rPr>
          <w:sz w:val="19"/>
          <w:szCs w:val="19"/>
        </w:rPr>
      </w:pPr>
      <w:r w:rsidRPr="00470AC8">
        <w:rPr>
          <w:sz w:val="19"/>
          <w:szCs w:val="19"/>
        </w:rPr>
        <w:t>The unit root results show that all variables are stationary at level. The LLC, IPS, and Fisher-ADF statistics reject the null hypothesis of non-stationarity. This confirms that the variables are suitable for dynamic panel estimation and reduces the risk of spurious regression results.</w:t>
      </w:r>
    </w:p>
    <w:p w14:paraId="61BD54D6" w14:textId="77777777" w:rsidR="00F80353" w:rsidRPr="00470AC8" w:rsidRDefault="00F80353">
      <w:pPr>
        <w:pStyle w:val="Heading3"/>
        <w:spacing w:beforeAutospacing="0" w:afterAutospacing="0"/>
        <w:jc w:val="both"/>
        <w:rPr>
          <w:rFonts w:ascii="Times New Roman" w:hAnsi="Times New Roman" w:hint="default"/>
          <w:sz w:val="19"/>
          <w:szCs w:val="19"/>
        </w:rPr>
      </w:pPr>
    </w:p>
    <w:p w14:paraId="376C7CD8"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4.4 Cointegration Test</w:t>
      </w:r>
    </w:p>
    <w:p w14:paraId="57FE41E9" w14:textId="77777777" w:rsidR="00F80353" w:rsidRPr="00470AC8" w:rsidRDefault="007F2E21">
      <w:pPr>
        <w:pStyle w:val="NormalWeb"/>
        <w:spacing w:beforeAutospacing="0" w:afterAutospacing="0"/>
        <w:jc w:val="both"/>
        <w:rPr>
          <w:sz w:val="19"/>
          <w:szCs w:val="19"/>
        </w:rPr>
      </w:pPr>
      <w:r w:rsidRPr="00470AC8">
        <w:rPr>
          <w:sz w:val="19"/>
          <w:szCs w:val="19"/>
        </w:rPr>
        <w:t>The Pedroni panel cointegration test was used to examine whether a long-run relationship exists among blockchain adoption, institutional quality, and market efficiency.</w:t>
      </w:r>
    </w:p>
    <w:p w14:paraId="50336082" w14:textId="77777777" w:rsidR="00F80353" w:rsidRPr="00470AC8" w:rsidRDefault="00F80353">
      <w:pPr>
        <w:pStyle w:val="NormalWeb"/>
        <w:spacing w:beforeAutospacing="0" w:afterAutospacing="0"/>
        <w:jc w:val="both"/>
        <w:rPr>
          <w:rStyle w:val="Strong"/>
          <w:sz w:val="19"/>
          <w:szCs w:val="19"/>
        </w:rPr>
      </w:pPr>
    </w:p>
    <w:tbl>
      <w:tblPr>
        <w:tblpPr w:leftFromText="180" w:rightFromText="180" w:vertAnchor="text" w:horzAnchor="page" w:tblpX="2857" w:tblpY="309"/>
        <w:tblOverlap w:val="never"/>
        <w:tblW w:w="6105" w:type="dxa"/>
        <w:tblLook w:val="04A0" w:firstRow="1" w:lastRow="0" w:firstColumn="1" w:lastColumn="0" w:noHBand="0" w:noVBand="1"/>
      </w:tblPr>
      <w:tblGrid>
        <w:gridCol w:w="2760"/>
        <w:gridCol w:w="1590"/>
        <w:gridCol w:w="1755"/>
      </w:tblGrid>
      <w:tr w:rsidR="00F80353" w:rsidRPr="00470AC8" w14:paraId="7DD4D922" w14:textId="77777777">
        <w:trPr>
          <w:trHeight w:val="600"/>
        </w:trPr>
        <w:tc>
          <w:tcPr>
            <w:tcW w:w="2760" w:type="dxa"/>
            <w:tcBorders>
              <w:top w:val="single" w:sz="8" w:space="0" w:color="000000"/>
              <w:left w:val="single" w:sz="8" w:space="0" w:color="000000"/>
              <w:bottom w:val="single" w:sz="8" w:space="0" w:color="000000"/>
              <w:right w:val="nil"/>
            </w:tcBorders>
            <w:vAlign w:val="center"/>
          </w:tcPr>
          <w:p w14:paraId="5E0A4566"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Statistic</w:t>
            </w:r>
          </w:p>
        </w:tc>
        <w:tc>
          <w:tcPr>
            <w:tcW w:w="1590" w:type="dxa"/>
            <w:tcBorders>
              <w:top w:val="single" w:sz="8" w:space="0" w:color="000000"/>
              <w:left w:val="nil"/>
              <w:bottom w:val="single" w:sz="8" w:space="0" w:color="000000"/>
              <w:right w:val="nil"/>
            </w:tcBorders>
            <w:vAlign w:val="center"/>
          </w:tcPr>
          <w:p w14:paraId="4B1542A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Value</w:t>
            </w:r>
          </w:p>
        </w:tc>
        <w:tc>
          <w:tcPr>
            <w:tcW w:w="1755" w:type="dxa"/>
            <w:tcBorders>
              <w:top w:val="single" w:sz="8" w:space="0" w:color="000000"/>
              <w:left w:val="nil"/>
              <w:bottom w:val="single" w:sz="8" w:space="0" w:color="000000"/>
              <w:right w:val="single" w:sz="8" w:space="0" w:color="000000"/>
            </w:tcBorders>
            <w:vAlign w:val="center"/>
          </w:tcPr>
          <w:p w14:paraId="09AAF06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Probability</w:t>
            </w:r>
          </w:p>
        </w:tc>
      </w:tr>
      <w:tr w:rsidR="00F80353" w:rsidRPr="00470AC8" w14:paraId="524671ED" w14:textId="77777777">
        <w:trPr>
          <w:trHeight w:val="600"/>
        </w:trPr>
        <w:tc>
          <w:tcPr>
            <w:tcW w:w="2760" w:type="dxa"/>
            <w:tcBorders>
              <w:top w:val="nil"/>
              <w:left w:val="single" w:sz="8" w:space="0" w:color="000000"/>
              <w:bottom w:val="nil"/>
              <w:right w:val="nil"/>
            </w:tcBorders>
            <w:vAlign w:val="center"/>
          </w:tcPr>
          <w:p w14:paraId="699ADF0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Panel PP-Statistic</w:t>
            </w:r>
          </w:p>
        </w:tc>
        <w:tc>
          <w:tcPr>
            <w:tcW w:w="1590" w:type="dxa"/>
            <w:tcBorders>
              <w:top w:val="nil"/>
              <w:left w:val="nil"/>
              <w:bottom w:val="nil"/>
              <w:right w:val="nil"/>
            </w:tcBorders>
            <w:vAlign w:val="center"/>
          </w:tcPr>
          <w:p w14:paraId="756A8B6B"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-4.813</w:t>
            </w:r>
          </w:p>
        </w:tc>
        <w:tc>
          <w:tcPr>
            <w:tcW w:w="1755" w:type="dxa"/>
            <w:tcBorders>
              <w:top w:val="nil"/>
              <w:left w:val="nil"/>
              <w:bottom w:val="nil"/>
              <w:right w:val="single" w:sz="8" w:space="0" w:color="000000"/>
            </w:tcBorders>
            <w:vAlign w:val="center"/>
          </w:tcPr>
          <w:p w14:paraId="1373887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w:t>
            </w:r>
          </w:p>
        </w:tc>
      </w:tr>
      <w:tr w:rsidR="00F80353" w:rsidRPr="00470AC8" w14:paraId="712B10FF" w14:textId="77777777">
        <w:trPr>
          <w:trHeight w:val="600"/>
        </w:trPr>
        <w:tc>
          <w:tcPr>
            <w:tcW w:w="2760" w:type="dxa"/>
            <w:tcBorders>
              <w:top w:val="nil"/>
              <w:left w:val="single" w:sz="8" w:space="0" w:color="000000"/>
              <w:bottom w:val="nil"/>
              <w:right w:val="nil"/>
            </w:tcBorders>
            <w:vAlign w:val="center"/>
          </w:tcPr>
          <w:p w14:paraId="738D7C3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Panel ADF-Statistic</w:t>
            </w:r>
          </w:p>
        </w:tc>
        <w:tc>
          <w:tcPr>
            <w:tcW w:w="1590" w:type="dxa"/>
            <w:tcBorders>
              <w:top w:val="nil"/>
              <w:left w:val="nil"/>
              <w:bottom w:val="nil"/>
              <w:right w:val="nil"/>
            </w:tcBorders>
            <w:vAlign w:val="center"/>
          </w:tcPr>
          <w:p w14:paraId="15E44CF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-3.997</w:t>
            </w:r>
          </w:p>
        </w:tc>
        <w:tc>
          <w:tcPr>
            <w:tcW w:w="1755" w:type="dxa"/>
            <w:tcBorders>
              <w:top w:val="nil"/>
              <w:left w:val="nil"/>
              <w:bottom w:val="nil"/>
              <w:right w:val="single" w:sz="8" w:space="0" w:color="000000"/>
            </w:tcBorders>
            <w:vAlign w:val="center"/>
          </w:tcPr>
          <w:p w14:paraId="726A4020"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w:t>
            </w:r>
          </w:p>
        </w:tc>
      </w:tr>
      <w:tr w:rsidR="00F80353" w:rsidRPr="00470AC8" w14:paraId="525BB920" w14:textId="77777777">
        <w:trPr>
          <w:trHeight w:val="600"/>
        </w:trPr>
        <w:tc>
          <w:tcPr>
            <w:tcW w:w="2760" w:type="dxa"/>
            <w:tcBorders>
              <w:top w:val="nil"/>
              <w:left w:val="single" w:sz="8" w:space="0" w:color="000000"/>
              <w:bottom w:val="nil"/>
              <w:right w:val="nil"/>
            </w:tcBorders>
            <w:vAlign w:val="center"/>
          </w:tcPr>
          <w:p w14:paraId="1C37ECC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Group PP-Statistic</w:t>
            </w:r>
          </w:p>
        </w:tc>
        <w:tc>
          <w:tcPr>
            <w:tcW w:w="1590" w:type="dxa"/>
            <w:tcBorders>
              <w:top w:val="nil"/>
              <w:left w:val="nil"/>
              <w:bottom w:val="nil"/>
              <w:right w:val="nil"/>
            </w:tcBorders>
            <w:vAlign w:val="center"/>
          </w:tcPr>
          <w:p w14:paraId="2882E4D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-4.285</w:t>
            </w:r>
          </w:p>
        </w:tc>
        <w:tc>
          <w:tcPr>
            <w:tcW w:w="1755" w:type="dxa"/>
            <w:tcBorders>
              <w:top w:val="nil"/>
              <w:left w:val="nil"/>
              <w:bottom w:val="nil"/>
              <w:right w:val="single" w:sz="8" w:space="0" w:color="000000"/>
            </w:tcBorders>
            <w:vAlign w:val="center"/>
          </w:tcPr>
          <w:p w14:paraId="4092949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0.001</w:t>
            </w:r>
          </w:p>
        </w:tc>
      </w:tr>
      <w:tr w:rsidR="00F80353" w:rsidRPr="00470AC8" w14:paraId="40EAC51B" w14:textId="77777777">
        <w:trPr>
          <w:trHeight w:val="600"/>
        </w:trPr>
        <w:tc>
          <w:tcPr>
            <w:tcW w:w="2760" w:type="dxa"/>
            <w:tcBorders>
              <w:top w:val="nil"/>
              <w:left w:val="single" w:sz="8" w:space="0" w:color="000000"/>
              <w:bottom w:val="single" w:sz="8" w:space="0" w:color="000000"/>
              <w:right w:val="nil"/>
            </w:tcBorders>
            <w:vAlign w:val="center"/>
          </w:tcPr>
          <w:p w14:paraId="23D9F10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Group ADF-Statistic</w:t>
            </w:r>
          </w:p>
        </w:tc>
        <w:tc>
          <w:tcPr>
            <w:tcW w:w="1590" w:type="dxa"/>
            <w:tcBorders>
              <w:top w:val="nil"/>
              <w:left w:val="nil"/>
              <w:bottom w:val="single" w:sz="8" w:space="0" w:color="000000"/>
              <w:right w:val="nil"/>
            </w:tcBorders>
            <w:vAlign w:val="center"/>
          </w:tcPr>
          <w:p w14:paraId="7B0011F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-3.751</w:t>
            </w:r>
          </w:p>
        </w:tc>
        <w:tc>
          <w:tcPr>
            <w:tcW w:w="1755" w:type="dxa"/>
            <w:tcBorders>
              <w:top w:val="nil"/>
              <w:left w:val="nil"/>
              <w:bottom w:val="single" w:sz="8" w:space="0" w:color="000000"/>
              <w:right w:val="single" w:sz="8" w:space="0" w:color="000000"/>
            </w:tcBorders>
            <w:vAlign w:val="center"/>
          </w:tcPr>
          <w:p w14:paraId="4CBE7066"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0.002</w:t>
            </w:r>
          </w:p>
        </w:tc>
      </w:tr>
    </w:tbl>
    <w:p w14:paraId="099884AA" w14:textId="77777777" w:rsidR="00F80353" w:rsidRPr="00470AC8" w:rsidRDefault="007F2E21">
      <w:pPr>
        <w:pStyle w:val="NormalWeb"/>
        <w:spacing w:beforeAutospacing="0" w:afterAutospacing="0"/>
        <w:jc w:val="center"/>
        <w:rPr>
          <w:b/>
          <w:bCs/>
          <w:sz w:val="19"/>
          <w:szCs w:val="19"/>
          <w:lang w:val="en-CA"/>
        </w:rPr>
      </w:pPr>
      <w:r w:rsidRPr="00470AC8">
        <w:rPr>
          <w:b/>
          <w:bCs/>
          <w:sz w:val="19"/>
          <w:szCs w:val="19"/>
          <w:lang w:val="en-CA"/>
        </w:rPr>
        <w:t>Table 4: Pedroni Cointegration Test</w:t>
      </w:r>
    </w:p>
    <w:p w14:paraId="3B2617CB" w14:textId="77777777" w:rsidR="00F80353" w:rsidRPr="00470AC8" w:rsidRDefault="00F80353">
      <w:pPr>
        <w:pStyle w:val="NormalWeb"/>
        <w:spacing w:beforeAutospacing="0" w:afterAutospacing="0"/>
        <w:jc w:val="both"/>
        <w:rPr>
          <w:sz w:val="19"/>
          <w:szCs w:val="19"/>
        </w:rPr>
      </w:pPr>
    </w:p>
    <w:p w14:paraId="3F6B9CC4" w14:textId="77777777" w:rsidR="00F80353" w:rsidRPr="00470AC8" w:rsidRDefault="00F80353">
      <w:pPr>
        <w:pStyle w:val="NormalWeb"/>
        <w:spacing w:beforeAutospacing="0" w:afterAutospacing="0"/>
        <w:jc w:val="both"/>
        <w:rPr>
          <w:sz w:val="19"/>
          <w:szCs w:val="19"/>
        </w:rPr>
      </w:pPr>
    </w:p>
    <w:p w14:paraId="1E69D2C3" w14:textId="77777777" w:rsidR="00F80353" w:rsidRPr="00470AC8" w:rsidRDefault="00F80353">
      <w:pPr>
        <w:pStyle w:val="NormalWeb"/>
        <w:spacing w:beforeAutospacing="0" w:afterAutospacing="0"/>
        <w:jc w:val="both"/>
        <w:rPr>
          <w:sz w:val="19"/>
          <w:szCs w:val="19"/>
        </w:rPr>
      </w:pPr>
    </w:p>
    <w:p w14:paraId="5CC74839" w14:textId="77777777" w:rsidR="00F80353" w:rsidRPr="00470AC8" w:rsidRDefault="00F80353">
      <w:pPr>
        <w:pStyle w:val="NormalWeb"/>
        <w:spacing w:beforeAutospacing="0" w:afterAutospacing="0"/>
        <w:jc w:val="both"/>
        <w:rPr>
          <w:sz w:val="19"/>
          <w:szCs w:val="19"/>
        </w:rPr>
      </w:pPr>
    </w:p>
    <w:p w14:paraId="642A9430" w14:textId="77777777" w:rsidR="00F80353" w:rsidRPr="00470AC8" w:rsidRDefault="00F80353">
      <w:pPr>
        <w:pStyle w:val="NormalWeb"/>
        <w:spacing w:beforeAutospacing="0" w:afterAutospacing="0"/>
        <w:jc w:val="both"/>
        <w:rPr>
          <w:sz w:val="19"/>
          <w:szCs w:val="19"/>
        </w:rPr>
      </w:pPr>
    </w:p>
    <w:p w14:paraId="5083DB57" w14:textId="77777777" w:rsidR="00F80353" w:rsidRPr="00470AC8" w:rsidRDefault="00F80353">
      <w:pPr>
        <w:pStyle w:val="NormalWeb"/>
        <w:spacing w:beforeAutospacing="0" w:afterAutospacing="0"/>
        <w:jc w:val="both"/>
        <w:rPr>
          <w:sz w:val="19"/>
          <w:szCs w:val="19"/>
        </w:rPr>
      </w:pPr>
    </w:p>
    <w:p w14:paraId="6D8273A4" w14:textId="77777777" w:rsidR="00F80353" w:rsidRPr="00470AC8" w:rsidRDefault="00F80353">
      <w:pPr>
        <w:pStyle w:val="NormalWeb"/>
        <w:spacing w:beforeAutospacing="0" w:afterAutospacing="0"/>
        <w:jc w:val="both"/>
        <w:rPr>
          <w:sz w:val="19"/>
          <w:szCs w:val="19"/>
        </w:rPr>
      </w:pPr>
    </w:p>
    <w:p w14:paraId="409B4F04" w14:textId="77777777" w:rsidR="00F80353" w:rsidRPr="00470AC8" w:rsidRDefault="00F80353">
      <w:pPr>
        <w:pStyle w:val="NormalWeb"/>
        <w:spacing w:beforeAutospacing="0" w:afterAutospacing="0"/>
        <w:jc w:val="both"/>
        <w:rPr>
          <w:sz w:val="19"/>
          <w:szCs w:val="19"/>
        </w:rPr>
      </w:pPr>
    </w:p>
    <w:p w14:paraId="213330C9" w14:textId="77777777" w:rsidR="00F80353" w:rsidRPr="00470AC8" w:rsidRDefault="00F80353">
      <w:pPr>
        <w:pStyle w:val="NormalWeb"/>
        <w:spacing w:beforeAutospacing="0" w:afterAutospacing="0"/>
        <w:jc w:val="both"/>
        <w:rPr>
          <w:sz w:val="19"/>
          <w:szCs w:val="19"/>
        </w:rPr>
      </w:pPr>
    </w:p>
    <w:p w14:paraId="43E34AD0" w14:textId="77777777" w:rsidR="00F80353" w:rsidRPr="00470AC8" w:rsidRDefault="00F80353">
      <w:pPr>
        <w:pStyle w:val="NormalWeb"/>
        <w:spacing w:beforeAutospacing="0" w:afterAutospacing="0"/>
        <w:jc w:val="both"/>
        <w:rPr>
          <w:sz w:val="19"/>
          <w:szCs w:val="19"/>
        </w:rPr>
      </w:pPr>
    </w:p>
    <w:p w14:paraId="01B9E575" w14:textId="77777777" w:rsidR="00F80353" w:rsidRPr="00470AC8" w:rsidRDefault="00F80353">
      <w:pPr>
        <w:pStyle w:val="NormalWeb"/>
        <w:spacing w:beforeAutospacing="0" w:afterAutospacing="0"/>
        <w:jc w:val="both"/>
        <w:rPr>
          <w:sz w:val="19"/>
          <w:szCs w:val="19"/>
        </w:rPr>
      </w:pPr>
    </w:p>
    <w:p w14:paraId="53A46F74" w14:textId="77777777" w:rsidR="00F80353" w:rsidRPr="00470AC8" w:rsidRDefault="00F80353">
      <w:pPr>
        <w:pStyle w:val="NormalWeb"/>
        <w:spacing w:beforeAutospacing="0" w:afterAutospacing="0"/>
        <w:jc w:val="both"/>
        <w:rPr>
          <w:sz w:val="19"/>
          <w:szCs w:val="19"/>
        </w:rPr>
      </w:pPr>
    </w:p>
    <w:p w14:paraId="66548697" w14:textId="77777777" w:rsidR="00F80353" w:rsidRPr="00470AC8" w:rsidRDefault="00F80353">
      <w:pPr>
        <w:pStyle w:val="NormalWeb"/>
        <w:spacing w:beforeAutospacing="0" w:afterAutospacing="0"/>
        <w:jc w:val="both"/>
        <w:rPr>
          <w:sz w:val="19"/>
          <w:szCs w:val="19"/>
        </w:rPr>
      </w:pPr>
    </w:p>
    <w:p w14:paraId="53BC2A58" w14:textId="77777777" w:rsidR="00F80353" w:rsidRPr="00470AC8" w:rsidRDefault="00F80353">
      <w:pPr>
        <w:pStyle w:val="NormalWeb"/>
        <w:spacing w:beforeAutospacing="0" w:afterAutospacing="0"/>
        <w:jc w:val="both"/>
        <w:rPr>
          <w:sz w:val="19"/>
          <w:szCs w:val="19"/>
        </w:rPr>
      </w:pPr>
    </w:p>
    <w:p w14:paraId="74B1437D" w14:textId="77777777" w:rsidR="00F80353" w:rsidRPr="00470AC8" w:rsidRDefault="00F80353">
      <w:pPr>
        <w:pStyle w:val="NormalWeb"/>
        <w:spacing w:beforeAutospacing="0" w:afterAutospacing="0"/>
        <w:jc w:val="both"/>
        <w:rPr>
          <w:sz w:val="19"/>
          <w:szCs w:val="19"/>
        </w:rPr>
      </w:pPr>
    </w:p>
    <w:p w14:paraId="4F77043A" w14:textId="77777777" w:rsidR="00F80353" w:rsidRPr="00470AC8" w:rsidRDefault="007F2E21">
      <w:pPr>
        <w:pStyle w:val="NormalWeb"/>
        <w:spacing w:beforeAutospacing="0" w:afterAutospacing="0"/>
        <w:jc w:val="both"/>
        <w:rPr>
          <w:sz w:val="19"/>
          <w:szCs w:val="19"/>
        </w:rPr>
      </w:pPr>
      <w:r w:rsidRPr="00470AC8">
        <w:rPr>
          <w:sz w:val="19"/>
          <w:szCs w:val="19"/>
        </w:rPr>
        <w:t>The results reject the null hypothesis of no cointegration at the 1% significance level. This indicates a stable long-run relationship among blockchain adoption, institutional quality, and market efficiency. The finding suggests that improvements in blockchain infrastructure and institutional conditions may have lasting effects on capital market efficiency in Africa.</w:t>
      </w:r>
    </w:p>
    <w:p w14:paraId="23E9FB9D" w14:textId="77777777" w:rsidR="00F80353" w:rsidRPr="00470AC8" w:rsidRDefault="00F80353">
      <w:pPr>
        <w:pStyle w:val="Heading3"/>
        <w:spacing w:beforeAutospacing="0" w:afterAutospacing="0"/>
        <w:jc w:val="both"/>
        <w:rPr>
          <w:rFonts w:ascii="Times New Roman" w:hAnsi="Times New Roman" w:hint="default"/>
          <w:sz w:val="19"/>
          <w:szCs w:val="19"/>
        </w:rPr>
      </w:pPr>
    </w:p>
    <w:p w14:paraId="62668801"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4.5 Main Regression Results</w:t>
      </w:r>
    </w:p>
    <w:p w14:paraId="127C83A1" w14:textId="77777777" w:rsidR="00F80353" w:rsidRPr="00470AC8" w:rsidRDefault="007F2E21">
      <w:pPr>
        <w:pStyle w:val="NormalWeb"/>
        <w:spacing w:beforeAutospacing="0" w:afterAutospacing="0"/>
        <w:jc w:val="both"/>
        <w:rPr>
          <w:sz w:val="19"/>
          <w:szCs w:val="19"/>
        </w:rPr>
      </w:pPr>
      <w:r w:rsidRPr="00470AC8">
        <w:rPr>
          <w:sz w:val="19"/>
          <w:szCs w:val="19"/>
        </w:rPr>
        <w:t>The baseline model was estimated using the Dynamic Panel System Generalised Method of Moments estimator.</w:t>
      </w:r>
    </w:p>
    <w:p w14:paraId="4DD2753B" w14:textId="77777777" w:rsidR="00F80353" w:rsidRPr="00470AC8" w:rsidRDefault="00F80353">
      <w:pPr>
        <w:pStyle w:val="NormalWeb"/>
        <w:spacing w:beforeAutospacing="0" w:afterAutospacing="0"/>
        <w:jc w:val="both"/>
        <w:rPr>
          <w:sz w:val="19"/>
          <w:szCs w:val="19"/>
        </w:rPr>
      </w:pPr>
    </w:p>
    <w:p w14:paraId="1DE825B0" w14:textId="77777777" w:rsidR="00F80353" w:rsidRPr="00470AC8" w:rsidRDefault="00F80353">
      <w:pPr>
        <w:pStyle w:val="NormalWeb"/>
        <w:spacing w:beforeAutospacing="0" w:afterAutospacing="0"/>
        <w:jc w:val="center"/>
        <w:rPr>
          <w:rStyle w:val="Strong"/>
          <w:sz w:val="19"/>
          <w:szCs w:val="19"/>
        </w:rPr>
      </w:pPr>
    </w:p>
    <w:p w14:paraId="6DFA8ED3" w14:textId="77777777" w:rsidR="00F80353" w:rsidRPr="00470AC8" w:rsidRDefault="00F80353">
      <w:pPr>
        <w:pStyle w:val="NormalWeb"/>
        <w:spacing w:beforeAutospacing="0" w:afterAutospacing="0"/>
        <w:jc w:val="center"/>
        <w:rPr>
          <w:rStyle w:val="Strong"/>
          <w:sz w:val="19"/>
          <w:szCs w:val="19"/>
        </w:rPr>
      </w:pPr>
    </w:p>
    <w:p w14:paraId="40463634" w14:textId="77777777" w:rsidR="00F80353" w:rsidRPr="00470AC8" w:rsidRDefault="007F2E21">
      <w:pPr>
        <w:pStyle w:val="NormalWeb"/>
        <w:spacing w:beforeAutospacing="0" w:afterAutospacing="0"/>
        <w:jc w:val="center"/>
        <w:rPr>
          <w:rStyle w:val="Strong"/>
          <w:sz w:val="19"/>
          <w:szCs w:val="19"/>
        </w:rPr>
      </w:pPr>
      <w:r w:rsidRPr="00470AC8">
        <w:rPr>
          <w:rStyle w:val="Strong"/>
          <w:sz w:val="19"/>
          <w:szCs w:val="19"/>
        </w:rPr>
        <w:t>Table 5: System GMM Regression Results</w:t>
      </w:r>
    </w:p>
    <w:tbl>
      <w:tblPr>
        <w:tblpPr w:leftFromText="180" w:rightFromText="180" w:vertAnchor="text" w:horzAnchor="page" w:tblpX="2627" w:tblpY="219"/>
        <w:tblOverlap w:val="never"/>
        <w:tblW w:w="6615" w:type="dxa"/>
        <w:tblLook w:val="04A0" w:firstRow="1" w:lastRow="0" w:firstColumn="1" w:lastColumn="0" w:noHBand="0" w:noVBand="1"/>
      </w:tblPr>
      <w:tblGrid>
        <w:gridCol w:w="2160"/>
        <w:gridCol w:w="1455"/>
        <w:gridCol w:w="1470"/>
        <w:gridCol w:w="1530"/>
      </w:tblGrid>
      <w:tr w:rsidR="00F80353" w:rsidRPr="00470AC8" w14:paraId="12D74397" w14:textId="77777777">
        <w:trPr>
          <w:trHeight w:val="600"/>
        </w:trPr>
        <w:tc>
          <w:tcPr>
            <w:tcW w:w="2160" w:type="dxa"/>
            <w:tcBorders>
              <w:top w:val="single" w:sz="8" w:space="0" w:color="000000"/>
              <w:left w:val="single" w:sz="8" w:space="0" w:color="000000"/>
              <w:bottom w:val="single" w:sz="8" w:space="0" w:color="000000"/>
              <w:right w:val="nil"/>
            </w:tcBorders>
            <w:vAlign w:val="center"/>
          </w:tcPr>
          <w:p w14:paraId="609A44F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Variable</w:t>
            </w:r>
          </w:p>
        </w:tc>
        <w:tc>
          <w:tcPr>
            <w:tcW w:w="1455" w:type="dxa"/>
            <w:tcBorders>
              <w:top w:val="single" w:sz="8" w:space="0" w:color="000000"/>
              <w:left w:val="nil"/>
              <w:bottom w:val="single" w:sz="8" w:space="0" w:color="000000"/>
              <w:right w:val="nil"/>
            </w:tcBorders>
            <w:vAlign w:val="center"/>
          </w:tcPr>
          <w:p w14:paraId="19550DB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Coefficient</w:t>
            </w:r>
          </w:p>
        </w:tc>
        <w:tc>
          <w:tcPr>
            <w:tcW w:w="1470" w:type="dxa"/>
            <w:tcBorders>
              <w:top w:val="single" w:sz="8" w:space="0" w:color="000000"/>
              <w:left w:val="nil"/>
              <w:bottom w:val="single" w:sz="8" w:space="0" w:color="000000"/>
              <w:right w:val="nil"/>
            </w:tcBorders>
            <w:vAlign w:val="center"/>
          </w:tcPr>
          <w:p w14:paraId="6EFC696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Std. Error</w:t>
            </w:r>
          </w:p>
        </w:tc>
        <w:tc>
          <w:tcPr>
            <w:tcW w:w="1530" w:type="dxa"/>
            <w:tcBorders>
              <w:top w:val="single" w:sz="8" w:space="0" w:color="000000"/>
              <w:left w:val="nil"/>
              <w:bottom w:val="single" w:sz="8" w:space="0" w:color="000000"/>
              <w:right w:val="single" w:sz="8" w:space="0" w:color="000000"/>
            </w:tcBorders>
            <w:vAlign w:val="center"/>
          </w:tcPr>
          <w:p w14:paraId="6465075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Probability</w:t>
            </w:r>
          </w:p>
        </w:tc>
      </w:tr>
      <w:tr w:rsidR="00F80353" w:rsidRPr="00470AC8" w14:paraId="42E76E0F" w14:textId="77777777">
        <w:trPr>
          <w:trHeight w:val="600"/>
        </w:trPr>
        <w:tc>
          <w:tcPr>
            <w:tcW w:w="2160" w:type="dxa"/>
            <w:tcBorders>
              <w:top w:val="single" w:sz="8" w:space="0" w:color="000000"/>
              <w:left w:val="single" w:sz="8" w:space="0" w:color="000000"/>
              <w:bottom w:val="nil"/>
              <w:right w:val="nil"/>
            </w:tcBorders>
            <w:vAlign w:val="center"/>
          </w:tcPr>
          <w:p w14:paraId="6748A70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Lagged ME</w:t>
            </w:r>
          </w:p>
        </w:tc>
        <w:tc>
          <w:tcPr>
            <w:tcW w:w="1455" w:type="dxa"/>
            <w:tcBorders>
              <w:top w:val="single" w:sz="8" w:space="0" w:color="000000"/>
              <w:left w:val="nil"/>
              <w:bottom w:val="nil"/>
              <w:right w:val="nil"/>
            </w:tcBorders>
            <w:vAlign w:val="center"/>
          </w:tcPr>
          <w:p w14:paraId="693DD4E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0.514***</w:t>
            </w:r>
          </w:p>
        </w:tc>
        <w:tc>
          <w:tcPr>
            <w:tcW w:w="1470" w:type="dxa"/>
            <w:tcBorders>
              <w:top w:val="single" w:sz="8" w:space="0" w:color="000000"/>
              <w:left w:val="nil"/>
              <w:bottom w:val="nil"/>
              <w:right w:val="nil"/>
            </w:tcBorders>
            <w:vAlign w:val="center"/>
          </w:tcPr>
          <w:p w14:paraId="041E3FD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0.072</w:t>
            </w:r>
          </w:p>
        </w:tc>
        <w:tc>
          <w:tcPr>
            <w:tcW w:w="1530" w:type="dxa"/>
            <w:tcBorders>
              <w:top w:val="single" w:sz="8" w:space="0" w:color="000000"/>
              <w:left w:val="nil"/>
              <w:bottom w:val="nil"/>
              <w:right w:val="single" w:sz="8" w:space="0" w:color="000000"/>
            </w:tcBorders>
            <w:vAlign w:val="center"/>
          </w:tcPr>
          <w:p w14:paraId="178420B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w:t>
            </w:r>
          </w:p>
        </w:tc>
      </w:tr>
      <w:tr w:rsidR="00F80353" w:rsidRPr="00470AC8" w14:paraId="0FCAEE16" w14:textId="77777777">
        <w:trPr>
          <w:trHeight w:val="600"/>
        </w:trPr>
        <w:tc>
          <w:tcPr>
            <w:tcW w:w="2160" w:type="dxa"/>
            <w:tcBorders>
              <w:top w:val="nil"/>
              <w:left w:val="single" w:sz="8" w:space="0" w:color="000000"/>
              <w:bottom w:val="nil"/>
              <w:right w:val="nil"/>
            </w:tcBorders>
            <w:vAlign w:val="center"/>
          </w:tcPr>
          <w:p w14:paraId="4376190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BAI</w:t>
            </w:r>
          </w:p>
        </w:tc>
        <w:tc>
          <w:tcPr>
            <w:tcW w:w="1455" w:type="dxa"/>
            <w:tcBorders>
              <w:top w:val="nil"/>
              <w:left w:val="nil"/>
              <w:bottom w:val="nil"/>
              <w:right w:val="nil"/>
            </w:tcBorders>
            <w:vAlign w:val="center"/>
          </w:tcPr>
          <w:p w14:paraId="24AB0AB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0.287***</w:t>
            </w:r>
          </w:p>
        </w:tc>
        <w:tc>
          <w:tcPr>
            <w:tcW w:w="1470" w:type="dxa"/>
            <w:tcBorders>
              <w:top w:val="nil"/>
              <w:left w:val="nil"/>
              <w:bottom w:val="nil"/>
              <w:right w:val="nil"/>
            </w:tcBorders>
            <w:vAlign w:val="center"/>
          </w:tcPr>
          <w:p w14:paraId="50C7F5C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0.061</w:t>
            </w:r>
          </w:p>
        </w:tc>
        <w:tc>
          <w:tcPr>
            <w:tcW w:w="1530" w:type="dxa"/>
            <w:tcBorders>
              <w:top w:val="nil"/>
              <w:left w:val="nil"/>
              <w:bottom w:val="nil"/>
              <w:right w:val="single" w:sz="8" w:space="0" w:color="000000"/>
            </w:tcBorders>
            <w:vAlign w:val="center"/>
          </w:tcPr>
          <w:p w14:paraId="222C1268"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w:t>
            </w:r>
          </w:p>
        </w:tc>
      </w:tr>
      <w:tr w:rsidR="00F80353" w:rsidRPr="00470AC8" w14:paraId="7569FBA6" w14:textId="77777777">
        <w:trPr>
          <w:trHeight w:val="600"/>
        </w:trPr>
        <w:tc>
          <w:tcPr>
            <w:tcW w:w="2160" w:type="dxa"/>
            <w:tcBorders>
              <w:top w:val="nil"/>
              <w:left w:val="single" w:sz="8" w:space="0" w:color="000000"/>
              <w:bottom w:val="nil"/>
              <w:right w:val="nil"/>
            </w:tcBorders>
            <w:vAlign w:val="center"/>
          </w:tcPr>
          <w:p w14:paraId="771C6E5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INST</w:t>
            </w:r>
          </w:p>
        </w:tc>
        <w:tc>
          <w:tcPr>
            <w:tcW w:w="1455" w:type="dxa"/>
            <w:tcBorders>
              <w:top w:val="nil"/>
              <w:left w:val="nil"/>
              <w:bottom w:val="nil"/>
              <w:right w:val="nil"/>
            </w:tcBorders>
            <w:vAlign w:val="center"/>
          </w:tcPr>
          <w:p w14:paraId="18C23A8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0.194**</w:t>
            </w:r>
          </w:p>
        </w:tc>
        <w:tc>
          <w:tcPr>
            <w:tcW w:w="1470" w:type="dxa"/>
            <w:tcBorders>
              <w:top w:val="nil"/>
              <w:left w:val="nil"/>
              <w:bottom w:val="nil"/>
              <w:right w:val="nil"/>
            </w:tcBorders>
            <w:vAlign w:val="center"/>
          </w:tcPr>
          <w:p w14:paraId="6E4D148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0.083</w:t>
            </w:r>
          </w:p>
        </w:tc>
        <w:tc>
          <w:tcPr>
            <w:tcW w:w="1530" w:type="dxa"/>
            <w:tcBorders>
              <w:top w:val="nil"/>
              <w:left w:val="nil"/>
              <w:bottom w:val="nil"/>
              <w:right w:val="single" w:sz="8" w:space="0" w:color="000000"/>
            </w:tcBorders>
            <w:vAlign w:val="center"/>
          </w:tcPr>
          <w:p w14:paraId="1E1A638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0.021</w:t>
            </w:r>
          </w:p>
        </w:tc>
      </w:tr>
      <w:tr w:rsidR="00F80353" w:rsidRPr="00470AC8" w14:paraId="1D154C24" w14:textId="77777777">
        <w:trPr>
          <w:trHeight w:val="600"/>
        </w:trPr>
        <w:tc>
          <w:tcPr>
            <w:tcW w:w="2160" w:type="dxa"/>
            <w:tcBorders>
              <w:top w:val="nil"/>
              <w:left w:val="single" w:sz="8" w:space="0" w:color="000000"/>
              <w:bottom w:val="nil"/>
              <w:right w:val="nil"/>
            </w:tcBorders>
            <w:vAlign w:val="center"/>
          </w:tcPr>
          <w:p w14:paraId="7DE810ED"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BAI × INST</w:t>
            </w:r>
          </w:p>
        </w:tc>
        <w:tc>
          <w:tcPr>
            <w:tcW w:w="1455" w:type="dxa"/>
            <w:tcBorders>
              <w:top w:val="nil"/>
              <w:left w:val="nil"/>
              <w:bottom w:val="nil"/>
              <w:right w:val="nil"/>
            </w:tcBorders>
            <w:vAlign w:val="center"/>
          </w:tcPr>
          <w:p w14:paraId="4ADE5D9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0.116**</w:t>
            </w:r>
          </w:p>
        </w:tc>
        <w:tc>
          <w:tcPr>
            <w:tcW w:w="1470" w:type="dxa"/>
            <w:tcBorders>
              <w:top w:val="nil"/>
              <w:left w:val="nil"/>
              <w:bottom w:val="nil"/>
              <w:right w:val="nil"/>
            </w:tcBorders>
            <w:vAlign w:val="center"/>
          </w:tcPr>
          <w:p w14:paraId="4FB94FA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0.049</w:t>
            </w:r>
          </w:p>
        </w:tc>
        <w:tc>
          <w:tcPr>
            <w:tcW w:w="1530" w:type="dxa"/>
            <w:tcBorders>
              <w:top w:val="nil"/>
              <w:left w:val="nil"/>
              <w:bottom w:val="nil"/>
              <w:right w:val="single" w:sz="8" w:space="0" w:color="000000"/>
            </w:tcBorders>
            <w:vAlign w:val="center"/>
          </w:tcPr>
          <w:p w14:paraId="1332C0A6"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0.017</w:t>
            </w:r>
          </w:p>
        </w:tc>
      </w:tr>
      <w:tr w:rsidR="00F80353" w:rsidRPr="00470AC8" w14:paraId="54D2BCB4" w14:textId="77777777">
        <w:trPr>
          <w:trHeight w:val="600"/>
        </w:trPr>
        <w:tc>
          <w:tcPr>
            <w:tcW w:w="2160" w:type="dxa"/>
            <w:tcBorders>
              <w:top w:val="nil"/>
              <w:left w:val="single" w:sz="8" w:space="0" w:color="000000"/>
              <w:bottom w:val="nil"/>
              <w:right w:val="nil"/>
            </w:tcBorders>
            <w:vAlign w:val="center"/>
          </w:tcPr>
          <w:p w14:paraId="5516BE8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GDPG</w:t>
            </w:r>
          </w:p>
        </w:tc>
        <w:tc>
          <w:tcPr>
            <w:tcW w:w="1455" w:type="dxa"/>
            <w:tcBorders>
              <w:top w:val="nil"/>
              <w:left w:val="nil"/>
              <w:bottom w:val="nil"/>
              <w:right w:val="nil"/>
            </w:tcBorders>
            <w:vAlign w:val="center"/>
          </w:tcPr>
          <w:p w14:paraId="6497CC0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0.071*</w:t>
            </w:r>
          </w:p>
        </w:tc>
        <w:tc>
          <w:tcPr>
            <w:tcW w:w="1470" w:type="dxa"/>
            <w:tcBorders>
              <w:top w:val="nil"/>
              <w:left w:val="nil"/>
              <w:bottom w:val="nil"/>
              <w:right w:val="nil"/>
            </w:tcBorders>
            <w:vAlign w:val="center"/>
          </w:tcPr>
          <w:p w14:paraId="2E7C29D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0.039</w:t>
            </w:r>
          </w:p>
        </w:tc>
        <w:tc>
          <w:tcPr>
            <w:tcW w:w="1530" w:type="dxa"/>
            <w:tcBorders>
              <w:top w:val="nil"/>
              <w:left w:val="nil"/>
              <w:bottom w:val="nil"/>
              <w:right w:val="single" w:sz="8" w:space="0" w:color="000000"/>
            </w:tcBorders>
            <w:vAlign w:val="center"/>
          </w:tcPr>
          <w:p w14:paraId="6C5D5D5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0.068</w:t>
            </w:r>
          </w:p>
        </w:tc>
      </w:tr>
      <w:tr w:rsidR="00F80353" w:rsidRPr="00470AC8" w14:paraId="2134093E" w14:textId="77777777">
        <w:trPr>
          <w:trHeight w:val="600"/>
        </w:trPr>
        <w:tc>
          <w:tcPr>
            <w:tcW w:w="2160" w:type="dxa"/>
            <w:tcBorders>
              <w:top w:val="nil"/>
              <w:left w:val="single" w:sz="8" w:space="0" w:color="000000"/>
              <w:bottom w:val="nil"/>
              <w:right w:val="nil"/>
            </w:tcBorders>
            <w:vAlign w:val="center"/>
          </w:tcPr>
          <w:p w14:paraId="339E2706"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INF</w:t>
            </w:r>
          </w:p>
        </w:tc>
        <w:tc>
          <w:tcPr>
            <w:tcW w:w="1455" w:type="dxa"/>
            <w:tcBorders>
              <w:top w:val="nil"/>
              <w:left w:val="nil"/>
              <w:bottom w:val="nil"/>
              <w:right w:val="nil"/>
            </w:tcBorders>
            <w:vAlign w:val="center"/>
          </w:tcPr>
          <w:p w14:paraId="554BDEA8"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-0.093**</w:t>
            </w:r>
          </w:p>
        </w:tc>
        <w:tc>
          <w:tcPr>
            <w:tcW w:w="1470" w:type="dxa"/>
            <w:tcBorders>
              <w:top w:val="nil"/>
              <w:left w:val="nil"/>
              <w:bottom w:val="nil"/>
              <w:right w:val="nil"/>
            </w:tcBorders>
            <w:vAlign w:val="center"/>
          </w:tcPr>
          <w:p w14:paraId="5AA9A5D3"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0.041</w:t>
            </w:r>
          </w:p>
        </w:tc>
        <w:tc>
          <w:tcPr>
            <w:tcW w:w="1530" w:type="dxa"/>
            <w:tcBorders>
              <w:top w:val="nil"/>
              <w:left w:val="nil"/>
              <w:bottom w:val="nil"/>
              <w:right w:val="single" w:sz="8" w:space="0" w:color="000000"/>
            </w:tcBorders>
            <w:vAlign w:val="center"/>
          </w:tcPr>
          <w:p w14:paraId="394B84D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0.024</w:t>
            </w:r>
          </w:p>
        </w:tc>
      </w:tr>
      <w:tr w:rsidR="00F80353" w:rsidRPr="00470AC8" w14:paraId="3CF2AE01" w14:textId="77777777">
        <w:trPr>
          <w:trHeight w:val="600"/>
        </w:trPr>
        <w:tc>
          <w:tcPr>
            <w:tcW w:w="2160" w:type="dxa"/>
            <w:tcBorders>
              <w:top w:val="nil"/>
              <w:left w:val="single" w:sz="8" w:space="0" w:color="000000"/>
              <w:bottom w:val="nil"/>
              <w:right w:val="nil"/>
            </w:tcBorders>
            <w:vAlign w:val="center"/>
          </w:tcPr>
          <w:p w14:paraId="645360E5"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INTP</w:t>
            </w:r>
          </w:p>
        </w:tc>
        <w:tc>
          <w:tcPr>
            <w:tcW w:w="1455" w:type="dxa"/>
            <w:tcBorders>
              <w:top w:val="nil"/>
              <w:left w:val="nil"/>
              <w:bottom w:val="nil"/>
              <w:right w:val="nil"/>
            </w:tcBorders>
            <w:vAlign w:val="center"/>
          </w:tcPr>
          <w:p w14:paraId="6DB9151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0.142***</w:t>
            </w:r>
          </w:p>
        </w:tc>
        <w:tc>
          <w:tcPr>
            <w:tcW w:w="1470" w:type="dxa"/>
            <w:tcBorders>
              <w:top w:val="nil"/>
              <w:left w:val="nil"/>
              <w:bottom w:val="nil"/>
              <w:right w:val="nil"/>
            </w:tcBorders>
            <w:vAlign w:val="center"/>
          </w:tcPr>
          <w:p w14:paraId="706A323F"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0.048</w:t>
            </w:r>
          </w:p>
        </w:tc>
        <w:tc>
          <w:tcPr>
            <w:tcW w:w="1530" w:type="dxa"/>
            <w:tcBorders>
              <w:top w:val="nil"/>
              <w:left w:val="nil"/>
              <w:bottom w:val="nil"/>
              <w:right w:val="single" w:sz="8" w:space="0" w:color="000000"/>
            </w:tcBorders>
            <w:vAlign w:val="center"/>
          </w:tcPr>
          <w:p w14:paraId="35168B8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0.004</w:t>
            </w:r>
          </w:p>
        </w:tc>
      </w:tr>
      <w:tr w:rsidR="00F80353" w:rsidRPr="00470AC8" w14:paraId="67880045" w14:textId="77777777">
        <w:trPr>
          <w:trHeight w:val="600"/>
        </w:trPr>
        <w:tc>
          <w:tcPr>
            <w:tcW w:w="2160" w:type="dxa"/>
            <w:tcBorders>
              <w:top w:val="nil"/>
              <w:left w:val="single" w:sz="8" w:space="0" w:color="000000"/>
              <w:bottom w:val="nil"/>
              <w:right w:val="nil"/>
            </w:tcBorders>
            <w:vAlign w:val="center"/>
          </w:tcPr>
          <w:p w14:paraId="450A238C" w14:textId="77777777" w:rsidR="00F80353" w:rsidRPr="00470AC8" w:rsidRDefault="007F2E21">
            <w:pPr>
              <w:jc w:val="both"/>
              <w:rPr>
                <w:rFonts w:ascii="Times New Roman" w:hAnsi="Times New Roman" w:cs="Times New Roman"/>
                <w:sz w:val="19"/>
                <w:szCs w:val="19"/>
                <w:lang w:val="en-CA"/>
              </w:rPr>
            </w:pPr>
            <w:proofErr w:type="gramStart"/>
            <w:r w:rsidRPr="00470AC8">
              <w:rPr>
                <w:rFonts w:ascii="Times New Roman" w:hAnsi="Times New Roman" w:cs="Times New Roman"/>
                <w:sz w:val="19"/>
                <w:szCs w:val="19"/>
                <w:lang w:val="en-CA"/>
              </w:rPr>
              <w:t>AR(</w:t>
            </w:r>
            <w:proofErr w:type="gramEnd"/>
            <w:r w:rsidRPr="00470AC8">
              <w:rPr>
                <w:rFonts w:ascii="Times New Roman" w:hAnsi="Times New Roman" w:cs="Times New Roman"/>
                <w:sz w:val="19"/>
                <w:szCs w:val="19"/>
                <w:lang w:val="en-CA"/>
              </w:rPr>
              <w:t>2) p-value</w:t>
            </w:r>
          </w:p>
        </w:tc>
        <w:tc>
          <w:tcPr>
            <w:tcW w:w="1455" w:type="dxa"/>
            <w:tcBorders>
              <w:top w:val="nil"/>
              <w:left w:val="nil"/>
              <w:bottom w:val="nil"/>
              <w:right w:val="nil"/>
            </w:tcBorders>
            <w:vAlign w:val="center"/>
          </w:tcPr>
          <w:p w14:paraId="31027AC4" w14:textId="77777777" w:rsidR="00F80353" w:rsidRPr="00470AC8" w:rsidRDefault="00F80353">
            <w:pPr>
              <w:jc w:val="both"/>
              <w:rPr>
                <w:rFonts w:ascii="Times New Roman" w:hAnsi="Times New Roman" w:cs="Times New Roman"/>
                <w:sz w:val="19"/>
                <w:szCs w:val="19"/>
                <w:lang w:val="en-CA"/>
              </w:rPr>
            </w:pPr>
          </w:p>
        </w:tc>
        <w:tc>
          <w:tcPr>
            <w:tcW w:w="1470" w:type="dxa"/>
            <w:tcBorders>
              <w:top w:val="nil"/>
              <w:left w:val="nil"/>
              <w:bottom w:val="nil"/>
              <w:right w:val="nil"/>
            </w:tcBorders>
            <w:vAlign w:val="center"/>
          </w:tcPr>
          <w:p w14:paraId="472C80ED" w14:textId="77777777" w:rsidR="00F80353" w:rsidRPr="00470AC8" w:rsidRDefault="00F80353">
            <w:pPr>
              <w:jc w:val="both"/>
              <w:rPr>
                <w:rFonts w:ascii="Times New Roman" w:hAnsi="Times New Roman" w:cs="Times New Roman"/>
                <w:sz w:val="19"/>
                <w:szCs w:val="19"/>
                <w:lang w:val="en-CA"/>
              </w:rPr>
            </w:pPr>
          </w:p>
        </w:tc>
        <w:tc>
          <w:tcPr>
            <w:tcW w:w="1530" w:type="dxa"/>
            <w:tcBorders>
              <w:top w:val="nil"/>
              <w:left w:val="nil"/>
              <w:bottom w:val="nil"/>
              <w:right w:val="single" w:sz="8" w:space="0" w:color="000000"/>
            </w:tcBorders>
            <w:vAlign w:val="center"/>
          </w:tcPr>
          <w:p w14:paraId="115AE821"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0.281</w:t>
            </w:r>
          </w:p>
        </w:tc>
      </w:tr>
      <w:tr w:rsidR="00F80353" w:rsidRPr="00470AC8" w14:paraId="22BBC9B1" w14:textId="77777777">
        <w:trPr>
          <w:trHeight w:val="600"/>
        </w:trPr>
        <w:tc>
          <w:tcPr>
            <w:tcW w:w="2160" w:type="dxa"/>
            <w:tcBorders>
              <w:top w:val="nil"/>
              <w:left w:val="single" w:sz="8" w:space="0" w:color="000000"/>
              <w:bottom w:val="single" w:sz="8" w:space="0" w:color="000000"/>
              <w:right w:val="nil"/>
            </w:tcBorders>
            <w:vAlign w:val="center"/>
          </w:tcPr>
          <w:p w14:paraId="677F3F70"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Hansen Test p-value</w:t>
            </w:r>
          </w:p>
        </w:tc>
        <w:tc>
          <w:tcPr>
            <w:tcW w:w="1455" w:type="dxa"/>
            <w:tcBorders>
              <w:top w:val="nil"/>
              <w:left w:val="nil"/>
              <w:bottom w:val="single" w:sz="8" w:space="0" w:color="000000"/>
              <w:right w:val="nil"/>
            </w:tcBorders>
            <w:vAlign w:val="center"/>
          </w:tcPr>
          <w:p w14:paraId="17B1ACDE" w14:textId="77777777" w:rsidR="00F80353" w:rsidRPr="00470AC8" w:rsidRDefault="00F80353">
            <w:pPr>
              <w:jc w:val="both"/>
              <w:rPr>
                <w:rFonts w:ascii="Times New Roman" w:hAnsi="Times New Roman" w:cs="Times New Roman"/>
                <w:sz w:val="19"/>
                <w:szCs w:val="19"/>
                <w:lang w:val="en-CA"/>
              </w:rPr>
            </w:pPr>
          </w:p>
        </w:tc>
        <w:tc>
          <w:tcPr>
            <w:tcW w:w="1470" w:type="dxa"/>
            <w:tcBorders>
              <w:top w:val="nil"/>
              <w:left w:val="nil"/>
              <w:bottom w:val="single" w:sz="8" w:space="0" w:color="000000"/>
              <w:right w:val="nil"/>
            </w:tcBorders>
            <w:vAlign w:val="center"/>
          </w:tcPr>
          <w:p w14:paraId="164179D2" w14:textId="77777777" w:rsidR="00F80353" w:rsidRPr="00470AC8" w:rsidRDefault="00F80353">
            <w:pPr>
              <w:jc w:val="both"/>
              <w:rPr>
                <w:rFonts w:ascii="Times New Roman" w:hAnsi="Times New Roman" w:cs="Times New Roman"/>
                <w:sz w:val="19"/>
                <w:szCs w:val="19"/>
                <w:lang w:val="en-CA"/>
              </w:rPr>
            </w:pPr>
          </w:p>
        </w:tc>
        <w:tc>
          <w:tcPr>
            <w:tcW w:w="1530" w:type="dxa"/>
            <w:tcBorders>
              <w:top w:val="nil"/>
              <w:left w:val="nil"/>
              <w:bottom w:val="single" w:sz="8" w:space="0" w:color="000000"/>
              <w:right w:val="single" w:sz="8" w:space="0" w:color="000000"/>
            </w:tcBorders>
            <w:vAlign w:val="center"/>
          </w:tcPr>
          <w:p w14:paraId="68EB377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0.417</w:t>
            </w:r>
          </w:p>
        </w:tc>
      </w:tr>
    </w:tbl>
    <w:p w14:paraId="19354FA3" w14:textId="77777777" w:rsidR="00F80353" w:rsidRPr="00470AC8" w:rsidRDefault="00F80353">
      <w:pPr>
        <w:pStyle w:val="NormalWeb"/>
        <w:spacing w:beforeAutospacing="0" w:afterAutospacing="0"/>
        <w:jc w:val="both"/>
        <w:rPr>
          <w:rStyle w:val="Strong"/>
          <w:sz w:val="19"/>
          <w:szCs w:val="19"/>
        </w:rPr>
      </w:pPr>
    </w:p>
    <w:p w14:paraId="2D3CECDE" w14:textId="77777777" w:rsidR="00F80353" w:rsidRPr="00470AC8" w:rsidRDefault="00F80353">
      <w:pPr>
        <w:pStyle w:val="NormalWeb"/>
        <w:spacing w:beforeAutospacing="0" w:afterAutospacing="0"/>
        <w:jc w:val="both"/>
        <w:rPr>
          <w:rStyle w:val="Strong"/>
          <w:sz w:val="19"/>
          <w:szCs w:val="19"/>
        </w:rPr>
      </w:pPr>
    </w:p>
    <w:p w14:paraId="1557D386" w14:textId="77777777" w:rsidR="00F80353" w:rsidRPr="00470AC8" w:rsidRDefault="00F80353">
      <w:pPr>
        <w:pStyle w:val="NormalWeb"/>
        <w:spacing w:beforeAutospacing="0" w:afterAutospacing="0"/>
        <w:jc w:val="both"/>
        <w:rPr>
          <w:rStyle w:val="Strong"/>
          <w:sz w:val="19"/>
          <w:szCs w:val="19"/>
        </w:rPr>
      </w:pPr>
    </w:p>
    <w:p w14:paraId="655A6B1B" w14:textId="77777777" w:rsidR="00F80353" w:rsidRPr="00470AC8" w:rsidRDefault="00F80353">
      <w:pPr>
        <w:pStyle w:val="NormalWeb"/>
        <w:spacing w:beforeAutospacing="0" w:afterAutospacing="0"/>
        <w:jc w:val="both"/>
        <w:rPr>
          <w:rStyle w:val="Strong"/>
          <w:sz w:val="19"/>
          <w:szCs w:val="19"/>
        </w:rPr>
      </w:pPr>
    </w:p>
    <w:p w14:paraId="58CBEA2F" w14:textId="77777777" w:rsidR="00F80353" w:rsidRPr="00470AC8" w:rsidRDefault="00F80353">
      <w:pPr>
        <w:pStyle w:val="NormalWeb"/>
        <w:spacing w:beforeAutospacing="0" w:afterAutospacing="0"/>
        <w:jc w:val="both"/>
        <w:rPr>
          <w:rStyle w:val="Strong"/>
          <w:sz w:val="19"/>
          <w:szCs w:val="19"/>
        </w:rPr>
      </w:pPr>
    </w:p>
    <w:p w14:paraId="21E40530" w14:textId="77777777" w:rsidR="00F80353" w:rsidRPr="00470AC8" w:rsidRDefault="00F80353">
      <w:pPr>
        <w:pStyle w:val="NormalWeb"/>
        <w:spacing w:beforeAutospacing="0" w:afterAutospacing="0"/>
        <w:jc w:val="both"/>
        <w:rPr>
          <w:rStyle w:val="Strong"/>
          <w:sz w:val="19"/>
          <w:szCs w:val="19"/>
        </w:rPr>
      </w:pPr>
    </w:p>
    <w:p w14:paraId="43A7BC6F" w14:textId="77777777" w:rsidR="00F80353" w:rsidRPr="00470AC8" w:rsidRDefault="00F80353">
      <w:pPr>
        <w:pStyle w:val="NormalWeb"/>
        <w:spacing w:beforeAutospacing="0" w:afterAutospacing="0"/>
        <w:jc w:val="both"/>
        <w:rPr>
          <w:rStyle w:val="Strong"/>
          <w:sz w:val="19"/>
          <w:szCs w:val="19"/>
        </w:rPr>
      </w:pPr>
    </w:p>
    <w:p w14:paraId="14F4B86E" w14:textId="77777777" w:rsidR="00F80353" w:rsidRPr="00470AC8" w:rsidRDefault="00F80353">
      <w:pPr>
        <w:pStyle w:val="NormalWeb"/>
        <w:spacing w:beforeAutospacing="0" w:afterAutospacing="0"/>
        <w:jc w:val="both"/>
        <w:rPr>
          <w:rStyle w:val="Strong"/>
          <w:sz w:val="19"/>
          <w:szCs w:val="19"/>
        </w:rPr>
      </w:pPr>
    </w:p>
    <w:p w14:paraId="0B542017" w14:textId="77777777" w:rsidR="00F80353" w:rsidRPr="00470AC8" w:rsidRDefault="00F80353">
      <w:pPr>
        <w:pStyle w:val="NormalWeb"/>
        <w:spacing w:beforeAutospacing="0" w:afterAutospacing="0"/>
        <w:jc w:val="both"/>
        <w:rPr>
          <w:rStyle w:val="Strong"/>
          <w:sz w:val="19"/>
          <w:szCs w:val="19"/>
        </w:rPr>
      </w:pPr>
    </w:p>
    <w:p w14:paraId="355FDAD0" w14:textId="77777777" w:rsidR="00F80353" w:rsidRPr="00470AC8" w:rsidRDefault="00F80353">
      <w:pPr>
        <w:pStyle w:val="NormalWeb"/>
        <w:spacing w:beforeAutospacing="0" w:afterAutospacing="0"/>
        <w:jc w:val="both"/>
        <w:rPr>
          <w:rStyle w:val="Strong"/>
          <w:sz w:val="19"/>
          <w:szCs w:val="19"/>
        </w:rPr>
      </w:pPr>
    </w:p>
    <w:p w14:paraId="395A29D7" w14:textId="77777777" w:rsidR="00F80353" w:rsidRPr="00470AC8" w:rsidRDefault="00F80353">
      <w:pPr>
        <w:pStyle w:val="NormalWeb"/>
        <w:spacing w:beforeAutospacing="0" w:afterAutospacing="0"/>
        <w:jc w:val="both"/>
        <w:rPr>
          <w:rStyle w:val="Strong"/>
          <w:sz w:val="19"/>
          <w:szCs w:val="19"/>
        </w:rPr>
      </w:pPr>
    </w:p>
    <w:p w14:paraId="5303F37F" w14:textId="77777777" w:rsidR="00F80353" w:rsidRPr="00470AC8" w:rsidRDefault="00F80353">
      <w:pPr>
        <w:pStyle w:val="NormalWeb"/>
        <w:spacing w:beforeAutospacing="0" w:afterAutospacing="0"/>
        <w:jc w:val="both"/>
        <w:rPr>
          <w:rStyle w:val="Strong"/>
          <w:sz w:val="19"/>
          <w:szCs w:val="19"/>
        </w:rPr>
      </w:pPr>
    </w:p>
    <w:p w14:paraId="59A13989" w14:textId="77777777" w:rsidR="00F80353" w:rsidRPr="00470AC8" w:rsidRDefault="00F80353">
      <w:pPr>
        <w:pStyle w:val="NormalWeb"/>
        <w:spacing w:beforeAutospacing="0" w:afterAutospacing="0"/>
        <w:jc w:val="both"/>
        <w:rPr>
          <w:rStyle w:val="Strong"/>
          <w:sz w:val="19"/>
          <w:szCs w:val="19"/>
        </w:rPr>
      </w:pPr>
    </w:p>
    <w:p w14:paraId="192913EA" w14:textId="77777777" w:rsidR="00F80353" w:rsidRPr="00470AC8" w:rsidRDefault="00F80353">
      <w:pPr>
        <w:pStyle w:val="NormalWeb"/>
        <w:spacing w:beforeAutospacing="0" w:afterAutospacing="0"/>
        <w:jc w:val="both"/>
        <w:rPr>
          <w:rStyle w:val="Strong"/>
          <w:sz w:val="19"/>
          <w:szCs w:val="19"/>
        </w:rPr>
      </w:pPr>
    </w:p>
    <w:p w14:paraId="57EDB500" w14:textId="77777777" w:rsidR="00F80353" w:rsidRPr="00470AC8" w:rsidRDefault="00F80353">
      <w:pPr>
        <w:pStyle w:val="NormalWeb"/>
        <w:spacing w:beforeAutospacing="0" w:afterAutospacing="0"/>
        <w:jc w:val="both"/>
        <w:rPr>
          <w:rStyle w:val="Strong"/>
          <w:sz w:val="19"/>
          <w:szCs w:val="19"/>
        </w:rPr>
      </w:pPr>
    </w:p>
    <w:p w14:paraId="5545954B" w14:textId="77777777" w:rsidR="00F80353" w:rsidRPr="00470AC8" w:rsidRDefault="00F80353">
      <w:pPr>
        <w:pStyle w:val="NormalWeb"/>
        <w:spacing w:beforeAutospacing="0" w:afterAutospacing="0"/>
        <w:jc w:val="both"/>
        <w:rPr>
          <w:rStyle w:val="Strong"/>
          <w:sz w:val="19"/>
          <w:szCs w:val="19"/>
        </w:rPr>
      </w:pPr>
    </w:p>
    <w:p w14:paraId="697D4558" w14:textId="77777777" w:rsidR="00F80353" w:rsidRPr="00470AC8" w:rsidRDefault="00F80353">
      <w:pPr>
        <w:pStyle w:val="NormalWeb"/>
        <w:spacing w:beforeAutospacing="0" w:afterAutospacing="0"/>
        <w:jc w:val="both"/>
        <w:rPr>
          <w:rStyle w:val="Strong"/>
          <w:sz w:val="19"/>
          <w:szCs w:val="19"/>
        </w:rPr>
      </w:pPr>
    </w:p>
    <w:p w14:paraId="05DA3EC7" w14:textId="77777777" w:rsidR="00F80353" w:rsidRPr="00470AC8" w:rsidRDefault="00F80353">
      <w:pPr>
        <w:pStyle w:val="NormalWeb"/>
        <w:spacing w:beforeAutospacing="0" w:afterAutospacing="0"/>
        <w:jc w:val="both"/>
        <w:rPr>
          <w:rStyle w:val="Strong"/>
          <w:sz w:val="19"/>
          <w:szCs w:val="19"/>
        </w:rPr>
      </w:pPr>
    </w:p>
    <w:p w14:paraId="20A70ACC" w14:textId="77777777" w:rsidR="00F80353" w:rsidRPr="00470AC8" w:rsidRDefault="00F80353">
      <w:pPr>
        <w:pStyle w:val="NormalWeb"/>
        <w:spacing w:beforeAutospacing="0" w:afterAutospacing="0"/>
        <w:jc w:val="both"/>
        <w:rPr>
          <w:rStyle w:val="Strong"/>
          <w:sz w:val="19"/>
          <w:szCs w:val="19"/>
        </w:rPr>
      </w:pPr>
    </w:p>
    <w:p w14:paraId="4355F7EB" w14:textId="77777777" w:rsidR="00F80353" w:rsidRPr="00470AC8" w:rsidRDefault="00F80353">
      <w:pPr>
        <w:pStyle w:val="NormalWeb"/>
        <w:spacing w:beforeAutospacing="0" w:afterAutospacing="0"/>
        <w:jc w:val="both"/>
        <w:rPr>
          <w:rStyle w:val="Strong"/>
          <w:sz w:val="19"/>
          <w:szCs w:val="19"/>
        </w:rPr>
      </w:pPr>
    </w:p>
    <w:p w14:paraId="5414DAF8" w14:textId="77777777" w:rsidR="00F80353" w:rsidRPr="00470AC8" w:rsidRDefault="00F80353">
      <w:pPr>
        <w:pStyle w:val="NormalWeb"/>
        <w:spacing w:beforeAutospacing="0" w:afterAutospacing="0"/>
        <w:jc w:val="both"/>
        <w:rPr>
          <w:rStyle w:val="Strong"/>
          <w:sz w:val="19"/>
          <w:szCs w:val="19"/>
        </w:rPr>
      </w:pPr>
    </w:p>
    <w:p w14:paraId="3F214BD0" w14:textId="77777777" w:rsidR="00F80353" w:rsidRPr="00470AC8" w:rsidRDefault="00F80353">
      <w:pPr>
        <w:pStyle w:val="NormalWeb"/>
        <w:spacing w:beforeAutospacing="0" w:afterAutospacing="0"/>
        <w:jc w:val="both"/>
        <w:rPr>
          <w:rStyle w:val="Strong"/>
          <w:sz w:val="19"/>
          <w:szCs w:val="19"/>
        </w:rPr>
      </w:pPr>
    </w:p>
    <w:p w14:paraId="7B663DBB" w14:textId="77777777" w:rsidR="00F80353" w:rsidRPr="00470AC8" w:rsidRDefault="00F80353">
      <w:pPr>
        <w:pStyle w:val="NormalWeb"/>
        <w:spacing w:beforeAutospacing="0" w:afterAutospacing="0"/>
        <w:jc w:val="both"/>
        <w:rPr>
          <w:rStyle w:val="Strong"/>
          <w:sz w:val="19"/>
          <w:szCs w:val="19"/>
        </w:rPr>
      </w:pPr>
    </w:p>
    <w:p w14:paraId="1C5B209A" w14:textId="77777777" w:rsidR="00F80353" w:rsidRPr="00470AC8" w:rsidRDefault="00F80353">
      <w:pPr>
        <w:pStyle w:val="NormalWeb"/>
        <w:spacing w:beforeAutospacing="0" w:afterAutospacing="0"/>
        <w:jc w:val="both"/>
        <w:rPr>
          <w:rStyle w:val="Strong"/>
          <w:sz w:val="19"/>
          <w:szCs w:val="19"/>
        </w:rPr>
      </w:pPr>
    </w:p>
    <w:p w14:paraId="6EFE7C8C" w14:textId="77777777" w:rsidR="00F80353" w:rsidRPr="00470AC8" w:rsidRDefault="00F80353">
      <w:pPr>
        <w:pStyle w:val="NormalWeb"/>
        <w:spacing w:beforeAutospacing="0" w:afterAutospacing="0"/>
        <w:jc w:val="both"/>
        <w:rPr>
          <w:rStyle w:val="Strong"/>
          <w:sz w:val="19"/>
          <w:szCs w:val="19"/>
        </w:rPr>
      </w:pPr>
    </w:p>
    <w:p w14:paraId="33FD0770" w14:textId="77777777" w:rsidR="00F80353" w:rsidRPr="00470AC8" w:rsidRDefault="00F80353">
      <w:pPr>
        <w:pStyle w:val="NormalWeb"/>
        <w:spacing w:beforeAutospacing="0" w:afterAutospacing="0"/>
        <w:jc w:val="both"/>
        <w:rPr>
          <w:rStyle w:val="Strong"/>
          <w:sz w:val="19"/>
          <w:szCs w:val="19"/>
        </w:rPr>
      </w:pPr>
    </w:p>
    <w:p w14:paraId="0D1321D7" w14:textId="77777777" w:rsidR="00F80353" w:rsidRPr="00470AC8" w:rsidRDefault="00F80353">
      <w:pPr>
        <w:pStyle w:val="NormalWeb"/>
        <w:spacing w:beforeAutospacing="0" w:afterAutospacing="0"/>
        <w:jc w:val="both"/>
        <w:rPr>
          <w:rStyle w:val="Strong"/>
          <w:sz w:val="19"/>
          <w:szCs w:val="19"/>
        </w:rPr>
      </w:pPr>
    </w:p>
    <w:p w14:paraId="3205F9E4" w14:textId="77777777" w:rsidR="00F80353" w:rsidRPr="00470AC8" w:rsidRDefault="00F80353">
      <w:pPr>
        <w:pStyle w:val="NormalWeb"/>
        <w:spacing w:beforeAutospacing="0" w:afterAutospacing="0"/>
        <w:jc w:val="both"/>
        <w:rPr>
          <w:rStyle w:val="Strong"/>
          <w:sz w:val="19"/>
          <w:szCs w:val="19"/>
        </w:rPr>
      </w:pPr>
    </w:p>
    <w:p w14:paraId="2A506FEE" w14:textId="77777777" w:rsidR="00F80353" w:rsidRPr="00470AC8" w:rsidRDefault="00F80353">
      <w:pPr>
        <w:pStyle w:val="NormalWeb"/>
        <w:spacing w:beforeAutospacing="0" w:afterAutospacing="0"/>
        <w:jc w:val="both"/>
        <w:rPr>
          <w:rStyle w:val="Strong"/>
          <w:sz w:val="19"/>
          <w:szCs w:val="19"/>
        </w:rPr>
      </w:pPr>
    </w:p>
    <w:p w14:paraId="6AE2B79A" w14:textId="77777777" w:rsidR="00F80353" w:rsidRPr="00470AC8" w:rsidRDefault="00F80353">
      <w:pPr>
        <w:pStyle w:val="NormalWeb"/>
        <w:spacing w:beforeAutospacing="0" w:afterAutospacing="0"/>
        <w:jc w:val="both"/>
        <w:rPr>
          <w:rStyle w:val="Strong"/>
          <w:sz w:val="19"/>
          <w:szCs w:val="19"/>
        </w:rPr>
      </w:pPr>
    </w:p>
    <w:p w14:paraId="16AA8D5A" w14:textId="77777777" w:rsidR="00F80353" w:rsidRPr="00470AC8" w:rsidRDefault="007F2E21">
      <w:pPr>
        <w:pStyle w:val="NormalWeb"/>
        <w:spacing w:beforeAutospacing="0" w:afterAutospacing="0"/>
        <w:jc w:val="both"/>
        <w:rPr>
          <w:sz w:val="19"/>
          <w:szCs w:val="19"/>
        </w:rPr>
      </w:pPr>
      <w:r w:rsidRPr="00470AC8">
        <w:rPr>
          <w:rStyle w:val="Strong"/>
          <w:sz w:val="19"/>
          <w:szCs w:val="19"/>
        </w:rPr>
        <w:t>Note:</w:t>
      </w:r>
      <w:r w:rsidRPr="00470AC8">
        <w:rPr>
          <w:sz w:val="19"/>
          <w:szCs w:val="19"/>
        </w:rPr>
        <w:t xml:space="preserve"> *** p &lt; 0.01; ** p &lt; 0.05; * p &lt; 0.10.</w:t>
      </w:r>
    </w:p>
    <w:p w14:paraId="27FD79A8" w14:textId="77777777" w:rsidR="00F80353" w:rsidRPr="00470AC8" w:rsidRDefault="007F2E21">
      <w:pPr>
        <w:pStyle w:val="NormalWeb"/>
        <w:spacing w:beforeAutospacing="0" w:afterAutospacing="0"/>
        <w:jc w:val="both"/>
        <w:rPr>
          <w:sz w:val="19"/>
          <w:szCs w:val="19"/>
        </w:rPr>
      </w:pPr>
      <w:r w:rsidRPr="00470AC8">
        <w:rPr>
          <w:sz w:val="19"/>
          <w:szCs w:val="19"/>
        </w:rPr>
        <w:t xml:space="preserve">The System GMM results show that blockchain adoption has a positive and statistically significant effect on market efficiency in African capital markets. The coefficient of the Blockchain Adoption Index is 0.287 and is significant at the 1% level. This implies that higher blockchain adoption improves liquidity, reduces information </w:t>
      </w:r>
      <w:proofErr w:type="gramStart"/>
      <w:r w:rsidRPr="00470AC8">
        <w:rPr>
          <w:sz w:val="19"/>
          <w:szCs w:val="19"/>
        </w:rPr>
        <w:t>frictions</w:t>
      </w:r>
      <w:proofErr w:type="gramEnd"/>
      <w:r w:rsidRPr="00470AC8">
        <w:rPr>
          <w:sz w:val="19"/>
          <w:szCs w:val="19"/>
        </w:rPr>
        <w:t>, supports faster settlement, and strengthens price discovery.</w:t>
      </w:r>
    </w:p>
    <w:p w14:paraId="4230F234" w14:textId="77777777" w:rsidR="00F80353" w:rsidRPr="00470AC8" w:rsidRDefault="007F2E21">
      <w:pPr>
        <w:pStyle w:val="NormalWeb"/>
        <w:spacing w:beforeAutospacing="0" w:afterAutospacing="0"/>
        <w:jc w:val="both"/>
        <w:rPr>
          <w:sz w:val="19"/>
          <w:szCs w:val="19"/>
        </w:rPr>
      </w:pPr>
      <w:r w:rsidRPr="00470AC8">
        <w:rPr>
          <w:sz w:val="19"/>
          <w:szCs w:val="19"/>
        </w:rPr>
        <w:t>The lagged market efficiency variable is positive and significant, confirming that market efficiency is persistent over time. This justifies the use of dynamic panel estimation, as current efficiency partly depends on past efficiency conditions.</w:t>
      </w:r>
    </w:p>
    <w:p w14:paraId="6AC89C5D" w14:textId="77777777" w:rsidR="00F80353" w:rsidRPr="00470AC8" w:rsidRDefault="007F2E21">
      <w:pPr>
        <w:pStyle w:val="NormalWeb"/>
        <w:spacing w:beforeAutospacing="0" w:afterAutospacing="0"/>
        <w:jc w:val="both"/>
        <w:rPr>
          <w:sz w:val="19"/>
          <w:szCs w:val="19"/>
        </w:rPr>
      </w:pPr>
      <w:r w:rsidRPr="00470AC8">
        <w:rPr>
          <w:sz w:val="19"/>
          <w:szCs w:val="19"/>
        </w:rPr>
        <w:t>Institutional quality also has a positive and significant effect on market efficiency. This indicates that stronger governance, better regulation, the rule of law, and corruption control improve financial market performance. More importantly, the interaction term between blockchain adoption and institutional quality is positive and significant. This means that blockchain adoption produces stronger efficiency gains in countries with stronger institutions.</w:t>
      </w:r>
    </w:p>
    <w:p w14:paraId="2D239612" w14:textId="77777777" w:rsidR="00F80353" w:rsidRPr="00470AC8" w:rsidRDefault="007F2E21">
      <w:pPr>
        <w:pStyle w:val="NormalWeb"/>
        <w:spacing w:beforeAutospacing="0" w:afterAutospacing="0"/>
        <w:jc w:val="both"/>
        <w:rPr>
          <w:sz w:val="19"/>
          <w:szCs w:val="19"/>
        </w:rPr>
      </w:pPr>
      <w:r w:rsidRPr="00470AC8">
        <w:rPr>
          <w:sz w:val="19"/>
          <w:szCs w:val="19"/>
        </w:rPr>
        <w:t>Among the control variables, GDP growth has a positive but weakly significant effect, suggesting that broader macroeconomic performance supports market efficiency. Inflation has a negative and significant effect, indicating that macroeconomic instability weakens market performance. Internet penetration is positive and significant, confirming the importance of digital connectivity in improving financial market efficiency.</w:t>
      </w:r>
    </w:p>
    <w:p w14:paraId="4940F4CC" w14:textId="77777777" w:rsidR="00F80353" w:rsidRPr="00470AC8" w:rsidRDefault="007F2E21">
      <w:pPr>
        <w:pStyle w:val="NormalWeb"/>
        <w:spacing w:beforeAutospacing="0" w:afterAutospacing="0"/>
        <w:jc w:val="both"/>
        <w:rPr>
          <w:sz w:val="19"/>
          <w:szCs w:val="19"/>
        </w:rPr>
      </w:pPr>
      <w:r w:rsidRPr="00470AC8">
        <w:rPr>
          <w:sz w:val="19"/>
          <w:szCs w:val="19"/>
        </w:rPr>
        <w:t xml:space="preserve">The Hansen test p-value of 0.417 confirms the validity of the instruments, while the </w:t>
      </w:r>
      <w:proofErr w:type="gramStart"/>
      <w:r w:rsidRPr="00470AC8">
        <w:rPr>
          <w:sz w:val="19"/>
          <w:szCs w:val="19"/>
        </w:rPr>
        <w:t>AR(</w:t>
      </w:r>
      <w:proofErr w:type="gramEnd"/>
      <w:r w:rsidRPr="00470AC8">
        <w:rPr>
          <w:sz w:val="19"/>
          <w:szCs w:val="19"/>
        </w:rPr>
        <w:t>2) p-value of 0.281 indicates the absence of second-order serial correlation. These diagnostic results support the reliability of the System GMM estimates.</w:t>
      </w:r>
    </w:p>
    <w:p w14:paraId="5BFC2228" w14:textId="77777777" w:rsidR="00F80353" w:rsidRPr="00470AC8" w:rsidRDefault="00F80353">
      <w:pPr>
        <w:pStyle w:val="NormalWeb"/>
        <w:spacing w:beforeAutospacing="0" w:afterAutospacing="0"/>
        <w:jc w:val="both"/>
        <w:rPr>
          <w:sz w:val="19"/>
          <w:szCs w:val="19"/>
        </w:rPr>
      </w:pPr>
    </w:p>
    <w:p w14:paraId="72B72F85"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4.6 Robustness Results</w:t>
      </w:r>
    </w:p>
    <w:p w14:paraId="78A6FD18" w14:textId="77777777" w:rsidR="00F80353" w:rsidRPr="00470AC8" w:rsidRDefault="007F2E21">
      <w:pPr>
        <w:pStyle w:val="NormalWeb"/>
        <w:spacing w:beforeAutospacing="0" w:afterAutospacing="0"/>
        <w:jc w:val="both"/>
        <w:rPr>
          <w:sz w:val="19"/>
          <w:szCs w:val="19"/>
        </w:rPr>
      </w:pPr>
      <w:r w:rsidRPr="00470AC8">
        <w:rPr>
          <w:sz w:val="19"/>
          <w:szCs w:val="19"/>
        </w:rPr>
        <w:t>To confirm the reliability of the baseline results, the study estimated alternative models using fixed effects, Driscoll-Kraay standard errors, and quantile regression.</w:t>
      </w:r>
    </w:p>
    <w:p w14:paraId="3948849F" w14:textId="77777777" w:rsidR="00F80353" w:rsidRPr="00470AC8" w:rsidRDefault="007F2E21">
      <w:pPr>
        <w:pStyle w:val="NormalWeb"/>
        <w:spacing w:beforeAutospacing="0" w:afterAutospacing="0"/>
        <w:jc w:val="center"/>
        <w:rPr>
          <w:sz w:val="19"/>
          <w:szCs w:val="19"/>
        </w:rPr>
      </w:pPr>
      <w:r w:rsidRPr="00470AC8">
        <w:rPr>
          <w:rStyle w:val="Strong"/>
          <w:sz w:val="19"/>
          <w:szCs w:val="19"/>
        </w:rPr>
        <w:t>Table 6: Robustness Results</w:t>
      </w:r>
    </w:p>
    <w:tbl>
      <w:tblPr>
        <w:tblW w:w="7830" w:type="dxa"/>
        <w:tblInd w:w="93" w:type="dxa"/>
        <w:tblLook w:val="04A0" w:firstRow="1" w:lastRow="0" w:firstColumn="1" w:lastColumn="0" w:noHBand="0" w:noVBand="1"/>
      </w:tblPr>
      <w:tblGrid>
        <w:gridCol w:w="1875"/>
        <w:gridCol w:w="2010"/>
        <w:gridCol w:w="1830"/>
        <w:gridCol w:w="2115"/>
      </w:tblGrid>
      <w:tr w:rsidR="00F80353" w:rsidRPr="00470AC8" w14:paraId="144FCC7E" w14:textId="77777777">
        <w:trPr>
          <w:trHeight w:val="800"/>
        </w:trPr>
        <w:tc>
          <w:tcPr>
            <w:tcW w:w="1875" w:type="dxa"/>
            <w:tcBorders>
              <w:top w:val="single" w:sz="8" w:space="0" w:color="000000"/>
              <w:left w:val="single" w:sz="8" w:space="0" w:color="000000"/>
              <w:bottom w:val="single" w:sz="8" w:space="0" w:color="000000"/>
              <w:right w:val="nil"/>
            </w:tcBorders>
            <w:vAlign w:val="center"/>
          </w:tcPr>
          <w:p w14:paraId="2E1487D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Variable</w:t>
            </w:r>
          </w:p>
        </w:tc>
        <w:tc>
          <w:tcPr>
            <w:tcW w:w="2010" w:type="dxa"/>
            <w:tcBorders>
              <w:top w:val="single" w:sz="8" w:space="0" w:color="000000"/>
              <w:left w:val="nil"/>
              <w:bottom w:val="single" w:sz="8" w:space="0" w:color="000000"/>
              <w:right w:val="nil"/>
            </w:tcBorders>
            <w:vAlign w:val="center"/>
          </w:tcPr>
          <w:p w14:paraId="64AB8F1A"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Fixed Effects</w:t>
            </w:r>
          </w:p>
        </w:tc>
        <w:tc>
          <w:tcPr>
            <w:tcW w:w="1830" w:type="dxa"/>
            <w:tcBorders>
              <w:top w:val="single" w:sz="8" w:space="0" w:color="000000"/>
              <w:left w:val="nil"/>
              <w:bottom w:val="single" w:sz="8" w:space="0" w:color="000000"/>
              <w:right w:val="nil"/>
            </w:tcBorders>
            <w:vAlign w:val="center"/>
          </w:tcPr>
          <w:p w14:paraId="249DD66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Driscoll-Kraay</w:t>
            </w:r>
          </w:p>
        </w:tc>
        <w:tc>
          <w:tcPr>
            <w:tcW w:w="2115" w:type="dxa"/>
            <w:tcBorders>
              <w:top w:val="single" w:sz="8" w:space="0" w:color="000000"/>
              <w:left w:val="nil"/>
              <w:bottom w:val="single" w:sz="8" w:space="0" w:color="000000"/>
              <w:right w:val="single" w:sz="8" w:space="0" w:color="000000"/>
            </w:tcBorders>
            <w:vAlign w:val="center"/>
          </w:tcPr>
          <w:p w14:paraId="5636EDDB"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Quantile Regression</w:t>
            </w:r>
          </w:p>
        </w:tc>
      </w:tr>
      <w:tr w:rsidR="00F80353" w:rsidRPr="00470AC8" w14:paraId="2DE7E955" w14:textId="77777777">
        <w:trPr>
          <w:trHeight w:val="800"/>
        </w:trPr>
        <w:tc>
          <w:tcPr>
            <w:tcW w:w="1875" w:type="dxa"/>
            <w:tcBorders>
              <w:top w:val="nil"/>
              <w:left w:val="single" w:sz="8" w:space="0" w:color="000000"/>
              <w:bottom w:val="nil"/>
              <w:right w:val="nil"/>
            </w:tcBorders>
            <w:vAlign w:val="center"/>
          </w:tcPr>
          <w:p w14:paraId="5464C0C2"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lastRenderedPageBreak/>
              <w:t>BAI</w:t>
            </w:r>
          </w:p>
        </w:tc>
        <w:tc>
          <w:tcPr>
            <w:tcW w:w="2010" w:type="dxa"/>
            <w:tcBorders>
              <w:top w:val="nil"/>
              <w:left w:val="nil"/>
              <w:bottom w:val="nil"/>
              <w:right w:val="nil"/>
            </w:tcBorders>
            <w:vAlign w:val="center"/>
          </w:tcPr>
          <w:p w14:paraId="3843BB2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0.243**</w:t>
            </w:r>
          </w:p>
        </w:tc>
        <w:tc>
          <w:tcPr>
            <w:tcW w:w="1830" w:type="dxa"/>
            <w:tcBorders>
              <w:top w:val="nil"/>
              <w:left w:val="nil"/>
              <w:bottom w:val="nil"/>
              <w:right w:val="nil"/>
            </w:tcBorders>
            <w:vAlign w:val="center"/>
          </w:tcPr>
          <w:p w14:paraId="196F977E"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0.261***</w:t>
            </w:r>
          </w:p>
        </w:tc>
        <w:tc>
          <w:tcPr>
            <w:tcW w:w="2115" w:type="dxa"/>
            <w:tcBorders>
              <w:top w:val="nil"/>
              <w:left w:val="nil"/>
              <w:bottom w:val="nil"/>
              <w:right w:val="single" w:sz="8" w:space="0" w:color="000000"/>
            </w:tcBorders>
            <w:vAlign w:val="center"/>
          </w:tcPr>
          <w:p w14:paraId="69138BD2"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0.219**</w:t>
            </w:r>
          </w:p>
        </w:tc>
      </w:tr>
      <w:tr w:rsidR="00F80353" w:rsidRPr="00470AC8" w14:paraId="79013755" w14:textId="77777777">
        <w:trPr>
          <w:trHeight w:val="800"/>
        </w:trPr>
        <w:tc>
          <w:tcPr>
            <w:tcW w:w="1875" w:type="dxa"/>
            <w:tcBorders>
              <w:top w:val="nil"/>
              <w:left w:val="single" w:sz="8" w:space="0" w:color="000000"/>
              <w:bottom w:val="nil"/>
              <w:right w:val="nil"/>
            </w:tcBorders>
            <w:vAlign w:val="center"/>
          </w:tcPr>
          <w:p w14:paraId="34EF26E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INST</w:t>
            </w:r>
          </w:p>
        </w:tc>
        <w:tc>
          <w:tcPr>
            <w:tcW w:w="2010" w:type="dxa"/>
            <w:tcBorders>
              <w:top w:val="nil"/>
              <w:left w:val="nil"/>
              <w:bottom w:val="nil"/>
              <w:right w:val="nil"/>
            </w:tcBorders>
            <w:vAlign w:val="center"/>
          </w:tcPr>
          <w:p w14:paraId="55B3B778"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0.168**</w:t>
            </w:r>
          </w:p>
        </w:tc>
        <w:tc>
          <w:tcPr>
            <w:tcW w:w="1830" w:type="dxa"/>
            <w:tcBorders>
              <w:top w:val="nil"/>
              <w:left w:val="nil"/>
              <w:bottom w:val="nil"/>
              <w:right w:val="nil"/>
            </w:tcBorders>
            <w:vAlign w:val="center"/>
          </w:tcPr>
          <w:p w14:paraId="6A924AB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0.181**</w:t>
            </w:r>
          </w:p>
        </w:tc>
        <w:tc>
          <w:tcPr>
            <w:tcW w:w="2115" w:type="dxa"/>
            <w:tcBorders>
              <w:top w:val="nil"/>
              <w:left w:val="nil"/>
              <w:bottom w:val="nil"/>
              <w:right w:val="single" w:sz="8" w:space="0" w:color="000000"/>
            </w:tcBorders>
            <w:vAlign w:val="center"/>
          </w:tcPr>
          <w:p w14:paraId="094A0DD4"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0.153*</w:t>
            </w:r>
          </w:p>
        </w:tc>
      </w:tr>
      <w:tr w:rsidR="00F80353" w:rsidRPr="00470AC8" w14:paraId="749BB15A" w14:textId="77777777">
        <w:trPr>
          <w:trHeight w:val="800"/>
        </w:trPr>
        <w:tc>
          <w:tcPr>
            <w:tcW w:w="1875" w:type="dxa"/>
            <w:tcBorders>
              <w:top w:val="nil"/>
              <w:left w:val="single" w:sz="8" w:space="0" w:color="000000"/>
              <w:bottom w:val="single" w:sz="8" w:space="0" w:color="000000"/>
              <w:right w:val="nil"/>
            </w:tcBorders>
            <w:vAlign w:val="center"/>
          </w:tcPr>
          <w:p w14:paraId="3EB4B65C"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BAI × INST</w:t>
            </w:r>
          </w:p>
        </w:tc>
        <w:tc>
          <w:tcPr>
            <w:tcW w:w="2010" w:type="dxa"/>
            <w:tcBorders>
              <w:top w:val="nil"/>
              <w:left w:val="nil"/>
              <w:bottom w:val="single" w:sz="8" w:space="0" w:color="000000"/>
              <w:right w:val="nil"/>
            </w:tcBorders>
            <w:vAlign w:val="center"/>
          </w:tcPr>
          <w:p w14:paraId="35C4B247"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0.097*</w:t>
            </w:r>
          </w:p>
        </w:tc>
        <w:tc>
          <w:tcPr>
            <w:tcW w:w="1830" w:type="dxa"/>
            <w:tcBorders>
              <w:top w:val="nil"/>
              <w:left w:val="nil"/>
              <w:bottom w:val="single" w:sz="8" w:space="0" w:color="000000"/>
              <w:right w:val="nil"/>
            </w:tcBorders>
            <w:vAlign w:val="center"/>
          </w:tcPr>
          <w:p w14:paraId="55F812E0"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0.111**</w:t>
            </w:r>
          </w:p>
        </w:tc>
        <w:tc>
          <w:tcPr>
            <w:tcW w:w="2115" w:type="dxa"/>
            <w:tcBorders>
              <w:top w:val="nil"/>
              <w:left w:val="nil"/>
              <w:bottom w:val="single" w:sz="8" w:space="0" w:color="000000"/>
              <w:right w:val="single" w:sz="8" w:space="0" w:color="000000"/>
            </w:tcBorders>
            <w:vAlign w:val="center"/>
          </w:tcPr>
          <w:p w14:paraId="28F90759" w14:textId="77777777" w:rsidR="00F80353" w:rsidRPr="00470AC8" w:rsidRDefault="007F2E21">
            <w:pPr>
              <w:jc w:val="both"/>
              <w:rPr>
                <w:rFonts w:ascii="Times New Roman" w:hAnsi="Times New Roman" w:cs="Times New Roman"/>
                <w:sz w:val="19"/>
                <w:szCs w:val="19"/>
                <w:lang w:val="en-CA"/>
              </w:rPr>
            </w:pPr>
            <w:r w:rsidRPr="00470AC8">
              <w:rPr>
                <w:rFonts w:ascii="Times New Roman" w:hAnsi="Times New Roman" w:cs="Times New Roman"/>
                <w:sz w:val="19"/>
                <w:szCs w:val="19"/>
                <w:lang w:val="en-CA"/>
              </w:rPr>
              <w:t>0.089*</w:t>
            </w:r>
          </w:p>
        </w:tc>
      </w:tr>
    </w:tbl>
    <w:p w14:paraId="13EFC99A" w14:textId="77777777" w:rsidR="00F80353" w:rsidRPr="00470AC8" w:rsidRDefault="007F2E21">
      <w:pPr>
        <w:pStyle w:val="NormalWeb"/>
        <w:spacing w:beforeAutospacing="0" w:afterAutospacing="0"/>
        <w:jc w:val="both"/>
        <w:rPr>
          <w:sz w:val="19"/>
          <w:szCs w:val="19"/>
        </w:rPr>
      </w:pPr>
      <w:r w:rsidRPr="00470AC8">
        <w:rPr>
          <w:sz w:val="19"/>
          <w:szCs w:val="19"/>
        </w:rPr>
        <w:t>The robustness results are consistent with the baseline System GMM estimates. Blockchain adoption remains positive and statistically significant across all alternative estimators. This strengthens the argument that blockchain adoption improves market efficiency in African capital markets.</w:t>
      </w:r>
    </w:p>
    <w:p w14:paraId="7115CED1" w14:textId="77777777" w:rsidR="00F80353" w:rsidRPr="00470AC8" w:rsidRDefault="007F2E21">
      <w:pPr>
        <w:pStyle w:val="NormalWeb"/>
        <w:spacing w:beforeAutospacing="0" w:afterAutospacing="0"/>
        <w:jc w:val="both"/>
        <w:rPr>
          <w:sz w:val="19"/>
          <w:szCs w:val="19"/>
        </w:rPr>
      </w:pPr>
      <w:r w:rsidRPr="00470AC8">
        <w:rPr>
          <w:sz w:val="19"/>
          <w:szCs w:val="19"/>
        </w:rPr>
        <w:t xml:space="preserve">Institutional quality also </w:t>
      </w:r>
      <w:proofErr w:type="gramStart"/>
      <w:r w:rsidRPr="00470AC8">
        <w:rPr>
          <w:sz w:val="19"/>
          <w:szCs w:val="19"/>
        </w:rPr>
        <w:t>retains</w:t>
      </w:r>
      <w:proofErr w:type="gramEnd"/>
      <w:r w:rsidRPr="00470AC8">
        <w:rPr>
          <w:sz w:val="19"/>
          <w:szCs w:val="19"/>
        </w:rPr>
        <w:t xml:space="preserve"> a positive effect, while the interaction term remains significant. This confirms that institutional conditions shape the strength of the blockchain-market efficiency relationship. The Driscoll-Kraay results further show that the findings remain robust after correcting for heteroskedasticity, autocorrelation, and cross-sectional dependence.</w:t>
      </w:r>
    </w:p>
    <w:p w14:paraId="6CAC18C4" w14:textId="77777777" w:rsidR="00F80353" w:rsidRPr="00470AC8" w:rsidRDefault="00F80353">
      <w:pPr>
        <w:pStyle w:val="NormalWeb"/>
        <w:spacing w:beforeAutospacing="0" w:afterAutospacing="0"/>
        <w:jc w:val="both"/>
        <w:rPr>
          <w:sz w:val="19"/>
          <w:szCs w:val="19"/>
        </w:rPr>
      </w:pPr>
    </w:p>
    <w:p w14:paraId="213F0653" w14:textId="77777777" w:rsidR="00F80353" w:rsidRPr="00470AC8" w:rsidRDefault="007F2E21">
      <w:pPr>
        <w:jc w:val="both"/>
        <w:rPr>
          <w:rFonts w:ascii="Times New Roman" w:eastAsia="SimSun" w:hAnsi="Times New Roman" w:cs="Times New Roman"/>
          <w:b/>
          <w:bCs/>
          <w:sz w:val="22"/>
          <w:szCs w:val="22"/>
          <w:lang w:bidi="ar"/>
        </w:rPr>
      </w:pPr>
      <w:r w:rsidRPr="00470AC8">
        <w:rPr>
          <w:rFonts w:ascii="Times New Roman" w:eastAsia="SimSun" w:hAnsi="Times New Roman" w:cs="Times New Roman"/>
          <w:b/>
          <w:bCs/>
          <w:sz w:val="22"/>
          <w:szCs w:val="22"/>
          <w:lang w:bidi="ar"/>
        </w:rPr>
        <w:t>4.7 Analysis and Discussion of Research Questions</w:t>
      </w:r>
    </w:p>
    <w:p w14:paraId="09E26005"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empirical findings are discussed in relation to the research questions concerning blockchain adoption, market efficiency, stock-return predictability, bid-ask spread, market turnover, institutional quality, and differences among the selected African capital markets.</w:t>
      </w:r>
    </w:p>
    <w:p w14:paraId="4C8A4654" w14:textId="77777777" w:rsidR="00F80353" w:rsidRPr="00470AC8" w:rsidRDefault="00F80353">
      <w:pPr>
        <w:pStyle w:val="Heading4"/>
        <w:spacing w:beforeAutospacing="0" w:afterAutospacing="0"/>
        <w:jc w:val="both"/>
        <w:rPr>
          <w:rFonts w:ascii="Times New Roman" w:hAnsi="Times New Roman" w:hint="default"/>
          <w:sz w:val="19"/>
          <w:szCs w:val="19"/>
        </w:rPr>
      </w:pPr>
    </w:p>
    <w:p w14:paraId="6FB8EC4A" w14:textId="77777777" w:rsidR="00F80353" w:rsidRPr="00470AC8" w:rsidRDefault="007F2E21">
      <w:pPr>
        <w:pStyle w:val="Heading4"/>
        <w:spacing w:beforeAutospacing="0" w:afterAutospacing="0"/>
        <w:jc w:val="both"/>
        <w:rPr>
          <w:rFonts w:ascii="Times New Roman" w:hAnsi="Times New Roman" w:hint="default"/>
          <w:sz w:val="19"/>
          <w:szCs w:val="19"/>
        </w:rPr>
      </w:pPr>
      <w:r w:rsidRPr="00470AC8">
        <w:rPr>
          <w:rFonts w:ascii="Times New Roman" w:hAnsi="Times New Roman" w:hint="default"/>
          <w:sz w:val="19"/>
          <w:szCs w:val="19"/>
        </w:rPr>
        <w:t>4.7.1 Blockchain Adoption and Market Efficiency</w:t>
      </w:r>
    </w:p>
    <w:p w14:paraId="244DC2AE"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first research question examined whether blockchain adoption improves market efficiency in African capital markets. The System GMM result shows that the Blockchain Adoption Index has a positive coefficient of 0.287 and is statistically significant at the 1% level. This indicates that increased blockchain adoption significantly improves market efficiency in the selected African capital markets.</w:t>
      </w:r>
    </w:p>
    <w:p w14:paraId="563240FC"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result suggests that blockchain-supported trading, clearing, custody, and settlement systems improve the speed, accuracy, and transparency of market transactions. They also reduce reconciliation delays, settlement risks, transaction costs, and information asymmetry. These improvements allow relevant information to be incorporated into security prices more quickly and strengthen the price-discovery process.</w:t>
      </w:r>
    </w:p>
    <w:p w14:paraId="60F3F117"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result supports the Efficient Market Hypothesis, which associates market efficiency with the rapid incorporation of available information into asset prices. It is also consistent with literature on blockchain and distributed-ledger applications that emphasises transparency and transaction-process efficiency (Treiblmaier &amp; Clohessy, 2020), stakeholder expectations for improved clearing and settlement processes in South Africa (Dowelani et al., 2023), and evidence that liquidity conditions matter for digital-asset market efficiency (Bouteska et al., 2025).</w:t>
      </w:r>
    </w:p>
    <w:p w14:paraId="0974EEA1" w14:textId="77777777" w:rsidR="00F80353" w:rsidRPr="00470AC8" w:rsidRDefault="00F80353">
      <w:pPr>
        <w:jc w:val="both"/>
        <w:rPr>
          <w:rFonts w:ascii="Times New Roman" w:eastAsia="SimSun" w:hAnsi="Times New Roman" w:cs="Times New Roman"/>
          <w:sz w:val="19"/>
          <w:szCs w:val="19"/>
          <w:lang w:bidi="ar"/>
        </w:rPr>
      </w:pPr>
    </w:p>
    <w:p w14:paraId="65F33FD9" w14:textId="77777777" w:rsidR="00F80353" w:rsidRPr="00470AC8" w:rsidRDefault="007F2E21">
      <w:pPr>
        <w:pStyle w:val="Heading4"/>
        <w:spacing w:beforeAutospacing="0" w:afterAutospacing="0"/>
        <w:jc w:val="both"/>
        <w:rPr>
          <w:rFonts w:ascii="Times New Roman" w:hAnsi="Times New Roman" w:hint="default"/>
          <w:sz w:val="19"/>
          <w:szCs w:val="19"/>
        </w:rPr>
      </w:pPr>
      <w:r w:rsidRPr="00470AC8">
        <w:rPr>
          <w:rFonts w:ascii="Times New Roman" w:hAnsi="Times New Roman" w:hint="default"/>
          <w:sz w:val="19"/>
          <w:szCs w:val="19"/>
        </w:rPr>
        <w:t>4.7.2 Blockchain Adoption and Stock-Return Predictability</w:t>
      </w:r>
    </w:p>
    <w:p w14:paraId="3FE54BDD"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second research question examined the effect of blockchain adoption on stock-return predictability. The analysis indicates that increased blockchain adoption reduces the predictability of stock returns. This relationship implies that historical price information becomes less useful for predicting future returns as blockchain-supported market infrastructure develops.</w:t>
      </w:r>
    </w:p>
    <w:p w14:paraId="5A9C2391"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Blockchain adoption improves the dissemination of trading information and reduces delays in transaction recording and confirmation. Consequently, market participants receive relevant information more quickly, and security prices adjust more rapidly to changing market conditions. Reduced return predictability therefore represents an improvement in weak-form market efficiency.</w:t>
      </w:r>
    </w:p>
    <w:p w14:paraId="330D5A0D"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finding is consistent with the Efficient Market Hypothesis because an efficient market should prevent investors from earning persistent abnormal returns solely from historical price patterns. It also indicates that blockchain adoption may reduce informational advantages arising from delayed disclosures, fragmented transaction records, and unequal access to market information.</w:t>
      </w:r>
    </w:p>
    <w:p w14:paraId="22447F8A" w14:textId="77777777" w:rsidR="00F80353" w:rsidRPr="00470AC8" w:rsidRDefault="00F80353">
      <w:pPr>
        <w:jc w:val="both"/>
        <w:rPr>
          <w:rFonts w:ascii="Times New Roman" w:eastAsia="SimSun" w:hAnsi="Times New Roman" w:cs="Times New Roman"/>
          <w:sz w:val="19"/>
          <w:szCs w:val="19"/>
          <w:lang w:bidi="ar"/>
        </w:rPr>
      </w:pPr>
    </w:p>
    <w:p w14:paraId="38DD8A4E" w14:textId="77777777" w:rsidR="00F80353" w:rsidRPr="00470AC8" w:rsidRDefault="007F2E21">
      <w:pPr>
        <w:pStyle w:val="Heading4"/>
        <w:spacing w:beforeAutospacing="0" w:afterAutospacing="0"/>
        <w:jc w:val="both"/>
        <w:rPr>
          <w:rFonts w:ascii="Times New Roman" w:hAnsi="Times New Roman" w:hint="default"/>
          <w:sz w:val="19"/>
          <w:szCs w:val="19"/>
        </w:rPr>
      </w:pPr>
      <w:r w:rsidRPr="00470AC8">
        <w:rPr>
          <w:rFonts w:ascii="Times New Roman" w:hAnsi="Times New Roman" w:hint="default"/>
          <w:sz w:val="19"/>
          <w:szCs w:val="19"/>
        </w:rPr>
        <w:t>4.7.3 Blockchain Adoption and Bid-Ask Spread</w:t>
      </w:r>
    </w:p>
    <w:p w14:paraId="260F9C84"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third research question considered whether blockchain adoption significantly reduces bid-ask spreads in African exchanges. The analysis establishes a negative relationship between blockchain adoption and the bid-ask spread. Thus, greater adoption of blockchain-supported financial infrastructure is associated with narrower spreads and improved market liquidity.</w:t>
      </w:r>
    </w:p>
    <w:p w14:paraId="3FF4470D"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Bid-ask spreads partly compensate market participants for information asymmetry, transaction-processing costs, inventory risk, and settlement uncertainty. Blockchain technology can reduce these risks by providing transparent and verifiable transaction records, automating confirmation processes, and improving the </w:t>
      </w:r>
      <w:r w:rsidRPr="00470AC8">
        <w:rPr>
          <w:rFonts w:ascii="Times New Roman" w:eastAsia="SimSun" w:hAnsi="Times New Roman" w:cs="Times New Roman"/>
          <w:sz w:val="19"/>
          <w:szCs w:val="19"/>
          <w:lang w:bidi="ar"/>
        </w:rPr>
        <w:lastRenderedPageBreak/>
        <w:t>traceability of securities transactions. The resulting reduction in transaction uncertainty allows buyers and sellers to trade at prices that are closer to one another.</w:t>
      </w:r>
    </w:p>
    <w:p w14:paraId="1956820F"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This finding indicates that blockchain adoption can improve the transactional dimension of market efficiency. Narrower spreads reduce investors’ trading costs and may encourage greater participation, particularly in African exchanges where weak liquidity and relatively high transaction costs remain important constraints.</w:t>
      </w:r>
    </w:p>
    <w:p w14:paraId="26C8461A" w14:textId="77777777" w:rsidR="00F80353" w:rsidRPr="00470AC8" w:rsidRDefault="00F80353">
      <w:pPr>
        <w:jc w:val="both"/>
        <w:rPr>
          <w:rFonts w:ascii="Times New Roman" w:eastAsia="SimSun" w:hAnsi="Times New Roman" w:cs="Times New Roman"/>
          <w:sz w:val="19"/>
          <w:szCs w:val="19"/>
          <w:lang w:bidi="ar"/>
        </w:rPr>
      </w:pPr>
    </w:p>
    <w:p w14:paraId="6C362650" w14:textId="77777777" w:rsidR="00F80353" w:rsidRPr="00470AC8" w:rsidRDefault="007F2E21">
      <w:pPr>
        <w:pStyle w:val="Heading4"/>
        <w:spacing w:beforeAutospacing="0" w:afterAutospacing="0"/>
        <w:jc w:val="both"/>
        <w:rPr>
          <w:rFonts w:ascii="Times New Roman" w:hAnsi="Times New Roman" w:hint="default"/>
          <w:sz w:val="19"/>
          <w:szCs w:val="19"/>
        </w:rPr>
      </w:pPr>
      <w:r w:rsidRPr="00470AC8">
        <w:rPr>
          <w:rFonts w:ascii="Times New Roman" w:hAnsi="Times New Roman" w:hint="default"/>
          <w:sz w:val="19"/>
          <w:szCs w:val="19"/>
        </w:rPr>
        <w:t>4.7.4 Blockchain Adoption and Market Turnover</w:t>
      </w:r>
    </w:p>
    <w:p w14:paraId="7468C737"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The fourth research question examined the relationship between blockchain adoption and the market turnover ratio. The findings reveal a positive relationship between the Blockchain Adoption Index and market turnover. Increased blockchain adoption is therefore associated with greater trading activity relative to market </w:t>
      </w:r>
      <w:proofErr w:type="spellStart"/>
      <w:r w:rsidRPr="00470AC8">
        <w:rPr>
          <w:rFonts w:ascii="Times New Roman" w:eastAsia="SimSun" w:hAnsi="Times New Roman" w:cs="Times New Roman"/>
          <w:sz w:val="19"/>
          <w:szCs w:val="19"/>
          <w:lang w:bidi="ar"/>
        </w:rPr>
        <w:t>capitalisation</w:t>
      </w:r>
      <w:proofErr w:type="spellEnd"/>
      <w:r w:rsidRPr="00470AC8">
        <w:rPr>
          <w:rFonts w:ascii="Times New Roman" w:eastAsia="SimSun" w:hAnsi="Times New Roman" w:cs="Times New Roman"/>
          <w:sz w:val="19"/>
          <w:szCs w:val="19"/>
          <w:lang w:bidi="ar"/>
        </w:rPr>
        <w:t>.</w:t>
      </w:r>
    </w:p>
    <w:p w14:paraId="72AF886E"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Blockchain-enabled infrastructure may improve turnover by reducing transaction costs, shortening settlement periods, strengthening transaction security, and increasing investor confidence. Improved transparency and auditability can also encourage domestic and foreign investors to participate more actively in the market. Where blockchain facilitates asset </w:t>
      </w:r>
      <w:proofErr w:type="spellStart"/>
      <w:r w:rsidRPr="00470AC8">
        <w:rPr>
          <w:rFonts w:ascii="Times New Roman" w:eastAsia="SimSun" w:hAnsi="Times New Roman" w:cs="Times New Roman"/>
          <w:sz w:val="19"/>
          <w:szCs w:val="19"/>
          <w:lang w:bidi="ar"/>
        </w:rPr>
        <w:t>tokenisation</w:t>
      </w:r>
      <w:proofErr w:type="spellEnd"/>
      <w:r w:rsidRPr="00470AC8">
        <w:rPr>
          <w:rFonts w:ascii="Times New Roman" w:eastAsia="SimSun" w:hAnsi="Times New Roman" w:cs="Times New Roman"/>
          <w:sz w:val="19"/>
          <w:szCs w:val="19"/>
          <w:lang w:bidi="ar"/>
        </w:rPr>
        <w:t xml:space="preserve"> and fractional ownership, it may further expand access to securities among smaller investors.</w:t>
      </w:r>
    </w:p>
    <w:p w14:paraId="5311E31D"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positive relationship between blockchain adoption and the turnover ratio supports the argument that digital financial infrastructure improves market liquidity and participation. However, the strength of this effect depends on complementary factors such as internet connectivity, investor awareness, market depth, regulatory clarity, and institutional credibility.</w:t>
      </w:r>
    </w:p>
    <w:p w14:paraId="7042B2D0" w14:textId="77777777" w:rsidR="00F80353" w:rsidRPr="00470AC8" w:rsidRDefault="00F80353">
      <w:pPr>
        <w:jc w:val="both"/>
        <w:rPr>
          <w:rFonts w:ascii="Times New Roman" w:eastAsia="SimSun" w:hAnsi="Times New Roman" w:cs="Times New Roman"/>
          <w:sz w:val="19"/>
          <w:szCs w:val="19"/>
          <w:lang w:bidi="ar"/>
        </w:rPr>
      </w:pPr>
    </w:p>
    <w:p w14:paraId="49D2C940" w14:textId="77777777" w:rsidR="00F80353" w:rsidRPr="00470AC8" w:rsidRDefault="007F2E21">
      <w:pPr>
        <w:pStyle w:val="Heading4"/>
        <w:spacing w:beforeAutospacing="0" w:afterAutospacing="0"/>
        <w:jc w:val="both"/>
        <w:rPr>
          <w:rFonts w:ascii="Times New Roman" w:hAnsi="Times New Roman" w:hint="default"/>
          <w:sz w:val="19"/>
          <w:szCs w:val="19"/>
        </w:rPr>
      </w:pPr>
      <w:r w:rsidRPr="00470AC8">
        <w:rPr>
          <w:rFonts w:ascii="Times New Roman" w:hAnsi="Times New Roman" w:hint="default"/>
          <w:sz w:val="19"/>
          <w:szCs w:val="19"/>
        </w:rPr>
        <w:t>4.7.5 Moderating Role of Institutional Quality</w:t>
      </w:r>
    </w:p>
    <w:p w14:paraId="367F8779"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fifth research question assessed whether institutional quality moderates the relationship between blockchain adoption and market efficiency. The interaction between blockchain adoption and institutional quality has a positive coefficient of 0.116 and a probability value of 0.017. The interaction effect is therefore positive and statistically significant at the 5% level.</w:t>
      </w:r>
    </w:p>
    <w:p w14:paraId="557D0406"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result shows that institutional quality strengthens the positive effect of blockchain adoption on market efficiency. The estimated conditional effect can be expressed as:</w:t>
      </w:r>
    </w:p>
    <w:p w14:paraId="38103691" w14:textId="77777777" w:rsidR="00F80353" w:rsidRPr="00470AC8" w:rsidRDefault="00F80353">
      <w:pPr>
        <w:jc w:val="both"/>
        <w:rPr>
          <w:rFonts w:ascii="Times New Roman" w:eastAsia="SimSun" w:hAnsi="Times New Roman" w:cs="Times New Roman"/>
          <w:sz w:val="19"/>
          <w:szCs w:val="19"/>
          <w:lang w:bidi="ar"/>
        </w:rPr>
      </w:pPr>
    </w:p>
    <w:p w14:paraId="610A3117" w14:textId="77777777" w:rsidR="00F80353" w:rsidRPr="00470AC8" w:rsidRDefault="007F2E21">
      <w:pPr>
        <w:rPr>
          <w:rFonts w:ascii="SimSun" w:eastAsia="SimSun" w:hAnsi="SimSun" w:cs="SimSun"/>
          <w:sz w:val="24"/>
          <w:szCs w:val="24"/>
          <w:vertAlign w:val="subscript"/>
          <w:lang w:val="en-CA" w:bidi="ar"/>
        </w:rPr>
      </w:pPr>
      <w:r w:rsidRPr="00470AC8">
        <w:rPr>
          <w:rFonts w:ascii="SimSun" w:eastAsia="SimSun" w:hAnsi="SimSun" w:cs="SimSun"/>
          <w:sz w:val="24"/>
          <w:szCs w:val="24"/>
          <w:u w:val="single"/>
          <w:lang w:bidi="ar"/>
        </w:rPr>
        <w:t>∂BAI</w:t>
      </w:r>
      <w:r w:rsidRPr="00470AC8">
        <w:rPr>
          <w:rFonts w:ascii="SimSun" w:eastAsia="SimSun" w:hAnsi="SimSun" w:cs="SimSun"/>
          <w:sz w:val="24"/>
          <w:szCs w:val="24"/>
          <w:u w:val="single"/>
          <w:vertAlign w:val="subscript"/>
          <w:lang w:val="en-CA" w:bidi="ar"/>
        </w:rPr>
        <w:t>it</w:t>
      </w:r>
      <w:r w:rsidRPr="00470AC8">
        <w:rPr>
          <w:rFonts w:ascii="SimSun" w:eastAsia="SimSun" w:hAnsi="SimSun" w:cs="SimSun"/>
          <w:sz w:val="24"/>
          <w:szCs w:val="24"/>
          <w:vertAlign w:val="subscript"/>
          <w:lang w:val="en-CA" w:bidi="ar"/>
        </w:rPr>
        <w:t xml:space="preserve">            </w:t>
      </w:r>
      <w:r w:rsidRPr="00470AC8">
        <w:rPr>
          <w:rFonts w:ascii="SimSun" w:eastAsia="SimSun" w:hAnsi="SimSun" w:cs="SimSun"/>
          <w:sz w:val="24"/>
          <w:szCs w:val="24"/>
          <w:lang w:bidi="ar"/>
        </w:rPr>
        <w:t>=0.287+0.116INST</w:t>
      </w:r>
      <w:r w:rsidRPr="00470AC8">
        <w:rPr>
          <w:rFonts w:ascii="SimSun" w:eastAsia="SimSun" w:hAnsi="SimSun" w:cs="SimSun"/>
          <w:sz w:val="24"/>
          <w:szCs w:val="24"/>
          <w:vertAlign w:val="subscript"/>
          <w:lang w:val="en-CA" w:bidi="ar"/>
        </w:rPr>
        <w:t>it</w:t>
      </w:r>
      <w:r w:rsidRPr="00470AC8">
        <w:rPr>
          <w:rFonts w:ascii="SimSun" w:eastAsia="SimSun" w:hAnsi="SimSun" w:cs="SimSun"/>
          <w:sz w:val="24"/>
          <w:szCs w:val="24"/>
          <w:lang w:bidi="ar"/>
        </w:rPr>
        <w:t xml:space="preserve">​ </w:t>
      </w:r>
    </w:p>
    <w:p w14:paraId="5F0A2615" w14:textId="77777777" w:rsidR="00F80353" w:rsidRPr="00470AC8" w:rsidRDefault="007F2E21">
      <w:pPr>
        <w:rPr>
          <w:rFonts w:ascii="SimSun" w:eastAsia="SimSun" w:hAnsi="SimSun" w:cs="SimSun"/>
          <w:sz w:val="24"/>
          <w:szCs w:val="24"/>
          <w:u w:val="single"/>
          <w:vertAlign w:val="subscript"/>
          <w:lang w:val="en-CA" w:bidi="ar"/>
        </w:rPr>
      </w:pPr>
      <w:r w:rsidRPr="00470AC8">
        <w:rPr>
          <w:rFonts w:ascii="SimSun" w:eastAsia="SimSun" w:hAnsi="SimSun" w:cs="SimSun"/>
          <w:sz w:val="24"/>
          <w:szCs w:val="24"/>
          <w:lang w:bidi="ar"/>
        </w:rPr>
        <w:t>∂ME</w:t>
      </w:r>
      <w:r w:rsidRPr="00470AC8">
        <w:rPr>
          <w:rFonts w:ascii="SimSun" w:eastAsia="SimSun" w:hAnsi="SimSun" w:cs="SimSun"/>
          <w:sz w:val="24"/>
          <w:szCs w:val="24"/>
          <w:vertAlign w:val="subscript"/>
          <w:lang w:val="en-CA" w:bidi="ar"/>
        </w:rPr>
        <w:t>it</w:t>
      </w:r>
    </w:p>
    <w:p w14:paraId="2363CE98" w14:textId="77777777" w:rsidR="00F80353" w:rsidRPr="00470AC8" w:rsidRDefault="007F2E21">
      <w:pPr>
        <w:jc w:val="both"/>
        <w:rPr>
          <w:rFonts w:ascii="Times New Roman" w:hAnsi="Times New Roman" w:cs="Times New Roman"/>
          <w:sz w:val="19"/>
          <w:szCs w:val="19"/>
        </w:rPr>
      </w:pPr>
      <w:r w:rsidRPr="00470AC8">
        <w:rPr>
          <w:rFonts w:ascii="Times New Roman" w:eastAsia="SimSun" w:hAnsi="Times New Roman" w:cs="Times New Roman"/>
          <w:sz w:val="19"/>
          <w:szCs w:val="19"/>
          <w:lang w:bidi="ar"/>
        </w:rPr>
        <w:t xml:space="preserve"> </w:t>
      </w:r>
    </w:p>
    <w:p w14:paraId="46F96453"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expression indicates that the effect of blockchain adoption on market efficiency increases as institutional quality improves. Countries with stronger regulatory systems, effective contract enforcement, credible investor protection, better corruption control, and greater respect for the rule of law are more capable of obtaining efficiency benefits from blockchain technology.</w:t>
      </w:r>
    </w:p>
    <w:p w14:paraId="688AAC73"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 xml:space="preserve">Blockchain infrastructure may provide transparent and tamper-resistant transaction records, but legal and institutional arrangements determine whether digital transactions are </w:t>
      </w:r>
      <w:proofErr w:type="spellStart"/>
      <w:r w:rsidRPr="00470AC8">
        <w:rPr>
          <w:rFonts w:ascii="Times New Roman" w:eastAsia="SimSun" w:hAnsi="Times New Roman" w:cs="Times New Roman"/>
          <w:sz w:val="19"/>
          <w:szCs w:val="19"/>
          <w:lang w:bidi="ar"/>
        </w:rPr>
        <w:t>recognised</w:t>
      </w:r>
      <w:proofErr w:type="spellEnd"/>
      <w:r w:rsidRPr="00470AC8">
        <w:rPr>
          <w:rFonts w:ascii="Times New Roman" w:eastAsia="SimSun" w:hAnsi="Times New Roman" w:cs="Times New Roman"/>
          <w:sz w:val="19"/>
          <w:szCs w:val="19"/>
          <w:lang w:bidi="ar"/>
        </w:rPr>
        <w:t>, enforceable, and trusted. Weak regulation, uncertain property rights, limited cybersecurity capacity, and ineffective dispute-resolution mechanisms may restrict the benefits of blockchain adoption. The result therefore confirms that technological development and institutional quality jointly determine market outcomes.</w:t>
      </w:r>
    </w:p>
    <w:p w14:paraId="2B06B1FD" w14:textId="77777777" w:rsidR="00F80353" w:rsidRPr="00470AC8" w:rsidRDefault="00F80353">
      <w:pPr>
        <w:jc w:val="both"/>
        <w:rPr>
          <w:rFonts w:ascii="Times New Roman" w:eastAsia="SimSun" w:hAnsi="Times New Roman" w:cs="Times New Roman"/>
          <w:sz w:val="19"/>
          <w:szCs w:val="19"/>
          <w:lang w:bidi="ar"/>
        </w:rPr>
      </w:pPr>
    </w:p>
    <w:p w14:paraId="3AE6F434" w14:textId="77777777" w:rsidR="00F80353" w:rsidRPr="00470AC8" w:rsidRDefault="007F2E21">
      <w:pPr>
        <w:pStyle w:val="Heading4"/>
        <w:spacing w:beforeAutospacing="0" w:afterAutospacing="0"/>
        <w:jc w:val="both"/>
        <w:rPr>
          <w:rFonts w:ascii="Times New Roman" w:hAnsi="Times New Roman" w:hint="default"/>
          <w:sz w:val="19"/>
          <w:szCs w:val="19"/>
        </w:rPr>
      </w:pPr>
      <w:r w:rsidRPr="00470AC8">
        <w:rPr>
          <w:rFonts w:ascii="Times New Roman" w:hAnsi="Times New Roman" w:hint="default"/>
          <w:sz w:val="19"/>
          <w:szCs w:val="19"/>
        </w:rPr>
        <w:t>4.7.6 Differences Across African Capital Markets</w:t>
      </w:r>
    </w:p>
    <w:p w14:paraId="493338B2"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sixth research question examined whether the effect of blockchain adoption differs across the selected African capital markets. The results indicate that the effect is positive across the markets but varies according to their levels of institutional quality, digital readiness, liquidity, financial-market development, and regulatory capacity.</w:t>
      </w:r>
    </w:p>
    <w:p w14:paraId="4D12DB48"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Relatively developed markets with stronger digital infrastructure and institutional arrangements are better positioned to integrate blockchain into trading, settlement, custody, disclosure, and regulatory processes. Such markets may obtain greater benefits through faster settlement, improved surveillance, lower transaction costs, and more efficient information processing. In less-developed markets, weak connectivity, limited technical expertise, shallow liquidity, regulatory uncertainty, and inadequate investor protection may reduce the effect of blockchain adoption.</w:t>
      </w:r>
    </w:p>
    <w:p w14:paraId="67733218" w14:textId="77777777" w:rsidR="00F80353" w:rsidRPr="00470AC8" w:rsidRDefault="007F2E21">
      <w:pPr>
        <w:jc w:val="both"/>
        <w:rPr>
          <w:rFonts w:ascii="Times New Roman" w:eastAsia="SimSun" w:hAnsi="Times New Roman" w:cs="Times New Roman"/>
          <w:sz w:val="19"/>
          <w:szCs w:val="19"/>
          <w:lang w:bidi="ar"/>
        </w:rPr>
      </w:pPr>
      <w:r w:rsidRPr="00470AC8">
        <w:rPr>
          <w:rFonts w:ascii="Times New Roman" w:eastAsia="SimSun" w:hAnsi="Times New Roman" w:cs="Times New Roman"/>
          <w:sz w:val="19"/>
          <w:szCs w:val="19"/>
          <w:lang w:bidi="ar"/>
        </w:rPr>
        <w:t>The quantile-regression estimate for blockchain adoption is positive at 0.219 and statistically significant. This confirms that the positive effect remains present at different levels of market efficiency. However, variation in market conditions affects the magnitude of the efficiency gains. The result supports the view that the consequences of blockchain adoption are conditional on the institutional and operational characteristics of each capital market.</w:t>
      </w:r>
    </w:p>
    <w:p w14:paraId="4955B3DC" w14:textId="77777777" w:rsidR="00F80353" w:rsidRPr="00470AC8" w:rsidRDefault="00F80353">
      <w:pPr>
        <w:pStyle w:val="NormalWeb"/>
        <w:spacing w:beforeAutospacing="0" w:afterAutospacing="0"/>
        <w:jc w:val="both"/>
        <w:rPr>
          <w:sz w:val="19"/>
          <w:szCs w:val="19"/>
        </w:rPr>
      </w:pPr>
    </w:p>
    <w:p w14:paraId="77E1E366"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4.8 Discussion of Findings</w:t>
      </w:r>
    </w:p>
    <w:p w14:paraId="2FDDB026" w14:textId="77777777" w:rsidR="00F80353" w:rsidRPr="00470AC8" w:rsidRDefault="007F2E21">
      <w:pPr>
        <w:pStyle w:val="NormalWeb"/>
        <w:spacing w:beforeAutospacing="0" w:afterAutospacing="0"/>
        <w:jc w:val="both"/>
        <w:rPr>
          <w:sz w:val="19"/>
          <w:szCs w:val="19"/>
        </w:rPr>
      </w:pPr>
      <w:r w:rsidRPr="00470AC8">
        <w:rPr>
          <w:sz w:val="19"/>
          <w:szCs w:val="19"/>
        </w:rPr>
        <w:t xml:space="preserve">The findings provide strong evidence that blockchain adoption improves market efficiency in African capital markets. This supports the Efficient Market Hypothesis, which argues that markets become more efficient </w:t>
      </w:r>
      <w:r w:rsidRPr="00470AC8">
        <w:rPr>
          <w:sz w:val="19"/>
          <w:szCs w:val="19"/>
        </w:rPr>
        <w:lastRenderedPageBreak/>
        <w:t>when information is quickly and accurately incorporated into asset prices. Blockchain contributes to this process by improving transparency, reducing information asymmetry, speeding up settlement, and reducing transaction frictions.</w:t>
      </w:r>
    </w:p>
    <w:p w14:paraId="66BB7174" w14:textId="77777777" w:rsidR="00F80353" w:rsidRPr="00470AC8" w:rsidRDefault="007F2E21">
      <w:pPr>
        <w:pStyle w:val="NormalWeb"/>
        <w:spacing w:beforeAutospacing="0" w:afterAutospacing="0"/>
        <w:jc w:val="both"/>
        <w:rPr>
          <w:sz w:val="19"/>
          <w:szCs w:val="19"/>
        </w:rPr>
      </w:pPr>
      <w:r w:rsidRPr="00470AC8">
        <w:rPr>
          <w:sz w:val="19"/>
          <w:szCs w:val="19"/>
        </w:rPr>
        <w:t>The results also support Diffusion of Innovation Theory. African exchanges with stronger digital infrastructure and greater blockchain-related adoption appear to experience better liquidity and stronger market efficiency. However, the variation in results across markets shows that adoption is not uniform. Differences in infrastructure, regulation, institutional capacity, and market maturity influence the extent of the benefits.</w:t>
      </w:r>
    </w:p>
    <w:p w14:paraId="3FFC4C34" w14:textId="77777777" w:rsidR="00F80353" w:rsidRPr="00470AC8" w:rsidRDefault="007F2E21">
      <w:pPr>
        <w:pStyle w:val="NormalWeb"/>
        <w:spacing w:beforeAutospacing="0" w:afterAutospacing="0"/>
        <w:jc w:val="both"/>
        <w:rPr>
          <w:sz w:val="19"/>
          <w:szCs w:val="19"/>
        </w:rPr>
      </w:pPr>
      <w:r w:rsidRPr="00470AC8">
        <w:rPr>
          <w:sz w:val="19"/>
          <w:szCs w:val="19"/>
        </w:rPr>
        <w:t>The positive moderating role of institutional quality aligns with the Technology Acceptance Model. Market participants are more likely to accept blockchain systems where they perceive them as reliable, useful, legally supported, and secure. Strong institutions increase trust in blockchain-enabled systems and make adoption more effective.</w:t>
      </w:r>
    </w:p>
    <w:p w14:paraId="4D04314B" w14:textId="77777777" w:rsidR="00F80353" w:rsidRPr="00470AC8" w:rsidRDefault="007F2E21">
      <w:pPr>
        <w:pStyle w:val="NormalWeb"/>
        <w:spacing w:beforeAutospacing="0" w:afterAutospacing="0"/>
        <w:jc w:val="both"/>
        <w:rPr>
          <w:sz w:val="19"/>
          <w:szCs w:val="19"/>
        </w:rPr>
      </w:pPr>
      <w:r w:rsidRPr="00470AC8">
        <w:rPr>
          <w:sz w:val="19"/>
          <w:szCs w:val="19"/>
        </w:rPr>
        <w:t>The findings are consistent with literature emphasising the potential of blockchain and distributed-ledger systems to improve transparency and transaction processes (Treiblmaier &amp; Clohessy, 2020), stakeholder expectations regarding clearing-and-settlement efficiency in South Africa (Dowelani et al., 2023), and evidence linking liquidity conditions to digital-asset market efficiency (Bouteska et al., 2025). The results also align with studies showing that liquidity, trading activity, and market frictions are closely related to price adjustment (Chordia et al., 2001; Hou &amp; Moskowitz, 2005).</w:t>
      </w:r>
    </w:p>
    <w:p w14:paraId="34E3F23F" w14:textId="77777777" w:rsidR="00F80353" w:rsidRPr="00470AC8" w:rsidRDefault="007F2E21">
      <w:pPr>
        <w:pStyle w:val="NormalWeb"/>
        <w:spacing w:beforeAutospacing="0" w:afterAutospacing="0"/>
        <w:jc w:val="both"/>
        <w:rPr>
          <w:sz w:val="19"/>
          <w:szCs w:val="19"/>
        </w:rPr>
      </w:pPr>
      <w:r w:rsidRPr="00470AC8">
        <w:rPr>
          <w:sz w:val="19"/>
          <w:szCs w:val="19"/>
        </w:rPr>
        <w:t>However, the findings differ from cryptocurrency-market evidence showing that weak-form efficiency can vary over time and across frequency horizons (Phiri, 2022). This difference may be explained by the fact that the present study focuses on regulated capital markets rather than cryptocurrency markets. In regulated exchanges, blockchain adoption operates within formal market structures, making its efficiency effects more likely to depend on governance, regulation, and institutional credibility.</w:t>
      </w:r>
    </w:p>
    <w:p w14:paraId="27D13939" w14:textId="77777777" w:rsidR="00F80353" w:rsidRPr="00470AC8" w:rsidRDefault="007F2E21">
      <w:pPr>
        <w:pStyle w:val="NormalWeb"/>
        <w:spacing w:beforeAutospacing="0" w:afterAutospacing="0"/>
        <w:jc w:val="both"/>
        <w:rPr>
          <w:sz w:val="19"/>
          <w:szCs w:val="19"/>
        </w:rPr>
      </w:pPr>
      <w:r w:rsidRPr="00470AC8">
        <w:rPr>
          <w:sz w:val="19"/>
          <w:szCs w:val="19"/>
        </w:rPr>
        <w:t>Overall, the results indicate that blockchain adoption can strengthen market efficiency in African capital markets, especially when supported by strong institutions, digital connectivity, macroeconomic stability, and effective regulation. The evidence suggests that blockchain should be viewed not only as a technological tool but also as part of a broader financial market modernisation strategy.</w:t>
      </w:r>
    </w:p>
    <w:p w14:paraId="208D0D7C" w14:textId="77777777" w:rsidR="00F80353" w:rsidRPr="00470AC8" w:rsidRDefault="00F80353">
      <w:pPr>
        <w:pStyle w:val="NormalWeb"/>
        <w:spacing w:beforeAutospacing="0" w:afterAutospacing="0"/>
        <w:jc w:val="both"/>
        <w:rPr>
          <w:sz w:val="19"/>
          <w:szCs w:val="19"/>
        </w:rPr>
      </w:pPr>
    </w:p>
    <w:p w14:paraId="5E4B165A" w14:textId="77777777" w:rsidR="00F80353" w:rsidRPr="00470AC8" w:rsidRDefault="007F2E21">
      <w:pPr>
        <w:pStyle w:val="Heading2"/>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5.0 Summary, Conclusion and Recommendations</w:t>
      </w:r>
    </w:p>
    <w:p w14:paraId="01A55F67"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5.1 Summary of Findings</w:t>
      </w:r>
    </w:p>
    <w:p w14:paraId="4049AAB0" w14:textId="77777777" w:rsidR="00F80353" w:rsidRPr="00470AC8" w:rsidRDefault="007F2E21">
      <w:pPr>
        <w:pStyle w:val="NormalWeb"/>
        <w:spacing w:beforeAutospacing="0" w:afterAutospacing="0"/>
        <w:jc w:val="both"/>
        <w:rPr>
          <w:sz w:val="19"/>
          <w:szCs w:val="19"/>
        </w:rPr>
      </w:pPr>
      <w:r w:rsidRPr="00470AC8">
        <w:rPr>
          <w:sz w:val="19"/>
          <w:szCs w:val="19"/>
        </w:rPr>
        <w:t>This study examined the effect of blockchain adoption on market efficiency in selected African capital markets from 2014 to 2025. It was motivated by persistent inefficiencies in African exchanges, including weak liquidity, high transaction costs, settlement delays, information asymmetry, and limited digital financial infrastructure. Using a dynamic panel framework, the study assessed whether blockchain adoption improves market efficiency and whether institutional quality strengthens this relationship.</w:t>
      </w:r>
    </w:p>
    <w:p w14:paraId="65260B96" w14:textId="77777777" w:rsidR="00F80353" w:rsidRPr="00470AC8" w:rsidRDefault="007F2E21">
      <w:pPr>
        <w:pStyle w:val="NormalWeb"/>
        <w:spacing w:beforeAutospacing="0" w:afterAutospacing="0"/>
        <w:jc w:val="both"/>
        <w:rPr>
          <w:sz w:val="19"/>
          <w:szCs w:val="19"/>
        </w:rPr>
      </w:pPr>
      <w:r w:rsidRPr="00470AC8">
        <w:rPr>
          <w:sz w:val="19"/>
          <w:szCs w:val="19"/>
        </w:rPr>
        <w:t>The findings show that blockchain adoption has a positive and statistically significant effect on market efficiency. This implies that blockchain-enabled infrastructure can improve information flow, reduce market frictions, strengthen price discovery, and support faster adjustment of security prices to available information. The result confirms that digital financial infrastructure can help address some of the operational and informational weaknesses in African capital markets.</w:t>
      </w:r>
    </w:p>
    <w:p w14:paraId="7F976323" w14:textId="77777777" w:rsidR="00F80353" w:rsidRPr="00470AC8" w:rsidRDefault="007F2E21">
      <w:pPr>
        <w:pStyle w:val="NormalWeb"/>
        <w:spacing w:beforeAutospacing="0" w:afterAutospacing="0"/>
        <w:jc w:val="both"/>
        <w:rPr>
          <w:sz w:val="19"/>
          <w:szCs w:val="19"/>
        </w:rPr>
      </w:pPr>
      <w:r w:rsidRPr="00470AC8">
        <w:rPr>
          <w:sz w:val="19"/>
          <w:szCs w:val="19"/>
        </w:rPr>
        <w:t>The study also found that blockchain adoption reduces bid-ask spreads and improves liquidity conditions. This suggests that blockchain-based trading, clearing, and settlement systems can lower transaction costs and improve the ease of trading in African exchanges. In addition, blockchain adoption had a positive effect on the turnover ratio, indicating that improved transparency and settlement efficiency can encourage trading activity and investor participation.</w:t>
      </w:r>
    </w:p>
    <w:p w14:paraId="6DC33A43" w14:textId="77777777" w:rsidR="00F80353" w:rsidRPr="00470AC8" w:rsidRDefault="007F2E21">
      <w:pPr>
        <w:pStyle w:val="NormalWeb"/>
        <w:spacing w:beforeAutospacing="0" w:afterAutospacing="0"/>
        <w:jc w:val="both"/>
        <w:rPr>
          <w:sz w:val="19"/>
          <w:szCs w:val="19"/>
        </w:rPr>
      </w:pPr>
      <w:r w:rsidRPr="00470AC8">
        <w:rPr>
          <w:sz w:val="19"/>
          <w:szCs w:val="19"/>
        </w:rPr>
        <w:t xml:space="preserve">Institutional quality was found to play a significant </w:t>
      </w:r>
      <w:proofErr w:type="gramStart"/>
      <w:r w:rsidRPr="00470AC8">
        <w:rPr>
          <w:sz w:val="19"/>
          <w:szCs w:val="19"/>
        </w:rPr>
        <w:t>moderating</w:t>
      </w:r>
      <w:proofErr w:type="gramEnd"/>
      <w:r w:rsidRPr="00470AC8">
        <w:rPr>
          <w:sz w:val="19"/>
          <w:szCs w:val="19"/>
        </w:rPr>
        <w:t xml:space="preserve"> role. The positive interaction between blockchain adoption and institutional quality shows that blockchain produces stronger market-efficiency gains in countries with better governance, stronger regulation, credible legal systems, and lower institutional uncertainty. This finding means that technology alone is not enough; its effectiveness depends on the strength of the environment in which it operates.</w:t>
      </w:r>
    </w:p>
    <w:p w14:paraId="759F029D" w14:textId="77777777" w:rsidR="00F80353" w:rsidRPr="00470AC8" w:rsidRDefault="007F2E21">
      <w:pPr>
        <w:pStyle w:val="NormalWeb"/>
        <w:spacing w:beforeAutospacing="0" w:afterAutospacing="0"/>
        <w:jc w:val="both"/>
        <w:rPr>
          <w:sz w:val="19"/>
          <w:szCs w:val="19"/>
        </w:rPr>
      </w:pPr>
      <w:r w:rsidRPr="00470AC8">
        <w:rPr>
          <w:sz w:val="19"/>
          <w:szCs w:val="19"/>
        </w:rPr>
        <w:t>The study further confirms that the effect of blockchain adoption differs across African capital markets. These differences are linked to variations in digital readiness, regulatory capacity, market depth, institutional quality, and financial infrastructure. Overall, the evidence suggests that blockchain adoption can improve market efficiency in Africa, but the benefits are stronger where regulation, governance, and digital systems are more developed.</w:t>
      </w:r>
    </w:p>
    <w:p w14:paraId="70343EFD" w14:textId="77777777" w:rsidR="00F80353" w:rsidRPr="00470AC8" w:rsidRDefault="00F80353">
      <w:pPr>
        <w:pStyle w:val="NormalWeb"/>
        <w:spacing w:beforeAutospacing="0" w:afterAutospacing="0"/>
        <w:jc w:val="both"/>
        <w:rPr>
          <w:sz w:val="19"/>
          <w:szCs w:val="19"/>
        </w:rPr>
      </w:pPr>
    </w:p>
    <w:p w14:paraId="1F6156CA"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5.2 Conclusion</w:t>
      </w:r>
    </w:p>
    <w:p w14:paraId="744B45FE" w14:textId="77777777" w:rsidR="00F80353" w:rsidRPr="00470AC8" w:rsidRDefault="007F2E21">
      <w:pPr>
        <w:pStyle w:val="NormalWeb"/>
        <w:spacing w:beforeAutospacing="0" w:afterAutospacing="0"/>
        <w:jc w:val="both"/>
        <w:rPr>
          <w:sz w:val="19"/>
          <w:szCs w:val="19"/>
        </w:rPr>
      </w:pPr>
      <w:r w:rsidRPr="00470AC8">
        <w:rPr>
          <w:sz w:val="19"/>
          <w:szCs w:val="19"/>
        </w:rPr>
        <w:t>The study concludes that blockchain adoption significantly improves market efficiency in African capital markets. Blockchain-enabled financial infrastructure enhances transparency, accelerates settlement processes, reduces information asymmetry, lowers transaction frictions, and supports better liquidity. These outcomes are important for African exchanges seeking to improve competitiveness, deepen investor participation, and mobilise long-term capital.</w:t>
      </w:r>
    </w:p>
    <w:p w14:paraId="06C90D79" w14:textId="77777777" w:rsidR="00F80353" w:rsidRPr="00470AC8" w:rsidRDefault="007F2E21">
      <w:pPr>
        <w:pStyle w:val="NormalWeb"/>
        <w:spacing w:beforeAutospacing="0" w:afterAutospacing="0"/>
        <w:jc w:val="both"/>
        <w:rPr>
          <w:sz w:val="19"/>
          <w:szCs w:val="19"/>
        </w:rPr>
      </w:pPr>
      <w:r w:rsidRPr="00470AC8">
        <w:rPr>
          <w:sz w:val="19"/>
          <w:szCs w:val="19"/>
        </w:rPr>
        <w:lastRenderedPageBreak/>
        <w:t>However, the study also concludes that blockchain adoption does not operate in isolation. Its effectiveness depends strongly on institutional quality. Strong governance systems, credible regulation, the rule of law, investor protection, and reliable digital infrastructure increase the capacity of blockchain to improve market outcomes. Where institutions are weak, blockchain adoption may remain limited, fragmented, or unable to produce its full efficiency benefits.</w:t>
      </w:r>
    </w:p>
    <w:p w14:paraId="6A169985" w14:textId="77777777" w:rsidR="00F80353" w:rsidRPr="00470AC8" w:rsidRDefault="007F2E21">
      <w:pPr>
        <w:pStyle w:val="NormalWeb"/>
        <w:spacing w:beforeAutospacing="0" w:afterAutospacing="0"/>
        <w:jc w:val="both"/>
        <w:rPr>
          <w:sz w:val="19"/>
          <w:szCs w:val="19"/>
        </w:rPr>
      </w:pPr>
      <w:r w:rsidRPr="00470AC8">
        <w:rPr>
          <w:sz w:val="19"/>
          <w:szCs w:val="19"/>
        </w:rPr>
        <w:t>The broader conclusion is that blockchain should be treated as part of a wider capital market modernisation strategy. For African markets, the focus should not be only on adopting new technology, but on building the regulatory, institutional, and infrastructural systems that allow the technology to work effectively.</w:t>
      </w:r>
    </w:p>
    <w:p w14:paraId="000C76DC" w14:textId="77777777" w:rsidR="00F80353" w:rsidRPr="00470AC8" w:rsidRDefault="00F80353">
      <w:pPr>
        <w:pStyle w:val="NormalWeb"/>
        <w:spacing w:beforeAutospacing="0" w:afterAutospacing="0"/>
        <w:jc w:val="both"/>
        <w:rPr>
          <w:sz w:val="22"/>
          <w:szCs w:val="22"/>
        </w:rPr>
      </w:pPr>
    </w:p>
    <w:p w14:paraId="79388CD7"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5.3 Recommendations</w:t>
      </w:r>
    </w:p>
    <w:p w14:paraId="098019C8" w14:textId="77777777" w:rsidR="00F80353" w:rsidRPr="00470AC8" w:rsidRDefault="007F2E21">
      <w:pPr>
        <w:pStyle w:val="NormalWeb"/>
        <w:spacing w:beforeAutospacing="0" w:afterAutospacing="0"/>
        <w:jc w:val="both"/>
        <w:rPr>
          <w:sz w:val="19"/>
          <w:szCs w:val="19"/>
        </w:rPr>
      </w:pPr>
      <w:r w:rsidRPr="00470AC8">
        <w:rPr>
          <w:sz w:val="19"/>
          <w:szCs w:val="19"/>
        </w:rPr>
        <w:t>African stock exchanges should intensify investment in blockchain-enabled trading, clearing, custody, and settlement systems. This will help reduce settlement delays, improve audit trails, lower transaction costs, and strengthen investor confidence.</w:t>
      </w:r>
    </w:p>
    <w:p w14:paraId="1269D0B8" w14:textId="77777777" w:rsidR="00F80353" w:rsidRPr="00470AC8" w:rsidRDefault="007F2E21">
      <w:pPr>
        <w:pStyle w:val="NormalWeb"/>
        <w:spacing w:beforeAutospacing="0" w:afterAutospacing="0"/>
        <w:jc w:val="both"/>
        <w:rPr>
          <w:sz w:val="19"/>
          <w:szCs w:val="19"/>
        </w:rPr>
      </w:pPr>
      <w:r w:rsidRPr="00470AC8">
        <w:rPr>
          <w:sz w:val="19"/>
          <w:szCs w:val="19"/>
        </w:rPr>
        <w:t>Financial regulators should develop clear blockchain and digital securities regulations. These regulations should cover digital asset custody, smart contracts, tokenised securities, cybersecurity, investor protection, data governance, and market surveillance.</w:t>
      </w:r>
    </w:p>
    <w:p w14:paraId="0078EC21" w14:textId="77777777" w:rsidR="00F80353" w:rsidRPr="00470AC8" w:rsidRDefault="007F2E21">
      <w:pPr>
        <w:pStyle w:val="NormalWeb"/>
        <w:spacing w:beforeAutospacing="0" w:afterAutospacing="0"/>
        <w:jc w:val="both"/>
        <w:rPr>
          <w:sz w:val="19"/>
          <w:szCs w:val="19"/>
        </w:rPr>
      </w:pPr>
      <w:r w:rsidRPr="00470AC8">
        <w:rPr>
          <w:sz w:val="19"/>
          <w:szCs w:val="19"/>
        </w:rPr>
        <w:t>African countries should strengthen institutional quality alongside technological adoption. Improvements in the rule of law, regulatory enforcement, corruption control, disclosure standards, and contract enforcement will make blockchain systems more credible and effective.</w:t>
      </w:r>
    </w:p>
    <w:p w14:paraId="3A0753D4" w14:textId="77777777" w:rsidR="00F80353" w:rsidRPr="00470AC8" w:rsidRDefault="007F2E21">
      <w:pPr>
        <w:pStyle w:val="NormalWeb"/>
        <w:spacing w:beforeAutospacing="0" w:afterAutospacing="0"/>
        <w:jc w:val="both"/>
        <w:rPr>
          <w:sz w:val="19"/>
          <w:szCs w:val="19"/>
        </w:rPr>
      </w:pPr>
      <w:r w:rsidRPr="00470AC8">
        <w:rPr>
          <w:sz w:val="19"/>
          <w:szCs w:val="19"/>
        </w:rPr>
        <w:t>Regional bodies such as the African Securities Exchanges Association should promote digital infrastructure cooperation among African exchanges. Greater interoperability in settlement systems can improve cross-border trading, liquidity, and regional capital market integration.</w:t>
      </w:r>
    </w:p>
    <w:p w14:paraId="4627BB71" w14:textId="77777777" w:rsidR="00F80353" w:rsidRPr="00470AC8" w:rsidRDefault="007F2E21">
      <w:pPr>
        <w:pStyle w:val="NormalWeb"/>
        <w:spacing w:beforeAutospacing="0" w:afterAutospacing="0"/>
        <w:jc w:val="both"/>
        <w:rPr>
          <w:sz w:val="19"/>
          <w:szCs w:val="19"/>
        </w:rPr>
      </w:pPr>
      <w:r w:rsidRPr="00470AC8">
        <w:rPr>
          <w:sz w:val="19"/>
          <w:szCs w:val="19"/>
        </w:rPr>
        <w:t>Governments and regulators should support controlled innovation through regulatory sandboxes and fintech innovation hubs. These platforms can allow exchanges, central securities depositories, and fintech firms to test blockchain applications under regulatory supervision.</w:t>
      </w:r>
    </w:p>
    <w:p w14:paraId="7D4EB1AB" w14:textId="77777777" w:rsidR="00F80353" w:rsidRPr="00470AC8" w:rsidRDefault="007F2E21">
      <w:pPr>
        <w:pStyle w:val="NormalWeb"/>
        <w:spacing w:beforeAutospacing="0" w:afterAutospacing="0"/>
        <w:jc w:val="both"/>
        <w:rPr>
          <w:sz w:val="19"/>
          <w:szCs w:val="19"/>
        </w:rPr>
      </w:pPr>
      <w:r w:rsidRPr="00470AC8">
        <w:rPr>
          <w:sz w:val="19"/>
          <w:szCs w:val="19"/>
        </w:rPr>
        <w:t>Central Securities Depositories should prioritise blockchain-based settlement and custody solutions. This can reduce reconciliation problems, improve transaction traceability, and strengthen post-trade efficiency.</w:t>
      </w:r>
    </w:p>
    <w:p w14:paraId="4F02E23C" w14:textId="77777777" w:rsidR="00F80353" w:rsidRPr="00470AC8" w:rsidRDefault="007F2E21">
      <w:pPr>
        <w:pStyle w:val="NormalWeb"/>
        <w:spacing w:beforeAutospacing="0" w:afterAutospacing="0"/>
        <w:jc w:val="both"/>
        <w:rPr>
          <w:sz w:val="19"/>
          <w:szCs w:val="19"/>
        </w:rPr>
      </w:pPr>
      <w:r w:rsidRPr="00470AC8">
        <w:rPr>
          <w:sz w:val="19"/>
          <w:szCs w:val="19"/>
        </w:rPr>
        <w:t xml:space="preserve">Stock exchanges should also improve real-time disclosure systems, automated reporting channels, and blockchain-supported audit </w:t>
      </w:r>
      <w:proofErr w:type="gramStart"/>
      <w:r w:rsidRPr="00470AC8">
        <w:rPr>
          <w:sz w:val="19"/>
          <w:szCs w:val="19"/>
        </w:rPr>
        <w:t>trails</w:t>
      </w:r>
      <w:proofErr w:type="gramEnd"/>
      <w:r w:rsidRPr="00470AC8">
        <w:rPr>
          <w:sz w:val="19"/>
          <w:szCs w:val="19"/>
        </w:rPr>
        <w:t>. Stronger transparency will reduce information asymmetry and improve investor trust.</w:t>
      </w:r>
    </w:p>
    <w:p w14:paraId="3CADEE0A" w14:textId="77777777" w:rsidR="00F80353" w:rsidRPr="00470AC8" w:rsidRDefault="007F2E21">
      <w:pPr>
        <w:pStyle w:val="NormalWeb"/>
        <w:spacing w:beforeAutospacing="0" w:afterAutospacing="0"/>
        <w:jc w:val="both"/>
        <w:rPr>
          <w:sz w:val="19"/>
          <w:szCs w:val="19"/>
        </w:rPr>
      </w:pPr>
      <w:r w:rsidRPr="00470AC8">
        <w:rPr>
          <w:sz w:val="19"/>
          <w:szCs w:val="19"/>
        </w:rPr>
        <w:t xml:space="preserve">Finally, capacity-building </w:t>
      </w:r>
      <w:proofErr w:type="spellStart"/>
      <w:r w:rsidRPr="00470AC8">
        <w:rPr>
          <w:sz w:val="19"/>
          <w:szCs w:val="19"/>
        </w:rPr>
        <w:t>programmes</w:t>
      </w:r>
      <w:proofErr w:type="spellEnd"/>
      <w:r w:rsidRPr="00470AC8">
        <w:rPr>
          <w:sz w:val="19"/>
          <w:szCs w:val="19"/>
        </w:rPr>
        <w:t xml:space="preserve"> should be introduced for regulators, exchange operators, brokers, investors, and compliance officers. Blockchain adoption requires technical competence, legal awareness, cybersecurity knowledge, and operational readiness.</w:t>
      </w:r>
    </w:p>
    <w:p w14:paraId="7791D217" w14:textId="77777777" w:rsidR="00F80353" w:rsidRPr="00470AC8" w:rsidRDefault="00F80353">
      <w:pPr>
        <w:pStyle w:val="Heading3"/>
        <w:spacing w:beforeAutospacing="0" w:afterAutospacing="0"/>
        <w:jc w:val="both"/>
        <w:rPr>
          <w:rFonts w:ascii="Times New Roman" w:hAnsi="Times New Roman" w:hint="default"/>
          <w:sz w:val="19"/>
          <w:szCs w:val="19"/>
        </w:rPr>
      </w:pPr>
    </w:p>
    <w:p w14:paraId="3035C21B"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5.4 Contribution to Knowledge</w:t>
      </w:r>
    </w:p>
    <w:p w14:paraId="19644221" w14:textId="77777777" w:rsidR="00F80353" w:rsidRPr="00470AC8" w:rsidRDefault="007F2E21">
      <w:pPr>
        <w:pStyle w:val="NormalWeb"/>
        <w:spacing w:beforeAutospacing="0" w:afterAutospacing="0"/>
        <w:jc w:val="both"/>
        <w:rPr>
          <w:sz w:val="19"/>
          <w:szCs w:val="19"/>
        </w:rPr>
      </w:pPr>
      <w:r w:rsidRPr="00470AC8">
        <w:rPr>
          <w:sz w:val="19"/>
          <w:szCs w:val="19"/>
        </w:rPr>
        <w:t>This study contributes to knowledge in four major ways. First, it develops a multidimensional Blockchain Adoption Index that captures blockchain infrastructure, settlement digitisation, fintech ecosystem development, regulatory innovation, and securities-market digitalisation.</w:t>
      </w:r>
    </w:p>
    <w:p w14:paraId="3649A7EF" w14:textId="77777777" w:rsidR="00F80353" w:rsidRPr="00470AC8" w:rsidRDefault="007F2E21">
      <w:pPr>
        <w:pStyle w:val="NormalWeb"/>
        <w:spacing w:beforeAutospacing="0" w:afterAutospacing="0"/>
        <w:jc w:val="both"/>
        <w:rPr>
          <w:sz w:val="19"/>
          <w:szCs w:val="19"/>
        </w:rPr>
      </w:pPr>
      <w:r w:rsidRPr="00470AC8">
        <w:rPr>
          <w:sz w:val="19"/>
          <w:szCs w:val="19"/>
        </w:rPr>
        <w:t>Second, it provides cross-country empirical evidence on blockchain adoption and market efficiency in African capital markets, an area that remains underexplored in the existing literature.</w:t>
      </w:r>
    </w:p>
    <w:p w14:paraId="42BC3B4A" w14:textId="77777777" w:rsidR="00F80353" w:rsidRPr="00470AC8" w:rsidRDefault="007F2E21">
      <w:pPr>
        <w:pStyle w:val="NormalWeb"/>
        <w:spacing w:beforeAutospacing="0" w:afterAutospacing="0"/>
        <w:jc w:val="both"/>
        <w:rPr>
          <w:sz w:val="19"/>
          <w:szCs w:val="19"/>
        </w:rPr>
      </w:pPr>
      <w:r w:rsidRPr="00470AC8">
        <w:rPr>
          <w:sz w:val="19"/>
          <w:szCs w:val="19"/>
        </w:rPr>
        <w:t>Third, it introduces institutional quality as a moderating variable, showing that governance and regulation influence the strength of the relationship between blockchain adoption and market efficiency.</w:t>
      </w:r>
    </w:p>
    <w:p w14:paraId="4A3B59F4" w14:textId="77777777" w:rsidR="00F80353" w:rsidRPr="00470AC8" w:rsidRDefault="007F2E21">
      <w:pPr>
        <w:pStyle w:val="NormalWeb"/>
        <w:spacing w:beforeAutospacing="0" w:afterAutospacing="0"/>
        <w:jc w:val="both"/>
        <w:rPr>
          <w:sz w:val="19"/>
          <w:szCs w:val="19"/>
        </w:rPr>
      </w:pPr>
      <w:r w:rsidRPr="00470AC8">
        <w:rPr>
          <w:sz w:val="19"/>
          <w:szCs w:val="19"/>
        </w:rPr>
        <w:t>Fourth, the study applies Dynamic Panel System GMM estimation, which addresses endogeneity, persistence effects, reverse causality, and unobserved heterogeneity. This strengthens the empirical reliability of the findings.</w:t>
      </w:r>
    </w:p>
    <w:p w14:paraId="61F6B7D6" w14:textId="77777777" w:rsidR="00F80353" w:rsidRPr="00470AC8" w:rsidRDefault="00F80353">
      <w:pPr>
        <w:pStyle w:val="Heading3"/>
        <w:spacing w:beforeAutospacing="0" w:afterAutospacing="0"/>
        <w:jc w:val="both"/>
        <w:rPr>
          <w:rFonts w:ascii="Times New Roman" w:hAnsi="Times New Roman" w:hint="default"/>
          <w:sz w:val="19"/>
          <w:szCs w:val="19"/>
        </w:rPr>
      </w:pPr>
    </w:p>
    <w:p w14:paraId="50F7708C"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5.5 Limitations of the Study</w:t>
      </w:r>
    </w:p>
    <w:p w14:paraId="3FA5829A" w14:textId="77777777" w:rsidR="00F80353" w:rsidRPr="00470AC8" w:rsidRDefault="007F2E21">
      <w:pPr>
        <w:pStyle w:val="NormalWeb"/>
        <w:spacing w:beforeAutospacing="0" w:afterAutospacing="0"/>
        <w:jc w:val="both"/>
        <w:rPr>
          <w:sz w:val="19"/>
          <w:szCs w:val="19"/>
        </w:rPr>
      </w:pPr>
      <w:r w:rsidRPr="00470AC8">
        <w:rPr>
          <w:sz w:val="19"/>
          <w:szCs w:val="19"/>
        </w:rPr>
        <w:t>The study is limited by data availability. Consistent blockchain-related capital market data remain scarce across many African exchanges, which may affect sample size and indicator selection.</w:t>
      </w:r>
    </w:p>
    <w:p w14:paraId="4B901C52" w14:textId="77777777" w:rsidR="00F80353" w:rsidRPr="00470AC8" w:rsidRDefault="007F2E21">
      <w:pPr>
        <w:pStyle w:val="NormalWeb"/>
        <w:spacing w:beforeAutospacing="0" w:afterAutospacing="0"/>
        <w:jc w:val="both"/>
        <w:rPr>
          <w:sz w:val="19"/>
          <w:szCs w:val="19"/>
        </w:rPr>
      </w:pPr>
      <w:r w:rsidRPr="00470AC8">
        <w:rPr>
          <w:sz w:val="19"/>
          <w:szCs w:val="19"/>
        </w:rPr>
        <w:t>The study also relies on proxy measures for blockchain adoption because direct measures of blockchain integration in African capital markets are still developing. As a result, some aspects of digital transformation may not be fully captured.</w:t>
      </w:r>
    </w:p>
    <w:p w14:paraId="729B4F7A" w14:textId="77777777" w:rsidR="00F80353" w:rsidRPr="00470AC8" w:rsidRDefault="007F2E21">
      <w:pPr>
        <w:pStyle w:val="NormalWeb"/>
        <w:spacing w:beforeAutospacing="0" w:afterAutospacing="0"/>
        <w:jc w:val="both"/>
        <w:rPr>
          <w:sz w:val="19"/>
          <w:szCs w:val="19"/>
        </w:rPr>
      </w:pPr>
      <w:r w:rsidRPr="00470AC8">
        <w:rPr>
          <w:sz w:val="19"/>
          <w:szCs w:val="19"/>
        </w:rPr>
        <w:t>Another limitation is the variation in market structures, disclosure systems, and regulatory standards across African countries. These differences may affect the comparability of results across exchanges.</w:t>
      </w:r>
    </w:p>
    <w:p w14:paraId="4B44E56B" w14:textId="77777777" w:rsidR="00F80353" w:rsidRPr="00470AC8" w:rsidRDefault="007F2E21">
      <w:pPr>
        <w:pStyle w:val="NormalWeb"/>
        <w:spacing w:beforeAutospacing="0" w:afterAutospacing="0"/>
        <w:jc w:val="both"/>
        <w:rPr>
          <w:sz w:val="19"/>
          <w:szCs w:val="19"/>
        </w:rPr>
      </w:pPr>
      <w:r w:rsidRPr="00470AC8">
        <w:rPr>
          <w:sz w:val="19"/>
          <w:szCs w:val="19"/>
        </w:rPr>
        <w:t>The study also focuses on exchange-level analysis and does not capture firm-level or investor-level responses to blockchain adoption.</w:t>
      </w:r>
    </w:p>
    <w:p w14:paraId="2D221B81" w14:textId="77777777" w:rsidR="00F80353" w:rsidRPr="00470AC8" w:rsidRDefault="00F80353">
      <w:pPr>
        <w:pStyle w:val="Heading3"/>
        <w:spacing w:beforeAutospacing="0" w:afterAutospacing="0"/>
        <w:jc w:val="both"/>
        <w:rPr>
          <w:rFonts w:ascii="Times New Roman" w:hAnsi="Times New Roman" w:hint="default"/>
          <w:sz w:val="19"/>
          <w:szCs w:val="19"/>
        </w:rPr>
      </w:pPr>
    </w:p>
    <w:p w14:paraId="1085F158" w14:textId="77777777" w:rsidR="00F80353" w:rsidRPr="00470AC8" w:rsidRDefault="007F2E21">
      <w:pPr>
        <w:pStyle w:val="Heading3"/>
        <w:spacing w:beforeAutospacing="0" w:afterAutospacing="0"/>
        <w:jc w:val="both"/>
        <w:rPr>
          <w:rFonts w:ascii="Times New Roman" w:hAnsi="Times New Roman" w:hint="default"/>
          <w:sz w:val="22"/>
          <w:szCs w:val="22"/>
        </w:rPr>
      </w:pPr>
      <w:r w:rsidRPr="00470AC8">
        <w:rPr>
          <w:rFonts w:ascii="Times New Roman" w:hAnsi="Times New Roman" w:hint="default"/>
          <w:sz w:val="22"/>
          <w:szCs w:val="22"/>
        </w:rPr>
        <w:t>5.6 Suggestions for Future Research</w:t>
      </w:r>
    </w:p>
    <w:p w14:paraId="7D886966" w14:textId="77777777" w:rsidR="00F80353" w:rsidRPr="00470AC8" w:rsidRDefault="007F2E21">
      <w:pPr>
        <w:pStyle w:val="NormalWeb"/>
        <w:spacing w:beforeAutospacing="0" w:afterAutospacing="0"/>
        <w:jc w:val="both"/>
        <w:rPr>
          <w:sz w:val="19"/>
          <w:szCs w:val="19"/>
        </w:rPr>
      </w:pPr>
      <w:r w:rsidRPr="00470AC8">
        <w:rPr>
          <w:sz w:val="19"/>
          <w:szCs w:val="19"/>
        </w:rPr>
        <w:t xml:space="preserve">Future studies should use firm-level or investor-level data to examine how blockchain adoption affects trading </w:t>
      </w:r>
      <w:proofErr w:type="spellStart"/>
      <w:r w:rsidRPr="00470AC8">
        <w:rPr>
          <w:sz w:val="19"/>
          <w:szCs w:val="19"/>
        </w:rPr>
        <w:t>behaviour</w:t>
      </w:r>
      <w:proofErr w:type="spellEnd"/>
      <w:r w:rsidRPr="00470AC8">
        <w:rPr>
          <w:sz w:val="19"/>
          <w:szCs w:val="19"/>
        </w:rPr>
        <w:t>, investor confidence, corporate financing decisions, and market participation.</w:t>
      </w:r>
    </w:p>
    <w:p w14:paraId="7540633D" w14:textId="77777777" w:rsidR="00F80353" w:rsidRPr="00470AC8" w:rsidRDefault="007F2E21">
      <w:pPr>
        <w:pStyle w:val="NormalWeb"/>
        <w:spacing w:beforeAutospacing="0" w:afterAutospacing="0"/>
        <w:jc w:val="both"/>
        <w:rPr>
          <w:sz w:val="19"/>
          <w:szCs w:val="19"/>
        </w:rPr>
      </w:pPr>
      <w:r w:rsidRPr="00470AC8">
        <w:rPr>
          <w:sz w:val="19"/>
          <w:szCs w:val="19"/>
        </w:rPr>
        <w:t>Further research may also examine the relationship between cryptocurrency markets and traditional African capital markets, especially in terms of liquidity spillovers, volatility transmission, and financial integration.</w:t>
      </w:r>
    </w:p>
    <w:p w14:paraId="422C1EA9" w14:textId="77777777" w:rsidR="00F80353" w:rsidRPr="00470AC8" w:rsidRDefault="007F2E21">
      <w:pPr>
        <w:pStyle w:val="NormalWeb"/>
        <w:spacing w:beforeAutospacing="0" w:afterAutospacing="0"/>
        <w:jc w:val="both"/>
        <w:rPr>
          <w:sz w:val="19"/>
          <w:szCs w:val="19"/>
        </w:rPr>
      </w:pPr>
      <w:r w:rsidRPr="00470AC8">
        <w:rPr>
          <w:sz w:val="19"/>
          <w:szCs w:val="19"/>
        </w:rPr>
        <w:lastRenderedPageBreak/>
        <w:t>Future studies can investigate tokenised securities, digital asset exchanges, and blockchain-based custody systems in emerging markets. These areas are becoming increasingly relevant to market access, liquidity, and financial inclusion.</w:t>
      </w:r>
    </w:p>
    <w:p w14:paraId="31A10AD8" w14:textId="77777777" w:rsidR="00F80353" w:rsidRPr="00470AC8" w:rsidRDefault="007F2E21">
      <w:pPr>
        <w:pStyle w:val="NormalWeb"/>
        <w:spacing w:beforeAutospacing="0" w:afterAutospacing="0"/>
        <w:jc w:val="both"/>
        <w:rPr>
          <w:sz w:val="19"/>
          <w:szCs w:val="19"/>
        </w:rPr>
      </w:pPr>
      <w:r w:rsidRPr="00470AC8">
        <w:rPr>
          <w:sz w:val="19"/>
          <w:szCs w:val="19"/>
        </w:rPr>
        <w:t>Researchers may also examine the combined role of artificial intelligence and blockchain in capital market surveillance, automated trading, compliance monitoring, and risk management.</w:t>
      </w:r>
    </w:p>
    <w:p w14:paraId="0A29C4F5" w14:textId="77777777" w:rsidR="00F80353" w:rsidRPr="00470AC8" w:rsidRDefault="007F2E21">
      <w:pPr>
        <w:pStyle w:val="NormalWeb"/>
        <w:spacing w:beforeAutospacing="0" w:afterAutospacing="0"/>
        <w:jc w:val="both"/>
        <w:rPr>
          <w:sz w:val="19"/>
          <w:szCs w:val="19"/>
        </w:rPr>
      </w:pPr>
      <w:r w:rsidRPr="00470AC8">
        <w:rPr>
          <w:sz w:val="19"/>
          <w:szCs w:val="19"/>
        </w:rPr>
        <w:t>Comparative studies involving African, Asian, and Latin American emerging markets would also provide broader evidence on how institutional environments shape the relationship between blockchain adoption and market efficiency.</w:t>
      </w:r>
    </w:p>
    <w:p w14:paraId="7F759F3A" w14:textId="77777777" w:rsidR="006B7BED" w:rsidRPr="00470AC8" w:rsidRDefault="006B7BED" w:rsidP="006B7BED">
      <w:pPr>
        <w:spacing w:after="160" w:line="259" w:lineRule="auto"/>
        <w:rPr>
          <w:rFonts w:ascii="Arial" w:eastAsia="Calibri" w:hAnsi="Arial" w:cs="Arial"/>
          <w:b/>
          <w:bCs/>
          <w:kern w:val="2"/>
          <w:sz w:val="22"/>
          <w:szCs w:val="22"/>
          <w:lang w:val="en-IN" w:eastAsia="en-US"/>
          <w14:ligatures w14:val="standardContextual"/>
        </w:rPr>
      </w:pPr>
      <w:r w:rsidRPr="00470AC8">
        <w:rPr>
          <w:rFonts w:ascii="Arial" w:eastAsia="Calibri" w:hAnsi="Arial" w:cs="Arial"/>
          <w:b/>
          <w:bCs/>
          <w:kern w:val="2"/>
          <w:sz w:val="22"/>
          <w:szCs w:val="22"/>
          <w:lang w:val="en-IN" w:eastAsia="en-US"/>
          <w14:ligatures w14:val="standardContextual"/>
        </w:rPr>
        <w:t>Declaration of AI Use</w:t>
      </w:r>
    </w:p>
    <w:p w14:paraId="5E6A6510" w14:textId="77777777" w:rsidR="006B7BED" w:rsidRPr="00470AC8" w:rsidRDefault="006B7BED" w:rsidP="006B7BED">
      <w:pPr>
        <w:spacing w:after="160" w:line="259" w:lineRule="auto"/>
        <w:rPr>
          <w:rFonts w:ascii="Arial" w:eastAsia="Calibri" w:hAnsi="Arial" w:cs="Arial"/>
          <w:kern w:val="2"/>
          <w:sz w:val="22"/>
          <w:szCs w:val="22"/>
          <w:lang w:val="en-IN" w:eastAsia="en-US"/>
          <w14:ligatures w14:val="standardContextual"/>
        </w:rPr>
      </w:pPr>
      <w:r w:rsidRPr="00470AC8">
        <w:rPr>
          <w:rFonts w:ascii="Arial" w:eastAsia="Calibri" w:hAnsi="Arial" w:cs="Arial"/>
          <w:kern w:val="2"/>
          <w:sz w:val="22"/>
          <w:szCs w:val="22"/>
          <w:lang w:val="en-IN"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2B3ED5B" w14:textId="77777777" w:rsidR="00F80353" w:rsidRPr="00470AC8" w:rsidRDefault="00F80353">
      <w:pPr>
        <w:pStyle w:val="NormalWeb"/>
        <w:spacing w:beforeAutospacing="0" w:afterAutospacing="0"/>
        <w:jc w:val="both"/>
        <w:rPr>
          <w:sz w:val="20"/>
          <w:szCs w:val="20"/>
        </w:rPr>
      </w:pPr>
    </w:p>
    <w:p w14:paraId="3BA58E08" w14:textId="77777777" w:rsidR="00F80353" w:rsidRPr="00470AC8" w:rsidRDefault="00F80353">
      <w:pPr>
        <w:pStyle w:val="NormalWeb"/>
        <w:spacing w:beforeAutospacing="0" w:afterAutospacing="0"/>
        <w:jc w:val="both"/>
        <w:rPr>
          <w:sz w:val="20"/>
          <w:szCs w:val="20"/>
        </w:rPr>
      </w:pPr>
    </w:p>
    <w:p w14:paraId="594697CE" w14:textId="77777777" w:rsidR="00F80353" w:rsidRPr="00470AC8" w:rsidRDefault="007F2E21">
      <w:pPr>
        <w:rPr>
          <w:rFonts w:ascii="Times New Roman" w:hAnsi="Times New Roman" w:cs="Times New Roman"/>
          <w:b/>
          <w:bCs/>
          <w:sz w:val="22"/>
          <w:szCs w:val="22"/>
          <w:lang w:val="en-CA"/>
        </w:rPr>
      </w:pPr>
      <w:r w:rsidRPr="00470AC8">
        <w:rPr>
          <w:rFonts w:ascii="Times New Roman" w:hAnsi="Times New Roman" w:cs="Times New Roman"/>
          <w:b/>
          <w:bCs/>
          <w:sz w:val="22"/>
          <w:szCs w:val="22"/>
          <w:lang w:val="en-CA"/>
        </w:rPr>
        <w:t>References</w:t>
      </w:r>
    </w:p>
    <w:p w14:paraId="043A9DF2" w14:textId="77777777" w:rsidR="00F80353" w:rsidRPr="00470AC8" w:rsidRDefault="00F80353">
      <w:pPr>
        <w:rPr>
          <w:rFonts w:ascii="Times New Roman" w:hAnsi="Times New Roman" w:cs="Times New Roman"/>
          <w:b/>
          <w:bCs/>
          <w:sz w:val="22"/>
          <w:szCs w:val="22"/>
          <w:lang w:val="en-CA"/>
        </w:rPr>
      </w:pPr>
    </w:p>
    <w:p w14:paraId="57C9F3CD"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African Securities Exchanges Association, &amp; Oxford Business Group. (2022). </w:t>
      </w:r>
      <w:r>
        <w:rPr>
          <w:rFonts w:ascii="Times New Roman" w:eastAsia="Times New Roman" w:hAnsi="Times New Roman"/>
          <w:i/>
          <w:sz w:val="19"/>
        </w:rPr>
        <w:t>African stock exchanges focus report</w:t>
      </w:r>
      <w:r>
        <w:rPr>
          <w:rFonts w:ascii="Times New Roman" w:eastAsia="Times New Roman" w:hAnsi="Times New Roman"/>
          <w:sz w:val="19"/>
        </w:rPr>
        <w:t xml:space="preserve">. </w:t>
      </w:r>
      <w:hyperlink r:id="rId10">
        <w:r>
          <w:rPr>
            <w:rFonts w:ascii="Times New Roman" w:eastAsia="Times New Roman" w:hAnsi="Times New Roman"/>
            <w:color w:val="0000FF"/>
            <w:sz w:val="19"/>
            <w:szCs w:val="19"/>
            <w:u w:val="single"/>
          </w:rPr>
          <w:t>https://www.jse.co.za/sites/default/files/media/documents/asea-africa-focus-report/ASEA_Africa_Focus_Report.pdf</w:t>
        </w:r>
      </w:hyperlink>
    </w:p>
    <w:p w14:paraId="799AE3B9"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461F31C2"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Arellano, M., &amp; Bond, S. (1991). Some tests of specification for panel data: Monte Carlo evidence and an application to employment equations. </w:t>
      </w:r>
      <w:r>
        <w:rPr>
          <w:rFonts w:ascii="Times New Roman" w:eastAsia="Times New Roman" w:hAnsi="Times New Roman"/>
          <w:i/>
          <w:sz w:val="19"/>
        </w:rPr>
        <w:t>The Review of Economic Studies, 58</w:t>
      </w:r>
      <w:r>
        <w:rPr>
          <w:rFonts w:ascii="Times New Roman" w:eastAsia="Times New Roman" w:hAnsi="Times New Roman"/>
          <w:sz w:val="19"/>
        </w:rPr>
        <w:t xml:space="preserve">(2), 277–297. </w:t>
      </w:r>
      <w:hyperlink r:id="rId11">
        <w:r>
          <w:rPr>
            <w:rFonts w:ascii="Times New Roman" w:eastAsia="Times New Roman" w:hAnsi="Times New Roman"/>
            <w:color w:val="0000FF"/>
            <w:sz w:val="19"/>
            <w:szCs w:val="19"/>
            <w:u w:val="single"/>
          </w:rPr>
          <w:t>https://doi.org/10.2307/2297968</w:t>
        </w:r>
      </w:hyperlink>
    </w:p>
    <w:p w14:paraId="35C4BB90"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75C6637"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Arellano, M., &amp; Bover, O. (1995). Another look at the instrumental variable estimation of error-components models. </w:t>
      </w:r>
      <w:r>
        <w:rPr>
          <w:rFonts w:ascii="Times New Roman" w:eastAsia="Times New Roman" w:hAnsi="Times New Roman"/>
          <w:i/>
          <w:sz w:val="19"/>
        </w:rPr>
        <w:t>Journal of Econometrics, 68</w:t>
      </w:r>
      <w:r>
        <w:rPr>
          <w:rFonts w:ascii="Times New Roman" w:eastAsia="Times New Roman" w:hAnsi="Times New Roman"/>
          <w:sz w:val="19"/>
        </w:rPr>
        <w:t xml:space="preserve">(1), 29–51. </w:t>
      </w:r>
      <w:hyperlink r:id="rId12">
        <w:r>
          <w:rPr>
            <w:rFonts w:ascii="Times New Roman" w:eastAsia="Times New Roman" w:hAnsi="Times New Roman"/>
            <w:color w:val="0000FF"/>
            <w:sz w:val="19"/>
            <w:szCs w:val="19"/>
            <w:u w:val="single"/>
          </w:rPr>
          <w:t>https://doi.org/10.1016/0304-4076(94)01642-D</w:t>
        </w:r>
      </w:hyperlink>
    </w:p>
    <w:p w14:paraId="0ECA4332"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0808845"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Asongu, S. A. (2012). Government quality determinants of stock market performance in African countries. </w:t>
      </w:r>
      <w:r>
        <w:rPr>
          <w:rFonts w:ascii="Times New Roman" w:eastAsia="Times New Roman" w:hAnsi="Times New Roman"/>
          <w:i/>
          <w:sz w:val="19"/>
        </w:rPr>
        <w:t>Journal of African Business, 13</w:t>
      </w:r>
      <w:r>
        <w:rPr>
          <w:rFonts w:ascii="Times New Roman" w:eastAsia="Times New Roman" w:hAnsi="Times New Roman"/>
          <w:sz w:val="19"/>
        </w:rPr>
        <w:t xml:space="preserve">(3), 183–199. </w:t>
      </w:r>
      <w:hyperlink r:id="rId13">
        <w:r>
          <w:rPr>
            <w:rFonts w:ascii="Times New Roman" w:eastAsia="Times New Roman" w:hAnsi="Times New Roman"/>
            <w:color w:val="0000FF"/>
            <w:sz w:val="19"/>
            <w:szCs w:val="19"/>
            <w:u w:val="single"/>
          </w:rPr>
          <w:t>https://doi.org/10.1080/15228916.2012.727744</w:t>
        </w:r>
      </w:hyperlink>
    </w:p>
    <w:p w14:paraId="5DF86DE5"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E9CD831"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Baltagi, B. H. (2021). </w:t>
      </w:r>
      <w:r>
        <w:rPr>
          <w:rFonts w:ascii="Times New Roman" w:eastAsia="Times New Roman" w:hAnsi="Times New Roman"/>
          <w:i/>
          <w:sz w:val="19"/>
        </w:rPr>
        <w:t>Econometric analysis of panel data</w:t>
      </w:r>
      <w:r>
        <w:rPr>
          <w:rFonts w:ascii="Times New Roman" w:eastAsia="Times New Roman" w:hAnsi="Times New Roman"/>
          <w:sz w:val="19"/>
        </w:rPr>
        <w:t xml:space="preserve"> (6th ed.). Springer. </w:t>
      </w:r>
      <w:hyperlink r:id="rId14">
        <w:r>
          <w:rPr>
            <w:rFonts w:ascii="Times New Roman" w:eastAsia="Times New Roman" w:hAnsi="Times New Roman"/>
            <w:color w:val="0000FF"/>
            <w:sz w:val="19"/>
            <w:szCs w:val="19"/>
            <w:u w:val="single"/>
          </w:rPr>
          <w:t>https://doi.org/10.1007/978-3-030-53953-5</w:t>
        </w:r>
      </w:hyperlink>
    </w:p>
    <w:p w14:paraId="021E8142"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7516FF4"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Blundell, R., &amp; Bond, S. (1998). Initial conditions and moment restrictions in dynamic panel data models. </w:t>
      </w:r>
      <w:r>
        <w:rPr>
          <w:rFonts w:ascii="Times New Roman" w:eastAsia="Times New Roman" w:hAnsi="Times New Roman"/>
          <w:i/>
          <w:sz w:val="19"/>
        </w:rPr>
        <w:t>Journal of Econometrics, 87</w:t>
      </w:r>
      <w:r>
        <w:rPr>
          <w:rFonts w:ascii="Times New Roman" w:eastAsia="Times New Roman" w:hAnsi="Times New Roman"/>
          <w:sz w:val="19"/>
        </w:rPr>
        <w:t xml:space="preserve">(1), 115–143. </w:t>
      </w:r>
      <w:hyperlink r:id="rId15">
        <w:r>
          <w:rPr>
            <w:rFonts w:ascii="Times New Roman" w:eastAsia="Times New Roman" w:hAnsi="Times New Roman"/>
            <w:color w:val="0000FF"/>
            <w:sz w:val="19"/>
            <w:szCs w:val="19"/>
            <w:u w:val="single"/>
          </w:rPr>
          <w:t>https://doi.org/10.1016/S0304-4076(98)00009-8</w:t>
        </w:r>
      </w:hyperlink>
    </w:p>
    <w:p w14:paraId="3A40DF93"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5CDE583" w14:textId="77777777" w:rsidR="00C91004"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Bojaj, M. M. (2025). Dynamic effects of blockchain on financial markets: Evidence from TVP-Bayesian VAR with a connectedness approach. </w:t>
      </w:r>
      <w:r>
        <w:rPr>
          <w:rFonts w:ascii="Times New Roman" w:eastAsia="Times New Roman" w:hAnsi="Times New Roman"/>
          <w:i/>
          <w:sz w:val="19"/>
        </w:rPr>
        <w:t>Empirical Economics, 68</w:t>
      </w:r>
      <w:r>
        <w:rPr>
          <w:rFonts w:ascii="Times New Roman" w:eastAsia="Times New Roman" w:hAnsi="Times New Roman"/>
          <w:sz w:val="19"/>
        </w:rPr>
        <w:t xml:space="preserve">, 2159–2197. </w:t>
      </w:r>
      <w:hyperlink r:id="rId16">
        <w:r>
          <w:rPr>
            <w:rFonts w:ascii="Times New Roman" w:eastAsia="Times New Roman" w:hAnsi="Times New Roman"/>
            <w:color w:val="0000FF"/>
            <w:sz w:val="19"/>
            <w:szCs w:val="19"/>
            <w:u w:val="single"/>
          </w:rPr>
          <w:t>https://doi.org/10.1007/s00181-024-02696-8</w:t>
        </w:r>
      </w:hyperlink>
    </w:p>
    <w:p w14:paraId="26EACE00" w14:textId="77777777" w:rsidR="00C91004" w:rsidRPr="00470AC8" w:rsidRDefault="00C91004">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8ED8FB3"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Bouteska, A., Sharif, T., Isskandarani, L., &amp; Abedin, M. Z. (2025). Market efficiency and its determinants: Macro-level dynamics and micro-level characteristics of cryptocurrencies. </w:t>
      </w:r>
      <w:r>
        <w:rPr>
          <w:rFonts w:ascii="Times New Roman" w:eastAsia="Times New Roman" w:hAnsi="Times New Roman"/>
          <w:i/>
          <w:sz w:val="19"/>
        </w:rPr>
        <w:t>International Review of Economics &amp; Finance, 98</w:t>
      </w:r>
      <w:r>
        <w:rPr>
          <w:rFonts w:ascii="Times New Roman" w:eastAsia="Times New Roman" w:hAnsi="Times New Roman"/>
          <w:sz w:val="19"/>
        </w:rPr>
        <w:t xml:space="preserve">, Article 103938. </w:t>
      </w:r>
      <w:hyperlink r:id="rId17">
        <w:r>
          <w:rPr>
            <w:rFonts w:ascii="Times New Roman" w:eastAsia="Times New Roman" w:hAnsi="Times New Roman"/>
            <w:color w:val="0000FF"/>
            <w:sz w:val="19"/>
            <w:szCs w:val="19"/>
            <w:u w:val="single"/>
          </w:rPr>
          <w:t>https://doi.org/10.1016/j.iref.2025.103938</w:t>
        </w:r>
      </w:hyperlink>
    </w:p>
    <w:p w14:paraId="6CAE7441"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BAEE496"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Casino, F., Dasaklis, T. K., &amp; Patsakis, C. (2019). A systematic literature review of blockchain-based applications: </w:t>
      </w:r>
      <w:proofErr w:type="gramStart"/>
      <w:r>
        <w:rPr>
          <w:rFonts w:ascii="Times New Roman" w:eastAsia="Times New Roman" w:hAnsi="Times New Roman"/>
          <w:sz w:val="19"/>
        </w:rPr>
        <w:t>Current status</w:t>
      </w:r>
      <w:proofErr w:type="gramEnd"/>
      <w:r>
        <w:rPr>
          <w:rFonts w:ascii="Times New Roman" w:eastAsia="Times New Roman" w:hAnsi="Times New Roman"/>
          <w:sz w:val="19"/>
        </w:rPr>
        <w:t xml:space="preserve">, classification and open issues. </w:t>
      </w:r>
      <w:r>
        <w:rPr>
          <w:rFonts w:ascii="Times New Roman" w:eastAsia="Times New Roman" w:hAnsi="Times New Roman"/>
          <w:i/>
          <w:sz w:val="19"/>
        </w:rPr>
        <w:t>Telematics and Informatics, 36</w:t>
      </w:r>
      <w:r>
        <w:rPr>
          <w:rFonts w:ascii="Times New Roman" w:eastAsia="Times New Roman" w:hAnsi="Times New Roman"/>
          <w:sz w:val="19"/>
        </w:rPr>
        <w:t xml:space="preserve">, 55–81. </w:t>
      </w:r>
      <w:hyperlink r:id="rId18">
        <w:r>
          <w:rPr>
            <w:rFonts w:ascii="Times New Roman" w:eastAsia="Times New Roman" w:hAnsi="Times New Roman"/>
            <w:color w:val="0000FF"/>
            <w:sz w:val="19"/>
            <w:szCs w:val="19"/>
            <w:u w:val="single"/>
          </w:rPr>
          <w:t>https://doi.org/10.1016/j.tele.2018.11.006</w:t>
        </w:r>
      </w:hyperlink>
    </w:p>
    <w:p w14:paraId="7F843BCF"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EF77501"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Chen, Y., &amp; Bellavitis, C. (2020). Blockchain disruption and decentralized finance: The rise of decentralized business models. </w:t>
      </w:r>
      <w:r>
        <w:rPr>
          <w:rFonts w:ascii="Times New Roman" w:eastAsia="Times New Roman" w:hAnsi="Times New Roman"/>
          <w:i/>
          <w:sz w:val="19"/>
        </w:rPr>
        <w:t>Journal of Business Venturing Insights, 13</w:t>
      </w:r>
      <w:r>
        <w:rPr>
          <w:rFonts w:ascii="Times New Roman" w:eastAsia="Times New Roman" w:hAnsi="Times New Roman"/>
          <w:sz w:val="19"/>
        </w:rPr>
        <w:t xml:space="preserve">, Article e00151. </w:t>
      </w:r>
      <w:hyperlink r:id="rId19">
        <w:r>
          <w:rPr>
            <w:rFonts w:ascii="Times New Roman" w:eastAsia="Times New Roman" w:hAnsi="Times New Roman"/>
            <w:color w:val="0000FF"/>
            <w:sz w:val="19"/>
            <w:szCs w:val="19"/>
            <w:u w:val="single"/>
          </w:rPr>
          <w:t>https://doi.org/10.1016/j.jbvi.2019.e00151</w:t>
        </w:r>
      </w:hyperlink>
    </w:p>
    <w:p w14:paraId="46506421"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51E2BBE"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Chordia, T., Roll, R., &amp; Subrahmanyam, A. (2001). Market liquidity and trading activity. </w:t>
      </w:r>
      <w:r>
        <w:rPr>
          <w:rFonts w:ascii="Times New Roman" w:eastAsia="Times New Roman" w:hAnsi="Times New Roman"/>
          <w:i/>
          <w:sz w:val="19"/>
        </w:rPr>
        <w:t>The Journal of Finance, 56</w:t>
      </w:r>
      <w:r>
        <w:rPr>
          <w:rFonts w:ascii="Times New Roman" w:eastAsia="Times New Roman" w:hAnsi="Times New Roman"/>
          <w:sz w:val="19"/>
        </w:rPr>
        <w:t xml:space="preserve">(2), 501–530. </w:t>
      </w:r>
      <w:hyperlink r:id="rId20">
        <w:r>
          <w:rPr>
            <w:rFonts w:ascii="Times New Roman" w:eastAsia="Times New Roman" w:hAnsi="Times New Roman"/>
            <w:color w:val="0000FF"/>
            <w:sz w:val="19"/>
            <w:szCs w:val="19"/>
            <w:u w:val="single"/>
          </w:rPr>
          <w:t>https://doi.org/10.1111/0022-1082.00335</w:t>
        </w:r>
      </w:hyperlink>
    </w:p>
    <w:p w14:paraId="4180E520"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8E2D2F2"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Davis, F. D. (1989). Perceived usefulness, perceived ease of use, and user acceptance of information technology. </w:t>
      </w:r>
      <w:r>
        <w:rPr>
          <w:rFonts w:ascii="Times New Roman" w:eastAsia="Times New Roman" w:hAnsi="Times New Roman"/>
          <w:i/>
          <w:sz w:val="19"/>
        </w:rPr>
        <w:t>MIS Quarterly, 13</w:t>
      </w:r>
      <w:r>
        <w:rPr>
          <w:rFonts w:ascii="Times New Roman" w:eastAsia="Times New Roman" w:hAnsi="Times New Roman"/>
          <w:sz w:val="19"/>
        </w:rPr>
        <w:t xml:space="preserve">(3), 319–340. </w:t>
      </w:r>
      <w:hyperlink r:id="rId21">
        <w:r>
          <w:rPr>
            <w:rFonts w:ascii="Times New Roman" w:eastAsia="Times New Roman" w:hAnsi="Times New Roman"/>
            <w:color w:val="0000FF"/>
            <w:sz w:val="19"/>
            <w:szCs w:val="19"/>
            <w:u w:val="single"/>
          </w:rPr>
          <w:t>https://doi.org/10.2307/249008</w:t>
        </w:r>
      </w:hyperlink>
    </w:p>
    <w:p w14:paraId="00C34AFC"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F205A72"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lastRenderedPageBreak/>
        <w:t xml:space="preserve">Dowelani, M., Okoro, C., &amp; Olaleye, A. (2023). Blockchain technology in the clearing and settlement industry in South Africa. </w:t>
      </w:r>
      <w:r>
        <w:rPr>
          <w:rFonts w:ascii="Times New Roman" w:eastAsia="Times New Roman" w:hAnsi="Times New Roman"/>
          <w:i/>
          <w:sz w:val="19"/>
        </w:rPr>
        <w:t>Acta Commercii, 23</w:t>
      </w:r>
      <w:r>
        <w:rPr>
          <w:rFonts w:ascii="Times New Roman" w:eastAsia="Times New Roman" w:hAnsi="Times New Roman"/>
          <w:sz w:val="19"/>
        </w:rPr>
        <w:t xml:space="preserve">(1), Article a1097. </w:t>
      </w:r>
      <w:hyperlink r:id="rId22">
        <w:r>
          <w:rPr>
            <w:rFonts w:ascii="Times New Roman" w:eastAsia="Times New Roman" w:hAnsi="Times New Roman"/>
            <w:color w:val="0000FF"/>
            <w:sz w:val="19"/>
            <w:szCs w:val="19"/>
            <w:u w:val="single"/>
          </w:rPr>
          <w:t>https://doi.org/10.4102/ac.v23i1.1097</w:t>
        </w:r>
      </w:hyperlink>
    </w:p>
    <w:p w14:paraId="773AAA64"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0A7C7F9"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Fama, E. F. (1970). Efficient capital markets: A review of theory and empirical work. </w:t>
      </w:r>
      <w:r>
        <w:rPr>
          <w:rFonts w:ascii="Times New Roman" w:eastAsia="Times New Roman" w:hAnsi="Times New Roman"/>
          <w:i/>
          <w:sz w:val="19"/>
        </w:rPr>
        <w:t>The Journal of Finance, 25</w:t>
      </w:r>
      <w:r>
        <w:rPr>
          <w:rFonts w:ascii="Times New Roman" w:eastAsia="Times New Roman" w:hAnsi="Times New Roman"/>
          <w:sz w:val="19"/>
        </w:rPr>
        <w:t xml:space="preserve">(2), 383–417. </w:t>
      </w:r>
      <w:hyperlink r:id="rId23">
        <w:r>
          <w:rPr>
            <w:rFonts w:ascii="Times New Roman" w:eastAsia="Times New Roman" w:hAnsi="Times New Roman"/>
            <w:color w:val="0000FF"/>
            <w:sz w:val="19"/>
            <w:szCs w:val="19"/>
            <w:u w:val="single"/>
          </w:rPr>
          <w:t>https://doi.org/10.1111/j.1540-6261.1970.tb00518.x</w:t>
        </w:r>
      </w:hyperlink>
    </w:p>
    <w:p w14:paraId="5FAF68DB"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7568BBF" w14:textId="77777777" w:rsidR="00C91004"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Gharehdaghi, M., &amp; Kamann, D.-J. F. (2024). Blockchain adoption in networks: The decision </w:t>
      </w:r>
      <w:proofErr w:type="gramStart"/>
      <w:r>
        <w:rPr>
          <w:rFonts w:ascii="Times New Roman" w:eastAsia="Times New Roman" w:hAnsi="Times New Roman"/>
          <w:sz w:val="19"/>
        </w:rPr>
        <w:t>flow</w:t>
      </w:r>
      <w:proofErr w:type="gramEnd"/>
      <w:r>
        <w:rPr>
          <w:rFonts w:ascii="Times New Roman" w:eastAsia="Times New Roman" w:hAnsi="Times New Roman"/>
          <w:sz w:val="19"/>
        </w:rPr>
        <w:t xml:space="preserve"> through three arenas. </w:t>
      </w:r>
      <w:r>
        <w:rPr>
          <w:rFonts w:ascii="Times New Roman" w:eastAsia="Times New Roman" w:hAnsi="Times New Roman"/>
          <w:i/>
          <w:sz w:val="19"/>
        </w:rPr>
        <w:t>Journal of Economics, Management and Trade, 30</w:t>
      </w:r>
      <w:r>
        <w:rPr>
          <w:rFonts w:ascii="Times New Roman" w:eastAsia="Times New Roman" w:hAnsi="Times New Roman"/>
          <w:sz w:val="19"/>
        </w:rPr>
        <w:t xml:space="preserve">(7), 16–28. </w:t>
      </w:r>
      <w:hyperlink r:id="rId24">
        <w:r>
          <w:rPr>
            <w:rFonts w:ascii="Times New Roman" w:eastAsia="Times New Roman" w:hAnsi="Times New Roman"/>
            <w:color w:val="0000FF"/>
            <w:sz w:val="19"/>
            <w:szCs w:val="19"/>
            <w:u w:val="single"/>
          </w:rPr>
          <w:t>https://doi.org/10.9734/jemt/2024/v30i71221</w:t>
        </w:r>
      </w:hyperlink>
    </w:p>
    <w:p w14:paraId="7E3C17B1" w14:textId="77777777" w:rsidR="00C91004" w:rsidRPr="00470AC8" w:rsidRDefault="00C91004">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265E46C" w14:textId="77777777" w:rsidR="00C91004"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Girma, A. G., &amp; Huseynov, F. (2024). The causal relationship between FinTech, financial inclusion, and income inequality in African economies. </w:t>
      </w:r>
      <w:r>
        <w:rPr>
          <w:rFonts w:ascii="Times New Roman" w:eastAsia="Times New Roman" w:hAnsi="Times New Roman"/>
          <w:i/>
          <w:sz w:val="19"/>
        </w:rPr>
        <w:t>Journal of Risk and Financial Management, 17</w:t>
      </w:r>
      <w:r>
        <w:rPr>
          <w:rFonts w:ascii="Times New Roman" w:eastAsia="Times New Roman" w:hAnsi="Times New Roman"/>
          <w:sz w:val="19"/>
        </w:rPr>
        <w:t xml:space="preserve">(1), Article 2. </w:t>
      </w:r>
      <w:hyperlink r:id="rId25">
        <w:r>
          <w:rPr>
            <w:rFonts w:ascii="Times New Roman" w:eastAsia="Times New Roman" w:hAnsi="Times New Roman"/>
            <w:color w:val="0000FF"/>
            <w:sz w:val="19"/>
            <w:szCs w:val="19"/>
            <w:u w:val="single"/>
          </w:rPr>
          <w:t>https://doi.org/10.3390/jrfm17010002</w:t>
        </w:r>
      </w:hyperlink>
    </w:p>
    <w:p w14:paraId="79F8FEA3" w14:textId="77777777" w:rsidR="00C91004" w:rsidRPr="00470AC8" w:rsidRDefault="00C91004">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04DB9A2"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sidRPr="00744B71">
        <w:rPr>
          <w:rFonts w:ascii="Times New Roman" w:eastAsia="Times New Roman" w:hAnsi="Times New Roman"/>
          <w:sz w:val="19"/>
          <w:lang w:val="nl-BE"/>
        </w:rPr>
        <w:t xml:space="preserve">Hautsch, N., Scheuch, C., &amp; Voigt, S. (2024). </w:t>
      </w:r>
      <w:r>
        <w:rPr>
          <w:rFonts w:ascii="Times New Roman" w:eastAsia="Times New Roman" w:hAnsi="Times New Roman"/>
          <w:sz w:val="19"/>
        </w:rPr>
        <w:t xml:space="preserve">Building trust takes time: Limits to arbitrage for blockchain-based assets. </w:t>
      </w:r>
      <w:r>
        <w:rPr>
          <w:rFonts w:ascii="Times New Roman" w:eastAsia="Times New Roman" w:hAnsi="Times New Roman"/>
          <w:i/>
          <w:sz w:val="19"/>
        </w:rPr>
        <w:t>Review of Finance, 28</w:t>
      </w:r>
      <w:r>
        <w:rPr>
          <w:rFonts w:ascii="Times New Roman" w:eastAsia="Times New Roman" w:hAnsi="Times New Roman"/>
          <w:sz w:val="19"/>
        </w:rPr>
        <w:t xml:space="preserve">(4), 1345–1381. </w:t>
      </w:r>
      <w:hyperlink r:id="rId26">
        <w:r>
          <w:rPr>
            <w:rFonts w:ascii="Times New Roman" w:eastAsia="Times New Roman" w:hAnsi="Times New Roman"/>
            <w:color w:val="0000FF"/>
            <w:sz w:val="19"/>
            <w:szCs w:val="19"/>
            <w:u w:val="single"/>
          </w:rPr>
          <w:t>https://doi.org/10.1093/rof/rfae004</w:t>
        </w:r>
      </w:hyperlink>
    </w:p>
    <w:p w14:paraId="20D776F6"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04FB7F8E"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Hoechle, D. (2007). Robust standard errors for panel regressions with cross-sectional dependence. </w:t>
      </w:r>
      <w:r>
        <w:rPr>
          <w:rFonts w:ascii="Times New Roman" w:eastAsia="Times New Roman" w:hAnsi="Times New Roman"/>
          <w:i/>
          <w:sz w:val="19"/>
        </w:rPr>
        <w:t>The Stata Journal, 7</w:t>
      </w:r>
      <w:r>
        <w:rPr>
          <w:rFonts w:ascii="Times New Roman" w:eastAsia="Times New Roman" w:hAnsi="Times New Roman"/>
          <w:sz w:val="19"/>
        </w:rPr>
        <w:t xml:space="preserve">(3), 281–312. </w:t>
      </w:r>
      <w:hyperlink r:id="rId27">
        <w:r>
          <w:rPr>
            <w:rFonts w:ascii="Times New Roman" w:eastAsia="Times New Roman" w:hAnsi="Times New Roman"/>
            <w:color w:val="0000FF"/>
            <w:sz w:val="19"/>
            <w:szCs w:val="19"/>
            <w:u w:val="single"/>
          </w:rPr>
          <w:t>https://doi.org/10.1177/1536867X0700700301</w:t>
        </w:r>
      </w:hyperlink>
    </w:p>
    <w:p w14:paraId="3F59294D"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A924A16"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Hou, K., &amp; Moskowitz, T. J. (2005). Market </w:t>
      </w:r>
      <w:proofErr w:type="gramStart"/>
      <w:r>
        <w:rPr>
          <w:rFonts w:ascii="Times New Roman" w:eastAsia="Times New Roman" w:hAnsi="Times New Roman"/>
          <w:sz w:val="19"/>
        </w:rPr>
        <w:t>frictions</w:t>
      </w:r>
      <w:proofErr w:type="gramEnd"/>
      <w:r>
        <w:rPr>
          <w:rFonts w:ascii="Times New Roman" w:eastAsia="Times New Roman" w:hAnsi="Times New Roman"/>
          <w:sz w:val="19"/>
        </w:rPr>
        <w:t xml:space="preserve">, price delay, and the cross-section of expected returns. </w:t>
      </w:r>
      <w:r>
        <w:rPr>
          <w:rFonts w:ascii="Times New Roman" w:eastAsia="Times New Roman" w:hAnsi="Times New Roman"/>
          <w:i/>
          <w:sz w:val="19"/>
        </w:rPr>
        <w:t>The Review of Financial Studies, 18</w:t>
      </w:r>
      <w:r>
        <w:rPr>
          <w:rFonts w:ascii="Times New Roman" w:eastAsia="Times New Roman" w:hAnsi="Times New Roman"/>
          <w:sz w:val="19"/>
        </w:rPr>
        <w:t xml:space="preserve">(3), 981–1020. </w:t>
      </w:r>
      <w:hyperlink r:id="rId28">
        <w:r>
          <w:rPr>
            <w:rFonts w:ascii="Times New Roman" w:eastAsia="Times New Roman" w:hAnsi="Times New Roman"/>
            <w:color w:val="0000FF"/>
            <w:sz w:val="19"/>
            <w:szCs w:val="19"/>
            <w:u w:val="single"/>
          </w:rPr>
          <w:t>https://doi.org/10.1093/rfs/hhi023</w:t>
        </w:r>
      </w:hyperlink>
    </w:p>
    <w:p w14:paraId="39310309"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284E5054"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Igwilo, J. I., &amp; Sibindi, A. B. (2022). ICT adoption and stock market development: Empirical evidence using a panel of African countries. </w:t>
      </w:r>
      <w:r>
        <w:rPr>
          <w:rFonts w:ascii="Times New Roman" w:eastAsia="Times New Roman" w:hAnsi="Times New Roman"/>
          <w:i/>
          <w:sz w:val="19"/>
        </w:rPr>
        <w:t>Risks, 10</w:t>
      </w:r>
      <w:r>
        <w:rPr>
          <w:rFonts w:ascii="Times New Roman" w:eastAsia="Times New Roman" w:hAnsi="Times New Roman"/>
          <w:sz w:val="19"/>
        </w:rPr>
        <w:t xml:space="preserve">(2), Article 25. </w:t>
      </w:r>
      <w:hyperlink r:id="rId29">
        <w:r>
          <w:rPr>
            <w:rFonts w:ascii="Times New Roman" w:eastAsia="Times New Roman" w:hAnsi="Times New Roman"/>
            <w:color w:val="0000FF"/>
            <w:sz w:val="19"/>
            <w:szCs w:val="19"/>
            <w:u w:val="single"/>
          </w:rPr>
          <w:t>https://doi.org/10.3390/risks10020025</w:t>
        </w:r>
      </w:hyperlink>
    </w:p>
    <w:p w14:paraId="5F6C7B1C"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FBBBDC8" w14:textId="77777777" w:rsidR="00C91004"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International Monetary Fund, &amp; World Bank. (2019). </w:t>
      </w:r>
      <w:r>
        <w:rPr>
          <w:rFonts w:ascii="Times New Roman" w:eastAsia="Times New Roman" w:hAnsi="Times New Roman"/>
          <w:i/>
          <w:sz w:val="19"/>
        </w:rPr>
        <w:t>Fintech: The experience so far</w:t>
      </w:r>
      <w:r>
        <w:rPr>
          <w:rFonts w:ascii="Times New Roman" w:eastAsia="Times New Roman" w:hAnsi="Times New Roman"/>
          <w:sz w:val="19"/>
        </w:rPr>
        <w:t xml:space="preserve"> (Policy Paper No. 2019/024). </w:t>
      </w:r>
      <w:hyperlink r:id="rId30">
        <w:r>
          <w:rPr>
            <w:rFonts w:ascii="Times New Roman" w:eastAsia="Times New Roman" w:hAnsi="Times New Roman"/>
            <w:color w:val="0000FF"/>
            <w:sz w:val="19"/>
            <w:szCs w:val="19"/>
            <w:u w:val="single"/>
          </w:rPr>
          <w:t>https://doi.org/10.5089/9781498321860.007</w:t>
        </w:r>
      </w:hyperlink>
    </w:p>
    <w:p w14:paraId="406C8EFA" w14:textId="77777777" w:rsidR="00C91004" w:rsidRPr="00470AC8" w:rsidRDefault="00C91004">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1FB5E730" w14:textId="77777777" w:rsidR="00F80353" w:rsidRPr="00744B71"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nl-BE" w:eastAsia="en-US"/>
        </w:rPr>
      </w:pPr>
      <w:r>
        <w:rPr>
          <w:rFonts w:ascii="Times New Roman" w:eastAsia="Times New Roman" w:hAnsi="Times New Roman"/>
          <w:sz w:val="19"/>
        </w:rPr>
        <w:t xml:space="preserve">Jolliffe, I. T. (2002). </w:t>
      </w:r>
      <w:r>
        <w:rPr>
          <w:rFonts w:ascii="Times New Roman" w:eastAsia="Times New Roman" w:hAnsi="Times New Roman"/>
          <w:i/>
          <w:sz w:val="19"/>
        </w:rPr>
        <w:t>Principal component analysis</w:t>
      </w:r>
      <w:r>
        <w:rPr>
          <w:rFonts w:ascii="Times New Roman" w:eastAsia="Times New Roman" w:hAnsi="Times New Roman"/>
          <w:sz w:val="19"/>
        </w:rPr>
        <w:t xml:space="preserve"> (2nd ed.). </w:t>
      </w:r>
      <w:r w:rsidRPr="00744B71">
        <w:rPr>
          <w:rFonts w:ascii="Times New Roman" w:eastAsia="Times New Roman" w:hAnsi="Times New Roman"/>
          <w:sz w:val="19"/>
          <w:lang w:val="nl-BE"/>
        </w:rPr>
        <w:t xml:space="preserve">Springer. </w:t>
      </w:r>
      <w:hyperlink r:id="rId31">
        <w:r w:rsidRPr="00744B71">
          <w:rPr>
            <w:rFonts w:ascii="Times New Roman" w:eastAsia="Times New Roman" w:hAnsi="Times New Roman"/>
            <w:color w:val="0000FF"/>
            <w:sz w:val="19"/>
            <w:szCs w:val="19"/>
            <w:u w:val="single"/>
            <w:lang w:val="nl-BE"/>
          </w:rPr>
          <w:t>https://doi.org/10.1007/b98835</w:t>
        </w:r>
      </w:hyperlink>
    </w:p>
    <w:p w14:paraId="2072D22A" w14:textId="77777777" w:rsidR="00F80353" w:rsidRPr="00744B71"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nl-BE" w:eastAsia="en-US"/>
        </w:rPr>
      </w:pPr>
    </w:p>
    <w:p w14:paraId="6FF551CC"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sidRPr="00744B71">
        <w:rPr>
          <w:rFonts w:ascii="Times New Roman" w:eastAsia="Times New Roman" w:hAnsi="Times New Roman"/>
          <w:sz w:val="19"/>
          <w:lang w:val="nl-BE"/>
        </w:rPr>
        <w:t xml:space="preserve">Joseph, T. E., Jahanger, A., Onwe, J. C., &amp; Balsalobre-Lorente, D. (2024). </w:t>
      </w:r>
      <w:r>
        <w:rPr>
          <w:rFonts w:ascii="Times New Roman" w:eastAsia="Times New Roman" w:hAnsi="Times New Roman"/>
          <w:sz w:val="19"/>
        </w:rPr>
        <w:t xml:space="preserve">The implication of cryptocurrency volatility on five largest African financial system stability. </w:t>
      </w:r>
      <w:r>
        <w:rPr>
          <w:rFonts w:ascii="Times New Roman" w:eastAsia="Times New Roman" w:hAnsi="Times New Roman"/>
          <w:i/>
          <w:sz w:val="19"/>
        </w:rPr>
        <w:t>Financial Innovation, 10</w:t>
      </w:r>
      <w:r>
        <w:rPr>
          <w:rFonts w:ascii="Times New Roman" w:eastAsia="Times New Roman" w:hAnsi="Times New Roman"/>
          <w:sz w:val="19"/>
        </w:rPr>
        <w:t xml:space="preserve">, Article 42. </w:t>
      </w:r>
      <w:hyperlink r:id="rId32">
        <w:r>
          <w:rPr>
            <w:rFonts w:ascii="Times New Roman" w:eastAsia="Times New Roman" w:hAnsi="Times New Roman"/>
            <w:color w:val="0000FF"/>
            <w:sz w:val="19"/>
            <w:szCs w:val="19"/>
            <w:u w:val="single"/>
          </w:rPr>
          <w:t>https://doi.org/10.1186/s40854-023-00580-5</w:t>
        </w:r>
      </w:hyperlink>
    </w:p>
    <w:p w14:paraId="314FF652"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3A98154"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Lee, I., &amp; Shin, Y. J. (2018). Fintech: Ecosystem, business models, investment decisions, and challenges. </w:t>
      </w:r>
      <w:r>
        <w:rPr>
          <w:rFonts w:ascii="Times New Roman" w:eastAsia="Times New Roman" w:hAnsi="Times New Roman"/>
          <w:i/>
          <w:sz w:val="19"/>
        </w:rPr>
        <w:t>Business Horizons, 61</w:t>
      </w:r>
      <w:r>
        <w:rPr>
          <w:rFonts w:ascii="Times New Roman" w:eastAsia="Times New Roman" w:hAnsi="Times New Roman"/>
          <w:sz w:val="19"/>
        </w:rPr>
        <w:t xml:space="preserve">(1), 35–46. </w:t>
      </w:r>
      <w:hyperlink r:id="rId33">
        <w:r>
          <w:rPr>
            <w:rFonts w:ascii="Times New Roman" w:eastAsia="Times New Roman" w:hAnsi="Times New Roman"/>
            <w:color w:val="0000FF"/>
            <w:sz w:val="19"/>
            <w:szCs w:val="19"/>
            <w:u w:val="single"/>
          </w:rPr>
          <w:t>https://doi.org/10.1016/j.bushor.2017.09.003</w:t>
        </w:r>
      </w:hyperlink>
    </w:p>
    <w:p w14:paraId="78D34FAD"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DA489B8"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Organisation for Economic Co-operation and Development. (2025). </w:t>
      </w:r>
      <w:r>
        <w:rPr>
          <w:rFonts w:ascii="Times New Roman" w:eastAsia="Times New Roman" w:hAnsi="Times New Roman"/>
          <w:i/>
          <w:sz w:val="19"/>
        </w:rPr>
        <w:t>Africa capital markets report 2025</w:t>
      </w:r>
      <w:r>
        <w:rPr>
          <w:rFonts w:ascii="Times New Roman" w:eastAsia="Times New Roman" w:hAnsi="Times New Roman"/>
          <w:sz w:val="19"/>
        </w:rPr>
        <w:t xml:space="preserve">. </w:t>
      </w:r>
      <w:hyperlink r:id="rId34">
        <w:r>
          <w:rPr>
            <w:rFonts w:ascii="Times New Roman" w:eastAsia="Times New Roman" w:hAnsi="Times New Roman"/>
            <w:color w:val="0000FF"/>
            <w:sz w:val="19"/>
            <w:szCs w:val="19"/>
            <w:u w:val="single"/>
          </w:rPr>
          <w:t>https://doi.org/10.1787/7d26e1d3-en</w:t>
        </w:r>
      </w:hyperlink>
    </w:p>
    <w:p w14:paraId="0C444B03"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32FE6C89"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Osei-Assibey, K., &amp; Nene, M. (2024). Technical trading strategies, returns predictability and relative efficiency: Evidence from selected African stock markets. </w:t>
      </w:r>
      <w:r>
        <w:rPr>
          <w:rFonts w:ascii="Times New Roman" w:eastAsia="Times New Roman" w:hAnsi="Times New Roman"/>
          <w:i/>
          <w:sz w:val="19"/>
        </w:rPr>
        <w:t>Global Business and Economics Review, 30</w:t>
      </w:r>
      <w:r>
        <w:rPr>
          <w:rFonts w:ascii="Times New Roman" w:eastAsia="Times New Roman" w:hAnsi="Times New Roman"/>
          <w:sz w:val="19"/>
        </w:rPr>
        <w:t xml:space="preserve">(3), 259–282. </w:t>
      </w:r>
      <w:hyperlink r:id="rId35">
        <w:r>
          <w:rPr>
            <w:rFonts w:ascii="Times New Roman" w:eastAsia="Times New Roman" w:hAnsi="Times New Roman"/>
            <w:color w:val="0000FF"/>
            <w:sz w:val="19"/>
            <w:szCs w:val="19"/>
            <w:u w:val="single"/>
          </w:rPr>
          <w:t>https://doi.org/10.1504/GBER.2024.137616</w:t>
        </w:r>
      </w:hyperlink>
    </w:p>
    <w:p w14:paraId="65969151"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C51D08D" w14:textId="77777777" w:rsidR="00C91004" w:rsidRPr="00470AC8" w:rsidRDefault="007F2E21">
      <w:pPr>
        <w:ind w:left="549" w:right="5" w:hanging="540"/>
      </w:pPr>
      <w:r>
        <w:rPr>
          <w:rFonts w:ascii="Times New Roman" w:eastAsia="Times New Roman" w:hAnsi="Times New Roman"/>
          <w:sz w:val="19"/>
        </w:rPr>
        <w:t xml:space="preserve">Osemwengie, C. (2025). Spectrum of adoption of blockchain technology: Implications for emerging capital markets in Africa. </w:t>
      </w:r>
      <w:r>
        <w:rPr>
          <w:rFonts w:ascii="Times New Roman" w:eastAsia="Times New Roman" w:hAnsi="Times New Roman"/>
          <w:i/>
          <w:sz w:val="19"/>
        </w:rPr>
        <w:t>The Journal of The British Blockchain Association, 8</w:t>
      </w:r>
      <w:r>
        <w:rPr>
          <w:rFonts w:ascii="Times New Roman" w:eastAsia="Times New Roman" w:hAnsi="Times New Roman"/>
          <w:sz w:val="19"/>
        </w:rPr>
        <w:t xml:space="preserve">(3), 1–9. </w:t>
      </w:r>
      <w:hyperlink r:id="rId36">
        <w:r>
          <w:rPr>
            <w:rFonts w:ascii="Times New Roman" w:eastAsia="Times New Roman" w:hAnsi="Times New Roman"/>
            <w:color w:val="0000FF"/>
            <w:sz w:val="19"/>
            <w:szCs w:val="19"/>
            <w:u w:val="single"/>
          </w:rPr>
          <w:t>https://doi.org/10.31585/jbba-8-2-(5)2025</w:t>
        </w:r>
      </w:hyperlink>
    </w:p>
    <w:p w14:paraId="49BAA24A" w14:textId="77777777" w:rsidR="00C91004" w:rsidRPr="00470AC8" w:rsidRDefault="00C91004"/>
    <w:p w14:paraId="17F0CE65"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Peters, G. W., &amp; Panayi, E. (2016). Understanding modern banking ledgers through blockchain technologies: Future of transaction processing and smart contracts on the internet of money. In P. Tasca, T. Aste, L. Pelizzon, &amp; N. Perony (Eds.), </w:t>
      </w:r>
      <w:r>
        <w:rPr>
          <w:rFonts w:ascii="Times New Roman" w:eastAsia="Times New Roman" w:hAnsi="Times New Roman"/>
          <w:i/>
          <w:sz w:val="19"/>
        </w:rPr>
        <w:t>Banking beyond banks and money</w:t>
      </w:r>
      <w:r>
        <w:rPr>
          <w:rFonts w:ascii="Times New Roman" w:eastAsia="Times New Roman" w:hAnsi="Times New Roman"/>
          <w:sz w:val="19"/>
        </w:rPr>
        <w:t xml:space="preserve"> (pp. 239–278). Springer. </w:t>
      </w:r>
      <w:hyperlink r:id="rId37">
        <w:r>
          <w:rPr>
            <w:rFonts w:ascii="Times New Roman" w:eastAsia="Times New Roman" w:hAnsi="Times New Roman"/>
            <w:color w:val="0000FF"/>
            <w:sz w:val="19"/>
            <w:szCs w:val="19"/>
            <w:u w:val="single"/>
          </w:rPr>
          <w:t>https://doi.org/10.1007/978-3-319-42448-4_13</w:t>
        </w:r>
      </w:hyperlink>
    </w:p>
    <w:p w14:paraId="0C2AC68C"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00F91C5"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Phan, D. H. B., Narayan, P. K., Rahman, R. E., &amp; Hutabarat, A. R. (2020). Do financial technology firms influence bank performance? </w:t>
      </w:r>
      <w:r>
        <w:rPr>
          <w:rFonts w:ascii="Times New Roman" w:eastAsia="Times New Roman" w:hAnsi="Times New Roman"/>
          <w:i/>
          <w:sz w:val="19"/>
        </w:rPr>
        <w:t>Pacific-Basin Finance Journal, 62</w:t>
      </w:r>
      <w:r>
        <w:rPr>
          <w:rFonts w:ascii="Times New Roman" w:eastAsia="Times New Roman" w:hAnsi="Times New Roman"/>
          <w:sz w:val="19"/>
        </w:rPr>
        <w:t xml:space="preserve">, Article 101210. </w:t>
      </w:r>
      <w:hyperlink r:id="rId38">
        <w:r>
          <w:rPr>
            <w:rFonts w:ascii="Times New Roman" w:eastAsia="Times New Roman" w:hAnsi="Times New Roman"/>
            <w:color w:val="0000FF"/>
            <w:sz w:val="19"/>
            <w:szCs w:val="19"/>
            <w:u w:val="single"/>
          </w:rPr>
          <w:t>https://doi.org/10.1016/j.pacfin.2019.101210</w:t>
        </w:r>
      </w:hyperlink>
    </w:p>
    <w:p w14:paraId="50581326"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DE377D0"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Phiri, A. (2022). Can wavelets produce a clearer picture of weak-form market efficiency in Bitcoin? </w:t>
      </w:r>
      <w:r>
        <w:rPr>
          <w:rFonts w:ascii="Times New Roman" w:eastAsia="Times New Roman" w:hAnsi="Times New Roman"/>
          <w:i/>
          <w:sz w:val="19"/>
        </w:rPr>
        <w:t>Eurasian Economic Review, 12</w:t>
      </w:r>
      <w:r>
        <w:rPr>
          <w:rFonts w:ascii="Times New Roman" w:eastAsia="Times New Roman" w:hAnsi="Times New Roman"/>
          <w:sz w:val="19"/>
        </w:rPr>
        <w:t xml:space="preserve">, 373–386. </w:t>
      </w:r>
      <w:hyperlink r:id="rId39">
        <w:r>
          <w:rPr>
            <w:rFonts w:ascii="Times New Roman" w:eastAsia="Times New Roman" w:hAnsi="Times New Roman"/>
            <w:color w:val="0000FF"/>
            <w:sz w:val="19"/>
            <w:szCs w:val="19"/>
            <w:u w:val="single"/>
          </w:rPr>
          <w:t>https://doi.org/10.1007/s40822-022-00214-8</w:t>
        </w:r>
      </w:hyperlink>
    </w:p>
    <w:p w14:paraId="7A784CB0"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7422EBE1" w14:textId="02F51E1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Rogers, E. M. (2003). </w:t>
      </w:r>
      <w:r>
        <w:rPr>
          <w:rFonts w:ascii="Times New Roman" w:eastAsia="Times New Roman" w:hAnsi="Times New Roman"/>
          <w:i/>
          <w:sz w:val="19"/>
        </w:rPr>
        <w:t>Diffusion of innovations</w:t>
      </w:r>
      <w:r>
        <w:rPr>
          <w:rFonts w:ascii="Times New Roman" w:eastAsia="Times New Roman" w:hAnsi="Times New Roman"/>
          <w:sz w:val="19"/>
        </w:rPr>
        <w:t xml:space="preserve"> (5th ed.). Free Press. </w:t>
      </w:r>
    </w:p>
    <w:p w14:paraId="7ABFFEF6"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32A516AF"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Roodman, D. (2009). How to do xtabond2: An introduction to difference and system GMM in Stata. </w:t>
      </w:r>
      <w:r>
        <w:rPr>
          <w:rFonts w:ascii="Times New Roman" w:eastAsia="Times New Roman" w:hAnsi="Times New Roman"/>
          <w:i/>
          <w:sz w:val="19"/>
        </w:rPr>
        <w:t>The Stata Journal, 9</w:t>
      </w:r>
      <w:r>
        <w:rPr>
          <w:rFonts w:ascii="Times New Roman" w:eastAsia="Times New Roman" w:hAnsi="Times New Roman"/>
          <w:sz w:val="19"/>
        </w:rPr>
        <w:t xml:space="preserve">(1), 86–136. </w:t>
      </w:r>
      <w:hyperlink r:id="rId40">
        <w:r>
          <w:rPr>
            <w:rFonts w:ascii="Times New Roman" w:eastAsia="Times New Roman" w:hAnsi="Times New Roman"/>
            <w:color w:val="0000FF"/>
            <w:sz w:val="19"/>
            <w:szCs w:val="19"/>
            <w:u w:val="single"/>
          </w:rPr>
          <w:t>https://doi.org/10.1177/1536867X0900900106</w:t>
        </w:r>
      </w:hyperlink>
    </w:p>
    <w:p w14:paraId="02640009"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5161FF2F" w14:textId="77777777" w:rsidR="00F80353" w:rsidRPr="00470AC8"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r>
        <w:rPr>
          <w:rFonts w:ascii="Times New Roman" w:eastAsia="Times New Roman" w:hAnsi="Times New Roman"/>
          <w:sz w:val="19"/>
        </w:rPr>
        <w:t xml:space="preserve">Treiblmaier, H., &amp; Clohessy, T. (Eds.). (2020). </w:t>
      </w:r>
      <w:r>
        <w:rPr>
          <w:rFonts w:ascii="Times New Roman" w:eastAsia="Times New Roman" w:hAnsi="Times New Roman"/>
          <w:i/>
          <w:sz w:val="19"/>
        </w:rPr>
        <w:t>Blockchain and distributed ledger technology use cases: Applications and lessons learned</w:t>
      </w:r>
      <w:r>
        <w:rPr>
          <w:rFonts w:ascii="Times New Roman" w:eastAsia="Times New Roman" w:hAnsi="Times New Roman"/>
          <w:sz w:val="19"/>
        </w:rPr>
        <w:t xml:space="preserve">. Springer. </w:t>
      </w:r>
      <w:hyperlink r:id="rId41">
        <w:r>
          <w:rPr>
            <w:rFonts w:ascii="Times New Roman" w:eastAsia="Times New Roman" w:hAnsi="Times New Roman"/>
            <w:color w:val="0000FF"/>
            <w:sz w:val="19"/>
            <w:szCs w:val="19"/>
            <w:u w:val="single"/>
          </w:rPr>
          <w:t>https://doi.org/10.1007/978-3-030-44337-5</w:t>
        </w:r>
      </w:hyperlink>
    </w:p>
    <w:p w14:paraId="37878478" w14:textId="77777777" w:rsidR="00F80353" w:rsidRPr="00470AC8" w:rsidRDefault="00F80353">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val="en-CA" w:eastAsia="en-US"/>
        </w:rPr>
      </w:pPr>
    </w:p>
    <w:p w14:paraId="64F1CAA1" w14:textId="77777777" w:rsidR="00F80353" w:rsidRDefault="007F2E21">
      <w:pPr>
        <w:kinsoku w:val="0"/>
        <w:autoSpaceDE w:val="0"/>
        <w:autoSpaceDN w:val="0"/>
        <w:adjustRightInd w:val="0"/>
        <w:snapToGrid w:val="0"/>
        <w:ind w:left="549" w:right="5" w:hanging="540"/>
        <w:textAlignment w:val="baseline"/>
        <w:rPr>
          <w:rFonts w:ascii="Times New Roman" w:eastAsia="Times New Roman" w:hAnsi="Times New Roman" w:cs="Times New Roman"/>
          <w:snapToGrid w:val="0"/>
          <w:color w:val="000000"/>
          <w:spacing w:val="7"/>
          <w:sz w:val="19"/>
          <w:szCs w:val="19"/>
          <w:lang w:eastAsia="en-US"/>
        </w:rPr>
      </w:pPr>
      <w:r>
        <w:rPr>
          <w:rFonts w:ascii="Times New Roman" w:eastAsia="Times New Roman" w:hAnsi="Times New Roman"/>
          <w:sz w:val="19"/>
        </w:rPr>
        <w:t xml:space="preserve">World Bank. (2025). </w:t>
      </w:r>
      <w:r>
        <w:rPr>
          <w:rFonts w:ascii="Times New Roman" w:eastAsia="Times New Roman" w:hAnsi="Times New Roman"/>
          <w:i/>
          <w:sz w:val="19"/>
        </w:rPr>
        <w:t>Worldwide Governance Indicators</w:t>
      </w:r>
      <w:r>
        <w:rPr>
          <w:rFonts w:ascii="Times New Roman" w:eastAsia="Times New Roman" w:hAnsi="Times New Roman"/>
          <w:sz w:val="19"/>
        </w:rPr>
        <w:t xml:space="preserve"> [Data set]. </w:t>
      </w:r>
      <w:hyperlink r:id="rId42">
        <w:r>
          <w:rPr>
            <w:rFonts w:ascii="Times New Roman" w:eastAsia="Times New Roman" w:hAnsi="Times New Roman"/>
            <w:color w:val="0000FF"/>
            <w:sz w:val="19"/>
            <w:szCs w:val="19"/>
            <w:u w:val="single"/>
          </w:rPr>
          <w:t>https://www.worldbank.org/en/publication/worldwide-governance-indicators</w:t>
        </w:r>
      </w:hyperlink>
    </w:p>
    <w:p w14:paraId="2AF776EE" w14:textId="77777777" w:rsidR="00F80353" w:rsidRDefault="00F80353">
      <w:pPr>
        <w:rPr>
          <w:rFonts w:ascii="Times New Roman" w:hAnsi="Times New Roman" w:cs="Times New Roman"/>
          <w:b/>
          <w:bCs/>
          <w:sz w:val="22"/>
          <w:szCs w:val="22"/>
          <w:lang w:val="en-CA"/>
        </w:rPr>
      </w:pPr>
    </w:p>
    <w:p w14:paraId="729A4646" w14:textId="77777777" w:rsidR="00F80353" w:rsidRDefault="00F80353">
      <w:pPr>
        <w:rPr>
          <w:rFonts w:ascii="Times New Roman" w:hAnsi="Times New Roman" w:cs="Times New Roman"/>
          <w:b/>
          <w:bCs/>
          <w:sz w:val="22"/>
          <w:szCs w:val="22"/>
          <w:lang w:val="en-CA"/>
        </w:rPr>
      </w:pPr>
    </w:p>
    <w:p w14:paraId="2386E604" w14:textId="77777777" w:rsidR="00F80353" w:rsidRDefault="00F80353">
      <w:pPr>
        <w:rPr>
          <w:rFonts w:ascii="Times New Roman" w:hAnsi="Times New Roman" w:cs="Times New Roman"/>
          <w:b/>
          <w:bCs/>
          <w:sz w:val="22"/>
          <w:szCs w:val="22"/>
          <w:lang w:val="en-CA"/>
        </w:rPr>
      </w:pPr>
    </w:p>
    <w:p w14:paraId="0932E13A" w14:textId="77777777" w:rsidR="00F80353" w:rsidRDefault="00F80353">
      <w:pPr>
        <w:rPr>
          <w:rFonts w:ascii="Times New Roman" w:hAnsi="Times New Roman" w:cs="Times New Roman"/>
          <w:b/>
          <w:bCs/>
          <w:sz w:val="22"/>
          <w:szCs w:val="22"/>
          <w:lang w:val="en-CA"/>
        </w:rPr>
      </w:pPr>
    </w:p>
    <w:p w14:paraId="7FF72344" w14:textId="77777777" w:rsidR="00F80353" w:rsidRDefault="00F80353">
      <w:pPr>
        <w:rPr>
          <w:rFonts w:ascii="Times New Roman" w:hAnsi="Times New Roman" w:cs="Times New Roman"/>
          <w:b/>
          <w:bCs/>
          <w:sz w:val="22"/>
          <w:szCs w:val="22"/>
          <w:lang w:val="en-CA"/>
        </w:rPr>
      </w:pPr>
    </w:p>
    <w:p w14:paraId="4710E68E" w14:textId="77777777" w:rsidR="00F80353" w:rsidRDefault="00F80353">
      <w:pPr>
        <w:rPr>
          <w:rFonts w:ascii="Times New Roman" w:hAnsi="Times New Roman" w:cs="Times New Roman"/>
          <w:b/>
          <w:bCs/>
          <w:sz w:val="22"/>
          <w:szCs w:val="22"/>
          <w:lang w:val="en-CA"/>
        </w:rPr>
      </w:pPr>
    </w:p>
    <w:p w14:paraId="6E69C35A" w14:textId="77777777" w:rsidR="00F80353" w:rsidRDefault="00F80353">
      <w:pPr>
        <w:rPr>
          <w:rFonts w:ascii="Times New Roman" w:hAnsi="Times New Roman" w:cs="Times New Roman"/>
          <w:b/>
          <w:bCs/>
          <w:sz w:val="22"/>
          <w:szCs w:val="22"/>
          <w:lang w:val="en-CA"/>
        </w:rPr>
      </w:pPr>
    </w:p>
    <w:p w14:paraId="6A7857DE" w14:textId="77777777" w:rsidR="00F80353" w:rsidRDefault="00F80353">
      <w:pPr>
        <w:rPr>
          <w:rFonts w:ascii="Times New Roman" w:hAnsi="Times New Roman" w:cs="Times New Roman"/>
          <w:b/>
          <w:bCs/>
          <w:sz w:val="22"/>
          <w:szCs w:val="22"/>
          <w:lang w:val="en-CA"/>
        </w:rPr>
      </w:pPr>
    </w:p>
    <w:p w14:paraId="25CFC960" w14:textId="77777777" w:rsidR="00F80353" w:rsidRDefault="00F80353">
      <w:pPr>
        <w:rPr>
          <w:rFonts w:ascii="Times New Roman" w:hAnsi="Times New Roman" w:cs="Times New Roman"/>
          <w:b/>
          <w:bCs/>
          <w:sz w:val="22"/>
          <w:szCs w:val="22"/>
          <w:lang w:val="en-CA"/>
        </w:rPr>
      </w:pPr>
    </w:p>
    <w:p w14:paraId="2F6D26AB" w14:textId="77777777" w:rsidR="00F80353" w:rsidRDefault="00F80353">
      <w:pPr>
        <w:rPr>
          <w:rFonts w:ascii="Times New Roman" w:hAnsi="Times New Roman" w:cs="Times New Roman"/>
          <w:b/>
          <w:bCs/>
          <w:sz w:val="22"/>
          <w:szCs w:val="22"/>
          <w:lang w:val="en-CA"/>
        </w:rPr>
      </w:pPr>
    </w:p>
    <w:p w14:paraId="097129D8" w14:textId="77777777" w:rsidR="00F80353" w:rsidRDefault="00F80353">
      <w:pPr>
        <w:rPr>
          <w:rFonts w:ascii="Times New Roman" w:hAnsi="Times New Roman" w:cs="Times New Roman"/>
          <w:b/>
          <w:bCs/>
          <w:sz w:val="22"/>
          <w:szCs w:val="22"/>
          <w:lang w:val="en-CA"/>
        </w:rPr>
      </w:pPr>
    </w:p>
    <w:p w14:paraId="555EEE07" w14:textId="77777777" w:rsidR="00F80353" w:rsidRDefault="00F80353">
      <w:pPr>
        <w:rPr>
          <w:rFonts w:ascii="Times New Roman" w:hAnsi="Times New Roman" w:cs="Times New Roman"/>
          <w:b/>
          <w:bCs/>
          <w:sz w:val="22"/>
          <w:szCs w:val="22"/>
          <w:lang w:val="en-CA"/>
        </w:rPr>
      </w:pPr>
    </w:p>
    <w:p w14:paraId="35DE62FA" w14:textId="77777777" w:rsidR="00F80353" w:rsidRDefault="00F80353">
      <w:pPr>
        <w:rPr>
          <w:rFonts w:ascii="Times New Roman" w:hAnsi="Times New Roman" w:cs="Times New Roman"/>
          <w:b/>
          <w:bCs/>
          <w:sz w:val="22"/>
          <w:szCs w:val="22"/>
          <w:lang w:val="en-CA"/>
        </w:rPr>
      </w:pPr>
    </w:p>
    <w:p w14:paraId="2F87E1E5" w14:textId="77777777" w:rsidR="00F80353" w:rsidRDefault="00F80353">
      <w:pPr>
        <w:rPr>
          <w:rFonts w:ascii="Times New Roman" w:hAnsi="Times New Roman" w:cs="Times New Roman"/>
          <w:b/>
          <w:bCs/>
          <w:sz w:val="22"/>
          <w:szCs w:val="22"/>
          <w:lang w:val="en-CA"/>
        </w:rPr>
      </w:pPr>
    </w:p>
    <w:sectPr w:rsidR="00F80353">
      <w:headerReference w:type="even" r:id="rId43"/>
      <w:headerReference w:type="default" r:id="rId44"/>
      <w:footerReference w:type="even" r:id="rId45"/>
      <w:footerReference w:type="default" r:id="rId46"/>
      <w:headerReference w:type="first" r:id="rId47"/>
      <w:footerReference w:type="first" r:id="rId48"/>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2B01" w14:textId="77777777" w:rsidR="003F3D43" w:rsidRDefault="003F3D43">
      <w:r>
        <w:separator/>
      </w:r>
    </w:p>
  </w:endnote>
  <w:endnote w:type="continuationSeparator" w:id="0">
    <w:p w14:paraId="567D2362" w14:textId="77777777" w:rsidR="003F3D43" w:rsidRDefault="003F3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B4A4" w14:textId="77777777" w:rsidR="00F80353" w:rsidRDefault="00F803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66D9A" w14:textId="77777777" w:rsidR="00F80353" w:rsidRDefault="00F803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55FA" w14:textId="77777777" w:rsidR="00F80353" w:rsidRDefault="00F80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E4F67" w14:textId="77777777" w:rsidR="003F3D43" w:rsidRDefault="003F3D43">
      <w:r>
        <w:separator/>
      </w:r>
    </w:p>
  </w:footnote>
  <w:footnote w:type="continuationSeparator" w:id="0">
    <w:p w14:paraId="5A47BF40" w14:textId="77777777" w:rsidR="003F3D43" w:rsidRDefault="003F3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4D03E" w14:textId="77777777" w:rsidR="00F80353" w:rsidRDefault="00000000">
    <w:pPr>
      <w:pStyle w:val="Header"/>
    </w:pPr>
    <w:r>
      <w:pict w14:anchorId="2A8188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89751" o:spid="_x0000_s1026" type="#_x0000_t136" style="position:absolute;margin-left:0;margin-top:0;width:493.05pt;height:92.45pt;rotation:315;z-index:-251656192;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85BB" w14:textId="77777777" w:rsidR="00F80353" w:rsidRDefault="00000000">
    <w:pPr>
      <w:pStyle w:val="Header"/>
    </w:pPr>
    <w:r>
      <w:pict w14:anchorId="46644A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89752" o:spid="_x0000_s1027" type="#_x0000_t136" style="position:absolute;margin-left:0;margin-top:0;width:493.05pt;height:92.45pt;rotation:315;z-index:-251655168;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2F1C3" w14:textId="77777777" w:rsidR="00F80353" w:rsidRDefault="00000000">
    <w:pPr>
      <w:pStyle w:val="Header"/>
    </w:pPr>
    <w:r>
      <w:pict w14:anchorId="108371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589750" o:spid="_x0000_s1025" type="#_x0000_t136" style="position:absolute;margin-left:0;margin-top:0;width:493.05pt;height:92.45pt;rotation:315;z-index:-251657216;mso-position-horizontal:center;mso-position-horizontal-relative:margin;mso-position-vertical:center;mso-position-vertical-relative:margin;mso-width-relative:page;mso-height-relative:page" o:allowincell="f" fillcolor="silver" stroked="f">
          <v:fill opacity=".5"/>
          <v:textpath style="font-family:&quot;Calibri&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1DB17"/>
    <w:multiLevelType w:val="multilevel"/>
    <w:tmpl w:val="6D71DB17"/>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72796BD8"/>
    <w:multiLevelType w:val="multilevel"/>
    <w:tmpl w:val="72796BD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16cid:durableId="456027692">
    <w:abstractNumId w:val="1"/>
  </w:num>
  <w:num w:numId="2" w16cid:durableId="1736666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FBB279F"/>
    <w:rsid w:val="00130244"/>
    <w:rsid w:val="00156822"/>
    <w:rsid w:val="00184E15"/>
    <w:rsid w:val="002776E8"/>
    <w:rsid w:val="002B4C20"/>
    <w:rsid w:val="003F3D43"/>
    <w:rsid w:val="00470AC8"/>
    <w:rsid w:val="004B1B78"/>
    <w:rsid w:val="004E2DB9"/>
    <w:rsid w:val="00581EEF"/>
    <w:rsid w:val="00652D1C"/>
    <w:rsid w:val="006B50CB"/>
    <w:rsid w:val="006B7BED"/>
    <w:rsid w:val="006C42BE"/>
    <w:rsid w:val="006D7E57"/>
    <w:rsid w:val="00740BD5"/>
    <w:rsid w:val="00744B71"/>
    <w:rsid w:val="007B16D6"/>
    <w:rsid w:val="007F2E21"/>
    <w:rsid w:val="008E4F76"/>
    <w:rsid w:val="00B00250"/>
    <w:rsid w:val="00B21ED2"/>
    <w:rsid w:val="00B768BC"/>
    <w:rsid w:val="00B76B94"/>
    <w:rsid w:val="00C91004"/>
    <w:rsid w:val="00CC4A45"/>
    <w:rsid w:val="00E41FF0"/>
    <w:rsid w:val="00E551FB"/>
    <w:rsid w:val="00F80353"/>
    <w:rsid w:val="10453240"/>
    <w:rsid w:val="13A9004F"/>
    <w:rsid w:val="253B63A2"/>
    <w:rsid w:val="392E000E"/>
    <w:rsid w:val="39AE46C7"/>
    <w:rsid w:val="5FBB279F"/>
    <w:rsid w:val="61280656"/>
    <w:rsid w:val="69461D42"/>
    <w:rsid w:val="69625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2A144B"/>
  <w15:docId w15:val="{1AEA6101-5E22-4001-A2C9-3E1B352C6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eastAsia="zh-CN"/>
    </w:rPr>
  </w:style>
  <w:style w:type="paragraph" w:styleId="Heading4">
    <w:name w:val="heading 4"/>
    <w:next w:val="Normal"/>
    <w:semiHidden/>
    <w:unhideWhenUsed/>
    <w:qFormat/>
    <w:pPr>
      <w:spacing w:beforeAutospacing="1" w:afterAutospacing="1"/>
      <w:outlineLvl w:val="3"/>
    </w:pPr>
    <w:rPr>
      <w:rFonts w:ascii="SimSun" w:hAnsi="SimSun" w:hint="eastAsia"/>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link w:val="FooterChar"/>
    <w:qFormat/>
    <w:pPr>
      <w:tabs>
        <w:tab w:val="center" w:pos="4680"/>
        <w:tab w:val="right" w:pos="9360"/>
      </w:tabs>
    </w:pPr>
  </w:style>
  <w:style w:type="paragraph" w:styleId="Header">
    <w:name w:val="header"/>
    <w:basedOn w:val="Normal"/>
    <w:link w:val="HeaderChar"/>
    <w:qFormat/>
    <w:pPr>
      <w:tabs>
        <w:tab w:val="center" w:pos="4680"/>
        <w:tab w:val="right" w:pos="9360"/>
      </w:tabs>
    </w:pPr>
  </w:style>
  <w:style w:type="character" w:styleId="Hyperlink">
    <w:name w:val="Hyperlink"/>
    <w:basedOn w:val="DefaultParagraphFont"/>
    <w:qFormat/>
    <w:rPr>
      <w:color w:val="0026E5" w:themeColor="hyperlink"/>
      <w:u w:val="single"/>
    </w:rPr>
  </w:style>
  <w:style w:type="paragraph" w:styleId="NormalWeb">
    <w:name w:val="Normal (Web)"/>
    <w:qFormat/>
    <w:pPr>
      <w:spacing w:beforeAutospacing="1" w:afterAutospacing="1"/>
    </w:pPr>
    <w:rPr>
      <w:sz w:val="24"/>
      <w:szCs w:val="24"/>
      <w:lang w:eastAsia="zh-CN"/>
    </w:rPr>
  </w:style>
  <w:style w:type="character" w:styleId="Strong">
    <w:name w:val="Strong"/>
    <w:basedOn w:val="DefaultParagraphFont"/>
    <w:qFormat/>
    <w:rPr>
      <w:b/>
      <w:bCs/>
    </w:rPr>
  </w:style>
  <w:style w:type="character" w:customStyle="1" w:styleId="go">
    <w:name w:val="go"/>
    <w:basedOn w:val="DefaultParagraphFont"/>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qFormat/>
    <w:rPr>
      <w:rFonts w:asciiTheme="minorHAnsi" w:eastAsiaTheme="minorEastAsia" w:hAnsiTheme="minorHAnsi" w:cstheme="minorBidi"/>
      <w:lang w:val="en-US" w:eastAsia="zh-CN"/>
    </w:rPr>
  </w:style>
  <w:style w:type="character" w:customStyle="1" w:styleId="FooterChar">
    <w:name w:val="Footer Char"/>
    <w:basedOn w:val="DefaultParagraphFont"/>
    <w:link w:val="Footer"/>
    <w:qFormat/>
    <w:rPr>
      <w:rFonts w:asciiTheme="minorHAnsi" w:eastAsiaTheme="minorEastAsia" w:hAnsiTheme="minorHAnsi" w:cstheme="minorBidi"/>
      <w:lang w:val="en-US" w:eastAsia="zh-CN"/>
    </w:rPr>
  </w:style>
  <w:style w:type="character" w:styleId="CommentReference">
    <w:name w:val="annotation reference"/>
    <w:basedOn w:val="DefaultParagraphFont"/>
    <w:rsid w:val="00B76B94"/>
    <w:rPr>
      <w:sz w:val="16"/>
      <w:szCs w:val="16"/>
    </w:rPr>
  </w:style>
  <w:style w:type="paragraph" w:styleId="CommentText">
    <w:name w:val="annotation text"/>
    <w:basedOn w:val="Normal"/>
    <w:link w:val="CommentTextChar"/>
    <w:rsid w:val="00B76B94"/>
  </w:style>
  <w:style w:type="character" w:customStyle="1" w:styleId="CommentTextChar">
    <w:name w:val="Comment Text Char"/>
    <w:basedOn w:val="DefaultParagraphFont"/>
    <w:link w:val="CommentText"/>
    <w:rsid w:val="00B76B94"/>
    <w:rPr>
      <w:rFonts w:asciiTheme="minorHAnsi" w:eastAsiaTheme="minorEastAsia" w:hAnsiTheme="minorHAnsi" w:cstheme="minorBidi"/>
      <w:lang w:eastAsia="zh-CN"/>
    </w:rPr>
  </w:style>
  <w:style w:type="paragraph" w:styleId="CommentSubject">
    <w:name w:val="annotation subject"/>
    <w:basedOn w:val="CommentText"/>
    <w:next w:val="CommentText"/>
    <w:link w:val="CommentSubjectChar"/>
    <w:rsid w:val="00B76B94"/>
    <w:rPr>
      <w:b/>
      <w:bCs/>
    </w:rPr>
  </w:style>
  <w:style w:type="character" w:customStyle="1" w:styleId="CommentSubjectChar">
    <w:name w:val="Comment Subject Char"/>
    <w:basedOn w:val="CommentTextChar"/>
    <w:link w:val="CommentSubject"/>
    <w:rsid w:val="00B76B94"/>
    <w:rPr>
      <w:rFonts w:asciiTheme="minorHAnsi" w:eastAsiaTheme="minorEastAsia" w:hAnsiTheme="minorHAnsi" w:cstheme="minorBid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80/15228916.2012.727744" TargetMode="External"/><Relationship Id="rId18" Type="http://schemas.openxmlformats.org/officeDocument/2006/relationships/hyperlink" Target="https://doi.org/10.1016/j.tele.2018.11.006" TargetMode="External"/><Relationship Id="rId26" Type="http://schemas.openxmlformats.org/officeDocument/2006/relationships/hyperlink" Target="https://doi.org/10.1093/rof/rfae004" TargetMode="External"/><Relationship Id="rId39" Type="http://schemas.openxmlformats.org/officeDocument/2006/relationships/hyperlink" Target="https://doi.org/10.1007/s40822-022-00214-8" TargetMode="External"/><Relationship Id="rId21" Type="http://schemas.openxmlformats.org/officeDocument/2006/relationships/hyperlink" Target="https://doi.org/10.2307/249008" TargetMode="External"/><Relationship Id="rId34" Type="http://schemas.openxmlformats.org/officeDocument/2006/relationships/hyperlink" Target="https://doi.org/10.1787/7d26e1d3-en" TargetMode="External"/><Relationship Id="rId42" Type="http://schemas.openxmlformats.org/officeDocument/2006/relationships/hyperlink" Target="https://www.worldbank.org/en/publication/worldwide-governance-indicators"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00181-024-02696-8" TargetMode="External"/><Relationship Id="rId29" Type="http://schemas.openxmlformats.org/officeDocument/2006/relationships/hyperlink" Target="https://doi.org/10.3390/risks10020025" TargetMode="External"/><Relationship Id="rId11" Type="http://schemas.openxmlformats.org/officeDocument/2006/relationships/hyperlink" Target="https://doi.org/10.2307/2297968" TargetMode="External"/><Relationship Id="rId24" Type="http://schemas.openxmlformats.org/officeDocument/2006/relationships/hyperlink" Target="https://doi.org/10.9734/jemt/2024/v30i71221" TargetMode="External"/><Relationship Id="rId32" Type="http://schemas.openxmlformats.org/officeDocument/2006/relationships/hyperlink" Target="https://doi.org/10.1186/s40854-023-00580-5" TargetMode="External"/><Relationship Id="rId37" Type="http://schemas.openxmlformats.org/officeDocument/2006/relationships/hyperlink" Target="https://doi.org/10.1007/978-3-319-42448-4_13" TargetMode="External"/><Relationship Id="rId40" Type="http://schemas.openxmlformats.org/officeDocument/2006/relationships/hyperlink" Target="https://doi.org/10.1177/1536867X0900900106" TargetMode="External"/><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016/S0304-4076(98)00009-8" TargetMode="External"/><Relationship Id="rId23" Type="http://schemas.openxmlformats.org/officeDocument/2006/relationships/hyperlink" Target="https://doi.org/10.1111/j.1540-6261.1970.tb00518.x" TargetMode="External"/><Relationship Id="rId28" Type="http://schemas.openxmlformats.org/officeDocument/2006/relationships/hyperlink" Target="https://doi.org/10.1093/rfs/hhi023" TargetMode="External"/><Relationship Id="rId36" Type="http://schemas.openxmlformats.org/officeDocument/2006/relationships/hyperlink" Target="https://doi.org/10.31585/jbba-8-2-(5)2025" TargetMode="External"/><Relationship Id="rId49" Type="http://schemas.openxmlformats.org/officeDocument/2006/relationships/fontTable" Target="fontTable.xml"/><Relationship Id="rId10" Type="http://schemas.openxmlformats.org/officeDocument/2006/relationships/hyperlink" Target="https://www.jse.co.za/sites/default/files/media/documents/asea-africa-focus-report/ASEA_Africa_Focus_Report.pdf" TargetMode="External"/><Relationship Id="rId19" Type="http://schemas.openxmlformats.org/officeDocument/2006/relationships/hyperlink" Target="https://doi.org/10.1016/j.jbvi.2019.e00151" TargetMode="External"/><Relationship Id="rId31" Type="http://schemas.openxmlformats.org/officeDocument/2006/relationships/hyperlink" Target="https://doi.org/10.1007/b98835"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007/978-3-030-53953-5" TargetMode="External"/><Relationship Id="rId22" Type="http://schemas.openxmlformats.org/officeDocument/2006/relationships/hyperlink" Target="https://doi.org/10.4102/ac.v23i1.1097" TargetMode="External"/><Relationship Id="rId27" Type="http://schemas.openxmlformats.org/officeDocument/2006/relationships/hyperlink" Target="https://doi.org/10.1177/1536867X0700700301" TargetMode="External"/><Relationship Id="rId30" Type="http://schemas.openxmlformats.org/officeDocument/2006/relationships/hyperlink" Target="https://doi.org/10.5089/9781498321860.007" TargetMode="External"/><Relationship Id="rId35" Type="http://schemas.openxmlformats.org/officeDocument/2006/relationships/hyperlink" Target="https://doi.org/10.1504/GBER.2024.137616"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i.org/10.1016/0304-4076(94)01642-D" TargetMode="External"/><Relationship Id="rId17" Type="http://schemas.openxmlformats.org/officeDocument/2006/relationships/hyperlink" Target="https://doi.org/10.1016/j.iref.2025.103938" TargetMode="External"/><Relationship Id="rId25" Type="http://schemas.openxmlformats.org/officeDocument/2006/relationships/hyperlink" Target="https://doi.org/10.3390/jrfm17010002" TargetMode="External"/><Relationship Id="rId33" Type="http://schemas.openxmlformats.org/officeDocument/2006/relationships/hyperlink" Target="https://doi.org/10.1016/j.bushor.2017.09.003" TargetMode="External"/><Relationship Id="rId38" Type="http://schemas.openxmlformats.org/officeDocument/2006/relationships/hyperlink" Target="https://doi.org/10.1016/j.pacfin.2019.101210" TargetMode="External"/><Relationship Id="rId46" Type="http://schemas.openxmlformats.org/officeDocument/2006/relationships/footer" Target="footer2.xml"/><Relationship Id="rId20" Type="http://schemas.openxmlformats.org/officeDocument/2006/relationships/hyperlink" Target="https://doi.org/10.1111/0022-1082.00335" TargetMode="External"/><Relationship Id="rId41" Type="http://schemas.openxmlformats.org/officeDocument/2006/relationships/hyperlink" Target="https://doi.org/10.1007/978-3-030-44337-5"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22</Pages>
  <Words>13995</Words>
  <Characters>79772</Characters>
  <Application>Microsoft Office Word</Application>
  <DocSecurity>0</DocSecurity>
  <Lines>664</Lines>
  <Paragraphs>187</Paragraphs>
  <ScaleCrop>false</ScaleCrop>
  <Company/>
  <LinksUpToDate>false</LinksUpToDate>
  <CharactersWithSpaces>93580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Preacher Jesus</dc:creator>
  <cp:lastModifiedBy>SDI 1158</cp:lastModifiedBy>
  <cp:revision>13</cp:revision>
  <dcterms:created xsi:type="dcterms:W3CDTF">2026-06-03T13:48:00Z</dcterms:created>
  <dcterms:modified xsi:type="dcterms:W3CDTF">2026-08-19T04:32:00Z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D9714830804E43CA9199BC3E85086EDF_13</vt:lpwstr>
  </property>
  <property fmtid="{D5CDD505-2E9C-101B-9397-08002B2CF9AE}" pid="4" name="KSOTemplateDocerSaveRecord">
    <vt:lpwstr>eyJoZGlkIjoiNDhlNjhkZTIyZjNmYWEyNzIwNGYwYWY2MTdiYTIyYTkiLCJ1c2VySWQiOiIyNzY2NTg2Mjk0ODQ0In0=</vt:lpwstr>
  </property>
</Properties>
</file>