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4DACD" w14:textId="77777777" w:rsidR="004B5E95" w:rsidRDefault="00000000">
      <w:pPr>
        <w:pStyle w:val="Heading1"/>
        <w:spacing w:after="160"/>
        <w:jc w:val="center"/>
        <w:rPr>
          <w:rFonts w:eastAsia="Arial"/>
          <w:sz w:val="36"/>
        </w:rPr>
      </w:pPr>
      <w:bookmarkStart w:id="0" w:name="X0271f7d5d77f4bf41ef9891181fc2ae76fca8a7"/>
      <w:r>
        <w:rPr>
          <w:rFonts w:eastAsia="Arial"/>
          <w:sz w:val="36"/>
        </w:rPr>
        <w:t>The Artificial Intelligence Verification Premium: A Dynamic Model of Automation Opacity, Borrowing Costs, and Firm Value</w:t>
      </w:r>
    </w:p>
    <w:p w14:paraId="5B07066F" w14:textId="77777777" w:rsidR="005D1FE1" w:rsidRPr="005D1FE1" w:rsidRDefault="005D1FE1" w:rsidP="005D1FE1"/>
    <w:p w14:paraId="673ABE17" w14:textId="77777777" w:rsidR="004B5E95" w:rsidRDefault="00000000">
      <w:pPr>
        <w:pStyle w:val="Heading1"/>
        <w:spacing w:before="160" w:after="100"/>
      </w:pPr>
      <w:bookmarkStart w:id="1" w:name="abstract"/>
      <w:bookmarkEnd w:id="0"/>
      <w:r>
        <w:rPr>
          <w:rFonts w:eastAsia="Arial"/>
          <w:sz w:val="22"/>
        </w:rPr>
        <w:t>ABSTRACT</w:t>
      </w:r>
    </w:p>
    <w:p w14:paraId="539B6D78" w14:textId="77777777" w:rsidR="004B5E95" w:rsidRDefault="00000000">
      <w:pPr>
        <w:jc w:val="both"/>
      </w:pPr>
      <w:r>
        <w:rPr>
          <w:rFonts w:eastAsia="Arial"/>
          <w:b/>
        </w:rPr>
        <w:t>Aims:</w:t>
      </w:r>
      <w:r>
        <w:rPr>
          <w:rFonts w:eastAsia="Arial"/>
        </w:rPr>
        <w:t xml:space="preserve"> This study develops the artificial intelligence verification premium, defined as the incremental borrowing cost attributable to financing-relevant AI risk when automation is insufficiently verified, understood, or governed. It links AI adoption choices to corporate borrowing costs and firm value.</w:t>
      </w:r>
    </w:p>
    <w:p w14:paraId="0CC36AC4" w14:textId="77777777" w:rsidR="004B5E95" w:rsidRDefault="00000000">
      <w:pPr>
        <w:jc w:val="both"/>
      </w:pPr>
      <w:r>
        <w:rPr>
          <w:rFonts w:eastAsia="Arial"/>
          <w:b/>
        </w:rPr>
        <w:t>Study design:</w:t>
      </w:r>
      <w:r>
        <w:rPr>
          <w:rFonts w:eastAsia="Arial"/>
        </w:rPr>
        <w:t xml:space="preserve"> Analytical model development with longitudinal Monte Carlo simulation, paired policy comparisons, policy-space search, convergence testing, and structural sensitivity analysis.</w:t>
      </w:r>
    </w:p>
    <w:p w14:paraId="3FE39055" w14:textId="77777777" w:rsidR="004B5E95" w:rsidRDefault="00000000">
      <w:pPr>
        <w:jc w:val="both"/>
      </w:pPr>
      <w:r>
        <w:rPr>
          <w:rFonts w:eastAsia="Arial"/>
          <w:b/>
        </w:rPr>
        <w:t>Place and Duration of Study:</w:t>
      </w:r>
      <w:r>
        <w:rPr>
          <w:rFonts w:eastAsia="Arial"/>
        </w:rPr>
        <w:t xml:space="preserve"> Singapore; model development, computational experiments, audit, and revision were conducted in August 2026.</w:t>
      </w:r>
    </w:p>
    <w:p w14:paraId="1824F063" w14:textId="77777777" w:rsidR="004B5E95" w:rsidRDefault="00000000">
      <w:pPr>
        <w:jc w:val="both"/>
      </w:pPr>
      <w:r>
        <w:rPr>
          <w:rFonts w:eastAsia="Arial"/>
          <w:b/>
        </w:rPr>
        <w:t>Methodology:</w:t>
      </w:r>
      <w:r>
        <w:rPr>
          <w:rFonts w:eastAsia="Arial"/>
        </w:rPr>
        <w:t xml:space="preserve"> A dynamic firm model links automation intensity, verification intensity, verification debt, retained human oversight capability, stochastic uncertainty, incident risk, debt pricing, and discounted firm value. Competitive lenders price one-period debt through a zero-profit condition with loss-given-default. Five stylised management regimes were evaluated with 20,000 Monte Carlo trajectories per regime over 48 quarters using common random numbers. A 324-policy grid used 4,000 trajectories per policy, followed by convergence tests and sensitivity searches for leverage, loss severity, AI productivity, unmanaged-risk sensitivity, and horizon length.</w:t>
      </w:r>
    </w:p>
    <w:p w14:paraId="5C26C1D5" w14:textId="77777777" w:rsidR="004B5E95" w:rsidRDefault="00000000">
      <w:pPr>
        <w:jc w:val="both"/>
      </w:pPr>
      <w:r>
        <w:rPr>
          <w:rFonts w:eastAsia="Arial"/>
          <w:b/>
        </w:rPr>
        <w:t>Results:</w:t>
      </w:r>
      <w:r>
        <w:rPr>
          <w:rFonts w:eastAsia="Arial"/>
        </w:rPr>
        <w:t xml:space="preserve"> Acceleration-first adoption produced a mean quarterly borrowing premium of 130.56 basis points, compared with 9.99 under balanced assurance and 11.31 under assurance-scaled automation. Mean discounted firm value was 356.82, 408.01, and 416.69, respectively. The best evaluated grid policy combined automation of 0.80 with verification of 0.55, </w:t>
      </w:r>
      <w:r>
        <w:rPr>
          <w:rFonts w:eastAsia="Arial"/>
          <w:highlight w:val="yellow"/>
        </w:rPr>
        <w:t>yielding a mean value of 417.51</w:t>
      </w:r>
      <w:r>
        <w:rPr>
          <w:rFonts w:eastAsia="Arial"/>
        </w:rPr>
        <w:t>. This verification level lies just above the analytical direct-risk threshold of 0.538.</w:t>
      </w:r>
    </w:p>
    <w:p w14:paraId="55E6E73D" w14:textId="77777777" w:rsidR="004B5E95" w:rsidRDefault="00000000">
      <w:pPr>
        <w:jc w:val="both"/>
      </w:pPr>
      <w:r>
        <w:rPr>
          <w:rFonts w:eastAsia="Arial"/>
          <w:b/>
        </w:rPr>
        <w:t>Conclusion:</w:t>
      </w:r>
      <w:r>
        <w:rPr>
          <w:rFonts w:eastAsia="Arial"/>
        </w:rPr>
        <w:t xml:space="preserve"> AI need not raise financing costs. The sign depends on whether verification and human oversight scale with deployment. For managers, boards, and lenders, the practical implication is that validation coverage, unresolved assurance findings, fallback capability, and other governance evidence can be economically relevant to technology investment and credit assessment. Joint optimisation of automation and assurance can preserve productivity gains while containing a financing penalty.</w:t>
      </w:r>
    </w:p>
    <w:p w14:paraId="1641E75B" w14:textId="77777777" w:rsidR="004B5E95" w:rsidRDefault="00000000">
      <w:pPr>
        <w:jc w:val="both"/>
      </w:pPr>
      <w:r>
        <w:rPr>
          <w:rFonts w:eastAsia="Arial"/>
          <w:i/>
          <w:iCs/>
        </w:rPr>
        <w:t>Keywords:</w:t>
      </w:r>
      <w:r>
        <w:rPr>
          <w:rFonts w:eastAsia="Arial"/>
          <w:i/>
        </w:rPr>
        <w:t xml:space="preserve"> artificial intelligence; cost of debt; verification; firm value; model risk; corporate finance; automation; information asymmetry</w:t>
      </w:r>
    </w:p>
    <w:p w14:paraId="79553984" w14:textId="77777777" w:rsidR="004B5E95" w:rsidRDefault="00000000">
      <w:r>
        <w:rPr>
          <w:rFonts w:eastAsia="Arial"/>
          <w:b/>
          <w:bCs/>
        </w:rPr>
        <w:t>JEL Classification:</w:t>
      </w:r>
      <w:r>
        <w:rPr>
          <w:rFonts w:eastAsia="Arial"/>
        </w:rPr>
        <w:t xml:space="preserve"> G32; G33; O33; M15</w:t>
      </w:r>
    </w:p>
    <w:p w14:paraId="558C6447" w14:textId="77777777" w:rsidR="004B5E95" w:rsidRDefault="00000000">
      <w:pPr>
        <w:pStyle w:val="Heading1"/>
        <w:spacing w:before="160" w:after="100"/>
      </w:pPr>
      <w:bookmarkStart w:id="2" w:name="introduction"/>
      <w:bookmarkEnd w:id="1"/>
      <w:r>
        <w:rPr>
          <w:rFonts w:eastAsia="Arial"/>
          <w:sz w:val="22"/>
        </w:rPr>
        <w:t>1. INTRODUCTION</w:t>
      </w:r>
    </w:p>
    <w:p w14:paraId="05EFE438" w14:textId="77777777" w:rsidR="004B5E95" w:rsidRDefault="00000000">
      <w:pPr>
        <w:jc w:val="both"/>
      </w:pPr>
      <w:r>
        <w:rPr>
          <w:rFonts w:eastAsia="Arial"/>
        </w:rPr>
        <w:t xml:space="preserve">Generative and agentic </w:t>
      </w:r>
      <w:r>
        <w:rPr>
          <w:rFonts w:eastAsia="Arial"/>
          <w:highlight w:val="yellow"/>
        </w:rPr>
        <w:t>artificial intelligence (AI) systems are increasingly treated</w:t>
      </w:r>
      <w:r>
        <w:rPr>
          <w:rFonts w:eastAsia="Arial"/>
        </w:rPr>
        <w:t xml:space="preserve"> as productivity technologies, but corporate adoption decisions are ultimately financing decisions. A firm that automates more work may reduce task completion time, expand output, and improve the scalability of knowledge-intensive processes. At the same time, it may create new forms of model error, opaque dependency, correlated failure, weakly understood decision logic, and deferred human checking. Experimental and field evidence </w:t>
      </w:r>
      <w:r>
        <w:rPr>
          <w:rFonts w:eastAsia="Arial"/>
        </w:rPr>
        <w:lastRenderedPageBreak/>
        <w:t>shows that generative AI can improve productivity in selected knowledge tasks, although gains are heterogeneous across workers and task types (Noy &amp; Zhang, 2023; Brynjolfsson et al., 2025). At the macroeconomic level, the aggregate effect of AI depends not only on task-level gains but also on which tasks can be reliably improved and on the costs of deployment, adaptation, and complementarity (Acemoglu, 2025).</w:t>
      </w:r>
    </w:p>
    <w:p w14:paraId="5F12E573" w14:textId="77777777" w:rsidR="004B5E95" w:rsidRDefault="00000000">
      <w:pPr>
        <w:jc w:val="both"/>
      </w:pPr>
      <w:r>
        <w:rPr>
          <w:rFonts w:eastAsia="Arial"/>
        </w:rPr>
        <w:t>A separate literature in finance establishes that information quality, opacity, and perceived default risk affect the price and availability of capital. Information asymmetry can raise required returns because uninformed capital providers face an informational disadvantage (Easley &amp; O’Hara, 2004). Higher-quality disclosure can lower the cost of capital under identifiable conditions (Lambert et al., 2007), and greater bond-market transparency can reduce corporate bond issuing costs (Brugler et al., 2022). Corporate debt pricing is also fundamentally linked to the probability and severity of adverse states (Merton, 1974). These two literatures, artificial intelligence productivity and financing under imperfect information, have largely developed separately.</w:t>
      </w:r>
    </w:p>
    <w:p w14:paraId="72F953F3" w14:textId="77777777" w:rsidR="004B5E95" w:rsidRDefault="00000000">
      <w:pPr>
        <w:jc w:val="both"/>
      </w:pPr>
      <w:r>
        <w:rPr>
          <w:rFonts w:eastAsia="Arial"/>
        </w:rPr>
        <w:t>Recent firm-level evidence makes the financing consequences of AI more nuanced than a simple productivity narrative. AI investment is associated with higher sales, employment, market valuation, and product innovation (Babina et al., 2024), while AI adoption is also associated with greater corporate risk-taking in settings where financing constraints amplify exposure (Chen et al., 2024). Other studies report improved financial-asset allocation efficiency when organisational capabilities are stronger (Li et al., 2024), lower debt and equity financing costs among technology-based firms (Liu &amp; Wang, 2025), faster capital-structure adjustment through improved information environments and lower operational risk (Zhao &amp; Liu, 2025), and higher investment efficiency and longer-horizon Tobin's q among adopting firms (Chen et al., 2026). Taken together, these studies imply that AI can improve financing conditions and firm value, but the sign and magnitude depend on organisational capability, risk, information quality, and implementation context.</w:t>
      </w:r>
      <w:r>
        <w:rPr>
          <w:b/>
          <w:highlight w:val="yellow"/>
        </w:rPr>
        <w:t xml:space="preserve"> A startup-focused systematic review similarly reports that AI-enabled financial decision support is accompanied by implementation, skills, and integration constraints (Raj &amp; Suryanarayana, 2025).</w:t>
      </w:r>
    </w:p>
    <w:p w14:paraId="6216960C" w14:textId="77777777" w:rsidR="004B5E95" w:rsidRDefault="00000000">
      <w:pPr>
        <w:jc w:val="both"/>
      </w:pPr>
      <w:r>
        <w:rPr>
          <w:rFonts w:eastAsia="Arial"/>
        </w:rPr>
        <w:t>These findings leave an important mechanism unresolved. Existing studies identify associations between AI, financing outcomes, risk-taking, information quality, investment efficiency, and firm value, but they do not formalise how the quality of AI verification itself can enter debt pricing. If AI adoption changes the probability distribution of operational losses, and if lenders price those losses, verification quality becomes a financing variable. AI assurance is therefore not merely a compliance cost. It can alter the firm's risk distribution and the information available to capital providers, and consequently affect the price at which external capital is supplied. This possibility is increasingly relevant because financial authorities have highlighted model risk, data quality, governance weaknesses, third-party dependence, and correlated AI use as potential sources of financial vulnerability (Financial Stability Board, 2024; Crisanto et al., 2024). Existing model-risk guidance likewise emphasises independent validation and effective challenge when model outputs materially affect financial decisions (Board of Governors of the Federal Reserve System &amp; Office of the Comptroller of the Currency, 2011). The National Institute of Standards and Technology similarly treats governance, measurement, and management as interdependent components of AI risk management (</w:t>
      </w:r>
      <w:r w:rsidR="00F20472" w:rsidRPr="00F20472">
        <w:rPr>
          <w:rFonts w:eastAsia="Arial"/>
        </w:rPr>
        <w:t>Tabassi</w:t>
      </w:r>
      <w:r>
        <w:rPr>
          <w:rFonts w:eastAsia="Arial"/>
        </w:rPr>
        <w:t>, 2023).</w:t>
      </w:r>
      <w:r>
        <w:rPr>
          <w:b/>
          <w:highlight w:val="yellow"/>
        </w:rPr>
        <w:t xml:space="preserve"> Related review evidence from auditing and financial reporting also links AI-enabled gains to data reliability, professional expertise, and governance safeguards (Oriaku et al., 2026). Recent credit-risk research further shows that AI-related corporate news can add incremental information to default-risk prediction beyond conventional financial and macroeconomic indicators (Zhang et al., 2025). Evidence from central-bank cyber-security practice similarly indicates that generative AI can create both operational </w:t>
      </w:r>
      <w:r>
        <w:rPr>
          <w:b/>
          <w:highlight w:val="yellow"/>
        </w:rPr>
        <w:lastRenderedPageBreak/>
        <w:t>benefits and new risk exposures while retaining a role for human model oversight (Aldasoro et al., 2025).</w:t>
      </w:r>
    </w:p>
    <w:p w14:paraId="17874578" w14:textId="77777777" w:rsidR="004B5E95" w:rsidRDefault="00000000">
      <w:pPr>
        <w:jc w:val="both"/>
      </w:pPr>
      <w:r>
        <w:rPr>
          <w:rFonts w:eastAsia="Arial"/>
        </w:rPr>
        <w:t xml:space="preserve">The present paper develops a formal bridge between these domains through the concept of the </w:t>
      </w:r>
      <w:r>
        <w:rPr>
          <w:rFonts w:eastAsia="Arial"/>
          <w:b/>
          <w:bCs/>
        </w:rPr>
        <w:t>artificial intelligence verification premium</w:t>
      </w:r>
      <w:r>
        <w:rPr>
          <w:rFonts w:eastAsia="Arial"/>
        </w:rPr>
        <w:t>. The premium is the incremental borrowing spread generated by artificial-intelligence-related failure probability when automation exceeds the organisation’s capacity to verify outputs, preserve human oversight competence, and prevent unresolved assurance obligations from accumulating. The mechanism extends the concept of verification debt, previously modelled as an internal organisational stock that can accumulate when artificial intelligence outputs are insufficiently checked (Tan, 2026). The earlier framework focused on productivity, resilience, and internal organisational value. The present study is different in both object and mechanism: it endogenises the price of debt and asks when internal assurance choices are transmitted into external financing costs.</w:t>
      </w:r>
    </w:p>
    <w:p w14:paraId="3B80D0C7" w14:textId="77777777" w:rsidR="004B5E95" w:rsidRDefault="00000000">
      <w:pPr>
        <w:jc w:val="both"/>
      </w:pPr>
      <w:r>
        <w:rPr>
          <w:rFonts w:eastAsia="Arial"/>
        </w:rPr>
        <w:t>The paper makes five contributions. First, it derives a closed-form borrowing spread from a competitive lender zero-profit condition, allowing artificial intelligence risk to enter financing cost without assuming an arbitrary risk-premium function. Second, it models verification debt and human oversight capability as dynamic state variables, so financing costs depend on the history of adoption rather than only current automation. Third, it derives two verification thresholds: a direct-risk threshold above which additional automation no longer increases contemporaneous failure probability, and a debt non-accumulation threshold that prevents new verification debt from being created from a zero-debt state. Fourth, it evaluates the model through Monte Carlo simulation, common-random-number paired comparisons, and a full two-dimensional policy search. Fifth, it tests whether the preferred automation-verification region changes under alternative leverage, loss-given-default, artificial intelligence productivity, and unmanaged-risk sensitivity.</w:t>
      </w:r>
    </w:p>
    <w:p w14:paraId="57D6475F" w14:textId="77777777" w:rsidR="004B5E95" w:rsidRDefault="00000000">
      <w:pPr>
        <w:jc w:val="both"/>
      </w:pPr>
      <w:r>
        <w:rPr>
          <w:rFonts w:eastAsia="Arial"/>
        </w:rPr>
        <w:t>The central argument is not that artificial intelligence necessarily increases borrowing costs. Rather, the sign is conditional. When verification is weak, higher automation can increase unresolved exposure and raise the priced probability of adverse outcomes. When verification is sufficiently strong, automation can coexist with low risk and high value. Excessively intensive assurance can also destroy value if its direct cost exceeds the reduction in expected loss and financing premium. The economically relevant decision is therefore joint optimisation, not a binary choice between adoption and non-adoption.</w:t>
      </w:r>
    </w:p>
    <w:p w14:paraId="527CE2A0" w14:textId="77777777" w:rsidR="004B5E95" w:rsidRDefault="00000000">
      <w:pPr>
        <w:jc w:val="both"/>
      </w:pPr>
      <w:r>
        <w:rPr>
          <w:rFonts w:eastAsia="Arial"/>
        </w:rPr>
        <w:t>The study pursues five research objectives: (1) derive an AI-related borrowing premium from a competitive lender pricing condition; (2) formalise verification debt and retained human oversight as dynamic state variables; (3) derive analytical verification thresholds that separate risk-amplifying from assurance-scaled automation; (4) evaluate alternative automation-verification policies through Monte Carlo simulation and a complete two-dimensional policy search; and (5) test the stability of the preferred policy region under alternative financing, productivity, risk, horizon, and numerical-convergence assumptions.</w:t>
      </w:r>
    </w:p>
    <w:p w14:paraId="1C0EE92C" w14:textId="77777777" w:rsidR="004B5E95" w:rsidRDefault="00000000">
      <w:pPr>
        <w:pStyle w:val="Heading1"/>
        <w:spacing w:before="160" w:after="100"/>
      </w:pPr>
      <w:bookmarkStart w:id="3" w:name="X6be6da90bad7a2bdd9d09ddcff40cbab2a2da38"/>
      <w:bookmarkEnd w:id="2"/>
      <w:r>
        <w:rPr>
          <w:rFonts w:eastAsia="Arial"/>
          <w:sz w:val="22"/>
        </w:rPr>
        <w:t>2. THEORETICAL BACKGROUND AND HYPOTHESIS DEVELOPMENT</w:t>
      </w:r>
    </w:p>
    <w:p w14:paraId="0313F6AF" w14:textId="77777777" w:rsidR="004B5E95" w:rsidRDefault="00000000">
      <w:pPr>
        <w:keepNext/>
        <w:spacing w:before="120" w:after="60"/>
      </w:pPr>
      <w:bookmarkStart w:id="4" w:name="X4b51f6e046592a07760105000b27ff08a092c3b"/>
      <w:r>
        <w:rPr>
          <w:rFonts w:eastAsia="Arial"/>
          <w:b/>
          <w:sz w:val="22"/>
        </w:rPr>
        <w:t>2.1 Artificial intelligence productivity and the problem of incomplete valuation</w:t>
      </w:r>
    </w:p>
    <w:p w14:paraId="2FEB45CE" w14:textId="77777777" w:rsidR="004B5E95" w:rsidRDefault="00000000">
      <w:pPr>
        <w:jc w:val="both"/>
      </w:pPr>
      <w:r>
        <w:rPr>
          <w:rFonts w:eastAsia="Arial"/>
        </w:rPr>
        <w:t xml:space="preserve">Early evidence on generative AI supports meaningful task-level productivity effects. Noy and Zhang (2023) found faster completion and higher average quality in professional writing tasks. Brynjolfsson et al. (2025), using a large-scale workplace deployment, found productivity gains concentrated among less experienced and lower-skilled workers. At the firm level, Babina et al. (2024) show that AI investment is associated with stronger sales and employment growth, higher market valuations, and greater product innovation. Chen et al. (2026) further report that AI adoption is associated with higher investment efficiency and, over longer horizons, higher Tobin's q. These findings support the idea that AI can complement labour, improve information processing, and create valuable intangible </w:t>
      </w:r>
      <w:r>
        <w:rPr>
          <w:rFonts w:eastAsia="Arial"/>
        </w:rPr>
        <w:lastRenderedPageBreak/>
        <w:t>capabilities. They do not imply that every increment of automation produces equal firm value. Acemoglu (2025) stresses that task-level gains must be aggregated carefully and that learnability, deployment costs, and context dependence constrain economy-wide effects.</w:t>
      </w:r>
    </w:p>
    <w:p w14:paraId="6FE1CC72" w14:textId="77777777" w:rsidR="004B5E95" w:rsidRDefault="00000000">
      <w:pPr>
        <w:jc w:val="both"/>
      </w:pPr>
      <w:r>
        <w:rPr>
          <w:rFonts w:eastAsia="Arial"/>
        </w:rPr>
        <w:t>Management decisions can therefore be mis-specified if they treat task throughput as the complete payoff. Artificial intelligence systems may generate outputs cheaply while simultaneously increasing the burden of checking, exception handling, governance, audit, remediation, and incident response. Gans (2025) formalises the more general point that learning about harms can affect the optimal rate of artificial intelligence adoption. In organisational settings, Tan (2026) proposes verification debt as an accumulated stock of unverified assumptions, weak review, concealed dependencies, and deferred validation that can convert early productivity gains into later fragility.</w:t>
      </w:r>
    </w:p>
    <w:p w14:paraId="446D35BD" w14:textId="77777777" w:rsidR="004B5E95" w:rsidRDefault="00000000">
      <w:pPr>
        <w:jc w:val="both"/>
      </w:pPr>
      <w:r>
        <w:rPr>
          <w:rFonts w:eastAsia="Arial"/>
        </w:rPr>
        <w:t>The present model preserves this dynamic logic but moves the outcome variable into corporate finance. The key addition is that unresolved verification exposure affects a hazard probability that lenders price. This creates a channel through which an internal technology-management decision becomes an external financing cost.</w:t>
      </w:r>
    </w:p>
    <w:p w14:paraId="2CB3651C" w14:textId="77777777" w:rsidR="004B5E95" w:rsidRDefault="00000000">
      <w:pPr>
        <w:keepNext/>
        <w:spacing w:before="120" w:after="60"/>
      </w:pPr>
      <w:bookmarkStart w:id="5" w:name="Xf0703df4d967c39f0a8ee38ab0ce5fb67e58b74"/>
      <w:bookmarkEnd w:id="4"/>
      <w:r>
        <w:rPr>
          <w:rFonts w:eastAsia="Arial"/>
          <w:b/>
          <w:sz w:val="22"/>
        </w:rPr>
        <w:t>2.2 Information quality, opacity, and the cost of debt</w:t>
      </w:r>
    </w:p>
    <w:p w14:paraId="793AA7A7" w14:textId="77777777" w:rsidR="004B5E95" w:rsidRDefault="00000000">
      <w:pPr>
        <w:jc w:val="both"/>
      </w:pPr>
      <w:r>
        <w:rPr>
          <w:rFonts w:eastAsia="Arial"/>
        </w:rPr>
        <w:t>Corporate finance has long recognised that financing prices reflect more than physical asset risk. Easley and O'Hara (2004) show that the composition and quality of information can influence firms' cost of capital because uninformed investors require compensation when better-informed investors possess an advantage. Lambert et al. (2007) show that accounting information and disclosure can affect the cost of capital through assessed covariance and firms' real decisions. In debt markets, greater transparency can reduce issuing costs by reducing information asymmetry (Brugler et al., 2022), while differences between public and private credit information can affect access to bond financing (Iannamorelli et al., 2024). Recent AI evidence brings this mechanism closer to the paper's setting: Liu and Wang (2025) find lower debt and equity financing costs among technology-based firms using AI, while Zhao and Liu (2025) find that AI adoption accelerates capital-structure adjustment partly through a better information environment and lower operational risk.</w:t>
      </w:r>
    </w:p>
    <w:p w14:paraId="5A3EB29E" w14:textId="77777777" w:rsidR="004B5E95" w:rsidRDefault="00000000">
      <w:pPr>
        <w:jc w:val="both"/>
      </w:pPr>
      <w:r>
        <w:rPr>
          <w:rFonts w:eastAsia="Arial"/>
        </w:rPr>
        <w:t>The mechanism also fits foundational theories of financial contracting. Agency conflicts can make externally financed activity costly when managers and capital providers do not share the same information or incentives (Jensen &amp; Meckling, 1976). Delegated monitoring reduces information-production costs in lending (Diamond, 1984), while financial intermediation and firms’ financing capacity can constrain real investment (Holmström &amp; Tirole, 1997). Debt overhang and information asymmetry can distort investment and financing choices even when projects are technologically attractive (Myers, 1977; Myers &amp; Majluf, 1984). In the artificial intelligence setting, these frictions can be amplified by concentration in upstream model and infrastructure markets, which can create common dependencies that are not obvious from conventional operating metrics (Korinek &amp; Vipra, 2025).</w:t>
      </w:r>
    </w:p>
    <w:p w14:paraId="32574877" w14:textId="77777777" w:rsidR="004B5E95" w:rsidRDefault="00000000">
      <w:pPr>
        <w:jc w:val="both"/>
      </w:pPr>
      <w:r>
        <w:rPr>
          <w:rFonts w:eastAsia="Arial"/>
        </w:rPr>
        <w:t xml:space="preserve">Artificial intelligence can intensify this problem because important operational processes may become more difficult to understand from conventional financial statements. A firm may report </w:t>
      </w:r>
      <w:r>
        <w:rPr>
          <w:rFonts w:eastAsia="Arial"/>
          <w:highlight w:val="yellow"/>
        </w:rPr>
        <w:t>lower labour costs or faster output</w:t>
      </w:r>
      <w:r>
        <w:rPr>
          <w:rFonts w:eastAsia="Arial"/>
        </w:rPr>
        <w:t xml:space="preserve"> while outside financiers cannot directly observe how much of that output rests on unverified model behaviour, concentrated third-party services, weak human fallback capability, or brittle automated workflows. Regulators have explicitly identified model risk, data quality, governance, cyber vulnerability, and third-party concentration among important artificial intelligence-related financial risks (Financial Stability Board, 2024; Crisanto et al., 2024). This suggests that the quality of assurance around artificial intelligence may eventually function similarly to other forms of risk-relevant disclosure and control quality.</w:t>
      </w:r>
    </w:p>
    <w:p w14:paraId="5983DABD" w14:textId="77777777" w:rsidR="004B5E95" w:rsidRDefault="00000000">
      <w:pPr>
        <w:jc w:val="both"/>
      </w:pPr>
      <w:r>
        <w:rPr>
          <w:rFonts w:eastAsia="Arial"/>
        </w:rPr>
        <w:lastRenderedPageBreak/>
        <w:t>The model does not assume that lenders can perfectly observe every internal variable. Instead, it treats the priced failure probability as the lender’s equilibrium risk assessment given the firm’s observable or credibly inferable assurance condition. This is a reduced-form representation of underwriting, covenant monitoring, audit evidence, technology due diligence, and other information channels. The objective is to isolate the economic mechanism rather than reproduce a particular credit-rating process.</w:t>
      </w:r>
    </w:p>
    <w:p w14:paraId="326B78E0" w14:textId="77777777" w:rsidR="004B5E95" w:rsidRDefault="00000000">
      <w:pPr>
        <w:keepNext/>
        <w:spacing w:before="120" w:after="60"/>
      </w:pPr>
      <w:bookmarkStart w:id="6" w:name="X24c8dc407f56a7f501b3312fa8a7f548354491d"/>
      <w:bookmarkEnd w:id="5"/>
      <w:r>
        <w:rPr>
          <w:rFonts w:eastAsia="Arial"/>
          <w:b/>
          <w:sz w:val="22"/>
        </w:rPr>
        <w:t>2.3 Verification as productive assurance rather than pure overhead</w:t>
      </w:r>
    </w:p>
    <w:p w14:paraId="6008F8A6" w14:textId="77777777" w:rsidR="004B5E95" w:rsidRDefault="00000000">
      <w:pPr>
        <w:jc w:val="both"/>
      </w:pPr>
      <w:r>
        <w:rPr>
          <w:rFonts w:eastAsia="Arial"/>
        </w:rPr>
        <w:t>Verification has two economically opposed effects. First, it is costly. Review time, independent validation, testing, documentation, red-team exercises, audit trails, human escalation, and control infrastructure consume resources. Second, verification can be productive because it reduces expected loss, preserves organisational knowledge, and can make higher levels of automation safely scalable. This interpretation is consistent with evidence that the financial returns to AI depend on complementary organisational capabilities. Li et al. (2024) find that AI improves corporate financial-asset allocation more strongly when absorptive, innovative, and adaptive capabilities are greater. Chen et al. (2024) show, conversely, that AI can increase corporate risk-taking and that financing constraints amplify this relationship. Model-risk guidance has long emphasised that effective challenge requires competence, independence, and influence rather than mechanical approval (Board of Governors of the Federal Reserve System &amp; Office of the Comptroller of the Currency, 2011). The NIST framework similarly treats governance, mapping, measurement, and management as a connected cycle rather than a one-time compliance action (</w:t>
      </w:r>
      <w:r w:rsidR="00F20472" w:rsidRPr="00F20472">
        <w:rPr>
          <w:rFonts w:eastAsia="Arial"/>
        </w:rPr>
        <w:t>Tabassi</w:t>
      </w:r>
      <w:r>
        <w:rPr>
          <w:rFonts w:eastAsia="Arial"/>
        </w:rPr>
        <w:t>, 2023).</w:t>
      </w:r>
    </w:p>
    <w:p w14:paraId="5337D8E3" w14:textId="77777777" w:rsidR="004B5E95" w:rsidRDefault="00000000">
      <w:pPr>
        <w:jc w:val="both"/>
      </w:pPr>
      <w:r>
        <w:rPr>
          <w:rFonts w:eastAsia="Arial"/>
        </w:rPr>
        <w:t>This dual role implies a non-monotonic value relationship. Very low verification can allow risk and verification debt to accumulate. Very high verification can suppress risk but impose excessive cost and slow the exploitation of productive automation. The value-maximising region should therefore be interior under plausible parameterisations.</w:t>
      </w:r>
    </w:p>
    <w:p w14:paraId="20885B7A" w14:textId="77777777" w:rsidR="004B5E95" w:rsidRDefault="00000000">
      <w:pPr>
        <w:keepNext/>
        <w:spacing w:before="120" w:after="60"/>
      </w:pPr>
      <w:bookmarkStart w:id="7" w:name="research-propositions"/>
      <w:bookmarkEnd w:id="6"/>
      <w:r>
        <w:rPr>
          <w:rFonts w:eastAsia="Arial"/>
          <w:b/>
          <w:sz w:val="22"/>
        </w:rPr>
        <w:t>2.4 Research objectives and testable propositions</w:t>
      </w:r>
    </w:p>
    <w:p w14:paraId="2A2A1716" w14:textId="77777777" w:rsidR="004B5E95" w:rsidRDefault="00000000">
      <w:pPr>
        <w:jc w:val="both"/>
      </w:pPr>
      <w:r>
        <w:rPr>
          <w:rFonts w:eastAsia="Arial"/>
        </w:rPr>
        <w:t>The five research objectives stated in the Introduction are operationalised through four testable analytical propositions. Propositions 1-3 yield direct mathematical implications of the model, while Proposition 4 is evaluated through the numerical policy search and robustness analyses.</w:t>
      </w:r>
    </w:p>
    <w:p w14:paraId="2BC47093" w14:textId="77777777" w:rsidR="004B5E95" w:rsidRDefault="00000000">
      <w:pPr>
        <w:jc w:val="both"/>
      </w:pPr>
      <w:r>
        <w:rPr>
          <w:rFonts w:eastAsia="Arial"/>
          <w:b/>
          <w:bCs/>
        </w:rPr>
        <w:t>Proposition 1, convex financing response.</w:t>
      </w:r>
      <w:r>
        <w:rPr>
          <w:rFonts w:eastAsia="Arial"/>
        </w:rPr>
        <w:t xml:space="preserve"> Holding the risk-free rate and loss-given-default constant, the artificial intelligence verification premium is increasing and convex in the priced failure probability.</w:t>
      </w:r>
    </w:p>
    <w:p w14:paraId="2A1F791E" w14:textId="77777777" w:rsidR="004B5E95" w:rsidRDefault="00000000">
      <w:pPr>
        <w:jc w:val="both"/>
      </w:pPr>
      <w:r>
        <w:rPr>
          <w:rFonts w:eastAsia="Arial"/>
          <w:b/>
          <w:bCs/>
        </w:rPr>
        <w:t>Proposition 2, direct-risk verification threshold.</w:t>
      </w:r>
      <w:r>
        <w:rPr>
          <w:rFonts w:eastAsia="Arial"/>
        </w:rPr>
        <w:t xml:space="preserve"> Holding the state variables constant, the contemporaneous marginal effect of automation on failure probability changes sign at a verification intensity equal to the ratio of the direct automation-risk coefficient to the automation-verification interaction coefficient.</w:t>
      </w:r>
    </w:p>
    <w:p w14:paraId="147632D7" w14:textId="77777777" w:rsidR="004B5E95" w:rsidRDefault="00000000">
      <w:pPr>
        <w:jc w:val="both"/>
      </w:pPr>
      <w:r>
        <w:rPr>
          <w:rFonts w:eastAsia="Arial"/>
          <w:b/>
          <w:bCs/>
        </w:rPr>
        <w:t>Proposition 3, verification-debt non-accumulation threshold.</w:t>
      </w:r>
      <w:r>
        <w:rPr>
          <w:rFonts w:eastAsia="Arial"/>
        </w:rPr>
        <w:t xml:space="preserve"> Starting from zero verification debt, there exists a minimum verification intensity that prevents new debt from being created. This threshold increases with automation and environmental uncertainty and decreases with human oversight capability and verification effectiveness.</w:t>
      </w:r>
    </w:p>
    <w:p w14:paraId="15892BC3" w14:textId="77777777" w:rsidR="004B5E95" w:rsidRDefault="00000000">
      <w:pPr>
        <w:jc w:val="both"/>
      </w:pPr>
      <w:r>
        <w:rPr>
          <w:rFonts w:eastAsia="Arial"/>
          <w:b/>
          <w:bCs/>
        </w:rPr>
        <w:t>Proposition 4, joint optimisation.</w:t>
      </w:r>
      <w:r>
        <w:rPr>
          <w:rFonts w:eastAsia="Arial"/>
        </w:rPr>
        <w:t xml:space="preserve"> Because automation generates productivity benefits and convex scaling costs while verification generates assurance benefits and direct costs, the value-maximising policy need not maximise either control individually. An interior region can dominate both acceleration-first and assurance-heavy policies.</w:t>
      </w:r>
    </w:p>
    <w:p w14:paraId="4A60A085" w14:textId="77777777" w:rsidR="004B5E95" w:rsidRDefault="00000000">
      <w:pPr>
        <w:pStyle w:val="Heading1"/>
        <w:spacing w:before="160" w:after="100"/>
      </w:pPr>
      <w:bookmarkStart w:id="8" w:name="methodology"/>
      <w:bookmarkEnd w:id="3"/>
      <w:bookmarkEnd w:id="7"/>
      <w:r>
        <w:rPr>
          <w:rFonts w:eastAsia="Arial"/>
          <w:sz w:val="22"/>
        </w:rPr>
        <w:lastRenderedPageBreak/>
        <w:t>3. METHODOLOGY</w:t>
      </w:r>
    </w:p>
    <w:p w14:paraId="77FAEF7F" w14:textId="77777777" w:rsidR="004B5E95" w:rsidRDefault="00000000">
      <w:pPr>
        <w:keepNext/>
        <w:spacing w:before="120" w:after="60"/>
      </w:pPr>
      <w:bookmarkStart w:id="9" w:name="research-design"/>
      <w:r>
        <w:rPr>
          <w:rFonts w:eastAsia="Arial"/>
          <w:b/>
          <w:sz w:val="22"/>
        </w:rPr>
        <w:t>3.1 Research design</w:t>
      </w:r>
    </w:p>
    <w:p w14:paraId="70C2CB87" w14:textId="77777777" w:rsidR="004B5E95" w:rsidRDefault="00000000">
      <w:pPr>
        <w:jc w:val="both"/>
      </w:pPr>
      <w:r>
        <w:rPr>
          <w:rFonts w:eastAsia="Arial"/>
        </w:rPr>
        <w:t xml:space="preserve">The study uses </w:t>
      </w:r>
      <w:r>
        <w:rPr>
          <w:rFonts w:eastAsia="Arial"/>
          <w:highlight w:val="yellow"/>
        </w:rPr>
        <w:t>an original theoretical-computational research design</w:t>
      </w:r>
      <w:r>
        <w:rPr>
          <w:rFonts w:eastAsia="Arial"/>
        </w:rPr>
        <w:t xml:space="preserve">. No human participants, proprietary firm records, or externally collected observations are used. The numerical findings are generated from a fully specified stochastic </w:t>
      </w:r>
      <w:r>
        <w:rPr>
          <w:rFonts w:eastAsia="Arial"/>
          <w:highlight w:val="yellow"/>
        </w:rPr>
        <w:t>model to evaluate internal consistency</w:t>
      </w:r>
      <w:r>
        <w:rPr>
          <w:rFonts w:eastAsia="Arial"/>
        </w:rPr>
        <w:t>, comparative statics, dynamic mechanisms, and policy trade-offs. They are not empirical estimates of actual corporate borrowing spreads. Validation is conducted at three levels: analytical validation of the debt-pricing identity and threshold conditions; stochastic validation through reproducible Monte Carlo simulation, common-random-number pairing, and convergence checks; and structural validation through sensitivity analyses that vary financing, productivity, risk, and horizon assumptions.</w:t>
      </w:r>
    </w:p>
    <w:p w14:paraId="7C06E590" w14:textId="77777777" w:rsidR="004B5E95" w:rsidRDefault="00000000">
      <w:pPr>
        <w:jc w:val="both"/>
      </w:pPr>
      <w:r>
        <w:rPr>
          <w:rFonts w:eastAsia="Arial"/>
        </w:rPr>
        <w:t>The baseline horizon is 48 quarters. The principal regime comparison uses 20,000 Monte Carlo trajectories per policy. The policy-space search evaluates 18 automation levels and 18 verification levels, producing 324 fixed policies, with 4,000 trajectories per policy. Structural sensitivity searches use 1,200 trajectories per policy. Common random numbers are used across policies within each experiment so that differences are driven primarily by policy rather than independent simulation noise. Additional convergence runs use 2,500, 5,000, 10,000, 20,000, and 40,000 trajectories for the three most economically informative regimes.</w:t>
      </w:r>
    </w:p>
    <w:p w14:paraId="2FA1B854" w14:textId="77777777" w:rsidR="004B5E95" w:rsidRDefault="00000000">
      <w:pPr>
        <w:keepNext/>
        <w:spacing w:before="120" w:after="60"/>
      </w:pPr>
      <w:bookmarkStart w:id="10" w:name="controls-states-and-uncertainty"/>
      <w:bookmarkEnd w:id="9"/>
      <w:r>
        <w:rPr>
          <w:rFonts w:eastAsia="Arial"/>
          <w:b/>
          <w:sz w:val="22"/>
        </w:rPr>
        <w:t>3.2 Controls, states, and uncertainty</w:t>
      </w:r>
    </w:p>
    <w:p w14:paraId="6A294176" w14:textId="77777777" w:rsidR="004B5E95" w:rsidRDefault="00000000">
      <w:pPr>
        <w:jc w:val="both"/>
      </w:pPr>
      <w:r>
        <w:rPr>
          <w:rFonts w:eastAsia="Arial"/>
        </w:rPr>
        <w:t xml:space="preserve">Let automation intensity be </w:t>
      </w:r>
      <m:oMath>
        <m:r>
          <w:rPr>
            <w:rFonts w:ascii="Cambria Math" w:hAnsi="Cambria Math"/>
          </w:rPr>
          <m:t>a</m:t>
        </m:r>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rPr>
          <w:rFonts w:eastAsia="Arial"/>
        </w:rPr>
        <w:t xml:space="preserve"> and verification intensity be </w:t>
      </w:r>
      <m:oMath>
        <m:r>
          <w:rPr>
            <w:rFonts w:ascii="Cambria Math" w:hAnsi="Cambria Math"/>
          </w:rPr>
          <m:t>v</m:t>
        </m:r>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rPr>
          <w:rFonts w:eastAsia="Arial"/>
        </w:rPr>
        <w:t xml:space="preserve">. Policies are fixed over the baseline horizon to isolate long-run consequences of stable management choices. The two endogenous state variables are verification debt </w:t>
      </w:r>
      <m:oMath>
        <m:sSub>
          <m:sSubPr>
            <m:ctrlPr>
              <w:rPr>
                <w:rFonts w:ascii="Cambria Math" w:hAnsi="Cambria Math"/>
              </w:rPr>
            </m:ctrlPr>
          </m:sSubPr>
          <m:e>
            <m:r>
              <w:rPr>
                <w:rFonts w:ascii="Cambria Math" w:hAnsi="Cambria Math"/>
              </w:rPr>
              <m:t>q</m:t>
            </m:r>
          </m:e>
          <m:sub>
            <m:r>
              <w:rPr>
                <w:rFonts w:ascii="Cambria Math" w:hAnsi="Cambria Math"/>
              </w:rPr>
              <m:t>t</m:t>
            </m:r>
          </m:sub>
        </m:sSub>
        <m:r>
          <m:rPr>
            <m:sty m:val="p"/>
          </m:rPr>
          <w:rPr>
            <w:rFonts w:ascii="Cambria Math" w:hAnsi="Cambria Math"/>
          </w:rPr>
          <m:t>≥</m:t>
        </m:r>
        <m:r>
          <w:rPr>
            <w:rFonts w:ascii="Cambria Math" w:hAnsi="Cambria Math"/>
          </w:rPr>
          <m:t>0</m:t>
        </m:r>
      </m:oMath>
      <w:r>
        <w:rPr>
          <w:rFonts w:eastAsia="Arial"/>
        </w:rPr>
        <w:t xml:space="preserve"> and retained human oversight capability </w:t>
      </w:r>
      <m:oMath>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rPr>
          <w:rFonts w:eastAsia="Arial"/>
        </w:rPr>
        <w:t>.</w:t>
      </w:r>
    </w:p>
    <w:p w14:paraId="4BC128A1" w14:textId="77777777" w:rsidR="004B5E95" w:rsidRDefault="00000000">
      <w:pPr>
        <w:jc w:val="both"/>
      </w:pPr>
      <w:r>
        <w:rPr>
          <w:rFonts w:eastAsia="Arial"/>
        </w:rPr>
        <w:t>Environmental uncertainty is generated from a latent autoregressive process:</w:t>
      </w:r>
    </w:p>
    <w:p w14:paraId="4C407D62" w14:textId="77777777" w:rsidR="004B5E95" w:rsidRDefault="00000000">
      <w:pPr>
        <w:keepLines/>
        <w:tabs>
          <w:tab w:val="right" w:pos="8208"/>
        </w:tabs>
        <w:spacing w:before="80"/>
        <w:jc w:val="both"/>
      </w:pPr>
      <m:oMath>
        <m:sSub>
          <m:sSubPr>
            <m:ctrlPr>
              <w:rPr>
                <w:rFonts w:ascii="Cambria Math" w:hAnsi="Cambria Math"/>
              </w:rPr>
            </m:ctrlPr>
          </m:sSubPr>
          <m:e>
            <m:r>
              <w:rPr>
                <w:rFonts w:ascii="Cambria Math" w:hAnsi="Cambria Math"/>
              </w:rPr>
              <m:t>x</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x</m:t>
            </m:r>
          </m:sub>
        </m:sSub>
        <m:sSub>
          <m:sSubPr>
            <m:ctrlPr>
              <w:rPr>
                <w:rFonts w:ascii="Cambria Math" w:hAnsi="Cambria Math"/>
              </w:rPr>
            </m:ctrlPr>
          </m:sSubPr>
          <m:e>
            <m:r>
              <w:rPr>
                <w:rFonts w:ascii="Cambria Math" w:hAnsi="Cambria Math"/>
              </w:rPr>
              <m:t>x</m:t>
            </m:r>
          </m:e>
          <m:sub>
            <m:r>
              <w:rPr>
                <w:rFonts w:ascii="Cambria Math" w:hAnsi="Cambria Math"/>
              </w:rPr>
              <m:t>t</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x</m:t>
            </m:r>
          </m:sub>
        </m:sSub>
        <m:sSub>
          <m:sSubPr>
            <m:ctrlPr>
              <w:rPr>
                <w:rFonts w:ascii="Cambria Math" w:hAnsi="Cambria Math"/>
              </w:rPr>
            </m:ctrlPr>
          </m:sSubPr>
          <m:e>
            <m:r>
              <w:rPr>
                <w:rFonts w:ascii="Cambria Math" w:hAnsi="Cambria Math"/>
              </w:rPr>
              <m:t>ζ</m:t>
            </m:r>
          </m:e>
          <m:sub>
            <m:r>
              <w:rPr>
                <w:rFonts w:ascii="Cambria Math" w:hAnsi="Cambria Math"/>
              </w:rPr>
              <m:t>t</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ζ</m:t>
            </m:r>
          </m:e>
          <m:sub>
            <m:r>
              <w:rPr>
                <w:rFonts w:ascii="Cambria Math" w:hAnsi="Cambria Math"/>
              </w:rPr>
              <m:t>t</m:t>
            </m:r>
          </m:sub>
        </m:sSub>
        <m:r>
          <m:rPr>
            <m:scr m:val="script"/>
            <m:sty m:val="p"/>
          </m:rPr>
          <w:rPr>
            <w:rFonts w:ascii="Cambria Math" w:hAnsi="Cambria Math"/>
          </w:rPr>
          <m:t>∼N</m:t>
        </m:r>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u</m:t>
            </m:r>
          </m:e>
          <m:sub>
            <m:r>
              <w:rPr>
                <w:rFonts w:ascii="Cambria Math" w:hAnsi="Cambria Math"/>
              </w:rPr>
              <m:t>t</m:t>
            </m:r>
          </m:sub>
        </m:sSub>
        <m:r>
          <m:rPr>
            <m:sty m:val="p"/>
          </m:rPr>
          <w:rPr>
            <w:rFonts w:ascii="Cambria Math" w:hAnsi="Cambria Math"/>
          </w:rPr>
          <m:t>=max</m:t>
        </m:r>
        <m:d>
          <m:dPr>
            <m:ctrlPr>
              <w:rPr>
                <w:rFonts w:ascii="Cambria Math" w:hAnsi="Cambria Math"/>
              </w:rPr>
            </m:ctrlPr>
          </m:dPr>
          <m:e>
            <m:r>
              <w:rPr>
                <w:rFonts w:ascii="Cambria Math" w:hAnsi="Cambria Math"/>
              </w:rPr>
              <m:t>0</m:t>
            </m:r>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t</m:t>
                </m:r>
              </m:sub>
            </m:sSub>
          </m:e>
        </m:d>
        <m:r>
          <m:rPr>
            <m:sty m:val="p"/>
          </m:rPr>
          <w:rPr>
            <w:rFonts w:ascii="Cambria Math" w:hAnsi="Cambria Math"/>
          </w:rPr>
          <m:t>.</m:t>
        </m:r>
      </m:oMath>
      <w:r>
        <w:rPr>
          <w:rFonts w:eastAsia="Arial"/>
        </w:rPr>
        <w:tab/>
        <w:t>(1)</w:t>
      </w:r>
    </w:p>
    <w:p w14:paraId="6116EAB9" w14:textId="77777777" w:rsidR="004B5E95" w:rsidRDefault="00000000">
      <w:pPr>
        <w:jc w:val="both"/>
      </w:pPr>
      <w:r>
        <w:rPr>
          <w:rFonts w:eastAsia="Arial"/>
        </w:rPr>
        <w:t xml:space="preserve">The non-negative transformation </w:t>
      </w:r>
      <m:oMath>
        <m:sSub>
          <m:sSubPr>
            <m:ctrlPr>
              <w:rPr>
                <w:rFonts w:ascii="Cambria Math" w:hAnsi="Cambria Math"/>
              </w:rPr>
            </m:ctrlPr>
          </m:sSubPr>
          <m:e>
            <m:r>
              <w:rPr>
                <w:rFonts w:ascii="Cambria Math" w:hAnsi="Cambria Math"/>
              </w:rPr>
              <m:t>u</m:t>
            </m:r>
          </m:e>
          <m:sub>
            <m:r>
              <w:rPr>
                <w:rFonts w:ascii="Cambria Math" w:hAnsi="Cambria Math"/>
              </w:rPr>
              <m:t>t</m:t>
            </m:r>
          </m:sub>
        </m:sSub>
      </m:oMath>
      <w:r>
        <w:rPr>
          <w:rFonts w:eastAsia="Arial"/>
        </w:rPr>
        <w:t xml:space="preserve"> represents adverse uncertainty pressure. It can be interpreted as model drift, changing business context, unusual data conditions, regulatory change, or other factors that make automated outputs harder to validate.</w:t>
      </w:r>
    </w:p>
    <w:p w14:paraId="4737980B" w14:textId="77777777" w:rsidR="004B5E95" w:rsidRDefault="00000000">
      <w:pPr>
        <w:keepNext/>
        <w:spacing w:before="120" w:after="60"/>
      </w:pPr>
      <w:bookmarkStart w:id="11" w:name="operating-surplus"/>
      <w:bookmarkEnd w:id="10"/>
      <w:r>
        <w:rPr>
          <w:rFonts w:eastAsia="Arial"/>
          <w:b/>
          <w:sz w:val="22"/>
        </w:rPr>
        <w:t>3.3 Operating surplus</w:t>
      </w:r>
    </w:p>
    <w:p w14:paraId="3AD0B9DC" w14:textId="77777777" w:rsidR="004B5E95" w:rsidRDefault="00000000">
      <w:pPr>
        <w:jc w:val="both"/>
      </w:pPr>
      <w:r>
        <w:rPr>
          <w:rFonts w:eastAsia="Arial"/>
        </w:rPr>
        <w:t>Before financing cost and incident loss, the firm’s period operating surplus is:</w:t>
      </w:r>
    </w:p>
    <w:p w14:paraId="7476FAEB" w14:textId="77777777" w:rsidR="004B5E95" w:rsidRDefault="00000000">
      <w:pPr>
        <w:keepLines/>
        <w:tabs>
          <w:tab w:val="right" w:pos="8208"/>
        </w:tabs>
        <w:spacing w:before="80"/>
        <w:jc w:val="both"/>
      </w:pPr>
      <m:oMath>
        <m:sSub>
          <m:sSubPr>
            <m:ctrlPr>
              <w:rPr>
                <w:rFonts w:ascii="Cambria Math" w:hAnsi="Cambria Math"/>
              </w:rPr>
            </m:ctrlPr>
          </m:sSubPr>
          <m:e>
            <m:r>
              <w:rPr>
                <w:rFonts w:ascii="Cambria Math" w:hAnsi="Cambria Math"/>
              </w:rPr>
              <m:t>Y</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0</m:t>
            </m:r>
          </m:sub>
        </m:sSub>
        <m:r>
          <m:rPr>
            <m:sty m:val="p"/>
          </m:rPr>
          <w:rPr>
            <w:rFonts w:ascii="Cambria Math" w:hAnsi="Cambria Math"/>
          </w:rPr>
          <m:t>+</m:t>
        </m:r>
        <m:r>
          <w:rPr>
            <w:rFonts w:ascii="Cambria Math" w:hAnsi="Cambria Math"/>
          </w:rPr>
          <m:t>αa</m:t>
        </m:r>
        <m:r>
          <m:rPr>
            <m:sty m:val="p"/>
          </m:rPr>
          <w:rPr>
            <w:rFonts w:ascii="Cambria Math" w:hAnsi="Cambria Math"/>
          </w:rPr>
          <m:t>+</m:t>
        </m:r>
        <m:r>
          <w:rPr>
            <w:rFonts w:ascii="Cambria Math" w:hAnsi="Cambria Math"/>
          </w:rPr>
          <m:t>βa</m:t>
        </m:r>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r>
          <w:rPr>
            <w:rFonts w:ascii="Cambria Math" w:hAnsi="Cambria Math"/>
          </w:rPr>
          <m:t>γav</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κ</m:t>
                </m:r>
              </m:e>
              <m:sub>
                <m:r>
                  <w:rPr>
                    <w:rFonts w:ascii="Cambria Math" w:hAnsi="Cambria Math"/>
                  </w:rPr>
                  <m:t>a</m:t>
                </m:r>
              </m:sub>
            </m:sSub>
          </m:num>
          <m:den>
            <m:r>
              <w:rPr>
                <w:rFonts w:ascii="Cambria Math" w:hAnsi="Cambria Math"/>
              </w:rPr>
              <m:t>2</m:t>
            </m:r>
          </m:den>
        </m:f>
        <m:sSup>
          <m:sSupPr>
            <m:ctrlPr>
              <w:rPr>
                <w:rFonts w:ascii="Cambria Math" w:hAnsi="Cambria Math"/>
              </w:rPr>
            </m:ctrlPr>
          </m:sSupPr>
          <m:e>
            <m:r>
              <w:rPr>
                <w:rFonts w:ascii="Cambria Math" w:hAnsi="Cambria Math"/>
              </w:rPr>
              <m:t>a</m:t>
            </m:r>
          </m:e>
          <m:sup>
            <m:r>
              <w:rPr>
                <w:rFonts w:ascii="Cambria Math" w:hAnsi="Cambria Math"/>
              </w:rPr>
              <m:t>2</m:t>
            </m:r>
          </m:sup>
        </m:sSup>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κ</m:t>
                </m:r>
              </m:e>
              <m:sub>
                <m:r>
                  <w:rPr>
                    <w:rFonts w:ascii="Cambria Math" w:hAnsi="Cambria Math"/>
                  </w:rPr>
                  <m:t>v</m:t>
                </m:r>
              </m:sub>
            </m:sSub>
          </m:num>
          <m:den>
            <m:r>
              <w:rPr>
                <w:rFonts w:ascii="Cambria Math" w:hAnsi="Cambria Math"/>
              </w:rPr>
              <m:t>2</m:t>
            </m:r>
          </m:den>
        </m:f>
        <m:sSup>
          <m:sSupPr>
            <m:ctrlPr>
              <w:rPr>
                <w:rFonts w:ascii="Cambria Math" w:hAnsi="Cambria Math"/>
              </w:rPr>
            </m:ctrlPr>
          </m:sSupPr>
          <m:e>
            <m:r>
              <w:rPr>
                <w:rFonts w:ascii="Cambria Math" w:hAnsi="Cambria Math"/>
              </w:rPr>
              <m:t>v</m:t>
            </m:r>
          </m:e>
          <m:sup>
            <m: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q</m:t>
            </m:r>
          </m:sub>
        </m:sSub>
        <m:sSub>
          <m:sSubPr>
            <m:ctrlPr>
              <w:rPr>
                <w:rFonts w:ascii="Cambria Math" w:hAnsi="Cambria Math"/>
              </w:rPr>
            </m:ctrlPr>
          </m:sSubPr>
          <m:e>
            <m:r>
              <w:rPr>
                <w:rFonts w:ascii="Cambria Math" w:hAnsi="Cambria Math"/>
              </w:rPr>
              <m:t>q</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x</m:t>
            </m:r>
          </m:sub>
        </m:sSub>
        <m:r>
          <w:rPr>
            <w:rFonts w:ascii="Cambria Math" w:hAnsi="Cambria Math"/>
          </w:rPr>
          <m:t>av</m:t>
        </m:r>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t</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ε</m:t>
            </m:r>
          </m:e>
          <m:sub>
            <m:r>
              <w:rPr>
                <w:rFonts w:ascii="Cambria Math" w:hAnsi="Cambria Math"/>
              </w:rPr>
              <m:t>t</m:t>
            </m:r>
          </m:sub>
        </m:sSub>
        <m:r>
          <m:rPr>
            <m:scr m:val="script"/>
            <m:sty m:val="p"/>
          </m:rPr>
          <w:rPr>
            <w:rFonts w:ascii="Cambria Math" w:hAnsi="Cambria Math"/>
          </w:rPr>
          <m:t>∼N</m:t>
        </m:r>
        <m:d>
          <m:dPr>
            <m:ctrlPr>
              <w:rPr>
                <w:rFonts w:ascii="Cambria Math" w:hAnsi="Cambria Math"/>
              </w:rPr>
            </m:ctrlPr>
          </m:dPr>
          <m:e>
            <m:r>
              <w:rPr>
                <w:rFonts w:ascii="Cambria Math" w:hAnsi="Cambria Math"/>
              </w:rPr>
              <m:t>0</m:t>
            </m:r>
            <m:r>
              <m:rPr>
                <m:sty m:val="p"/>
              </m:rPr>
              <w:rPr>
                <w:rFonts w:ascii="Cambria Math" w:hAnsi="Cambria Math"/>
              </w:rPr>
              <m:t>,</m:t>
            </m:r>
            <m:sSubSup>
              <m:sSubSupPr>
                <m:ctrlPr>
                  <w:rPr>
                    <w:rFonts w:ascii="Cambria Math" w:hAnsi="Cambria Math"/>
                  </w:rPr>
                </m:ctrlPr>
              </m:sSubSupPr>
              <m:e>
                <m:r>
                  <w:rPr>
                    <w:rFonts w:ascii="Cambria Math" w:hAnsi="Cambria Math"/>
                  </w:rPr>
                  <m:t>σ</m:t>
                </m:r>
              </m:e>
              <m:sub>
                <m:r>
                  <w:rPr>
                    <w:rFonts w:ascii="Cambria Math" w:hAnsi="Cambria Math"/>
                  </w:rPr>
                  <m:t>ε</m:t>
                </m:r>
              </m:sub>
              <m:sup>
                <m:r>
                  <w:rPr>
                    <w:rFonts w:ascii="Cambria Math" w:hAnsi="Cambria Math"/>
                  </w:rPr>
                  <m:t>2</m:t>
                </m:r>
              </m:sup>
            </m:sSubSup>
          </m:e>
        </m:d>
        <m:r>
          <m:rPr>
            <m:sty m:val="p"/>
          </m:rPr>
          <w:rPr>
            <w:rFonts w:ascii="Cambria Math" w:hAnsi="Cambria Math"/>
          </w:rPr>
          <m:t>.</m:t>
        </m:r>
      </m:oMath>
      <w:r>
        <w:rPr>
          <w:rFonts w:eastAsia="Arial"/>
        </w:rPr>
        <w:tab/>
        <w:t>(2)</w:t>
      </w:r>
    </w:p>
    <w:p w14:paraId="13850CF3" w14:textId="77777777" w:rsidR="004B5E95" w:rsidRDefault="00000000">
      <w:pPr>
        <w:jc w:val="both"/>
      </w:pPr>
      <w:r>
        <w:rPr>
          <w:rFonts w:eastAsia="Arial"/>
        </w:rPr>
        <w:t xml:space="preserve">The term </w:t>
      </w:r>
      <m:oMath>
        <m:r>
          <w:rPr>
            <w:rFonts w:ascii="Cambria Math" w:hAnsi="Cambria Math"/>
          </w:rPr>
          <m:t>αa</m:t>
        </m:r>
      </m:oMath>
      <w:r>
        <w:rPr>
          <w:rFonts w:eastAsia="Arial"/>
        </w:rPr>
        <w:t xml:space="preserve"> captures direct automation productivity. The complementarity term </w:t>
      </w:r>
      <m:oMath>
        <m:r>
          <w:rPr>
            <w:rFonts w:ascii="Cambria Math" w:hAnsi="Cambria Math"/>
          </w:rPr>
          <m:t>βa</m:t>
        </m:r>
        <m:sSub>
          <m:sSubPr>
            <m:ctrlPr>
              <w:rPr>
                <w:rFonts w:ascii="Cambria Math" w:hAnsi="Cambria Math"/>
              </w:rPr>
            </m:ctrlPr>
          </m:sSubPr>
          <m:e>
            <m:r>
              <w:rPr>
                <w:rFonts w:ascii="Cambria Math" w:hAnsi="Cambria Math"/>
              </w:rPr>
              <m:t>h</m:t>
            </m:r>
          </m:e>
          <m:sub>
            <m:r>
              <w:rPr>
                <w:rFonts w:ascii="Cambria Math" w:hAnsi="Cambria Math"/>
              </w:rPr>
              <m:t>t</m:t>
            </m:r>
          </m:sub>
        </m:sSub>
      </m:oMath>
      <w:r>
        <w:rPr>
          <w:rFonts w:eastAsia="Arial"/>
        </w:rPr>
        <w:t xml:space="preserve"> rewards automation that remains supported by human oversight competence. The term </w:t>
      </w:r>
      <m:oMath>
        <m:r>
          <w:rPr>
            <w:rFonts w:ascii="Cambria Math" w:hAnsi="Cambria Math"/>
          </w:rPr>
          <m:t>γav</m:t>
        </m:r>
      </m:oMath>
      <w:r>
        <w:rPr>
          <w:rFonts w:eastAsia="Arial"/>
        </w:rPr>
        <w:t xml:space="preserve"> represents assurance-enabled scalability, in which verified systems can be used more confidently in consequential workflows. Convex terms penalise excessive automation and verification intensity. Verification debt creates rework and coordination costs through </w:t>
      </w:r>
      <m:oMath>
        <m:sSub>
          <m:sSubPr>
            <m:ctrlPr>
              <w:rPr>
                <w:rFonts w:ascii="Cambria Math" w:hAnsi="Cambria Math"/>
              </w:rPr>
            </m:ctrlPr>
          </m:sSubPr>
          <m:e>
            <m:r>
              <w:rPr>
                <w:rFonts w:ascii="Cambria Math" w:hAnsi="Cambria Math"/>
              </w:rPr>
              <m:t>c</m:t>
            </m:r>
          </m:e>
          <m:sub>
            <m:r>
              <w:rPr>
                <w:rFonts w:ascii="Cambria Math" w:hAnsi="Cambria Math"/>
              </w:rPr>
              <m:t>q</m:t>
            </m:r>
          </m:sub>
        </m:sSub>
        <m:sSub>
          <m:sSubPr>
            <m:ctrlPr>
              <w:rPr>
                <w:rFonts w:ascii="Cambria Math" w:hAnsi="Cambria Math"/>
              </w:rPr>
            </m:ctrlPr>
          </m:sSubPr>
          <m:e>
            <m:r>
              <w:rPr>
                <w:rFonts w:ascii="Cambria Math" w:hAnsi="Cambria Math"/>
              </w:rPr>
              <m:t>q</m:t>
            </m:r>
          </m:e>
          <m:sub>
            <m:r>
              <w:rPr>
                <w:rFonts w:ascii="Cambria Math" w:hAnsi="Cambria Math"/>
              </w:rPr>
              <m:t>t</m:t>
            </m:r>
          </m:sub>
        </m:sSub>
      </m:oMath>
      <w:r>
        <w:rPr>
          <w:rFonts w:eastAsia="Arial"/>
        </w:rPr>
        <w:t xml:space="preserve">, and </w:t>
      </w:r>
      <m:oMath>
        <m:sSub>
          <m:sSubPr>
            <m:ctrlPr>
              <w:rPr>
                <w:rFonts w:ascii="Cambria Math" w:hAnsi="Cambria Math"/>
              </w:rPr>
            </m:ctrlPr>
          </m:sSubPr>
          <m:e>
            <m:r>
              <w:rPr>
                <w:rFonts w:ascii="Cambria Math" w:hAnsi="Cambria Math"/>
              </w:rPr>
              <m:t>c</m:t>
            </m:r>
          </m:e>
          <m:sub>
            <m:r>
              <w:rPr>
                <w:rFonts w:ascii="Cambria Math" w:hAnsi="Cambria Math"/>
              </w:rPr>
              <m:t>x</m:t>
            </m:r>
          </m:sub>
        </m:sSub>
        <m:r>
          <w:rPr>
            <w:rFonts w:ascii="Cambria Math" w:hAnsi="Cambria Math"/>
          </w:rPr>
          <m:t>av</m:t>
        </m:r>
      </m:oMath>
      <w:r>
        <w:rPr>
          <w:rFonts w:eastAsia="Arial"/>
        </w:rPr>
        <w:t xml:space="preserve"> captures the workload of verifying a larger automated surface.</w:t>
      </w:r>
    </w:p>
    <w:p w14:paraId="724E7840" w14:textId="77777777" w:rsidR="004B5E95" w:rsidRDefault="00000000">
      <w:pPr>
        <w:keepNext/>
        <w:spacing w:before="120" w:after="60"/>
      </w:pPr>
      <w:bookmarkStart w:id="12" w:name="verification-debt-dynamics"/>
      <w:bookmarkEnd w:id="11"/>
      <w:r>
        <w:rPr>
          <w:rFonts w:eastAsia="Arial"/>
          <w:b/>
          <w:sz w:val="22"/>
        </w:rPr>
        <w:t>3.4 Verification debt dynamics</w:t>
      </w:r>
    </w:p>
    <w:p w14:paraId="4768355F" w14:textId="77777777" w:rsidR="004B5E95" w:rsidRDefault="00000000">
      <w:pPr>
        <w:jc w:val="both"/>
      </w:pPr>
      <w:r>
        <w:rPr>
          <w:rFonts w:eastAsia="Arial"/>
        </w:rPr>
        <w:t>Verification debt evolves as:</w:t>
      </w:r>
    </w:p>
    <w:p w14:paraId="03D45CC0" w14:textId="77777777" w:rsidR="004B5E95" w:rsidRDefault="00000000">
      <w:pPr>
        <w:keepLines/>
        <w:tabs>
          <w:tab w:val="right" w:pos="8208"/>
        </w:tabs>
        <w:spacing w:before="80"/>
        <w:jc w:val="both"/>
      </w:pPr>
      <m:oMath>
        <m:sSub>
          <m:sSubPr>
            <m:ctrlPr>
              <w:rPr>
                <w:rFonts w:ascii="Cambria Math" w:hAnsi="Cambria Math"/>
              </w:rPr>
            </m:ctrlPr>
          </m:sSubPr>
          <m:e>
            <m:r>
              <w:rPr>
                <w:rFonts w:ascii="Cambria Math" w:hAnsi="Cambria Math"/>
              </w:rPr>
              <m:t>q</m:t>
            </m:r>
          </m:e>
          <m:sub>
            <m:r>
              <w:rPr>
                <w:rFonts w:ascii="Cambria Math" w:hAnsi="Cambria Math"/>
              </w:rPr>
              <m:t>t</m:t>
            </m:r>
            <m:r>
              <m:rPr>
                <m:sty m:val="p"/>
              </m:rPr>
              <w:rPr>
                <w:rFonts w:ascii="Cambria Math" w:hAnsi="Cambria Math"/>
              </w:rPr>
              <m:t>+</m:t>
            </m:r>
            <m:r>
              <w:rPr>
                <w:rFonts w:ascii="Cambria Math" w:hAnsi="Cambria Math"/>
              </w:rPr>
              <m:t>1</m:t>
            </m:r>
          </m:sub>
        </m:sSub>
        <m:r>
          <m:rPr>
            <m:sty m:val="p"/>
          </m:rPr>
          <w:rPr>
            <w:rFonts w:ascii="Cambria Math" w:hAnsi="Cambria Math"/>
          </w:rPr>
          <m:t>=max</m:t>
        </m:r>
        <m:d>
          <m:dPr>
            <m:begChr m:val="{"/>
            <m:endChr m:val="}"/>
            <m:ctrlPr>
              <w:rPr>
                <w:rFonts w:ascii="Cambria Math" w:hAnsi="Cambria Math"/>
              </w:rPr>
            </m:ctrlPr>
          </m:dPr>
          <m:e>
            <m:r>
              <w:rPr>
                <w:rFonts w:ascii="Cambria Math" w:hAnsi="Cambria Math"/>
              </w:rPr>
              <m:t>0</m:t>
            </m:r>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δ</m:t>
                    </m:r>
                  </m:e>
                  <m:sub>
                    <m:r>
                      <w:rPr>
                        <w:rFonts w:ascii="Cambria Math" w:hAnsi="Cambria Math"/>
                      </w:rPr>
                      <m:t>q</m:t>
                    </m:r>
                  </m:sub>
                </m:sSub>
              </m:e>
            </m:d>
            <m:sSub>
              <m:sSubPr>
                <m:ctrlPr>
                  <w:rPr>
                    <w:rFonts w:ascii="Cambria Math" w:hAnsi="Cambria Math"/>
                  </w:rPr>
                </m:ctrlPr>
              </m:sSubPr>
              <m:e>
                <m:r>
                  <w:rPr>
                    <w:rFonts w:ascii="Cambria Math" w:hAnsi="Cambria Math"/>
                  </w:rPr>
                  <m:t>q</m:t>
                </m:r>
              </m:e>
              <m:sub>
                <m:r>
                  <w:rPr>
                    <w:rFonts w:ascii="Cambria Math" w:hAnsi="Cambria Math"/>
                  </w:rPr>
                  <m:t>t</m:t>
                </m:r>
              </m:sub>
            </m:sSub>
            <m:r>
              <m:rPr>
                <m:sty m:val="p"/>
              </m:rPr>
              <w:rPr>
                <w:rFonts w:ascii="Cambria Math" w:hAnsi="Cambria Math"/>
              </w:rPr>
              <m:t>+</m:t>
            </m:r>
            <m:r>
              <w:rPr>
                <w:rFonts w:ascii="Cambria Math" w:hAnsi="Cambria Math"/>
              </w:rPr>
              <m:t>ϕa</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v</m:t>
                </m:r>
              </m:e>
            </m:d>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t</m:t>
                    </m:r>
                  </m:sub>
                </m:sSub>
              </m:e>
            </m:d>
            <m:r>
              <m:rPr>
                <m:sty m:val="p"/>
              </m:rPr>
              <w:rPr>
                <w:rFonts w:ascii="Cambria Math" w:hAnsi="Cambria Math"/>
              </w:rPr>
              <m:t>-</m:t>
            </m:r>
            <m:r>
              <w:rPr>
                <w:rFonts w:ascii="Cambria Math" w:hAnsi="Cambria Math"/>
              </w:rPr>
              <m:t>ψv</m:t>
            </m:r>
            <m:sSub>
              <m:sSubPr>
                <m:ctrlPr>
                  <w:rPr>
                    <w:rFonts w:ascii="Cambria Math" w:hAnsi="Cambria Math"/>
                  </w:rPr>
                </m:ctrlPr>
              </m:sSubPr>
              <m:e>
                <m:r>
                  <w:rPr>
                    <w:rFonts w:ascii="Cambria Math" w:hAnsi="Cambria Math"/>
                  </w:rPr>
                  <m:t>h</m:t>
                </m:r>
              </m:e>
              <m:sub>
                <m:r>
                  <w:rPr>
                    <w:rFonts w:ascii="Cambria Math" w:hAnsi="Cambria Math"/>
                  </w:rPr>
                  <m:t>t</m:t>
                </m:r>
              </m:sub>
            </m:sSub>
          </m:e>
        </m:d>
        <m:r>
          <m:rPr>
            <m:sty m:val="p"/>
          </m:rPr>
          <w:rPr>
            <w:rFonts w:ascii="Cambria Math" w:hAnsi="Cambria Math"/>
          </w:rPr>
          <m:t>.</m:t>
        </m:r>
      </m:oMath>
      <w:r>
        <w:rPr>
          <w:rFonts w:eastAsia="Arial"/>
        </w:rPr>
        <w:tab/>
        <w:t>(3)</w:t>
      </w:r>
    </w:p>
    <w:p w14:paraId="04F6E00F" w14:textId="77777777" w:rsidR="004B5E95" w:rsidRDefault="00000000">
      <w:pPr>
        <w:jc w:val="both"/>
      </w:pPr>
      <w:r>
        <w:rPr>
          <w:rFonts w:eastAsia="Arial"/>
        </w:rPr>
        <w:t xml:space="preserve">Debt partially decays at rate </w:t>
      </w:r>
      <m:oMath>
        <m:sSub>
          <m:sSubPr>
            <m:ctrlPr>
              <w:rPr>
                <w:rFonts w:ascii="Cambria Math" w:hAnsi="Cambria Math"/>
              </w:rPr>
            </m:ctrlPr>
          </m:sSubPr>
          <m:e>
            <m:r>
              <w:rPr>
                <w:rFonts w:ascii="Cambria Math" w:hAnsi="Cambria Math"/>
              </w:rPr>
              <m:t>δ</m:t>
            </m:r>
          </m:e>
          <m:sub>
            <m:r>
              <w:rPr>
                <w:rFonts w:ascii="Cambria Math" w:hAnsi="Cambria Math"/>
              </w:rPr>
              <m:t>q</m:t>
            </m:r>
          </m:sub>
        </m:sSub>
      </m:oMath>
      <w:r>
        <w:rPr>
          <w:rFonts w:eastAsia="Arial"/>
        </w:rPr>
        <w:t xml:space="preserve">. New debt is created when automation is high, verification is incomplete, and uncertainty is elevated. Verification supported by human capability clears debt at rate </w:t>
      </w:r>
      <m:oMath>
        <m:r>
          <w:rPr>
            <w:rFonts w:ascii="Cambria Math" w:hAnsi="Cambria Math"/>
          </w:rPr>
          <m:t>ψv</m:t>
        </m:r>
        <m:sSub>
          <m:sSubPr>
            <m:ctrlPr>
              <w:rPr>
                <w:rFonts w:ascii="Cambria Math" w:hAnsi="Cambria Math"/>
              </w:rPr>
            </m:ctrlPr>
          </m:sSubPr>
          <m:e>
            <m:r>
              <w:rPr>
                <w:rFonts w:ascii="Cambria Math" w:hAnsi="Cambria Math"/>
              </w:rPr>
              <m:t>h</m:t>
            </m:r>
          </m:e>
          <m:sub>
            <m:r>
              <w:rPr>
                <w:rFonts w:ascii="Cambria Math" w:hAnsi="Cambria Math"/>
              </w:rPr>
              <m:t>t</m:t>
            </m:r>
          </m:sub>
        </m:sSub>
      </m:oMath>
      <w:r>
        <w:rPr>
          <w:rFonts w:eastAsia="Arial"/>
        </w:rPr>
        <w:t>. This formulation makes verification quality productive only when the organisation retains sufficient competence to conduct meaningful challenge.</w:t>
      </w:r>
    </w:p>
    <w:p w14:paraId="0DFE5CAB" w14:textId="77777777" w:rsidR="004B5E95" w:rsidRDefault="00000000">
      <w:pPr>
        <w:keepNext/>
        <w:spacing w:before="120" w:after="60"/>
      </w:pPr>
      <w:bookmarkStart w:id="13" w:name="human-oversight-capability"/>
      <w:bookmarkEnd w:id="12"/>
      <w:r>
        <w:rPr>
          <w:rFonts w:eastAsia="Arial"/>
          <w:b/>
          <w:sz w:val="22"/>
        </w:rPr>
        <w:lastRenderedPageBreak/>
        <w:t>3.5 Human oversight capability</w:t>
      </w:r>
    </w:p>
    <w:p w14:paraId="7235CEF4" w14:textId="77777777" w:rsidR="004B5E95" w:rsidRDefault="00000000">
      <w:pPr>
        <w:jc w:val="both"/>
      </w:pPr>
      <w:r>
        <w:rPr>
          <w:rFonts w:eastAsia="Arial"/>
        </w:rPr>
        <w:t>Human oversight capability evolves according to:</w:t>
      </w:r>
    </w:p>
    <w:p w14:paraId="155167BF" w14:textId="77777777" w:rsidR="004B5E95" w:rsidRDefault="00000000">
      <w:pPr>
        <w:keepLines/>
        <w:tabs>
          <w:tab w:val="right" w:pos="8208"/>
        </w:tabs>
        <w:spacing w:before="80"/>
        <w:jc w:val="both"/>
      </w:pPr>
      <m:oMath>
        <m:sSub>
          <m:sSubPr>
            <m:ctrlPr>
              <w:rPr>
                <w:rFonts w:ascii="Cambria Math" w:hAnsi="Cambria Math"/>
              </w:rPr>
            </m:ctrlPr>
          </m:sSubPr>
          <m:e>
            <m:r>
              <w:rPr>
                <w:rFonts w:ascii="Cambria Math" w:hAnsi="Cambria Math"/>
              </w:rPr>
              <m:t>h</m:t>
            </m:r>
          </m:e>
          <m:sub>
            <m:r>
              <w:rPr>
                <w:rFonts w:ascii="Cambria Math" w:hAnsi="Cambria Math"/>
              </w:rPr>
              <m:t>t</m:t>
            </m:r>
            <m:r>
              <m:rPr>
                <m:sty m:val="p"/>
              </m:rPr>
              <w:rPr>
                <w:rFonts w:ascii="Cambria Math" w:hAnsi="Cambria Math"/>
              </w:rPr>
              <m:t>+</m:t>
            </m:r>
            <m:r>
              <w:rPr>
                <w:rFonts w:ascii="Cambria Math" w:hAnsi="Cambria Math"/>
              </w:rPr>
              <m:t>1</m:t>
            </m:r>
          </m:sub>
        </m:sSub>
        <m:r>
          <m:rPr>
            <m:sty m:val="p"/>
          </m:rPr>
          <w:rPr>
            <w:rFonts w:ascii="Cambria Math" w:hAnsi="Cambria Math"/>
          </w:rPr>
          <m:t>=min</m:t>
        </m:r>
        <m:d>
          <m:dPr>
            <m:begChr m:val="{"/>
            <m:endChr m:val="}"/>
            <m:ctrlPr>
              <w:rPr>
                <w:rFonts w:ascii="Cambria Math" w:hAnsi="Cambria Math"/>
              </w:rPr>
            </m:ctrlPr>
          </m:dPr>
          <m:e>
            <m:r>
              <w:rPr>
                <w:rFonts w:ascii="Cambria Math" w:hAnsi="Cambria Math"/>
              </w:rPr>
              <m:t>1</m:t>
            </m:r>
            <m:r>
              <m:rPr>
                <m:sty m:val="p"/>
              </m:rPr>
              <w:rPr>
                <w:rFonts w:ascii="Cambria Math" w:hAnsi="Cambria Math"/>
              </w:rPr>
              <m:t>,max</m:t>
            </m:r>
            <m:d>
              <m:dPr>
                <m:begChr m:val="["/>
                <m:endChr m:val="]"/>
                <m:ctrlPr>
                  <w:rPr>
                    <w:rFonts w:ascii="Cambria Math" w:hAnsi="Cambria Math"/>
                  </w:rPr>
                </m:ctrlPr>
              </m:dPr>
              <m:e>
                <m:r>
                  <w:rPr>
                    <w:rFonts w:ascii="Cambria Math" w:hAnsi="Cambria Math"/>
                  </w:rPr>
                  <m:t>0</m:t>
                </m:r>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v</m:t>
                    </m:r>
                  </m:sub>
                </m:sSub>
                <m:r>
                  <w:rPr>
                    <w:rFonts w:ascii="Cambria Math" w:hAnsi="Cambria Math"/>
                  </w:rPr>
                  <m:t>v</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t</m:t>
                        </m:r>
                      </m:sub>
                    </m:sSub>
                  </m:e>
                </m:d>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a</m:t>
                    </m:r>
                  </m:sub>
                </m:sSub>
                <m:r>
                  <w:rPr>
                    <w:rFonts w:ascii="Cambria Math" w:hAnsi="Cambria Math"/>
                  </w:rPr>
                  <m:t>a</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v</m:t>
                    </m:r>
                  </m:e>
                </m:d>
                <m:sSub>
                  <m:sSubPr>
                    <m:ctrlPr>
                      <w:rPr>
                        <w:rFonts w:ascii="Cambria Math" w:hAnsi="Cambria Math"/>
                      </w:rPr>
                    </m:ctrlPr>
                  </m:sSubPr>
                  <m:e>
                    <m:r>
                      <w:rPr>
                        <w:rFonts w:ascii="Cambria Math" w:hAnsi="Cambria Math"/>
                      </w:rPr>
                      <m:t>h</m:t>
                    </m:r>
                  </m:e>
                  <m:sub>
                    <m:r>
                      <w:rPr>
                        <w:rFonts w:ascii="Cambria Math" w:hAnsi="Cambria Math"/>
                      </w:rPr>
                      <m:t>t</m:t>
                    </m:r>
                  </m:sub>
                </m:sSub>
              </m:e>
            </m:d>
          </m:e>
        </m:d>
        <m:r>
          <m:rPr>
            <m:sty m:val="p"/>
          </m:rPr>
          <w:rPr>
            <w:rFonts w:ascii="Cambria Math" w:hAnsi="Cambria Math"/>
          </w:rPr>
          <m:t>.</m:t>
        </m:r>
      </m:oMath>
      <w:r>
        <w:rPr>
          <w:rFonts w:eastAsia="Arial"/>
        </w:rPr>
        <w:tab/>
        <w:t>(4)</w:t>
      </w:r>
    </w:p>
    <w:p w14:paraId="6F05BCA9" w14:textId="77777777" w:rsidR="004B5E95" w:rsidRDefault="00000000">
      <w:pPr>
        <w:jc w:val="both"/>
      </w:pPr>
      <w:r>
        <w:rPr>
          <w:rFonts w:eastAsia="Arial"/>
        </w:rPr>
        <w:t>Verification sustains capability by keeping humans engaged with system logic, edge cases, and review. High automation with weak verification erodes capability because fewer consequential tasks are actively examined. This state variable makes risk path-dependent: a firm that allows oversight competence to decay cannot instantaneously restore high-quality verification merely by changing policy later.</w:t>
      </w:r>
    </w:p>
    <w:p w14:paraId="4A239B07" w14:textId="77777777" w:rsidR="004B5E95" w:rsidRDefault="00000000">
      <w:pPr>
        <w:keepNext/>
        <w:spacing w:before="120" w:after="60"/>
      </w:pPr>
      <w:bookmarkStart w:id="14" w:name="failure-probability"/>
      <w:bookmarkEnd w:id="13"/>
      <w:r>
        <w:rPr>
          <w:rFonts w:eastAsia="Arial"/>
          <w:b/>
          <w:sz w:val="22"/>
        </w:rPr>
        <w:t>3.6 Failure probability</w:t>
      </w:r>
    </w:p>
    <w:p w14:paraId="52FF2A4B" w14:textId="77777777" w:rsidR="004B5E95" w:rsidRDefault="00000000">
      <w:pPr>
        <w:jc w:val="both"/>
      </w:pPr>
      <w:r>
        <w:rPr>
          <w:rFonts w:eastAsia="Arial"/>
        </w:rPr>
        <w:t>The period probability of a financing-relevant adverse artificial-intelligence-related state is logistic. The state can represent a sufficiently material operating incident, control failure, or model-driven loss event to affect creditor recovery or refinancing assessment:</w:t>
      </w:r>
    </w:p>
    <w:p w14:paraId="2206556A" w14:textId="77777777" w:rsidR="004B5E95" w:rsidRDefault="00000000">
      <w:pPr>
        <w:keepLines/>
        <w:tabs>
          <w:tab w:val="right" w:pos="8208"/>
        </w:tabs>
        <w:spacing w:before="80"/>
        <w:jc w:val="both"/>
      </w:pPr>
      <m:oMath>
        <m:sSub>
          <m:sSubPr>
            <m:ctrlPr>
              <w:rPr>
                <w:rFonts w:ascii="Cambria Math" w:hAnsi="Cambria Math"/>
              </w:rPr>
            </m:ctrlPr>
          </m:sSubPr>
          <m:e>
            <m:r>
              <w:rPr>
                <w:rFonts w:ascii="Cambria Math" w:hAnsi="Cambria Math"/>
              </w:rPr>
              <m:t>p</m:t>
            </m:r>
          </m:e>
          <m:sub>
            <m:r>
              <w:rPr>
                <w:rFonts w:ascii="Cambria Math" w:hAnsi="Cambria Math"/>
              </w:rPr>
              <m:t>t</m:t>
            </m:r>
          </m:sub>
        </m:sSub>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1</m:t>
            </m:r>
            <m:r>
              <m:rPr>
                <m:sty m:val="p"/>
              </m:rPr>
              <w:rPr>
                <w:rFonts w:ascii="Cambria Math" w:hAnsi="Cambria Math"/>
              </w:rPr>
              <m:t>+exp</m:t>
            </m:r>
            <m:d>
              <m:dPr>
                <m:ctrlPr>
                  <w:rPr>
                    <w:rFonts w:ascii="Cambria Math" w:hAnsi="Cambria Math"/>
                  </w:rPr>
                </m:ctrlPr>
              </m:dPr>
              <m:e>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t</m:t>
                    </m:r>
                  </m:sub>
                </m:sSub>
              </m:e>
            </m:d>
          </m:den>
        </m:f>
        <m:r>
          <m:rPr>
            <m:sty m:val="p"/>
          </m:rPr>
          <w:rPr>
            <w:rFonts w:ascii="Cambria Math" w:hAnsi="Cambria Math"/>
          </w:rPr>
          <m:t>,</m:t>
        </m:r>
      </m:oMath>
      <w:r>
        <w:rPr>
          <w:rFonts w:eastAsia="Arial"/>
        </w:rPr>
        <w:tab/>
        <w:t>(5)</w:t>
      </w:r>
    </w:p>
    <w:p w14:paraId="68079900" w14:textId="77777777" w:rsidR="004B5E95" w:rsidRDefault="00000000">
      <w:pPr>
        <w:jc w:val="both"/>
      </w:pPr>
      <w:proofErr w:type="gramStart"/>
      <w:r>
        <w:rPr>
          <w:rFonts w:eastAsia="Arial"/>
        </w:rPr>
        <w:t>where</w:t>
      </w:r>
      <w:proofErr w:type="gramEnd"/>
    </w:p>
    <w:p w14:paraId="06857882" w14:textId="77777777" w:rsidR="004B5E95" w:rsidRDefault="00000000">
      <w:pPr>
        <w:keepLines/>
        <w:tabs>
          <w:tab w:val="right" w:pos="8208"/>
        </w:tabs>
        <w:spacing w:before="80"/>
        <w:jc w:val="both"/>
      </w:pPr>
      <m:oMath>
        <m:sSub>
          <m:sSubPr>
            <m:ctrlPr>
              <w:rPr>
                <w:rFonts w:ascii="Cambria Math" w:hAnsi="Cambria Math"/>
              </w:rPr>
            </m:ctrlPr>
          </m:sSubPr>
          <m:e>
            <m:r>
              <w:rPr>
                <w:rFonts w:ascii="Cambria Math" w:hAnsi="Cambria Math"/>
              </w:rPr>
              <m:t>z</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q</m:t>
            </m:r>
          </m:sub>
        </m:sSub>
        <m:sSub>
          <m:sSubPr>
            <m:ctrlPr>
              <w:rPr>
                <w:rFonts w:ascii="Cambria Math" w:hAnsi="Cambria Math"/>
              </w:rPr>
            </m:ctrlPr>
          </m:sSubPr>
          <m:e>
            <m:r>
              <w:rPr>
                <w:rFonts w:ascii="Cambria Math" w:hAnsi="Cambria Math"/>
              </w:rPr>
              <m:t>q</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u</m:t>
            </m:r>
          </m:sub>
        </m:sSub>
        <m:sSub>
          <m:sSubPr>
            <m:ctrlPr>
              <w:rPr>
                <w:rFonts w:ascii="Cambria Math" w:hAnsi="Cambria Math"/>
              </w:rPr>
            </m:ctrlPr>
          </m:sSubPr>
          <m:e>
            <m:r>
              <w:rPr>
                <w:rFonts w:ascii="Cambria Math" w:hAnsi="Cambria Math"/>
              </w:rPr>
              <m:t>u</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a</m:t>
            </m:r>
          </m:sub>
        </m:sSub>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av</m:t>
            </m:r>
          </m:sub>
        </m:sSub>
        <m:r>
          <w:rPr>
            <w:rFonts w:ascii="Cambria Math" w:hAnsi="Cambria Math"/>
          </w:rPr>
          <m:t>av</m:t>
        </m:r>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h</m:t>
            </m:r>
          </m:sub>
        </m:sSub>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oMath>
      <w:r>
        <w:rPr>
          <w:rFonts w:eastAsia="Arial"/>
        </w:rPr>
        <w:tab/>
        <w:t>(6)</w:t>
      </w:r>
    </w:p>
    <w:p w14:paraId="496CCF18" w14:textId="77777777" w:rsidR="004B5E95" w:rsidRDefault="00000000">
      <w:pPr>
        <w:jc w:val="both"/>
      </w:pPr>
      <w:r>
        <w:rPr>
          <w:rFonts w:eastAsia="Arial"/>
        </w:rPr>
        <w:t xml:space="preserve">Verification debt, uncertainty, and automation raise risk, while the interaction between automation and verification reduces risk when assurance scales with deployment. Human oversight capability also lowers risk. The logistic specification keeps probabilities in the unit interval and allows nonlinear amplification as the risk index rises. The variable </w:t>
      </w:r>
      <m:oMath>
        <m:sSub>
          <m:sSubPr>
            <m:ctrlPr>
              <w:rPr>
                <w:rFonts w:ascii="Cambria Math" w:hAnsi="Cambria Math"/>
              </w:rPr>
            </m:ctrlPr>
          </m:sSubPr>
          <m:e>
            <m:r>
              <w:rPr>
                <w:rFonts w:ascii="Cambria Math" w:hAnsi="Cambria Math"/>
              </w:rPr>
              <m:t>p</m:t>
            </m:r>
          </m:e>
          <m:sub>
            <m:r>
              <w:rPr>
                <w:rFonts w:ascii="Cambria Math" w:hAnsi="Cambria Math"/>
              </w:rPr>
              <m:t>t</m:t>
            </m:r>
          </m:sub>
        </m:sSub>
      </m:oMath>
      <w:r>
        <w:rPr>
          <w:rFonts w:eastAsia="Arial"/>
        </w:rPr>
        <w:t xml:space="preserve"> is therefore not the probability of any minor artificial intelligence error. It is the model’s priced probability of an adverse state that is material to both operating cash flow and creditor recovery.</w:t>
      </w:r>
    </w:p>
    <w:p w14:paraId="6E51AA93" w14:textId="77777777" w:rsidR="004B5E95" w:rsidRDefault="00000000">
      <w:pPr>
        <w:keepNext/>
        <w:spacing w:before="120" w:after="60"/>
      </w:pPr>
      <w:bookmarkStart w:id="15" w:name="X4e0b46c2bfafb509c7ef1e39f7cad663f98d15e"/>
      <w:bookmarkEnd w:id="14"/>
      <w:r>
        <w:rPr>
          <w:rFonts w:eastAsia="Arial"/>
          <w:b/>
          <w:sz w:val="22"/>
        </w:rPr>
        <w:t>3.7 Competitive debt pricing and the artificial intelligence verification premium</w:t>
      </w:r>
    </w:p>
    <w:p w14:paraId="4E09C7F5" w14:textId="77777777" w:rsidR="004B5E95" w:rsidRDefault="00000000">
      <w:pPr>
        <w:jc w:val="both"/>
      </w:pPr>
      <w:r>
        <w:rPr>
          <w:rFonts w:eastAsia="Arial"/>
        </w:rPr>
        <w:t xml:space="preserve">The financing mechanism is derived from a one-period competitive lender condition. Let </w:t>
      </w:r>
      <m:oMath>
        <m:r>
          <w:rPr>
            <w:rFonts w:ascii="Cambria Math" w:hAnsi="Cambria Math"/>
          </w:rPr>
          <m:t>B</m:t>
        </m:r>
      </m:oMath>
      <w:r>
        <w:rPr>
          <w:rFonts w:eastAsia="Arial"/>
        </w:rPr>
        <w:t xml:space="preserve"> be debt principal, </w:t>
      </w:r>
      <m:oMath>
        <m:sSub>
          <m:sSubPr>
            <m:ctrlPr>
              <w:rPr>
                <w:rFonts w:ascii="Cambria Math" w:hAnsi="Cambria Math"/>
              </w:rPr>
            </m:ctrlPr>
          </m:sSubPr>
          <m:e>
            <m:r>
              <w:rPr>
                <w:rFonts w:ascii="Cambria Math" w:hAnsi="Cambria Math"/>
              </w:rPr>
              <m:t>r</m:t>
            </m:r>
          </m:e>
          <m:sub>
            <m:r>
              <w:rPr>
                <w:rFonts w:ascii="Cambria Math" w:hAnsi="Cambria Math"/>
              </w:rPr>
              <m:t>f</m:t>
            </m:r>
          </m:sub>
        </m:sSub>
      </m:oMath>
      <w:r>
        <w:rPr>
          <w:rFonts w:eastAsia="Arial"/>
        </w:rPr>
        <w:t xml:space="preserve"> the risk-free return, </w:t>
      </w:r>
      <m:oMath>
        <m:sSub>
          <m:sSubPr>
            <m:ctrlPr>
              <w:rPr>
                <w:rFonts w:ascii="Cambria Math" w:hAnsi="Cambria Math"/>
              </w:rPr>
            </m:ctrlPr>
          </m:sSubPr>
          <m:e>
            <m:r>
              <w:rPr>
                <w:rFonts w:ascii="Cambria Math" w:hAnsi="Cambria Math"/>
              </w:rPr>
              <m:t>r</m:t>
            </m:r>
          </m:e>
          <m:sub>
            <m:r>
              <w:rPr>
                <w:rFonts w:ascii="Cambria Math" w:hAnsi="Cambria Math"/>
              </w:rPr>
              <m:t>D</m:t>
            </m:r>
            <m:r>
              <m:rPr>
                <m:sty m:val="p"/>
              </m:rPr>
              <w:rPr>
                <w:rFonts w:ascii="Cambria Math" w:hAnsi="Cambria Math"/>
              </w:rPr>
              <m:t>,</m:t>
            </m:r>
            <m:r>
              <w:rPr>
                <w:rFonts w:ascii="Cambria Math" w:hAnsi="Cambria Math"/>
              </w:rPr>
              <m:t>t</m:t>
            </m:r>
          </m:sub>
        </m:sSub>
      </m:oMath>
      <w:r>
        <w:rPr>
          <w:rFonts w:eastAsia="Arial"/>
        </w:rPr>
        <w:t xml:space="preserve"> the contractual debt rate, and </w:t>
      </w:r>
      <m:oMath>
        <m:r>
          <w:rPr>
            <w:rFonts w:ascii="Cambria Math" w:hAnsi="Cambria Math"/>
          </w:rPr>
          <m:t>λ</m:t>
        </m:r>
        <m:r>
          <m:rPr>
            <m:sty m:val="p"/>
          </m:rPr>
          <w:rPr>
            <w:rFonts w:ascii="Cambria Math" w:hAnsi="Cambria Math"/>
          </w:rPr>
          <m:t>∈</m:t>
        </m:r>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rPr>
          <w:rFonts w:eastAsia="Arial"/>
        </w:rPr>
        <w:t xml:space="preserve"> the creditor loss fraction conditional on the priced adverse state. The baseline uses </w:t>
      </w:r>
      <m:oMath>
        <m:r>
          <w:rPr>
            <w:rFonts w:ascii="Cambria Math" w:hAnsi="Cambria Math"/>
          </w:rPr>
          <m:t>B</m:t>
        </m:r>
        <m:r>
          <m:rPr>
            <m:sty m:val="p"/>
          </m:rPr>
          <w:rPr>
            <w:rFonts w:ascii="Cambria Math" w:hAnsi="Cambria Math"/>
          </w:rPr>
          <m:t>=</m:t>
        </m:r>
        <m:acc>
          <m:accPr>
            <m:chr m:val="‾"/>
            <m:ctrlPr>
              <w:rPr>
                <w:rFonts w:ascii="Cambria Math" w:hAnsi="Cambria Math"/>
              </w:rPr>
            </m:ctrlPr>
          </m:accPr>
          <m:e>
            <m:r>
              <w:rPr>
                <w:rFonts w:ascii="Cambria Math" w:hAnsi="Cambria Math"/>
              </w:rPr>
              <m:t>B</m:t>
            </m:r>
          </m:e>
        </m:acc>
        <m:r>
          <w:rPr>
            <w:rFonts w:ascii="Cambria Math" w:hAnsi="Cambria Math"/>
          </w:rPr>
          <m:t>ω</m:t>
        </m:r>
      </m:oMath>
      <w:r>
        <w:rPr>
          <w:rFonts w:eastAsia="Arial"/>
        </w:rPr>
        <w:t xml:space="preserve">, where </w:t>
      </w:r>
      <m:oMath>
        <m:acc>
          <m:accPr>
            <m:chr m:val="‾"/>
            <m:ctrlPr>
              <w:rPr>
                <w:rFonts w:ascii="Cambria Math" w:hAnsi="Cambria Math"/>
              </w:rPr>
            </m:ctrlPr>
          </m:accPr>
          <m:e>
            <m:r>
              <w:rPr>
                <w:rFonts w:ascii="Cambria Math" w:hAnsi="Cambria Math"/>
              </w:rPr>
              <m:t>B</m:t>
            </m:r>
          </m:e>
        </m:acc>
      </m:oMath>
      <w:r>
        <w:rPr>
          <w:rFonts w:eastAsia="Arial"/>
        </w:rPr>
        <w:t xml:space="preserve"> is a debt-scale parameter and </w:t>
      </w:r>
      <m:oMath>
        <m:r>
          <w:rPr>
            <w:rFonts w:ascii="Cambria Math" w:hAnsi="Cambria Math"/>
          </w:rPr>
          <m:t>ω</m:t>
        </m:r>
      </m:oMath>
      <w:r>
        <w:rPr>
          <w:rFonts w:eastAsia="Arial"/>
        </w:rPr>
        <w:t xml:space="preserve"> is financing intensity. If the adverse state occurs with probability </w:t>
      </w:r>
      <m:oMath>
        <m:sSub>
          <m:sSubPr>
            <m:ctrlPr>
              <w:rPr>
                <w:rFonts w:ascii="Cambria Math" w:hAnsi="Cambria Math"/>
              </w:rPr>
            </m:ctrlPr>
          </m:sSubPr>
          <m:e>
            <m:r>
              <w:rPr>
                <w:rFonts w:ascii="Cambria Math" w:hAnsi="Cambria Math"/>
              </w:rPr>
              <m:t>p</m:t>
            </m:r>
          </m:e>
          <m:sub>
            <m:r>
              <w:rPr>
                <w:rFonts w:ascii="Cambria Math" w:hAnsi="Cambria Math"/>
              </w:rPr>
              <m:t>t</m:t>
            </m:r>
          </m:sub>
        </m:sSub>
      </m:oMath>
      <w:r>
        <w:rPr>
          <w:rFonts w:eastAsia="Arial"/>
        </w:rPr>
        <w:t xml:space="preserve">, lenders receive a fraction </w:t>
      </w:r>
      <m:oMath>
        <m:r>
          <w:rPr>
            <w:rFonts w:ascii="Cambria Math" w:hAnsi="Cambria Math"/>
          </w:rPr>
          <m:t>1</m:t>
        </m:r>
        <m:r>
          <m:rPr>
            <m:sty m:val="p"/>
          </m:rPr>
          <w:rPr>
            <w:rFonts w:ascii="Cambria Math" w:hAnsi="Cambria Math"/>
          </w:rPr>
          <m:t>-</m:t>
        </m:r>
        <m:r>
          <w:rPr>
            <w:rFonts w:ascii="Cambria Math" w:hAnsi="Cambria Math"/>
          </w:rPr>
          <m:t>λ</m:t>
        </m:r>
      </m:oMath>
      <w:r>
        <w:rPr>
          <w:rFonts w:eastAsia="Arial"/>
        </w:rPr>
        <w:t xml:space="preserve"> of promised repayment. Zero expected excess profit requires:</w:t>
      </w:r>
    </w:p>
    <w:p w14:paraId="6848D3E6" w14:textId="77777777" w:rsidR="004B5E95" w:rsidRDefault="00000000">
      <w:pPr>
        <w:keepLines/>
        <w:tabs>
          <w:tab w:val="right" w:pos="8208"/>
        </w:tabs>
        <w:spacing w:before="80"/>
        <w:jc w:val="both"/>
      </w:pPr>
      <m:oMath>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e>
        </m:d>
        <m:r>
          <w:rPr>
            <w:rFonts w:ascii="Cambria Math" w:hAnsi="Cambria Math"/>
          </w:rPr>
          <m:t>B</m:t>
        </m:r>
        <m:r>
          <m:rPr>
            <m:sty m:val="p"/>
          </m:rPr>
          <w:rPr>
            <w:rFonts w:ascii="Cambria Math" w:hAnsi="Cambria Math"/>
          </w:rPr>
          <m:t>=</m:t>
        </m:r>
        <m:d>
          <m:dPr>
            <m:begChr m:val="["/>
            <m:endChr m:val="]"/>
            <m:ctrlPr>
              <w:rPr>
                <w:rFonts w:ascii="Cambria Math" w:hAnsi="Cambria Math"/>
              </w:rPr>
            </m:ctrlPr>
          </m:dPr>
          <m:e>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m:t>
                    </m:r>
                  </m:sub>
                </m:sSub>
              </m:e>
            </m:d>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m:t>
                </m:r>
              </m:sub>
            </m:sSub>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λ</m:t>
                </m:r>
              </m:e>
            </m:d>
          </m:e>
        </m:d>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D</m:t>
                </m:r>
                <m:r>
                  <m:rPr>
                    <m:sty m:val="p"/>
                  </m:rPr>
                  <w:rPr>
                    <w:rFonts w:ascii="Cambria Math" w:hAnsi="Cambria Math"/>
                  </w:rPr>
                  <m:t>,</m:t>
                </m:r>
                <m:r>
                  <w:rPr>
                    <w:rFonts w:ascii="Cambria Math" w:hAnsi="Cambria Math"/>
                  </w:rPr>
                  <m:t>t</m:t>
                </m:r>
              </m:sub>
            </m:sSub>
          </m:e>
        </m:d>
        <m:r>
          <w:rPr>
            <w:rFonts w:ascii="Cambria Math" w:hAnsi="Cambria Math"/>
          </w:rPr>
          <m:t>B</m:t>
        </m:r>
        <m:r>
          <m:rPr>
            <m:sty m:val="p"/>
          </m:rPr>
          <w:rPr>
            <w:rFonts w:ascii="Cambria Math" w:hAnsi="Cambria Math"/>
          </w:rPr>
          <m:t>.</m:t>
        </m:r>
      </m:oMath>
      <w:r>
        <w:rPr>
          <w:rFonts w:eastAsia="Arial"/>
        </w:rPr>
        <w:tab/>
        <w:t>(7)</w:t>
      </w:r>
    </w:p>
    <w:p w14:paraId="4CF60CD9" w14:textId="77777777" w:rsidR="004B5E95" w:rsidRDefault="00000000">
      <w:pPr>
        <w:jc w:val="both"/>
      </w:pPr>
      <w:r>
        <w:rPr>
          <w:rFonts w:eastAsia="Arial"/>
        </w:rPr>
        <w:t>Therefore:</w:t>
      </w:r>
    </w:p>
    <w:p w14:paraId="1657C90F" w14:textId="77777777" w:rsidR="004B5E95" w:rsidRDefault="00000000">
      <w:pPr>
        <w:keepLines/>
        <w:tabs>
          <w:tab w:val="right" w:pos="8208"/>
        </w:tabs>
        <w:spacing w:before="80"/>
        <w:jc w:val="both"/>
      </w:pPr>
      <m:oMath>
        <m:sSub>
          <m:sSubPr>
            <m:ctrlPr>
              <w:rPr>
                <w:rFonts w:ascii="Cambria Math" w:hAnsi="Cambria Math"/>
              </w:rPr>
            </m:ctrlPr>
          </m:sSubPr>
          <m:e>
            <m:r>
              <w:rPr>
                <w:rFonts w:ascii="Cambria Math" w:hAnsi="Cambria Math"/>
              </w:rPr>
              <m:t>r</m:t>
            </m:r>
          </m:e>
          <m:sub>
            <m:r>
              <w:rPr>
                <w:rFonts w:ascii="Cambria Math" w:hAnsi="Cambria Math"/>
              </w:rPr>
              <m:t>D</m:t>
            </m:r>
            <m:r>
              <m:rPr>
                <m:sty m:val="p"/>
              </m:rPr>
              <w:rPr>
                <w:rFonts w:ascii="Cambria Math" w:hAnsi="Cambria Math"/>
              </w:rPr>
              <m:t>,</m:t>
            </m:r>
            <m:r>
              <w:rPr>
                <w:rFonts w:ascii="Cambria Math" w:hAnsi="Cambria Math"/>
              </w:rPr>
              <m:t>t</m:t>
            </m:r>
          </m:sub>
        </m:sSub>
        <m:r>
          <m:rPr>
            <m:sty m:val="p"/>
          </m:rPr>
          <w:rPr>
            <w:rFonts w:ascii="Cambria Math" w:hAnsi="Cambria Math"/>
          </w:rPr>
          <m:t>=</m:t>
        </m:r>
        <m:f>
          <m:fPr>
            <m:ctrlPr>
              <w:rPr>
                <w:rFonts w:ascii="Cambria Math" w:hAnsi="Cambria Math"/>
              </w:rPr>
            </m:ctrlPr>
          </m:fPr>
          <m:num>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num>
          <m:den>
            <m:r>
              <w:rPr>
                <w:rFonts w:ascii="Cambria Math" w:hAnsi="Cambria Math"/>
              </w:rPr>
              <m:t>1</m:t>
            </m:r>
            <m:r>
              <m:rPr>
                <m:sty m:val="p"/>
              </m:rPr>
              <w:rPr>
                <w:rFonts w:ascii="Cambria Math" w:hAnsi="Cambria Math"/>
              </w:rPr>
              <m:t>-</m:t>
            </m:r>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t</m:t>
                </m:r>
              </m:sub>
            </m:sSub>
          </m:den>
        </m:f>
        <m:r>
          <m:rPr>
            <m:sty m:val="p"/>
          </m:rPr>
          <w:rPr>
            <w:rFonts w:ascii="Cambria Math" w:hAnsi="Cambria Math"/>
          </w:rPr>
          <m:t>-</m:t>
        </m:r>
        <m:r>
          <w:rPr>
            <w:rFonts w:ascii="Cambria Math" w:hAnsi="Cambria Math"/>
          </w:rPr>
          <m:t>1</m:t>
        </m:r>
        <m:r>
          <m:rPr>
            <m:sty m:val="p"/>
          </m:rPr>
          <w:rPr>
            <w:rFonts w:ascii="Cambria Math" w:hAnsi="Cambria Math"/>
          </w:rPr>
          <m:t>.</m:t>
        </m:r>
      </m:oMath>
      <w:r>
        <w:rPr>
          <w:rFonts w:eastAsia="Arial"/>
        </w:rPr>
        <w:tab/>
        <w:t>(8)</w:t>
      </w:r>
    </w:p>
    <w:p w14:paraId="40C91153" w14:textId="77777777" w:rsidR="004B5E95" w:rsidRDefault="00000000">
      <w:pPr>
        <w:jc w:val="both"/>
      </w:pPr>
      <w:r>
        <w:rPr>
          <w:rFonts w:eastAsia="Arial"/>
        </w:rPr>
        <w:t xml:space="preserve">Define the artificial intelligence verification </w:t>
      </w:r>
      <w:proofErr w:type="gramStart"/>
      <w:r>
        <w:rPr>
          <w:rFonts w:eastAsia="Arial"/>
        </w:rPr>
        <w:t>premium  as</w:t>
      </w:r>
      <w:proofErr w:type="gramEnd"/>
      <w:r>
        <w:rPr>
          <w:rFonts w:eastAsia="Arial"/>
        </w:rPr>
        <w:t xml:space="preserve"> the model-implied component of the risky borrowing spread above the risk-free rate that is attributable to the priced AI-relevant adverse-state channel:</w:t>
      </w:r>
    </w:p>
    <w:p w14:paraId="7CAA84ED" w14:textId="77777777" w:rsidR="004B5E95" w:rsidRDefault="00000000">
      <w:pPr>
        <w:keepLines/>
        <w:tabs>
          <w:tab w:val="right" w:pos="8208"/>
        </w:tabs>
        <w:spacing w:before="80"/>
        <w:jc w:val="both"/>
      </w:pPr>
      <m:oMath>
        <m:sSub>
          <m:sSubPr>
            <m:ctrlPr>
              <w:rPr>
                <w:rFonts w:ascii="Cambria Math" w:hAnsi="Cambria Math"/>
              </w:rPr>
            </m:ctrlPr>
          </m:sSubPr>
          <m:e>
            <m:r>
              <w:rPr>
                <w:rFonts w:ascii="Cambria Math" w:hAnsi="Cambria Math"/>
              </w:rPr>
              <m:t>s</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D</m:t>
            </m:r>
            <m:r>
              <m:rPr>
                <m:sty m:val="p"/>
              </m:rPr>
              <w:rPr>
                <w:rFonts w:ascii="Cambria Math" w:hAnsi="Cambria Math"/>
              </w:rPr>
              <m:t>,</m:t>
            </m:r>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e>
        </m:d>
        <m:f>
          <m:fPr>
            <m:ctrlPr>
              <w:rPr>
                <w:rFonts w:ascii="Cambria Math" w:hAnsi="Cambria Math"/>
              </w:rPr>
            </m:ctrlPr>
          </m:fPr>
          <m:num>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t</m:t>
                </m:r>
              </m:sub>
            </m:sSub>
          </m:num>
          <m:den>
            <m:r>
              <w:rPr>
                <w:rFonts w:ascii="Cambria Math" w:hAnsi="Cambria Math"/>
              </w:rPr>
              <m:t>1</m:t>
            </m:r>
            <m:r>
              <m:rPr>
                <m:sty m:val="p"/>
              </m:rPr>
              <w:rPr>
                <w:rFonts w:ascii="Cambria Math" w:hAnsi="Cambria Math"/>
              </w:rPr>
              <m:t>-</m:t>
            </m:r>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t</m:t>
                </m:r>
              </m:sub>
            </m:sSub>
          </m:den>
        </m:f>
        <m:r>
          <m:rPr>
            <m:sty m:val="p"/>
          </m:rPr>
          <w:rPr>
            <w:rFonts w:ascii="Cambria Math" w:hAnsi="Cambria Math"/>
          </w:rPr>
          <m:t>.</m:t>
        </m:r>
      </m:oMath>
      <w:r>
        <w:rPr>
          <w:rFonts w:eastAsia="Arial"/>
        </w:rPr>
        <w:tab/>
        <w:t>(9)</w:t>
      </w:r>
    </w:p>
    <w:p w14:paraId="34BA67E4" w14:textId="77777777" w:rsidR="004B5E95" w:rsidRDefault="00000000">
      <w:pPr>
        <w:jc w:val="both"/>
      </w:pPr>
      <w:r>
        <w:rPr>
          <w:rFonts w:eastAsia="Arial"/>
        </w:rPr>
        <w:t>Differentiating gives:</w:t>
      </w:r>
    </w:p>
    <w:p w14:paraId="6E306FF7" w14:textId="77777777" w:rsidR="004B5E95" w:rsidRDefault="00000000">
      <w:pPr>
        <w:keepLines/>
        <w:tabs>
          <w:tab w:val="right" w:pos="8208"/>
        </w:tabs>
        <w:spacing w:before="80"/>
        <w:jc w:val="both"/>
      </w:pPr>
      <m:oMath>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t</m:t>
                </m:r>
              </m:sub>
            </m:sSub>
          </m:num>
          <m:den>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m:t>
                </m:r>
              </m:sub>
            </m:sSub>
          </m:den>
        </m:f>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e>
            </m:d>
            <m:r>
              <w:rPr>
                <w:rFonts w:ascii="Cambria Math" w:hAnsi="Cambria Math"/>
              </w:rPr>
              <m:t>λ</m:t>
            </m:r>
          </m:num>
          <m:den>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t</m:t>
                        </m:r>
                      </m:sub>
                    </m:sSub>
                  </m:e>
                </m:d>
              </m:e>
              <m:sup>
                <m:r>
                  <w:rPr>
                    <w:rFonts w:ascii="Cambria Math" w:hAnsi="Cambria Math"/>
                  </w:rPr>
                  <m:t>2</m:t>
                </m:r>
              </m:sup>
            </m:sSup>
          </m:den>
        </m:f>
        <m:r>
          <m:rPr>
            <m:sty m:val="p"/>
          </m:rPr>
          <w:rPr>
            <w:rFonts w:ascii="Cambria Math" w:hAnsi="Cambria Math"/>
          </w:rPr>
          <m:t>&gt;</m:t>
        </m:r>
        <m:r>
          <w:rPr>
            <w:rFonts w:ascii="Cambria Math" w:hAnsi="Cambria Math"/>
          </w:rPr>
          <m:t>0</m:t>
        </m:r>
        <m:r>
          <m:rPr>
            <m:sty m:val="p"/>
          </m:rPr>
          <w:rPr>
            <w:rFonts w:ascii="Cambria Math" w:hAnsi="Cambria Math"/>
          </w:rPr>
          <m:t>,</m:t>
        </m:r>
        <m:r>
          <w:rPr>
            <w:rFonts w:ascii="Cambria Math" w:hAnsi="Cambria Math"/>
          </w:rPr>
          <m:t>  </m:t>
        </m:r>
        <m:f>
          <m:fPr>
            <m:ctrlPr>
              <w:rPr>
                <w:rFonts w:ascii="Cambria Math" w:hAnsi="Cambria Math"/>
              </w:rPr>
            </m:ctrlPr>
          </m:fPr>
          <m:num>
            <m:sSup>
              <m:sSupPr>
                <m:ctrlPr>
                  <w:rPr>
                    <w:rFonts w:ascii="Cambria Math" w:hAnsi="Cambria Math"/>
                  </w:rPr>
                </m:ctrlPr>
              </m:sSupPr>
              <m:e>
                <m:r>
                  <m:rPr>
                    <m:sty m:val="p"/>
                  </m:rPr>
                  <w:rPr>
                    <w:rFonts w:ascii="Cambria Math" w:hAnsi="Cambria Math"/>
                  </w:rPr>
                  <m:t>∂</m:t>
                </m:r>
              </m:e>
              <m:sup>
                <m:r>
                  <w:rPr>
                    <w:rFonts w:ascii="Cambria Math" w:hAnsi="Cambria Math"/>
                  </w:rPr>
                  <m:t>2</m:t>
                </m:r>
              </m:sup>
            </m:sSup>
            <m:sSub>
              <m:sSubPr>
                <m:ctrlPr>
                  <w:rPr>
                    <w:rFonts w:ascii="Cambria Math" w:hAnsi="Cambria Math"/>
                  </w:rPr>
                </m:ctrlPr>
              </m:sSubPr>
              <m:e>
                <m:r>
                  <w:rPr>
                    <w:rFonts w:ascii="Cambria Math" w:hAnsi="Cambria Math"/>
                  </w:rPr>
                  <m:t>s</m:t>
                </m:r>
              </m:e>
              <m:sub>
                <m:r>
                  <w:rPr>
                    <w:rFonts w:ascii="Cambria Math" w:hAnsi="Cambria Math"/>
                  </w:rPr>
                  <m:t>t</m:t>
                </m:r>
              </m:sub>
            </m:sSub>
          </m:num>
          <m:den>
            <m:r>
              <m:rPr>
                <m:sty m:val="p"/>
              </m:rPr>
              <w:rPr>
                <w:rFonts w:ascii="Cambria Math" w:hAnsi="Cambria Math"/>
              </w:rPr>
              <m:t>∂</m:t>
            </m:r>
            <m:sSubSup>
              <m:sSubSupPr>
                <m:ctrlPr>
                  <w:rPr>
                    <w:rFonts w:ascii="Cambria Math" w:hAnsi="Cambria Math"/>
                  </w:rPr>
                </m:ctrlPr>
              </m:sSubSupPr>
              <m:e>
                <m:r>
                  <w:rPr>
                    <w:rFonts w:ascii="Cambria Math" w:hAnsi="Cambria Math"/>
                  </w:rPr>
                  <m:t>p</m:t>
                </m:r>
              </m:e>
              <m:sub>
                <m:r>
                  <w:rPr>
                    <w:rFonts w:ascii="Cambria Math" w:hAnsi="Cambria Math"/>
                  </w:rPr>
                  <m:t>t</m:t>
                </m:r>
              </m:sub>
              <m:sup>
                <m:r>
                  <w:rPr>
                    <w:rFonts w:ascii="Cambria Math" w:hAnsi="Cambria Math"/>
                  </w:rPr>
                  <m:t>2</m:t>
                </m:r>
              </m:sup>
            </m:sSubSup>
          </m:den>
        </m:f>
        <m:r>
          <m:rPr>
            <m:sty m:val="p"/>
          </m:rPr>
          <w:rPr>
            <w:rFonts w:ascii="Cambria Math" w:hAnsi="Cambria Math"/>
          </w:rPr>
          <m:t>=</m:t>
        </m:r>
        <m:f>
          <m:fPr>
            <m:ctrlPr>
              <w:rPr>
                <w:rFonts w:ascii="Cambria Math" w:hAnsi="Cambria Math"/>
              </w:rPr>
            </m:ctrlPr>
          </m:fPr>
          <m:num>
            <m:r>
              <w:rPr>
                <w:rFonts w:ascii="Cambria Math" w:hAnsi="Cambria Math"/>
              </w:rPr>
              <m:t>2</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e>
            </m:d>
            <m:sSup>
              <m:sSupPr>
                <m:ctrlPr>
                  <w:rPr>
                    <w:rFonts w:ascii="Cambria Math" w:hAnsi="Cambria Math"/>
                  </w:rPr>
                </m:ctrlPr>
              </m:sSupPr>
              <m:e>
                <m:r>
                  <w:rPr>
                    <w:rFonts w:ascii="Cambria Math" w:hAnsi="Cambria Math"/>
                  </w:rPr>
                  <m:t>λ</m:t>
                </m:r>
              </m:e>
              <m:sup>
                <m:r>
                  <w:rPr>
                    <w:rFonts w:ascii="Cambria Math" w:hAnsi="Cambria Math"/>
                  </w:rPr>
                  <m:t>2</m:t>
                </m:r>
              </m:sup>
            </m:sSup>
          </m:num>
          <m:den>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t</m:t>
                        </m:r>
                      </m:sub>
                    </m:sSub>
                  </m:e>
                </m:d>
              </m:e>
              <m:sup>
                <m:r>
                  <w:rPr>
                    <w:rFonts w:ascii="Cambria Math" w:hAnsi="Cambria Math"/>
                  </w:rPr>
                  <m:t>3</m:t>
                </m:r>
              </m:sup>
            </m:sSup>
          </m:den>
        </m:f>
        <m:r>
          <m:rPr>
            <m:sty m:val="p"/>
          </m:rPr>
          <w:rPr>
            <w:rFonts w:ascii="Cambria Math" w:hAnsi="Cambria Math"/>
          </w:rPr>
          <m:t>&gt;</m:t>
        </m:r>
        <m:r>
          <w:rPr>
            <w:rFonts w:ascii="Cambria Math" w:hAnsi="Cambria Math"/>
          </w:rPr>
          <m:t>0</m:t>
        </m:r>
        <m:r>
          <m:rPr>
            <m:sty m:val="p"/>
          </m:rPr>
          <w:rPr>
            <w:rFonts w:ascii="Cambria Math" w:hAnsi="Cambria Math"/>
          </w:rPr>
          <m:t>.</m:t>
        </m:r>
      </m:oMath>
      <w:r>
        <w:rPr>
          <w:rFonts w:eastAsia="Arial"/>
        </w:rPr>
        <w:tab/>
        <w:t>(10)</w:t>
      </w:r>
    </w:p>
    <w:p w14:paraId="53444446" w14:textId="77777777" w:rsidR="004B5E95" w:rsidRDefault="00000000">
      <w:pPr>
        <w:jc w:val="both"/>
      </w:pPr>
      <w:r>
        <w:rPr>
          <w:rFonts w:eastAsia="Arial"/>
        </w:rPr>
        <w:t>Equation (10) proves Proposition 1. The financing penalty accelerates as the priced adverse-state probability rises. The quantity should not be interpreted as an all-in observed credit spread: actual borrowing rates also reflect conventional default risk, maturity, liquidity, collateral, covenants, taxes, relationship banking, and other factors omitted from the model.</w:t>
      </w:r>
    </w:p>
    <w:p w14:paraId="7CFC20D8" w14:textId="77777777" w:rsidR="004B5E95" w:rsidRDefault="00000000">
      <w:pPr>
        <w:keepNext/>
        <w:spacing w:before="120" w:after="60"/>
      </w:pPr>
      <w:bookmarkStart w:id="16" w:name="verification-thresholds"/>
      <w:bookmarkEnd w:id="15"/>
      <w:r>
        <w:rPr>
          <w:rFonts w:eastAsia="Arial"/>
          <w:b/>
          <w:sz w:val="22"/>
        </w:rPr>
        <w:lastRenderedPageBreak/>
        <w:t>3.8 Verification thresholds</w:t>
      </w:r>
    </w:p>
    <w:p w14:paraId="6F85027D" w14:textId="77777777" w:rsidR="004B5E95" w:rsidRDefault="00000000">
      <w:pPr>
        <w:jc w:val="both"/>
      </w:pPr>
      <w:r>
        <w:rPr>
          <w:rFonts w:eastAsia="Arial"/>
        </w:rPr>
        <w:t xml:space="preserve">From Equations (5) and (6), holding </w:t>
      </w:r>
      <m:oMath>
        <m:sSub>
          <m:sSubPr>
            <m:ctrlPr>
              <w:rPr>
                <w:rFonts w:ascii="Cambria Math" w:hAnsi="Cambria Math"/>
              </w:rPr>
            </m:ctrlPr>
          </m:sSubPr>
          <m:e>
            <m:r>
              <w:rPr>
                <w:rFonts w:ascii="Cambria Math" w:hAnsi="Cambria Math"/>
              </w:rPr>
              <m:t>q</m:t>
            </m:r>
          </m:e>
          <m:sub>
            <m:r>
              <w:rPr>
                <w:rFonts w:ascii="Cambria Math" w:hAnsi="Cambria Math"/>
              </w:rPr>
              <m:t>t</m:t>
            </m:r>
          </m:sub>
        </m:sSub>
      </m:oMath>
      <w:r>
        <w:rPr>
          <w:rFonts w:eastAsia="Arial"/>
        </w:rPr>
        <w:t xml:space="preserve">, </w:t>
      </w:r>
      <m:oMath>
        <m:sSub>
          <m:sSubPr>
            <m:ctrlPr>
              <w:rPr>
                <w:rFonts w:ascii="Cambria Math" w:hAnsi="Cambria Math"/>
              </w:rPr>
            </m:ctrlPr>
          </m:sSubPr>
          <m:e>
            <m:r>
              <w:rPr>
                <w:rFonts w:ascii="Cambria Math" w:hAnsi="Cambria Math"/>
              </w:rPr>
              <m:t>u</m:t>
            </m:r>
          </m:e>
          <m:sub>
            <m:r>
              <w:rPr>
                <w:rFonts w:ascii="Cambria Math" w:hAnsi="Cambria Math"/>
              </w:rPr>
              <m:t>t</m:t>
            </m:r>
          </m:sub>
        </m:sSub>
      </m:oMath>
      <w:r>
        <w:rPr>
          <w:rFonts w:eastAsia="Arial"/>
        </w:rPr>
        <w:t xml:space="preserve">, and </w:t>
      </w:r>
      <m:oMath>
        <m:sSub>
          <m:sSubPr>
            <m:ctrlPr>
              <w:rPr>
                <w:rFonts w:ascii="Cambria Math" w:hAnsi="Cambria Math"/>
              </w:rPr>
            </m:ctrlPr>
          </m:sSubPr>
          <m:e>
            <m:r>
              <w:rPr>
                <w:rFonts w:ascii="Cambria Math" w:hAnsi="Cambria Math"/>
              </w:rPr>
              <m:t>h</m:t>
            </m:r>
          </m:e>
          <m:sub>
            <m:r>
              <w:rPr>
                <w:rFonts w:ascii="Cambria Math" w:hAnsi="Cambria Math"/>
              </w:rPr>
              <m:t>t</m:t>
            </m:r>
          </m:sub>
        </m:sSub>
      </m:oMath>
      <w:r>
        <w:rPr>
          <w:rFonts w:eastAsia="Arial"/>
        </w:rPr>
        <w:t xml:space="preserve"> constant:</w:t>
      </w:r>
    </w:p>
    <w:p w14:paraId="5CBD77B6" w14:textId="77777777" w:rsidR="004B5E95" w:rsidRDefault="00000000">
      <w:pPr>
        <w:keepLines/>
        <w:tabs>
          <w:tab w:val="right" w:pos="8208"/>
        </w:tabs>
        <w:spacing w:before="80"/>
        <w:jc w:val="both"/>
      </w:pPr>
      <m:oMath>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m:t>
                </m:r>
              </m:sub>
            </m:sSub>
          </m:num>
          <m:den>
            <m:r>
              <m:rPr>
                <m:sty m:val="p"/>
              </m:rPr>
              <w:rPr>
                <w:rFonts w:ascii="Cambria Math" w:hAnsi="Cambria Math"/>
              </w:rPr>
              <m:t>∂</m:t>
            </m:r>
            <m:r>
              <w:rPr>
                <w:rFonts w:ascii="Cambria Math" w:hAnsi="Cambria Math"/>
              </w:rPr>
              <m:t>a</m:t>
            </m:r>
          </m:den>
        </m:f>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m:t>
            </m:r>
          </m:sub>
        </m:sSub>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m:t>
                </m:r>
              </m:sub>
            </m:sSub>
          </m:e>
        </m:d>
        <m:d>
          <m:dPr>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av</m:t>
                </m:r>
              </m:sub>
            </m:sSub>
            <m:r>
              <w:rPr>
                <w:rFonts w:ascii="Cambria Math" w:hAnsi="Cambria Math"/>
              </w:rPr>
              <m:t>v</m:t>
            </m:r>
          </m:e>
        </m:d>
        <m:r>
          <m:rPr>
            <m:sty m:val="p"/>
          </m:rPr>
          <w:rPr>
            <w:rFonts w:ascii="Cambria Math" w:hAnsi="Cambria Math"/>
          </w:rPr>
          <m:t>.</m:t>
        </m:r>
      </m:oMath>
      <w:r>
        <w:rPr>
          <w:rFonts w:eastAsia="Arial"/>
        </w:rPr>
        <w:tab/>
        <w:t>(11)</w:t>
      </w:r>
    </w:p>
    <w:p w14:paraId="6BA65629" w14:textId="77777777" w:rsidR="004B5E95" w:rsidRDefault="00000000">
      <w:pPr>
        <w:jc w:val="both"/>
      </w:pPr>
      <w:r>
        <w:rPr>
          <w:rFonts w:eastAsia="Arial"/>
        </w:rPr>
        <w:t>Hence the direct-risk threshold is:</w:t>
      </w:r>
    </w:p>
    <w:p w14:paraId="674442F3" w14:textId="77777777" w:rsidR="004B5E95" w:rsidRDefault="00000000">
      <w:pPr>
        <w:keepLines/>
        <w:tabs>
          <w:tab w:val="right" w:pos="8208"/>
        </w:tabs>
        <w:spacing w:before="80"/>
        <w:jc w:val="both"/>
      </w:pPr>
      <m:oMath>
        <m:sSubSup>
          <m:sSubSupPr>
            <m:ctrlPr>
              <w:rPr>
                <w:rFonts w:ascii="Cambria Math" w:hAnsi="Cambria Math"/>
              </w:rPr>
            </m:ctrlPr>
          </m:sSubSupPr>
          <m:e>
            <m:r>
              <w:rPr>
                <w:rFonts w:ascii="Cambria Math" w:hAnsi="Cambria Math"/>
              </w:rPr>
              <m:t>v</m:t>
            </m:r>
          </m:e>
          <m:sub>
            <m:r>
              <w:rPr>
                <w:rFonts w:ascii="Cambria Math" w:hAnsi="Cambria Math"/>
              </w:rPr>
              <m:t>p</m:t>
            </m:r>
          </m:sub>
          <m:sup>
            <m:r>
              <m:rPr>
                <m:sty m:val="p"/>
              </m:rPr>
              <w:rPr>
                <w:rFonts w:ascii="Cambria Math" w:hAnsi="Cambria Math"/>
              </w:rPr>
              <m:t>crit</m:t>
            </m:r>
          </m:sup>
        </m:sSubSup>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θ</m:t>
                </m:r>
              </m:e>
              <m:sub>
                <m:r>
                  <w:rPr>
                    <w:rFonts w:ascii="Cambria Math" w:hAnsi="Cambria Math"/>
                  </w:rPr>
                  <m:t>a</m:t>
                </m:r>
              </m:sub>
            </m:sSub>
          </m:num>
          <m:den>
            <m:sSub>
              <m:sSubPr>
                <m:ctrlPr>
                  <w:rPr>
                    <w:rFonts w:ascii="Cambria Math" w:hAnsi="Cambria Math"/>
                  </w:rPr>
                </m:ctrlPr>
              </m:sSubPr>
              <m:e>
                <m:r>
                  <w:rPr>
                    <w:rFonts w:ascii="Cambria Math" w:hAnsi="Cambria Math"/>
                  </w:rPr>
                  <m:t>θ</m:t>
                </m:r>
              </m:e>
              <m:sub>
                <m:r>
                  <w:rPr>
                    <w:rFonts w:ascii="Cambria Math" w:hAnsi="Cambria Math"/>
                  </w:rPr>
                  <m:t>av</m:t>
                </m:r>
              </m:sub>
            </m:sSub>
          </m:den>
        </m:f>
        <m:r>
          <m:rPr>
            <m:sty m:val="p"/>
          </m:rPr>
          <w:rPr>
            <w:rFonts w:ascii="Cambria Math" w:hAnsi="Cambria Math"/>
          </w:rPr>
          <m:t>.</m:t>
        </m:r>
      </m:oMath>
      <w:r>
        <w:rPr>
          <w:rFonts w:eastAsia="Arial"/>
        </w:rPr>
        <w:tab/>
        <w:t>(12)</w:t>
      </w:r>
    </w:p>
    <w:p w14:paraId="40C95F63" w14:textId="77777777" w:rsidR="004B5E95" w:rsidRDefault="00000000">
      <w:pPr>
        <w:jc w:val="both"/>
      </w:pPr>
      <w:r>
        <w:rPr>
          <w:rFonts w:eastAsia="Arial"/>
        </w:rPr>
        <w:t xml:space="preserve">When </w:t>
      </w:r>
      <m:oMath>
        <m:r>
          <w:rPr>
            <w:rFonts w:ascii="Cambria Math" w:hAnsi="Cambria Math"/>
          </w:rPr>
          <m:t>v</m:t>
        </m:r>
        <m:r>
          <m:rPr>
            <m:sty m:val="p"/>
          </m:rPr>
          <w:rPr>
            <w:rFonts w:ascii="Cambria Math" w:hAnsi="Cambria Math"/>
          </w:rPr>
          <m:t>&gt;</m:t>
        </m:r>
        <m:sSubSup>
          <m:sSubSupPr>
            <m:ctrlPr>
              <w:rPr>
                <w:rFonts w:ascii="Cambria Math" w:hAnsi="Cambria Math"/>
              </w:rPr>
            </m:ctrlPr>
          </m:sSubSupPr>
          <m:e>
            <m:r>
              <w:rPr>
                <w:rFonts w:ascii="Cambria Math" w:hAnsi="Cambria Math"/>
              </w:rPr>
              <m:t>v</m:t>
            </m:r>
          </m:e>
          <m:sub>
            <m:r>
              <w:rPr>
                <w:rFonts w:ascii="Cambria Math" w:hAnsi="Cambria Math"/>
              </w:rPr>
              <m:t>p</m:t>
            </m:r>
          </m:sub>
          <m:sup>
            <m:r>
              <m:rPr>
                <m:sty m:val="p"/>
              </m:rPr>
              <w:rPr>
                <w:rFonts w:ascii="Cambria Math" w:hAnsi="Cambria Math"/>
              </w:rPr>
              <m:t>crit</m:t>
            </m:r>
          </m:sup>
        </m:sSubSup>
      </m:oMath>
      <w:r>
        <w:rPr>
          <w:rFonts w:eastAsia="Arial"/>
        </w:rPr>
        <w:t xml:space="preserve">, an incremental increase in automation reduces contemporaneous risk in the model because assurance-enabled deployment more than offsets the direct automation-risk term. Under the baseline coefficients, </w:t>
      </w:r>
      <m:oMath>
        <m:sSubSup>
          <m:sSubSupPr>
            <m:ctrlPr>
              <w:rPr>
                <w:rFonts w:ascii="Cambria Math" w:hAnsi="Cambria Math"/>
              </w:rPr>
            </m:ctrlPr>
          </m:sSubSupPr>
          <m:e>
            <m:r>
              <w:rPr>
                <w:rFonts w:ascii="Cambria Math" w:hAnsi="Cambria Math"/>
              </w:rPr>
              <m:t>v</m:t>
            </m:r>
          </m:e>
          <m:sub>
            <m:r>
              <w:rPr>
                <w:rFonts w:ascii="Cambria Math" w:hAnsi="Cambria Math"/>
              </w:rPr>
              <m:t>p</m:t>
            </m:r>
          </m:sub>
          <m:sup>
            <m:r>
              <m:rPr>
                <m:sty m:val="p"/>
              </m:rPr>
              <w:rPr>
                <w:rFonts w:ascii="Cambria Math" w:hAnsi="Cambria Math"/>
              </w:rPr>
              <m:t>crit</m:t>
            </m:r>
          </m:sup>
        </m:sSubSup>
        <m:r>
          <m:rPr>
            <m:sty m:val="p"/>
          </m:rPr>
          <w:rPr>
            <w:rFonts w:ascii="Cambria Math" w:hAnsi="Cambria Math"/>
          </w:rPr>
          <m:t>=</m:t>
        </m:r>
        <m:r>
          <w:rPr>
            <w:rFonts w:ascii="Cambria Math" w:hAnsi="Cambria Math"/>
          </w:rPr>
          <m:t>1.40</m:t>
        </m:r>
        <m:r>
          <m:rPr>
            <m:sty m:val="p"/>
          </m:rPr>
          <w:rPr>
            <w:rFonts w:ascii="Cambria Math" w:hAnsi="Cambria Math"/>
          </w:rPr>
          <m:t>/</m:t>
        </m:r>
        <m:r>
          <w:rPr>
            <w:rFonts w:ascii="Cambria Math" w:hAnsi="Cambria Math"/>
          </w:rPr>
          <m:t>2.60</m:t>
        </m:r>
        <m:r>
          <m:rPr>
            <m:sty m:val="p"/>
          </m:rPr>
          <w:rPr>
            <w:rFonts w:ascii="Cambria Math" w:hAnsi="Cambria Math"/>
          </w:rPr>
          <m:t>=</m:t>
        </m:r>
        <m:r>
          <w:rPr>
            <w:rFonts w:ascii="Cambria Math" w:hAnsi="Cambria Math"/>
          </w:rPr>
          <m:t>0.538</m:t>
        </m:r>
      </m:oMath>
      <w:r>
        <w:rPr>
          <w:rFonts w:eastAsia="Arial"/>
        </w:rPr>
        <w:t>.</w:t>
      </w:r>
    </w:p>
    <w:p w14:paraId="085D1D27" w14:textId="77777777" w:rsidR="004B5E95" w:rsidRDefault="00000000">
      <w:pPr>
        <w:jc w:val="both"/>
      </w:pPr>
      <w:r>
        <w:rPr>
          <w:rFonts w:eastAsia="Arial"/>
        </w:rPr>
        <w:t xml:space="preserve">A separate condition controls new verification-debt creation. At </w:t>
      </w:r>
      <m:oMath>
        <m:sSub>
          <m:sSubPr>
            <m:ctrlPr>
              <w:rPr>
                <w:rFonts w:ascii="Cambria Math" w:hAnsi="Cambria Math"/>
              </w:rPr>
            </m:ctrlPr>
          </m:sSubPr>
          <m:e>
            <m:r>
              <w:rPr>
                <w:rFonts w:ascii="Cambria Math" w:hAnsi="Cambria Math"/>
              </w:rPr>
              <m:t>q</m:t>
            </m:r>
          </m:e>
          <m:sub>
            <m:r>
              <w:rPr>
                <w:rFonts w:ascii="Cambria Math" w:hAnsi="Cambria Math"/>
              </w:rPr>
              <m:t>t</m:t>
            </m:r>
          </m:sub>
        </m:sSub>
        <m:r>
          <m:rPr>
            <m:sty m:val="p"/>
          </m:rPr>
          <w:rPr>
            <w:rFonts w:ascii="Cambria Math" w:hAnsi="Cambria Math"/>
          </w:rPr>
          <m:t>=</m:t>
        </m:r>
        <m:r>
          <w:rPr>
            <w:rFonts w:ascii="Cambria Math" w:hAnsi="Cambria Math"/>
          </w:rPr>
          <m:t>0</m:t>
        </m:r>
      </m:oMath>
      <w:r>
        <w:rPr>
          <w:rFonts w:eastAsia="Arial"/>
        </w:rPr>
        <w:t>, Equation (3) produces no new debt when:</w:t>
      </w:r>
    </w:p>
    <w:p w14:paraId="77341FE1" w14:textId="77777777" w:rsidR="004B5E95" w:rsidRDefault="00000000">
      <w:pPr>
        <w:keepLines/>
        <w:tabs>
          <w:tab w:val="right" w:pos="8208"/>
        </w:tabs>
        <w:spacing w:before="80"/>
        <w:jc w:val="both"/>
      </w:pPr>
      <m:oMath>
        <m:r>
          <w:rPr>
            <w:rFonts w:ascii="Cambria Math" w:hAnsi="Cambria Math"/>
          </w:rPr>
          <m:t>ϕa</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v</m:t>
            </m:r>
          </m:e>
        </m:d>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t</m:t>
                </m:r>
              </m:sub>
            </m:sSub>
          </m:e>
        </m:d>
        <m:r>
          <m:rPr>
            <m:sty m:val="p"/>
          </m:rPr>
          <w:rPr>
            <w:rFonts w:ascii="Cambria Math" w:hAnsi="Cambria Math"/>
          </w:rPr>
          <m:t>≤</m:t>
        </m:r>
        <m:r>
          <w:rPr>
            <w:rFonts w:ascii="Cambria Math" w:hAnsi="Cambria Math"/>
          </w:rPr>
          <m:t>ψv</m:t>
        </m:r>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oMath>
      <w:r>
        <w:rPr>
          <w:rFonts w:eastAsia="Arial"/>
        </w:rPr>
        <w:tab/>
        <w:t>(13)</w:t>
      </w:r>
    </w:p>
    <w:p w14:paraId="25B7FC37" w14:textId="77777777" w:rsidR="004B5E95" w:rsidRDefault="00000000">
      <w:pPr>
        <w:jc w:val="both"/>
      </w:pPr>
      <w:r>
        <w:rPr>
          <w:rFonts w:eastAsia="Arial"/>
        </w:rPr>
        <w:t>Solving for verification yields:</w:t>
      </w:r>
    </w:p>
    <w:p w14:paraId="1E539F07" w14:textId="77777777" w:rsidR="004B5E95" w:rsidRDefault="00000000">
      <w:pPr>
        <w:keepLines/>
        <w:tabs>
          <w:tab w:val="right" w:pos="8208"/>
        </w:tabs>
        <w:spacing w:before="80"/>
        <w:jc w:val="both"/>
      </w:pPr>
      <m:oMath>
        <m:sSubSup>
          <m:sSubSupPr>
            <m:ctrlPr>
              <w:rPr>
                <w:rFonts w:ascii="Cambria Math" w:hAnsi="Cambria Math"/>
              </w:rPr>
            </m:ctrlPr>
          </m:sSubSupPr>
          <m:e>
            <m:r>
              <w:rPr>
                <w:rFonts w:ascii="Cambria Math" w:hAnsi="Cambria Math"/>
              </w:rPr>
              <m:t>v</m:t>
            </m:r>
          </m:e>
          <m:sub>
            <m:r>
              <w:rPr>
                <w:rFonts w:ascii="Cambria Math" w:hAnsi="Cambria Math"/>
              </w:rPr>
              <m:t>q</m:t>
            </m:r>
          </m:sub>
          <m:sup>
            <m:r>
              <m:rPr>
                <m:sty m:val="p"/>
              </m:rPr>
              <w:rPr>
                <w:rFonts w:ascii="Cambria Math" w:hAnsi="Cambria Math"/>
              </w:rPr>
              <m:t>crit</m:t>
            </m:r>
          </m:sup>
        </m:sSubSup>
        <m:d>
          <m:dPr>
            <m:ctrlPr>
              <w:rPr>
                <w:rFonts w:ascii="Cambria Math" w:hAnsi="Cambria Math"/>
              </w:rPr>
            </m:ctrlPr>
          </m:dPr>
          <m:e>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t</m:t>
                </m:r>
              </m:sub>
            </m:sSub>
          </m:e>
        </m:d>
        <m:r>
          <m:rPr>
            <m:sty m:val="p"/>
          </m:rPr>
          <w:rPr>
            <w:rFonts w:ascii="Cambria Math" w:hAnsi="Cambria Math"/>
          </w:rPr>
          <m:t>=</m:t>
        </m:r>
        <m:f>
          <m:fPr>
            <m:ctrlPr>
              <w:rPr>
                <w:rFonts w:ascii="Cambria Math" w:hAnsi="Cambria Math"/>
              </w:rPr>
            </m:ctrlPr>
          </m:fPr>
          <m:num>
            <m:r>
              <w:rPr>
                <w:rFonts w:ascii="Cambria Math" w:hAnsi="Cambria Math"/>
              </w:rPr>
              <m:t>ϕa</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t</m:t>
                    </m:r>
                  </m:sub>
                </m:sSub>
              </m:e>
            </m:d>
          </m:num>
          <m:den>
            <m:r>
              <w:rPr>
                <w:rFonts w:ascii="Cambria Math" w:hAnsi="Cambria Math"/>
              </w:rPr>
              <m:t>ψ</m:t>
            </m:r>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r>
              <w:rPr>
                <w:rFonts w:ascii="Cambria Math" w:hAnsi="Cambria Math"/>
              </w:rPr>
              <m:t>ϕa</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t</m:t>
                    </m:r>
                  </m:sub>
                </m:sSub>
              </m:e>
            </m:d>
          </m:den>
        </m:f>
        <m:r>
          <m:rPr>
            <m:sty m:val="p"/>
          </m:rPr>
          <w:rPr>
            <w:rFonts w:ascii="Cambria Math" w:hAnsi="Cambria Math"/>
          </w:rPr>
          <m:t>.</m:t>
        </m:r>
      </m:oMath>
      <w:r>
        <w:rPr>
          <w:rFonts w:eastAsia="Arial"/>
        </w:rPr>
        <w:tab/>
        <w:t>(14)</w:t>
      </w:r>
    </w:p>
    <w:p w14:paraId="0908893E" w14:textId="77777777" w:rsidR="004B5E95" w:rsidRDefault="00000000">
      <w:pPr>
        <w:jc w:val="both"/>
      </w:pPr>
      <w:r>
        <w:rPr>
          <w:rFonts w:eastAsia="Arial"/>
        </w:rPr>
        <w:t>A sufficient contemporaneous assurance condition is therefore:</w:t>
      </w:r>
    </w:p>
    <w:p w14:paraId="2785BDC2" w14:textId="77777777" w:rsidR="004B5E95" w:rsidRDefault="00000000">
      <w:pPr>
        <w:keepLines/>
        <w:tabs>
          <w:tab w:val="right" w:pos="8208"/>
        </w:tabs>
        <w:spacing w:before="80"/>
        <w:jc w:val="both"/>
      </w:pPr>
      <m:oMath>
        <m:r>
          <w:rPr>
            <w:rFonts w:ascii="Cambria Math" w:hAnsi="Cambria Math"/>
          </w:rPr>
          <m:t>v</m:t>
        </m:r>
        <m:r>
          <m:rPr>
            <m:sty m:val="p"/>
          </m:rPr>
          <w:rPr>
            <w:rFonts w:ascii="Cambria Math" w:hAnsi="Cambria Math"/>
          </w:rPr>
          <m:t>≥</m:t>
        </m:r>
        <m:sSubSup>
          <m:sSubSupPr>
            <m:ctrlPr>
              <w:rPr>
                <w:rFonts w:ascii="Cambria Math" w:hAnsi="Cambria Math"/>
              </w:rPr>
            </m:ctrlPr>
          </m:sSubSupPr>
          <m:e>
            <m:r>
              <w:rPr>
                <w:rFonts w:ascii="Cambria Math" w:hAnsi="Cambria Math"/>
              </w:rPr>
              <m:t>v</m:t>
            </m:r>
          </m:e>
          <m:sub>
            <m:r>
              <w:rPr>
                <w:rFonts w:ascii="Cambria Math" w:hAnsi="Cambria Math"/>
              </w:rPr>
              <m:t>A</m:t>
            </m:r>
          </m:sub>
          <m:sup>
            <m:r>
              <m:rPr>
                <m:sty m:val="p"/>
              </m:rPr>
              <w:rPr>
                <w:rFonts w:ascii="Cambria Math" w:hAnsi="Cambria Math"/>
              </w:rPr>
              <m:t>crit</m:t>
            </m:r>
          </m:sup>
        </m:sSubSup>
        <m:r>
          <m:rPr>
            <m:sty m:val="p"/>
          </m:rPr>
          <w:rPr>
            <w:rFonts w:ascii="Cambria Math" w:hAnsi="Cambria Math"/>
          </w:rPr>
          <m:t>=max</m:t>
        </m:r>
        <m:d>
          <m:dPr>
            <m:begChr m:val="{"/>
            <m:endChr m:val="}"/>
            <m:ctrlPr>
              <w:rPr>
                <w:rFonts w:ascii="Cambria Math" w:hAnsi="Cambria Math"/>
              </w:rPr>
            </m:ctrlPr>
          </m:dPr>
          <m:e>
            <m:sSubSup>
              <m:sSubSupPr>
                <m:ctrlPr>
                  <w:rPr>
                    <w:rFonts w:ascii="Cambria Math" w:hAnsi="Cambria Math"/>
                  </w:rPr>
                </m:ctrlPr>
              </m:sSubSupPr>
              <m:e>
                <m:r>
                  <w:rPr>
                    <w:rFonts w:ascii="Cambria Math" w:hAnsi="Cambria Math"/>
                  </w:rPr>
                  <m:t>v</m:t>
                </m:r>
              </m:e>
              <m:sub>
                <m:r>
                  <w:rPr>
                    <w:rFonts w:ascii="Cambria Math" w:hAnsi="Cambria Math"/>
                  </w:rPr>
                  <m:t>p</m:t>
                </m:r>
              </m:sub>
              <m:sup>
                <m:r>
                  <m:rPr>
                    <m:sty m:val="p"/>
                  </m:rPr>
                  <w:rPr>
                    <w:rFonts w:ascii="Cambria Math" w:hAnsi="Cambria Math"/>
                  </w:rPr>
                  <m:t>crit</m:t>
                </m:r>
              </m:sup>
            </m:sSubSup>
            <m:r>
              <m:rPr>
                <m:sty m:val="p"/>
              </m:rPr>
              <w:rPr>
                <w:rFonts w:ascii="Cambria Math" w:hAnsi="Cambria Math"/>
              </w:rPr>
              <m:t>,</m:t>
            </m:r>
            <m:sSubSup>
              <m:sSubSupPr>
                <m:ctrlPr>
                  <w:rPr>
                    <w:rFonts w:ascii="Cambria Math" w:hAnsi="Cambria Math"/>
                  </w:rPr>
                </m:ctrlPr>
              </m:sSubSupPr>
              <m:e>
                <m:r>
                  <w:rPr>
                    <w:rFonts w:ascii="Cambria Math" w:hAnsi="Cambria Math"/>
                  </w:rPr>
                  <m:t>v</m:t>
                </m:r>
              </m:e>
              <m:sub>
                <m:r>
                  <w:rPr>
                    <w:rFonts w:ascii="Cambria Math" w:hAnsi="Cambria Math"/>
                  </w:rPr>
                  <m:t>q</m:t>
                </m:r>
              </m:sub>
              <m:sup>
                <m:r>
                  <m:rPr>
                    <m:sty m:val="p"/>
                  </m:rPr>
                  <w:rPr>
                    <w:rFonts w:ascii="Cambria Math" w:hAnsi="Cambria Math"/>
                  </w:rPr>
                  <m:t>crit</m:t>
                </m:r>
              </m:sup>
            </m:sSubSup>
            <m:d>
              <m:dPr>
                <m:ctrlPr>
                  <w:rPr>
                    <w:rFonts w:ascii="Cambria Math" w:hAnsi="Cambria Math"/>
                  </w:rPr>
                </m:ctrlPr>
              </m:dPr>
              <m:e>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t</m:t>
                    </m:r>
                  </m:sub>
                </m:sSub>
              </m:e>
            </m:d>
          </m:e>
        </m:d>
        <m:r>
          <m:rPr>
            <m:sty m:val="p"/>
          </m:rPr>
          <w:rPr>
            <w:rFonts w:ascii="Cambria Math" w:hAnsi="Cambria Math"/>
          </w:rPr>
          <m:t>.</m:t>
        </m:r>
      </m:oMath>
      <w:r>
        <w:rPr>
          <w:rFonts w:eastAsia="Arial"/>
        </w:rPr>
        <w:tab/>
        <w:t>(15)</w:t>
      </w:r>
    </w:p>
    <w:p w14:paraId="50CD71B9" w14:textId="77777777" w:rsidR="004B5E95" w:rsidRDefault="00000000">
      <w:pPr>
        <w:jc w:val="both"/>
      </w:pPr>
      <w:r>
        <w:rPr>
          <w:rFonts w:eastAsia="Arial"/>
        </w:rPr>
        <w:t xml:space="preserve">This combined threshold does not guarantee global optimality because </w:t>
      </w:r>
      <w:r>
        <w:rPr>
          <w:rFonts w:eastAsia="Arial"/>
          <w:highlight w:val="yellow"/>
        </w:rPr>
        <w:t>verification has a direct cost</w:t>
      </w:r>
      <w:r>
        <w:rPr>
          <w:rFonts w:eastAsia="Arial"/>
        </w:rPr>
        <w:t xml:space="preserve"> and the state variables evolve. It identifies a local region in which automation does not directly raise priced risk and does not create new verification debt from a zero-debt state.</w:t>
      </w:r>
    </w:p>
    <w:p w14:paraId="7490B386" w14:textId="77777777" w:rsidR="004B5E95" w:rsidRDefault="00000000">
      <w:pPr>
        <w:keepNext/>
        <w:spacing w:before="120" w:after="60"/>
      </w:pPr>
      <w:bookmarkStart w:id="17" w:name="incident-losses-and-firm-value"/>
      <w:bookmarkEnd w:id="16"/>
      <w:r>
        <w:rPr>
          <w:rFonts w:eastAsia="Arial"/>
          <w:b/>
          <w:sz w:val="22"/>
        </w:rPr>
        <w:t>3.9 Incident losses and firm value</w:t>
      </w:r>
    </w:p>
    <w:p w14:paraId="6E441C67" w14:textId="77777777" w:rsidR="004B5E95" w:rsidRDefault="00000000">
      <w:pPr>
        <w:jc w:val="both"/>
      </w:pPr>
      <w:r>
        <w:rPr>
          <w:rFonts w:eastAsia="Arial"/>
        </w:rPr>
        <w:t xml:space="preserve">An incident indicator </w:t>
      </w:r>
      <m:oMath>
        <m:sSub>
          <m:sSubPr>
            <m:ctrlPr>
              <w:rPr>
                <w:rFonts w:ascii="Cambria Math" w:hAnsi="Cambria Math"/>
              </w:rPr>
            </m:ctrlPr>
          </m:sSubPr>
          <m:e>
            <m:r>
              <w:rPr>
                <w:rFonts w:ascii="Cambria Math" w:hAnsi="Cambria Math"/>
              </w:rPr>
              <m:t>I</m:t>
            </m:r>
          </m:e>
          <m:sub>
            <m:r>
              <w:rPr>
                <w:rFonts w:ascii="Cambria Math" w:hAnsi="Cambria Math"/>
              </w:rPr>
              <m:t>t</m:t>
            </m:r>
          </m:sub>
        </m:sSub>
      </m:oMath>
      <w:r>
        <w:rPr>
          <w:rFonts w:eastAsia="Arial"/>
        </w:rPr>
        <w:t xml:space="preserve"> is drawn from a Bernoulli distribution with probability </w:t>
      </w:r>
      <m:oMath>
        <m:sSub>
          <m:sSubPr>
            <m:ctrlPr>
              <w:rPr>
                <w:rFonts w:ascii="Cambria Math" w:hAnsi="Cambria Math"/>
              </w:rPr>
            </m:ctrlPr>
          </m:sSubPr>
          <m:e>
            <m:r>
              <w:rPr>
                <w:rFonts w:ascii="Cambria Math" w:hAnsi="Cambria Math"/>
              </w:rPr>
              <m:t>p</m:t>
            </m:r>
          </m:e>
          <m:sub>
            <m:r>
              <w:rPr>
                <w:rFonts w:ascii="Cambria Math" w:hAnsi="Cambria Math"/>
              </w:rPr>
              <m:t>t</m:t>
            </m:r>
          </m:sub>
        </m:sSub>
      </m:oMath>
      <w:r>
        <w:rPr>
          <w:rFonts w:eastAsia="Arial"/>
        </w:rPr>
        <w:t>. Conditional severity is lognormal and increases with verification debt:</w:t>
      </w:r>
    </w:p>
    <w:p w14:paraId="46029E05" w14:textId="77777777" w:rsidR="004B5E95" w:rsidRDefault="00000000">
      <w:pPr>
        <w:keepLines/>
        <w:tabs>
          <w:tab w:val="right" w:pos="8208"/>
        </w:tabs>
        <w:spacing w:before="80"/>
        <w:jc w:val="both"/>
      </w:pPr>
      <m:oMath>
        <m:sSub>
          <m:sSubPr>
            <m:ctrlPr>
              <w:rPr>
                <w:rFonts w:ascii="Cambria Math" w:hAnsi="Cambria Math"/>
              </w:rPr>
            </m:ctrlPr>
          </m:sSubPr>
          <m:e>
            <m:r>
              <w:rPr>
                <w:rFonts w:ascii="Cambria Math" w:hAnsi="Cambria Math"/>
              </w:rPr>
              <m:t>L</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t</m:t>
            </m:r>
          </m:sub>
        </m:sSub>
        <m:sSub>
          <m:sSubPr>
            <m:ctrlPr>
              <w:rPr>
                <w:rFonts w:ascii="Cambria Math" w:hAnsi="Cambria Math"/>
              </w:rPr>
            </m:ctrlPr>
          </m:sSubPr>
          <m:e>
            <m:r>
              <m:rPr>
                <m:scr m:val="script"/>
                <m:sty m:val="p"/>
              </m:rPr>
              <w:rPr>
                <w:rFonts w:ascii="Cambria Math" w:hAnsi="Cambria Math"/>
              </w:rPr>
              <m:t>l</m:t>
            </m:r>
          </m:e>
          <m:sub>
            <m:r>
              <w:rPr>
                <w:rFonts w:ascii="Cambria Math" w:hAnsi="Cambria Math"/>
              </w:rPr>
              <m:t>0</m:t>
            </m:r>
          </m:sub>
        </m:sSub>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ξ</m:t>
            </m:r>
            <m:sSub>
              <m:sSubPr>
                <m:ctrlPr>
                  <w:rPr>
                    <w:rFonts w:ascii="Cambria Math" w:hAnsi="Cambria Math"/>
                  </w:rPr>
                </m:ctrlPr>
              </m:sSubPr>
              <m:e>
                <m:r>
                  <w:rPr>
                    <w:rFonts w:ascii="Cambria Math" w:hAnsi="Cambria Math"/>
                  </w:rPr>
                  <m:t>q</m:t>
                </m:r>
              </m:e>
              <m:sub>
                <m:r>
                  <w:rPr>
                    <w:rFonts w:ascii="Cambria Math" w:hAnsi="Cambria Math"/>
                  </w:rPr>
                  <m:t>t</m:t>
                </m:r>
              </m:sub>
            </m:sSub>
          </m:e>
        </m:d>
        <m:r>
          <m:rPr>
            <m:sty m:val="p"/>
          </m:rPr>
          <w:rPr>
            <w:rFonts w:ascii="Cambria Math" w:hAnsi="Cambria Math"/>
          </w:rPr>
          <m:t>exp</m:t>
        </m:r>
        <m:d>
          <m:dPr>
            <m:ctrlPr>
              <w:rPr>
                <w:rFonts w:ascii="Cambria Math" w:hAnsi="Cambria Math"/>
              </w:rPr>
            </m:ctrlPr>
          </m:dPr>
          <m:e>
            <m:sSub>
              <m:sSubPr>
                <m:ctrlPr>
                  <w:rPr>
                    <w:rFonts w:ascii="Cambria Math" w:hAnsi="Cambria Math"/>
                  </w:rPr>
                </m:ctrlPr>
              </m:sSubPr>
              <m:e>
                <m:r>
                  <w:rPr>
                    <w:rFonts w:ascii="Cambria Math" w:hAnsi="Cambria Math"/>
                  </w:rPr>
                  <m:t>σ</m:t>
                </m:r>
              </m:e>
              <m:sub>
                <m:r>
                  <m:rPr>
                    <m:scr m:val="script"/>
                    <m:sty m:val="p"/>
                  </m:rPr>
                  <w:rPr>
                    <w:rFonts w:ascii="Cambria Math" w:hAnsi="Cambria Math"/>
                  </w:rPr>
                  <m:t>l</m:t>
                </m:r>
              </m:sub>
            </m:sSub>
            <m:sSub>
              <m:sSubPr>
                <m:ctrlPr>
                  <w:rPr>
                    <w:rFonts w:ascii="Cambria Math" w:hAnsi="Cambria Math"/>
                  </w:rPr>
                </m:ctrlPr>
              </m:sSubPr>
              <m:e>
                <m:r>
                  <w:rPr>
                    <w:rFonts w:ascii="Cambria Math" w:hAnsi="Cambria Math"/>
                  </w:rPr>
                  <m:t>Z</m:t>
                </m:r>
              </m:e>
              <m:sub>
                <m:r>
                  <w:rPr>
                    <w:rFonts w:ascii="Cambria Math" w:hAnsi="Cambria Math"/>
                  </w:rPr>
                  <m:t>t</m:t>
                </m:r>
              </m:sub>
            </m:sSub>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σ</m:t>
                    </m:r>
                  </m:e>
                  <m:sub>
                    <m:r>
                      <m:rPr>
                        <m:scr m:val="script"/>
                        <m:sty m:val="p"/>
                      </m:rPr>
                      <w:rPr>
                        <w:rFonts w:ascii="Cambria Math" w:hAnsi="Cambria Math"/>
                      </w:rPr>
                      <m:t>l</m:t>
                    </m:r>
                  </m:sub>
                  <m:sup>
                    <m:r>
                      <w:rPr>
                        <w:rFonts w:ascii="Cambria Math" w:hAnsi="Cambria Math"/>
                      </w:rPr>
                      <m:t>2</m:t>
                    </m:r>
                  </m:sup>
                </m:sSubSup>
              </m:num>
              <m:den>
                <m:r>
                  <w:rPr>
                    <w:rFonts w:ascii="Cambria Math" w:hAnsi="Cambria Math"/>
                  </w:rPr>
                  <m:t>2</m:t>
                </m:r>
              </m:den>
            </m:f>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Z</m:t>
            </m:r>
          </m:e>
          <m:sub>
            <m:r>
              <w:rPr>
                <w:rFonts w:ascii="Cambria Math" w:hAnsi="Cambria Math"/>
              </w:rPr>
              <m:t>t</m:t>
            </m:r>
          </m:sub>
        </m:sSub>
        <m:r>
          <m:rPr>
            <m:scr m:val="script"/>
            <m:sty m:val="p"/>
          </m:rPr>
          <w:rPr>
            <w:rFonts w:ascii="Cambria Math" w:hAnsi="Cambria Math"/>
          </w:rPr>
          <m:t>∼N</m:t>
        </m:r>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r>
          <m:rPr>
            <m:sty m:val="p"/>
          </m:rPr>
          <w:rPr>
            <w:rFonts w:ascii="Cambria Math" w:hAnsi="Cambria Math"/>
          </w:rPr>
          <m:t>.</m:t>
        </m:r>
      </m:oMath>
      <w:r>
        <w:rPr>
          <w:rFonts w:eastAsia="Arial"/>
        </w:rPr>
        <w:tab/>
        <w:t>(16)</w:t>
      </w:r>
    </w:p>
    <w:p w14:paraId="6D74F05E" w14:textId="77777777" w:rsidR="004B5E95" w:rsidRDefault="00000000">
      <w:pPr>
        <w:jc w:val="both"/>
      </w:pPr>
      <w:r>
        <w:rPr>
          <w:rFonts w:eastAsia="Arial"/>
        </w:rPr>
        <w:t>The exponential adjustment preserves the conditional mean scaling term. Period net cash flow is:</w:t>
      </w:r>
    </w:p>
    <w:p w14:paraId="3A363C16" w14:textId="77777777" w:rsidR="004B5E95" w:rsidRDefault="00000000">
      <w:pPr>
        <w:keepLines/>
        <w:tabs>
          <w:tab w:val="right" w:pos="8208"/>
        </w:tabs>
        <w:spacing w:before="80"/>
        <w:jc w:val="both"/>
      </w:pPr>
      <m:oMath>
        <m:r>
          <w:rPr>
            <w:rFonts w:ascii="Cambria Math" w:hAnsi="Cambria Math"/>
          </w:rPr>
          <m:t>C</m:t>
        </m:r>
        <m:sSub>
          <m:sSubPr>
            <m:ctrlPr>
              <w:rPr>
                <w:rFonts w:ascii="Cambria Math" w:hAnsi="Cambria Math"/>
              </w:rPr>
            </m:ctrlPr>
          </m:sSubPr>
          <m:e>
            <m:r>
              <w:rPr>
                <w:rFonts w:ascii="Cambria Math" w:hAnsi="Cambria Math"/>
              </w:rPr>
              <m:t>F</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t</m:t>
            </m:r>
          </m:sub>
        </m:sSub>
        <m:r>
          <m:rPr>
            <m:sty m:val="p"/>
          </m:rPr>
          <w:rPr>
            <w:rFonts w:ascii="Cambria Math" w:hAnsi="Cambria Math"/>
          </w:rPr>
          <m:t>-</m:t>
        </m:r>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D</m:t>
            </m:r>
            <m:r>
              <m:rPr>
                <m:sty m:val="p"/>
              </m:rPr>
              <w:rPr>
                <w:rFonts w:ascii="Cambria Math" w:hAnsi="Cambria Math"/>
              </w:rPr>
              <m:t>,</m:t>
            </m:r>
            <m:r>
              <w:rPr>
                <w:rFonts w:ascii="Cambria Math" w:hAnsi="Cambria Math"/>
              </w:rPr>
              <m:t>t</m:t>
            </m:r>
          </m:sub>
        </m:sSub>
        <m:r>
          <m:rPr>
            <m:sty m:val="p"/>
          </m:rPr>
          <w:rPr>
            <w:rFonts w:ascii="Cambria Math" w:hAnsi="Cambria Math"/>
          </w:rPr>
          <m:t>.</m:t>
        </m:r>
      </m:oMath>
      <w:r>
        <w:rPr>
          <w:rFonts w:eastAsia="Arial"/>
        </w:rPr>
        <w:tab/>
        <w:t>(17)</w:t>
      </w:r>
    </w:p>
    <w:p w14:paraId="4DABEE3C" w14:textId="77777777" w:rsidR="004B5E95" w:rsidRDefault="00000000">
      <w:pPr>
        <w:jc w:val="both"/>
      </w:pPr>
      <w:r>
        <w:rPr>
          <w:rFonts w:eastAsia="Arial"/>
        </w:rPr>
        <w:t xml:space="preserve">The discounted firm-value index over </w:t>
      </w:r>
      <m:oMath>
        <m:r>
          <w:rPr>
            <w:rFonts w:ascii="Cambria Math" w:hAnsi="Cambria Math"/>
          </w:rPr>
          <m:t>T</m:t>
        </m:r>
      </m:oMath>
      <w:r>
        <w:rPr>
          <w:rFonts w:eastAsia="Arial"/>
        </w:rPr>
        <w:t xml:space="preserve"> periods </w:t>
      </w:r>
      <w:proofErr w:type="gramStart"/>
      <w:r>
        <w:rPr>
          <w:rFonts w:eastAsia="Arial"/>
        </w:rPr>
        <w:t>is</w:t>
      </w:r>
      <w:proofErr w:type="gramEnd"/>
      <w:r>
        <w:rPr>
          <w:rFonts w:eastAsia="Arial"/>
        </w:rPr>
        <w:t>:</w:t>
      </w:r>
    </w:p>
    <w:p w14:paraId="57DF5042" w14:textId="77777777" w:rsidR="004B5E95" w:rsidRDefault="00000000">
      <w:pPr>
        <w:keepLines/>
        <w:tabs>
          <w:tab w:val="right" w:pos="8208"/>
        </w:tabs>
        <w:spacing w:before="80"/>
        <w:jc w:val="both"/>
      </w:pPr>
      <m:oMath>
        <m:r>
          <w:rPr>
            <w:rFonts w:ascii="Cambria Math" w:hAnsi="Cambria Math"/>
          </w:rPr>
          <m:t>V</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m:t>
            </m:r>
            <m:r>
              <w:rPr>
                <w:rFonts w:ascii="Cambria Math" w:hAnsi="Cambria Math"/>
              </w:rPr>
              <m:t>0</m:t>
            </m:r>
          </m:sub>
          <m:sup>
            <m:r>
              <w:rPr>
                <w:rFonts w:ascii="Cambria Math" w:hAnsi="Cambria Math"/>
              </w:rPr>
              <m:t>T</m:t>
            </m:r>
            <m:r>
              <m:rPr>
                <m:sty m:val="p"/>
              </m:rPr>
              <w:rPr>
                <w:rFonts w:ascii="Cambria Math" w:hAnsi="Cambria Math"/>
              </w:rPr>
              <m:t>-</m:t>
            </m:r>
            <m:r>
              <w:rPr>
                <w:rFonts w:ascii="Cambria Math" w:hAnsi="Cambria Math"/>
              </w:rPr>
              <m:t>1</m:t>
            </m:r>
          </m:sup>
          <m:e>
            <m:f>
              <m:fPr>
                <m:ctrlPr>
                  <w:rPr>
                    <w:rFonts w:ascii="Cambria Math" w:hAnsi="Cambria Math"/>
                  </w:rPr>
                </m:ctrlPr>
              </m:fPr>
              <m:num>
                <m:r>
                  <w:rPr>
                    <w:rFonts w:ascii="Cambria Math" w:hAnsi="Cambria Math"/>
                  </w:rPr>
                  <m:t>C</m:t>
                </m:r>
                <m:sSub>
                  <m:sSubPr>
                    <m:ctrlPr>
                      <w:rPr>
                        <w:rFonts w:ascii="Cambria Math" w:hAnsi="Cambria Math"/>
                      </w:rPr>
                    </m:ctrlPr>
                  </m:sSubPr>
                  <m:e>
                    <m:r>
                      <w:rPr>
                        <w:rFonts w:ascii="Cambria Math" w:hAnsi="Cambria Math"/>
                      </w:rPr>
                      <m:t>F</m:t>
                    </m:r>
                  </m:e>
                  <m:sub>
                    <m:r>
                      <w:rPr>
                        <w:rFonts w:ascii="Cambria Math" w:hAnsi="Cambria Math"/>
                      </w:rPr>
                      <m:t>t</m:t>
                    </m:r>
                  </m:sub>
                </m:sSub>
              </m:num>
              <m:den>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e>
                    </m:d>
                  </m:e>
                  <m:sup>
                    <m:r>
                      <w:rPr>
                        <w:rFonts w:ascii="Cambria Math" w:hAnsi="Cambria Math"/>
                      </w:rPr>
                      <m:t>t</m:t>
                    </m:r>
                  </m:sup>
                </m:sSup>
              </m:den>
            </m:f>
          </m:e>
        </m:nary>
        <m:r>
          <m:rPr>
            <m:sty m:val="p"/>
          </m:rPr>
          <w:rPr>
            <w:rFonts w:ascii="Cambria Math" w:hAnsi="Cambria Math"/>
          </w:rPr>
          <m:t>.</m:t>
        </m:r>
      </m:oMath>
      <w:r>
        <w:rPr>
          <w:rFonts w:eastAsia="Arial"/>
        </w:rPr>
        <w:tab/>
        <w:t>(18)</w:t>
      </w:r>
    </w:p>
    <w:p w14:paraId="2D16D35D" w14:textId="77777777" w:rsidR="004B5E95" w:rsidRDefault="00000000">
      <w:pPr>
        <w:jc w:val="both"/>
      </w:pPr>
      <w:r>
        <w:rPr>
          <w:rFonts w:eastAsia="Arial"/>
        </w:rPr>
        <w:t xml:space="preserve">This is a model value index rather than a currency valuation. It permits internally consistent comparisons across policies without claiming calibration to a particular firm or national credit market. The two risk-related deductions in Equation (17) represent different cash-flow objects. </w:t>
      </w:r>
      <m:oMath>
        <m:sSub>
          <m:sSubPr>
            <m:ctrlPr>
              <w:rPr>
                <w:rFonts w:ascii="Cambria Math" w:hAnsi="Cambria Math"/>
              </w:rPr>
            </m:ctrlPr>
          </m:sSubPr>
          <m:e>
            <m:r>
              <w:rPr>
                <w:rFonts w:ascii="Cambria Math" w:hAnsi="Cambria Math"/>
              </w:rPr>
              <m:t>L</m:t>
            </m:r>
          </m:e>
          <m:sub>
            <m:r>
              <w:rPr>
                <w:rFonts w:ascii="Cambria Math" w:hAnsi="Cambria Math"/>
              </w:rPr>
              <m:t>t</m:t>
            </m:r>
          </m:sub>
        </m:sSub>
      </m:oMath>
      <w:r>
        <w:rPr>
          <w:rFonts w:eastAsia="Arial"/>
        </w:rPr>
        <w:t xml:space="preserve"> is a realised operating loss borne by the firm when the adverse state occurs, whereas </w:t>
      </w:r>
      <m:oMath>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D</m:t>
            </m:r>
            <m:r>
              <m:rPr>
                <m:sty m:val="p"/>
              </m:rPr>
              <w:rPr>
                <w:rFonts w:ascii="Cambria Math" w:hAnsi="Cambria Math"/>
              </w:rPr>
              <m:t>,</m:t>
            </m:r>
            <m:r>
              <w:rPr>
                <w:rFonts w:ascii="Cambria Math" w:hAnsi="Cambria Math"/>
              </w:rPr>
              <m:t>t</m:t>
            </m:r>
          </m:sub>
        </m:sSub>
      </m:oMath>
      <w:r>
        <w:rPr>
          <w:rFonts w:eastAsia="Arial"/>
        </w:rPr>
        <w:t xml:space="preserve"> is the ex ante contractual financing charge required by lenders for bearing creditor exposure. Including both therefore captures an operating-loss channel and a financing-price channel rather than charging the same item twice. The index should be read as residual discounted cash flow under a rolling-debt convention, not as an enterprise-value identity.</w:t>
      </w:r>
    </w:p>
    <w:p w14:paraId="5FB75307" w14:textId="77777777" w:rsidR="004B5E95" w:rsidRDefault="00000000">
      <w:pPr>
        <w:keepNext/>
        <w:spacing w:before="120" w:after="60"/>
      </w:pPr>
      <w:bookmarkStart w:id="18" w:name="X7ab48ea12130524bfbb7a8378950870d00dd12f"/>
      <w:bookmarkEnd w:id="17"/>
      <w:r>
        <w:rPr>
          <w:rFonts w:eastAsia="Arial"/>
          <w:b/>
          <w:sz w:val="22"/>
        </w:rPr>
        <w:t>3.10 Baseline parameters and management regimes</w:t>
      </w:r>
    </w:p>
    <w:p w14:paraId="16F90EE2" w14:textId="77777777" w:rsidR="004B5E95" w:rsidRDefault="00000000">
      <w:pPr>
        <w:jc w:val="both"/>
      </w:pPr>
      <w:r>
        <w:rPr>
          <w:rFonts w:eastAsia="Arial"/>
        </w:rPr>
        <w:t xml:space="preserve">Table 1 lists the complete baseline parameters. Values are deliberately stylised. They are selected to create economically interpretable trade-offs rather than to reproduce a particular </w:t>
      </w:r>
      <w:r>
        <w:rPr>
          <w:rFonts w:eastAsia="Arial"/>
        </w:rPr>
        <w:lastRenderedPageBreak/>
        <w:t>observed data set. The audit criterion is therefore structural: whether propositions, comparative statics, and simulation outcomes are consistent with the stated equations.</w:t>
      </w:r>
    </w:p>
    <w:p w14:paraId="6BBCB7AF" w14:textId="77777777" w:rsidR="004B5E95" w:rsidRDefault="00000000">
      <w:pPr>
        <w:keepNext/>
        <w:spacing w:before="120" w:after="60"/>
      </w:pPr>
      <w:r>
        <w:rPr>
          <w:rFonts w:eastAsia="Arial"/>
          <w:b/>
          <w:bCs/>
        </w:rPr>
        <w:t>Table 1. Baseline model parameters</w:t>
      </w:r>
    </w:p>
    <w:tbl>
      <w:tblPr>
        <w:tblW w:w="8208" w:type="dxa"/>
        <w:tblBorders>
          <w:top w:val="single" w:sz="8" w:space="0" w:color="000000"/>
          <w:left w:val="nil"/>
          <w:bottom w:val="single" w:sz="8" w:space="0" w:color="000000"/>
          <w:right w:val="nil"/>
          <w:insideH w:val="single" w:sz="4" w:space="0" w:color="BFBFBF"/>
          <w:insideV w:val="nil"/>
        </w:tblBorders>
        <w:tblLayout w:type="fixed"/>
        <w:tblLook w:val="04A0" w:firstRow="1" w:lastRow="0" w:firstColumn="1" w:lastColumn="0" w:noHBand="0" w:noVBand="1"/>
      </w:tblPr>
      <w:tblGrid>
        <w:gridCol w:w="1224"/>
        <w:gridCol w:w="1037"/>
        <w:gridCol w:w="5947"/>
      </w:tblGrid>
      <w:tr w:rsidR="004B5E95" w14:paraId="18A0F4C1" w14:textId="77777777">
        <w:trPr>
          <w:cantSplit/>
          <w:tblHeader/>
        </w:trPr>
        <w:tc>
          <w:tcPr>
            <w:tcW w:w="1224" w:type="dxa"/>
            <w:vAlign w:val="center"/>
          </w:tcPr>
          <w:p w14:paraId="41DFAEA2" w14:textId="77777777" w:rsidR="004B5E95" w:rsidRDefault="00000000">
            <w:pPr>
              <w:spacing w:before="20" w:after="20"/>
            </w:pPr>
            <w:r>
              <w:rPr>
                <w:rFonts w:eastAsia="Arial"/>
                <w:b/>
                <w:sz w:val="18"/>
              </w:rPr>
              <w:t>Parameter</w:t>
            </w:r>
          </w:p>
        </w:tc>
        <w:tc>
          <w:tcPr>
            <w:tcW w:w="1037" w:type="dxa"/>
            <w:vAlign w:val="center"/>
          </w:tcPr>
          <w:p w14:paraId="3D3B52A5" w14:textId="77777777" w:rsidR="004B5E95" w:rsidRDefault="00000000">
            <w:pPr>
              <w:spacing w:before="20" w:after="20"/>
              <w:jc w:val="center"/>
            </w:pPr>
            <w:r>
              <w:rPr>
                <w:rFonts w:eastAsia="Arial"/>
                <w:b/>
                <w:sz w:val="18"/>
              </w:rPr>
              <w:t>Value</w:t>
            </w:r>
          </w:p>
        </w:tc>
        <w:tc>
          <w:tcPr>
            <w:tcW w:w="5947" w:type="dxa"/>
            <w:vAlign w:val="center"/>
          </w:tcPr>
          <w:p w14:paraId="27DE5CF5" w14:textId="77777777" w:rsidR="004B5E95" w:rsidRDefault="00000000">
            <w:pPr>
              <w:spacing w:before="20" w:after="20"/>
            </w:pPr>
            <w:r>
              <w:rPr>
                <w:rFonts w:eastAsia="Arial"/>
                <w:b/>
                <w:sz w:val="18"/>
              </w:rPr>
              <w:t>Interpretation</w:t>
            </w:r>
          </w:p>
        </w:tc>
      </w:tr>
      <w:tr w:rsidR="004B5E95" w14:paraId="7CA5A70F" w14:textId="77777777">
        <w:trPr>
          <w:cantSplit/>
        </w:trPr>
        <w:tc>
          <w:tcPr>
            <w:tcW w:w="1224" w:type="dxa"/>
            <w:vAlign w:val="center"/>
          </w:tcPr>
          <w:p w14:paraId="71DA4A1B" w14:textId="77777777" w:rsidR="004B5E95" w:rsidRDefault="00000000">
            <w:pPr>
              <w:spacing w:before="20" w:after="20"/>
            </w:pPr>
            <w:r>
              <w:rPr>
                <w:rFonts w:eastAsia="Arial"/>
                <w:i/>
                <w:sz w:val="18"/>
              </w:rPr>
              <w:t>T</w:t>
            </w:r>
          </w:p>
        </w:tc>
        <w:tc>
          <w:tcPr>
            <w:tcW w:w="1037" w:type="dxa"/>
            <w:vAlign w:val="center"/>
          </w:tcPr>
          <w:p w14:paraId="5E59DE46" w14:textId="77777777" w:rsidR="004B5E95" w:rsidRDefault="00000000">
            <w:pPr>
              <w:spacing w:before="20" w:after="20"/>
              <w:jc w:val="center"/>
            </w:pPr>
            <w:r>
              <w:rPr>
                <w:rFonts w:eastAsia="Arial"/>
                <w:sz w:val="18"/>
              </w:rPr>
              <w:t>48</w:t>
            </w:r>
          </w:p>
        </w:tc>
        <w:tc>
          <w:tcPr>
            <w:tcW w:w="5947" w:type="dxa"/>
            <w:vAlign w:val="center"/>
          </w:tcPr>
          <w:p w14:paraId="38B115FF" w14:textId="77777777" w:rsidR="004B5E95" w:rsidRDefault="00000000">
            <w:pPr>
              <w:spacing w:before="20" w:after="20"/>
            </w:pPr>
            <w:r>
              <w:rPr>
                <w:rFonts w:eastAsia="Arial"/>
                <w:sz w:val="18"/>
              </w:rPr>
              <w:t>Quarterly horizon</w:t>
            </w:r>
          </w:p>
        </w:tc>
      </w:tr>
      <w:tr w:rsidR="004B5E95" w14:paraId="3F36A2D8" w14:textId="77777777">
        <w:trPr>
          <w:cantSplit/>
        </w:trPr>
        <w:tc>
          <w:tcPr>
            <w:tcW w:w="1224" w:type="dxa"/>
            <w:vAlign w:val="center"/>
          </w:tcPr>
          <w:p w14:paraId="7A06D8F7" w14:textId="77777777" w:rsidR="004B5E95" w:rsidRDefault="00000000">
            <w:pPr>
              <w:spacing w:before="20" w:after="20"/>
            </w:pPr>
            <w:r>
              <w:rPr>
                <w:rFonts w:eastAsia="Arial"/>
                <w:i/>
                <w:sz w:val="18"/>
              </w:rPr>
              <w:t>q</w:t>
            </w:r>
            <w:r>
              <w:rPr>
                <w:rFonts w:eastAsia="Arial"/>
                <w:i/>
                <w:sz w:val="18"/>
                <w:vertAlign w:val="subscript"/>
              </w:rPr>
              <w:t>0</w:t>
            </w:r>
          </w:p>
        </w:tc>
        <w:tc>
          <w:tcPr>
            <w:tcW w:w="1037" w:type="dxa"/>
            <w:vAlign w:val="center"/>
          </w:tcPr>
          <w:p w14:paraId="73BE78EF" w14:textId="77777777" w:rsidR="004B5E95" w:rsidRDefault="00000000">
            <w:pPr>
              <w:spacing w:before="20" w:after="20"/>
              <w:jc w:val="center"/>
            </w:pPr>
            <w:r>
              <w:rPr>
                <w:rFonts w:eastAsia="Arial"/>
                <w:sz w:val="18"/>
              </w:rPr>
              <w:t>0.25</w:t>
            </w:r>
          </w:p>
        </w:tc>
        <w:tc>
          <w:tcPr>
            <w:tcW w:w="5947" w:type="dxa"/>
            <w:vAlign w:val="center"/>
          </w:tcPr>
          <w:p w14:paraId="6D3256BE" w14:textId="77777777" w:rsidR="004B5E95" w:rsidRDefault="00000000">
            <w:pPr>
              <w:spacing w:before="20" w:after="20"/>
            </w:pPr>
            <w:r>
              <w:rPr>
                <w:rFonts w:eastAsia="Arial"/>
                <w:sz w:val="18"/>
              </w:rPr>
              <w:t>Initial verification debt</w:t>
            </w:r>
          </w:p>
        </w:tc>
      </w:tr>
      <w:tr w:rsidR="004B5E95" w14:paraId="2C5FB6E3" w14:textId="77777777">
        <w:trPr>
          <w:cantSplit/>
        </w:trPr>
        <w:tc>
          <w:tcPr>
            <w:tcW w:w="1224" w:type="dxa"/>
            <w:vAlign w:val="center"/>
          </w:tcPr>
          <w:p w14:paraId="2E1220FF" w14:textId="77777777" w:rsidR="004B5E95" w:rsidRDefault="00000000">
            <w:pPr>
              <w:spacing w:before="20" w:after="20"/>
            </w:pPr>
            <w:r>
              <w:rPr>
                <w:rFonts w:eastAsia="Arial"/>
                <w:i/>
                <w:sz w:val="18"/>
              </w:rPr>
              <w:t>h</w:t>
            </w:r>
            <w:r>
              <w:rPr>
                <w:rFonts w:eastAsia="Arial"/>
                <w:i/>
                <w:sz w:val="18"/>
                <w:vertAlign w:val="subscript"/>
              </w:rPr>
              <w:t>0</w:t>
            </w:r>
          </w:p>
        </w:tc>
        <w:tc>
          <w:tcPr>
            <w:tcW w:w="1037" w:type="dxa"/>
            <w:vAlign w:val="center"/>
          </w:tcPr>
          <w:p w14:paraId="08889907" w14:textId="77777777" w:rsidR="004B5E95" w:rsidRDefault="00000000">
            <w:pPr>
              <w:spacing w:before="20" w:after="20"/>
              <w:jc w:val="center"/>
            </w:pPr>
            <w:r>
              <w:rPr>
                <w:rFonts w:eastAsia="Arial"/>
                <w:sz w:val="18"/>
              </w:rPr>
              <w:t>0.85</w:t>
            </w:r>
          </w:p>
        </w:tc>
        <w:tc>
          <w:tcPr>
            <w:tcW w:w="5947" w:type="dxa"/>
            <w:vAlign w:val="center"/>
          </w:tcPr>
          <w:p w14:paraId="7B635278" w14:textId="77777777" w:rsidR="004B5E95" w:rsidRDefault="00000000">
            <w:pPr>
              <w:spacing w:before="20" w:after="20"/>
            </w:pPr>
            <w:r>
              <w:rPr>
                <w:rFonts w:eastAsia="Arial"/>
                <w:sz w:val="18"/>
              </w:rPr>
              <w:t>Initial human oversight capability</w:t>
            </w:r>
          </w:p>
        </w:tc>
      </w:tr>
      <w:tr w:rsidR="004B5E95" w14:paraId="7B98338D" w14:textId="77777777">
        <w:trPr>
          <w:cantSplit/>
        </w:trPr>
        <w:tc>
          <w:tcPr>
            <w:tcW w:w="1224" w:type="dxa"/>
            <w:vAlign w:val="center"/>
          </w:tcPr>
          <w:p w14:paraId="6EF7EE84" w14:textId="77777777" w:rsidR="004B5E95" w:rsidRDefault="00000000">
            <w:pPr>
              <w:spacing w:before="20" w:after="20"/>
            </w:pPr>
            <w:r>
              <w:rPr>
                <w:rFonts w:eastAsia="Arial"/>
                <w:i/>
                <w:sz w:val="18"/>
              </w:rPr>
              <w:t>μ</w:t>
            </w:r>
            <w:r>
              <w:rPr>
                <w:rFonts w:eastAsia="Arial"/>
                <w:i/>
                <w:sz w:val="18"/>
                <w:vertAlign w:val="subscript"/>
              </w:rPr>
              <w:t>0</w:t>
            </w:r>
          </w:p>
        </w:tc>
        <w:tc>
          <w:tcPr>
            <w:tcW w:w="1037" w:type="dxa"/>
            <w:vAlign w:val="center"/>
          </w:tcPr>
          <w:p w14:paraId="388625CE" w14:textId="77777777" w:rsidR="004B5E95" w:rsidRDefault="00000000">
            <w:pPr>
              <w:spacing w:before="20" w:after="20"/>
              <w:jc w:val="center"/>
            </w:pPr>
            <w:r>
              <w:rPr>
                <w:rFonts w:eastAsia="Arial"/>
                <w:sz w:val="18"/>
              </w:rPr>
              <w:t>8.00</w:t>
            </w:r>
          </w:p>
        </w:tc>
        <w:tc>
          <w:tcPr>
            <w:tcW w:w="5947" w:type="dxa"/>
            <w:vAlign w:val="center"/>
          </w:tcPr>
          <w:p w14:paraId="0D652063" w14:textId="77777777" w:rsidR="004B5E95" w:rsidRDefault="00000000">
            <w:pPr>
              <w:spacing w:before="20" w:after="20"/>
            </w:pPr>
            <w:r>
              <w:rPr>
                <w:rFonts w:eastAsia="Arial"/>
                <w:sz w:val="18"/>
              </w:rPr>
              <w:t>Baseline operating surplus</w:t>
            </w:r>
          </w:p>
        </w:tc>
      </w:tr>
      <w:tr w:rsidR="004B5E95" w14:paraId="2BF297A9" w14:textId="77777777">
        <w:trPr>
          <w:cantSplit/>
        </w:trPr>
        <w:tc>
          <w:tcPr>
            <w:tcW w:w="1224" w:type="dxa"/>
            <w:vAlign w:val="center"/>
          </w:tcPr>
          <w:p w14:paraId="18FEB444" w14:textId="77777777" w:rsidR="004B5E95" w:rsidRDefault="00000000">
            <w:pPr>
              <w:spacing w:before="20" w:after="20"/>
            </w:pPr>
            <w:r>
              <w:rPr>
                <w:rFonts w:eastAsia="Arial"/>
                <w:i/>
                <w:sz w:val="18"/>
              </w:rPr>
              <w:t>α</w:t>
            </w:r>
          </w:p>
        </w:tc>
        <w:tc>
          <w:tcPr>
            <w:tcW w:w="1037" w:type="dxa"/>
            <w:vAlign w:val="center"/>
          </w:tcPr>
          <w:p w14:paraId="7E565AE8" w14:textId="77777777" w:rsidR="004B5E95" w:rsidRDefault="00000000">
            <w:pPr>
              <w:spacing w:before="20" w:after="20"/>
              <w:jc w:val="center"/>
            </w:pPr>
            <w:r>
              <w:rPr>
                <w:rFonts w:eastAsia="Arial"/>
                <w:sz w:val="18"/>
              </w:rPr>
              <w:t>5.00</w:t>
            </w:r>
          </w:p>
        </w:tc>
        <w:tc>
          <w:tcPr>
            <w:tcW w:w="5947" w:type="dxa"/>
            <w:vAlign w:val="center"/>
          </w:tcPr>
          <w:p w14:paraId="51EA7E0D" w14:textId="77777777" w:rsidR="004B5E95" w:rsidRDefault="00000000">
            <w:pPr>
              <w:spacing w:before="20" w:after="20"/>
            </w:pPr>
            <w:r>
              <w:rPr>
                <w:rFonts w:eastAsia="Arial"/>
                <w:sz w:val="18"/>
              </w:rPr>
              <w:t>Direct automation productivity</w:t>
            </w:r>
          </w:p>
        </w:tc>
      </w:tr>
      <w:tr w:rsidR="004B5E95" w14:paraId="770F1B59" w14:textId="77777777">
        <w:trPr>
          <w:cantSplit/>
        </w:trPr>
        <w:tc>
          <w:tcPr>
            <w:tcW w:w="1224" w:type="dxa"/>
            <w:vAlign w:val="center"/>
          </w:tcPr>
          <w:p w14:paraId="14B0E731" w14:textId="77777777" w:rsidR="004B5E95" w:rsidRDefault="00000000">
            <w:pPr>
              <w:spacing w:before="20" w:after="20"/>
            </w:pPr>
            <w:r>
              <w:rPr>
                <w:rFonts w:eastAsia="Arial"/>
                <w:i/>
                <w:sz w:val="18"/>
              </w:rPr>
              <w:t>β</w:t>
            </w:r>
          </w:p>
        </w:tc>
        <w:tc>
          <w:tcPr>
            <w:tcW w:w="1037" w:type="dxa"/>
            <w:vAlign w:val="center"/>
          </w:tcPr>
          <w:p w14:paraId="61A21080" w14:textId="77777777" w:rsidR="004B5E95" w:rsidRDefault="00000000">
            <w:pPr>
              <w:spacing w:before="20" w:after="20"/>
              <w:jc w:val="center"/>
            </w:pPr>
            <w:r>
              <w:rPr>
                <w:rFonts w:eastAsia="Arial"/>
                <w:sz w:val="18"/>
              </w:rPr>
              <w:t>3.00</w:t>
            </w:r>
          </w:p>
        </w:tc>
        <w:tc>
          <w:tcPr>
            <w:tcW w:w="5947" w:type="dxa"/>
            <w:vAlign w:val="center"/>
          </w:tcPr>
          <w:p w14:paraId="215FE634" w14:textId="77777777" w:rsidR="004B5E95" w:rsidRDefault="00000000">
            <w:pPr>
              <w:spacing w:before="20" w:after="20"/>
            </w:pPr>
            <w:r>
              <w:rPr>
                <w:rFonts w:eastAsia="Arial"/>
                <w:sz w:val="18"/>
              </w:rPr>
              <w:t>Automation-human complementarity</w:t>
            </w:r>
          </w:p>
        </w:tc>
      </w:tr>
      <w:tr w:rsidR="004B5E95" w14:paraId="768C4F04" w14:textId="77777777">
        <w:trPr>
          <w:cantSplit/>
        </w:trPr>
        <w:tc>
          <w:tcPr>
            <w:tcW w:w="1224" w:type="dxa"/>
            <w:vAlign w:val="center"/>
          </w:tcPr>
          <w:p w14:paraId="199929F5" w14:textId="77777777" w:rsidR="004B5E95" w:rsidRDefault="00000000">
            <w:pPr>
              <w:spacing w:before="20" w:after="20"/>
            </w:pPr>
            <w:r>
              <w:rPr>
                <w:rFonts w:eastAsia="Arial"/>
                <w:i/>
                <w:sz w:val="18"/>
              </w:rPr>
              <w:t>γ</w:t>
            </w:r>
          </w:p>
        </w:tc>
        <w:tc>
          <w:tcPr>
            <w:tcW w:w="1037" w:type="dxa"/>
            <w:vAlign w:val="center"/>
          </w:tcPr>
          <w:p w14:paraId="23EB62F7" w14:textId="77777777" w:rsidR="004B5E95" w:rsidRDefault="00000000">
            <w:pPr>
              <w:spacing w:before="20" w:after="20"/>
              <w:jc w:val="center"/>
            </w:pPr>
            <w:r>
              <w:rPr>
                <w:rFonts w:eastAsia="Arial"/>
                <w:sz w:val="18"/>
              </w:rPr>
              <w:t>1.70</w:t>
            </w:r>
          </w:p>
        </w:tc>
        <w:tc>
          <w:tcPr>
            <w:tcW w:w="5947" w:type="dxa"/>
            <w:vAlign w:val="center"/>
          </w:tcPr>
          <w:p w14:paraId="184051BC" w14:textId="77777777" w:rsidR="004B5E95" w:rsidRDefault="00000000">
            <w:pPr>
              <w:spacing w:before="20" w:after="20"/>
            </w:pPr>
            <w:r>
              <w:rPr>
                <w:rFonts w:eastAsia="Arial"/>
                <w:sz w:val="18"/>
              </w:rPr>
              <w:t>Assurance-enabled scalability</w:t>
            </w:r>
          </w:p>
        </w:tc>
      </w:tr>
      <w:tr w:rsidR="004B5E95" w14:paraId="2E5EC34A" w14:textId="77777777">
        <w:trPr>
          <w:cantSplit/>
        </w:trPr>
        <w:tc>
          <w:tcPr>
            <w:tcW w:w="1224" w:type="dxa"/>
            <w:vAlign w:val="center"/>
          </w:tcPr>
          <w:p w14:paraId="7FC055B8" w14:textId="77777777" w:rsidR="004B5E95" w:rsidRDefault="00000000">
            <w:pPr>
              <w:spacing w:before="20" w:after="20"/>
            </w:pPr>
            <w:r>
              <w:rPr>
                <w:rFonts w:eastAsia="Arial"/>
                <w:i/>
                <w:sz w:val="18"/>
              </w:rPr>
              <w:t>κ</w:t>
            </w:r>
            <w:r>
              <w:rPr>
                <w:rFonts w:eastAsia="Arial"/>
                <w:i/>
                <w:sz w:val="18"/>
                <w:vertAlign w:val="subscript"/>
              </w:rPr>
              <w:t>a</w:t>
            </w:r>
          </w:p>
        </w:tc>
        <w:tc>
          <w:tcPr>
            <w:tcW w:w="1037" w:type="dxa"/>
            <w:vAlign w:val="center"/>
          </w:tcPr>
          <w:p w14:paraId="10A56B0F" w14:textId="77777777" w:rsidR="004B5E95" w:rsidRDefault="00000000">
            <w:pPr>
              <w:spacing w:before="20" w:after="20"/>
              <w:jc w:val="center"/>
            </w:pPr>
            <w:r>
              <w:rPr>
                <w:rFonts w:eastAsia="Arial"/>
                <w:sz w:val="18"/>
              </w:rPr>
              <w:t>9.00</w:t>
            </w:r>
          </w:p>
        </w:tc>
        <w:tc>
          <w:tcPr>
            <w:tcW w:w="5947" w:type="dxa"/>
            <w:vAlign w:val="center"/>
          </w:tcPr>
          <w:p w14:paraId="3508D1A0" w14:textId="77777777" w:rsidR="004B5E95" w:rsidRDefault="00000000">
            <w:pPr>
              <w:spacing w:before="20" w:after="20"/>
            </w:pPr>
            <w:r>
              <w:rPr>
                <w:rFonts w:eastAsia="Arial"/>
                <w:sz w:val="18"/>
              </w:rPr>
              <w:t>Convex automation cost</w:t>
            </w:r>
          </w:p>
        </w:tc>
      </w:tr>
      <w:tr w:rsidR="004B5E95" w14:paraId="2B2D4DCA" w14:textId="77777777">
        <w:trPr>
          <w:cantSplit/>
        </w:trPr>
        <w:tc>
          <w:tcPr>
            <w:tcW w:w="1224" w:type="dxa"/>
            <w:vAlign w:val="center"/>
          </w:tcPr>
          <w:p w14:paraId="0476B166" w14:textId="77777777" w:rsidR="004B5E95" w:rsidRDefault="00000000">
            <w:pPr>
              <w:spacing w:before="20" w:after="20"/>
            </w:pPr>
            <w:r>
              <w:rPr>
                <w:rFonts w:eastAsia="Arial"/>
                <w:i/>
                <w:sz w:val="18"/>
              </w:rPr>
              <w:t>κ</w:t>
            </w:r>
            <w:r>
              <w:rPr>
                <w:rFonts w:eastAsia="Arial"/>
                <w:i/>
                <w:sz w:val="18"/>
                <w:vertAlign w:val="subscript"/>
              </w:rPr>
              <w:t>v</w:t>
            </w:r>
          </w:p>
        </w:tc>
        <w:tc>
          <w:tcPr>
            <w:tcW w:w="1037" w:type="dxa"/>
            <w:vAlign w:val="center"/>
          </w:tcPr>
          <w:p w14:paraId="58803C6B" w14:textId="77777777" w:rsidR="004B5E95" w:rsidRDefault="00000000">
            <w:pPr>
              <w:spacing w:before="20" w:after="20"/>
              <w:jc w:val="center"/>
            </w:pPr>
            <w:r>
              <w:rPr>
                <w:rFonts w:eastAsia="Arial"/>
                <w:sz w:val="18"/>
              </w:rPr>
              <w:t>5.20</w:t>
            </w:r>
          </w:p>
        </w:tc>
        <w:tc>
          <w:tcPr>
            <w:tcW w:w="5947" w:type="dxa"/>
            <w:vAlign w:val="center"/>
          </w:tcPr>
          <w:p w14:paraId="4A9AAEB6" w14:textId="77777777" w:rsidR="004B5E95" w:rsidRDefault="00000000">
            <w:pPr>
              <w:spacing w:before="20" w:after="20"/>
            </w:pPr>
            <w:r>
              <w:rPr>
                <w:rFonts w:eastAsia="Arial"/>
                <w:sz w:val="18"/>
              </w:rPr>
              <w:t>Convex verification cost</w:t>
            </w:r>
          </w:p>
        </w:tc>
      </w:tr>
      <w:tr w:rsidR="004B5E95" w14:paraId="7C915B7E" w14:textId="77777777">
        <w:trPr>
          <w:cantSplit/>
        </w:trPr>
        <w:tc>
          <w:tcPr>
            <w:tcW w:w="1224" w:type="dxa"/>
            <w:vAlign w:val="center"/>
          </w:tcPr>
          <w:p w14:paraId="040E17C7" w14:textId="77777777" w:rsidR="004B5E95" w:rsidRDefault="00000000">
            <w:pPr>
              <w:spacing w:before="20" w:after="20"/>
            </w:pPr>
            <w:r>
              <w:rPr>
                <w:rFonts w:eastAsia="Arial"/>
                <w:i/>
                <w:sz w:val="18"/>
              </w:rPr>
              <w:t>c</w:t>
            </w:r>
            <w:r>
              <w:rPr>
                <w:rFonts w:eastAsia="Arial"/>
                <w:i/>
                <w:sz w:val="18"/>
                <w:vertAlign w:val="subscript"/>
              </w:rPr>
              <w:t>q</w:t>
            </w:r>
          </w:p>
        </w:tc>
        <w:tc>
          <w:tcPr>
            <w:tcW w:w="1037" w:type="dxa"/>
            <w:vAlign w:val="center"/>
          </w:tcPr>
          <w:p w14:paraId="2BB2D528" w14:textId="77777777" w:rsidR="004B5E95" w:rsidRDefault="00000000">
            <w:pPr>
              <w:spacing w:before="20" w:after="20"/>
              <w:jc w:val="center"/>
            </w:pPr>
            <w:r>
              <w:rPr>
                <w:rFonts w:eastAsia="Arial"/>
                <w:sz w:val="18"/>
              </w:rPr>
              <w:t>0.55</w:t>
            </w:r>
          </w:p>
        </w:tc>
        <w:tc>
          <w:tcPr>
            <w:tcW w:w="5947" w:type="dxa"/>
            <w:vAlign w:val="center"/>
          </w:tcPr>
          <w:p w14:paraId="06A82B4A" w14:textId="77777777" w:rsidR="004B5E95" w:rsidRDefault="00000000">
            <w:pPr>
              <w:spacing w:before="20" w:after="20"/>
            </w:pPr>
            <w:r>
              <w:rPr>
                <w:rFonts w:eastAsia="Arial"/>
                <w:sz w:val="18"/>
              </w:rPr>
              <w:t>Operating cost of verification debt</w:t>
            </w:r>
          </w:p>
        </w:tc>
      </w:tr>
      <w:tr w:rsidR="004B5E95" w14:paraId="71FCFD4D" w14:textId="77777777">
        <w:trPr>
          <w:cantSplit/>
        </w:trPr>
        <w:tc>
          <w:tcPr>
            <w:tcW w:w="1224" w:type="dxa"/>
            <w:vAlign w:val="center"/>
          </w:tcPr>
          <w:p w14:paraId="6F6FF804" w14:textId="77777777" w:rsidR="004B5E95" w:rsidRDefault="00000000">
            <w:pPr>
              <w:spacing w:before="20" w:after="20"/>
            </w:pPr>
            <w:r>
              <w:rPr>
                <w:rFonts w:eastAsia="Arial"/>
                <w:i/>
                <w:sz w:val="18"/>
              </w:rPr>
              <w:t>c</w:t>
            </w:r>
            <w:r>
              <w:rPr>
                <w:rFonts w:eastAsia="Arial"/>
                <w:i/>
                <w:sz w:val="18"/>
                <w:vertAlign w:val="subscript"/>
              </w:rPr>
              <w:t>x</w:t>
            </w:r>
          </w:p>
        </w:tc>
        <w:tc>
          <w:tcPr>
            <w:tcW w:w="1037" w:type="dxa"/>
            <w:vAlign w:val="center"/>
          </w:tcPr>
          <w:p w14:paraId="358AAC69" w14:textId="77777777" w:rsidR="004B5E95" w:rsidRDefault="00000000">
            <w:pPr>
              <w:spacing w:before="20" w:after="20"/>
              <w:jc w:val="center"/>
            </w:pPr>
            <w:r>
              <w:rPr>
                <w:rFonts w:eastAsia="Arial"/>
                <w:sz w:val="18"/>
              </w:rPr>
              <w:t>0.70</w:t>
            </w:r>
          </w:p>
        </w:tc>
        <w:tc>
          <w:tcPr>
            <w:tcW w:w="5947" w:type="dxa"/>
            <w:vAlign w:val="center"/>
          </w:tcPr>
          <w:p w14:paraId="240514D5" w14:textId="77777777" w:rsidR="004B5E95" w:rsidRDefault="00000000">
            <w:pPr>
              <w:spacing w:before="20" w:after="20"/>
            </w:pPr>
            <w:r>
              <w:rPr>
                <w:rFonts w:eastAsia="Arial"/>
                <w:sz w:val="18"/>
              </w:rPr>
              <w:t>Cost of verifying automated surface</w:t>
            </w:r>
          </w:p>
        </w:tc>
      </w:tr>
      <w:tr w:rsidR="004B5E95" w14:paraId="51FF03A3" w14:textId="77777777">
        <w:trPr>
          <w:cantSplit/>
        </w:trPr>
        <w:tc>
          <w:tcPr>
            <w:tcW w:w="1224" w:type="dxa"/>
            <w:vAlign w:val="center"/>
          </w:tcPr>
          <w:p w14:paraId="118E6F95" w14:textId="77777777" w:rsidR="004B5E95" w:rsidRDefault="00000000">
            <w:pPr>
              <w:spacing w:before="20" w:after="20"/>
            </w:pPr>
            <w:r>
              <w:rPr>
                <w:rFonts w:eastAsia="Arial"/>
                <w:i/>
                <w:sz w:val="18"/>
              </w:rPr>
              <w:t>φ</w:t>
            </w:r>
          </w:p>
        </w:tc>
        <w:tc>
          <w:tcPr>
            <w:tcW w:w="1037" w:type="dxa"/>
            <w:vAlign w:val="center"/>
          </w:tcPr>
          <w:p w14:paraId="205B5D4E" w14:textId="77777777" w:rsidR="004B5E95" w:rsidRDefault="00000000">
            <w:pPr>
              <w:spacing w:before="20" w:after="20"/>
              <w:jc w:val="center"/>
            </w:pPr>
            <w:r>
              <w:rPr>
                <w:rFonts w:eastAsia="Arial"/>
                <w:sz w:val="18"/>
              </w:rPr>
              <w:t>0.42</w:t>
            </w:r>
          </w:p>
        </w:tc>
        <w:tc>
          <w:tcPr>
            <w:tcW w:w="5947" w:type="dxa"/>
            <w:vAlign w:val="center"/>
          </w:tcPr>
          <w:p w14:paraId="6C173953" w14:textId="77777777" w:rsidR="004B5E95" w:rsidRDefault="00000000">
            <w:pPr>
              <w:spacing w:before="20" w:after="20"/>
            </w:pPr>
            <w:r>
              <w:rPr>
                <w:rFonts w:eastAsia="Arial"/>
                <w:sz w:val="18"/>
              </w:rPr>
              <w:t>Verification-debt creation rate</w:t>
            </w:r>
          </w:p>
        </w:tc>
      </w:tr>
      <w:tr w:rsidR="004B5E95" w14:paraId="771B2724" w14:textId="77777777">
        <w:trPr>
          <w:cantSplit/>
        </w:trPr>
        <w:tc>
          <w:tcPr>
            <w:tcW w:w="1224" w:type="dxa"/>
            <w:vAlign w:val="center"/>
          </w:tcPr>
          <w:p w14:paraId="3F3B6001" w14:textId="77777777" w:rsidR="004B5E95" w:rsidRDefault="00000000">
            <w:pPr>
              <w:spacing w:before="20" w:after="20"/>
            </w:pPr>
            <w:r>
              <w:rPr>
                <w:rFonts w:eastAsia="Arial"/>
                <w:i/>
                <w:sz w:val="18"/>
              </w:rPr>
              <w:t>ψ</w:t>
            </w:r>
          </w:p>
        </w:tc>
        <w:tc>
          <w:tcPr>
            <w:tcW w:w="1037" w:type="dxa"/>
            <w:vAlign w:val="center"/>
          </w:tcPr>
          <w:p w14:paraId="63DECD65" w14:textId="77777777" w:rsidR="004B5E95" w:rsidRDefault="00000000">
            <w:pPr>
              <w:spacing w:before="20" w:after="20"/>
              <w:jc w:val="center"/>
            </w:pPr>
            <w:r>
              <w:rPr>
                <w:rFonts w:eastAsia="Arial"/>
                <w:sz w:val="18"/>
              </w:rPr>
              <w:t>0.48</w:t>
            </w:r>
          </w:p>
        </w:tc>
        <w:tc>
          <w:tcPr>
            <w:tcW w:w="5947" w:type="dxa"/>
            <w:vAlign w:val="center"/>
          </w:tcPr>
          <w:p w14:paraId="757A7D05" w14:textId="77777777" w:rsidR="004B5E95" w:rsidRDefault="00000000">
            <w:pPr>
              <w:spacing w:before="20" w:after="20"/>
            </w:pPr>
            <w:r>
              <w:rPr>
                <w:rFonts w:eastAsia="Arial"/>
                <w:sz w:val="18"/>
              </w:rPr>
              <w:t>Verification-debt clearance rate</w:t>
            </w:r>
          </w:p>
        </w:tc>
      </w:tr>
      <w:tr w:rsidR="004B5E95" w14:paraId="354BD0DA" w14:textId="77777777">
        <w:trPr>
          <w:cantSplit/>
        </w:trPr>
        <w:tc>
          <w:tcPr>
            <w:tcW w:w="1224" w:type="dxa"/>
            <w:vAlign w:val="center"/>
          </w:tcPr>
          <w:p w14:paraId="67B999DF" w14:textId="77777777" w:rsidR="004B5E95" w:rsidRDefault="00000000">
            <w:pPr>
              <w:spacing w:before="20" w:after="20"/>
            </w:pPr>
            <w:r>
              <w:rPr>
                <w:rFonts w:eastAsia="Arial"/>
                <w:i/>
                <w:sz w:val="18"/>
              </w:rPr>
              <w:t>δ</w:t>
            </w:r>
            <w:r>
              <w:rPr>
                <w:rFonts w:eastAsia="Arial"/>
                <w:i/>
                <w:sz w:val="18"/>
                <w:vertAlign w:val="subscript"/>
              </w:rPr>
              <w:t>q</w:t>
            </w:r>
          </w:p>
        </w:tc>
        <w:tc>
          <w:tcPr>
            <w:tcW w:w="1037" w:type="dxa"/>
            <w:vAlign w:val="center"/>
          </w:tcPr>
          <w:p w14:paraId="5650DB59" w14:textId="77777777" w:rsidR="004B5E95" w:rsidRDefault="00000000">
            <w:pPr>
              <w:spacing w:before="20" w:after="20"/>
              <w:jc w:val="center"/>
            </w:pPr>
            <w:r>
              <w:rPr>
                <w:rFonts w:eastAsia="Arial"/>
                <w:sz w:val="18"/>
              </w:rPr>
              <w:t>0.18</w:t>
            </w:r>
          </w:p>
        </w:tc>
        <w:tc>
          <w:tcPr>
            <w:tcW w:w="5947" w:type="dxa"/>
            <w:vAlign w:val="center"/>
          </w:tcPr>
          <w:p w14:paraId="76FBCF47" w14:textId="77777777" w:rsidR="004B5E95" w:rsidRDefault="00000000">
            <w:pPr>
              <w:spacing w:before="20" w:after="20"/>
            </w:pPr>
            <w:r>
              <w:rPr>
                <w:rFonts w:eastAsia="Arial"/>
                <w:sz w:val="18"/>
              </w:rPr>
              <w:t>Passive debt decay rate</w:t>
            </w:r>
          </w:p>
        </w:tc>
      </w:tr>
      <w:tr w:rsidR="004B5E95" w14:paraId="51E6C1D3" w14:textId="77777777">
        <w:trPr>
          <w:cantSplit/>
        </w:trPr>
        <w:tc>
          <w:tcPr>
            <w:tcW w:w="1224" w:type="dxa"/>
            <w:vAlign w:val="center"/>
          </w:tcPr>
          <w:p w14:paraId="389810FD" w14:textId="77777777" w:rsidR="004B5E95" w:rsidRDefault="00000000">
            <w:pPr>
              <w:spacing w:before="20" w:after="20"/>
            </w:pPr>
            <w:r>
              <w:rPr>
                <w:rFonts w:eastAsia="Arial"/>
                <w:i/>
                <w:sz w:val="18"/>
              </w:rPr>
              <w:t>ρ</w:t>
            </w:r>
            <w:r>
              <w:rPr>
                <w:rFonts w:eastAsia="Arial"/>
                <w:i/>
                <w:sz w:val="18"/>
                <w:vertAlign w:val="subscript"/>
              </w:rPr>
              <w:t>v</w:t>
            </w:r>
          </w:p>
        </w:tc>
        <w:tc>
          <w:tcPr>
            <w:tcW w:w="1037" w:type="dxa"/>
            <w:vAlign w:val="center"/>
          </w:tcPr>
          <w:p w14:paraId="3CD092ED" w14:textId="77777777" w:rsidR="004B5E95" w:rsidRDefault="00000000">
            <w:pPr>
              <w:spacing w:before="20" w:after="20"/>
              <w:jc w:val="center"/>
            </w:pPr>
            <w:r>
              <w:rPr>
                <w:rFonts w:eastAsia="Arial"/>
                <w:sz w:val="18"/>
              </w:rPr>
              <w:t>0.10</w:t>
            </w:r>
          </w:p>
        </w:tc>
        <w:tc>
          <w:tcPr>
            <w:tcW w:w="5947" w:type="dxa"/>
            <w:vAlign w:val="center"/>
          </w:tcPr>
          <w:p w14:paraId="28A15FD9" w14:textId="77777777" w:rsidR="004B5E95" w:rsidRDefault="00000000">
            <w:pPr>
              <w:spacing w:before="20" w:after="20"/>
            </w:pPr>
            <w:r>
              <w:rPr>
                <w:rFonts w:eastAsia="Arial"/>
                <w:sz w:val="18"/>
              </w:rPr>
              <w:t>Verification-supported capability renewal</w:t>
            </w:r>
          </w:p>
        </w:tc>
      </w:tr>
      <w:tr w:rsidR="004B5E95" w14:paraId="0D19344D" w14:textId="77777777">
        <w:trPr>
          <w:cantSplit/>
        </w:trPr>
        <w:tc>
          <w:tcPr>
            <w:tcW w:w="1224" w:type="dxa"/>
            <w:vAlign w:val="center"/>
          </w:tcPr>
          <w:p w14:paraId="1CA6AC1F" w14:textId="77777777" w:rsidR="004B5E95" w:rsidRDefault="00000000">
            <w:pPr>
              <w:spacing w:before="20" w:after="20"/>
            </w:pPr>
            <w:r>
              <w:rPr>
                <w:rFonts w:eastAsia="Arial"/>
                <w:i/>
                <w:sz w:val="18"/>
              </w:rPr>
              <w:t>ρ</w:t>
            </w:r>
            <w:r>
              <w:rPr>
                <w:rFonts w:eastAsia="Arial"/>
                <w:i/>
                <w:sz w:val="18"/>
                <w:vertAlign w:val="subscript"/>
              </w:rPr>
              <w:t>a</w:t>
            </w:r>
          </w:p>
        </w:tc>
        <w:tc>
          <w:tcPr>
            <w:tcW w:w="1037" w:type="dxa"/>
            <w:vAlign w:val="center"/>
          </w:tcPr>
          <w:p w14:paraId="4125ED64" w14:textId="77777777" w:rsidR="004B5E95" w:rsidRDefault="00000000">
            <w:pPr>
              <w:spacing w:before="20" w:after="20"/>
              <w:jc w:val="center"/>
            </w:pPr>
            <w:r>
              <w:rPr>
                <w:rFonts w:eastAsia="Arial"/>
                <w:sz w:val="18"/>
              </w:rPr>
              <w:t>0.07</w:t>
            </w:r>
          </w:p>
        </w:tc>
        <w:tc>
          <w:tcPr>
            <w:tcW w:w="5947" w:type="dxa"/>
            <w:vAlign w:val="center"/>
          </w:tcPr>
          <w:p w14:paraId="6710DDC8" w14:textId="77777777" w:rsidR="004B5E95" w:rsidRDefault="00000000">
            <w:pPr>
              <w:spacing w:before="20" w:after="20"/>
            </w:pPr>
            <w:r>
              <w:rPr>
                <w:rFonts w:eastAsia="Arial"/>
                <w:sz w:val="18"/>
              </w:rPr>
              <w:t>Capability erosion under weakly verified automation</w:t>
            </w:r>
          </w:p>
        </w:tc>
      </w:tr>
      <w:tr w:rsidR="004B5E95" w14:paraId="153A5186" w14:textId="77777777">
        <w:trPr>
          <w:cantSplit/>
        </w:trPr>
        <w:tc>
          <w:tcPr>
            <w:tcW w:w="1224" w:type="dxa"/>
            <w:vAlign w:val="center"/>
          </w:tcPr>
          <w:p w14:paraId="1AF81E01" w14:textId="77777777" w:rsidR="004B5E95" w:rsidRDefault="00000000">
            <w:pPr>
              <w:spacing w:before="20" w:after="20"/>
            </w:pPr>
            <w:r>
              <w:rPr>
                <w:rFonts w:eastAsia="Arial"/>
                <w:i/>
                <w:sz w:val="18"/>
              </w:rPr>
              <w:t>θ</w:t>
            </w:r>
            <w:r>
              <w:rPr>
                <w:rFonts w:eastAsia="Arial"/>
                <w:i/>
                <w:sz w:val="18"/>
                <w:vertAlign w:val="subscript"/>
              </w:rPr>
              <w:t>0</w:t>
            </w:r>
          </w:p>
        </w:tc>
        <w:tc>
          <w:tcPr>
            <w:tcW w:w="1037" w:type="dxa"/>
            <w:vAlign w:val="center"/>
          </w:tcPr>
          <w:p w14:paraId="3BA3D066" w14:textId="77777777" w:rsidR="004B5E95" w:rsidRDefault="00000000">
            <w:pPr>
              <w:spacing w:before="20" w:after="20"/>
              <w:jc w:val="center"/>
            </w:pPr>
            <w:r>
              <w:rPr>
                <w:rFonts w:eastAsia="Arial"/>
                <w:sz w:val="18"/>
              </w:rPr>
              <w:t>-5.60</w:t>
            </w:r>
          </w:p>
        </w:tc>
        <w:tc>
          <w:tcPr>
            <w:tcW w:w="5947" w:type="dxa"/>
            <w:vAlign w:val="center"/>
          </w:tcPr>
          <w:p w14:paraId="167EB033" w14:textId="77777777" w:rsidR="004B5E95" w:rsidRDefault="00000000">
            <w:pPr>
              <w:spacing w:before="20" w:after="20"/>
            </w:pPr>
            <w:r>
              <w:rPr>
                <w:rFonts w:eastAsia="Arial"/>
                <w:sz w:val="18"/>
              </w:rPr>
              <w:t>Baseline logit intercept</w:t>
            </w:r>
          </w:p>
        </w:tc>
      </w:tr>
      <w:tr w:rsidR="004B5E95" w14:paraId="4A4C5674" w14:textId="77777777">
        <w:trPr>
          <w:cantSplit/>
        </w:trPr>
        <w:tc>
          <w:tcPr>
            <w:tcW w:w="1224" w:type="dxa"/>
            <w:vAlign w:val="center"/>
          </w:tcPr>
          <w:p w14:paraId="79562F9C" w14:textId="77777777" w:rsidR="004B5E95" w:rsidRDefault="00000000">
            <w:pPr>
              <w:spacing w:before="20" w:after="20"/>
            </w:pPr>
            <w:r>
              <w:rPr>
                <w:rFonts w:eastAsia="Arial"/>
                <w:i/>
                <w:sz w:val="18"/>
              </w:rPr>
              <w:t>θ</w:t>
            </w:r>
            <w:r>
              <w:rPr>
                <w:rFonts w:eastAsia="Arial"/>
                <w:i/>
                <w:sz w:val="18"/>
                <w:vertAlign w:val="subscript"/>
              </w:rPr>
              <w:t>q</w:t>
            </w:r>
          </w:p>
        </w:tc>
        <w:tc>
          <w:tcPr>
            <w:tcW w:w="1037" w:type="dxa"/>
            <w:vAlign w:val="center"/>
          </w:tcPr>
          <w:p w14:paraId="7A6D5AC5" w14:textId="77777777" w:rsidR="004B5E95" w:rsidRDefault="00000000">
            <w:pPr>
              <w:spacing w:before="20" w:after="20"/>
              <w:jc w:val="center"/>
            </w:pPr>
            <w:r>
              <w:rPr>
                <w:rFonts w:eastAsia="Arial"/>
                <w:sz w:val="18"/>
              </w:rPr>
              <w:t>0.75</w:t>
            </w:r>
          </w:p>
        </w:tc>
        <w:tc>
          <w:tcPr>
            <w:tcW w:w="5947" w:type="dxa"/>
            <w:vAlign w:val="center"/>
          </w:tcPr>
          <w:p w14:paraId="5040355F" w14:textId="77777777" w:rsidR="004B5E95" w:rsidRDefault="00000000">
            <w:pPr>
              <w:spacing w:before="20" w:after="20"/>
            </w:pPr>
            <w:r>
              <w:rPr>
                <w:rFonts w:eastAsia="Arial"/>
                <w:sz w:val="18"/>
              </w:rPr>
              <w:t>Verification-debt risk coefficient</w:t>
            </w:r>
          </w:p>
        </w:tc>
      </w:tr>
      <w:tr w:rsidR="004B5E95" w14:paraId="38859C9E" w14:textId="77777777">
        <w:trPr>
          <w:cantSplit/>
        </w:trPr>
        <w:tc>
          <w:tcPr>
            <w:tcW w:w="1224" w:type="dxa"/>
            <w:vAlign w:val="center"/>
          </w:tcPr>
          <w:p w14:paraId="6D9D6AEB" w14:textId="77777777" w:rsidR="004B5E95" w:rsidRDefault="00000000">
            <w:pPr>
              <w:spacing w:before="20" w:after="20"/>
            </w:pPr>
            <w:r>
              <w:rPr>
                <w:rFonts w:eastAsia="Arial"/>
                <w:i/>
                <w:sz w:val="18"/>
              </w:rPr>
              <w:t>θ</w:t>
            </w:r>
            <w:r>
              <w:rPr>
                <w:rFonts w:eastAsia="Arial"/>
                <w:i/>
                <w:sz w:val="18"/>
                <w:vertAlign w:val="subscript"/>
              </w:rPr>
              <w:t>u</w:t>
            </w:r>
          </w:p>
        </w:tc>
        <w:tc>
          <w:tcPr>
            <w:tcW w:w="1037" w:type="dxa"/>
            <w:vAlign w:val="center"/>
          </w:tcPr>
          <w:p w14:paraId="4B1B9DD9" w14:textId="77777777" w:rsidR="004B5E95" w:rsidRDefault="00000000">
            <w:pPr>
              <w:spacing w:before="20" w:after="20"/>
              <w:jc w:val="center"/>
            </w:pPr>
            <w:r>
              <w:rPr>
                <w:rFonts w:eastAsia="Arial"/>
                <w:sz w:val="18"/>
              </w:rPr>
              <w:t>0.55</w:t>
            </w:r>
          </w:p>
        </w:tc>
        <w:tc>
          <w:tcPr>
            <w:tcW w:w="5947" w:type="dxa"/>
            <w:vAlign w:val="center"/>
          </w:tcPr>
          <w:p w14:paraId="7D837DFF" w14:textId="77777777" w:rsidR="004B5E95" w:rsidRDefault="00000000">
            <w:pPr>
              <w:spacing w:before="20" w:after="20"/>
            </w:pPr>
            <w:r>
              <w:rPr>
                <w:rFonts w:eastAsia="Arial"/>
                <w:sz w:val="18"/>
              </w:rPr>
              <w:t>Uncertainty-risk coefficient</w:t>
            </w:r>
          </w:p>
        </w:tc>
      </w:tr>
      <w:tr w:rsidR="004B5E95" w14:paraId="7A1CE119" w14:textId="77777777">
        <w:trPr>
          <w:cantSplit/>
        </w:trPr>
        <w:tc>
          <w:tcPr>
            <w:tcW w:w="1224" w:type="dxa"/>
            <w:vAlign w:val="center"/>
          </w:tcPr>
          <w:p w14:paraId="78D63256" w14:textId="77777777" w:rsidR="004B5E95" w:rsidRDefault="00000000">
            <w:pPr>
              <w:spacing w:before="20" w:after="20"/>
            </w:pPr>
            <w:r>
              <w:rPr>
                <w:rFonts w:eastAsia="Arial"/>
                <w:i/>
                <w:sz w:val="18"/>
              </w:rPr>
              <w:t>θ</w:t>
            </w:r>
            <w:r>
              <w:rPr>
                <w:rFonts w:eastAsia="Arial"/>
                <w:i/>
                <w:sz w:val="18"/>
                <w:vertAlign w:val="subscript"/>
              </w:rPr>
              <w:t>a</w:t>
            </w:r>
          </w:p>
        </w:tc>
        <w:tc>
          <w:tcPr>
            <w:tcW w:w="1037" w:type="dxa"/>
            <w:vAlign w:val="center"/>
          </w:tcPr>
          <w:p w14:paraId="4C55FE62" w14:textId="77777777" w:rsidR="004B5E95" w:rsidRDefault="00000000">
            <w:pPr>
              <w:spacing w:before="20" w:after="20"/>
              <w:jc w:val="center"/>
            </w:pPr>
            <w:r>
              <w:rPr>
                <w:rFonts w:eastAsia="Arial"/>
                <w:sz w:val="18"/>
              </w:rPr>
              <w:t>1.40</w:t>
            </w:r>
          </w:p>
        </w:tc>
        <w:tc>
          <w:tcPr>
            <w:tcW w:w="5947" w:type="dxa"/>
            <w:vAlign w:val="center"/>
          </w:tcPr>
          <w:p w14:paraId="1A0CDA3C" w14:textId="77777777" w:rsidR="004B5E95" w:rsidRDefault="00000000">
            <w:pPr>
              <w:spacing w:before="20" w:after="20"/>
            </w:pPr>
            <w:r>
              <w:rPr>
                <w:rFonts w:eastAsia="Arial"/>
                <w:sz w:val="18"/>
              </w:rPr>
              <w:t>Direct automation-risk coefficient</w:t>
            </w:r>
          </w:p>
        </w:tc>
      </w:tr>
      <w:tr w:rsidR="004B5E95" w14:paraId="3B290909" w14:textId="77777777">
        <w:trPr>
          <w:cantSplit/>
        </w:trPr>
        <w:tc>
          <w:tcPr>
            <w:tcW w:w="1224" w:type="dxa"/>
            <w:vAlign w:val="center"/>
          </w:tcPr>
          <w:p w14:paraId="40F469DA" w14:textId="77777777" w:rsidR="004B5E95" w:rsidRDefault="00000000">
            <w:pPr>
              <w:spacing w:before="20" w:after="20"/>
            </w:pPr>
            <w:r>
              <w:rPr>
                <w:rFonts w:eastAsia="Arial"/>
                <w:i/>
                <w:sz w:val="18"/>
              </w:rPr>
              <w:t>θ</w:t>
            </w:r>
            <w:r>
              <w:rPr>
                <w:rFonts w:eastAsia="Arial"/>
                <w:i/>
                <w:sz w:val="18"/>
                <w:vertAlign w:val="subscript"/>
              </w:rPr>
              <w:t>av</w:t>
            </w:r>
          </w:p>
        </w:tc>
        <w:tc>
          <w:tcPr>
            <w:tcW w:w="1037" w:type="dxa"/>
            <w:vAlign w:val="center"/>
          </w:tcPr>
          <w:p w14:paraId="7B8DAE14" w14:textId="77777777" w:rsidR="004B5E95" w:rsidRDefault="00000000">
            <w:pPr>
              <w:spacing w:before="20" w:after="20"/>
              <w:jc w:val="center"/>
            </w:pPr>
            <w:r>
              <w:rPr>
                <w:rFonts w:eastAsia="Arial"/>
                <w:sz w:val="18"/>
              </w:rPr>
              <w:t>2.60</w:t>
            </w:r>
          </w:p>
        </w:tc>
        <w:tc>
          <w:tcPr>
            <w:tcW w:w="5947" w:type="dxa"/>
            <w:vAlign w:val="center"/>
          </w:tcPr>
          <w:p w14:paraId="055C25F6" w14:textId="77777777" w:rsidR="004B5E95" w:rsidRDefault="00000000">
            <w:pPr>
              <w:spacing w:before="20" w:after="20"/>
            </w:pPr>
            <w:r>
              <w:rPr>
                <w:rFonts w:eastAsia="Arial"/>
                <w:sz w:val="18"/>
              </w:rPr>
              <w:t>Automation-verification risk offset</w:t>
            </w:r>
          </w:p>
        </w:tc>
      </w:tr>
      <w:tr w:rsidR="004B5E95" w14:paraId="4FDD7B78" w14:textId="77777777">
        <w:trPr>
          <w:cantSplit/>
        </w:trPr>
        <w:tc>
          <w:tcPr>
            <w:tcW w:w="1224" w:type="dxa"/>
            <w:vAlign w:val="center"/>
          </w:tcPr>
          <w:p w14:paraId="304C80BA" w14:textId="77777777" w:rsidR="004B5E95" w:rsidRDefault="00000000">
            <w:pPr>
              <w:spacing w:before="20" w:after="20"/>
            </w:pPr>
            <w:r>
              <w:rPr>
                <w:rFonts w:eastAsia="Arial"/>
                <w:i/>
                <w:sz w:val="18"/>
              </w:rPr>
              <w:t>θ</w:t>
            </w:r>
            <w:r>
              <w:rPr>
                <w:rFonts w:eastAsia="Arial"/>
                <w:i/>
                <w:sz w:val="18"/>
                <w:vertAlign w:val="subscript"/>
              </w:rPr>
              <w:t>h</w:t>
            </w:r>
          </w:p>
        </w:tc>
        <w:tc>
          <w:tcPr>
            <w:tcW w:w="1037" w:type="dxa"/>
            <w:vAlign w:val="center"/>
          </w:tcPr>
          <w:p w14:paraId="01F32CFA" w14:textId="77777777" w:rsidR="004B5E95" w:rsidRDefault="00000000">
            <w:pPr>
              <w:spacing w:before="20" w:after="20"/>
              <w:jc w:val="center"/>
            </w:pPr>
            <w:r>
              <w:rPr>
                <w:rFonts w:eastAsia="Arial"/>
                <w:sz w:val="18"/>
              </w:rPr>
              <w:t>0.90</w:t>
            </w:r>
          </w:p>
        </w:tc>
        <w:tc>
          <w:tcPr>
            <w:tcW w:w="5947" w:type="dxa"/>
            <w:vAlign w:val="center"/>
          </w:tcPr>
          <w:p w14:paraId="69111848" w14:textId="77777777" w:rsidR="004B5E95" w:rsidRDefault="00000000">
            <w:pPr>
              <w:spacing w:before="20" w:after="20"/>
            </w:pPr>
            <w:r>
              <w:rPr>
                <w:rFonts w:eastAsia="Arial"/>
                <w:sz w:val="18"/>
              </w:rPr>
              <w:t>Human capability risk reduction</w:t>
            </w:r>
          </w:p>
        </w:tc>
      </w:tr>
      <w:tr w:rsidR="004B5E95" w14:paraId="1FD5881C" w14:textId="77777777">
        <w:trPr>
          <w:cantSplit/>
        </w:trPr>
        <w:tc>
          <w:tcPr>
            <w:tcW w:w="1224" w:type="dxa"/>
            <w:vAlign w:val="center"/>
          </w:tcPr>
          <w:p w14:paraId="7ED677FE" w14:textId="77777777" w:rsidR="004B5E95" w:rsidRDefault="00000000">
            <w:pPr>
              <w:spacing w:before="20" w:after="20"/>
            </w:pPr>
            <w:r>
              <w:rPr>
                <w:rFonts w:eastAsia="Arial"/>
                <w:i/>
                <w:sz w:val="18"/>
              </w:rPr>
              <w:t>ρ</w:t>
            </w:r>
            <w:r>
              <w:rPr>
                <w:rFonts w:eastAsia="Arial"/>
                <w:i/>
                <w:sz w:val="18"/>
                <w:vertAlign w:val="subscript"/>
              </w:rPr>
              <w:t>x</w:t>
            </w:r>
          </w:p>
        </w:tc>
        <w:tc>
          <w:tcPr>
            <w:tcW w:w="1037" w:type="dxa"/>
            <w:vAlign w:val="center"/>
          </w:tcPr>
          <w:p w14:paraId="04C63D78" w14:textId="77777777" w:rsidR="004B5E95" w:rsidRDefault="00000000">
            <w:pPr>
              <w:spacing w:before="20" w:after="20"/>
              <w:jc w:val="center"/>
            </w:pPr>
            <w:r>
              <w:rPr>
                <w:rFonts w:eastAsia="Arial"/>
                <w:sz w:val="18"/>
              </w:rPr>
              <w:t>0.65</w:t>
            </w:r>
          </w:p>
        </w:tc>
        <w:tc>
          <w:tcPr>
            <w:tcW w:w="5947" w:type="dxa"/>
            <w:vAlign w:val="center"/>
          </w:tcPr>
          <w:p w14:paraId="4430D12D" w14:textId="77777777" w:rsidR="004B5E95" w:rsidRDefault="00000000">
            <w:pPr>
              <w:spacing w:before="20" w:after="20"/>
            </w:pPr>
            <w:r>
              <w:rPr>
                <w:rFonts w:eastAsia="Arial"/>
                <w:sz w:val="18"/>
              </w:rPr>
              <w:t>Uncertainty persistence</w:t>
            </w:r>
          </w:p>
        </w:tc>
      </w:tr>
      <w:tr w:rsidR="004B5E95" w14:paraId="46BD2A47" w14:textId="77777777">
        <w:trPr>
          <w:cantSplit/>
        </w:trPr>
        <w:tc>
          <w:tcPr>
            <w:tcW w:w="1224" w:type="dxa"/>
            <w:vAlign w:val="center"/>
          </w:tcPr>
          <w:p w14:paraId="5DD36F10" w14:textId="77777777" w:rsidR="004B5E95" w:rsidRDefault="00000000">
            <w:pPr>
              <w:spacing w:before="20" w:after="20"/>
            </w:pPr>
            <w:r>
              <w:rPr>
                <w:rFonts w:eastAsia="Arial"/>
                <w:i/>
                <w:sz w:val="18"/>
              </w:rPr>
              <w:t>σ</w:t>
            </w:r>
            <w:r>
              <w:rPr>
                <w:rFonts w:eastAsia="Arial"/>
                <w:i/>
                <w:sz w:val="18"/>
                <w:vertAlign w:val="subscript"/>
              </w:rPr>
              <w:t>x</w:t>
            </w:r>
          </w:p>
        </w:tc>
        <w:tc>
          <w:tcPr>
            <w:tcW w:w="1037" w:type="dxa"/>
            <w:vAlign w:val="center"/>
          </w:tcPr>
          <w:p w14:paraId="1358B14D" w14:textId="77777777" w:rsidR="004B5E95" w:rsidRDefault="00000000">
            <w:pPr>
              <w:spacing w:before="20" w:after="20"/>
              <w:jc w:val="center"/>
            </w:pPr>
            <w:r>
              <w:rPr>
                <w:rFonts w:eastAsia="Arial"/>
                <w:sz w:val="18"/>
              </w:rPr>
              <w:t>0.35</w:t>
            </w:r>
          </w:p>
        </w:tc>
        <w:tc>
          <w:tcPr>
            <w:tcW w:w="5947" w:type="dxa"/>
            <w:vAlign w:val="center"/>
          </w:tcPr>
          <w:p w14:paraId="4C968D72" w14:textId="77777777" w:rsidR="004B5E95" w:rsidRDefault="00000000">
            <w:pPr>
              <w:spacing w:before="20" w:after="20"/>
            </w:pPr>
            <w:r>
              <w:rPr>
                <w:rFonts w:eastAsia="Arial"/>
                <w:sz w:val="18"/>
              </w:rPr>
              <w:t>Uncertainty innovation scale</w:t>
            </w:r>
          </w:p>
        </w:tc>
      </w:tr>
      <w:tr w:rsidR="004B5E95" w14:paraId="6F8B09CD" w14:textId="77777777">
        <w:trPr>
          <w:cantSplit/>
        </w:trPr>
        <w:tc>
          <w:tcPr>
            <w:tcW w:w="1224" w:type="dxa"/>
            <w:vAlign w:val="center"/>
          </w:tcPr>
          <w:p w14:paraId="620BB3CB" w14:textId="77777777" w:rsidR="004B5E95" w:rsidRDefault="00000000">
            <w:pPr>
              <w:spacing w:before="20" w:after="20"/>
            </w:pPr>
            <w:r>
              <w:rPr>
                <w:rFonts w:eastAsia="Arial"/>
                <w:i/>
                <w:sz w:val="18"/>
              </w:rPr>
              <w:t>σ</w:t>
            </w:r>
            <w:r>
              <w:rPr>
                <w:rFonts w:eastAsia="Arial"/>
                <w:i/>
                <w:sz w:val="18"/>
                <w:vertAlign w:val="subscript"/>
              </w:rPr>
              <w:t>ε</w:t>
            </w:r>
          </w:p>
        </w:tc>
        <w:tc>
          <w:tcPr>
            <w:tcW w:w="1037" w:type="dxa"/>
            <w:vAlign w:val="center"/>
          </w:tcPr>
          <w:p w14:paraId="75FD4FF4" w14:textId="77777777" w:rsidR="004B5E95" w:rsidRDefault="00000000">
            <w:pPr>
              <w:spacing w:before="20" w:after="20"/>
              <w:jc w:val="center"/>
            </w:pPr>
            <w:r>
              <w:rPr>
                <w:rFonts w:eastAsia="Arial"/>
                <w:sz w:val="18"/>
              </w:rPr>
              <w:t>0.70</w:t>
            </w:r>
          </w:p>
        </w:tc>
        <w:tc>
          <w:tcPr>
            <w:tcW w:w="5947" w:type="dxa"/>
            <w:vAlign w:val="center"/>
          </w:tcPr>
          <w:p w14:paraId="11F14259" w14:textId="77777777" w:rsidR="004B5E95" w:rsidRDefault="00000000">
            <w:pPr>
              <w:spacing w:before="20" w:after="20"/>
            </w:pPr>
            <w:r>
              <w:rPr>
                <w:rFonts w:eastAsia="Arial"/>
                <w:sz w:val="18"/>
              </w:rPr>
              <w:t>Operating-surplus shock scale</w:t>
            </w:r>
          </w:p>
        </w:tc>
      </w:tr>
      <w:tr w:rsidR="004B5E95" w14:paraId="578AD4FE" w14:textId="77777777">
        <w:trPr>
          <w:cantSplit/>
        </w:trPr>
        <w:tc>
          <w:tcPr>
            <w:tcW w:w="1224" w:type="dxa"/>
            <w:vAlign w:val="center"/>
          </w:tcPr>
          <w:p w14:paraId="4403E386" w14:textId="77777777" w:rsidR="004B5E95" w:rsidRDefault="00000000">
            <w:pPr>
              <w:spacing w:before="20" w:after="20"/>
            </w:pPr>
            <w:r>
              <w:rPr>
                <w:rFonts w:eastAsia="Arial"/>
                <w:i/>
                <w:sz w:val="18"/>
              </w:rPr>
              <w:t>r</w:t>
            </w:r>
            <w:r>
              <w:rPr>
                <w:rFonts w:eastAsia="Arial"/>
                <w:i/>
                <w:sz w:val="18"/>
                <w:vertAlign w:val="subscript"/>
              </w:rPr>
              <w:t>f</w:t>
            </w:r>
          </w:p>
        </w:tc>
        <w:tc>
          <w:tcPr>
            <w:tcW w:w="1037" w:type="dxa"/>
            <w:vAlign w:val="center"/>
          </w:tcPr>
          <w:p w14:paraId="643C74CD" w14:textId="77777777" w:rsidR="004B5E95" w:rsidRDefault="00000000">
            <w:pPr>
              <w:spacing w:before="20" w:after="20"/>
              <w:jc w:val="center"/>
            </w:pPr>
            <w:r>
              <w:rPr>
                <w:rFonts w:eastAsia="Arial"/>
                <w:sz w:val="18"/>
              </w:rPr>
              <w:t>0.008</w:t>
            </w:r>
          </w:p>
        </w:tc>
        <w:tc>
          <w:tcPr>
            <w:tcW w:w="5947" w:type="dxa"/>
            <w:vAlign w:val="center"/>
          </w:tcPr>
          <w:p w14:paraId="7E59D69A" w14:textId="77777777" w:rsidR="004B5E95" w:rsidRDefault="00000000">
            <w:pPr>
              <w:spacing w:before="20" w:after="20"/>
            </w:pPr>
            <w:r>
              <w:rPr>
                <w:rFonts w:eastAsia="Arial"/>
                <w:sz w:val="18"/>
              </w:rPr>
              <w:t>Quarterly risk-free rate</w:t>
            </w:r>
          </w:p>
        </w:tc>
      </w:tr>
      <w:tr w:rsidR="004B5E95" w14:paraId="5A237205" w14:textId="77777777">
        <w:trPr>
          <w:cantSplit/>
        </w:trPr>
        <w:tc>
          <w:tcPr>
            <w:tcW w:w="1224" w:type="dxa"/>
            <w:vAlign w:val="center"/>
          </w:tcPr>
          <w:p w14:paraId="041A08A4" w14:textId="77777777" w:rsidR="004B5E95" w:rsidRDefault="00000000">
            <w:pPr>
              <w:spacing w:before="20" w:after="20"/>
            </w:pPr>
            <w:r>
              <w:rPr>
                <w:rFonts w:eastAsia="Arial"/>
                <w:i/>
                <w:sz w:val="18"/>
              </w:rPr>
              <w:t>λ</w:t>
            </w:r>
          </w:p>
        </w:tc>
        <w:tc>
          <w:tcPr>
            <w:tcW w:w="1037" w:type="dxa"/>
            <w:vAlign w:val="center"/>
          </w:tcPr>
          <w:p w14:paraId="75CA326C" w14:textId="77777777" w:rsidR="004B5E95" w:rsidRDefault="00000000">
            <w:pPr>
              <w:spacing w:before="20" w:after="20"/>
              <w:jc w:val="center"/>
            </w:pPr>
            <w:r>
              <w:rPr>
                <w:rFonts w:eastAsia="Arial"/>
                <w:sz w:val="18"/>
              </w:rPr>
              <w:t>0.60</w:t>
            </w:r>
          </w:p>
        </w:tc>
        <w:tc>
          <w:tcPr>
            <w:tcW w:w="5947" w:type="dxa"/>
            <w:vAlign w:val="center"/>
          </w:tcPr>
          <w:p w14:paraId="68FD57F0" w14:textId="77777777" w:rsidR="004B5E95" w:rsidRDefault="00000000">
            <w:pPr>
              <w:spacing w:before="20" w:after="20"/>
            </w:pPr>
            <w:r>
              <w:rPr>
                <w:rFonts w:eastAsia="Arial"/>
                <w:sz w:val="18"/>
              </w:rPr>
              <w:t>Creditor loss fraction in priced adverse state</w:t>
            </w:r>
          </w:p>
        </w:tc>
      </w:tr>
      <w:tr w:rsidR="004B5E95" w14:paraId="36599EEF" w14:textId="77777777">
        <w:trPr>
          <w:cantSplit/>
        </w:trPr>
        <w:tc>
          <w:tcPr>
            <w:tcW w:w="1224" w:type="dxa"/>
            <w:vAlign w:val="center"/>
          </w:tcPr>
          <w:p w14:paraId="1CDA0FDF" w14:textId="77777777" w:rsidR="004B5E95" w:rsidRDefault="00000000">
            <w:pPr>
              <w:spacing w:before="20" w:after="20"/>
            </w:pPr>
            <w:r>
              <w:rPr>
                <w:rFonts w:eastAsia="Arial"/>
                <w:i/>
                <w:sz w:val="18"/>
              </w:rPr>
              <w:t>B̄</w:t>
            </w:r>
          </w:p>
        </w:tc>
        <w:tc>
          <w:tcPr>
            <w:tcW w:w="1037" w:type="dxa"/>
            <w:vAlign w:val="center"/>
          </w:tcPr>
          <w:p w14:paraId="749FA09F" w14:textId="77777777" w:rsidR="004B5E95" w:rsidRDefault="00000000">
            <w:pPr>
              <w:spacing w:before="20" w:after="20"/>
              <w:jc w:val="center"/>
            </w:pPr>
            <w:r>
              <w:rPr>
                <w:rFonts w:eastAsia="Arial"/>
                <w:sz w:val="18"/>
              </w:rPr>
              <w:t>12.00</w:t>
            </w:r>
          </w:p>
        </w:tc>
        <w:tc>
          <w:tcPr>
            <w:tcW w:w="5947" w:type="dxa"/>
            <w:vAlign w:val="center"/>
          </w:tcPr>
          <w:p w14:paraId="2AE1DFF6" w14:textId="77777777" w:rsidR="004B5E95" w:rsidRDefault="00000000">
            <w:pPr>
              <w:spacing w:before="20" w:after="20"/>
            </w:pPr>
            <w:r>
              <w:rPr>
                <w:rFonts w:eastAsia="Arial"/>
                <w:sz w:val="18"/>
              </w:rPr>
              <w:t>Debt-scale parameter</w:t>
            </w:r>
          </w:p>
        </w:tc>
      </w:tr>
      <w:tr w:rsidR="004B5E95" w14:paraId="05EE6CA8" w14:textId="77777777">
        <w:trPr>
          <w:cantSplit/>
        </w:trPr>
        <w:tc>
          <w:tcPr>
            <w:tcW w:w="1224" w:type="dxa"/>
            <w:vAlign w:val="center"/>
          </w:tcPr>
          <w:p w14:paraId="27330401" w14:textId="77777777" w:rsidR="004B5E95" w:rsidRDefault="00000000">
            <w:pPr>
              <w:spacing w:before="20" w:after="20"/>
            </w:pPr>
            <w:r>
              <w:rPr>
                <w:rFonts w:eastAsia="Arial"/>
                <w:i/>
                <w:sz w:val="18"/>
              </w:rPr>
              <w:t>ω</w:t>
            </w:r>
          </w:p>
        </w:tc>
        <w:tc>
          <w:tcPr>
            <w:tcW w:w="1037" w:type="dxa"/>
            <w:vAlign w:val="center"/>
          </w:tcPr>
          <w:p w14:paraId="6B2D5149" w14:textId="77777777" w:rsidR="004B5E95" w:rsidRDefault="00000000">
            <w:pPr>
              <w:spacing w:before="20" w:after="20"/>
              <w:jc w:val="center"/>
            </w:pPr>
            <w:r>
              <w:rPr>
                <w:rFonts w:eastAsia="Arial"/>
                <w:sz w:val="18"/>
              </w:rPr>
              <w:t>0.55</w:t>
            </w:r>
          </w:p>
        </w:tc>
        <w:tc>
          <w:tcPr>
            <w:tcW w:w="5947" w:type="dxa"/>
            <w:vAlign w:val="center"/>
          </w:tcPr>
          <w:p w14:paraId="44943CD4" w14:textId="77777777" w:rsidR="004B5E95" w:rsidRDefault="00000000">
            <w:pPr>
              <w:spacing w:before="20" w:after="20"/>
            </w:pPr>
            <w:r>
              <w:rPr>
                <w:rFonts w:eastAsia="Arial"/>
                <w:sz w:val="18"/>
              </w:rPr>
              <w:t>Baseline financing intensity, so B = B̄ω</w:t>
            </w:r>
          </w:p>
        </w:tc>
      </w:tr>
      <w:tr w:rsidR="004B5E95" w14:paraId="54EBD959" w14:textId="77777777">
        <w:trPr>
          <w:cantSplit/>
        </w:trPr>
        <w:tc>
          <w:tcPr>
            <w:tcW w:w="1224" w:type="dxa"/>
            <w:vAlign w:val="center"/>
          </w:tcPr>
          <w:p w14:paraId="26CB2221" w14:textId="77777777" w:rsidR="004B5E95" w:rsidRDefault="00000000">
            <w:pPr>
              <w:spacing w:before="20" w:after="20"/>
            </w:pPr>
            <w:r>
              <w:rPr>
                <w:rFonts w:eastAsia="Arial"/>
                <w:i/>
                <w:sz w:val="18"/>
              </w:rPr>
              <w:t>ℓ</w:t>
            </w:r>
            <w:r>
              <w:rPr>
                <w:rFonts w:eastAsia="Arial"/>
                <w:i/>
                <w:sz w:val="18"/>
                <w:vertAlign w:val="subscript"/>
              </w:rPr>
              <w:t>0</w:t>
            </w:r>
          </w:p>
        </w:tc>
        <w:tc>
          <w:tcPr>
            <w:tcW w:w="1037" w:type="dxa"/>
            <w:vAlign w:val="center"/>
          </w:tcPr>
          <w:p w14:paraId="59E90F33" w14:textId="77777777" w:rsidR="004B5E95" w:rsidRDefault="00000000">
            <w:pPr>
              <w:spacing w:before="20" w:after="20"/>
              <w:jc w:val="center"/>
            </w:pPr>
            <w:r>
              <w:rPr>
                <w:rFonts w:eastAsia="Arial"/>
                <w:sz w:val="18"/>
              </w:rPr>
              <w:t>8.00</w:t>
            </w:r>
          </w:p>
        </w:tc>
        <w:tc>
          <w:tcPr>
            <w:tcW w:w="5947" w:type="dxa"/>
            <w:vAlign w:val="center"/>
          </w:tcPr>
          <w:p w14:paraId="5CF8EEBE" w14:textId="77777777" w:rsidR="004B5E95" w:rsidRDefault="00000000">
            <w:pPr>
              <w:spacing w:before="20" w:after="20"/>
            </w:pPr>
            <w:r>
              <w:rPr>
                <w:rFonts w:eastAsia="Arial"/>
                <w:sz w:val="18"/>
              </w:rPr>
              <w:t>Mean baseline incident severity</w:t>
            </w:r>
          </w:p>
        </w:tc>
      </w:tr>
      <w:tr w:rsidR="004B5E95" w14:paraId="47002B2C" w14:textId="77777777">
        <w:trPr>
          <w:cantSplit/>
        </w:trPr>
        <w:tc>
          <w:tcPr>
            <w:tcW w:w="1224" w:type="dxa"/>
            <w:vAlign w:val="center"/>
          </w:tcPr>
          <w:p w14:paraId="76FDFB81" w14:textId="77777777" w:rsidR="004B5E95" w:rsidRDefault="00000000">
            <w:pPr>
              <w:spacing w:before="20" w:after="20"/>
            </w:pPr>
            <w:r>
              <w:rPr>
                <w:rFonts w:eastAsia="Arial"/>
                <w:i/>
                <w:sz w:val="18"/>
              </w:rPr>
              <w:t>ξ</w:t>
            </w:r>
          </w:p>
        </w:tc>
        <w:tc>
          <w:tcPr>
            <w:tcW w:w="1037" w:type="dxa"/>
            <w:vAlign w:val="center"/>
          </w:tcPr>
          <w:p w14:paraId="08A66B58" w14:textId="77777777" w:rsidR="004B5E95" w:rsidRDefault="00000000">
            <w:pPr>
              <w:spacing w:before="20" w:after="20"/>
              <w:jc w:val="center"/>
            </w:pPr>
            <w:r>
              <w:rPr>
                <w:rFonts w:eastAsia="Arial"/>
                <w:sz w:val="18"/>
              </w:rPr>
              <w:t>0.45</w:t>
            </w:r>
          </w:p>
        </w:tc>
        <w:tc>
          <w:tcPr>
            <w:tcW w:w="5947" w:type="dxa"/>
            <w:vAlign w:val="center"/>
          </w:tcPr>
          <w:p w14:paraId="7370BC99" w14:textId="77777777" w:rsidR="004B5E95" w:rsidRDefault="00000000">
            <w:pPr>
              <w:spacing w:before="20" w:after="20"/>
            </w:pPr>
            <w:r>
              <w:rPr>
                <w:rFonts w:eastAsia="Arial"/>
                <w:sz w:val="18"/>
              </w:rPr>
              <w:t>Verification-debt severity multiplier</w:t>
            </w:r>
          </w:p>
        </w:tc>
      </w:tr>
      <w:tr w:rsidR="004B5E95" w14:paraId="17E50D96" w14:textId="77777777">
        <w:trPr>
          <w:cantSplit/>
        </w:trPr>
        <w:tc>
          <w:tcPr>
            <w:tcW w:w="1224" w:type="dxa"/>
            <w:vAlign w:val="center"/>
          </w:tcPr>
          <w:p w14:paraId="6C851EE8" w14:textId="77777777" w:rsidR="004B5E95" w:rsidRDefault="00000000">
            <w:pPr>
              <w:spacing w:before="20" w:after="20"/>
            </w:pPr>
            <w:r>
              <w:rPr>
                <w:rFonts w:eastAsia="Arial"/>
                <w:i/>
                <w:sz w:val="18"/>
              </w:rPr>
              <w:t>σ</w:t>
            </w:r>
            <w:r>
              <w:rPr>
                <w:rFonts w:eastAsia="Arial"/>
                <w:i/>
                <w:sz w:val="18"/>
                <w:vertAlign w:val="subscript"/>
              </w:rPr>
              <w:t>ℓ</w:t>
            </w:r>
          </w:p>
        </w:tc>
        <w:tc>
          <w:tcPr>
            <w:tcW w:w="1037" w:type="dxa"/>
            <w:vAlign w:val="center"/>
          </w:tcPr>
          <w:p w14:paraId="49FFA803" w14:textId="77777777" w:rsidR="004B5E95" w:rsidRDefault="00000000">
            <w:pPr>
              <w:spacing w:before="20" w:after="20"/>
              <w:jc w:val="center"/>
            </w:pPr>
            <w:r>
              <w:rPr>
                <w:rFonts w:eastAsia="Arial"/>
                <w:sz w:val="18"/>
              </w:rPr>
              <w:t>0.35</w:t>
            </w:r>
          </w:p>
        </w:tc>
        <w:tc>
          <w:tcPr>
            <w:tcW w:w="5947" w:type="dxa"/>
            <w:vAlign w:val="center"/>
          </w:tcPr>
          <w:p w14:paraId="6FDD4D22" w14:textId="77777777" w:rsidR="004B5E95" w:rsidRDefault="00000000">
            <w:pPr>
              <w:spacing w:before="20" w:after="20"/>
            </w:pPr>
            <w:r>
              <w:rPr>
                <w:rFonts w:eastAsia="Arial"/>
                <w:sz w:val="18"/>
              </w:rPr>
              <w:t>Lognormal incident-severity volatility</w:t>
            </w:r>
          </w:p>
        </w:tc>
      </w:tr>
    </w:tbl>
    <w:p w14:paraId="4946ED43" w14:textId="77777777" w:rsidR="004B5E95" w:rsidRDefault="00000000">
      <w:pPr>
        <w:jc w:val="both"/>
      </w:pPr>
      <w:r>
        <w:rPr>
          <w:rFonts w:eastAsia="Arial"/>
        </w:rPr>
        <w:t xml:space="preserve">Five stylised fixed policies are compared. Conventional controls use low automation and moderate verification </w:t>
      </w:r>
      <m:oMath>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0.20</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0.45</m:t>
            </m:r>
          </m:e>
        </m:d>
      </m:oMath>
      <w:r>
        <w:rPr>
          <w:rFonts w:eastAsia="Arial"/>
        </w:rPr>
        <w:t xml:space="preserve">. Acceleration-first uses high automation with weak verification </w:t>
      </w:r>
      <m:oMath>
        <m:d>
          <m:dPr>
            <m:ctrlPr>
              <w:rPr>
                <w:rFonts w:ascii="Cambria Math" w:hAnsi="Cambria Math"/>
              </w:rPr>
            </m:ctrlPr>
          </m:dPr>
          <m:e>
            <m:r>
              <w:rPr>
                <w:rFonts w:ascii="Cambria Math" w:hAnsi="Cambria Math"/>
              </w:rPr>
              <m:t>0.90</m:t>
            </m:r>
            <m:r>
              <m:rPr>
                <m:sty m:val="p"/>
              </m:rPr>
              <w:rPr>
                <w:rFonts w:ascii="Cambria Math" w:hAnsi="Cambria Math"/>
              </w:rPr>
              <m:t>,</m:t>
            </m:r>
            <m:r>
              <w:rPr>
                <w:rFonts w:ascii="Cambria Math" w:hAnsi="Cambria Math"/>
              </w:rPr>
              <m:t>0.20</m:t>
            </m:r>
          </m:e>
        </m:d>
      </m:oMath>
      <w:r>
        <w:rPr>
          <w:rFonts w:eastAsia="Arial"/>
        </w:rPr>
        <w:t xml:space="preserve">. Balanced assurance uses moderate-high automation and verification </w:t>
      </w:r>
      <m:oMath>
        <m:d>
          <m:dPr>
            <m:ctrlPr>
              <w:rPr>
                <w:rFonts w:ascii="Cambria Math" w:hAnsi="Cambria Math"/>
              </w:rPr>
            </m:ctrlPr>
          </m:dPr>
          <m:e>
            <m:r>
              <w:rPr>
                <w:rFonts w:ascii="Cambria Math" w:hAnsi="Cambria Math"/>
              </w:rPr>
              <m:t>0.65</m:t>
            </m:r>
            <m:r>
              <m:rPr>
                <m:sty m:val="p"/>
              </m:rPr>
              <w:rPr>
                <w:rFonts w:ascii="Cambria Math" w:hAnsi="Cambria Math"/>
              </w:rPr>
              <m:t>,</m:t>
            </m:r>
            <m:r>
              <w:rPr>
                <w:rFonts w:ascii="Cambria Math" w:hAnsi="Cambria Math"/>
              </w:rPr>
              <m:t>0.65</m:t>
            </m:r>
          </m:e>
        </m:d>
      </m:oMath>
      <w:r>
        <w:rPr>
          <w:rFonts w:eastAsia="Arial"/>
        </w:rPr>
        <w:t xml:space="preserve">. Assurance-scaled automation uses high automation with verification near the analytically relevant threshold </w:t>
      </w:r>
      <m:oMath>
        <m:d>
          <m:dPr>
            <m:ctrlPr>
              <w:rPr>
                <w:rFonts w:ascii="Cambria Math" w:hAnsi="Cambria Math"/>
              </w:rPr>
            </m:ctrlPr>
          </m:dPr>
          <m:e>
            <m:r>
              <w:rPr>
                <w:rFonts w:ascii="Cambria Math" w:hAnsi="Cambria Math"/>
              </w:rPr>
              <m:t>0.85</m:t>
            </m:r>
            <m:r>
              <m:rPr>
                <m:sty m:val="p"/>
              </m:rPr>
              <w:rPr>
                <w:rFonts w:ascii="Cambria Math" w:hAnsi="Cambria Math"/>
              </w:rPr>
              <m:t>,</m:t>
            </m:r>
            <m:r>
              <w:rPr>
                <w:rFonts w:ascii="Cambria Math" w:hAnsi="Cambria Math"/>
              </w:rPr>
              <m:t>0.60</m:t>
            </m:r>
          </m:e>
        </m:d>
      </m:oMath>
      <w:r>
        <w:rPr>
          <w:rFonts w:eastAsia="Arial"/>
        </w:rPr>
        <w:t xml:space="preserve">. Assurance-heavy uses moderate automation and very high verification </w:t>
      </w:r>
      <m:oMath>
        <m:d>
          <m:dPr>
            <m:ctrlPr>
              <w:rPr>
                <w:rFonts w:ascii="Cambria Math" w:hAnsi="Cambria Math"/>
              </w:rPr>
            </m:ctrlPr>
          </m:dPr>
          <m:e>
            <m:r>
              <w:rPr>
                <w:rFonts w:ascii="Cambria Math" w:hAnsi="Cambria Math"/>
              </w:rPr>
              <m:t>0.45</m:t>
            </m:r>
            <m:r>
              <m:rPr>
                <m:sty m:val="p"/>
              </m:rPr>
              <w:rPr>
                <w:rFonts w:ascii="Cambria Math" w:hAnsi="Cambria Math"/>
              </w:rPr>
              <m:t>,</m:t>
            </m:r>
            <m:r>
              <w:rPr>
                <w:rFonts w:ascii="Cambria Math" w:hAnsi="Cambria Math"/>
              </w:rPr>
              <m:t>0.95</m:t>
            </m:r>
          </m:e>
        </m:d>
      </m:oMath>
      <w:r>
        <w:rPr>
          <w:rFonts w:eastAsia="Arial"/>
        </w:rPr>
        <w:t>.</w:t>
      </w:r>
    </w:p>
    <w:p w14:paraId="4108FEE7" w14:textId="77777777" w:rsidR="004B5E95" w:rsidRDefault="00000000">
      <w:pPr>
        <w:keepNext/>
        <w:spacing w:before="120" w:after="60"/>
      </w:pPr>
      <w:bookmarkStart w:id="19" w:name="X2b3b0542b08e1f1dd9cc6d49efaf71da0783427"/>
      <w:bookmarkEnd w:id="18"/>
      <w:r>
        <w:rPr>
          <w:rFonts w:eastAsia="Arial"/>
          <w:b/>
          <w:sz w:val="22"/>
        </w:rPr>
        <w:t>3.11 Computational implementation, reproducibility, and generative artificial intelligence use</w:t>
      </w:r>
    </w:p>
    <w:p w14:paraId="1127BC69" w14:textId="77777777" w:rsidR="004B5E95" w:rsidRDefault="00000000">
      <w:pPr>
        <w:jc w:val="both"/>
      </w:pPr>
      <w:r>
        <w:rPr>
          <w:rFonts w:eastAsia="Arial"/>
        </w:rPr>
        <w:t xml:space="preserve">The simulation was implemented in Python using NumPy for random-number generation and vectorised state updates, pandas for result tabulation, and Matplotlib for figures. The master random seed is 20260810. The complete baseline parameter set is reported in Table 1; the </w:t>
      </w:r>
      <w:r>
        <w:rPr>
          <w:rFonts w:eastAsia="Arial"/>
        </w:rPr>
        <w:lastRenderedPageBreak/>
        <w:t>policy grid spans 0.10 to 0.95 in increments of 0.05 for both automation and verification. Common random numbers are used for paired policy comparisons and grid evaluations. Within each quarter, the algorithm draws the uncertainty innovation, operating-surplus shock, incident uniform variate, and severity innovation in a fixed order; it then updates uncertainty, computes operating surplus and adverse-state probability, prices debt, realises any incident loss and net cash flow, discounts value, and finally updates verification debt and human oversight capability.</w:t>
      </w:r>
    </w:p>
    <w:p w14:paraId="3C73CF7A" w14:textId="77777777" w:rsidR="004B5E95" w:rsidRDefault="00000000">
      <w:pPr>
        <w:jc w:val="both"/>
      </w:pPr>
      <w:r>
        <w:rPr>
          <w:rFonts w:eastAsia="Arial"/>
        </w:rPr>
        <w:t>OpenAI ChatGPT (GPT-5.6 Sol model/version, provided by OpenAI; accessed August 2026) was used as a drafting, coding-support, language-editing, and formatting assistant during manuscript preparation and revision. It did not provide external empirical observations. All literature additions were checked against publisher or primary bibliographic records. Simulation outputs were generated from the explicit model and checked against the analytical equations, parameter bounds, convergence behaviour, sensitivity results, and independent recomputation of summary statistics. The author reviewed and approved all AI-assisted output and retains full responsibility for the accuracy, originality, interpretation, and final submitted manuscript.</w:t>
      </w:r>
    </w:p>
    <w:p w14:paraId="41EB522A" w14:textId="77777777" w:rsidR="004B5E95" w:rsidRDefault="00000000">
      <w:pPr>
        <w:jc w:val="both"/>
      </w:pPr>
      <w:r>
        <w:rPr>
          <w:rFonts w:eastAsia="Arial"/>
          <w:b/>
          <w:sz w:val="22"/>
        </w:rPr>
        <w:t>3.12 Numerical validation and convergence protocol</w:t>
      </w:r>
    </w:p>
    <w:p w14:paraId="7BBBDCBC" w14:textId="77777777" w:rsidR="004B5E95" w:rsidRDefault="00000000">
      <w:pPr>
        <w:jc w:val="both"/>
      </w:pPr>
      <w:r>
        <w:rPr>
          <w:rFonts w:eastAsia="Arial"/>
        </w:rPr>
        <w:t>Numerical validation was designed to distinguish structural results from Monte Carlo noise. First, Equations (8)-(10), (12), and (14)-(15) were independently re-derived and checked against the implemented functions. Second, the regime comparison was repeated at increasing trajectory counts from 2,500 to 40,000 using the same seed and simulation order. Appendix A reports the resulting convergence audit. The ranking of acceleration-first, balanced assurance, and assurance-scaled automation remains unchanged while Monte Carlo standard errors decline approximately with the square root of the trajectory count. Third, the complete policy grid was rerun at alternative horizons of 24 and 72 quarters. The preferred region remains high automation with moderate-high verification, although the exact discrete automation coordinate can shift over longer horizons. These checks support the stability of the qualitative policy conclusions without converting the stylised model into an empirical estimate.</w:t>
      </w:r>
    </w:p>
    <w:p w14:paraId="71102370" w14:textId="77777777" w:rsidR="004B5E95" w:rsidRDefault="00000000">
      <w:pPr>
        <w:pStyle w:val="Heading1"/>
        <w:spacing w:before="160" w:after="100"/>
      </w:pPr>
      <w:bookmarkStart w:id="20" w:name="results-and-discussion"/>
      <w:bookmarkEnd w:id="8"/>
      <w:bookmarkEnd w:id="19"/>
      <w:r>
        <w:rPr>
          <w:rFonts w:eastAsia="Arial"/>
          <w:sz w:val="22"/>
        </w:rPr>
        <w:t>4. RESULTS AND DISCUSSION</w:t>
      </w:r>
    </w:p>
    <w:p w14:paraId="132C655E" w14:textId="77777777" w:rsidR="004B5E95" w:rsidRDefault="00000000">
      <w:pPr>
        <w:keepNext/>
        <w:spacing w:before="120" w:after="60"/>
      </w:pPr>
      <w:bookmarkStart w:id="21" w:name="regime-comparison"/>
      <w:r>
        <w:rPr>
          <w:rFonts w:eastAsia="Arial"/>
          <w:b/>
          <w:sz w:val="22"/>
        </w:rPr>
        <w:t>4.1 Regime comparison</w:t>
      </w:r>
    </w:p>
    <w:p w14:paraId="29398D5C" w14:textId="77777777" w:rsidR="004B5E95" w:rsidRDefault="00000000">
      <w:pPr>
        <w:jc w:val="both"/>
      </w:pPr>
      <w:r>
        <w:rPr>
          <w:rFonts w:eastAsia="Arial"/>
        </w:rPr>
        <w:t>The five-regime experiment produces a clear distinction between task acceleration and financing-adjusted value. Table 2 reports mean discounted firm value with its Monte Carlo standard error in parentheses, average quarterly borrowing premium, mean probability of the priced adverse state, terminal verification debt, and terminal human capability.</w:t>
      </w:r>
    </w:p>
    <w:p w14:paraId="1FF0BD78" w14:textId="77777777" w:rsidR="004B5E95" w:rsidRDefault="00000000">
      <w:pPr>
        <w:keepNext/>
        <w:spacing w:before="120" w:after="60"/>
      </w:pPr>
      <w:r>
        <w:rPr>
          <w:rFonts w:eastAsia="Arial"/>
          <w:b/>
          <w:bCs/>
        </w:rPr>
        <w:t>Table 2. Outcomes for five stylised management regimes</w:t>
      </w:r>
    </w:p>
    <w:tbl>
      <w:tblPr>
        <w:tblW w:w="8179" w:type="dxa"/>
        <w:tblBorders>
          <w:top w:val="single" w:sz="8" w:space="0" w:color="000000"/>
          <w:left w:val="nil"/>
          <w:bottom w:val="single" w:sz="8" w:space="0" w:color="000000"/>
          <w:right w:val="nil"/>
          <w:insideH w:val="single" w:sz="4" w:space="0" w:color="BFBFBF"/>
          <w:insideV w:val="nil"/>
        </w:tblBorders>
        <w:tblLayout w:type="fixed"/>
        <w:tblLook w:val="04A0" w:firstRow="1" w:lastRow="0" w:firstColumn="1" w:lastColumn="0" w:noHBand="0" w:noVBand="1"/>
      </w:tblPr>
      <w:tblGrid>
        <w:gridCol w:w="1699"/>
        <w:gridCol w:w="1123"/>
        <w:gridCol w:w="1195"/>
        <w:gridCol w:w="1224"/>
        <w:gridCol w:w="1498"/>
        <w:gridCol w:w="720"/>
        <w:gridCol w:w="720"/>
      </w:tblGrid>
      <w:tr w:rsidR="004B5E95" w14:paraId="62506977" w14:textId="77777777">
        <w:trPr>
          <w:cantSplit/>
          <w:tblHeader/>
        </w:trPr>
        <w:tc>
          <w:tcPr>
            <w:tcW w:w="1699" w:type="dxa"/>
            <w:vAlign w:val="center"/>
          </w:tcPr>
          <w:p w14:paraId="71A15D29" w14:textId="77777777" w:rsidR="004B5E95" w:rsidRDefault="00000000">
            <w:pPr>
              <w:spacing w:before="20" w:after="20"/>
            </w:pPr>
            <w:r>
              <w:rPr>
                <w:rFonts w:eastAsia="Arial"/>
                <w:b/>
                <w:sz w:val="16"/>
              </w:rPr>
              <w:t>Regime</w:t>
            </w:r>
          </w:p>
        </w:tc>
        <w:tc>
          <w:tcPr>
            <w:tcW w:w="1123" w:type="dxa"/>
            <w:vAlign w:val="center"/>
          </w:tcPr>
          <w:p w14:paraId="567FF36A" w14:textId="77777777" w:rsidR="004B5E95" w:rsidRDefault="00000000">
            <w:pPr>
              <w:spacing w:before="20" w:after="20"/>
              <w:jc w:val="center"/>
            </w:pPr>
            <w:r>
              <w:rPr>
                <w:rFonts w:eastAsia="Arial"/>
                <w:b/>
                <w:sz w:val="16"/>
              </w:rPr>
              <w:t>Policy (a, v)</w:t>
            </w:r>
          </w:p>
        </w:tc>
        <w:tc>
          <w:tcPr>
            <w:tcW w:w="1195" w:type="dxa"/>
            <w:vAlign w:val="center"/>
          </w:tcPr>
          <w:p w14:paraId="05AA1DBA" w14:textId="77777777" w:rsidR="004B5E95" w:rsidRDefault="00000000">
            <w:pPr>
              <w:spacing w:before="20" w:after="20"/>
              <w:jc w:val="center"/>
            </w:pPr>
            <w:r>
              <w:rPr>
                <w:rFonts w:eastAsia="Arial"/>
                <w:b/>
                <w:sz w:val="16"/>
              </w:rPr>
              <w:t>Mean value (MCSE)</w:t>
            </w:r>
          </w:p>
        </w:tc>
        <w:tc>
          <w:tcPr>
            <w:tcW w:w="1224" w:type="dxa"/>
            <w:vAlign w:val="center"/>
          </w:tcPr>
          <w:p w14:paraId="6A43117B" w14:textId="77777777" w:rsidR="004B5E95" w:rsidRDefault="00000000">
            <w:pPr>
              <w:spacing w:before="20" w:after="20"/>
              <w:jc w:val="center"/>
            </w:pPr>
            <w:r>
              <w:rPr>
                <w:rFonts w:eastAsia="Arial"/>
                <w:b/>
                <w:sz w:val="16"/>
              </w:rPr>
              <w:t>Borrowing premium (bp)</w:t>
            </w:r>
          </w:p>
        </w:tc>
        <w:tc>
          <w:tcPr>
            <w:tcW w:w="1498" w:type="dxa"/>
            <w:vAlign w:val="center"/>
          </w:tcPr>
          <w:p w14:paraId="2A027C45" w14:textId="77777777" w:rsidR="004B5E95" w:rsidRDefault="00000000">
            <w:pPr>
              <w:spacing w:before="20" w:after="20"/>
              <w:jc w:val="center"/>
            </w:pPr>
            <w:r>
              <w:rPr>
                <w:rFonts w:eastAsia="Arial"/>
                <w:b/>
                <w:sz w:val="16"/>
              </w:rPr>
              <w:t>Priced adverse-state probability (%)</w:t>
            </w:r>
          </w:p>
        </w:tc>
        <w:tc>
          <w:tcPr>
            <w:tcW w:w="720" w:type="dxa"/>
            <w:vAlign w:val="center"/>
          </w:tcPr>
          <w:p w14:paraId="3C661BB6" w14:textId="77777777" w:rsidR="004B5E95" w:rsidRDefault="00000000">
            <w:pPr>
              <w:spacing w:before="20" w:after="20"/>
              <w:jc w:val="center"/>
            </w:pPr>
            <w:r>
              <w:rPr>
                <w:rFonts w:eastAsia="Arial"/>
                <w:b/>
                <w:sz w:val="16"/>
              </w:rPr>
              <w:t>End q</w:t>
            </w:r>
          </w:p>
        </w:tc>
        <w:tc>
          <w:tcPr>
            <w:tcW w:w="720" w:type="dxa"/>
            <w:vAlign w:val="center"/>
          </w:tcPr>
          <w:p w14:paraId="3441FB3F" w14:textId="77777777" w:rsidR="004B5E95" w:rsidRDefault="00000000">
            <w:pPr>
              <w:spacing w:before="20" w:after="20"/>
              <w:jc w:val="center"/>
            </w:pPr>
            <w:r>
              <w:rPr>
                <w:rFonts w:eastAsia="Arial"/>
                <w:b/>
                <w:sz w:val="16"/>
              </w:rPr>
              <w:t>End h</w:t>
            </w:r>
          </w:p>
        </w:tc>
      </w:tr>
      <w:tr w:rsidR="004B5E95" w14:paraId="60E84FA4" w14:textId="77777777">
        <w:trPr>
          <w:cantSplit/>
        </w:trPr>
        <w:tc>
          <w:tcPr>
            <w:tcW w:w="1699" w:type="dxa"/>
            <w:vAlign w:val="center"/>
          </w:tcPr>
          <w:p w14:paraId="41EAE24E" w14:textId="77777777" w:rsidR="004B5E95" w:rsidRDefault="00000000">
            <w:pPr>
              <w:spacing w:before="20" w:after="20"/>
            </w:pPr>
            <w:r>
              <w:rPr>
                <w:rFonts w:eastAsia="Arial"/>
                <w:sz w:val="16"/>
              </w:rPr>
              <w:t>Conventional controls</w:t>
            </w:r>
          </w:p>
        </w:tc>
        <w:tc>
          <w:tcPr>
            <w:tcW w:w="1123" w:type="dxa"/>
            <w:vAlign w:val="center"/>
          </w:tcPr>
          <w:p w14:paraId="6AF8AFA3" w14:textId="77777777" w:rsidR="004B5E95" w:rsidRDefault="00000000">
            <w:pPr>
              <w:spacing w:before="20" w:after="20"/>
              <w:jc w:val="center"/>
            </w:pPr>
            <w:r>
              <w:rPr>
                <w:rFonts w:eastAsia="Arial"/>
                <w:sz w:val="16"/>
              </w:rPr>
              <w:t>(0.20, 0.45)</w:t>
            </w:r>
          </w:p>
        </w:tc>
        <w:tc>
          <w:tcPr>
            <w:tcW w:w="1195" w:type="dxa"/>
            <w:vAlign w:val="center"/>
          </w:tcPr>
          <w:p w14:paraId="6176F03B" w14:textId="77777777" w:rsidR="004B5E95" w:rsidRDefault="00000000">
            <w:pPr>
              <w:spacing w:before="20" w:after="20"/>
              <w:jc w:val="center"/>
            </w:pPr>
            <w:r>
              <w:rPr>
                <w:rFonts w:eastAsia="Arial"/>
                <w:sz w:val="16"/>
              </w:rPr>
              <w:t>352.97 (0.03)</w:t>
            </w:r>
          </w:p>
        </w:tc>
        <w:tc>
          <w:tcPr>
            <w:tcW w:w="1224" w:type="dxa"/>
            <w:vAlign w:val="center"/>
          </w:tcPr>
          <w:p w14:paraId="2AEAF68E" w14:textId="77777777" w:rsidR="004B5E95" w:rsidRDefault="00000000">
            <w:pPr>
              <w:spacing w:before="20" w:after="20"/>
              <w:jc w:val="center"/>
            </w:pPr>
            <w:r>
              <w:rPr>
                <w:rFonts w:eastAsia="Arial"/>
                <w:sz w:val="16"/>
              </w:rPr>
              <w:t>12.21</w:t>
            </w:r>
          </w:p>
        </w:tc>
        <w:tc>
          <w:tcPr>
            <w:tcW w:w="1498" w:type="dxa"/>
            <w:vAlign w:val="center"/>
          </w:tcPr>
          <w:p w14:paraId="13016760" w14:textId="77777777" w:rsidR="004B5E95" w:rsidRDefault="00000000">
            <w:pPr>
              <w:spacing w:before="20" w:after="20"/>
              <w:jc w:val="center"/>
            </w:pPr>
            <w:r>
              <w:rPr>
                <w:rFonts w:eastAsia="Arial"/>
                <w:sz w:val="16"/>
              </w:rPr>
              <w:t>0.202</w:t>
            </w:r>
          </w:p>
        </w:tc>
        <w:tc>
          <w:tcPr>
            <w:tcW w:w="720" w:type="dxa"/>
            <w:vAlign w:val="center"/>
          </w:tcPr>
          <w:p w14:paraId="37E793C9" w14:textId="77777777" w:rsidR="004B5E95" w:rsidRDefault="00000000">
            <w:pPr>
              <w:spacing w:before="20" w:after="20"/>
              <w:jc w:val="center"/>
            </w:pPr>
            <w:r>
              <w:rPr>
                <w:rFonts w:eastAsia="Arial"/>
                <w:sz w:val="16"/>
              </w:rPr>
              <w:t>0.000</w:t>
            </w:r>
          </w:p>
        </w:tc>
        <w:tc>
          <w:tcPr>
            <w:tcW w:w="720" w:type="dxa"/>
            <w:vAlign w:val="center"/>
          </w:tcPr>
          <w:p w14:paraId="4A1D4B8D" w14:textId="77777777" w:rsidR="004B5E95" w:rsidRDefault="00000000">
            <w:pPr>
              <w:spacing w:before="20" w:after="20"/>
              <w:jc w:val="center"/>
            </w:pPr>
            <w:r>
              <w:rPr>
                <w:rFonts w:eastAsia="Arial"/>
                <w:sz w:val="16"/>
              </w:rPr>
              <w:t>0.854</w:t>
            </w:r>
          </w:p>
        </w:tc>
      </w:tr>
      <w:tr w:rsidR="004B5E95" w14:paraId="4ABA085B" w14:textId="77777777">
        <w:trPr>
          <w:cantSplit/>
        </w:trPr>
        <w:tc>
          <w:tcPr>
            <w:tcW w:w="1699" w:type="dxa"/>
            <w:vAlign w:val="center"/>
          </w:tcPr>
          <w:p w14:paraId="4B44243D" w14:textId="77777777" w:rsidR="004B5E95" w:rsidRDefault="00000000">
            <w:pPr>
              <w:spacing w:before="20" w:after="20"/>
            </w:pPr>
            <w:r>
              <w:rPr>
                <w:rFonts w:eastAsia="Arial"/>
                <w:sz w:val="16"/>
              </w:rPr>
              <w:t>Acceleration-first</w:t>
            </w:r>
          </w:p>
        </w:tc>
        <w:tc>
          <w:tcPr>
            <w:tcW w:w="1123" w:type="dxa"/>
            <w:vAlign w:val="center"/>
          </w:tcPr>
          <w:p w14:paraId="102F13F3" w14:textId="77777777" w:rsidR="004B5E95" w:rsidRDefault="00000000">
            <w:pPr>
              <w:spacing w:before="20" w:after="20"/>
              <w:jc w:val="center"/>
            </w:pPr>
            <w:r>
              <w:rPr>
                <w:rFonts w:eastAsia="Arial"/>
                <w:sz w:val="16"/>
              </w:rPr>
              <w:t>(0.90, 0.20)</w:t>
            </w:r>
          </w:p>
        </w:tc>
        <w:tc>
          <w:tcPr>
            <w:tcW w:w="1195" w:type="dxa"/>
            <w:vAlign w:val="center"/>
          </w:tcPr>
          <w:p w14:paraId="791D184E" w14:textId="77777777" w:rsidR="004B5E95" w:rsidRDefault="00000000">
            <w:pPr>
              <w:spacing w:before="20" w:after="20"/>
              <w:jc w:val="center"/>
            </w:pPr>
            <w:r>
              <w:rPr>
                <w:rFonts w:eastAsia="Arial"/>
                <w:sz w:val="16"/>
              </w:rPr>
              <w:t>356.82 (0.10)</w:t>
            </w:r>
          </w:p>
        </w:tc>
        <w:tc>
          <w:tcPr>
            <w:tcW w:w="1224" w:type="dxa"/>
            <w:vAlign w:val="center"/>
          </w:tcPr>
          <w:p w14:paraId="6C3A7007" w14:textId="77777777" w:rsidR="004B5E95" w:rsidRDefault="00000000">
            <w:pPr>
              <w:spacing w:before="20" w:after="20"/>
              <w:jc w:val="center"/>
            </w:pPr>
            <w:r>
              <w:rPr>
                <w:rFonts w:eastAsia="Arial"/>
                <w:sz w:val="16"/>
              </w:rPr>
              <w:t>130.56</w:t>
            </w:r>
          </w:p>
        </w:tc>
        <w:tc>
          <w:tcPr>
            <w:tcW w:w="1498" w:type="dxa"/>
            <w:vAlign w:val="center"/>
          </w:tcPr>
          <w:p w14:paraId="18E8BAF3" w14:textId="77777777" w:rsidR="004B5E95" w:rsidRDefault="00000000">
            <w:pPr>
              <w:spacing w:before="20" w:after="20"/>
              <w:jc w:val="center"/>
            </w:pPr>
            <w:r>
              <w:rPr>
                <w:rFonts w:eastAsia="Arial"/>
                <w:sz w:val="16"/>
              </w:rPr>
              <w:t>2.125</w:t>
            </w:r>
          </w:p>
        </w:tc>
        <w:tc>
          <w:tcPr>
            <w:tcW w:w="720" w:type="dxa"/>
            <w:vAlign w:val="center"/>
          </w:tcPr>
          <w:p w14:paraId="3358C03D" w14:textId="77777777" w:rsidR="004B5E95" w:rsidRDefault="00000000">
            <w:pPr>
              <w:spacing w:before="20" w:after="20"/>
              <w:jc w:val="center"/>
            </w:pPr>
            <w:r>
              <w:rPr>
                <w:rFonts w:eastAsia="Arial"/>
                <w:sz w:val="16"/>
              </w:rPr>
              <w:t>1.821</w:t>
            </w:r>
          </w:p>
        </w:tc>
        <w:tc>
          <w:tcPr>
            <w:tcW w:w="720" w:type="dxa"/>
            <w:vAlign w:val="center"/>
          </w:tcPr>
          <w:p w14:paraId="6ED3B455" w14:textId="77777777" w:rsidR="004B5E95" w:rsidRDefault="00000000">
            <w:pPr>
              <w:spacing w:before="20" w:after="20"/>
              <w:jc w:val="center"/>
            </w:pPr>
            <w:r>
              <w:rPr>
                <w:rFonts w:eastAsia="Arial"/>
                <w:sz w:val="16"/>
              </w:rPr>
              <w:t>0.301</w:t>
            </w:r>
          </w:p>
        </w:tc>
      </w:tr>
      <w:tr w:rsidR="004B5E95" w14:paraId="679FBE45" w14:textId="77777777">
        <w:trPr>
          <w:cantSplit/>
        </w:trPr>
        <w:tc>
          <w:tcPr>
            <w:tcW w:w="1699" w:type="dxa"/>
            <w:vAlign w:val="center"/>
          </w:tcPr>
          <w:p w14:paraId="5DDF5F0D" w14:textId="77777777" w:rsidR="004B5E95" w:rsidRDefault="00000000">
            <w:pPr>
              <w:spacing w:before="20" w:after="20"/>
            </w:pPr>
            <w:r>
              <w:rPr>
                <w:rFonts w:eastAsia="Arial"/>
                <w:sz w:val="16"/>
              </w:rPr>
              <w:t>Balanced assurance</w:t>
            </w:r>
          </w:p>
        </w:tc>
        <w:tc>
          <w:tcPr>
            <w:tcW w:w="1123" w:type="dxa"/>
            <w:vAlign w:val="center"/>
          </w:tcPr>
          <w:p w14:paraId="5D4E6750" w14:textId="77777777" w:rsidR="004B5E95" w:rsidRDefault="00000000">
            <w:pPr>
              <w:spacing w:before="20" w:after="20"/>
              <w:jc w:val="center"/>
            </w:pPr>
            <w:r>
              <w:rPr>
                <w:rFonts w:eastAsia="Arial"/>
                <w:sz w:val="16"/>
              </w:rPr>
              <w:t>(0.65, 0.65)</w:t>
            </w:r>
          </w:p>
        </w:tc>
        <w:tc>
          <w:tcPr>
            <w:tcW w:w="1195" w:type="dxa"/>
            <w:vAlign w:val="center"/>
          </w:tcPr>
          <w:p w14:paraId="23DE4FFD" w14:textId="77777777" w:rsidR="004B5E95" w:rsidRDefault="00000000">
            <w:pPr>
              <w:spacing w:before="20" w:after="20"/>
              <w:jc w:val="center"/>
            </w:pPr>
            <w:r>
              <w:rPr>
                <w:rFonts w:eastAsia="Arial"/>
                <w:sz w:val="16"/>
              </w:rPr>
              <w:t>408.01 (0.03)</w:t>
            </w:r>
          </w:p>
        </w:tc>
        <w:tc>
          <w:tcPr>
            <w:tcW w:w="1224" w:type="dxa"/>
            <w:vAlign w:val="center"/>
          </w:tcPr>
          <w:p w14:paraId="22AF7447" w14:textId="77777777" w:rsidR="004B5E95" w:rsidRDefault="00000000">
            <w:pPr>
              <w:spacing w:before="20" w:after="20"/>
              <w:jc w:val="center"/>
            </w:pPr>
            <w:r>
              <w:rPr>
                <w:rFonts w:eastAsia="Arial"/>
                <w:sz w:val="16"/>
              </w:rPr>
              <w:t>9.99</w:t>
            </w:r>
          </w:p>
        </w:tc>
        <w:tc>
          <w:tcPr>
            <w:tcW w:w="1498" w:type="dxa"/>
            <w:vAlign w:val="center"/>
          </w:tcPr>
          <w:p w14:paraId="400C99B1" w14:textId="77777777" w:rsidR="004B5E95" w:rsidRDefault="00000000">
            <w:pPr>
              <w:spacing w:before="20" w:after="20"/>
              <w:jc w:val="center"/>
            </w:pPr>
            <w:r>
              <w:rPr>
                <w:rFonts w:eastAsia="Arial"/>
                <w:sz w:val="16"/>
              </w:rPr>
              <w:t>0.165</w:t>
            </w:r>
          </w:p>
        </w:tc>
        <w:tc>
          <w:tcPr>
            <w:tcW w:w="720" w:type="dxa"/>
            <w:vAlign w:val="center"/>
          </w:tcPr>
          <w:p w14:paraId="3E70E33B" w14:textId="77777777" w:rsidR="004B5E95" w:rsidRDefault="00000000">
            <w:pPr>
              <w:spacing w:before="20" w:after="20"/>
              <w:jc w:val="center"/>
            </w:pPr>
            <w:r>
              <w:rPr>
                <w:rFonts w:eastAsia="Arial"/>
                <w:sz w:val="16"/>
              </w:rPr>
              <w:t>0.000</w:t>
            </w:r>
          </w:p>
        </w:tc>
        <w:tc>
          <w:tcPr>
            <w:tcW w:w="720" w:type="dxa"/>
            <w:vAlign w:val="center"/>
          </w:tcPr>
          <w:p w14:paraId="0BCA36AA" w14:textId="77777777" w:rsidR="004B5E95" w:rsidRDefault="00000000">
            <w:pPr>
              <w:spacing w:before="20" w:after="20"/>
              <w:jc w:val="center"/>
            </w:pPr>
            <w:r>
              <w:rPr>
                <w:rFonts w:eastAsia="Arial"/>
                <w:sz w:val="16"/>
              </w:rPr>
              <w:t>0.804</w:t>
            </w:r>
          </w:p>
        </w:tc>
      </w:tr>
      <w:tr w:rsidR="004B5E95" w14:paraId="68B9C180" w14:textId="77777777">
        <w:trPr>
          <w:cantSplit/>
        </w:trPr>
        <w:tc>
          <w:tcPr>
            <w:tcW w:w="1699" w:type="dxa"/>
            <w:vAlign w:val="center"/>
          </w:tcPr>
          <w:p w14:paraId="765344D7" w14:textId="77777777" w:rsidR="004B5E95" w:rsidRDefault="00000000">
            <w:pPr>
              <w:spacing w:before="20" w:after="20"/>
            </w:pPr>
            <w:r>
              <w:rPr>
                <w:rFonts w:eastAsia="Arial"/>
                <w:sz w:val="16"/>
              </w:rPr>
              <w:t>Assurance-scaled automation</w:t>
            </w:r>
          </w:p>
        </w:tc>
        <w:tc>
          <w:tcPr>
            <w:tcW w:w="1123" w:type="dxa"/>
            <w:vAlign w:val="center"/>
          </w:tcPr>
          <w:p w14:paraId="7384DBE5" w14:textId="77777777" w:rsidR="004B5E95" w:rsidRDefault="00000000">
            <w:pPr>
              <w:spacing w:before="20" w:after="20"/>
              <w:jc w:val="center"/>
            </w:pPr>
            <w:r>
              <w:rPr>
                <w:rFonts w:eastAsia="Arial"/>
                <w:sz w:val="16"/>
              </w:rPr>
              <w:t>(0.85, 0.60)</w:t>
            </w:r>
          </w:p>
        </w:tc>
        <w:tc>
          <w:tcPr>
            <w:tcW w:w="1195" w:type="dxa"/>
            <w:vAlign w:val="center"/>
          </w:tcPr>
          <w:p w14:paraId="4AF4E0B1" w14:textId="77777777" w:rsidR="004B5E95" w:rsidRDefault="00000000">
            <w:pPr>
              <w:spacing w:before="20" w:after="20"/>
              <w:jc w:val="center"/>
            </w:pPr>
            <w:r>
              <w:rPr>
                <w:rFonts w:eastAsia="Arial"/>
                <w:sz w:val="16"/>
              </w:rPr>
              <w:t>416.69 (0.03)</w:t>
            </w:r>
          </w:p>
        </w:tc>
        <w:tc>
          <w:tcPr>
            <w:tcW w:w="1224" w:type="dxa"/>
            <w:vAlign w:val="center"/>
          </w:tcPr>
          <w:p w14:paraId="2F5CD3EC" w14:textId="77777777" w:rsidR="004B5E95" w:rsidRDefault="00000000">
            <w:pPr>
              <w:spacing w:before="20" w:after="20"/>
              <w:jc w:val="center"/>
            </w:pPr>
            <w:r>
              <w:rPr>
                <w:rFonts w:eastAsia="Arial"/>
                <w:sz w:val="16"/>
              </w:rPr>
              <w:t>11.31</w:t>
            </w:r>
          </w:p>
        </w:tc>
        <w:tc>
          <w:tcPr>
            <w:tcW w:w="1498" w:type="dxa"/>
            <w:vAlign w:val="center"/>
          </w:tcPr>
          <w:p w14:paraId="173AD49C" w14:textId="77777777" w:rsidR="004B5E95" w:rsidRDefault="00000000">
            <w:pPr>
              <w:spacing w:before="20" w:after="20"/>
              <w:jc w:val="center"/>
            </w:pPr>
            <w:r>
              <w:rPr>
                <w:rFonts w:eastAsia="Arial"/>
                <w:sz w:val="16"/>
              </w:rPr>
              <w:t>0.187</w:t>
            </w:r>
          </w:p>
        </w:tc>
        <w:tc>
          <w:tcPr>
            <w:tcW w:w="720" w:type="dxa"/>
            <w:vAlign w:val="center"/>
          </w:tcPr>
          <w:p w14:paraId="46FB3046" w14:textId="77777777" w:rsidR="004B5E95" w:rsidRDefault="00000000">
            <w:pPr>
              <w:spacing w:before="20" w:after="20"/>
              <w:jc w:val="center"/>
            </w:pPr>
            <w:r>
              <w:rPr>
                <w:rFonts w:eastAsia="Arial"/>
                <w:sz w:val="16"/>
              </w:rPr>
              <w:t>0.015</w:t>
            </w:r>
          </w:p>
        </w:tc>
        <w:tc>
          <w:tcPr>
            <w:tcW w:w="720" w:type="dxa"/>
            <w:vAlign w:val="center"/>
          </w:tcPr>
          <w:p w14:paraId="2D77D1D6" w14:textId="77777777" w:rsidR="004B5E95" w:rsidRDefault="00000000">
            <w:pPr>
              <w:spacing w:before="20" w:after="20"/>
              <w:jc w:val="center"/>
            </w:pPr>
            <w:r>
              <w:rPr>
                <w:rFonts w:eastAsia="Arial"/>
                <w:sz w:val="16"/>
              </w:rPr>
              <w:t>0.718</w:t>
            </w:r>
          </w:p>
        </w:tc>
      </w:tr>
      <w:tr w:rsidR="004B5E95" w14:paraId="20B23867" w14:textId="77777777">
        <w:trPr>
          <w:cantSplit/>
        </w:trPr>
        <w:tc>
          <w:tcPr>
            <w:tcW w:w="1699" w:type="dxa"/>
            <w:vAlign w:val="center"/>
          </w:tcPr>
          <w:p w14:paraId="394145A2" w14:textId="77777777" w:rsidR="004B5E95" w:rsidRDefault="00000000">
            <w:pPr>
              <w:spacing w:before="20" w:after="20"/>
            </w:pPr>
            <w:r>
              <w:rPr>
                <w:rFonts w:eastAsia="Arial"/>
                <w:sz w:val="16"/>
              </w:rPr>
              <w:t>Assurance-heavy</w:t>
            </w:r>
          </w:p>
        </w:tc>
        <w:tc>
          <w:tcPr>
            <w:tcW w:w="1123" w:type="dxa"/>
            <w:vAlign w:val="center"/>
          </w:tcPr>
          <w:p w14:paraId="1819348A" w14:textId="77777777" w:rsidR="004B5E95" w:rsidRDefault="00000000">
            <w:pPr>
              <w:spacing w:before="20" w:after="20"/>
              <w:jc w:val="center"/>
            </w:pPr>
            <w:r>
              <w:rPr>
                <w:rFonts w:eastAsia="Arial"/>
                <w:sz w:val="16"/>
              </w:rPr>
              <w:t>(0.45, 0.95)</w:t>
            </w:r>
          </w:p>
        </w:tc>
        <w:tc>
          <w:tcPr>
            <w:tcW w:w="1195" w:type="dxa"/>
            <w:vAlign w:val="center"/>
          </w:tcPr>
          <w:p w14:paraId="1A016010" w14:textId="77777777" w:rsidR="004B5E95" w:rsidRDefault="00000000">
            <w:pPr>
              <w:spacing w:before="20" w:after="20"/>
              <w:jc w:val="center"/>
            </w:pPr>
            <w:r>
              <w:rPr>
                <w:rFonts w:eastAsia="Arial"/>
                <w:sz w:val="16"/>
              </w:rPr>
              <w:t>345.84 (0.03)</w:t>
            </w:r>
          </w:p>
        </w:tc>
        <w:tc>
          <w:tcPr>
            <w:tcW w:w="1224" w:type="dxa"/>
            <w:vAlign w:val="center"/>
          </w:tcPr>
          <w:p w14:paraId="41CEF5B1" w14:textId="77777777" w:rsidR="004B5E95" w:rsidRDefault="00000000">
            <w:pPr>
              <w:spacing w:before="20" w:after="20"/>
              <w:jc w:val="center"/>
            </w:pPr>
            <w:r>
              <w:rPr>
                <w:rFonts w:eastAsia="Arial"/>
                <w:sz w:val="16"/>
              </w:rPr>
              <w:t>6.57</w:t>
            </w:r>
          </w:p>
        </w:tc>
        <w:tc>
          <w:tcPr>
            <w:tcW w:w="1498" w:type="dxa"/>
            <w:vAlign w:val="center"/>
          </w:tcPr>
          <w:p w14:paraId="3BB463C3" w14:textId="77777777" w:rsidR="004B5E95" w:rsidRDefault="00000000">
            <w:pPr>
              <w:spacing w:before="20" w:after="20"/>
              <w:jc w:val="center"/>
            </w:pPr>
            <w:r>
              <w:rPr>
                <w:rFonts w:eastAsia="Arial"/>
                <w:sz w:val="16"/>
              </w:rPr>
              <w:t>0.109</w:t>
            </w:r>
          </w:p>
        </w:tc>
        <w:tc>
          <w:tcPr>
            <w:tcW w:w="720" w:type="dxa"/>
            <w:vAlign w:val="center"/>
          </w:tcPr>
          <w:p w14:paraId="12640F3A" w14:textId="77777777" w:rsidR="004B5E95" w:rsidRDefault="00000000">
            <w:pPr>
              <w:spacing w:before="20" w:after="20"/>
              <w:jc w:val="center"/>
            </w:pPr>
            <w:r>
              <w:rPr>
                <w:rFonts w:eastAsia="Arial"/>
                <w:sz w:val="16"/>
              </w:rPr>
              <w:t>0.000</w:t>
            </w:r>
          </w:p>
        </w:tc>
        <w:tc>
          <w:tcPr>
            <w:tcW w:w="720" w:type="dxa"/>
            <w:vAlign w:val="center"/>
          </w:tcPr>
          <w:p w14:paraId="23A8E051" w14:textId="77777777" w:rsidR="004B5E95" w:rsidRDefault="00000000">
            <w:pPr>
              <w:spacing w:before="20" w:after="20"/>
              <w:jc w:val="center"/>
            </w:pPr>
            <w:r>
              <w:rPr>
                <w:rFonts w:eastAsia="Arial"/>
                <w:sz w:val="16"/>
              </w:rPr>
              <w:t>0.983</w:t>
            </w:r>
          </w:p>
        </w:tc>
      </w:tr>
    </w:tbl>
    <w:p w14:paraId="702A8B00" w14:textId="77777777" w:rsidR="004B5E95" w:rsidRDefault="00000000">
      <w:pPr>
        <w:jc w:val="both"/>
      </w:pPr>
      <w:r>
        <w:rPr>
          <w:rFonts w:eastAsia="Arial"/>
        </w:rPr>
        <w:t xml:space="preserve">The acceleration-first policy illustrates the artificial intelligence verification premium most strongly. Its mean quarterly borrowing premium is 130.56 basis points, roughly eleven times the conventional-control premium and more than thirteen times the balanced-assurance premium. This outcome is not imposed directly. It emerges because high automation </w:t>
      </w:r>
      <w:r>
        <w:rPr>
          <w:rFonts w:eastAsia="Arial"/>
        </w:rPr>
        <w:lastRenderedPageBreak/>
        <w:t>combined with low verification increases verification debt, erodes human oversight capability, raises the logistic incident probability, and then feeds into the lender zero-profit pricing condition. The same regime averages 1.013 priced adverse states over 48 quarters, compared with 0.080 under balanced assurance and 0.091 under assurance-scaled automation.</w:t>
      </w:r>
    </w:p>
    <w:p w14:paraId="2B23790F" w14:textId="77777777" w:rsidR="004B5E95" w:rsidRDefault="00000000">
      <w:pPr>
        <w:jc w:val="both"/>
      </w:pPr>
      <w:r>
        <w:rPr>
          <w:rFonts w:eastAsia="Arial"/>
        </w:rPr>
        <w:t xml:space="preserve">The high spread is economically consequential in the model even though acceleration-first initially produces substantial operating gains. Mean discounted value under acceleration-first is 356.82, only slightly above conventional controls at 352.97 and well below balanced assurance at 408.01. Using common random numbers, balanced assurance exceeds acceleration-first by 51.20 value units with a 95% Monte Carlo interval for the mean difference of [51.02, 51.38]. Assurance-scaled automation exceeds acceleration-first by 59.88 units, </w:t>
      </w:r>
      <w:r>
        <w:rPr>
          <w:rFonts w:eastAsia="Arial"/>
          <w:highlight w:val="yellow"/>
        </w:rPr>
        <w:t>with an interval [59.70, 60.05]</w:t>
      </w:r>
      <w:r>
        <w:rPr>
          <w:rFonts w:eastAsia="Arial"/>
        </w:rPr>
        <w:t>. These are simulation-precision intervals, not empirical confidence intervals about real firms.</w:t>
      </w:r>
    </w:p>
    <w:p w14:paraId="0AE80A3F" w14:textId="77777777" w:rsidR="004B5E95" w:rsidRDefault="00000000">
      <w:pPr>
        <w:jc w:val="both"/>
      </w:pPr>
      <w:r>
        <w:rPr>
          <w:rFonts w:eastAsia="Arial"/>
        </w:rPr>
        <w:t>Assurance-heavy has the lowest borrowing premium, 6.57 basis points, and the highest terminal human capability, 0.983. Yet its mean firm value is only 345.84 because the direct and convex costs of verification outweigh the incremental risk reduction at its lower automation level. This result supports Proposition 4: risk minimisation is not value maximisation.</w:t>
      </w:r>
    </w:p>
    <w:p w14:paraId="02DDC58B" w14:textId="77777777" w:rsidR="004B5E95" w:rsidRDefault="00000000">
      <w:pPr>
        <w:jc w:val="both"/>
      </w:pPr>
      <w:r>
        <w:rPr>
          <w:rFonts w:eastAsia="Arial"/>
        </w:rPr>
        <w:t>Figure 1 shows the time path of the mean borrowing premium. The premium under acceleration-first separates progressively as verification debt accumulates and human capability erodes. The remaining regimes stay in a comparatively low-premium region.</w:t>
      </w:r>
    </w:p>
    <w:p w14:paraId="10F010E2" w14:textId="77777777" w:rsidR="004B5E95" w:rsidRDefault="00000000">
      <w:pPr>
        <w:keepNext/>
        <w:spacing w:before="100" w:after="40"/>
        <w:jc w:val="center"/>
      </w:pPr>
      <w:r>
        <w:rPr>
          <w:rFonts w:eastAsia="Arial"/>
          <w:noProof/>
        </w:rPr>
        <w:drawing>
          <wp:inline distT="0" distB="0" distL="0" distR="0" wp14:anchorId="08BD917E" wp14:editId="6B834685">
            <wp:extent cx="5207000" cy="3149913"/>
            <wp:effectExtent l="0" t="0" r="0" b="0"/>
            <wp:docPr id="41" name="Picture" descr="Fig. 1. Mean borrowing premium by management regime over 48 quarters. Values are basis points above the quarterly risk-free rate."/>
            <wp:cNvGraphicFramePr/>
            <a:graphic xmlns:a="http://schemas.openxmlformats.org/drawingml/2006/main">
              <a:graphicData uri="http://schemas.openxmlformats.org/drawingml/2006/picture">
                <pic:pic xmlns:pic="http://schemas.openxmlformats.org/drawingml/2006/picture">
                  <pic:nvPicPr>
                    <pic:cNvPr id="42" name="Picture" descr="ajefm_assets/figure1_spread_paths.png"/>
                    <pic:cNvPicPr>
                      <a:picLocks noChangeAspect="1" noChangeArrowheads="1"/>
                    </pic:cNvPicPr>
                  </pic:nvPicPr>
                  <pic:blipFill>
                    <a:blip r:embed="rId7"/>
                    <a:stretch>
                      <a:fillRect/>
                    </a:stretch>
                  </pic:blipFill>
                  <pic:spPr bwMode="auto">
                    <a:xfrm>
                      <a:off x="0" y="0"/>
                      <a:ext cx="5207000" cy="3149913"/>
                    </a:xfrm>
                    <a:prstGeom prst="rect">
                      <a:avLst/>
                    </a:prstGeom>
                    <a:noFill/>
                    <a:ln w="9525">
                      <a:noFill/>
                      <a:headEnd/>
                      <a:tailEnd/>
                    </a:ln>
                  </pic:spPr>
                </pic:pic>
              </a:graphicData>
            </a:graphic>
          </wp:inline>
        </w:drawing>
      </w:r>
    </w:p>
    <w:p w14:paraId="64C46819" w14:textId="77777777" w:rsidR="004B5E95" w:rsidRDefault="00000000">
      <w:pPr>
        <w:spacing w:after="120"/>
        <w:jc w:val="center"/>
      </w:pPr>
      <w:r>
        <w:rPr>
          <w:rFonts w:eastAsia="Arial"/>
          <w:i/>
          <w:sz w:val="18"/>
        </w:rPr>
        <w:t>Fig. 1. Mean borrowing premium by management regime over 48 quarters. Values are basis points above the quarterly risk-free rate.</w:t>
      </w:r>
    </w:p>
    <w:p w14:paraId="5DDA6830" w14:textId="77777777" w:rsidR="004B5E95" w:rsidRDefault="00000000">
      <w:pPr>
        <w:keepNext/>
        <w:spacing w:before="120" w:after="60"/>
      </w:pPr>
      <w:bookmarkStart w:id="22" w:name="policy-space-search-and-the-value-ridge"/>
      <w:bookmarkEnd w:id="21"/>
      <w:r>
        <w:rPr>
          <w:rFonts w:eastAsia="Arial"/>
          <w:b/>
          <w:sz w:val="22"/>
        </w:rPr>
        <w:t>4.2 Policy-space search and the value ridge</w:t>
      </w:r>
    </w:p>
    <w:p w14:paraId="1EDBE2DD" w14:textId="77777777" w:rsidR="004B5E95" w:rsidRDefault="00000000">
      <w:pPr>
        <w:jc w:val="both"/>
      </w:pPr>
      <w:r>
        <w:rPr>
          <w:rFonts w:eastAsia="Arial"/>
        </w:rPr>
        <w:t xml:space="preserve">The 324-policy search confirms that the preferred policy is interior in verification and close to interior in automation. The highest evaluated point is </w:t>
      </w:r>
      <m:oMath>
        <m:r>
          <w:rPr>
            <w:rFonts w:ascii="Cambria Math" w:hAnsi="Cambria Math"/>
          </w:rPr>
          <m:t>a</m:t>
        </m:r>
        <m:r>
          <m:rPr>
            <m:sty m:val="p"/>
          </m:rPr>
          <w:rPr>
            <w:rFonts w:ascii="Cambria Math" w:hAnsi="Cambria Math"/>
          </w:rPr>
          <m:t>=</m:t>
        </m:r>
        <m:r>
          <w:rPr>
            <w:rFonts w:ascii="Cambria Math" w:hAnsi="Cambria Math"/>
          </w:rPr>
          <m:t>0.80</m:t>
        </m:r>
      </m:oMath>
      <w:r>
        <w:rPr>
          <w:rFonts w:eastAsia="Arial"/>
        </w:rPr>
        <w:t xml:space="preserve"> and </w:t>
      </w:r>
      <m:oMath>
        <m:r>
          <w:rPr>
            <w:rFonts w:ascii="Cambria Math" w:hAnsi="Cambria Math"/>
          </w:rPr>
          <m:t>v</m:t>
        </m:r>
        <m:r>
          <m:rPr>
            <m:sty m:val="p"/>
          </m:rPr>
          <w:rPr>
            <w:rFonts w:ascii="Cambria Math" w:hAnsi="Cambria Math"/>
          </w:rPr>
          <m:t>=</m:t>
        </m:r>
        <m:r>
          <w:rPr>
            <w:rFonts w:ascii="Cambria Math" w:hAnsi="Cambria Math"/>
          </w:rPr>
          <m:t>0.55</m:t>
        </m:r>
      </m:oMath>
      <w:r>
        <w:rPr>
          <w:rFonts w:eastAsia="Arial"/>
        </w:rPr>
        <w:t xml:space="preserve">, with mean discounted value 417.51 and an average quarterly borrowing premium of 13.20 basis points. The next-best policy, </w:t>
      </w:r>
      <m:oMath>
        <m:r>
          <w:rPr>
            <w:rFonts w:ascii="Cambria Math" w:hAnsi="Cambria Math"/>
          </w:rPr>
          <m:t>a</m:t>
        </m:r>
        <m:r>
          <m:rPr>
            <m:sty m:val="p"/>
          </m:rPr>
          <w:rPr>
            <w:rFonts w:ascii="Cambria Math" w:hAnsi="Cambria Math"/>
          </w:rPr>
          <m:t>=</m:t>
        </m:r>
        <m:r>
          <w:rPr>
            <w:rFonts w:ascii="Cambria Math" w:hAnsi="Cambria Math"/>
          </w:rPr>
          <m:t>0.75</m:t>
        </m:r>
      </m:oMath>
      <w:r>
        <w:rPr>
          <w:rFonts w:eastAsia="Arial"/>
        </w:rPr>
        <w:t xml:space="preserve"> and </w:t>
      </w:r>
      <m:oMath>
        <m:r>
          <w:rPr>
            <w:rFonts w:ascii="Cambria Math" w:hAnsi="Cambria Math"/>
          </w:rPr>
          <m:t>v</m:t>
        </m:r>
        <m:r>
          <m:rPr>
            <m:sty m:val="p"/>
          </m:rPr>
          <w:rPr>
            <w:rFonts w:ascii="Cambria Math" w:hAnsi="Cambria Math"/>
          </w:rPr>
          <m:t>=</m:t>
        </m:r>
        <m:r>
          <w:rPr>
            <w:rFonts w:ascii="Cambria Math" w:hAnsi="Cambria Math"/>
          </w:rPr>
          <m:t>0.55</m:t>
        </m:r>
      </m:oMath>
      <w:r>
        <w:rPr>
          <w:rFonts w:eastAsia="Arial"/>
        </w:rPr>
        <w:t xml:space="preserve">, produces 417.32. Several nearby combinations </w:t>
      </w:r>
      <w:r>
        <w:rPr>
          <w:rFonts w:eastAsia="Arial"/>
        </w:rPr>
        <w:lastRenderedPageBreak/>
        <w:t>differ by less than one value unit, indicating a relatively flat value ridge rather than a knife-edge optimum.</w:t>
      </w:r>
    </w:p>
    <w:p w14:paraId="749B0190" w14:textId="77777777" w:rsidR="004B5E95" w:rsidRDefault="00000000">
      <w:pPr>
        <w:jc w:val="both"/>
      </w:pPr>
      <w:r>
        <w:rPr>
          <w:rFonts w:eastAsia="Arial"/>
        </w:rPr>
        <w:t xml:space="preserve">This flatness is important. The model should not be interpreted as recommending the exact numerical pair </w:t>
      </w:r>
      <m:oMath>
        <m:d>
          <m:dPr>
            <m:ctrlPr>
              <w:rPr>
                <w:rFonts w:ascii="Cambria Math" w:hAnsi="Cambria Math"/>
              </w:rPr>
            </m:ctrlPr>
          </m:dPr>
          <m:e>
            <m:r>
              <w:rPr>
                <w:rFonts w:ascii="Cambria Math" w:hAnsi="Cambria Math"/>
              </w:rPr>
              <m:t>0.80</m:t>
            </m:r>
            <m:r>
              <m:rPr>
                <m:sty m:val="p"/>
              </m:rPr>
              <w:rPr>
                <w:rFonts w:ascii="Cambria Math" w:hAnsi="Cambria Math"/>
              </w:rPr>
              <m:t>,</m:t>
            </m:r>
            <m:r>
              <w:rPr>
                <w:rFonts w:ascii="Cambria Math" w:hAnsi="Cambria Math"/>
              </w:rPr>
              <m:t>0.55</m:t>
            </m:r>
          </m:e>
        </m:d>
      </m:oMath>
      <w:r>
        <w:rPr>
          <w:rFonts w:eastAsia="Arial"/>
        </w:rPr>
        <w:t>. Instead, it identifies a region in which automation is high enough to exploit productivity gains while verification is sufficient to prevent the financing penalty from becoming dominant. Small deviations inside this region have modest value effects, whereas moving toward high automation and very weak verification produces sharp deterioration.</w:t>
      </w:r>
    </w:p>
    <w:p w14:paraId="7997E3E0" w14:textId="77777777" w:rsidR="004B5E95" w:rsidRDefault="00000000">
      <w:pPr>
        <w:jc w:val="both"/>
      </w:pPr>
      <w:r>
        <w:rPr>
          <w:rFonts w:eastAsia="Arial"/>
        </w:rPr>
        <w:t>Figure 2 displays the full value surface. Low automation limits the productivity contribution even when verification is strong. High automation combined with very low verification creates a steep penalty through verification debt, capability erosion, incidents, and borrowing costs. Very high verification also reduces value because assurance itself is costly. The resulting surface provides the computational counterpart to Proposition 4.</w:t>
      </w:r>
    </w:p>
    <w:p w14:paraId="530DFE3D" w14:textId="77777777" w:rsidR="004B5E95" w:rsidRDefault="00000000">
      <w:pPr>
        <w:keepNext/>
        <w:spacing w:before="100" w:after="40"/>
        <w:jc w:val="center"/>
      </w:pPr>
      <w:r>
        <w:rPr>
          <w:rFonts w:eastAsia="Arial"/>
          <w:noProof/>
        </w:rPr>
        <w:drawing>
          <wp:inline distT="0" distB="0" distL="0" distR="0" wp14:anchorId="26353B8D" wp14:editId="633A64F7">
            <wp:extent cx="5207000" cy="3929993"/>
            <wp:effectExtent l="0" t="0" r="0" b="0"/>
            <wp:docPr id="45" name="Picture" descr="Fig. 2. Mean discounted firm value across the 324-policy automation-verification grid. The cross marks the highest evaluated policy, a=0.80, v=0.55."/>
            <wp:cNvGraphicFramePr/>
            <a:graphic xmlns:a="http://schemas.openxmlformats.org/drawingml/2006/main">
              <a:graphicData uri="http://schemas.openxmlformats.org/drawingml/2006/picture">
                <pic:pic xmlns:pic="http://schemas.openxmlformats.org/drawingml/2006/picture">
                  <pic:nvPicPr>
                    <pic:cNvPr id="46" name="Picture" descr="ajefm_assets/figure2_policy_surface.png"/>
                    <pic:cNvPicPr>
                      <a:picLocks noChangeAspect="1" noChangeArrowheads="1"/>
                    </pic:cNvPicPr>
                  </pic:nvPicPr>
                  <pic:blipFill>
                    <a:blip r:embed="rId8"/>
                    <a:stretch>
                      <a:fillRect/>
                    </a:stretch>
                  </pic:blipFill>
                  <pic:spPr bwMode="auto">
                    <a:xfrm>
                      <a:off x="0" y="0"/>
                      <a:ext cx="5207000" cy="3929993"/>
                    </a:xfrm>
                    <a:prstGeom prst="rect">
                      <a:avLst/>
                    </a:prstGeom>
                    <a:noFill/>
                    <a:ln w="9525">
                      <a:noFill/>
                      <a:headEnd/>
                      <a:tailEnd/>
                    </a:ln>
                  </pic:spPr>
                </pic:pic>
              </a:graphicData>
            </a:graphic>
          </wp:inline>
        </w:drawing>
      </w:r>
    </w:p>
    <w:p w14:paraId="5ADF395C" w14:textId="77777777" w:rsidR="004B5E95" w:rsidRDefault="00000000">
      <w:pPr>
        <w:spacing w:after="120"/>
        <w:jc w:val="center"/>
      </w:pPr>
      <w:r>
        <w:rPr>
          <w:rFonts w:eastAsia="Arial"/>
          <w:i/>
          <w:sz w:val="18"/>
        </w:rPr>
        <w:t xml:space="preserve">Fig. 2. Mean discounted firm value across the 324-policy automation-verification grid. The cross marks the highest evaluated policy, </w:t>
      </w:r>
      <m:oMath>
        <m:r>
          <w:rPr>
            <w:rFonts w:ascii="Cambria Math" w:hAnsi="Cambria Math"/>
          </w:rPr>
          <m:t>a</m:t>
        </m:r>
        <m:r>
          <m:rPr>
            <m:sty m:val="p"/>
          </m:rPr>
          <w:rPr>
            <w:rFonts w:ascii="Cambria Math" w:hAnsi="Cambria Math"/>
          </w:rPr>
          <m:t>=</m:t>
        </m:r>
        <m:r>
          <w:rPr>
            <w:rFonts w:ascii="Cambria Math" w:hAnsi="Cambria Math"/>
          </w:rPr>
          <m:t>0.80</m:t>
        </m:r>
      </m:oMath>
      <w:r>
        <w:rPr>
          <w:rFonts w:eastAsia="Arial"/>
          <w:i/>
          <w:sz w:val="18"/>
        </w:rPr>
        <w:t xml:space="preserve">, </w:t>
      </w:r>
      <m:oMath>
        <m:r>
          <w:rPr>
            <w:rFonts w:ascii="Cambria Math" w:hAnsi="Cambria Math"/>
          </w:rPr>
          <m:t>v</m:t>
        </m:r>
        <m:r>
          <m:rPr>
            <m:sty m:val="p"/>
          </m:rPr>
          <w:rPr>
            <w:rFonts w:ascii="Cambria Math" w:hAnsi="Cambria Math"/>
          </w:rPr>
          <m:t>=</m:t>
        </m:r>
        <m:r>
          <w:rPr>
            <w:rFonts w:ascii="Cambria Math" w:hAnsi="Cambria Math"/>
          </w:rPr>
          <m:t>0.55</m:t>
        </m:r>
      </m:oMath>
      <w:r>
        <w:rPr>
          <w:rFonts w:eastAsia="Arial"/>
          <w:i/>
          <w:sz w:val="18"/>
        </w:rPr>
        <w:t>.</w:t>
      </w:r>
    </w:p>
    <w:p w14:paraId="40A85809" w14:textId="77777777" w:rsidR="004B5E95" w:rsidRDefault="00000000">
      <w:pPr>
        <w:keepNext/>
        <w:spacing w:before="120" w:after="60"/>
      </w:pPr>
      <w:bookmarkStart w:id="23" w:name="X0d128d4cf8ceb6bef616545efa2bd7082a7f3da"/>
      <w:bookmarkEnd w:id="22"/>
      <w:r>
        <w:rPr>
          <w:rFonts w:eastAsia="Arial"/>
          <w:b/>
          <w:sz w:val="22"/>
        </w:rPr>
        <w:t>4.3 Analytical threshold and numerical optimum</w:t>
      </w:r>
    </w:p>
    <w:p w14:paraId="15463467" w14:textId="77777777" w:rsidR="004B5E95" w:rsidRDefault="00000000">
      <w:pPr>
        <w:jc w:val="both"/>
      </w:pPr>
      <w:r>
        <w:rPr>
          <w:rFonts w:eastAsia="Arial"/>
        </w:rPr>
        <w:t xml:space="preserve">The baseline direct-risk threshold from Equation (12) is </w:t>
      </w:r>
      <m:oMath>
        <m:sSubSup>
          <m:sSubSupPr>
            <m:ctrlPr>
              <w:rPr>
                <w:rFonts w:ascii="Cambria Math" w:hAnsi="Cambria Math"/>
              </w:rPr>
            </m:ctrlPr>
          </m:sSubSupPr>
          <m:e>
            <m:r>
              <w:rPr>
                <w:rFonts w:ascii="Cambria Math" w:hAnsi="Cambria Math"/>
              </w:rPr>
              <m:t>v</m:t>
            </m:r>
          </m:e>
          <m:sub>
            <m:r>
              <w:rPr>
                <w:rFonts w:ascii="Cambria Math" w:hAnsi="Cambria Math"/>
              </w:rPr>
              <m:t>p</m:t>
            </m:r>
          </m:sub>
          <m:sup>
            <m:r>
              <m:rPr>
                <m:sty m:val="p"/>
              </m:rPr>
              <w:rPr>
                <w:rFonts w:ascii="Cambria Math" w:hAnsi="Cambria Math"/>
              </w:rPr>
              <m:t>crit</m:t>
            </m:r>
          </m:sup>
        </m:sSubSup>
        <m:r>
          <m:rPr>
            <m:sty m:val="p"/>
          </m:rPr>
          <w:rPr>
            <w:rFonts w:ascii="Cambria Math" w:hAnsi="Cambria Math"/>
          </w:rPr>
          <m:t>=</m:t>
        </m:r>
        <m:r>
          <w:rPr>
            <w:rFonts w:ascii="Cambria Math" w:hAnsi="Cambria Math"/>
          </w:rPr>
          <m:t>0.538</m:t>
        </m:r>
      </m:oMath>
      <w:r>
        <w:rPr>
          <w:rFonts w:eastAsia="Arial"/>
        </w:rPr>
        <w:t xml:space="preserve">. The value-maximising grid point uses </w:t>
      </w:r>
      <m:oMath>
        <m:r>
          <w:rPr>
            <w:rFonts w:ascii="Cambria Math" w:hAnsi="Cambria Math"/>
          </w:rPr>
          <m:t>v</m:t>
        </m:r>
        <m:r>
          <m:rPr>
            <m:sty m:val="p"/>
          </m:rPr>
          <w:rPr>
            <w:rFonts w:ascii="Cambria Math" w:hAnsi="Cambria Math"/>
          </w:rPr>
          <m:t>=</m:t>
        </m:r>
        <m:r>
          <w:rPr>
            <w:rFonts w:ascii="Cambria Math" w:hAnsi="Cambria Math"/>
          </w:rPr>
          <m:t>0.55</m:t>
        </m:r>
      </m:oMath>
      <w:r>
        <w:rPr>
          <w:rFonts w:eastAsia="Arial"/>
        </w:rPr>
        <w:t>, immediately above that threshold. This alignment is not a mathematical necessity because the value function also includes direct verification cost, verification-debt dynamics, human capability, incident severity, and debt service. It nevertheless provides a useful structural check: the numerical search places the optimum close to the point at which verification becomes strong enough for additional automation to stop raising contemporaneous risk.</w:t>
      </w:r>
    </w:p>
    <w:p w14:paraId="415512CF" w14:textId="77777777" w:rsidR="004B5E95" w:rsidRDefault="00000000">
      <w:pPr>
        <w:jc w:val="both"/>
      </w:pPr>
      <w:r>
        <w:rPr>
          <w:rFonts w:eastAsia="Arial"/>
        </w:rPr>
        <w:lastRenderedPageBreak/>
        <w:t xml:space="preserve">At the baseline initial state with </w:t>
      </w:r>
      <m:oMath>
        <m:r>
          <w:rPr>
            <w:rFonts w:ascii="Cambria Math" w:hAnsi="Cambria Math"/>
          </w:rPr>
          <m:t>a</m:t>
        </m:r>
        <m:r>
          <m:rPr>
            <m:sty m:val="p"/>
          </m:rPr>
          <w:rPr>
            <w:rFonts w:ascii="Cambria Math" w:hAnsi="Cambria Math"/>
          </w:rPr>
          <m:t>=</m:t>
        </m:r>
        <m:r>
          <w:rPr>
            <w:rFonts w:ascii="Cambria Math" w:hAnsi="Cambria Math"/>
          </w:rPr>
          <m:t>0.80</m:t>
        </m:r>
      </m:oMath>
      <w:r>
        <w:rPr>
          <w:rFonts w:eastAsia="Arial"/>
        </w:rPr>
        <w:t xml:space="preserve">, </w:t>
      </w:r>
      <m:oMath>
        <m:sSub>
          <m:sSubPr>
            <m:ctrlPr>
              <w:rPr>
                <w:rFonts w:ascii="Cambria Math" w:hAnsi="Cambria Math"/>
              </w:rPr>
            </m:ctrlPr>
          </m:sSubPr>
          <m:e>
            <m:r>
              <w:rPr>
                <w:rFonts w:ascii="Cambria Math" w:hAnsi="Cambria Math"/>
              </w:rPr>
              <m:t>h</m:t>
            </m:r>
          </m:e>
          <m:sub>
            <m:r>
              <w:rPr>
                <w:rFonts w:ascii="Cambria Math" w:hAnsi="Cambria Math"/>
              </w:rPr>
              <m:t>0</m:t>
            </m:r>
          </m:sub>
        </m:sSub>
        <m:r>
          <m:rPr>
            <m:sty m:val="p"/>
          </m:rPr>
          <w:rPr>
            <w:rFonts w:ascii="Cambria Math" w:hAnsi="Cambria Math"/>
          </w:rPr>
          <m:t>=</m:t>
        </m:r>
        <m:r>
          <w:rPr>
            <w:rFonts w:ascii="Cambria Math" w:hAnsi="Cambria Math"/>
          </w:rPr>
          <m:t>0.85</m:t>
        </m:r>
      </m:oMath>
      <w:r>
        <w:rPr>
          <w:rFonts w:eastAsia="Arial"/>
        </w:rPr>
        <w:t xml:space="preserve">, and </w:t>
      </w:r>
      <m:oMath>
        <m:sSub>
          <m:sSubPr>
            <m:ctrlPr>
              <w:rPr>
                <w:rFonts w:ascii="Cambria Math" w:hAnsi="Cambria Math"/>
              </w:rPr>
            </m:ctrlPr>
          </m:sSubPr>
          <m:e>
            <m:r>
              <w:rPr>
                <w:rFonts w:ascii="Cambria Math" w:hAnsi="Cambria Math"/>
              </w:rPr>
              <m:t>u</m:t>
            </m:r>
          </m:e>
          <m:sub>
            <m:r>
              <w:rPr>
                <w:rFonts w:ascii="Cambria Math" w:hAnsi="Cambria Math"/>
              </w:rPr>
              <m:t>0</m:t>
            </m:r>
          </m:sub>
        </m:sSub>
        <m:r>
          <m:rPr>
            <m:sty m:val="p"/>
          </m:rPr>
          <w:rPr>
            <w:rFonts w:ascii="Cambria Math" w:hAnsi="Cambria Math"/>
          </w:rPr>
          <m:t>=</m:t>
        </m:r>
        <m:r>
          <w:rPr>
            <w:rFonts w:ascii="Cambria Math" w:hAnsi="Cambria Math"/>
          </w:rPr>
          <m:t>0</m:t>
        </m:r>
      </m:oMath>
      <w:r>
        <w:rPr>
          <w:rFonts w:eastAsia="Arial"/>
        </w:rPr>
        <w:t xml:space="preserve">, Equation (14) gives </w:t>
      </w:r>
      <m:oMath>
        <m:sSubSup>
          <m:sSubSupPr>
            <m:ctrlPr>
              <w:rPr>
                <w:rFonts w:ascii="Cambria Math" w:hAnsi="Cambria Math"/>
              </w:rPr>
            </m:ctrlPr>
          </m:sSubSupPr>
          <m:e>
            <m:r>
              <w:rPr>
                <w:rFonts w:ascii="Cambria Math" w:hAnsi="Cambria Math"/>
              </w:rPr>
              <m:t>v</m:t>
            </m:r>
          </m:e>
          <m:sub>
            <m:r>
              <w:rPr>
                <w:rFonts w:ascii="Cambria Math" w:hAnsi="Cambria Math"/>
              </w:rPr>
              <m:t>q</m:t>
            </m:r>
          </m:sub>
          <m:sup>
            <m:r>
              <m:rPr>
                <m:sty m:val="p"/>
              </m:rPr>
              <w:rPr>
                <w:rFonts w:ascii="Cambria Math" w:hAnsi="Cambria Math"/>
              </w:rPr>
              <m:t>crit</m:t>
            </m:r>
          </m:sup>
        </m:sSubSup>
        <m:r>
          <m:rPr>
            <m:sty m:val="p"/>
          </m:rPr>
          <w:rPr>
            <w:rFonts w:ascii="Cambria Math" w:hAnsi="Cambria Math"/>
          </w:rPr>
          <m:t>≈</m:t>
        </m:r>
        <m:r>
          <w:rPr>
            <w:rFonts w:ascii="Cambria Math" w:hAnsi="Cambria Math"/>
          </w:rPr>
          <m:t>0.452</m:t>
        </m:r>
      </m:oMath>
      <w:r>
        <w:rPr>
          <w:rFonts w:eastAsia="Arial"/>
        </w:rPr>
        <w:t xml:space="preserve">. The combined initial assurance threshold is therefore </w:t>
      </w:r>
      <m:oMath>
        <m:sSubSup>
          <m:sSubSupPr>
            <m:ctrlPr>
              <w:rPr>
                <w:rFonts w:ascii="Cambria Math" w:hAnsi="Cambria Math"/>
              </w:rPr>
            </m:ctrlPr>
          </m:sSubSupPr>
          <m:e>
            <m:r>
              <w:rPr>
                <w:rFonts w:ascii="Cambria Math" w:hAnsi="Cambria Math"/>
              </w:rPr>
              <m:t>v</m:t>
            </m:r>
          </m:e>
          <m:sub>
            <m:r>
              <w:rPr>
                <w:rFonts w:ascii="Cambria Math" w:hAnsi="Cambria Math"/>
              </w:rPr>
              <m:t>A</m:t>
            </m:r>
          </m:sub>
          <m:sup>
            <m:r>
              <m:rPr>
                <m:sty m:val="p"/>
              </m:rPr>
              <w:rPr>
                <w:rFonts w:ascii="Cambria Math" w:hAnsi="Cambria Math"/>
              </w:rPr>
              <m:t>crit</m:t>
            </m:r>
          </m:sup>
        </m:sSubSup>
        <m:r>
          <m:rPr>
            <m:sty m:val="p"/>
          </m:rPr>
          <w:rPr>
            <w:rFonts w:ascii="Cambria Math" w:hAnsi="Cambria Math"/>
          </w:rPr>
          <m:t>=max</m:t>
        </m:r>
        <m:d>
          <m:dPr>
            <m:ctrlPr>
              <w:rPr>
                <w:rFonts w:ascii="Cambria Math" w:hAnsi="Cambria Math"/>
              </w:rPr>
            </m:ctrlPr>
          </m:dPr>
          <m:e>
            <m:r>
              <w:rPr>
                <w:rFonts w:ascii="Cambria Math" w:hAnsi="Cambria Math"/>
              </w:rPr>
              <m:t>0.538</m:t>
            </m:r>
            <m:r>
              <m:rPr>
                <m:sty m:val="p"/>
              </m:rPr>
              <w:rPr>
                <w:rFonts w:ascii="Cambria Math" w:hAnsi="Cambria Math"/>
              </w:rPr>
              <m:t>,</m:t>
            </m:r>
            <m:r>
              <w:rPr>
                <w:rFonts w:ascii="Cambria Math" w:hAnsi="Cambria Math"/>
              </w:rPr>
              <m:t>0.452</m:t>
            </m:r>
          </m:e>
        </m:d>
        <m:r>
          <m:rPr>
            <m:sty m:val="p"/>
          </m:rPr>
          <w:rPr>
            <w:rFonts w:ascii="Cambria Math" w:hAnsi="Cambria Math"/>
          </w:rPr>
          <m:t>=</m:t>
        </m:r>
        <m:r>
          <w:rPr>
            <w:rFonts w:ascii="Cambria Math" w:hAnsi="Cambria Math"/>
          </w:rPr>
          <m:t>0.538</m:t>
        </m:r>
      </m:oMath>
      <w:r>
        <w:rPr>
          <w:rFonts w:eastAsia="Arial"/>
        </w:rPr>
        <w:t>. Environmental uncertainty can raise the debt non-accumulation threshold over time, while human capability can fall if automation remains insufficiently verified. The dynamic system therefore rewards some buffer above the initial threshold.</w:t>
      </w:r>
    </w:p>
    <w:p w14:paraId="77BF5C4C" w14:textId="77777777" w:rsidR="004B5E95" w:rsidRDefault="00000000">
      <w:pPr>
        <w:jc w:val="both"/>
      </w:pPr>
      <w:r>
        <w:rPr>
          <w:rFonts w:eastAsia="Arial"/>
        </w:rPr>
        <w:t xml:space="preserve">Figure 3 isolates verification intensity at </w:t>
      </w:r>
      <m:oMath>
        <m:r>
          <w:rPr>
            <w:rFonts w:ascii="Cambria Math" w:hAnsi="Cambria Math"/>
          </w:rPr>
          <m:t>a</m:t>
        </m:r>
        <m:r>
          <m:rPr>
            <m:sty m:val="p"/>
          </m:rPr>
          <w:rPr>
            <w:rFonts w:ascii="Cambria Math" w:hAnsi="Cambria Math"/>
          </w:rPr>
          <m:t>=</m:t>
        </m:r>
        <m:r>
          <w:rPr>
            <w:rFonts w:ascii="Cambria Math" w:hAnsi="Cambria Math"/>
          </w:rPr>
          <m:t>0.80</m:t>
        </m:r>
      </m:oMath>
      <w:r>
        <w:rPr>
          <w:rFonts w:eastAsia="Arial"/>
        </w:rPr>
        <w:t>. Value rises steeply from weak verification, reaches a maximum around 0.55, then declines as the marginal assurance benefit is overtaken by verification cost. This is the central economic trade-off of the paper.</w:t>
      </w:r>
    </w:p>
    <w:p w14:paraId="0344CC4B" w14:textId="77777777" w:rsidR="004B5E95" w:rsidRDefault="00000000">
      <w:pPr>
        <w:keepNext/>
        <w:spacing w:before="100" w:after="40"/>
        <w:jc w:val="center"/>
      </w:pPr>
      <w:r>
        <w:rPr>
          <w:rFonts w:eastAsia="Arial"/>
          <w:noProof/>
        </w:rPr>
        <w:drawing>
          <wp:inline distT="0" distB="0" distL="0" distR="0" wp14:anchorId="52404247" wp14:editId="063B82E0">
            <wp:extent cx="5207000" cy="3233721"/>
            <wp:effectExtent l="0" t="0" r="0" b="0"/>
            <wp:docPr id="49" name="Picture" descr="Fig. 3. Verification sweep at automation intensity a=0.80. Mean discounted firm value peaks near the analytical direct-risk threshold."/>
            <wp:cNvGraphicFramePr/>
            <a:graphic xmlns:a="http://schemas.openxmlformats.org/drawingml/2006/main">
              <a:graphicData uri="http://schemas.openxmlformats.org/drawingml/2006/picture">
                <pic:pic xmlns:pic="http://schemas.openxmlformats.org/drawingml/2006/picture">
                  <pic:nvPicPr>
                    <pic:cNvPr id="50" name="Picture" descr="ajefm_assets/figure3_verification_sweep.png"/>
                    <pic:cNvPicPr>
                      <a:picLocks noChangeAspect="1" noChangeArrowheads="1"/>
                    </pic:cNvPicPr>
                  </pic:nvPicPr>
                  <pic:blipFill>
                    <a:blip r:embed="rId9"/>
                    <a:stretch>
                      <a:fillRect/>
                    </a:stretch>
                  </pic:blipFill>
                  <pic:spPr bwMode="auto">
                    <a:xfrm>
                      <a:off x="0" y="0"/>
                      <a:ext cx="5207000" cy="3233721"/>
                    </a:xfrm>
                    <a:prstGeom prst="rect">
                      <a:avLst/>
                    </a:prstGeom>
                    <a:noFill/>
                    <a:ln w="9525">
                      <a:noFill/>
                      <a:headEnd/>
                      <a:tailEnd/>
                    </a:ln>
                  </pic:spPr>
                </pic:pic>
              </a:graphicData>
            </a:graphic>
          </wp:inline>
        </w:drawing>
      </w:r>
    </w:p>
    <w:p w14:paraId="015E1651" w14:textId="77777777" w:rsidR="004B5E95" w:rsidRDefault="00000000">
      <w:pPr>
        <w:spacing w:after="120"/>
        <w:jc w:val="center"/>
      </w:pPr>
      <w:r>
        <w:rPr>
          <w:rFonts w:eastAsia="Arial"/>
          <w:i/>
          <w:sz w:val="18"/>
        </w:rPr>
        <w:t xml:space="preserve">Fig. 3. Verification </w:t>
      </w:r>
      <w:proofErr w:type="gramStart"/>
      <w:r>
        <w:rPr>
          <w:rFonts w:eastAsia="Arial"/>
          <w:i/>
          <w:sz w:val="18"/>
        </w:rPr>
        <w:t>sweep</w:t>
      </w:r>
      <w:proofErr w:type="gramEnd"/>
      <w:r>
        <w:rPr>
          <w:rFonts w:eastAsia="Arial"/>
          <w:i/>
          <w:sz w:val="18"/>
        </w:rPr>
        <w:t xml:space="preserve"> at automation intensity </w:t>
      </w:r>
      <m:oMath>
        <m:r>
          <w:rPr>
            <w:rFonts w:ascii="Cambria Math" w:hAnsi="Cambria Math"/>
          </w:rPr>
          <m:t>a</m:t>
        </m:r>
        <m:r>
          <m:rPr>
            <m:sty m:val="p"/>
          </m:rPr>
          <w:rPr>
            <w:rFonts w:ascii="Cambria Math" w:hAnsi="Cambria Math"/>
          </w:rPr>
          <m:t>=</m:t>
        </m:r>
        <m:r>
          <w:rPr>
            <w:rFonts w:ascii="Cambria Math" w:hAnsi="Cambria Math"/>
          </w:rPr>
          <m:t>0.80</m:t>
        </m:r>
      </m:oMath>
      <w:r>
        <w:rPr>
          <w:rFonts w:eastAsia="Arial"/>
          <w:i/>
          <w:sz w:val="18"/>
        </w:rPr>
        <w:t>. Mean discounted firm value peaks near the analytical direct-risk threshold.</w:t>
      </w:r>
    </w:p>
    <w:p w14:paraId="118AD655" w14:textId="77777777" w:rsidR="004B5E95" w:rsidRDefault="00000000">
      <w:pPr>
        <w:keepNext/>
        <w:spacing w:before="120" w:after="60"/>
      </w:pPr>
      <w:bookmarkStart w:id="24" w:name="sensitivity-analysis"/>
      <w:bookmarkEnd w:id="23"/>
      <w:r>
        <w:rPr>
          <w:rFonts w:eastAsia="Arial"/>
          <w:b/>
          <w:sz w:val="22"/>
        </w:rPr>
        <w:t>4.4 Sensitivity analysis</w:t>
      </w:r>
    </w:p>
    <w:p w14:paraId="164D2822" w14:textId="77777777" w:rsidR="004B5E95" w:rsidRDefault="00000000">
      <w:pPr>
        <w:jc w:val="both"/>
      </w:pPr>
      <w:r>
        <w:rPr>
          <w:rFonts w:eastAsia="Arial"/>
        </w:rPr>
        <w:t>Table 3 reports the best policy found in repeated grid searches under alternative structural assumptions. The base optimum is stable to moderate changes in leverage and loss-given-default, although the borrowing premium changes mechanically with loss severity. The preferred policy shifts in the expected direction when the productivity return to automation changes. The table also adds 24-quarter and 72-quarter horizon checks to test whether the policy region is an artefact of the 48-quarter baseline.</w:t>
      </w:r>
    </w:p>
    <w:p w14:paraId="29095BFA" w14:textId="77777777" w:rsidR="004B5E95" w:rsidRDefault="00000000">
      <w:pPr>
        <w:keepNext/>
        <w:spacing w:before="120" w:after="60"/>
      </w:pPr>
      <w:r>
        <w:rPr>
          <w:rFonts w:eastAsia="Arial"/>
          <w:b/>
          <w:bCs/>
        </w:rPr>
        <w:t>Table 3. Policy-search sensitivity results</w:t>
      </w:r>
    </w:p>
    <w:tbl>
      <w:tblPr>
        <w:tblW w:w="7473" w:type="dxa"/>
        <w:tblBorders>
          <w:top w:val="single" w:sz="8" w:space="0" w:color="000000"/>
          <w:left w:val="nil"/>
          <w:bottom w:val="single" w:sz="8" w:space="0" w:color="000000"/>
          <w:right w:val="nil"/>
          <w:insideH w:val="single" w:sz="4" w:space="0" w:color="BFBFBF"/>
          <w:insideV w:val="nil"/>
        </w:tblBorders>
        <w:tblLayout w:type="fixed"/>
        <w:tblLook w:val="04A0" w:firstRow="1" w:lastRow="0" w:firstColumn="1" w:lastColumn="0" w:noHBand="0" w:noVBand="1"/>
      </w:tblPr>
      <w:tblGrid>
        <w:gridCol w:w="2376"/>
        <w:gridCol w:w="691"/>
        <w:gridCol w:w="691"/>
        <w:gridCol w:w="979"/>
        <w:gridCol w:w="1296"/>
        <w:gridCol w:w="720"/>
        <w:gridCol w:w="720"/>
      </w:tblGrid>
      <w:tr w:rsidR="004B5E95" w14:paraId="2B3402AD" w14:textId="77777777">
        <w:trPr>
          <w:cantSplit/>
          <w:tblHeader/>
        </w:trPr>
        <w:tc>
          <w:tcPr>
            <w:tcW w:w="2376" w:type="dxa"/>
            <w:vAlign w:val="center"/>
          </w:tcPr>
          <w:p w14:paraId="671A579F" w14:textId="77777777" w:rsidR="004B5E95" w:rsidRDefault="00000000">
            <w:pPr>
              <w:spacing w:before="20" w:after="20"/>
            </w:pPr>
            <w:r>
              <w:rPr>
                <w:rFonts w:eastAsia="Arial"/>
                <w:b/>
                <w:sz w:val="17"/>
              </w:rPr>
              <w:t>Scenario</w:t>
            </w:r>
          </w:p>
        </w:tc>
        <w:tc>
          <w:tcPr>
            <w:tcW w:w="691" w:type="dxa"/>
            <w:vAlign w:val="center"/>
          </w:tcPr>
          <w:p w14:paraId="78A05DF4" w14:textId="77777777" w:rsidR="004B5E95" w:rsidRDefault="00000000">
            <w:pPr>
              <w:spacing w:before="20" w:after="20"/>
              <w:jc w:val="center"/>
            </w:pPr>
            <w:r>
              <w:rPr>
                <w:rFonts w:eastAsia="Arial"/>
                <w:b/>
                <w:sz w:val="17"/>
              </w:rPr>
              <w:t>Best a</w:t>
            </w:r>
          </w:p>
        </w:tc>
        <w:tc>
          <w:tcPr>
            <w:tcW w:w="691" w:type="dxa"/>
            <w:vAlign w:val="center"/>
          </w:tcPr>
          <w:p w14:paraId="3B4148C3" w14:textId="77777777" w:rsidR="004B5E95" w:rsidRDefault="00000000">
            <w:pPr>
              <w:spacing w:before="20" w:after="20"/>
              <w:jc w:val="center"/>
            </w:pPr>
            <w:r>
              <w:rPr>
                <w:rFonts w:eastAsia="Arial"/>
                <w:b/>
                <w:sz w:val="17"/>
              </w:rPr>
              <w:t>Best v</w:t>
            </w:r>
          </w:p>
        </w:tc>
        <w:tc>
          <w:tcPr>
            <w:tcW w:w="979" w:type="dxa"/>
            <w:vAlign w:val="center"/>
          </w:tcPr>
          <w:p w14:paraId="529122B3" w14:textId="77777777" w:rsidR="004B5E95" w:rsidRDefault="00000000">
            <w:pPr>
              <w:spacing w:before="20" w:after="20"/>
              <w:jc w:val="center"/>
            </w:pPr>
            <w:r>
              <w:rPr>
                <w:rFonts w:eastAsia="Arial"/>
                <w:b/>
                <w:sz w:val="17"/>
              </w:rPr>
              <w:t>Mean value</w:t>
            </w:r>
          </w:p>
        </w:tc>
        <w:tc>
          <w:tcPr>
            <w:tcW w:w="1296" w:type="dxa"/>
            <w:vAlign w:val="center"/>
          </w:tcPr>
          <w:p w14:paraId="24ED2045" w14:textId="77777777" w:rsidR="004B5E95" w:rsidRDefault="00000000">
            <w:pPr>
              <w:spacing w:before="20" w:after="20"/>
              <w:jc w:val="center"/>
            </w:pPr>
            <w:r>
              <w:rPr>
                <w:rFonts w:eastAsia="Arial"/>
                <w:b/>
                <w:sz w:val="17"/>
              </w:rPr>
              <w:t>Borrowing premium (bp)</w:t>
            </w:r>
          </w:p>
        </w:tc>
        <w:tc>
          <w:tcPr>
            <w:tcW w:w="720" w:type="dxa"/>
            <w:vAlign w:val="center"/>
          </w:tcPr>
          <w:p w14:paraId="37FBB87B" w14:textId="77777777" w:rsidR="004B5E95" w:rsidRDefault="00000000">
            <w:pPr>
              <w:spacing w:before="20" w:after="20"/>
              <w:jc w:val="center"/>
            </w:pPr>
            <w:r>
              <w:rPr>
                <w:rFonts w:eastAsia="Arial"/>
                <w:b/>
                <w:sz w:val="17"/>
              </w:rPr>
              <w:t>End q</w:t>
            </w:r>
          </w:p>
        </w:tc>
        <w:tc>
          <w:tcPr>
            <w:tcW w:w="720" w:type="dxa"/>
            <w:vAlign w:val="center"/>
          </w:tcPr>
          <w:p w14:paraId="4EE1101D" w14:textId="77777777" w:rsidR="004B5E95" w:rsidRDefault="00000000">
            <w:pPr>
              <w:spacing w:before="20" w:after="20"/>
              <w:jc w:val="center"/>
            </w:pPr>
            <w:r>
              <w:rPr>
                <w:rFonts w:eastAsia="Arial"/>
                <w:b/>
                <w:sz w:val="17"/>
              </w:rPr>
              <w:t>End h</w:t>
            </w:r>
          </w:p>
        </w:tc>
      </w:tr>
      <w:tr w:rsidR="004B5E95" w14:paraId="5094D9FD" w14:textId="77777777">
        <w:trPr>
          <w:cantSplit/>
        </w:trPr>
        <w:tc>
          <w:tcPr>
            <w:tcW w:w="2376" w:type="dxa"/>
            <w:vAlign w:val="center"/>
          </w:tcPr>
          <w:p w14:paraId="05576E09" w14:textId="77777777" w:rsidR="004B5E95" w:rsidRDefault="00000000">
            <w:pPr>
              <w:spacing w:before="20" w:after="20"/>
            </w:pPr>
            <w:r>
              <w:rPr>
                <w:rFonts w:eastAsia="Arial"/>
                <w:sz w:val="15"/>
              </w:rPr>
              <w:t>Baseline</w:t>
            </w:r>
          </w:p>
        </w:tc>
        <w:tc>
          <w:tcPr>
            <w:tcW w:w="691" w:type="dxa"/>
            <w:vAlign w:val="center"/>
          </w:tcPr>
          <w:p w14:paraId="0624F1D1" w14:textId="77777777" w:rsidR="004B5E95" w:rsidRDefault="00000000">
            <w:pPr>
              <w:spacing w:before="20" w:after="20"/>
              <w:jc w:val="center"/>
            </w:pPr>
            <w:r>
              <w:rPr>
                <w:rFonts w:eastAsia="Arial"/>
                <w:sz w:val="15"/>
              </w:rPr>
              <w:t>0.80</w:t>
            </w:r>
          </w:p>
        </w:tc>
        <w:tc>
          <w:tcPr>
            <w:tcW w:w="691" w:type="dxa"/>
            <w:vAlign w:val="center"/>
          </w:tcPr>
          <w:p w14:paraId="525D8849" w14:textId="77777777" w:rsidR="004B5E95" w:rsidRDefault="00000000">
            <w:pPr>
              <w:spacing w:before="20" w:after="20"/>
              <w:jc w:val="center"/>
            </w:pPr>
            <w:r>
              <w:rPr>
                <w:rFonts w:eastAsia="Arial"/>
                <w:sz w:val="15"/>
              </w:rPr>
              <w:t>0.55</w:t>
            </w:r>
          </w:p>
        </w:tc>
        <w:tc>
          <w:tcPr>
            <w:tcW w:w="979" w:type="dxa"/>
            <w:vAlign w:val="center"/>
          </w:tcPr>
          <w:p w14:paraId="69423C8C" w14:textId="77777777" w:rsidR="004B5E95" w:rsidRDefault="00000000">
            <w:pPr>
              <w:spacing w:before="20" w:after="20"/>
              <w:jc w:val="center"/>
            </w:pPr>
            <w:r>
              <w:rPr>
                <w:rFonts w:eastAsia="Arial"/>
                <w:sz w:val="15"/>
              </w:rPr>
              <w:t>417.53</w:t>
            </w:r>
          </w:p>
        </w:tc>
        <w:tc>
          <w:tcPr>
            <w:tcW w:w="1296" w:type="dxa"/>
            <w:vAlign w:val="center"/>
          </w:tcPr>
          <w:p w14:paraId="2D19B382" w14:textId="77777777" w:rsidR="004B5E95" w:rsidRDefault="00000000">
            <w:pPr>
              <w:spacing w:before="20" w:after="20"/>
              <w:jc w:val="center"/>
            </w:pPr>
            <w:r>
              <w:rPr>
                <w:rFonts w:eastAsia="Arial"/>
                <w:sz w:val="15"/>
              </w:rPr>
              <w:t>13.19</w:t>
            </w:r>
          </w:p>
        </w:tc>
        <w:tc>
          <w:tcPr>
            <w:tcW w:w="720" w:type="dxa"/>
            <w:vAlign w:val="center"/>
          </w:tcPr>
          <w:p w14:paraId="4E08443D" w14:textId="77777777" w:rsidR="004B5E95" w:rsidRDefault="00000000">
            <w:pPr>
              <w:spacing w:before="20" w:after="20"/>
              <w:jc w:val="center"/>
            </w:pPr>
            <w:r>
              <w:rPr>
                <w:rFonts w:eastAsia="Arial"/>
                <w:sz w:val="15"/>
              </w:rPr>
              <w:t>0.054</w:t>
            </w:r>
          </w:p>
        </w:tc>
        <w:tc>
          <w:tcPr>
            <w:tcW w:w="720" w:type="dxa"/>
            <w:vAlign w:val="center"/>
          </w:tcPr>
          <w:p w14:paraId="2E2EB2FA" w14:textId="77777777" w:rsidR="004B5E95" w:rsidRDefault="00000000">
            <w:pPr>
              <w:spacing w:before="20" w:after="20"/>
              <w:jc w:val="center"/>
            </w:pPr>
            <w:r>
              <w:rPr>
                <w:rFonts w:eastAsia="Arial"/>
                <w:sz w:val="15"/>
              </w:rPr>
              <w:t>0.689</w:t>
            </w:r>
          </w:p>
        </w:tc>
      </w:tr>
      <w:tr w:rsidR="004B5E95" w14:paraId="352AE3C3" w14:textId="77777777">
        <w:trPr>
          <w:cantSplit/>
        </w:trPr>
        <w:tc>
          <w:tcPr>
            <w:tcW w:w="2376" w:type="dxa"/>
            <w:vAlign w:val="center"/>
          </w:tcPr>
          <w:p w14:paraId="797BAF73" w14:textId="77777777" w:rsidR="004B5E95" w:rsidRDefault="00000000">
            <w:pPr>
              <w:spacing w:before="20" w:after="20"/>
            </w:pPr>
            <w:r>
              <w:rPr>
                <w:rFonts w:eastAsia="Arial"/>
                <w:sz w:val="15"/>
              </w:rPr>
              <w:t>Low leverage (0.30)</w:t>
            </w:r>
          </w:p>
        </w:tc>
        <w:tc>
          <w:tcPr>
            <w:tcW w:w="691" w:type="dxa"/>
            <w:vAlign w:val="center"/>
          </w:tcPr>
          <w:p w14:paraId="1906C83D" w14:textId="77777777" w:rsidR="004B5E95" w:rsidRDefault="00000000">
            <w:pPr>
              <w:spacing w:before="20" w:after="20"/>
              <w:jc w:val="center"/>
            </w:pPr>
            <w:r>
              <w:rPr>
                <w:rFonts w:eastAsia="Arial"/>
                <w:sz w:val="15"/>
              </w:rPr>
              <w:t>0.80</w:t>
            </w:r>
          </w:p>
        </w:tc>
        <w:tc>
          <w:tcPr>
            <w:tcW w:w="691" w:type="dxa"/>
            <w:vAlign w:val="center"/>
          </w:tcPr>
          <w:p w14:paraId="343C9092" w14:textId="77777777" w:rsidR="004B5E95" w:rsidRDefault="00000000">
            <w:pPr>
              <w:spacing w:before="20" w:after="20"/>
              <w:jc w:val="center"/>
            </w:pPr>
            <w:r>
              <w:rPr>
                <w:rFonts w:eastAsia="Arial"/>
                <w:sz w:val="15"/>
              </w:rPr>
              <w:t>0.55</w:t>
            </w:r>
          </w:p>
        </w:tc>
        <w:tc>
          <w:tcPr>
            <w:tcW w:w="979" w:type="dxa"/>
            <w:vAlign w:val="center"/>
          </w:tcPr>
          <w:p w14:paraId="128304AA" w14:textId="77777777" w:rsidR="004B5E95" w:rsidRDefault="00000000">
            <w:pPr>
              <w:spacing w:before="20" w:after="20"/>
              <w:jc w:val="center"/>
            </w:pPr>
            <w:r>
              <w:rPr>
                <w:rFonts w:eastAsia="Arial"/>
                <w:sz w:val="15"/>
              </w:rPr>
              <w:t>418.65</w:t>
            </w:r>
          </w:p>
        </w:tc>
        <w:tc>
          <w:tcPr>
            <w:tcW w:w="1296" w:type="dxa"/>
            <w:vAlign w:val="center"/>
          </w:tcPr>
          <w:p w14:paraId="47569625" w14:textId="77777777" w:rsidR="004B5E95" w:rsidRDefault="00000000">
            <w:pPr>
              <w:spacing w:before="20" w:after="20"/>
              <w:jc w:val="center"/>
            </w:pPr>
            <w:r>
              <w:rPr>
                <w:rFonts w:eastAsia="Arial"/>
                <w:sz w:val="15"/>
              </w:rPr>
              <w:t>13.19</w:t>
            </w:r>
          </w:p>
        </w:tc>
        <w:tc>
          <w:tcPr>
            <w:tcW w:w="720" w:type="dxa"/>
            <w:vAlign w:val="center"/>
          </w:tcPr>
          <w:p w14:paraId="5FCADF9B" w14:textId="77777777" w:rsidR="004B5E95" w:rsidRDefault="00000000">
            <w:pPr>
              <w:spacing w:before="20" w:after="20"/>
              <w:jc w:val="center"/>
            </w:pPr>
            <w:r>
              <w:rPr>
                <w:rFonts w:eastAsia="Arial"/>
                <w:sz w:val="15"/>
              </w:rPr>
              <w:t>0.054</w:t>
            </w:r>
          </w:p>
        </w:tc>
        <w:tc>
          <w:tcPr>
            <w:tcW w:w="720" w:type="dxa"/>
            <w:vAlign w:val="center"/>
          </w:tcPr>
          <w:p w14:paraId="04F1392B" w14:textId="77777777" w:rsidR="004B5E95" w:rsidRDefault="00000000">
            <w:pPr>
              <w:spacing w:before="20" w:after="20"/>
              <w:jc w:val="center"/>
            </w:pPr>
            <w:r>
              <w:rPr>
                <w:rFonts w:eastAsia="Arial"/>
                <w:sz w:val="15"/>
              </w:rPr>
              <w:t>0.689</w:t>
            </w:r>
          </w:p>
        </w:tc>
      </w:tr>
      <w:tr w:rsidR="004B5E95" w14:paraId="3070F9A4" w14:textId="77777777">
        <w:trPr>
          <w:cantSplit/>
        </w:trPr>
        <w:tc>
          <w:tcPr>
            <w:tcW w:w="2376" w:type="dxa"/>
            <w:vAlign w:val="center"/>
          </w:tcPr>
          <w:p w14:paraId="49709212" w14:textId="77777777" w:rsidR="004B5E95" w:rsidRDefault="00000000">
            <w:pPr>
              <w:spacing w:before="20" w:after="20"/>
            </w:pPr>
            <w:r>
              <w:rPr>
                <w:rFonts w:eastAsia="Arial"/>
                <w:sz w:val="15"/>
              </w:rPr>
              <w:t>High leverage (0.75)</w:t>
            </w:r>
          </w:p>
        </w:tc>
        <w:tc>
          <w:tcPr>
            <w:tcW w:w="691" w:type="dxa"/>
            <w:vAlign w:val="center"/>
          </w:tcPr>
          <w:p w14:paraId="7EA09B65" w14:textId="77777777" w:rsidR="004B5E95" w:rsidRDefault="00000000">
            <w:pPr>
              <w:spacing w:before="20" w:after="20"/>
              <w:jc w:val="center"/>
            </w:pPr>
            <w:r>
              <w:rPr>
                <w:rFonts w:eastAsia="Arial"/>
                <w:sz w:val="15"/>
              </w:rPr>
              <w:t>0.80</w:t>
            </w:r>
          </w:p>
        </w:tc>
        <w:tc>
          <w:tcPr>
            <w:tcW w:w="691" w:type="dxa"/>
            <w:vAlign w:val="center"/>
          </w:tcPr>
          <w:p w14:paraId="7276703E" w14:textId="77777777" w:rsidR="004B5E95" w:rsidRDefault="00000000">
            <w:pPr>
              <w:spacing w:before="20" w:after="20"/>
              <w:jc w:val="center"/>
            </w:pPr>
            <w:r>
              <w:rPr>
                <w:rFonts w:eastAsia="Arial"/>
                <w:sz w:val="15"/>
              </w:rPr>
              <w:t>0.55</w:t>
            </w:r>
          </w:p>
        </w:tc>
        <w:tc>
          <w:tcPr>
            <w:tcW w:w="979" w:type="dxa"/>
            <w:vAlign w:val="center"/>
          </w:tcPr>
          <w:p w14:paraId="44BCF2C9" w14:textId="77777777" w:rsidR="004B5E95" w:rsidRDefault="00000000">
            <w:pPr>
              <w:spacing w:before="20" w:after="20"/>
              <w:jc w:val="center"/>
            </w:pPr>
            <w:r>
              <w:rPr>
                <w:rFonts w:eastAsia="Arial"/>
                <w:sz w:val="15"/>
              </w:rPr>
              <w:t>416.63</w:t>
            </w:r>
          </w:p>
        </w:tc>
        <w:tc>
          <w:tcPr>
            <w:tcW w:w="1296" w:type="dxa"/>
            <w:vAlign w:val="center"/>
          </w:tcPr>
          <w:p w14:paraId="1FBAD107" w14:textId="77777777" w:rsidR="004B5E95" w:rsidRDefault="00000000">
            <w:pPr>
              <w:spacing w:before="20" w:after="20"/>
              <w:jc w:val="center"/>
            </w:pPr>
            <w:r>
              <w:rPr>
                <w:rFonts w:eastAsia="Arial"/>
                <w:sz w:val="15"/>
              </w:rPr>
              <w:t>13.19</w:t>
            </w:r>
          </w:p>
        </w:tc>
        <w:tc>
          <w:tcPr>
            <w:tcW w:w="720" w:type="dxa"/>
            <w:vAlign w:val="center"/>
          </w:tcPr>
          <w:p w14:paraId="5CF1C25F" w14:textId="77777777" w:rsidR="004B5E95" w:rsidRDefault="00000000">
            <w:pPr>
              <w:spacing w:before="20" w:after="20"/>
              <w:jc w:val="center"/>
            </w:pPr>
            <w:r>
              <w:rPr>
                <w:rFonts w:eastAsia="Arial"/>
                <w:sz w:val="15"/>
              </w:rPr>
              <w:t>0.054</w:t>
            </w:r>
          </w:p>
        </w:tc>
        <w:tc>
          <w:tcPr>
            <w:tcW w:w="720" w:type="dxa"/>
            <w:vAlign w:val="center"/>
          </w:tcPr>
          <w:p w14:paraId="41BAA5A1" w14:textId="77777777" w:rsidR="004B5E95" w:rsidRDefault="00000000">
            <w:pPr>
              <w:spacing w:before="20" w:after="20"/>
              <w:jc w:val="center"/>
            </w:pPr>
            <w:r>
              <w:rPr>
                <w:rFonts w:eastAsia="Arial"/>
                <w:sz w:val="15"/>
              </w:rPr>
              <w:t>0.689</w:t>
            </w:r>
          </w:p>
        </w:tc>
      </w:tr>
      <w:tr w:rsidR="004B5E95" w14:paraId="58966FCE" w14:textId="77777777">
        <w:trPr>
          <w:cantSplit/>
        </w:trPr>
        <w:tc>
          <w:tcPr>
            <w:tcW w:w="2376" w:type="dxa"/>
            <w:vAlign w:val="center"/>
          </w:tcPr>
          <w:p w14:paraId="7925CE7C" w14:textId="77777777" w:rsidR="004B5E95" w:rsidRDefault="00000000">
            <w:pPr>
              <w:spacing w:before="20" w:after="20"/>
            </w:pPr>
            <w:r>
              <w:rPr>
                <w:rFonts w:eastAsia="Arial"/>
                <w:sz w:val="15"/>
              </w:rPr>
              <w:t>Low creditor loss fraction (0.40)</w:t>
            </w:r>
          </w:p>
        </w:tc>
        <w:tc>
          <w:tcPr>
            <w:tcW w:w="691" w:type="dxa"/>
            <w:vAlign w:val="center"/>
          </w:tcPr>
          <w:p w14:paraId="3A6F56F2" w14:textId="77777777" w:rsidR="004B5E95" w:rsidRDefault="00000000">
            <w:pPr>
              <w:spacing w:before="20" w:after="20"/>
              <w:jc w:val="center"/>
            </w:pPr>
            <w:r>
              <w:rPr>
                <w:rFonts w:eastAsia="Arial"/>
                <w:sz w:val="15"/>
              </w:rPr>
              <w:t>0.80</w:t>
            </w:r>
          </w:p>
        </w:tc>
        <w:tc>
          <w:tcPr>
            <w:tcW w:w="691" w:type="dxa"/>
            <w:vAlign w:val="center"/>
          </w:tcPr>
          <w:p w14:paraId="5C674AF8" w14:textId="77777777" w:rsidR="004B5E95" w:rsidRDefault="00000000">
            <w:pPr>
              <w:spacing w:before="20" w:after="20"/>
              <w:jc w:val="center"/>
            </w:pPr>
            <w:r>
              <w:rPr>
                <w:rFonts w:eastAsia="Arial"/>
                <w:sz w:val="15"/>
              </w:rPr>
              <w:t>0.55</w:t>
            </w:r>
          </w:p>
        </w:tc>
        <w:tc>
          <w:tcPr>
            <w:tcW w:w="979" w:type="dxa"/>
            <w:vAlign w:val="center"/>
          </w:tcPr>
          <w:p w14:paraId="01B3E9C2" w14:textId="77777777" w:rsidR="004B5E95" w:rsidRDefault="00000000">
            <w:pPr>
              <w:spacing w:before="20" w:after="20"/>
              <w:jc w:val="center"/>
            </w:pPr>
            <w:r>
              <w:rPr>
                <w:rFonts w:eastAsia="Arial"/>
                <w:sz w:val="15"/>
              </w:rPr>
              <w:t>417.64</w:t>
            </w:r>
          </w:p>
        </w:tc>
        <w:tc>
          <w:tcPr>
            <w:tcW w:w="1296" w:type="dxa"/>
            <w:vAlign w:val="center"/>
          </w:tcPr>
          <w:p w14:paraId="6E1B6CE6" w14:textId="77777777" w:rsidR="004B5E95" w:rsidRDefault="00000000">
            <w:pPr>
              <w:spacing w:before="20" w:after="20"/>
              <w:jc w:val="center"/>
            </w:pPr>
            <w:r>
              <w:rPr>
                <w:rFonts w:eastAsia="Arial"/>
                <w:sz w:val="15"/>
              </w:rPr>
              <w:t>8.79</w:t>
            </w:r>
          </w:p>
        </w:tc>
        <w:tc>
          <w:tcPr>
            <w:tcW w:w="720" w:type="dxa"/>
            <w:vAlign w:val="center"/>
          </w:tcPr>
          <w:p w14:paraId="2D2DA0F4" w14:textId="77777777" w:rsidR="004B5E95" w:rsidRDefault="00000000">
            <w:pPr>
              <w:spacing w:before="20" w:after="20"/>
              <w:jc w:val="center"/>
            </w:pPr>
            <w:r>
              <w:rPr>
                <w:rFonts w:eastAsia="Arial"/>
                <w:sz w:val="15"/>
              </w:rPr>
              <w:t>0.054</w:t>
            </w:r>
          </w:p>
        </w:tc>
        <w:tc>
          <w:tcPr>
            <w:tcW w:w="720" w:type="dxa"/>
            <w:vAlign w:val="center"/>
          </w:tcPr>
          <w:p w14:paraId="4A8482B0" w14:textId="77777777" w:rsidR="004B5E95" w:rsidRDefault="00000000">
            <w:pPr>
              <w:spacing w:before="20" w:after="20"/>
              <w:jc w:val="center"/>
            </w:pPr>
            <w:r>
              <w:rPr>
                <w:rFonts w:eastAsia="Arial"/>
                <w:sz w:val="15"/>
              </w:rPr>
              <w:t>0.689</w:t>
            </w:r>
          </w:p>
        </w:tc>
      </w:tr>
      <w:tr w:rsidR="004B5E95" w14:paraId="644CE94A" w14:textId="77777777">
        <w:trPr>
          <w:cantSplit/>
        </w:trPr>
        <w:tc>
          <w:tcPr>
            <w:tcW w:w="2376" w:type="dxa"/>
            <w:vAlign w:val="center"/>
          </w:tcPr>
          <w:p w14:paraId="1E4C11D2" w14:textId="77777777" w:rsidR="004B5E95" w:rsidRDefault="00000000">
            <w:pPr>
              <w:spacing w:before="20" w:after="20"/>
            </w:pPr>
            <w:r>
              <w:rPr>
                <w:rFonts w:eastAsia="Arial"/>
                <w:sz w:val="15"/>
              </w:rPr>
              <w:t>High creditor loss fraction (0.80)</w:t>
            </w:r>
          </w:p>
        </w:tc>
        <w:tc>
          <w:tcPr>
            <w:tcW w:w="691" w:type="dxa"/>
            <w:vAlign w:val="center"/>
          </w:tcPr>
          <w:p w14:paraId="675472EA" w14:textId="77777777" w:rsidR="004B5E95" w:rsidRDefault="00000000">
            <w:pPr>
              <w:spacing w:before="20" w:after="20"/>
              <w:jc w:val="center"/>
            </w:pPr>
            <w:r>
              <w:rPr>
                <w:rFonts w:eastAsia="Arial"/>
                <w:sz w:val="15"/>
              </w:rPr>
              <w:t>0.80</w:t>
            </w:r>
          </w:p>
        </w:tc>
        <w:tc>
          <w:tcPr>
            <w:tcW w:w="691" w:type="dxa"/>
            <w:vAlign w:val="center"/>
          </w:tcPr>
          <w:p w14:paraId="2DC95BBE" w14:textId="77777777" w:rsidR="004B5E95" w:rsidRDefault="00000000">
            <w:pPr>
              <w:spacing w:before="20" w:after="20"/>
              <w:jc w:val="center"/>
            </w:pPr>
            <w:r>
              <w:rPr>
                <w:rFonts w:eastAsia="Arial"/>
                <w:sz w:val="15"/>
              </w:rPr>
              <w:t>0.55</w:t>
            </w:r>
          </w:p>
        </w:tc>
        <w:tc>
          <w:tcPr>
            <w:tcW w:w="979" w:type="dxa"/>
            <w:vAlign w:val="center"/>
          </w:tcPr>
          <w:p w14:paraId="20D14E9C" w14:textId="77777777" w:rsidR="004B5E95" w:rsidRDefault="00000000">
            <w:pPr>
              <w:spacing w:before="20" w:after="20"/>
              <w:jc w:val="center"/>
            </w:pPr>
            <w:r>
              <w:rPr>
                <w:rFonts w:eastAsia="Arial"/>
                <w:sz w:val="15"/>
              </w:rPr>
              <w:t>417.41</w:t>
            </w:r>
          </w:p>
        </w:tc>
        <w:tc>
          <w:tcPr>
            <w:tcW w:w="1296" w:type="dxa"/>
            <w:vAlign w:val="center"/>
          </w:tcPr>
          <w:p w14:paraId="18C16E32" w14:textId="77777777" w:rsidR="004B5E95" w:rsidRDefault="00000000">
            <w:pPr>
              <w:spacing w:before="20" w:after="20"/>
              <w:jc w:val="center"/>
            </w:pPr>
            <w:r>
              <w:rPr>
                <w:rFonts w:eastAsia="Arial"/>
                <w:sz w:val="15"/>
              </w:rPr>
              <w:t>17.60</w:t>
            </w:r>
          </w:p>
        </w:tc>
        <w:tc>
          <w:tcPr>
            <w:tcW w:w="720" w:type="dxa"/>
            <w:vAlign w:val="center"/>
          </w:tcPr>
          <w:p w14:paraId="4FAD3E7E" w14:textId="77777777" w:rsidR="004B5E95" w:rsidRDefault="00000000">
            <w:pPr>
              <w:spacing w:before="20" w:after="20"/>
              <w:jc w:val="center"/>
            </w:pPr>
            <w:r>
              <w:rPr>
                <w:rFonts w:eastAsia="Arial"/>
                <w:sz w:val="15"/>
              </w:rPr>
              <w:t>0.054</w:t>
            </w:r>
          </w:p>
        </w:tc>
        <w:tc>
          <w:tcPr>
            <w:tcW w:w="720" w:type="dxa"/>
            <w:vAlign w:val="center"/>
          </w:tcPr>
          <w:p w14:paraId="444348CE" w14:textId="77777777" w:rsidR="004B5E95" w:rsidRDefault="00000000">
            <w:pPr>
              <w:spacing w:before="20" w:after="20"/>
              <w:jc w:val="center"/>
            </w:pPr>
            <w:r>
              <w:rPr>
                <w:rFonts w:eastAsia="Arial"/>
                <w:sz w:val="15"/>
              </w:rPr>
              <w:t>0.689</w:t>
            </w:r>
          </w:p>
        </w:tc>
      </w:tr>
      <w:tr w:rsidR="004B5E95" w14:paraId="60D643F9" w14:textId="77777777">
        <w:trPr>
          <w:cantSplit/>
        </w:trPr>
        <w:tc>
          <w:tcPr>
            <w:tcW w:w="2376" w:type="dxa"/>
            <w:vAlign w:val="center"/>
          </w:tcPr>
          <w:p w14:paraId="759EAFA5" w14:textId="77777777" w:rsidR="004B5E95" w:rsidRDefault="00000000">
            <w:pPr>
              <w:spacing w:before="20" w:after="20"/>
            </w:pPr>
            <w:r>
              <w:rPr>
                <w:rFonts w:eastAsia="Arial"/>
                <w:sz w:val="15"/>
              </w:rPr>
              <w:t>Lower artificial intelligence productivity (-20%)</w:t>
            </w:r>
          </w:p>
        </w:tc>
        <w:tc>
          <w:tcPr>
            <w:tcW w:w="691" w:type="dxa"/>
            <w:vAlign w:val="center"/>
          </w:tcPr>
          <w:p w14:paraId="63C53F21" w14:textId="77777777" w:rsidR="004B5E95" w:rsidRDefault="00000000">
            <w:pPr>
              <w:spacing w:before="20" w:after="20"/>
              <w:jc w:val="center"/>
            </w:pPr>
            <w:r>
              <w:rPr>
                <w:rFonts w:eastAsia="Arial"/>
                <w:sz w:val="15"/>
              </w:rPr>
              <w:t>0.65</w:t>
            </w:r>
          </w:p>
        </w:tc>
        <w:tc>
          <w:tcPr>
            <w:tcW w:w="691" w:type="dxa"/>
            <w:vAlign w:val="center"/>
          </w:tcPr>
          <w:p w14:paraId="2113CE4D" w14:textId="77777777" w:rsidR="004B5E95" w:rsidRDefault="00000000">
            <w:pPr>
              <w:spacing w:before="20" w:after="20"/>
              <w:jc w:val="center"/>
            </w:pPr>
            <w:r>
              <w:rPr>
                <w:rFonts w:eastAsia="Arial"/>
                <w:sz w:val="15"/>
              </w:rPr>
              <w:t>0.50</w:t>
            </w:r>
          </w:p>
        </w:tc>
        <w:tc>
          <w:tcPr>
            <w:tcW w:w="979" w:type="dxa"/>
            <w:vAlign w:val="center"/>
          </w:tcPr>
          <w:p w14:paraId="0FDE1660" w14:textId="77777777" w:rsidR="004B5E95" w:rsidRDefault="00000000">
            <w:pPr>
              <w:spacing w:before="20" w:after="20"/>
              <w:jc w:val="center"/>
            </w:pPr>
            <w:r>
              <w:rPr>
                <w:rFonts w:eastAsia="Arial"/>
                <w:sz w:val="15"/>
              </w:rPr>
              <w:t>388.77</w:t>
            </w:r>
          </w:p>
        </w:tc>
        <w:tc>
          <w:tcPr>
            <w:tcW w:w="1296" w:type="dxa"/>
            <w:vAlign w:val="center"/>
          </w:tcPr>
          <w:p w14:paraId="560D0F68" w14:textId="77777777" w:rsidR="004B5E95" w:rsidRDefault="00000000">
            <w:pPr>
              <w:spacing w:before="20" w:after="20"/>
              <w:jc w:val="center"/>
            </w:pPr>
            <w:r>
              <w:rPr>
                <w:rFonts w:eastAsia="Arial"/>
                <w:sz w:val="15"/>
              </w:rPr>
              <w:t>14.28</w:t>
            </w:r>
          </w:p>
        </w:tc>
        <w:tc>
          <w:tcPr>
            <w:tcW w:w="720" w:type="dxa"/>
            <w:vAlign w:val="center"/>
          </w:tcPr>
          <w:p w14:paraId="4E14DAE7" w14:textId="77777777" w:rsidR="004B5E95" w:rsidRDefault="00000000">
            <w:pPr>
              <w:spacing w:before="20" w:after="20"/>
              <w:jc w:val="center"/>
            </w:pPr>
            <w:r>
              <w:rPr>
                <w:rFonts w:eastAsia="Arial"/>
                <w:sz w:val="15"/>
              </w:rPr>
              <w:t>0.045</w:t>
            </w:r>
          </w:p>
        </w:tc>
        <w:tc>
          <w:tcPr>
            <w:tcW w:w="720" w:type="dxa"/>
            <w:vAlign w:val="center"/>
          </w:tcPr>
          <w:p w14:paraId="111EACC2" w14:textId="77777777" w:rsidR="004B5E95" w:rsidRDefault="00000000">
            <w:pPr>
              <w:spacing w:before="20" w:after="20"/>
              <w:jc w:val="center"/>
            </w:pPr>
            <w:r>
              <w:rPr>
                <w:rFonts w:eastAsia="Arial"/>
                <w:sz w:val="15"/>
              </w:rPr>
              <w:t>0.692</w:t>
            </w:r>
          </w:p>
        </w:tc>
      </w:tr>
      <w:tr w:rsidR="004B5E95" w14:paraId="28105B6C" w14:textId="77777777">
        <w:trPr>
          <w:cantSplit/>
        </w:trPr>
        <w:tc>
          <w:tcPr>
            <w:tcW w:w="2376" w:type="dxa"/>
            <w:vAlign w:val="center"/>
          </w:tcPr>
          <w:p w14:paraId="16FA9BD3" w14:textId="77777777" w:rsidR="004B5E95" w:rsidRDefault="00000000">
            <w:pPr>
              <w:spacing w:before="20" w:after="20"/>
            </w:pPr>
            <w:r>
              <w:rPr>
                <w:rFonts w:eastAsia="Arial"/>
                <w:sz w:val="15"/>
              </w:rPr>
              <w:lastRenderedPageBreak/>
              <w:t>Higher artificial intelligence productivity (+20%)</w:t>
            </w:r>
          </w:p>
        </w:tc>
        <w:tc>
          <w:tcPr>
            <w:tcW w:w="691" w:type="dxa"/>
            <w:vAlign w:val="center"/>
          </w:tcPr>
          <w:p w14:paraId="2738A480" w14:textId="77777777" w:rsidR="004B5E95" w:rsidRDefault="00000000">
            <w:pPr>
              <w:spacing w:before="20" w:after="20"/>
              <w:jc w:val="center"/>
            </w:pPr>
            <w:r>
              <w:rPr>
                <w:rFonts w:eastAsia="Arial"/>
                <w:sz w:val="15"/>
              </w:rPr>
              <w:t>0.90</w:t>
            </w:r>
          </w:p>
        </w:tc>
        <w:tc>
          <w:tcPr>
            <w:tcW w:w="691" w:type="dxa"/>
            <w:vAlign w:val="center"/>
          </w:tcPr>
          <w:p w14:paraId="430B9AD7" w14:textId="77777777" w:rsidR="004B5E95" w:rsidRDefault="00000000">
            <w:pPr>
              <w:spacing w:before="20" w:after="20"/>
              <w:jc w:val="center"/>
            </w:pPr>
            <w:r>
              <w:rPr>
                <w:rFonts w:eastAsia="Arial"/>
                <w:sz w:val="15"/>
              </w:rPr>
              <w:t>0.60</w:t>
            </w:r>
          </w:p>
        </w:tc>
        <w:tc>
          <w:tcPr>
            <w:tcW w:w="979" w:type="dxa"/>
            <w:vAlign w:val="center"/>
          </w:tcPr>
          <w:p w14:paraId="2F4009DD" w14:textId="77777777" w:rsidR="004B5E95" w:rsidRDefault="00000000">
            <w:pPr>
              <w:spacing w:before="20" w:after="20"/>
              <w:jc w:val="center"/>
            </w:pPr>
            <w:r>
              <w:rPr>
                <w:rFonts w:eastAsia="Arial"/>
                <w:sz w:val="15"/>
              </w:rPr>
              <w:t>451.57</w:t>
            </w:r>
          </w:p>
        </w:tc>
        <w:tc>
          <w:tcPr>
            <w:tcW w:w="1296" w:type="dxa"/>
            <w:vAlign w:val="center"/>
          </w:tcPr>
          <w:p w14:paraId="46C7425E" w14:textId="77777777" w:rsidR="004B5E95" w:rsidRDefault="00000000">
            <w:pPr>
              <w:spacing w:before="20" w:after="20"/>
              <w:jc w:val="center"/>
            </w:pPr>
            <w:r>
              <w:rPr>
                <w:rFonts w:eastAsia="Arial"/>
                <w:sz w:val="15"/>
              </w:rPr>
              <w:t>11.38</w:t>
            </w:r>
          </w:p>
        </w:tc>
        <w:tc>
          <w:tcPr>
            <w:tcW w:w="720" w:type="dxa"/>
            <w:vAlign w:val="center"/>
          </w:tcPr>
          <w:p w14:paraId="6549FD3E" w14:textId="77777777" w:rsidR="004B5E95" w:rsidRDefault="00000000">
            <w:pPr>
              <w:spacing w:before="20" w:after="20"/>
              <w:jc w:val="center"/>
            </w:pPr>
            <w:r>
              <w:rPr>
                <w:rFonts w:eastAsia="Arial"/>
                <w:sz w:val="15"/>
              </w:rPr>
              <w:t>0.028</w:t>
            </w:r>
          </w:p>
        </w:tc>
        <w:tc>
          <w:tcPr>
            <w:tcW w:w="720" w:type="dxa"/>
            <w:vAlign w:val="center"/>
          </w:tcPr>
          <w:p w14:paraId="62851F58" w14:textId="77777777" w:rsidR="004B5E95" w:rsidRDefault="00000000">
            <w:pPr>
              <w:spacing w:before="20" w:after="20"/>
              <w:jc w:val="center"/>
            </w:pPr>
            <w:r>
              <w:rPr>
                <w:rFonts w:eastAsia="Arial"/>
                <w:sz w:val="15"/>
              </w:rPr>
              <w:t>0.706</w:t>
            </w:r>
          </w:p>
        </w:tc>
      </w:tr>
      <w:tr w:rsidR="004B5E95" w14:paraId="34D3C543" w14:textId="77777777">
        <w:trPr>
          <w:cantSplit/>
        </w:trPr>
        <w:tc>
          <w:tcPr>
            <w:tcW w:w="2376" w:type="dxa"/>
            <w:vAlign w:val="center"/>
          </w:tcPr>
          <w:p w14:paraId="168FF9A8" w14:textId="77777777" w:rsidR="004B5E95" w:rsidRDefault="00000000">
            <w:pPr>
              <w:spacing w:before="20" w:after="20"/>
            </w:pPr>
            <w:r>
              <w:rPr>
                <w:rFonts w:eastAsia="Arial"/>
                <w:sz w:val="15"/>
              </w:rPr>
              <w:t>Higher unmanaged-risk sensitivity (+20%)</w:t>
            </w:r>
          </w:p>
        </w:tc>
        <w:tc>
          <w:tcPr>
            <w:tcW w:w="691" w:type="dxa"/>
            <w:vAlign w:val="center"/>
          </w:tcPr>
          <w:p w14:paraId="2C695715" w14:textId="77777777" w:rsidR="004B5E95" w:rsidRDefault="00000000">
            <w:pPr>
              <w:spacing w:before="20" w:after="20"/>
              <w:jc w:val="center"/>
            </w:pPr>
            <w:r>
              <w:rPr>
                <w:rFonts w:eastAsia="Arial"/>
                <w:sz w:val="15"/>
              </w:rPr>
              <w:t>0.80</w:t>
            </w:r>
          </w:p>
        </w:tc>
        <w:tc>
          <w:tcPr>
            <w:tcW w:w="691" w:type="dxa"/>
            <w:vAlign w:val="center"/>
          </w:tcPr>
          <w:p w14:paraId="603E8B2E" w14:textId="77777777" w:rsidR="004B5E95" w:rsidRDefault="00000000">
            <w:pPr>
              <w:spacing w:before="20" w:after="20"/>
              <w:jc w:val="center"/>
            </w:pPr>
            <w:r>
              <w:rPr>
                <w:rFonts w:eastAsia="Arial"/>
                <w:sz w:val="15"/>
              </w:rPr>
              <w:t>0.55</w:t>
            </w:r>
          </w:p>
        </w:tc>
        <w:tc>
          <w:tcPr>
            <w:tcW w:w="979" w:type="dxa"/>
            <w:vAlign w:val="center"/>
          </w:tcPr>
          <w:p w14:paraId="5A6E59A6" w14:textId="77777777" w:rsidR="004B5E95" w:rsidRDefault="00000000">
            <w:pPr>
              <w:spacing w:before="20" w:after="20"/>
              <w:jc w:val="center"/>
            </w:pPr>
            <w:r>
              <w:rPr>
                <w:rFonts w:eastAsia="Arial"/>
                <w:sz w:val="15"/>
              </w:rPr>
              <w:t>417.20</w:t>
            </w:r>
          </w:p>
        </w:tc>
        <w:tc>
          <w:tcPr>
            <w:tcW w:w="1296" w:type="dxa"/>
            <w:vAlign w:val="center"/>
          </w:tcPr>
          <w:p w14:paraId="56720B65" w14:textId="77777777" w:rsidR="004B5E95" w:rsidRDefault="00000000">
            <w:pPr>
              <w:spacing w:before="20" w:after="20"/>
              <w:jc w:val="center"/>
            </w:pPr>
            <w:r>
              <w:rPr>
                <w:rFonts w:eastAsia="Arial"/>
                <w:sz w:val="15"/>
              </w:rPr>
              <w:t>17.09</w:t>
            </w:r>
          </w:p>
        </w:tc>
        <w:tc>
          <w:tcPr>
            <w:tcW w:w="720" w:type="dxa"/>
            <w:vAlign w:val="center"/>
          </w:tcPr>
          <w:p w14:paraId="702C1694" w14:textId="77777777" w:rsidR="004B5E95" w:rsidRDefault="00000000">
            <w:pPr>
              <w:spacing w:before="20" w:after="20"/>
              <w:jc w:val="center"/>
            </w:pPr>
            <w:r>
              <w:rPr>
                <w:rFonts w:eastAsia="Arial"/>
                <w:sz w:val="15"/>
              </w:rPr>
              <w:t>0.054</w:t>
            </w:r>
          </w:p>
        </w:tc>
        <w:tc>
          <w:tcPr>
            <w:tcW w:w="720" w:type="dxa"/>
            <w:vAlign w:val="center"/>
          </w:tcPr>
          <w:p w14:paraId="666B1364" w14:textId="77777777" w:rsidR="004B5E95" w:rsidRDefault="00000000">
            <w:pPr>
              <w:spacing w:before="20" w:after="20"/>
              <w:jc w:val="center"/>
            </w:pPr>
            <w:r>
              <w:rPr>
                <w:rFonts w:eastAsia="Arial"/>
                <w:sz w:val="15"/>
              </w:rPr>
              <w:t>0.689</w:t>
            </w:r>
          </w:p>
        </w:tc>
      </w:tr>
      <w:tr w:rsidR="004B5E95" w14:paraId="10ACC2D9" w14:textId="77777777">
        <w:tc>
          <w:tcPr>
            <w:tcW w:w="2376" w:type="dxa"/>
            <w:vAlign w:val="center"/>
          </w:tcPr>
          <w:p w14:paraId="3B435E54" w14:textId="77777777" w:rsidR="004B5E95" w:rsidRDefault="00000000">
            <w:pPr>
              <w:spacing w:after="0"/>
            </w:pPr>
            <w:r>
              <w:rPr>
                <w:rFonts w:eastAsia="Arial"/>
                <w:sz w:val="17"/>
              </w:rPr>
              <w:t>Short horizon (24 quarters)</w:t>
            </w:r>
          </w:p>
        </w:tc>
        <w:tc>
          <w:tcPr>
            <w:tcW w:w="691" w:type="dxa"/>
            <w:vAlign w:val="center"/>
          </w:tcPr>
          <w:p w14:paraId="22867ED4" w14:textId="77777777" w:rsidR="004B5E95" w:rsidRDefault="00000000">
            <w:pPr>
              <w:spacing w:after="0"/>
            </w:pPr>
            <w:r>
              <w:rPr>
                <w:rFonts w:eastAsia="Arial"/>
                <w:sz w:val="17"/>
              </w:rPr>
              <w:t>0.80</w:t>
            </w:r>
          </w:p>
        </w:tc>
        <w:tc>
          <w:tcPr>
            <w:tcW w:w="691" w:type="dxa"/>
            <w:vAlign w:val="center"/>
          </w:tcPr>
          <w:p w14:paraId="1CBC5B57" w14:textId="77777777" w:rsidR="004B5E95" w:rsidRDefault="00000000">
            <w:pPr>
              <w:spacing w:after="0"/>
            </w:pPr>
            <w:r>
              <w:rPr>
                <w:rFonts w:eastAsia="Arial"/>
                <w:sz w:val="17"/>
              </w:rPr>
              <w:t>0.55</w:t>
            </w:r>
          </w:p>
        </w:tc>
        <w:tc>
          <w:tcPr>
            <w:tcW w:w="979" w:type="dxa"/>
            <w:vAlign w:val="center"/>
          </w:tcPr>
          <w:p w14:paraId="0108E7A9" w14:textId="77777777" w:rsidR="004B5E95" w:rsidRDefault="00000000">
            <w:pPr>
              <w:spacing w:after="0"/>
            </w:pPr>
            <w:r>
              <w:rPr>
                <w:rFonts w:eastAsia="Arial"/>
                <w:sz w:val="17"/>
              </w:rPr>
              <w:t>230.22</w:t>
            </w:r>
          </w:p>
        </w:tc>
        <w:tc>
          <w:tcPr>
            <w:tcW w:w="1296" w:type="dxa"/>
            <w:vAlign w:val="center"/>
          </w:tcPr>
          <w:p w14:paraId="4DABE3B5" w14:textId="77777777" w:rsidR="004B5E95" w:rsidRDefault="00000000">
            <w:pPr>
              <w:spacing w:after="0"/>
            </w:pPr>
            <w:r>
              <w:rPr>
                <w:rFonts w:eastAsia="Arial"/>
                <w:sz w:val="17"/>
              </w:rPr>
              <w:t>12.83</w:t>
            </w:r>
          </w:p>
        </w:tc>
        <w:tc>
          <w:tcPr>
            <w:tcW w:w="720" w:type="dxa"/>
            <w:vAlign w:val="center"/>
          </w:tcPr>
          <w:p w14:paraId="564B8220" w14:textId="77777777" w:rsidR="004B5E95" w:rsidRDefault="00000000">
            <w:pPr>
              <w:spacing w:after="0"/>
            </w:pPr>
            <w:r>
              <w:rPr>
                <w:rFonts w:eastAsia="Arial"/>
                <w:sz w:val="17"/>
              </w:rPr>
              <w:t>0.046</w:t>
            </w:r>
          </w:p>
        </w:tc>
        <w:tc>
          <w:tcPr>
            <w:tcW w:w="720" w:type="dxa"/>
            <w:vAlign w:val="center"/>
          </w:tcPr>
          <w:p w14:paraId="29CBF618" w14:textId="77777777" w:rsidR="004B5E95" w:rsidRDefault="00000000">
            <w:pPr>
              <w:spacing w:after="0"/>
            </w:pPr>
            <w:r>
              <w:rPr>
                <w:rFonts w:eastAsia="Arial"/>
                <w:sz w:val="17"/>
              </w:rPr>
              <w:t>0.708</w:t>
            </w:r>
          </w:p>
        </w:tc>
      </w:tr>
      <w:tr w:rsidR="004B5E95" w14:paraId="2301515B" w14:textId="77777777">
        <w:tc>
          <w:tcPr>
            <w:tcW w:w="2376" w:type="dxa"/>
            <w:vAlign w:val="center"/>
          </w:tcPr>
          <w:p w14:paraId="4EBBC74A" w14:textId="77777777" w:rsidR="004B5E95" w:rsidRDefault="00000000">
            <w:pPr>
              <w:spacing w:after="0"/>
            </w:pPr>
            <w:r>
              <w:rPr>
                <w:rFonts w:eastAsia="Arial"/>
                <w:sz w:val="17"/>
              </w:rPr>
              <w:t>Longer horizon (72 quarters)</w:t>
            </w:r>
          </w:p>
        </w:tc>
        <w:tc>
          <w:tcPr>
            <w:tcW w:w="691" w:type="dxa"/>
            <w:vAlign w:val="center"/>
          </w:tcPr>
          <w:p w14:paraId="14D92E2A" w14:textId="77777777" w:rsidR="004B5E95" w:rsidRDefault="00000000">
            <w:pPr>
              <w:spacing w:after="0"/>
            </w:pPr>
            <w:r>
              <w:rPr>
                <w:rFonts w:eastAsia="Arial"/>
                <w:sz w:val="17"/>
              </w:rPr>
              <w:t>0.75</w:t>
            </w:r>
          </w:p>
        </w:tc>
        <w:tc>
          <w:tcPr>
            <w:tcW w:w="691" w:type="dxa"/>
            <w:vAlign w:val="center"/>
          </w:tcPr>
          <w:p w14:paraId="6ACCB149" w14:textId="77777777" w:rsidR="004B5E95" w:rsidRDefault="00000000">
            <w:pPr>
              <w:spacing w:after="0"/>
            </w:pPr>
            <w:r>
              <w:rPr>
                <w:rFonts w:eastAsia="Arial"/>
                <w:sz w:val="17"/>
              </w:rPr>
              <w:t>0.55</w:t>
            </w:r>
          </w:p>
        </w:tc>
        <w:tc>
          <w:tcPr>
            <w:tcW w:w="979" w:type="dxa"/>
            <w:vAlign w:val="center"/>
          </w:tcPr>
          <w:p w14:paraId="49BA27EB" w14:textId="77777777" w:rsidR="004B5E95" w:rsidRDefault="00000000">
            <w:pPr>
              <w:spacing w:after="0"/>
            </w:pPr>
            <w:r>
              <w:rPr>
                <w:rFonts w:eastAsia="Arial"/>
                <w:sz w:val="17"/>
              </w:rPr>
              <w:t>571.75</w:t>
            </w:r>
          </w:p>
        </w:tc>
        <w:tc>
          <w:tcPr>
            <w:tcW w:w="1296" w:type="dxa"/>
            <w:vAlign w:val="center"/>
          </w:tcPr>
          <w:p w14:paraId="059A3984" w14:textId="77777777" w:rsidR="004B5E95" w:rsidRDefault="00000000">
            <w:pPr>
              <w:spacing w:after="0"/>
            </w:pPr>
            <w:r>
              <w:rPr>
                <w:rFonts w:eastAsia="Arial"/>
                <w:sz w:val="17"/>
              </w:rPr>
              <w:t>13.06</w:t>
            </w:r>
          </w:p>
        </w:tc>
        <w:tc>
          <w:tcPr>
            <w:tcW w:w="720" w:type="dxa"/>
            <w:vAlign w:val="center"/>
          </w:tcPr>
          <w:p w14:paraId="089D39F3" w14:textId="77777777" w:rsidR="004B5E95" w:rsidRDefault="00000000">
            <w:pPr>
              <w:spacing w:after="0"/>
            </w:pPr>
            <w:r>
              <w:rPr>
                <w:rFonts w:eastAsia="Arial"/>
                <w:sz w:val="17"/>
              </w:rPr>
              <w:t>0.031</w:t>
            </w:r>
          </w:p>
        </w:tc>
        <w:tc>
          <w:tcPr>
            <w:tcW w:w="720" w:type="dxa"/>
            <w:vAlign w:val="center"/>
          </w:tcPr>
          <w:p w14:paraId="12C4CD36" w14:textId="77777777" w:rsidR="004B5E95" w:rsidRDefault="00000000">
            <w:pPr>
              <w:spacing w:after="0"/>
            </w:pPr>
            <w:r>
              <w:rPr>
                <w:rFonts w:eastAsia="Arial"/>
                <w:sz w:val="17"/>
              </w:rPr>
              <w:t>0.700</w:t>
            </w:r>
          </w:p>
        </w:tc>
      </w:tr>
    </w:tbl>
    <w:p w14:paraId="049AE781" w14:textId="77777777" w:rsidR="004B5E95" w:rsidRDefault="00000000">
      <w:pPr>
        <w:jc w:val="both"/>
      </w:pPr>
      <w:r>
        <w:rPr>
          <w:rFonts w:eastAsia="Arial"/>
        </w:rPr>
        <w:t xml:space="preserve">The leverage results require careful interpretation. Leverage changes the level of value because more debt is exposed to the priced rate, but it does not change the best grid coordinates in this baseline range. This is a feature of the chosen parameterisation, not a general theorem. A stronger financing-cost coefficient, </w:t>
      </w:r>
      <w:r>
        <w:rPr>
          <w:rFonts w:eastAsia="Arial"/>
          <w:highlight w:val="yellow"/>
        </w:rPr>
        <w:t>a tighter liquidity constraint</w:t>
      </w:r>
      <w:r>
        <w:rPr>
          <w:rFonts w:eastAsia="Arial"/>
        </w:rPr>
        <w:t xml:space="preserve">, or </w:t>
      </w:r>
      <w:r>
        <w:rPr>
          <w:rFonts w:eastAsia="Arial"/>
          <w:highlight w:val="yellow"/>
        </w:rPr>
        <w:t>an endogenous debt quantity</w:t>
      </w:r>
      <w:r>
        <w:rPr>
          <w:rFonts w:eastAsia="Arial"/>
        </w:rPr>
        <w:t xml:space="preserve"> could make the optimal technology policy more leverage-sensitive.</w:t>
      </w:r>
    </w:p>
    <w:p w14:paraId="45AFF25D" w14:textId="77777777" w:rsidR="004B5E95" w:rsidRDefault="00000000">
      <w:pPr>
        <w:jc w:val="both"/>
      </w:pPr>
      <w:r>
        <w:rPr>
          <w:rFonts w:eastAsia="Arial"/>
        </w:rPr>
        <w:t>Changing the creditor loss fraction from 0.40 to 0.80 shifts the mean borrowing premium at the best policy from 8.79 to 17.60 basis points, exactly reflecting the lender pricing channel in Equation (9). The optimal grid coordinates remain unchanged because the operating productivity and verification-cost terms are still dominant around the value ridge.</w:t>
      </w:r>
    </w:p>
    <w:p w14:paraId="09F1C3F6" w14:textId="77777777" w:rsidR="004B5E95" w:rsidRDefault="00000000">
      <w:pPr>
        <w:jc w:val="both"/>
      </w:pPr>
      <w:r>
        <w:rPr>
          <w:rFonts w:eastAsia="Arial"/>
        </w:rPr>
        <w:t xml:space="preserve">The artificial intelligence productivity scenarios generate larger policy changes. When the direct productivity coefficient falls by 20%, the best grid point moves to lower automation </w:t>
      </w:r>
      <m:oMath>
        <m:d>
          <m:dPr>
            <m:ctrlPr>
              <w:rPr>
                <w:rFonts w:ascii="Cambria Math" w:hAnsi="Cambria Math"/>
              </w:rPr>
            </m:ctrlPr>
          </m:dPr>
          <m:e>
            <m:r>
              <w:rPr>
                <w:rFonts w:ascii="Cambria Math" w:hAnsi="Cambria Math"/>
              </w:rPr>
              <m:t>0.65</m:t>
            </m:r>
          </m:e>
        </m:d>
      </m:oMath>
      <w:r>
        <w:rPr>
          <w:rFonts w:eastAsia="Arial"/>
        </w:rPr>
        <w:t xml:space="preserve"> and slightly lower verification </w:t>
      </w:r>
      <m:oMath>
        <m:d>
          <m:dPr>
            <m:ctrlPr>
              <w:rPr>
                <w:rFonts w:ascii="Cambria Math" w:hAnsi="Cambria Math"/>
              </w:rPr>
            </m:ctrlPr>
          </m:dPr>
          <m:e>
            <m:r>
              <w:rPr>
                <w:rFonts w:ascii="Cambria Math" w:hAnsi="Cambria Math"/>
              </w:rPr>
              <m:t>0.50</m:t>
            </m:r>
          </m:e>
        </m:d>
      </m:oMath>
      <w:r>
        <w:rPr>
          <w:rFonts w:eastAsia="Arial"/>
        </w:rPr>
        <w:t xml:space="preserve">. When productivity rises by 20%, the best policy moves to </w:t>
      </w:r>
      <m:oMath>
        <m:r>
          <w:rPr>
            <w:rFonts w:ascii="Cambria Math" w:hAnsi="Cambria Math"/>
          </w:rPr>
          <m:t>a</m:t>
        </m:r>
        <m:r>
          <m:rPr>
            <m:sty m:val="p"/>
          </m:rPr>
          <w:rPr>
            <w:rFonts w:ascii="Cambria Math" w:hAnsi="Cambria Math"/>
          </w:rPr>
          <m:t>=</m:t>
        </m:r>
        <m:r>
          <w:rPr>
            <w:rFonts w:ascii="Cambria Math" w:hAnsi="Cambria Math"/>
          </w:rPr>
          <m:t>0.90</m:t>
        </m:r>
      </m:oMath>
      <w:r>
        <w:rPr>
          <w:rFonts w:eastAsia="Arial"/>
        </w:rPr>
        <w:t xml:space="preserve"> and </w:t>
      </w:r>
      <m:oMath>
        <m:r>
          <w:rPr>
            <w:rFonts w:ascii="Cambria Math" w:hAnsi="Cambria Math"/>
          </w:rPr>
          <m:t>v</m:t>
        </m:r>
        <m:r>
          <m:rPr>
            <m:sty m:val="p"/>
          </m:rPr>
          <w:rPr>
            <w:rFonts w:ascii="Cambria Math" w:hAnsi="Cambria Math"/>
          </w:rPr>
          <m:t>=</m:t>
        </m:r>
        <m:r>
          <w:rPr>
            <w:rFonts w:ascii="Cambria Math" w:hAnsi="Cambria Math"/>
          </w:rPr>
          <m:t>0.60</m:t>
        </m:r>
      </m:oMath>
      <w:r>
        <w:rPr>
          <w:rFonts w:eastAsia="Arial"/>
        </w:rPr>
        <w:t>. The verification requirement therefore scales with the economically justified automation level. This result is consistent with the paper’s central claim: assurance should be proportional to deployment rather than treated as a fixed overhead.</w:t>
      </w:r>
    </w:p>
    <w:p w14:paraId="1AF7769B" w14:textId="77777777" w:rsidR="004B5E95" w:rsidRDefault="00000000">
      <w:pPr>
        <w:jc w:val="both"/>
      </w:pPr>
      <w:r>
        <w:rPr>
          <w:rFonts w:eastAsia="Arial"/>
        </w:rPr>
        <w:t>Increasing the coefficients on unmanaged risk by 20% raises the borrowing premium at the preferred policy from 13.19 to 17.09 basis points while leaving the discrete grid optimum unchanged. The result again indicates local flatness. Horizon checks reinforce the same point. At 24 quarters the best grid policy remains (0.80, 0.55); at 72 quarters it moves modestly to (0.75, 0.55). Because discounted value mechanically increases with horizon length, the cross-horizon value levels are not directly comparable. The relevant robustness result is that verification remains at 0.55 and the preferred automation level remains high. A finer continuous optimisation could shift exact coordinates, but the economically relevant conclusion is the persistence of a broad assurance-scaled value region.</w:t>
      </w:r>
    </w:p>
    <w:p w14:paraId="228DE1AA" w14:textId="77777777" w:rsidR="004B5E95" w:rsidRDefault="00000000">
      <w:pPr>
        <w:keepNext/>
        <w:spacing w:before="120" w:after="60"/>
      </w:pPr>
      <w:bookmarkStart w:id="25" w:name="interpretation-for-corporate-finance"/>
      <w:bookmarkEnd w:id="24"/>
      <w:r>
        <w:rPr>
          <w:rFonts w:eastAsia="Arial"/>
          <w:b/>
          <w:sz w:val="22"/>
        </w:rPr>
        <w:t>4.5 Interpretation for corporate finance</w:t>
      </w:r>
    </w:p>
    <w:p w14:paraId="381709EE" w14:textId="77777777" w:rsidR="004B5E95" w:rsidRDefault="00000000">
      <w:pPr>
        <w:jc w:val="both"/>
      </w:pPr>
      <w:r>
        <w:rPr>
          <w:rFonts w:eastAsia="Arial"/>
        </w:rPr>
        <w:t>The model creates a new corporate-finance interpretation of AI governance. Verification spending can be viewed as a form of risk-reducing intangible investment. Like internal control, disclosure quality, audit quality, cybersecurity investment, or covenant compliance, it can affect the distribution of future cash flows and the information set of capital providers. The difference is that AI assurance is tightly coupled to the scale of automation. A fixed verification architecture can become insufficient as automated decision scope expands. This mechanism complements recent empirical evidence. Liu and Wang (2025) find that AI can lower debt and equity financing costs, while Zhao and Liu (2025) find faster capital-structure adjustment when AI improves information conditions and reduces operational risk. The present model identifies a boundary condition for those beneficial effects: the financing benefit is more likely to survive when assurance scales with deployment rather than allowing unresolved exposure to accumulate.</w:t>
      </w:r>
    </w:p>
    <w:p w14:paraId="66E4BAC3" w14:textId="77777777" w:rsidR="004B5E95" w:rsidRDefault="00000000">
      <w:pPr>
        <w:jc w:val="both"/>
      </w:pPr>
      <w:r>
        <w:rPr>
          <w:rFonts w:eastAsia="Arial"/>
        </w:rPr>
        <w:t xml:space="preserve">This relationship is especially relevant to firms whose intangible processes are difficult for lenders to inspect directly. Outside financiers may observe revenue growth, margins, headcount reduction, or capital expenditure while lacking direct visibility into model dependency, exception handling, human fallback, or verification backlog. Under such </w:t>
      </w:r>
      <w:r>
        <w:rPr>
          <w:rFonts w:eastAsia="Arial"/>
        </w:rPr>
        <w:lastRenderedPageBreak/>
        <w:t>conditions, credible evidence of testing and governance can have financial value because it reduces uncertainty about adverse states. This interpretation parallels the broader evidence that transparency and information quality can affect financing costs (Easley &amp; O’Hara, 2004; Lambert et al., 2007; Brugler et al., 2022).</w:t>
      </w:r>
    </w:p>
    <w:p w14:paraId="6FDDB9BB" w14:textId="77777777" w:rsidR="004B5E95" w:rsidRDefault="00000000">
      <w:pPr>
        <w:jc w:val="both"/>
      </w:pPr>
      <w:r>
        <w:rPr>
          <w:rFonts w:eastAsia="Arial"/>
        </w:rPr>
        <w:t>The artificial intelligence verification premium also suggests a role for debt covenants and technology-risk disclosure. Lenders could condition pricing not on a generic statement that a borrower “uses artificial intelligence” but on measurable assurance indicators, such as independent validation coverage, incident rates, unresolved high-severity findings, model inventory completeness, concentration in external model providers, fallback capacity, and the share of consequential automated decisions subject to effective human challenge. The model does not estimate the market price of these indicators, but it provides a theoretical rationale for why such a price can exist.</w:t>
      </w:r>
    </w:p>
    <w:p w14:paraId="282B348B" w14:textId="77777777" w:rsidR="004B5E95" w:rsidRDefault="00000000">
      <w:pPr>
        <w:keepNext/>
        <w:spacing w:before="120" w:after="60"/>
      </w:pPr>
      <w:bookmarkStart w:id="26" w:name="interpretation-for-management"/>
      <w:bookmarkEnd w:id="25"/>
      <w:r>
        <w:rPr>
          <w:rFonts w:eastAsia="Arial"/>
          <w:b/>
          <w:sz w:val="22"/>
        </w:rPr>
        <w:t>4.6 Interpretation for management</w:t>
      </w:r>
    </w:p>
    <w:p w14:paraId="1C8B8AD8" w14:textId="77777777" w:rsidR="004B5E95" w:rsidRDefault="00000000">
      <w:pPr>
        <w:jc w:val="both"/>
      </w:pPr>
      <w:r>
        <w:rPr>
          <w:rFonts w:eastAsia="Arial"/>
        </w:rPr>
        <w:t>For managers, the main implication is that productivity dashboards can be incomplete. A policy that raises throughput while increasing verification debt may appear successful before financing and tail-risk effects are visible. The acceleration-first simulation captures this possibility: value from automation is real, but the borrowing premium rises enough to erode a substantial part of the advantage.</w:t>
      </w:r>
    </w:p>
    <w:p w14:paraId="305A4BD9" w14:textId="77777777" w:rsidR="004B5E95" w:rsidRDefault="00000000">
      <w:pPr>
        <w:jc w:val="both"/>
      </w:pPr>
      <w:r>
        <w:rPr>
          <w:rFonts w:eastAsia="Arial"/>
        </w:rPr>
        <w:t xml:space="preserve">A second implication is that more assurance is not always better. </w:t>
      </w:r>
      <w:r>
        <w:rPr>
          <w:rFonts w:eastAsia="Arial"/>
          <w:highlight w:val="yellow"/>
        </w:rPr>
        <w:t>The assurance-heavy policy delivers</w:t>
      </w:r>
      <w:r>
        <w:rPr>
          <w:rFonts w:eastAsia="Arial"/>
        </w:rPr>
        <w:t xml:space="preserve"> the lowest spread and incident frequency but the lowest value among the three strongly controlled regimes. Governance quality should therefore be assessed in relation to materiality and deployment scope. This is consistent with model-risk practice, which generally scales validation requirements to model materiality and potential impact rather than demanding the maximum control burden for every use (Board of Governors of the Federal Reserve System &amp; Office of the Comptroller of the Currency, 2011).</w:t>
      </w:r>
    </w:p>
    <w:p w14:paraId="131C9356" w14:textId="77777777" w:rsidR="004B5E95" w:rsidRDefault="00000000">
      <w:pPr>
        <w:jc w:val="both"/>
      </w:pPr>
      <w:r>
        <w:rPr>
          <w:rFonts w:eastAsia="Arial"/>
        </w:rPr>
        <w:t>A third implication is that preserving human capability has option value. Equation (4) makes expertise an endogenous stock. When weakly verified automation displaces active review, human capability erodes and future verification becomes less effective. This creates hysteresis: after a long period of unchecked automation, increasing the verification budget may not immediately restore risk control. Training, rotation, manual fallback exercises, and deliberate retention of domain expertise can therefore be interpreted as financing-relevant resilience investments.</w:t>
      </w:r>
    </w:p>
    <w:p w14:paraId="4A4CF301" w14:textId="77777777" w:rsidR="004B5E95" w:rsidRDefault="00000000">
      <w:pPr>
        <w:keepNext/>
        <w:spacing w:before="120" w:after="60"/>
      </w:pPr>
      <w:bookmarkStart w:id="27" w:name="X65f88daa0be3cca917c299f295267d99fd3b9f2"/>
      <w:bookmarkEnd w:id="26"/>
      <w:r>
        <w:rPr>
          <w:rFonts w:eastAsia="Arial"/>
          <w:b/>
          <w:sz w:val="22"/>
        </w:rPr>
        <w:t>4.7 Relationship to the verification-debt literature</w:t>
      </w:r>
    </w:p>
    <w:p w14:paraId="05134003" w14:textId="77777777" w:rsidR="004B5E95" w:rsidRDefault="00000000">
      <w:pPr>
        <w:jc w:val="both"/>
      </w:pPr>
      <w:r>
        <w:rPr>
          <w:rFonts w:eastAsia="Arial"/>
        </w:rPr>
        <w:t>The study is conceptually related to the verification-debt framework developed by Tan (2026), but the contribution is not a replication. The earlier model explains how artificial intelligence-enabled productivity can coexist with internal organisational fragility and shows that extensive automation can remain valuable when verification is strong. The present paper adds an external price mechanism. Verification debt enters a probabilistic loss function, lenders price that probability through a zero-profit condition, and the resulting spread feeds back into firm value. This transforms verification debt from an internal management stock into a potential capital-market variable.</w:t>
      </w:r>
    </w:p>
    <w:p w14:paraId="4E8B73FA" w14:textId="77777777" w:rsidR="004B5E95" w:rsidRDefault="00000000">
      <w:pPr>
        <w:jc w:val="both"/>
      </w:pPr>
      <w:r>
        <w:rPr>
          <w:rFonts w:eastAsia="Arial"/>
        </w:rPr>
        <w:t>The distinction matters because a firm can remain operationally productive while experiencing a deterioration in financing terms. Conversely, a firm that invests in credible assurance may receive a financing benefit even when the assurance activity appears to reduce short-run operating efficiency. The artificial intelligence verification premium therefore provides a mechanism for reconciling technology governance with shareholder-value and creditor-value perspectives.</w:t>
      </w:r>
    </w:p>
    <w:p w14:paraId="56ED2332" w14:textId="77777777" w:rsidR="004B5E95" w:rsidRDefault="00000000">
      <w:pPr>
        <w:jc w:val="both"/>
      </w:pPr>
      <w:r>
        <w:rPr>
          <w:rFonts w:eastAsia="Arial"/>
          <w:b/>
          <w:sz w:val="22"/>
        </w:rPr>
        <w:t>4.8 Reconciliation with recent empirical evidence</w:t>
      </w:r>
    </w:p>
    <w:p w14:paraId="626C2C26" w14:textId="77777777" w:rsidR="004B5E95" w:rsidRDefault="00000000">
      <w:pPr>
        <w:jc w:val="both"/>
      </w:pPr>
      <w:r>
        <w:rPr>
          <w:rFonts w:eastAsia="Arial"/>
        </w:rPr>
        <w:lastRenderedPageBreak/>
        <w:t>The model is deliberately consistent with the mixed signs observed in recent firm-level research rather than assuming that AI is intrinsically risk-increasing or risk-reducing. Babina et al. (2024) associate AI investment with growth, product innovation, and higher market valuation, and Chen et al. (2026) associate AI adoption with greater investment efficiency and higher longer-horizon Tobin's q. These findings correspond to the model's productive-automation channel. Li et al. (2024) show that dynamic capabilities condition the efficiency gains from AI in corporate financial-asset allocation, which parallels the model's retained human capability and verification complementarity. Conversely, Chen et al. (2024) find that AI can heighten corporate risk-taking, especially when financing constraints are stronger, which is consistent with the model's possibility that weakly governed automation can raise financing-relevant risk.</w:t>
      </w:r>
    </w:p>
    <w:p w14:paraId="6AE698BA" w14:textId="77777777" w:rsidR="004B5E95" w:rsidRDefault="00000000">
      <w:pPr>
        <w:jc w:val="both"/>
      </w:pPr>
      <w:r>
        <w:rPr>
          <w:rFonts w:eastAsia="Arial"/>
        </w:rPr>
        <w:t>The financing evidence is equally informative. Liu and Wang (2025) report lower debt and equity financing costs among technology-based firms adopting AI, while Zhao and Liu (2025) find that AI accelerates capital-structure adjustment through improved information environments and reduced operational risk. The artificial intelligence verification premium does not contradict these findings. It provides a mechanism for heterogeneity: AI can lower financing costs when information and risk management improve, yet the same technology can generate an incremental borrowing penalty when assurance is weak, verification debt accumulates, human fallback erodes, or lenders cannot credibly infer control quality. The model therefore predicts a conditional, non-monotonic relationship that can be tested empirically using interactions between AI exposure and observable assurance quality.</w:t>
      </w:r>
    </w:p>
    <w:p w14:paraId="2B7DF921" w14:textId="77777777" w:rsidR="004B5E95" w:rsidRDefault="00000000">
      <w:pPr>
        <w:keepNext/>
        <w:spacing w:before="120" w:after="60"/>
      </w:pPr>
      <w:bookmarkStart w:id="28" w:name="Xd4a93ae45df6d7f87f1e0785c8e8a21680cf5a4"/>
      <w:bookmarkEnd w:id="27"/>
      <w:r>
        <w:rPr>
          <w:rFonts w:eastAsia="Arial"/>
          <w:b/>
          <w:sz w:val="22"/>
        </w:rPr>
        <w:t>4.9 Limitations, boundary conditions, and directions for empirical testing</w:t>
      </w:r>
    </w:p>
    <w:p w14:paraId="1ACB2DA6" w14:textId="77777777" w:rsidR="004B5E95" w:rsidRDefault="00000000">
      <w:pPr>
        <w:jc w:val="both"/>
      </w:pPr>
      <w:r>
        <w:rPr>
          <w:rFonts w:eastAsia="Arial"/>
        </w:rPr>
        <w:t>The model has eight important boundary conditions. First, parameter values are stylised rather than estimated from corporate loan or bond data, so numerical spread levels are scenario outputs rather than forecasts. Second, lenders are represented by a competitive one-period pricing condition with exogenous loss-given-default; actual debt contracts include maturity, collateral, ratings, covenants, taxes, liquidity premia, relationship banking, and renegotiation. Third, debt quantity is exogenous, which rules out feedback from the AI-related spread to leverage choice, debt capacity, or investment rationing. Fourth, baseline automation and verification controls are fixed, whereas real managers adapt after incidents, changes in financing conditions, or new information.</w:t>
      </w:r>
    </w:p>
    <w:p w14:paraId="7FA2F7CB" w14:textId="77777777" w:rsidR="004B5E95" w:rsidRDefault="00000000">
      <w:pPr>
        <w:jc w:val="both"/>
      </w:pPr>
      <w:r>
        <w:rPr>
          <w:rFonts w:eastAsia="Arial"/>
        </w:rPr>
        <w:t>Fifth, the model treats the priced adverse-state probability as an adequate lender risk assessment. In practice, AI opacity can create estimation error, signalling problems, rating disagreement, and strategic disclosure. Sixth, the model contains one representative automation class and one bounded human-capability stock; actual firms use heterogeneous systems across low- and high-stakes tasks and possess multiple forms of technical, domain, legal, and managerial expertise. Seventh, the finite-horizon value index omits a terminal value and is not calibrated to a particular country, industry, or credit market. Eighth, the model abstracts from correlated cyber incidents, common third-party model providers, regulatory penalties, insurance, and systemic spillovers. These omissions limit external validity but also identify separable extensions rather than hidden assumptions.</w:t>
      </w:r>
    </w:p>
    <w:p w14:paraId="2A091352" w14:textId="77777777" w:rsidR="004B5E95" w:rsidRDefault="00000000">
      <w:pPr>
        <w:jc w:val="both"/>
      </w:pPr>
      <w:r>
        <w:rPr>
          <w:rFonts w:eastAsia="Arial"/>
        </w:rPr>
        <w:t xml:space="preserve">These boundary conditions define an empirical research agenda. Future studies could test whether firms with more extensive AI exposure face different loan spreads, bond yields, covenant intensity, insurance pricing, or rating outlooks after controlling for conventional credit risk. The central identification </w:t>
      </w:r>
      <w:r>
        <w:rPr>
          <w:rFonts w:eastAsia="Arial"/>
          <w:highlight w:val="yellow"/>
        </w:rPr>
        <w:t>challenge is the measurement of assurance quality</w:t>
      </w:r>
      <w:r>
        <w:rPr>
          <w:rFonts w:eastAsia="Arial"/>
        </w:rPr>
        <w:t>. Potential indicators include model-validation coverage, internal-audit findings, disclosed AI incidents, governance committee structure, third-party concentration, assurance expenditure, unresolved high-severity findings, model-inventory completeness, and fallback capacity. New disclosure requirements, supervisory changes, lender technology-risk questionnaires, or staggered governance mandates may offer quasi-experimental variation.</w:t>
      </w:r>
    </w:p>
    <w:p w14:paraId="3936EBE9" w14:textId="77777777" w:rsidR="004B5E95" w:rsidRDefault="00000000">
      <w:pPr>
        <w:jc w:val="both"/>
      </w:pPr>
      <w:r>
        <w:rPr>
          <w:rFonts w:eastAsia="Arial"/>
          <w:b/>
        </w:rPr>
        <w:t>Table 4. Model boundary conditions and priority extensions</w:t>
      </w:r>
    </w:p>
    <w:tbl>
      <w:tblPr>
        <w:tblW w:w="0" w:type="auto"/>
        <w:tblLook w:val="04A0" w:firstRow="1" w:lastRow="0" w:firstColumn="1" w:lastColumn="0" w:noHBand="0" w:noVBand="1"/>
      </w:tblPr>
      <w:tblGrid>
        <w:gridCol w:w="2144"/>
        <w:gridCol w:w="3139"/>
        <w:gridCol w:w="3141"/>
      </w:tblGrid>
      <w:tr w:rsidR="004B5E95" w14:paraId="1A91D5DB" w14:textId="77777777">
        <w:trPr>
          <w:cantSplit/>
          <w:tblHeader/>
        </w:trPr>
        <w:tc>
          <w:tcPr>
            <w:tcW w:w="2448" w:type="dxa"/>
            <w:shd w:val="clear" w:color="auto" w:fill="D9EAF7"/>
            <w:vAlign w:val="center"/>
          </w:tcPr>
          <w:p w14:paraId="0B050930" w14:textId="77777777" w:rsidR="004B5E95" w:rsidRDefault="00000000">
            <w:pPr>
              <w:spacing w:after="0"/>
            </w:pPr>
            <w:r>
              <w:rPr>
                <w:rFonts w:eastAsia="Arial"/>
                <w:b/>
                <w:sz w:val="16"/>
              </w:rPr>
              <w:lastRenderedPageBreak/>
              <w:t>Boundary condition</w:t>
            </w:r>
          </w:p>
        </w:tc>
        <w:tc>
          <w:tcPr>
            <w:tcW w:w="3816" w:type="dxa"/>
            <w:shd w:val="clear" w:color="auto" w:fill="D9EAF7"/>
            <w:vAlign w:val="center"/>
          </w:tcPr>
          <w:p w14:paraId="5B3E2B1C" w14:textId="77777777" w:rsidR="004B5E95" w:rsidRDefault="00000000">
            <w:pPr>
              <w:spacing w:after="0"/>
            </w:pPr>
            <w:r>
              <w:rPr>
                <w:rFonts w:eastAsia="Arial"/>
                <w:b/>
                <w:sz w:val="16"/>
              </w:rPr>
              <w:t>Interpretive consequence</w:t>
            </w:r>
          </w:p>
        </w:tc>
        <w:tc>
          <w:tcPr>
            <w:tcW w:w="3816" w:type="dxa"/>
            <w:shd w:val="clear" w:color="auto" w:fill="D9EAF7"/>
            <w:vAlign w:val="center"/>
          </w:tcPr>
          <w:p w14:paraId="7B08C59B" w14:textId="77777777" w:rsidR="004B5E95" w:rsidRDefault="00000000">
            <w:pPr>
              <w:spacing w:after="0"/>
            </w:pPr>
            <w:r>
              <w:rPr>
                <w:rFonts w:eastAsia="Arial"/>
                <w:b/>
                <w:sz w:val="16"/>
              </w:rPr>
              <w:t>Priority extension or empirical test</w:t>
            </w:r>
          </w:p>
        </w:tc>
      </w:tr>
      <w:tr w:rsidR="004B5E95" w14:paraId="0A1D92C6" w14:textId="77777777">
        <w:trPr>
          <w:cantSplit/>
        </w:trPr>
        <w:tc>
          <w:tcPr>
            <w:tcW w:w="2448" w:type="dxa"/>
            <w:vAlign w:val="center"/>
          </w:tcPr>
          <w:p w14:paraId="67C5E07D" w14:textId="77777777" w:rsidR="004B5E95" w:rsidRDefault="00000000">
            <w:pPr>
              <w:spacing w:after="0"/>
            </w:pPr>
            <w:r>
              <w:rPr>
                <w:rFonts w:eastAsia="Arial"/>
                <w:sz w:val="16"/>
              </w:rPr>
              <w:t>Stylised calibration</w:t>
            </w:r>
          </w:p>
        </w:tc>
        <w:tc>
          <w:tcPr>
            <w:tcW w:w="3816" w:type="dxa"/>
            <w:vAlign w:val="center"/>
          </w:tcPr>
          <w:p w14:paraId="2D420283" w14:textId="77777777" w:rsidR="004B5E95" w:rsidRDefault="00000000">
            <w:pPr>
              <w:spacing w:after="0"/>
            </w:pPr>
            <w:r>
              <w:rPr>
                <w:rFonts w:eastAsia="Arial"/>
                <w:sz w:val="16"/>
              </w:rPr>
              <w:t>Spread levels are scenario outputs, not forecasts.</w:t>
            </w:r>
          </w:p>
        </w:tc>
        <w:tc>
          <w:tcPr>
            <w:tcW w:w="3816" w:type="dxa"/>
            <w:vAlign w:val="center"/>
          </w:tcPr>
          <w:p w14:paraId="58673308" w14:textId="77777777" w:rsidR="004B5E95" w:rsidRDefault="00000000">
            <w:pPr>
              <w:spacing w:after="0"/>
            </w:pPr>
            <w:r>
              <w:rPr>
                <w:rFonts w:eastAsia="Arial"/>
                <w:sz w:val="16"/>
              </w:rPr>
              <w:t>Estimate parameters with loan, bond, rating, and AI-governance data.</w:t>
            </w:r>
          </w:p>
        </w:tc>
      </w:tr>
      <w:tr w:rsidR="004B5E95" w14:paraId="3220D6E9" w14:textId="77777777">
        <w:trPr>
          <w:cantSplit/>
        </w:trPr>
        <w:tc>
          <w:tcPr>
            <w:tcW w:w="2448" w:type="dxa"/>
            <w:vAlign w:val="center"/>
          </w:tcPr>
          <w:p w14:paraId="2B9479BE" w14:textId="77777777" w:rsidR="004B5E95" w:rsidRDefault="00000000">
            <w:pPr>
              <w:spacing w:after="0"/>
            </w:pPr>
            <w:r>
              <w:rPr>
                <w:rFonts w:eastAsia="Arial"/>
                <w:sz w:val="16"/>
              </w:rPr>
              <w:t>One-period competitive debt</w:t>
            </w:r>
          </w:p>
        </w:tc>
        <w:tc>
          <w:tcPr>
            <w:tcW w:w="3816" w:type="dxa"/>
            <w:vAlign w:val="center"/>
          </w:tcPr>
          <w:p w14:paraId="7A0F3042" w14:textId="77777777" w:rsidR="004B5E95" w:rsidRDefault="00000000">
            <w:pPr>
              <w:spacing w:after="0"/>
            </w:pPr>
            <w:r>
              <w:rPr>
                <w:rFonts w:eastAsia="Arial"/>
                <w:sz w:val="16"/>
              </w:rPr>
              <w:t>Maturity, collateral, liquidity, covenants, and renegotiation are omitted.</w:t>
            </w:r>
          </w:p>
        </w:tc>
        <w:tc>
          <w:tcPr>
            <w:tcW w:w="3816" w:type="dxa"/>
            <w:vAlign w:val="center"/>
          </w:tcPr>
          <w:p w14:paraId="33BB43B2" w14:textId="77777777" w:rsidR="004B5E95" w:rsidRDefault="00000000">
            <w:pPr>
              <w:spacing w:after="0"/>
            </w:pPr>
            <w:r>
              <w:rPr>
                <w:rFonts w:eastAsia="Arial"/>
                <w:sz w:val="16"/>
              </w:rPr>
              <w:t>Introduce multi-period debt contracts and endogenous loss-given-default.</w:t>
            </w:r>
          </w:p>
        </w:tc>
      </w:tr>
      <w:tr w:rsidR="004B5E95" w14:paraId="079E038C" w14:textId="77777777">
        <w:trPr>
          <w:cantSplit/>
        </w:trPr>
        <w:tc>
          <w:tcPr>
            <w:tcW w:w="2448" w:type="dxa"/>
            <w:vAlign w:val="center"/>
          </w:tcPr>
          <w:p w14:paraId="30E17AEB" w14:textId="77777777" w:rsidR="004B5E95" w:rsidRDefault="00000000">
            <w:pPr>
              <w:spacing w:after="0"/>
            </w:pPr>
            <w:r>
              <w:rPr>
                <w:rFonts w:eastAsia="Arial"/>
                <w:sz w:val="16"/>
              </w:rPr>
              <w:t>Exogenous debt quantity</w:t>
            </w:r>
          </w:p>
        </w:tc>
        <w:tc>
          <w:tcPr>
            <w:tcW w:w="3816" w:type="dxa"/>
            <w:vAlign w:val="center"/>
          </w:tcPr>
          <w:p w14:paraId="55354DC8" w14:textId="77777777" w:rsidR="004B5E95" w:rsidRDefault="00000000">
            <w:pPr>
              <w:spacing w:after="0"/>
            </w:pPr>
            <w:r>
              <w:rPr>
                <w:rFonts w:eastAsia="Arial"/>
                <w:sz w:val="16"/>
              </w:rPr>
              <w:t>Financing prices do not feed back into leverage or investment capacity.</w:t>
            </w:r>
          </w:p>
        </w:tc>
        <w:tc>
          <w:tcPr>
            <w:tcW w:w="3816" w:type="dxa"/>
            <w:vAlign w:val="center"/>
          </w:tcPr>
          <w:p w14:paraId="78F5C546" w14:textId="77777777" w:rsidR="004B5E95" w:rsidRDefault="00000000">
            <w:pPr>
              <w:spacing w:after="0"/>
            </w:pPr>
            <w:r>
              <w:rPr>
                <w:rFonts w:eastAsia="Arial"/>
                <w:sz w:val="16"/>
              </w:rPr>
              <w:t>Add endogenous capital structure, debt capacity, and investment rationing.</w:t>
            </w:r>
          </w:p>
        </w:tc>
      </w:tr>
      <w:tr w:rsidR="004B5E95" w14:paraId="73D13C8B" w14:textId="77777777">
        <w:trPr>
          <w:cantSplit/>
        </w:trPr>
        <w:tc>
          <w:tcPr>
            <w:tcW w:w="2448" w:type="dxa"/>
            <w:vAlign w:val="center"/>
          </w:tcPr>
          <w:p w14:paraId="53FAC1BD" w14:textId="77777777" w:rsidR="004B5E95" w:rsidRDefault="00000000">
            <w:pPr>
              <w:spacing w:after="0"/>
            </w:pPr>
            <w:r>
              <w:rPr>
                <w:rFonts w:eastAsia="Arial"/>
                <w:sz w:val="16"/>
              </w:rPr>
              <w:t>Fixed policy controls</w:t>
            </w:r>
          </w:p>
        </w:tc>
        <w:tc>
          <w:tcPr>
            <w:tcW w:w="3816" w:type="dxa"/>
            <w:vAlign w:val="center"/>
          </w:tcPr>
          <w:p w14:paraId="55E74C1F" w14:textId="77777777" w:rsidR="004B5E95" w:rsidRDefault="00000000">
            <w:pPr>
              <w:spacing w:after="0"/>
            </w:pPr>
            <w:r>
              <w:rPr>
                <w:rFonts w:eastAsia="Arial"/>
                <w:sz w:val="16"/>
              </w:rPr>
              <w:t>Managers cannot react to incidents or state deterioration.</w:t>
            </w:r>
          </w:p>
        </w:tc>
        <w:tc>
          <w:tcPr>
            <w:tcW w:w="3816" w:type="dxa"/>
            <w:vAlign w:val="center"/>
          </w:tcPr>
          <w:p w14:paraId="256020A6" w14:textId="77777777" w:rsidR="004B5E95" w:rsidRDefault="00000000">
            <w:pPr>
              <w:spacing w:after="0"/>
            </w:pPr>
            <w:r>
              <w:rPr>
                <w:rFonts w:eastAsia="Arial"/>
                <w:sz w:val="16"/>
              </w:rPr>
              <w:t>Solve an adaptive dynamic-control or reinforcement-learning policy problem.</w:t>
            </w:r>
          </w:p>
        </w:tc>
      </w:tr>
      <w:tr w:rsidR="004B5E95" w14:paraId="6CBDE50A" w14:textId="77777777">
        <w:trPr>
          <w:cantSplit/>
        </w:trPr>
        <w:tc>
          <w:tcPr>
            <w:tcW w:w="2448" w:type="dxa"/>
            <w:vAlign w:val="center"/>
          </w:tcPr>
          <w:p w14:paraId="3D0CA233" w14:textId="77777777" w:rsidR="004B5E95" w:rsidRDefault="00000000">
            <w:pPr>
              <w:spacing w:after="0"/>
            </w:pPr>
            <w:r>
              <w:rPr>
                <w:rFonts w:eastAsia="Arial"/>
                <w:sz w:val="16"/>
              </w:rPr>
              <w:t>Lender observes priced risk adequately</w:t>
            </w:r>
          </w:p>
        </w:tc>
        <w:tc>
          <w:tcPr>
            <w:tcW w:w="3816" w:type="dxa"/>
            <w:vAlign w:val="center"/>
          </w:tcPr>
          <w:p w14:paraId="28B74230" w14:textId="77777777" w:rsidR="004B5E95" w:rsidRDefault="00000000">
            <w:pPr>
              <w:spacing w:after="0"/>
            </w:pPr>
            <w:r>
              <w:rPr>
                <w:rFonts w:eastAsia="Arial"/>
                <w:sz w:val="16"/>
              </w:rPr>
              <w:t>Opacity, signalling, and rating disagreement are compressed into one assessment.</w:t>
            </w:r>
          </w:p>
        </w:tc>
        <w:tc>
          <w:tcPr>
            <w:tcW w:w="3816" w:type="dxa"/>
            <w:vAlign w:val="center"/>
          </w:tcPr>
          <w:p w14:paraId="1973061A" w14:textId="77777777" w:rsidR="004B5E95" w:rsidRDefault="00000000">
            <w:pPr>
              <w:spacing w:after="0"/>
            </w:pPr>
            <w:r>
              <w:rPr>
                <w:rFonts w:eastAsia="Arial"/>
                <w:sz w:val="16"/>
              </w:rPr>
              <w:t>Separate true risk, disclosed assurance signals, and lender beliefs.</w:t>
            </w:r>
          </w:p>
        </w:tc>
      </w:tr>
      <w:tr w:rsidR="004B5E95" w14:paraId="1E5EDBB5" w14:textId="77777777">
        <w:trPr>
          <w:cantSplit/>
        </w:trPr>
        <w:tc>
          <w:tcPr>
            <w:tcW w:w="2448" w:type="dxa"/>
            <w:vAlign w:val="center"/>
          </w:tcPr>
          <w:p w14:paraId="4C08A96B" w14:textId="77777777" w:rsidR="004B5E95" w:rsidRDefault="00000000">
            <w:pPr>
              <w:spacing w:after="0"/>
            </w:pPr>
            <w:r>
              <w:rPr>
                <w:rFonts w:eastAsia="Arial"/>
                <w:sz w:val="16"/>
              </w:rPr>
              <w:t>Representative automation and capability stocks</w:t>
            </w:r>
          </w:p>
        </w:tc>
        <w:tc>
          <w:tcPr>
            <w:tcW w:w="3816" w:type="dxa"/>
            <w:vAlign w:val="center"/>
          </w:tcPr>
          <w:p w14:paraId="03584039" w14:textId="77777777" w:rsidR="004B5E95" w:rsidRDefault="00000000">
            <w:pPr>
              <w:spacing w:after="0"/>
            </w:pPr>
            <w:r>
              <w:rPr>
                <w:rFonts w:eastAsia="Arial"/>
                <w:sz w:val="16"/>
              </w:rPr>
              <w:t>Task heterogeneity, common shocks, and specialised expertise are suppressed.</w:t>
            </w:r>
          </w:p>
        </w:tc>
        <w:tc>
          <w:tcPr>
            <w:tcW w:w="3816" w:type="dxa"/>
            <w:vAlign w:val="center"/>
          </w:tcPr>
          <w:p w14:paraId="6BA46FB8" w14:textId="77777777" w:rsidR="004B5E95" w:rsidRDefault="00000000">
            <w:pPr>
              <w:spacing w:after="0"/>
            </w:pPr>
            <w:r>
              <w:rPr>
                <w:rFonts w:eastAsia="Arial"/>
                <w:sz w:val="16"/>
              </w:rPr>
              <w:t>Model portfolios of AI systems, correlated failures, and multiple capability stocks.</w:t>
            </w:r>
          </w:p>
        </w:tc>
      </w:tr>
      <w:tr w:rsidR="004B5E95" w14:paraId="727529C6" w14:textId="77777777">
        <w:trPr>
          <w:cantSplit/>
        </w:trPr>
        <w:tc>
          <w:tcPr>
            <w:tcW w:w="2448" w:type="dxa"/>
            <w:vAlign w:val="center"/>
          </w:tcPr>
          <w:p w14:paraId="381F7DF4" w14:textId="77777777" w:rsidR="004B5E95" w:rsidRDefault="00000000">
            <w:pPr>
              <w:spacing w:after="0"/>
            </w:pPr>
            <w:r>
              <w:rPr>
                <w:rFonts w:eastAsia="Arial"/>
                <w:sz w:val="16"/>
              </w:rPr>
              <w:t>Finite horizon without terminal value</w:t>
            </w:r>
          </w:p>
        </w:tc>
        <w:tc>
          <w:tcPr>
            <w:tcW w:w="3816" w:type="dxa"/>
            <w:vAlign w:val="center"/>
          </w:tcPr>
          <w:p w14:paraId="2B2FD342" w14:textId="77777777" w:rsidR="004B5E95" w:rsidRDefault="00000000">
            <w:pPr>
              <w:spacing w:after="0"/>
            </w:pPr>
            <w:r>
              <w:rPr>
                <w:rFonts w:eastAsia="Arial"/>
                <w:sz w:val="16"/>
              </w:rPr>
              <w:t>Value levels depend on the chosen evaluation horizon.</w:t>
            </w:r>
          </w:p>
        </w:tc>
        <w:tc>
          <w:tcPr>
            <w:tcW w:w="3816" w:type="dxa"/>
            <w:vAlign w:val="center"/>
          </w:tcPr>
          <w:p w14:paraId="64C847BE" w14:textId="77777777" w:rsidR="004B5E95" w:rsidRDefault="00000000">
            <w:pPr>
              <w:spacing w:after="0"/>
            </w:pPr>
            <w:r>
              <w:rPr>
                <w:rFonts w:eastAsia="Arial"/>
                <w:sz w:val="16"/>
              </w:rPr>
              <w:t>Estimate continuing value or solve an infinite-horizon specification.</w:t>
            </w:r>
          </w:p>
        </w:tc>
      </w:tr>
      <w:tr w:rsidR="004B5E95" w14:paraId="1F41C8B0" w14:textId="77777777">
        <w:trPr>
          <w:cantSplit/>
        </w:trPr>
        <w:tc>
          <w:tcPr>
            <w:tcW w:w="2448" w:type="dxa"/>
            <w:vAlign w:val="center"/>
          </w:tcPr>
          <w:p w14:paraId="13D08466" w14:textId="77777777" w:rsidR="004B5E95" w:rsidRDefault="00000000">
            <w:pPr>
              <w:spacing w:after="0"/>
            </w:pPr>
            <w:r>
              <w:rPr>
                <w:rFonts w:eastAsia="Arial"/>
                <w:sz w:val="16"/>
              </w:rPr>
              <w:t>No systemic or regulatory spillovers</w:t>
            </w:r>
          </w:p>
        </w:tc>
        <w:tc>
          <w:tcPr>
            <w:tcW w:w="3816" w:type="dxa"/>
            <w:vAlign w:val="center"/>
          </w:tcPr>
          <w:p w14:paraId="4173ED15" w14:textId="77777777" w:rsidR="004B5E95" w:rsidRDefault="00000000">
            <w:pPr>
              <w:spacing w:after="0"/>
            </w:pPr>
            <w:r>
              <w:rPr>
                <w:rFonts w:eastAsia="Arial"/>
                <w:sz w:val="16"/>
              </w:rPr>
              <w:t>Third-party concentration, cyber contagion, penalties, and insurance are outside the firm.</w:t>
            </w:r>
          </w:p>
        </w:tc>
        <w:tc>
          <w:tcPr>
            <w:tcW w:w="3816" w:type="dxa"/>
            <w:vAlign w:val="center"/>
          </w:tcPr>
          <w:p w14:paraId="175B2908" w14:textId="77777777" w:rsidR="004B5E95" w:rsidRDefault="00000000">
            <w:pPr>
              <w:spacing w:after="0"/>
            </w:pPr>
            <w:r>
              <w:rPr>
                <w:rFonts w:eastAsia="Arial"/>
                <w:sz w:val="16"/>
              </w:rPr>
              <w:t>Add network dependence, common providers, insurance, and regulatory loss channels.</w:t>
            </w:r>
          </w:p>
        </w:tc>
      </w:tr>
    </w:tbl>
    <w:p w14:paraId="39BCC4EE" w14:textId="77777777" w:rsidR="004B5E95" w:rsidRDefault="00000000">
      <w:pPr>
        <w:jc w:val="both"/>
      </w:pPr>
      <w:r>
        <w:rPr>
          <w:rFonts w:eastAsia="Arial"/>
        </w:rPr>
        <w:t>A complementary empirical strategy would focus on within-firm or lender-level variation. If business units or borrowers have similar conventional financial characteristics but differ in the materiality and verification quality of automated decision systems, internal hurdle rates, capital allocations, loan pricing, covenant terms, or insurance costs may reveal a shadow AI verification premium before a broad public-market measure exists. A particularly strong test would estimate whether credible assurance attenuates the relationship between AI exposure and financing cost. Such an interaction would distinguish the paper's conditional mechanism from a simple claim that more AI mechanically raises or lowers the cost of capital.</w:t>
      </w:r>
    </w:p>
    <w:p w14:paraId="19DBB2C2" w14:textId="77777777" w:rsidR="004B5E95" w:rsidRDefault="00000000">
      <w:pPr>
        <w:pStyle w:val="Heading1"/>
        <w:spacing w:before="160" w:after="100"/>
      </w:pPr>
      <w:bookmarkStart w:id="29" w:name="conclusion"/>
      <w:bookmarkEnd w:id="20"/>
      <w:bookmarkEnd w:id="28"/>
      <w:r>
        <w:rPr>
          <w:rFonts w:eastAsia="Arial"/>
          <w:sz w:val="22"/>
        </w:rPr>
        <w:t>5. CONCLUSION</w:t>
      </w:r>
    </w:p>
    <w:p w14:paraId="1C657D38" w14:textId="77777777" w:rsidR="004B5E95" w:rsidRDefault="00000000">
      <w:pPr>
        <w:jc w:val="both"/>
      </w:pPr>
      <w:r>
        <w:rPr>
          <w:rFonts w:eastAsia="Arial"/>
        </w:rPr>
        <w:t>This study develops the artificial intelligence verification premium as a bridge between artificial intelligence management and corporate finance. The model begins from a simple proposition: if weakly verified automation changes the probability of adverse operating outcomes, competitive lenders should price that change. Once verification debt and human oversight capability are allowed to evolve dynamically, the cost of debt becomes path-dependent rather than a static function of automation intensity.</w:t>
      </w:r>
    </w:p>
    <w:p w14:paraId="7C817E6B" w14:textId="77777777" w:rsidR="004B5E95" w:rsidRDefault="00000000">
      <w:pPr>
        <w:jc w:val="both"/>
      </w:pPr>
      <w:r>
        <w:rPr>
          <w:rFonts w:eastAsia="Arial"/>
        </w:rPr>
        <w:t>The analytical results show that the borrowing premium is increasing and convex in priced failure probability. They also identify a direct-risk verification threshold and a verification-debt non-accumulation threshold. The computational experiments reinforce these mechanisms. Acceleration-first automation generates a mean borrowing premium of 130.56 basis points per quarter and a discounted value of 356.82, while balanced assurance and assurance-scaled automation keep premiums near 10 to 11 basis points and produce materially higher value. A full policy search identifies a broad value ridge around high but not maximal automation and moderate-high verification. The best evaluated point, automation 0.80 and verification 0.55, lies just above the analytical direct-risk threshold of 0.538.</w:t>
      </w:r>
    </w:p>
    <w:p w14:paraId="0EDBCE1A" w14:textId="77777777" w:rsidR="004B5E95" w:rsidRDefault="00000000">
      <w:pPr>
        <w:jc w:val="both"/>
      </w:pPr>
      <w:r>
        <w:rPr>
          <w:rFonts w:eastAsia="Arial"/>
        </w:rPr>
        <w:t>The main implication is conditional rather than anti-technology. Artificial intelligence can improve firm value, including at high automation intensity, when assurance scales with deployment. Weak verification can convert some of the productivity gain into an endogenous financing penalty, while excessive verification can destroy value through its direct cost. Corporate artificial intelligence strategy should therefore optimise productivity, assurance, human capability, and financing jointly.</w:t>
      </w:r>
    </w:p>
    <w:p w14:paraId="217E7F68" w14:textId="77777777" w:rsidR="004B5E95" w:rsidRDefault="00000000">
      <w:pPr>
        <w:jc w:val="both"/>
      </w:pPr>
      <w:r>
        <w:rPr>
          <w:rFonts w:eastAsia="Arial"/>
        </w:rPr>
        <w:t xml:space="preserve">For finance research, the framework suggests that AI governance may become a priced intangible characteristic of the firm. For managers and boards, it implies that verification is not merely a technical control or compliance expense; under plausible financing conditions it can be part of the firm's cost-of-capital architecture. For lenders, the model suggests that generic disclosure that a borrower "uses AI" is less informative than assurance evidence </w:t>
      </w:r>
      <w:r>
        <w:rPr>
          <w:rFonts w:eastAsia="Arial"/>
        </w:rPr>
        <w:lastRenderedPageBreak/>
        <w:t>such as independent validation coverage, unresolved high-severity findings, incident history, model-inventory completeness, human fallback capacity, and concentration in external model providers. Future empirical work can test whether these indicators predict loan spreads, bond yields, covenants, ratings, or insurance prices after controlling for conventional risk. The practical objective is not maximal control intensity, but credible assurance that scales with the economic materiality of automation.</w:t>
      </w:r>
    </w:p>
    <w:p w14:paraId="0CEA88F5" w14:textId="77777777" w:rsidR="004B5E95" w:rsidRDefault="00000000">
      <w:pPr>
        <w:pStyle w:val="Heading1"/>
        <w:spacing w:before="160" w:after="100"/>
      </w:pPr>
      <w:bookmarkStart w:id="30" w:name="acknowledgements"/>
      <w:bookmarkEnd w:id="29"/>
      <w:r>
        <w:rPr>
          <w:rFonts w:eastAsia="Arial"/>
          <w:sz w:val="22"/>
        </w:rPr>
        <w:t>ACKNOWLEDGEMENTS</w:t>
      </w:r>
    </w:p>
    <w:p w14:paraId="1C94E01E" w14:textId="77777777" w:rsidR="004B5E95" w:rsidRDefault="00000000">
      <w:pPr>
        <w:jc w:val="both"/>
      </w:pPr>
      <w:r>
        <w:rPr>
          <w:rFonts w:eastAsia="Arial"/>
        </w:rPr>
        <w:t>No external funding was received for this study. OpenAI ChatGPT (GPT-5.6 Sol model/version, provided by OpenAI; accessed August 2026) was used for drafting support, coding support, language refinement, and formatting during manuscript preparation and revision. The author independently reviewed the mathematical model, reran and audited the simulation outputs, verified bibliographic additions against publisher or primary records, and revised all AI-assisted material. The tool was not treated as an author and did not provide external empirical observations. The author accepts full responsibility for the accuracy, originality, integrity, interpretation, and final content of the manuscript.</w:t>
      </w:r>
    </w:p>
    <w:p w14:paraId="1666B2D2" w14:textId="77777777" w:rsidR="004B5E95" w:rsidRDefault="00000000">
      <w:pPr>
        <w:pStyle w:val="Heading1"/>
        <w:spacing w:before="160" w:after="100"/>
      </w:pPr>
      <w:bookmarkStart w:id="31" w:name="competing-interests"/>
      <w:bookmarkEnd w:id="30"/>
      <w:r>
        <w:rPr>
          <w:rFonts w:eastAsia="Arial"/>
          <w:sz w:val="22"/>
        </w:rPr>
        <w:t>COMPETING INTERESTS</w:t>
      </w:r>
    </w:p>
    <w:p w14:paraId="7CE6E68C" w14:textId="77777777" w:rsidR="004B5E95" w:rsidRDefault="00000000">
      <w:pPr>
        <w:jc w:val="both"/>
      </w:pPr>
      <w:r>
        <w:rPr>
          <w:rFonts w:eastAsia="Arial"/>
        </w:rPr>
        <w:t>The author declares that no competing interests exist.</w:t>
      </w:r>
    </w:p>
    <w:p w14:paraId="412774E8" w14:textId="77777777" w:rsidR="004B5E95" w:rsidRDefault="00000000">
      <w:pPr>
        <w:pStyle w:val="Heading1"/>
        <w:spacing w:after="100"/>
        <w:jc w:val="both"/>
      </w:pPr>
      <w:bookmarkStart w:id="32" w:name="authors-contributions"/>
      <w:bookmarkEnd w:id="31"/>
      <w:r>
        <w:rPr>
          <w:rFonts w:eastAsia="Arial"/>
          <w:sz w:val="20"/>
        </w:rPr>
        <w:t>AUTHORS’ CONTRIBUTIONS</w:t>
      </w:r>
    </w:p>
    <w:p w14:paraId="21BCBF6D" w14:textId="77777777" w:rsidR="004B5E95" w:rsidRDefault="00000000">
      <w:pPr>
        <w:jc w:val="both"/>
      </w:pPr>
      <w:r>
        <w:rPr>
          <w:rFonts w:eastAsia="Arial"/>
        </w:rPr>
        <w:t>Kwan Hong TAN conceived the study; developed the theoretical framework and mathematical model; designed, implemented, and audited the computational experiments; conducted the literature review and sensitivity analyses; interpreted the findings; prepared and revised the manuscript; and approved the final version for submission.</w:t>
      </w:r>
    </w:p>
    <w:p w14:paraId="61087596" w14:textId="77777777" w:rsidR="004B5E95" w:rsidRDefault="00000000">
      <w:pPr>
        <w:pStyle w:val="Heading1"/>
        <w:spacing w:before="160" w:after="100"/>
      </w:pPr>
      <w:bookmarkStart w:id="33" w:name="data-and-code-availability"/>
      <w:bookmarkEnd w:id="32"/>
      <w:r>
        <w:rPr>
          <w:rFonts w:eastAsia="Arial"/>
          <w:sz w:val="22"/>
        </w:rPr>
        <w:t>DATA AND CODE AVAILABILITY</w:t>
      </w:r>
    </w:p>
    <w:p w14:paraId="1C93F627" w14:textId="77777777" w:rsidR="004B5E95" w:rsidRDefault="00000000">
      <w:pPr>
        <w:jc w:val="both"/>
        <w:rPr>
          <w:rFonts w:eastAsia="Arial"/>
        </w:rPr>
      </w:pPr>
      <w:r>
        <w:rPr>
          <w:rFonts w:eastAsia="Arial"/>
        </w:rPr>
        <w:t>No external empirical dataset was used. All reported numerical results are generated from the equations and parameter values stated in the manuscript using the master random seed 20260810. The Monte Carlo convergence and horizon-robustness results are reported in the manuscript and Appendix A. The Python simulation code used to generate the tables and figures is available from the corresponding author and can be supplied as supplementary material on request.</w:t>
      </w:r>
    </w:p>
    <w:p w14:paraId="7356F6E7" w14:textId="77777777" w:rsidR="00EA7806" w:rsidRPr="00EA7806" w:rsidRDefault="00EA7806" w:rsidP="00EA7806">
      <w:pPr>
        <w:spacing w:after="160" w:line="259" w:lineRule="auto"/>
        <w:rPr>
          <w:rFonts w:eastAsia="Calibri" w:cs="Arial"/>
          <w:b/>
          <w:bCs/>
          <w:kern w:val="2"/>
          <w:sz w:val="22"/>
          <w:szCs w:val="22"/>
          <w:lang w:val="en-IN"/>
        </w:rPr>
      </w:pPr>
      <w:r w:rsidRPr="00EA7806">
        <w:rPr>
          <w:rFonts w:eastAsia="Calibri" w:cs="Arial"/>
          <w:b/>
          <w:bCs/>
          <w:kern w:val="2"/>
          <w:sz w:val="22"/>
          <w:szCs w:val="22"/>
          <w:lang w:val="en-IN"/>
        </w:rPr>
        <w:t>Declaration of AI Use</w:t>
      </w:r>
    </w:p>
    <w:p w14:paraId="6A4AF9B8" w14:textId="77777777" w:rsidR="00EA7806" w:rsidRPr="00EA7806" w:rsidRDefault="00EA7806" w:rsidP="00EA7806">
      <w:pPr>
        <w:spacing w:after="160" w:line="259" w:lineRule="auto"/>
        <w:rPr>
          <w:rFonts w:eastAsia="Calibri" w:cs="Arial"/>
          <w:kern w:val="2"/>
          <w:sz w:val="22"/>
          <w:szCs w:val="22"/>
          <w:lang w:val="en-IN"/>
        </w:rPr>
      </w:pPr>
      <w:r w:rsidRPr="00EA7806">
        <w:rPr>
          <w:rFonts w:eastAsia="Calibri" w:cs="Arial"/>
          <w:kern w:val="2"/>
          <w:sz w:val="22"/>
          <w:szCs w:val="22"/>
          <w:lang w:val="en-IN"/>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95B0725" w14:textId="77777777" w:rsidR="00EA7806" w:rsidRDefault="00EA7806">
      <w:pPr>
        <w:jc w:val="both"/>
      </w:pPr>
    </w:p>
    <w:p w14:paraId="142E0796" w14:textId="77777777" w:rsidR="004B5E95" w:rsidRDefault="00000000">
      <w:pPr>
        <w:pStyle w:val="Heading1"/>
        <w:spacing w:before="160" w:after="100"/>
      </w:pPr>
      <w:bookmarkStart w:id="34" w:name="references"/>
      <w:bookmarkEnd w:id="33"/>
      <w:r>
        <w:rPr>
          <w:rFonts w:eastAsia="Arial"/>
          <w:sz w:val="22"/>
        </w:rPr>
        <w:t>REFERENCES</w:t>
      </w:r>
    </w:p>
    <w:bookmarkEnd w:id="34"/>
    <w:p w14:paraId="44E5C39C"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Acemoglu, D. (2025). The simple macroeconomics of AI. </w:t>
      </w:r>
      <w:r w:rsidRPr="00F20472">
        <w:rPr>
          <w:rFonts w:ascii="Times New Roman" w:hAnsi="Times New Roman"/>
          <w:i/>
          <w:iCs/>
          <w:sz w:val="24"/>
          <w:szCs w:val="24"/>
        </w:rPr>
        <w:t>Economic Policy, 40</w:t>
      </w:r>
      <w:r w:rsidRPr="00F20472">
        <w:rPr>
          <w:rFonts w:ascii="Times New Roman" w:hAnsi="Times New Roman"/>
          <w:sz w:val="24"/>
          <w:szCs w:val="24"/>
        </w:rPr>
        <w:t xml:space="preserve">(121), 13–58. </w:t>
      </w:r>
      <w:hyperlink r:id="rId10" w:history="1">
        <w:r w:rsidRPr="00F20472">
          <w:rPr>
            <w:rFonts w:ascii="Times New Roman" w:hAnsi="Times New Roman"/>
            <w:color w:val="0000FF"/>
            <w:sz w:val="24"/>
            <w:szCs w:val="24"/>
            <w:u w:val="single"/>
          </w:rPr>
          <w:t>https://doi.org/10.1093/epolic/eiae042</w:t>
        </w:r>
      </w:hyperlink>
    </w:p>
    <w:p w14:paraId="3D8E0167" w14:textId="77777777" w:rsidR="00D56986" w:rsidRDefault="00000000">
      <w:pPr>
        <w:spacing w:before="100" w:beforeAutospacing="1" w:afterAutospacing="1"/>
        <w:rPr>
          <w:rFonts w:ascii="Times New Roman" w:hAnsi="Times New Roman"/>
          <w:sz w:val="24"/>
          <w:szCs w:val="24"/>
        </w:rPr>
      </w:pPr>
      <w:r>
        <w:rPr>
          <w:b/>
          <w:highlight w:val="yellow"/>
        </w:rPr>
        <w:t>Aldasoro, I., Doerr, S., Gambacorta, L., Notra, S., Oliviero, T., &amp; Whyte, D. (2025). Generative artificial intelligence and cyber security in central banking. Journal of Financial Regulation, 11(1), 119–128. https://doi.org/10.1093/jfr/fjae008</w:t>
      </w:r>
    </w:p>
    <w:p w14:paraId="0BD89C12"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lastRenderedPageBreak/>
        <w:t xml:space="preserve">Babina, T., Fedyk, A., He, A., &amp; Hodson, J. (2024). Artificial intelligence, firm growth, and product innovation. </w:t>
      </w:r>
      <w:r w:rsidRPr="00F20472">
        <w:rPr>
          <w:rFonts w:ascii="Times New Roman" w:hAnsi="Times New Roman"/>
          <w:i/>
          <w:iCs/>
          <w:sz w:val="24"/>
          <w:szCs w:val="24"/>
        </w:rPr>
        <w:t>Journal of Financial Economics, 151</w:t>
      </w:r>
      <w:r w:rsidRPr="00F20472">
        <w:rPr>
          <w:rFonts w:ascii="Times New Roman" w:hAnsi="Times New Roman"/>
          <w:sz w:val="24"/>
          <w:szCs w:val="24"/>
        </w:rPr>
        <w:t xml:space="preserve">, 103745. </w:t>
      </w:r>
      <w:hyperlink r:id="rId11" w:history="1">
        <w:r w:rsidRPr="00F20472">
          <w:rPr>
            <w:rFonts w:ascii="Times New Roman" w:hAnsi="Times New Roman"/>
            <w:color w:val="0000FF"/>
            <w:sz w:val="24"/>
            <w:szCs w:val="24"/>
            <w:u w:val="single"/>
          </w:rPr>
          <w:t>https://doi.org/10.1016/j.jfineco.2023.103745</w:t>
        </w:r>
      </w:hyperlink>
    </w:p>
    <w:p w14:paraId="0FE8153D"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Board of Governors of the Federal Reserve System, &amp; Office of the Comptroller of the Currency. (2011). </w:t>
      </w:r>
      <w:r w:rsidRPr="00F20472">
        <w:rPr>
          <w:rFonts w:ascii="Times New Roman" w:hAnsi="Times New Roman"/>
          <w:i/>
          <w:iCs/>
          <w:sz w:val="24"/>
          <w:szCs w:val="24"/>
        </w:rPr>
        <w:t>Supervisory guidance on model risk management (SR 11-7/OCC 2011-12).</w:t>
      </w:r>
      <w:r w:rsidRPr="00F20472">
        <w:rPr>
          <w:rFonts w:ascii="Times New Roman" w:hAnsi="Times New Roman"/>
          <w:sz w:val="24"/>
          <w:szCs w:val="24"/>
        </w:rPr>
        <w:t xml:space="preserve"> </w:t>
      </w:r>
      <w:hyperlink r:id="rId12" w:history="1">
        <w:r w:rsidRPr="00F20472">
          <w:rPr>
            <w:rFonts w:ascii="Times New Roman" w:hAnsi="Times New Roman"/>
            <w:color w:val="0000FF"/>
            <w:sz w:val="24"/>
            <w:szCs w:val="24"/>
            <w:u w:val="single"/>
          </w:rPr>
          <w:t>https://www.federalreserve.gov/supervisionreg/srletters/sr1107.htm</w:t>
        </w:r>
      </w:hyperlink>
    </w:p>
    <w:p w14:paraId="55838F90"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Brugler, J., </w:t>
      </w:r>
      <w:proofErr w:type="spellStart"/>
      <w:r w:rsidRPr="00F20472">
        <w:rPr>
          <w:rFonts w:ascii="Times New Roman" w:hAnsi="Times New Roman"/>
          <w:sz w:val="24"/>
          <w:szCs w:val="24"/>
        </w:rPr>
        <w:t>Comerton</w:t>
      </w:r>
      <w:proofErr w:type="spellEnd"/>
      <w:r w:rsidRPr="00F20472">
        <w:rPr>
          <w:rFonts w:ascii="Times New Roman" w:hAnsi="Times New Roman"/>
          <w:sz w:val="24"/>
          <w:szCs w:val="24"/>
        </w:rPr>
        <w:t xml:space="preserve">-Forde, C., &amp; Martin, J. S. (2022). Secondary market transparency and corporate bond issuing costs. </w:t>
      </w:r>
      <w:r w:rsidRPr="00F20472">
        <w:rPr>
          <w:rFonts w:ascii="Times New Roman" w:hAnsi="Times New Roman"/>
          <w:i/>
          <w:iCs/>
          <w:sz w:val="24"/>
          <w:szCs w:val="24"/>
        </w:rPr>
        <w:t>Review of Finance, 26</w:t>
      </w:r>
      <w:r w:rsidRPr="00F20472">
        <w:rPr>
          <w:rFonts w:ascii="Times New Roman" w:hAnsi="Times New Roman"/>
          <w:sz w:val="24"/>
          <w:szCs w:val="24"/>
        </w:rPr>
        <w:t xml:space="preserve">(1), 43–77. </w:t>
      </w:r>
      <w:hyperlink r:id="rId13" w:history="1">
        <w:r w:rsidRPr="00F20472">
          <w:rPr>
            <w:rFonts w:ascii="Times New Roman" w:hAnsi="Times New Roman"/>
            <w:color w:val="0000FF"/>
            <w:sz w:val="24"/>
            <w:szCs w:val="24"/>
            <w:u w:val="single"/>
          </w:rPr>
          <w:t>https://doi.org/10.1093/rof/rfab017</w:t>
        </w:r>
      </w:hyperlink>
    </w:p>
    <w:p w14:paraId="33276F50"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Brynjolfsson, E., Li, D., &amp; Raymond, L. (2025). Generative AI at work. </w:t>
      </w:r>
      <w:r w:rsidRPr="00F20472">
        <w:rPr>
          <w:rFonts w:ascii="Times New Roman" w:hAnsi="Times New Roman"/>
          <w:i/>
          <w:iCs/>
          <w:sz w:val="24"/>
          <w:szCs w:val="24"/>
        </w:rPr>
        <w:t>The Quarterly Journal of Economics, 140</w:t>
      </w:r>
      <w:r w:rsidRPr="00F20472">
        <w:rPr>
          <w:rFonts w:ascii="Times New Roman" w:hAnsi="Times New Roman"/>
          <w:sz w:val="24"/>
          <w:szCs w:val="24"/>
        </w:rPr>
        <w:t xml:space="preserve">(2), 889–942. </w:t>
      </w:r>
      <w:hyperlink r:id="rId14" w:history="1">
        <w:r w:rsidRPr="00F20472">
          <w:rPr>
            <w:rFonts w:ascii="Times New Roman" w:hAnsi="Times New Roman"/>
            <w:color w:val="0000FF"/>
            <w:sz w:val="24"/>
            <w:szCs w:val="24"/>
            <w:u w:val="single"/>
          </w:rPr>
          <w:t>https://doi.org/10.1093/qje/qjae044</w:t>
        </w:r>
      </w:hyperlink>
    </w:p>
    <w:p w14:paraId="0AE62E67"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Chen, H., Zhang, M., Zeng, J., &amp; Wang, W. (2024). Artificial intelligence and corporate risk-taking: Evidence from China. </w:t>
      </w:r>
      <w:r w:rsidRPr="00F20472">
        <w:rPr>
          <w:rFonts w:ascii="Times New Roman" w:hAnsi="Times New Roman"/>
          <w:i/>
          <w:iCs/>
          <w:sz w:val="24"/>
          <w:szCs w:val="24"/>
        </w:rPr>
        <w:t>China Journal of Accounting Research, 17</w:t>
      </w:r>
      <w:r w:rsidRPr="00F20472">
        <w:rPr>
          <w:rFonts w:ascii="Times New Roman" w:hAnsi="Times New Roman"/>
          <w:sz w:val="24"/>
          <w:szCs w:val="24"/>
        </w:rPr>
        <w:t xml:space="preserve">(3), 100372. </w:t>
      </w:r>
      <w:hyperlink r:id="rId15" w:history="1">
        <w:r w:rsidRPr="00F20472">
          <w:rPr>
            <w:rFonts w:ascii="Times New Roman" w:hAnsi="Times New Roman"/>
            <w:color w:val="0000FF"/>
            <w:sz w:val="24"/>
            <w:szCs w:val="24"/>
            <w:u w:val="single"/>
          </w:rPr>
          <w:t>https://doi.org/10.1016/j.cjar.2024.100372</w:t>
        </w:r>
      </w:hyperlink>
    </w:p>
    <w:p w14:paraId="3B8ECCD5"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Chen, S.-S., Kim, J., &amp; Peng, S.-C. (2026). The real effects of AI: Evidence from corporate investment efficiency. </w:t>
      </w:r>
      <w:r w:rsidRPr="00F20472">
        <w:rPr>
          <w:rFonts w:ascii="Times New Roman" w:hAnsi="Times New Roman"/>
          <w:i/>
          <w:iCs/>
          <w:sz w:val="24"/>
          <w:szCs w:val="24"/>
        </w:rPr>
        <w:t>Journal of Empirical Finance, 88</w:t>
      </w:r>
      <w:r w:rsidRPr="00F20472">
        <w:rPr>
          <w:rFonts w:ascii="Times New Roman" w:hAnsi="Times New Roman"/>
          <w:sz w:val="24"/>
          <w:szCs w:val="24"/>
        </w:rPr>
        <w:t xml:space="preserve">, 101730. </w:t>
      </w:r>
      <w:hyperlink r:id="rId16" w:history="1">
        <w:r w:rsidRPr="00F20472">
          <w:rPr>
            <w:rFonts w:ascii="Times New Roman" w:hAnsi="Times New Roman"/>
            <w:color w:val="0000FF"/>
            <w:sz w:val="24"/>
            <w:szCs w:val="24"/>
            <w:u w:val="single"/>
          </w:rPr>
          <w:t>https://doi.org/10.1016/j.jempfin.2026.101730</w:t>
        </w:r>
      </w:hyperlink>
    </w:p>
    <w:p w14:paraId="7054CFAF"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Crisanto, J. C., Leuterio, C. B., </w:t>
      </w:r>
      <w:proofErr w:type="spellStart"/>
      <w:r w:rsidRPr="00F20472">
        <w:rPr>
          <w:rFonts w:ascii="Times New Roman" w:hAnsi="Times New Roman"/>
          <w:sz w:val="24"/>
          <w:szCs w:val="24"/>
        </w:rPr>
        <w:t>Prenio</w:t>
      </w:r>
      <w:proofErr w:type="spellEnd"/>
      <w:r w:rsidRPr="00F20472">
        <w:rPr>
          <w:rFonts w:ascii="Times New Roman" w:hAnsi="Times New Roman"/>
          <w:sz w:val="24"/>
          <w:szCs w:val="24"/>
        </w:rPr>
        <w:t xml:space="preserve">, J., &amp; Yong, J. (2024). </w:t>
      </w:r>
      <w:r w:rsidRPr="00F20472">
        <w:rPr>
          <w:rFonts w:ascii="Times New Roman" w:hAnsi="Times New Roman"/>
          <w:i/>
          <w:iCs/>
          <w:sz w:val="24"/>
          <w:szCs w:val="24"/>
        </w:rPr>
        <w:t>Regulating AI in the financial sector: Recent developments and main challenges</w:t>
      </w:r>
      <w:r w:rsidRPr="00F20472">
        <w:rPr>
          <w:rFonts w:ascii="Times New Roman" w:hAnsi="Times New Roman"/>
          <w:sz w:val="24"/>
          <w:szCs w:val="24"/>
        </w:rPr>
        <w:t xml:space="preserve"> (FSI Insights No. 63). Bank for International Settlements. </w:t>
      </w:r>
      <w:hyperlink r:id="rId17" w:history="1">
        <w:r w:rsidRPr="00F20472">
          <w:rPr>
            <w:rFonts w:ascii="Times New Roman" w:hAnsi="Times New Roman"/>
            <w:color w:val="0000FF"/>
            <w:sz w:val="24"/>
            <w:szCs w:val="24"/>
            <w:u w:val="single"/>
          </w:rPr>
          <w:t>https://www.bis.org/fsi/publ/insights63.htm</w:t>
        </w:r>
      </w:hyperlink>
    </w:p>
    <w:p w14:paraId="00B05148"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Diamond, D. W. (1984). Financial intermediation and delegated monitoring. </w:t>
      </w:r>
      <w:r w:rsidRPr="00F20472">
        <w:rPr>
          <w:rFonts w:ascii="Times New Roman" w:hAnsi="Times New Roman"/>
          <w:i/>
          <w:iCs/>
          <w:sz w:val="24"/>
          <w:szCs w:val="24"/>
        </w:rPr>
        <w:t>The Review of Economic Studies, 51</w:t>
      </w:r>
      <w:r w:rsidRPr="00F20472">
        <w:rPr>
          <w:rFonts w:ascii="Times New Roman" w:hAnsi="Times New Roman"/>
          <w:sz w:val="24"/>
          <w:szCs w:val="24"/>
        </w:rPr>
        <w:t xml:space="preserve">(3), 393–414. </w:t>
      </w:r>
      <w:hyperlink r:id="rId18" w:history="1">
        <w:r w:rsidRPr="00F20472">
          <w:rPr>
            <w:rFonts w:ascii="Times New Roman" w:hAnsi="Times New Roman"/>
            <w:color w:val="0000FF"/>
            <w:sz w:val="24"/>
            <w:szCs w:val="24"/>
            <w:u w:val="single"/>
          </w:rPr>
          <w:t>https://doi.org/10.2307/2297430</w:t>
        </w:r>
      </w:hyperlink>
    </w:p>
    <w:p w14:paraId="072AEF6E"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Easley, D., &amp; O'Hara, M. (2004). Information and the cost of capital. </w:t>
      </w:r>
      <w:r w:rsidRPr="00F20472">
        <w:rPr>
          <w:rFonts w:ascii="Times New Roman" w:hAnsi="Times New Roman"/>
          <w:i/>
          <w:iCs/>
          <w:sz w:val="24"/>
          <w:szCs w:val="24"/>
        </w:rPr>
        <w:t>The Journal of Finance, 59</w:t>
      </w:r>
      <w:r w:rsidRPr="00F20472">
        <w:rPr>
          <w:rFonts w:ascii="Times New Roman" w:hAnsi="Times New Roman"/>
          <w:sz w:val="24"/>
          <w:szCs w:val="24"/>
        </w:rPr>
        <w:t xml:space="preserve">(4), 1553–1583. </w:t>
      </w:r>
      <w:hyperlink r:id="rId19" w:history="1">
        <w:r w:rsidRPr="00F20472">
          <w:rPr>
            <w:rFonts w:ascii="Times New Roman" w:hAnsi="Times New Roman"/>
            <w:color w:val="0000FF"/>
            <w:sz w:val="24"/>
            <w:szCs w:val="24"/>
            <w:u w:val="single"/>
          </w:rPr>
          <w:t>https://doi.org/10.1111/j.1540-6261.2004.00672.x</w:t>
        </w:r>
      </w:hyperlink>
    </w:p>
    <w:p w14:paraId="15301240"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Financial Stability Board. (2024). </w:t>
      </w:r>
      <w:r w:rsidRPr="00F20472">
        <w:rPr>
          <w:rFonts w:ascii="Times New Roman" w:hAnsi="Times New Roman"/>
          <w:i/>
          <w:iCs/>
          <w:sz w:val="24"/>
          <w:szCs w:val="24"/>
        </w:rPr>
        <w:t>The financial stability implications of artificial intelligence.</w:t>
      </w:r>
      <w:r w:rsidRPr="00F20472">
        <w:rPr>
          <w:rFonts w:ascii="Times New Roman" w:hAnsi="Times New Roman"/>
          <w:sz w:val="24"/>
          <w:szCs w:val="24"/>
        </w:rPr>
        <w:t xml:space="preserve"> </w:t>
      </w:r>
      <w:hyperlink r:id="rId20" w:history="1">
        <w:r w:rsidRPr="00F20472">
          <w:rPr>
            <w:rFonts w:ascii="Times New Roman" w:hAnsi="Times New Roman"/>
            <w:color w:val="0000FF"/>
            <w:sz w:val="24"/>
            <w:szCs w:val="24"/>
            <w:u w:val="single"/>
          </w:rPr>
          <w:t>https://www.fsb.org/2024/11/the-financial-stability-implications-of-artificial-intelligence/</w:t>
        </w:r>
      </w:hyperlink>
    </w:p>
    <w:p w14:paraId="7038E492"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Gans, J. S. (2025). How learning about harms impacts the optimal rate of artificial intelligence adoption. </w:t>
      </w:r>
      <w:r w:rsidRPr="00F20472">
        <w:rPr>
          <w:rFonts w:ascii="Times New Roman" w:hAnsi="Times New Roman"/>
          <w:i/>
          <w:iCs/>
          <w:sz w:val="24"/>
          <w:szCs w:val="24"/>
        </w:rPr>
        <w:t>Economic Policy, 40</w:t>
      </w:r>
      <w:r w:rsidRPr="00F20472">
        <w:rPr>
          <w:rFonts w:ascii="Times New Roman" w:hAnsi="Times New Roman"/>
          <w:sz w:val="24"/>
          <w:szCs w:val="24"/>
        </w:rPr>
        <w:t xml:space="preserve">(121), 199–219. </w:t>
      </w:r>
      <w:hyperlink r:id="rId21" w:history="1">
        <w:r w:rsidRPr="00F20472">
          <w:rPr>
            <w:rFonts w:ascii="Times New Roman" w:hAnsi="Times New Roman"/>
            <w:color w:val="0000FF"/>
            <w:sz w:val="24"/>
            <w:szCs w:val="24"/>
            <w:u w:val="single"/>
          </w:rPr>
          <w:t>https://doi.org/10.1093/epolic/eiae053</w:t>
        </w:r>
      </w:hyperlink>
    </w:p>
    <w:p w14:paraId="51A5A9E4"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lastRenderedPageBreak/>
        <w:t xml:space="preserve">Holmström, B., &amp; </w:t>
      </w:r>
      <w:proofErr w:type="spellStart"/>
      <w:r w:rsidRPr="00F20472">
        <w:rPr>
          <w:rFonts w:ascii="Times New Roman" w:hAnsi="Times New Roman"/>
          <w:sz w:val="24"/>
          <w:szCs w:val="24"/>
        </w:rPr>
        <w:t>Tirole</w:t>
      </w:r>
      <w:proofErr w:type="spellEnd"/>
      <w:r w:rsidRPr="00F20472">
        <w:rPr>
          <w:rFonts w:ascii="Times New Roman" w:hAnsi="Times New Roman"/>
          <w:sz w:val="24"/>
          <w:szCs w:val="24"/>
        </w:rPr>
        <w:t xml:space="preserve">, J. (1997). Financial intermediation, loanable funds, and the real sector. </w:t>
      </w:r>
      <w:r w:rsidRPr="00F20472">
        <w:rPr>
          <w:rFonts w:ascii="Times New Roman" w:hAnsi="Times New Roman"/>
          <w:i/>
          <w:iCs/>
          <w:sz w:val="24"/>
          <w:szCs w:val="24"/>
        </w:rPr>
        <w:t>The Quarterly Journal of Economics, 112</w:t>
      </w:r>
      <w:r w:rsidRPr="00F20472">
        <w:rPr>
          <w:rFonts w:ascii="Times New Roman" w:hAnsi="Times New Roman"/>
          <w:sz w:val="24"/>
          <w:szCs w:val="24"/>
        </w:rPr>
        <w:t xml:space="preserve">(3), 663–691. </w:t>
      </w:r>
      <w:hyperlink r:id="rId22" w:history="1">
        <w:r w:rsidRPr="00F20472">
          <w:rPr>
            <w:rFonts w:ascii="Times New Roman" w:hAnsi="Times New Roman"/>
            <w:color w:val="0000FF"/>
            <w:sz w:val="24"/>
            <w:szCs w:val="24"/>
            <w:u w:val="single"/>
          </w:rPr>
          <w:t>https://doi.org/10.1162/003355397555316</w:t>
        </w:r>
      </w:hyperlink>
    </w:p>
    <w:p w14:paraId="5B7360D3"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Iannamorelli, A., Nobili, S., Scalia, A., &amp; Zaccaria, L. (2024). Asymmetric information and corporate lending: Evidence from SME bond markets. </w:t>
      </w:r>
      <w:r w:rsidRPr="00F20472">
        <w:rPr>
          <w:rFonts w:ascii="Times New Roman" w:hAnsi="Times New Roman"/>
          <w:i/>
          <w:iCs/>
          <w:sz w:val="24"/>
          <w:szCs w:val="24"/>
        </w:rPr>
        <w:t>Review of Finance, 28</w:t>
      </w:r>
      <w:r w:rsidRPr="00F20472">
        <w:rPr>
          <w:rFonts w:ascii="Times New Roman" w:hAnsi="Times New Roman"/>
          <w:sz w:val="24"/>
          <w:szCs w:val="24"/>
        </w:rPr>
        <w:t xml:space="preserve">(1), 163–201. </w:t>
      </w:r>
      <w:hyperlink r:id="rId23" w:history="1">
        <w:r w:rsidRPr="00F20472">
          <w:rPr>
            <w:rFonts w:ascii="Times New Roman" w:hAnsi="Times New Roman"/>
            <w:color w:val="0000FF"/>
            <w:sz w:val="24"/>
            <w:szCs w:val="24"/>
            <w:u w:val="single"/>
          </w:rPr>
          <w:t>https://doi.org/10.1093/rof/rfad024</w:t>
        </w:r>
      </w:hyperlink>
    </w:p>
    <w:p w14:paraId="7456660D"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Jensen, M. C., &amp; Meckling, W. H. (1976). Theory of the firm: Managerial behavior, agency costs and ownership structure. </w:t>
      </w:r>
      <w:r w:rsidRPr="00F20472">
        <w:rPr>
          <w:rFonts w:ascii="Times New Roman" w:hAnsi="Times New Roman"/>
          <w:i/>
          <w:iCs/>
          <w:sz w:val="24"/>
          <w:szCs w:val="24"/>
        </w:rPr>
        <w:t>Journal of Financial Economics, 3</w:t>
      </w:r>
      <w:r w:rsidRPr="00F20472">
        <w:rPr>
          <w:rFonts w:ascii="Times New Roman" w:hAnsi="Times New Roman"/>
          <w:sz w:val="24"/>
          <w:szCs w:val="24"/>
        </w:rPr>
        <w:t xml:space="preserve">(4), 305–360. </w:t>
      </w:r>
      <w:hyperlink r:id="rId24" w:history="1">
        <w:r w:rsidRPr="00F20472">
          <w:rPr>
            <w:rFonts w:ascii="Times New Roman" w:hAnsi="Times New Roman"/>
            <w:color w:val="0000FF"/>
            <w:sz w:val="24"/>
            <w:szCs w:val="24"/>
            <w:u w:val="single"/>
          </w:rPr>
          <w:t>https://doi.org/10.1016/0304-405X(76)90026-X</w:t>
        </w:r>
      </w:hyperlink>
    </w:p>
    <w:p w14:paraId="3195F40A"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Korinek, A., &amp; Vipra, J. (2025). Concentrating intelligence: Scaling and market structure in artificial intelligence. </w:t>
      </w:r>
      <w:r w:rsidRPr="00F20472">
        <w:rPr>
          <w:rFonts w:ascii="Times New Roman" w:hAnsi="Times New Roman"/>
          <w:i/>
          <w:iCs/>
          <w:sz w:val="24"/>
          <w:szCs w:val="24"/>
        </w:rPr>
        <w:t>Economic Policy, 40</w:t>
      </w:r>
      <w:r w:rsidRPr="00F20472">
        <w:rPr>
          <w:rFonts w:ascii="Times New Roman" w:hAnsi="Times New Roman"/>
          <w:sz w:val="24"/>
          <w:szCs w:val="24"/>
        </w:rPr>
        <w:t xml:space="preserve">(121), 225–256. </w:t>
      </w:r>
      <w:hyperlink r:id="rId25" w:history="1">
        <w:r w:rsidRPr="00F20472">
          <w:rPr>
            <w:rFonts w:ascii="Times New Roman" w:hAnsi="Times New Roman"/>
            <w:color w:val="0000FF"/>
            <w:sz w:val="24"/>
            <w:szCs w:val="24"/>
            <w:u w:val="single"/>
          </w:rPr>
          <w:t>https://doi.org/10.1093/epolic/eiae057</w:t>
        </w:r>
      </w:hyperlink>
    </w:p>
    <w:p w14:paraId="60BFEC16"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Lambert, R., </w:t>
      </w:r>
      <w:proofErr w:type="spellStart"/>
      <w:r w:rsidRPr="00F20472">
        <w:rPr>
          <w:rFonts w:ascii="Times New Roman" w:hAnsi="Times New Roman"/>
          <w:sz w:val="24"/>
          <w:szCs w:val="24"/>
        </w:rPr>
        <w:t>Leuz</w:t>
      </w:r>
      <w:proofErr w:type="spellEnd"/>
      <w:r w:rsidRPr="00F20472">
        <w:rPr>
          <w:rFonts w:ascii="Times New Roman" w:hAnsi="Times New Roman"/>
          <w:sz w:val="24"/>
          <w:szCs w:val="24"/>
        </w:rPr>
        <w:t xml:space="preserve">, C., &amp; Verrecchia, R. E. (2007). Accounting information, disclosure, and the cost of capital. </w:t>
      </w:r>
      <w:r w:rsidRPr="00F20472">
        <w:rPr>
          <w:rFonts w:ascii="Times New Roman" w:hAnsi="Times New Roman"/>
          <w:i/>
          <w:iCs/>
          <w:sz w:val="24"/>
          <w:szCs w:val="24"/>
        </w:rPr>
        <w:t>Journal of Accounting Research, 45</w:t>
      </w:r>
      <w:r w:rsidRPr="00F20472">
        <w:rPr>
          <w:rFonts w:ascii="Times New Roman" w:hAnsi="Times New Roman"/>
          <w:sz w:val="24"/>
          <w:szCs w:val="24"/>
        </w:rPr>
        <w:t xml:space="preserve">(2), 385–420. </w:t>
      </w:r>
      <w:hyperlink r:id="rId26" w:history="1">
        <w:r w:rsidRPr="00F20472">
          <w:rPr>
            <w:rFonts w:ascii="Times New Roman" w:hAnsi="Times New Roman"/>
            <w:color w:val="0000FF"/>
            <w:sz w:val="24"/>
            <w:szCs w:val="24"/>
            <w:u w:val="single"/>
          </w:rPr>
          <w:t>https://doi.org/10.1111/j.1475-679X.2007.00238.x</w:t>
        </w:r>
      </w:hyperlink>
    </w:p>
    <w:p w14:paraId="3DD0FAA2"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Li, Y., Zhong, H., &amp; Tong, Q. (2024). Artificial intelligence, dynamic capabilities, and corporate financial asset allocation. </w:t>
      </w:r>
      <w:r w:rsidRPr="00F20472">
        <w:rPr>
          <w:rFonts w:ascii="Times New Roman" w:hAnsi="Times New Roman"/>
          <w:i/>
          <w:iCs/>
          <w:sz w:val="24"/>
          <w:szCs w:val="24"/>
        </w:rPr>
        <w:t>International Review of Financial Analysis, 96</w:t>
      </w:r>
      <w:r w:rsidRPr="00F20472">
        <w:rPr>
          <w:rFonts w:ascii="Times New Roman" w:hAnsi="Times New Roman"/>
          <w:sz w:val="24"/>
          <w:szCs w:val="24"/>
        </w:rPr>
        <w:t xml:space="preserve">, 103773. </w:t>
      </w:r>
      <w:hyperlink r:id="rId27" w:history="1">
        <w:r w:rsidRPr="00F20472">
          <w:rPr>
            <w:rFonts w:ascii="Times New Roman" w:hAnsi="Times New Roman"/>
            <w:color w:val="0000FF"/>
            <w:sz w:val="24"/>
            <w:szCs w:val="24"/>
            <w:u w:val="single"/>
          </w:rPr>
          <w:t>https://doi.org/10.1016/j.irfa.2024.103773</w:t>
        </w:r>
      </w:hyperlink>
    </w:p>
    <w:p w14:paraId="152BEF3F"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Liu, X., &amp; Wang, Y. (2025). Artificial intelligence technology, risk taking, and financing costs of technology-based firms. </w:t>
      </w:r>
      <w:r w:rsidRPr="00F20472">
        <w:rPr>
          <w:rFonts w:ascii="Times New Roman" w:hAnsi="Times New Roman"/>
          <w:i/>
          <w:iCs/>
          <w:sz w:val="24"/>
          <w:szCs w:val="24"/>
        </w:rPr>
        <w:t>Finance Research Letters, 85</w:t>
      </w:r>
      <w:r w:rsidRPr="00F20472">
        <w:rPr>
          <w:rFonts w:ascii="Times New Roman" w:hAnsi="Times New Roman"/>
          <w:sz w:val="24"/>
          <w:szCs w:val="24"/>
        </w:rPr>
        <w:t xml:space="preserve">, 107873. </w:t>
      </w:r>
      <w:hyperlink r:id="rId28" w:history="1">
        <w:r w:rsidRPr="00F20472">
          <w:rPr>
            <w:rFonts w:ascii="Times New Roman" w:hAnsi="Times New Roman"/>
            <w:color w:val="0000FF"/>
            <w:sz w:val="24"/>
            <w:szCs w:val="24"/>
            <w:u w:val="single"/>
          </w:rPr>
          <w:t>https://doi.org/10.1016/j.frl.2025.107873</w:t>
        </w:r>
      </w:hyperlink>
    </w:p>
    <w:p w14:paraId="518607EC"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Merton, R. C. (1974). On the pricing of corporate debt: The risk structure of interest rates. </w:t>
      </w:r>
      <w:r w:rsidRPr="00F20472">
        <w:rPr>
          <w:rFonts w:ascii="Times New Roman" w:hAnsi="Times New Roman"/>
          <w:i/>
          <w:iCs/>
          <w:sz w:val="24"/>
          <w:szCs w:val="24"/>
        </w:rPr>
        <w:t>The Journal of Finance, 29</w:t>
      </w:r>
      <w:r w:rsidRPr="00F20472">
        <w:rPr>
          <w:rFonts w:ascii="Times New Roman" w:hAnsi="Times New Roman"/>
          <w:sz w:val="24"/>
          <w:szCs w:val="24"/>
        </w:rPr>
        <w:t xml:space="preserve">(2), 449–470. </w:t>
      </w:r>
      <w:hyperlink r:id="rId29" w:history="1">
        <w:r w:rsidRPr="00F20472">
          <w:rPr>
            <w:rFonts w:ascii="Times New Roman" w:hAnsi="Times New Roman"/>
            <w:color w:val="0000FF"/>
            <w:sz w:val="24"/>
            <w:szCs w:val="24"/>
            <w:u w:val="single"/>
          </w:rPr>
          <w:t>https://doi.org/10.1111/j.1540-6261.1974.tb03058.x</w:t>
        </w:r>
      </w:hyperlink>
    </w:p>
    <w:p w14:paraId="1DEABFE1"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Myers, S. C. (1977). Determinants of corporate borrowing. </w:t>
      </w:r>
      <w:r w:rsidRPr="00F20472">
        <w:rPr>
          <w:rFonts w:ascii="Times New Roman" w:hAnsi="Times New Roman"/>
          <w:i/>
          <w:iCs/>
          <w:sz w:val="24"/>
          <w:szCs w:val="24"/>
        </w:rPr>
        <w:t>Journal of Financial Economics, 5</w:t>
      </w:r>
      <w:r w:rsidRPr="00F20472">
        <w:rPr>
          <w:rFonts w:ascii="Times New Roman" w:hAnsi="Times New Roman"/>
          <w:sz w:val="24"/>
          <w:szCs w:val="24"/>
        </w:rPr>
        <w:t xml:space="preserve">(2), 147–175. </w:t>
      </w:r>
      <w:hyperlink r:id="rId30" w:history="1">
        <w:r w:rsidRPr="00F20472">
          <w:rPr>
            <w:rFonts w:ascii="Times New Roman" w:hAnsi="Times New Roman"/>
            <w:color w:val="0000FF"/>
            <w:sz w:val="24"/>
            <w:szCs w:val="24"/>
            <w:u w:val="single"/>
          </w:rPr>
          <w:t>https://doi.org/10.1016/0304-405X(77)90015-0</w:t>
        </w:r>
      </w:hyperlink>
    </w:p>
    <w:p w14:paraId="51CFD7BB"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Myers, S. C., &amp; Majluf, N. S. (1984). Corporate financing and investment decisions when firms have information that investors do not have. </w:t>
      </w:r>
      <w:r w:rsidRPr="00F20472">
        <w:rPr>
          <w:rFonts w:ascii="Times New Roman" w:hAnsi="Times New Roman"/>
          <w:i/>
          <w:iCs/>
          <w:sz w:val="24"/>
          <w:szCs w:val="24"/>
        </w:rPr>
        <w:t>Journal of Financial Economics, 13</w:t>
      </w:r>
      <w:r w:rsidRPr="00F20472">
        <w:rPr>
          <w:rFonts w:ascii="Times New Roman" w:hAnsi="Times New Roman"/>
          <w:sz w:val="24"/>
          <w:szCs w:val="24"/>
        </w:rPr>
        <w:t xml:space="preserve">(2), 187–221. </w:t>
      </w:r>
      <w:hyperlink r:id="rId31" w:history="1">
        <w:r w:rsidRPr="00F20472">
          <w:rPr>
            <w:rFonts w:ascii="Times New Roman" w:hAnsi="Times New Roman"/>
            <w:color w:val="0000FF"/>
            <w:sz w:val="24"/>
            <w:szCs w:val="24"/>
            <w:u w:val="single"/>
          </w:rPr>
          <w:t>https://doi.org/10.1016/0304-405X(84)90023-0</w:t>
        </w:r>
      </w:hyperlink>
    </w:p>
    <w:p w14:paraId="2D93F53B"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Noy, S., &amp; Zhang, W. (2023). Experimental evidence on the productivity effects of generative artificial intelligence. </w:t>
      </w:r>
      <w:r w:rsidRPr="00F20472">
        <w:rPr>
          <w:rFonts w:ascii="Times New Roman" w:hAnsi="Times New Roman"/>
          <w:i/>
          <w:iCs/>
          <w:sz w:val="24"/>
          <w:szCs w:val="24"/>
        </w:rPr>
        <w:t>Science, 381</w:t>
      </w:r>
      <w:r w:rsidRPr="00F20472">
        <w:rPr>
          <w:rFonts w:ascii="Times New Roman" w:hAnsi="Times New Roman"/>
          <w:sz w:val="24"/>
          <w:szCs w:val="24"/>
        </w:rPr>
        <w:t xml:space="preserve">(6654), 187–192. </w:t>
      </w:r>
      <w:hyperlink r:id="rId32" w:history="1">
        <w:r w:rsidRPr="00F20472">
          <w:rPr>
            <w:rFonts w:ascii="Times New Roman" w:hAnsi="Times New Roman"/>
            <w:color w:val="0000FF"/>
            <w:sz w:val="24"/>
            <w:szCs w:val="24"/>
            <w:u w:val="single"/>
          </w:rPr>
          <w:t>https://doi.org/10.1126/science.adh2586</w:t>
        </w:r>
      </w:hyperlink>
    </w:p>
    <w:p w14:paraId="2033992D" w14:textId="77777777" w:rsidR="00D56986" w:rsidRDefault="00000000">
      <w:pPr>
        <w:spacing w:before="100" w:beforeAutospacing="1" w:afterAutospacing="1"/>
        <w:rPr>
          <w:rFonts w:ascii="Times New Roman" w:hAnsi="Times New Roman"/>
          <w:sz w:val="24"/>
          <w:szCs w:val="24"/>
        </w:rPr>
      </w:pPr>
      <w:r>
        <w:rPr>
          <w:b/>
          <w:highlight w:val="yellow"/>
        </w:rPr>
        <w:t xml:space="preserve">Oriaku, I., Bamidele, O. J., Mensah, T. K., Konadu, R. K., &amp; Thomas, G. A. (2026). Artificial intelligence in auditing and financial reporting: A scoping review of current </w:t>
      </w:r>
      <w:r>
        <w:rPr>
          <w:b/>
          <w:highlight w:val="yellow"/>
        </w:rPr>
        <w:lastRenderedPageBreak/>
        <w:t>practices and future directions. Journal of Economics and Trade, 11(1), 1–13. https://doi.org/10.56557/jet/2026/v11i110096</w:t>
      </w:r>
    </w:p>
    <w:p w14:paraId="7688046C" w14:textId="77777777" w:rsidR="00D56986" w:rsidRDefault="00000000">
      <w:pPr>
        <w:spacing w:before="100" w:beforeAutospacing="1" w:afterAutospacing="1"/>
        <w:rPr>
          <w:rFonts w:ascii="Times New Roman" w:hAnsi="Times New Roman"/>
          <w:sz w:val="24"/>
          <w:szCs w:val="24"/>
        </w:rPr>
      </w:pPr>
      <w:r>
        <w:rPr>
          <w:b/>
          <w:highlight w:val="yellow"/>
        </w:rPr>
        <w:t>Raj, R. T., &amp; Suryanarayana, N. R. (2025). Artificial intelligence in corporate finance - Transforming financial strategies for startups: A systematic review. Asian Journal of Economics, Business and Accounting, 25(1), 265–275. https://doi.org/10.9734/ajeba/2025/v25i11648</w:t>
      </w:r>
    </w:p>
    <w:p w14:paraId="5B1EA276"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Tabassi, E. (2023). </w:t>
      </w:r>
      <w:r w:rsidRPr="00F20472">
        <w:rPr>
          <w:rFonts w:ascii="Times New Roman" w:hAnsi="Times New Roman"/>
          <w:i/>
          <w:iCs/>
          <w:sz w:val="24"/>
          <w:szCs w:val="24"/>
        </w:rPr>
        <w:t>Artificial intelligence risk management framework (AI RMF 1.0)</w:t>
      </w:r>
      <w:r w:rsidRPr="00F20472">
        <w:rPr>
          <w:rFonts w:ascii="Times New Roman" w:hAnsi="Times New Roman"/>
          <w:sz w:val="24"/>
          <w:szCs w:val="24"/>
        </w:rPr>
        <w:t xml:space="preserve"> (NIST AI 100-1). National Institute of Standards and Technology. </w:t>
      </w:r>
      <w:hyperlink r:id="rId33" w:history="1">
        <w:r w:rsidRPr="00F20472">
          <w:rPr>
            <w:rFonts w:ascii="Times New Roman" w:hAnsi="Times New Roman"/>
            <w:color w:val="0000FF"/>
            <w:sz w:val="24"/>
            <w:szCs w:val="24"/>
            <w:u w:val="single"/>
          </w:rPr>
          <w:t>https://doi.org/10.6028/NIST.AI.100-1</w:t>
        </w:r>
      </w:hyperlink>
    </w:p>
    <w:p w14:paraId="414B7331"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Tan, K. H. (2026). The coordination compression trap: A dynamic model of AI-enabled productivity, verification debt, and </w:t>
      </w:r>
      <w:proofErr w:type="spellStart"/>
      <w:r w:rsidRPr="00F20472">
        <w:rPr>
          <w:rFonts w:ascii="Times New Roman" w:hAnsi="Times New Roman"/>
          <w:sz w:val="24"/>
          <w:szCs w:val="24"/>
        </w:rPr>
        <w:t>organisational</w:t>
      </w:r>
      <w:proofErr w:type="spellEnd"/>
      <w:r w:rsidRPr="00F20472">
        <w:rPr>
          <w:rFonts w:ascii="Times New Roman" w:hAnsi="Times New Roman"/>
          <w:sz w:val="24"/>
          <w:szCs w:val="24"/>
        </w:rPr>
        <w:t xml:space="preserve"> resilience in global knowledge firms. </w:t>
      </w:r>
      <w:r w:rsidRPr="00F20472">
        <w:rPr>
          <w:rFonts w:ascii="Times New Roman" w:hAnsi="Times New Roman"/>
          <w:i/>
          <w:iCs/>
          <w:sz w:val="24"/>
          <w:szCs w:val="24"/>
        </w:rPr>
        <w:t>Journal of Global Economics, Management and Business Research, 18</w:t>
      </w:r>
      <w:r w:rsidRPr="00F20472">
        <w:rPr>
          <w:rFonts w:ascii="Times New Roman" w:hAnsi="Times New Roman"/>
          <w:sz w:val="24"/>
          <w:szCs w:val="24"/>
        </w:rPr>
        <w:t xml:space="preserve">(3), 256–278. </w:t>
      </w:r>
      <w:hyperlink r:id="rId34" w:history="1">
        <w:r w:rsidRPr="00F20472">
          <w:rPr>
            <w:rFonts w:ascii="Times New Roman" w:hAnsi="Times New Roman"/>
            <w:color w:val="0000FF"/>
            <w:sz w:val="24"/>
            <w:szCs w:val="24"/>
            <w:u w:val="single"/>
          </w:rPr>
          <w:t>https://doi.org/10.56557/jgembr/2026/v18i310956</w:t>
        </w:r>
      </w:hyperlink>
    </w:p>
    <w:p w14:paraId="068EEEFA" w14:textId="77777777" w:rsidR="00D56986" w:rsidRDefault="00000000">
      <w:pPr>
        <w:spacing w:before="100" w:beforeAutospacing="1" w:afterAutospacing="1"/>
        <w:rPr>
          <w:rFonts w:ascii="Times New Roman" w:hAnsi="Times New Roman"/>
          <w:sz w:val="24"/>
          <w:szCs w:val="24"/>
        </w:rPr>
      </w:pPr>
      <w:r>
        <w:rPr>
          <w:b/>
          <w:highlight w:val="yellow"/>
        </w:rPr>
        <w:t>Zhang, J., Wang, Z., Zhao, W., &amp; Yan, Z. (2025). The impact of AI news on default risk of Chinese listed companies: Forecasting based on deep learning. Information Systems Frontiers. Advance online publication. https://doi.org/10.1007/s10796-025-10643-w</w:t>
      </w:r>
    </w:p>
    <w:p w14:paraId="3472ADEF" w14:textId="77777777" w:rsidR="00F20472" w:rsidRPr="00F20472" w:rsidRDefault="00F20472" w:rsidP="00F20472">
      <w:pPr>
        <w:spacing w:before="100" w:beforeAutospacing="1" w:afterAutospacing="1"/>
        <w:rPr>
          <w:rFonts w:ascii="Times New Roman" w:hAnsi="Times New Roman"/>
          <w:sz w:val="24"/>
          <w:szCs w:val="24"/>
        </w:rPr>
      </w:pPr>
      <w:r w:rsidRPr="00F20472">
        <w:rPr>
          <w:rFonts w:ascii="Times New Roman" w:hAnsi="Times New Roman"/>
          <w:sz w:val="24"/>
          <w:szCs w:val="24"/>
        </w:rPr>
        <w:t xml:space="preserve">Zhao, J., &amp; Liu, C. (2025). Artificial intelligence and corporate financing decisions: Evidence from capital structure adjustment. </w:t>
      </w:r>
      <w:r w:rsidRPr="00F20472">
        <w:rPr>
          <w:rFonts w:ascii="Times New Roman" w:hAnsi="Times New Roman"/>
          <w:i/>
          <w:iCs/>
          <w:sz w:val="24"/>
          <w:szCs w:val="24"/>
        </w:rPr>
        <w:t>Applied Economics</w:t>
      </w:r>
      <w:r w:rsidRPr="00F20472">
        <w:rPr>
          <w:rFonts w:ascii="Times New Roman" w:hAnsi="Times New Roman"/>
          <w:sz w:val="24"/>
          <w:szCs w:val="24"/>
        </w:rPr>
        <w:t xml:space="preserve">. Advance online publication. </w:t>
      </w:r>
      <w:hyperlink r:id="rId35" w:history="1">
        <w:r w:rsidRPr="00F20472">
          <w:rPr>
            <w:rFonts w:ascii="Times New Roman" w:hAnsi="Times New Roman"/>
            <w:color w:val="0000FF"/>
            <w:sz w:val="24"/>
            <w:szCs w:val="24"/>
            <w:u w:val="single"/>
          </w:rPr>
          <w:t>https://doi.org/10.1080/00036846.2025.2583490</w:t>
        </w:r>
      </w:hyperlink>
    </w:p>
    <w:p w14:paraId="2E877DBF" w14:textId="77777777" w:rsidR="00F20472" w:rsidRDefault="00F20472">
      <w:pPr>
        <w:rPr>
          <w:rFonts w:eastAsia="Arial"/>
          <w:b/>
          <w:sz w:val="22"/>
        </w:rPr>
      </w:pPr>
    </w:p>
    <w:p w14:paraId="1EEFCCA6" w14:textId="77777777" w:rsidR="004B5E95" w:rsidRDefault="00000000">
      <w:r>
        <w:rPr>
          <w:rFonts w:eastAsia="Arial"/>
          <w:b/>
          <w:sz w:val="22"/>
        </w:rPr>
        <w:t>APPENDIX A. MONTE CARLO CONVERGENCE AUDIT</w:t>
      </w:r>
    </w:p>
    <w:p w14:paraId="708AC1FC" w14:textId="77777777" w:rsidR="004B5E95" w:rsidRDefault="00000000">
      <w:r>
        <w:rPr>
          <w:rFonts w:eastAsia="Arial"/>
        </w:rPr>
        <w:t>Table A1 reports repeated regime simulations at increasing trajectory counts using the same master seed, random-draw order, and model specification. The economically important ordering is stable at every trajectory count, while Monte Carlo standard errors decline as the number of trajectories rises. This provides a numerical precision check for the main 20,000-trajectory results; it is not an empirical sampling analysis.</w:t>
      </w:r>
    </w:p>
    <w:p w14:paraId="1640DDE8" w14:textId="77777777" w:rsidR="004B5E95" w:rsidRDefault="00000000">
      <w:r>
        <w:rPr>
          <w:rFonts w:eastAsia="Arial"/>
          <w:b/>
        </w:rPr>
        <w:t>Table A1. Monte Carlo convergence of key management regimes</w:t>
      </w:r>
    </w:p>
    <w:tbl>
      <w:tblPr>
        <w:tblW w:w="0" w:type="auto"/>
        <w:tblLook w:val="04A0" w:firstRow="1" w:lastRow="0" w:firstColumn="1" w:lastColumn="0" w:noHBand="0" w:noVBand="1"/>
      </w:tblPr>
      <w:tblGrid>
        <w:gridCol w:w="1642"/>
        <w:gridCol w:w="1642"/>
        <w:gridCol w:w="1642"/>
        <w:gridCol w:w="1642"/>
        <w:gridCol w:w="1642"/>
      </w:tblGrid>
      <w:tr w:rsidR="004B5E95" w14:paraId="55D6B808" w14:textId="77777777">
        <w:trPr>
          <w:cantSplit/>
          <w:tblHeader/>
        </w:trPr>
        <w:tc>
          <w:tcPr>
            <w:tcW w:w="1642" w:type="dxa"/>
            <w:shd w:val="clear" w:color="auto" w:fill="D9EAF7"/>
            <w:vAlign w:val="center"/>
          </w:tcPr>
          <w:p w14:paraId="518DBC69" w14:textId="77777777" w:rsidR="004B5E95" w:rsidRDefault="00000000">
            <w:pPr>
              <w:spacing w:after="0"/>
            </w:pPr>
            <w:r>
              <w:rPr>
                <w:rFonts w:eastAsia="Arial"/>
                <w:b/>
                <w:sz w:val="17"/>
              </w:rPr>
              <w:t>Trajectories</w:t>
            </w:r>
          </w:p>
        </w:tc>
        <w:tc>
          <w:tcPr>
            <w:tcW w:w="1642" w:type="dxa"/>
            <w:shd w:val="clear" w:color="auto" w:fill="D9EAF7"/>
            <w:vAlign w:val="center"/>
          </w:tcPr>
          <w:p w14:paraId="4581EBA6" w14:textId="77777777" w:rsidR="004B5E95" w:rsidRDefault="00000000">
            <w:pPr>
              <w:spacing w:after="0"/>
            </w:pPr>
            <w:r>
              <w:rPr>
                <w:rFonts w:eastAsia="Arial"/>
                <w:b/>
                <w:sz w:val="17"/>
              </w:rPr>
              <w:t>Regime</w:t>
            </w:r>
          </w:p>
        </w:tc>
        <w:tc>
          <w:tcPr>
            <w:tcW w:w="1642" w:type="dxa"/>
            <w:shd w:val="clear" w:color="auto" w:fill="D9EAF7"/>
            <w:vAlign w:val="center"/>
          </w:tcPr>
          <w:p w14:paraId="243A218A" w14:textId="77777777" w:rsidR="004B5E95" w:rsidRDefault="00000000">
            <w:pPr>
              <w:spacing w:after="0"/>
            </w:pPr>
            <w:r>
              <w:rPr>
                <w:rFonts w:eastAsia="Arial"/>
                <w:b/>
                <w:sz w:val="17"/>
              </w:rPr>
              <w:t>Mean value</w:t>
            </w:r>
          </w:p>
        </w:tc>
        <w:tc>
          <w:tcPr>
            <w:tcW w:w="1642" w:type="dxa"/>
            <w:shd w:val="clear" w:color="auto" w:fill="D9EAF7"/>
            <w:vAlign w:val="center"/>
          </w:tcPr>
          <w:p w14:paraId="652563A0" w14:textId="77777777" w:rsidR="004B5E95" w:rsidRDefault="00000000">
            <w:pPr>
              <w:spacing w:after="0"/>
            </w:pPr>
            <w:r>
              <w:rPr>
                <w:rFonts w:eastAsia="Arial"/>
                <w:b/>
                <w:sz w:val="17"/>
              </w:rPr>
              <w:t>MCSE</w:t>
            </w:r>
          </w:p>
        </w:tc>
        <w:tc>
          <w:tcPr>
            <w:tcW w:w="1642" w:type="dxa"/>
            <w:shd w:val="clear" w:color="auto" w:fill="D9EAF7"/>
            <w:vAlign w:val="center"/>
          </w:tcPr>
          <w:p w14:paraId="666BEFAD" w14:textId="77777777" w:rsidR="004B5E95" w:rsidRDefault="00000000">
            <w:pPr>
              <w:spacing w:after="0"/>
            </w:pPr>
            <w:r>
              <w:rPr>
                <w:rFonts w:eastAsia="Arial"/>
                <w:b/>
                <w:sz w:val="17"/>
              </w:rPr>
              <w:t>Borrowing premium (bp)</w:t>
            </w:r>
          </w:p>
        </w:tc>
      </w:tr>
      <w:tr w:rsidR="004B5E95" w14:paraId="3AEB08FD" w14:textId="77777777">
        <w:trPr>
          <w:cantSplit/>
        </w:trPr>
        <w:tc>
          <w:tcPr>
            <w:tcW w:w="1642" w:type="dxa"/>
            <w:vAlign w:val="center"/>
          </w:tcPr>
          <w:p w14:paraId="295EF23C" w14:textId="77777777" w:rsidR="004B5E95" w:rsidRDefault="00000000">
            <w:pPr>
              <w:spacing w:after="0"/>
            </w:pPr>
            <w:r>
              <w:rPr>
                <w:rFonts w:eastAsia="Arial"/>
                <w:sz w:val="17"/>
              </w:rPr>
              <w:t>2,500</w:t>
            </w:r>
          </w:p>
        </w:tc>
        <w:tc>
          <w:tcPr>
            <w:tcW w:w="1642" w:type="dxa"/>
            <w:vAlign w:val="center"/>
          </w:tcPr>
          <w:p w14:paraId="3A7FADC8" w14:textId="77777777" w:rsidR="004B5E95" w:rsidRDefault="00000000">
            <w:pPr>
              <w:spacing w:after="0"/>
            </w:pPr>
            <w:r>
              <w:rPr>
                <w:rFonts w:eastAsia="Arial"/>
                <w:sz w:val="17"/>
              </w:rPr>
              <w:t>Acceleration-first</w:t>
            </w:r>
          </w:p>
        </w:tc>
        <w:tc>
          <w:tcPr>
            <w:tcW w:w="1642" w:type="dxa"/>
            <w:vAlign w:val="center"/>
          </w:tcPr>
          <w:p w14:paraId="4F3A9E28" w14:textId="77777777" w:rsidR="004B5E95" w:rsidRDefault="00000000">
            <w:pPr>
              <w:spacing w:after="0"/>
            </w:pPr>
            <w:r>
              <w:rPr>
                <w:rFonts w:eastAsia="Arial"/>
                <w:sz w:val="17"/>
              </w:rPr>
              <w:t>356.47</w:t>
            </w:r>
          </w:p>
        </w:tc>
        <w:tc>
          <w:tcPr>
            <w:tcW w:w="1642" w:type="dxa"/>
            <w:vAlign w:val="center"/>
          </w:tcPr>
          <w:p w14:paraId="16D24FD5" w14:textId="77777777" w:rsidR="004B5E95" w:rsidRDefault="00000000">
            <w:pPr>
              <w:spacing w:after="0"/>
            </w:pPr>
            <w:r>
              <w:rPr>
                <w:rFonts w:eastAsia="Arial"/>
                <w:sz w:val="17"/>
              </w:rPr>
              <w:t>0.273</w:t>
            </w:r>
          </w:p>
        </w:tc>
        <w:tc>
          <w:tcPr>
            <w:tcW w:w="1642" w:type="dxa"/>
            <w:vAlign w:val="center"/>
          </w:tcPr>
          <w:p w14:paraId="1D4D560E" w14:textId="77777777" w:rsidR="004B5E95" w:rsidRDefault="00000000">
            <w:pPr>
              <w:spacing w:after="0"/>
            </w:pPr>
            <w:r>
              <w:rPr>
                <w:rFonts w:eastAsia="Arial"/>
                <w:sz w:val="17"/>
              </w:rPr>
              <w:t>130.41</w:t>
            </w:r>
          </w:p>
        </w:tc>
      </w:tr>
      <w:tr w:rsidR="004B5E95" w14:paraId="09784D11" w14:textId="77777777">
        <w:trPr>
          <w:cantSplit/>
        </w:trPr>
        <w:tc>
          <w:tcPr>
            <w:tcW w:w="1642" w:type="dxa"/>
            <w:vAlign w:val="center"/>
          </w:tcPr>
          <w:p w14:paraId="65C4AAB3" w14:textId="77777777" w:rsidR="004B5E95" w:rsidRDefault="00000000">
            <w:pPr>
              <w:spacing w:after="0"/>
            </w:pPr>
            <w:r>
              <w:rPr>
                <w:rFonts w:eastAsia="Arial"/>
                <w:sz w:val="17"/>
              </w:rPr>
              <w:t>2,500</w:t>
            </w:r>
          </w:p>
        </w:tc>
        <w:tc>
          <w:tcPr>
            <w:tcW w:w="1642" w:type="dxa"/>
            <w:vAlign w:val="center"/>
          </w:tcPr>
          <w:p w14:paraId="44D5783C" w14:textId="77777777" w:rsidR="004B5E95" w:rsidRDefault="00000000">
            <w:pPr>
              <w:spacing w:after="0"/>
            </w:pPr>
            <w:r>
              <w:rPr>
                <w:rFonts w:eastAsia="Arial"/>
                <w:sz w:val="17"/>
              </w:rPr>
              <w:t>Balanced assurance</w:t>
            </w:r>
          </w:p>
        </w:tc>
        <w:tc>
          <w:tcPr>
            <w:tcW w:w="1642" w:type="dxa"/>
            <w:vAlign w:val="center"/>
          </w:tcPr>
          <w:p w14:paraId="4C725C27" w14:textId="77777777" w:rsidR="004B5E95" w:rsidRDefault="00000000">
            <w:pPr>
              <w:spacing w:after="0"/>
            </w:pPr>
            <w:r>
              <w:rPr>
                <w:rFonts w:eastAsia="Arial"/>
                <w:sz w:val="17"/>
              </w:rPr>
              <w:t>407.85</w:t>
            </w:r>
          </w:p>
        </w:tc>
        <w:tc>
          <w:tcPr>
            <w:tcW w:w="1642" w:type="dxa"/>
            <w:vAlign w:val="center"/>
          </w:tcPr>
          <w:p w14:paraId="5A463383" w14:textId="77777777" w:rsidR="004B5E95" w:rsidRDefault="00000000">
            <w:pPr>
              <w:spacing w:after="0"/>
            </w:pPr>
            <w:r>
              <w:rPr>
                <w:rFonts w:eastAsia="Arial"/>
                <w:sz w:val="17"/>
              </w:rPr>
              <w:t>0.090</w:t>
            </w:r>
          </w:p>
        </w:tc>
        <w:tc>
          <w:tcPr>
            <w:tcW w:w="1642" w:type="dxa"/>
            <w:vAlign w:val="center"/>
          </w:tcPr>
          <w:p w14:paraId="5232FF48" w14:textId="77777777" w:rsidR="004B5E95" w:rsidRDefault="00000000">
            <w:pPr>
              <w:spacing w:after="0"/>
            </w:pPr>
            <w:r>
              <w:rPr>
                <w:rFonts w:eastAsia="Arial"/>
                <w:sz w:val="17"/>
              </w:rPr>
              <w:t>9.99</w:t>
            </w:r>
          </w:p>
        </w:tc>
      </w:tr>
      <w:tr w:rsidR="004B5E95" w14:paraId="5A4D020B" w14:textId="77777777">
        <w:trPr>
          <w:cantSplit/>
        </w:trPr>
        <w:tc>
          <w:tcPr>
            <w:tcW w:w="1642" w:type="dxa"/>
            <w:vAlign w:val="center"/>
          </w:tcPr>
          <w:p w14:paraId="67314BD5" w14:textId="77777777" w:rsidR="004B5E95" w:rsidRDefault="00000000">
            <w:pPr>
              <w:spacing w:after="0"/>
            </w:pPr>
            <w:r>
              <w:rPr>
                <w:rFonts w:eastAsia="Arial"/>
                <w:sz w:val="17"/>
              </w:rPr>
              <w:t>2,500</w:t>
            </w:r>
          </w:p>
        </w:tc>
        <w:tc>
          <w:tcPr>
            <w:tcW w:w="1642" w:type="dxa"/>
            <w:vAlign w:val="center"/>
          </w:tcPr>
          <w:p w14:paraId="69370F3B" w14:textId="77777777" w:rsidR="004B5E95" w:rsidRDefault="00000000">
            <w:pPr>
              <w:spacing w:after="0"/>
            </w:pPr>
            <w:r>
              <w:rPr>
                <w:rFonts w:eastAsia="Arial"/>
                <w:sz w:val="17"/>
              </w:rPr>
              <w:t>Assurance-scaled automation</w:t>
            </w:r>
          </w:p>
        </w:tc>
        <w:tc>
          <w:tcPr>
            <w:tcW w:w="1642" w:type="dxa"/>
            <w:vAlign w:val="center"/>
          </w:tcPr>
          <w:p w14:paraId="00503702" w14:textId="77777777" w:rsidR="004B5E95" w:rsidRDefault="00000000">
            <w:pPr>
              <w:spacing w:after="0"/>
            </w:pPr>
            <w:r>
              <w:rPr>
                <w:rFonts w:eastAsia="Arial"/>
                <w:sz w:val="17"/>
              </w:rPr>
              <w:t>416.53</w:t>
            </w:r>
          </w:p>
        </w:tc>
        <w:tc>
          <w:tcPr>
            <w:tcW w:w="1642" w:type="dxa"/>
            <w:vAlign w:val="center"/>
          </w:tcPr>
          <w:p w14:paraId="205B02C6" w14:textId="77777777" w:rsidR="004B5E95" w:rsidRDefault="00000000">
            <w:pPr>
              <w:spacing w:after="0"/>
            </w:pPr>
            <w:r>
              <w:rPr>
                <w:rFonts w:eastAsia="Arial"/>
                <w:sz w:val="17"/>
              </w:rPr>
              <w:t>0.091</w:t>
            </w:r>
          </w:p>
        </w:tc>
        <w:tc>
          <w:tcPr>
            <w:tcW w:w="1642" w:type="dxa"/>
            <w:vAlign w:val="center"/>
          </w:tcPr>
          <w:p w14:paraId="5E861E80" w14:textId="77777777" w:rsidR="004B5E95" w:rsidRDefault="00000000">
            <w:pPr>
              <w:spacing w:after="0"/>
            </w:pPr>
            <w:r>
              <w:rPr>
                <w:rFonts w:eastAsia="Arial"/>
                <w:sz w:val="17"/>
              </w:rPr>
              <w:t>11.31</w:t>
            </w:r>
          </w:p>
        </w:tc>
      </w:tr>
      <w:tr w:rsidR="004B5E95" w14:paraId="1881675E" w14:textId="77777777">
        <w:trPr>
          <w:cantSplit/>
        </w:trPr>
        <w:tc>
          <w:tcPr>
            <w:tcW w:w="1642" w:type="dxa"/>
            <w:vAlign w:val="center"/>
          </w:tcPr>
          <w:p w14:paraId="57544F43" w14:textId="77777777" w:rsidR="004B5E95" w:rsidRDefault="00000000">
            <w:pPr>
              <w:spacing w:after="0"/>
            </w:pPr>
            <w:r>
              <w:rPr>
                <w:rFonts w:eastAsia="Arial"/>
                <w:sz w:val="17"/>
              </w:rPr>
              <w:t>5,000</w:t>
            </w:r>
          </w:p>
        </w:tc>
        <w:tc>
          <w:tcPr>
            <w:tcW w:w="1642" w:type="dxa"/>
            <w:vAlign w:val="center"/>
          </w:tcPr>
          <w:p w14:paraId="5871B36D" w14:textId="77777777" w:rsidR="004B5E95" w:rsidRDefault="00000000">
            <w:pPr>
              <w:spacing w:after="0"/>
            </w:pPr>
            <w:r>
              <w:rPr>
                <w:rFonts w:eastAsia="Arial"/>
                <w:sz w:val="17"/>
              </w:rPr>
              <w:t>Acceleration-first</w:t>
            </w:r>
          </w:p>
        </w:tc>
        <w:tc>
          <w:tcPr>
            <w:tcW w:w="1642" w:type="dxa"/>
            <w:vAlign w:val="center"/>
          </w:tcPr>
          <w:p w14:paraId="1CFD40A1" w14:textId="77777777" w:rsidR="004B5E95" w:rsidRDefault="00000000">
            <w:pPr>
              <w:spacing w:after="0"/>
            </w:pPr>
            <w:r>
              <w:rPr>
                <w:rFonts w:eastAsia="Arial"/>
                <w:sz w:val="17"/>
              </w:rPr>
              <w:t>356.81</w:t>
            </w:r>
          </w:p>
        </w:tc>
        <w:tc>
          <w:tcPr>
            <w:tcW w:w="1642" w:type="dxa"/>
            <w:vAlign w:val="center"/>
          </w:tcPr>
          <w:p w14:paraId="3AA526C6" w14:textId="77777777" w:rsidR="004B5E95" w:rsidRDefault="00000000">
            <w:pPr>
              <w:spacing w:after="0"/>
            </w:pPr>
            <w:r>
              <w:rPr>
                <w:rFonts w:eastAsia="Arial"/>
                <w:sz w:val="17"/>
              </w:rPr>
              <w:t>0.199</w:t>
            </w:r>
          </w:p>
        </w:tc>
        <w:tc>
          <w:tcPr>
            <w:tcW w:w="1642" w:type="dxa"/>
            <w:vAlign w:val="center"/>
          </w:tcPr>
          <w:p w14:paraId="6CCD3BF0" w14:textId="77777777" w:rsidR="004B5E95" w:rsidRDefault="00000000">
            <w:pPr>
              <w:spacing w:after="0"/>
            </w:pPr>
            <w:r>
              <w:rPr>
                <w:rFonts w:eastAsia="Arial"/>
                <w:sz w:val="17"/>
              </w:rPr>
              <w:t>130.42</w:t>
            </w:r>
          </w:p>
        </w:tc>
      </w:tr>
      <w:tr w:rsidR="004B5E95" w14:paraId="55A90A05" w14:textId="77777777">
        <w:trPr>
          <w:cantSplit/>
        </w:trPr>
        <w:tc>
          <w:tcPr>
            <w:tcW w:w="1642" w:type="dxa"/>
            <w:vAlign w:val="center"/>
          </w:tcPr>
          <w:p w14:paraId="37673A52" w14:textId="77777777" w:rsidR="004B5E95" w:rsidRDefault="00000000">
            <w:pPr>
              <w:spacing w:after="0"/>
            </w:pPr>
            <w:r>
              <w:rPr>
                <w:rFonts w:eastAsia="Arial"/>
                <w:sz w:val="17"/>
              </w:rPr>
              <w:t>5,000</w:t>
            </w:r>
          </w:p>
        </w:tc>
        <w:tc>
          <w:tcPr>
            <w:tcW w:w="1642" w:type="dxa"/>
            <w:vAlign w:val="center"/>
          </w:tcPr>
          <w:p w14:paraId="0E3525F9" w14:textId="77777777" w:rsidR="004B5E95" w:rsidRDefault="00000000">
            <w:pPr>
              <w:spacing w:after="0"/>
            </w:pPr>
            <w:r>
              <w:rPr>
                <w:rFonts w:eastAsia="Arial"/>
                <w:sz w:val="17"/>
              </w:rPr>
              <w:t>Balanced assurance</w:t>
            </w:r>
          </w:p>
        </w:tc>
        <w:tc>
          <w:tcPr>
            <w:tcW w:w="1642" w:type="dxa"/>
            <w:vAlign w:val="center"/>
          </w:tcPr>
          <w:p w14:paraId="27FE6E31" w14:textId="77777777" w:rsidR="004B5E95" w:rsidRDefault="00000000">
            <w:pPr>
              <w:spacing w:after="0"/>
            </w:pPr>
            <w:r>
              <w:rPr>
                <w:rFonts w:eastAsia="Arial"/>
                <w:sz w:val="17"/>
              </w:rPr>
              <w:t>408.08</w:t>
            </w:r>
          </w:p>
        </w:tc>
        <w:tc>
          <w:tcPr>
            <w:tcW w:w="1642" w:type="dxa"/>
            <w:vAlign w:val="center"/>
          </w:tcPr>
          <w:p w14:paraId="66D61222" w14:textId="77777777" w:rsidR="004B5E95" w:rsidRDefault="00000000">
            <w:pPr>
              <w:spacing w:after="0"/>
            </w:pPr>
            <w:r>
              <w:rPr>
                <w:rFonts w:eastAsia="Arial"/>
                <w:sz w:val="17"/>
              </w:rPr>
              <w:t>0.064</w:t>
            </w:r>
          </w:p>
        </w:tc>
        <w:tc>
          <w:tcPr>
            <w:tcW w:w="1642" w:type="dxa"/>
            <w:vAlign w:val="center"/>
          </w:tcPr>
          <w:p w14:paraId="3D82955E" w14:textId="77777777" w:rsidR="004B5E95" w:rsidRDefault="00000000">
            <w:pPr>
              <w:spacing w:after="0"/>
            </w:pPr>
            <w:r>
              <w:rPr>
                <w:rFonts w:eastAsia="Arial"/>
                <w:sz w:val="17"/>
              </w:rPr>
              <w:t>9.99</w:t>
            </w:r>
          </w:p>
        </w:tc>
      </w:tr>
      <w:tr w:rsidR="004B5E95" w14:paraId="0E50DC7C" w14:textId="77777777">
        <w:trPr>
          <w:cantSplit/>
        </w:trPr>
        <w:tc>
          <w:tcPr>
            <w:tcW w:w="1642" w:type="dxa"/>
            <w:vAlign w:val="center"/>
          </w:tcPr>
          <w:p w14:paraId="50F2379C" w14:textId="77777777" w:rsidR="004B5E95" w:rsidRDefault="00000000">
            <w:pPr>
              <w:spacing w:after="0"/>
            </w:pPr>
            <w:r>
              <w:rPr>
                <w:rFonts w:eastAsia="Arial"/>
                <w:sz w:val="17"/>
              </w:rPr>
              <w:t>5,000</w:t>
            </w:r>
          </w:p>
        </w:tc>
        <w:tc>
          <w:tcPr>
            <w:tcW w:w="1642" w:type="dxa"/>
            <w:vAlign w:val="center"/>
          </w:tcPr>
          <w:p w14:paraId="774C34AF" w14:textId="77777777" w:rsidR="004B5E95" w:rsidRDefault="00000000">
            <w:pPr>
              <w:spacing w:after="0"/>
            </w:pPr>
            <w:r>
              <w:rPr>
                <w:rFonts w:eastAsia="Arial"/>
                <w:sz w:val="17"/>
              </w:rPr>
              <w:t>Assurance-scaled automation</w:t>
            </w:r>
          </w:p>
        </w:tc>
        <w:tc>
          <w:tcPr>
            <w:tcW w:w="1642" w:type="dxa"/>
            <w:vAlign w:val="center"/>
          </w:tcPr>
          <w:p w14:paraId="418E15AF" w14:textId="77777777" w:rsidR="004B5E95" w:rsidRDefault="00000000">
            <w:pPr>
              <w:spacing w:after="0"/>
            </w:pPr>
            <w:r>
              <w:rPr>
                <w:rFonts w:eastAsia="Arial"/>
                <w:sz w:val="17"/>
              </w:rPr>
              <w:t>416.73</w:t>
            </w:r>
          </w:p>
        </w:tc>
        <w:tc>
          <w:tcPr>
            <w:tcW w:w="1642" w:type="dxa"/>
            <w:vAlign w:val="center"/>
          </w:tcPr>
          <w:p w14:paraId="02E2BB03" w14:textId="77777777" w:rsidR="004B5E95" w:rsidRDefault="00000000">
            <w:pPr>
              <w:spacing w:after="0"/>
            </w:pPr>
            <w:r>
              <w:rPr>
                <w:rFonts w:eastAsia="Arial"/>
                <w:sz w:val="17"/>
              </w:rPr>
              <w:t>0.066</w:t>
            </w:r>
          </w:p>
        </w:tc>
        <w:tc>
          <w:tcPr>
            <w:tcW w:w="1642" w:type="dxa"/>
            <w:vAlign w:val="center"/>
          </w:tcPr>
          <w:p w14:paraId="4F2D0CCC" w14:textId="77777777" w:rsidR="004B5E95" w:rsidRDefault="00000000">
            <w:pPr>
              <w:spacing w:after="0"/>
            </w:pPr>
            <w:r>
              <w:rPr>
                <w:rFonts w:eastAsia="Arial"/>
                <w:sz w:val="17"/>
              </w:rPr>
              <w:t>11.31</w:t>
            </w:r>
          </w:p>
        </w:tc>
      </w:tr>
      <w:tr w:rsidR="004B5E95" w14:paraId="4842E593" w14:textId="77777777">
        <w:trPr>
          <w:cantSplit/>
        </w:trPr>
        <w:tc>
          <w:tcPr>
            <w:tcW w:w="1642" w:type="dxa"/>
            <w:vAlign w:val="center"/>
          </w:tcPr>
          <w:p w14:paraId="4F273A84" w14:textId="77777777" w:rsidR="004B5E95" w:rsidRDefault="00000000">
            <w:pPr>
              <w:spacing w:after="0"/>
            </w:pPr>
            <w:r>
              <w:rPr>
                <w:rFonts w:eastAsia="Arial"/>
                <w:sz w:val="17"/>
              </w:rPr>
              <w:t>10,000</w:t>
            </w:r>
          </w:p>
        </w:tc>
        <w:tc>
          <w:tcPr>
            <w:tcW w:w="1642" w:type="dxa"/>
            <w:vAlign w:val="center"/>
          </w:tcPr>
          <w:p w14:paraId="2EFCC002" w14:textId="77777777" w:rsidR="004B5E95" w:rsidRDefault="00000000">
            <w:pPr>
              <w:spacing w:after="0"/>
            </w:pPr>
            <w:r>
              <w:rPr>
                <w:rFonts w:eastAsia="Arial"/>
                <w:sz w:val="17"/>
              </w:rPr>
              <w:t>Acceleration-first</w:t>
            </w:r>
          </w:p>
        </w:tc>
        <w:tc>
          <w:tcPr>
            <w:tcW w:w="1642" w:type="dxa"/>
            <w:vAlign w:val="center"/>
          </w:tcPr>
          <w:p w14:paraId="315ECF57" w14:textId="77777777" w:rsidR="004B5E95" w:rsidRDefault="00000000">
            <w:pPr>
              <w:spacing w:after="0"/>
            </w:pPr>
            <w:r>
              <w:rPr>
                <w:rFonts w:eastAsia="Arial"/>
                <w:sz w:val="17"/>
              </w:rPr>
              <w:t>356.71</w:t>
            </w:r>
          </w:p>
        </w:tc>
        <w:tc>
          <w:tcPr>
            <w:tcW w:w="1642" w:type="dxa"/>
            <w:vAlign w:val="center"/>
          </w:tcPr>
          <w:p w14:paraId="1D450271" w14:textId="77777777" w:rsidR="004B5E95" w:rsidRDefault="00000000">
            <w:pPr>
              <w:spacing w:after="0"/>
            </w:pPr>
            <w:r>
              <w:rPr>
                <w:rFonts w:eastAsia="Arial"/>
                <w:sz w:val="17"/>
              </w:rPr>
              <w:t>0.138</w:t>
            </w:r>
          </w:p>
        </w:tc>
        <w:tc>
          <w:tcPr>
            <w:tcW w:w="1642" w:type="dxa"/>
            <w:vAlign w:val="center"/>
          </w:tcPr>
          <w:p w14:paraId="7B7B679D" w14:textId="77777777" w:rsidR="004B5E95" w:rsidRDefault="00000000">
            <w:pPr>
              <w:spacing w:after="0"/>
            </w:pPr>
            <w:r>
              <w:rPr>
                <w:rFonts w:eastAsia="Arial"/>
                <w:sz w:val="17"/>
              </w:rPr>
              <w:t>130.57</w:t>
            </w:r>
          </w:p>
        </w:tc>
      </w:tr>
      <w:tr w:rsidR="004B5E95" w14:paraId="64F8EBE9" w14:textId="77777777">
        <w:trPr>
          <w:cantSplit/>
        </w:trPr>
        <w:tc>
          <w:tcPr>
            <w:tcW w:w="1642" w:type="dxa"/>
            <w:vAlign w:val="center"/>
          </w:tcPr>
          <w:p w14:paraId="496E15D6" w14:textId="77777777" w:rsidR="004B5E95" w:rsidRDefault="00000000">
            <w:pPr>
              <w:spacing w:after="0"/>
            </w:pPr>
            <w:r>
              <w:rPr>
                <w:rFonts w:eastAsia="Arial"/>
                <w:sz w:val="17"/>
              </w:rPr>
              <w:t>10,000</w:t>
            </w:r>
          </w:p>
        </w:tc>
        <w:tc>
          <w:tcPr>
            <w:tcW w:w="1642" w:type="dxa"/>
            <w:vAlign w:val="center"/>
          </w:tcPr>
          <w:p w14:paraId="1F489FFD" w14:textId="77777777" w:rsidR="004B5E95" w:rsidRDefault="00000000">
            <w:pPr>
              <w:spacing w:after="0"/>
            </w:pPr>
            <w:r>
              <w:rPr>
                <w:rFonts w:eastAsia="Arial"/>
                <w:sz w:val="17"/>
              </w:rPr>
              <w:t>Balanced assurance</w:t>
            </w:r>
          </w:p>
        </w:tc>
        <w:tc>
          <w:tcPr>
            <w:tcW w:w="1642" w:type="dxa"/>
            <w:vAlign w:val="center"/>
          </w:tcPr>
          <w:p w14:paraId="402E804E" w14:textId="77777777" w:rsidR="004B5E95" w:rsidRDefault="00000000">
            <w:pPr>
              <w:spacing w:after="0"/>
            </w:pPr>
            <w:r>
              <w:rPr>
                <w:rFonts w:eastAsia="Arial"/>
                <w:sz w:val="17"/>
              </w:rPr>
              <w:t>407.90</w:t>
            </w:r>
          </w:p>
        </w:tc>
        <w:tc>
          <w:tcPr>
            <w:tcW w:w="1642" w:type="dxa"/>
            <w:vAlign w:val="center"/>
          </w:tcPr>
          <w:p w14:paraId="52FD108B" w14:textId="77777777" w:rsidR="004B5E95" w:rsidRDefault="00000000">
            <w:pPr>
              <w:spacing w:after="0"/>
            </w:pPr>
            <w:r>
              <w:rPr>
                <w:rFonts w:eastAsia="Arial"/>
                <w:sz w:val="17"/>
              </w:rPr>
              <w:t>0.045</w:t>
            </w:r>
          </w:p>
        </w:tc>
        <w:tc>
          <w:tcPr>
            <w:tcW w:w="1642" w:type="dxa"/>
            <w:vAlign w:val="center"/>
          </w:tcPr>
          <w:p w14:paraId="51708707" w14:textId="77777777" w:rsidR="004B5E95" w:rsidRDefault="00000000">
            <w:pPr>
              <w:spacing w:after="0"/>
            </w:pPr>
            <w:r>
              <w:rPr>
                <w:rFonts w:eastAsia="Arial"/>
                <w:sz w:val="17"/>
              </w:rPr>
              <w:t>9.99</w:t>
            </w:r>
          </w:p>
        </w:tc>
      </w:tr>
      <w:tr w:rsidR="004B5E95" w14:paraId="2187D96F" w14:textId="77777777">
        <w:trPr>
          <w:cantSplit/>
        </w:trPr>
        <w:tc>
          <w:tcPr>
            <w:tcW w:w="1642" w:type="dxa"/>
            <w:vAlign w:val="center"/>
          </w:tcPr>
          <w:p w14:paraId="3C7F37B7" w14:textId="77777777" w:rsidR="004B5E95" w:rsidRDefault="00000000">
            <w:pPr>
              <w:spacing w:after="0"/>
            </w:pPr>
            <w:r>
              <w:rPr>
                <w:rFonts w:eastAsia="Arial"/>
                <w:sz w:val="17"/>
              </w:rPr>
              <w:t>10,000</w:t>
            </w:r>
          </w:p>
        </w:tc>
        <w:tc>
          <w:tcPr>
            <w:tcW w:w="1642" w:type="dxa"/>
            <w:vAlign w:val="center"/>
          </w:tcPr>
          <w:p w14:paraId="77893ACC" w14:textId="77777777" w:rsidR="004B5E95" w:rsidRDefault="00000000">
            <w:pPr>
              <w:spacing w:after="0"/>
            </w:pPr>
            <w:r>
              <w:rPr>
                <w:rFonts w:eastAsia="Arial"/>
                <w:sz w:val="17"/>
              </w:rPr>
              <w:t>Assurance-scaled automation</w:t>
            </w:r>
          </w:p>
        </w:tc>
        <w:tc>
          <w:tcPr>
            <w:tcW w:w="1642" w:type="dxa"/>
            <w:vAlign w:val="center"/>
          </w:tcPr>
          <w:p w14:paraId="66A1A3B6" w14:textId="77777777" w:rsidR="004B5E95" w:rsidRDefault="00000000">
            <w:pPr>
              <w:spacing w:after="0"/>
            </w:pPr>
            <w:r>
              <w:rPr>
                <w:rFonts w:eastAsia="Arial"/>
                <w:sz w:val="17"/>
              </w:rPr>
              <w:t>416.58</w:t>
            </w:r>
          </w:p>
        </w:tc>
        <w:tc>
          <w:tcPr>
            <w:tcW w:w="1642" w:type="dxa"/>
            <w:vAlign w:val="center"/>
          </w:tcPr>
          <w:p w14:paraId="621263D8" w14:textId="77777777" w:rsidR="004B5E95" w:rsidRDefault="00000000">
            <w:pPr>
              <w:spacing w:after="0"/>
            </w:pPr>
            <w:r>
              <w:rPr>
                <w:rFonts w:eastAsia="Arial"/>
                <w:sz w:val="17"/>
              </w:rPr>
              <w:t>0.046</w:t>
            </w:r>
          </w:p>
        </w:tc>
        <w:tc>
          <w:tcPr>
            <w:tcW w:w="1642" w:type="dxa"/>
            <w:vAlign w:val="center"/>
          </w:tcPr>
          <w:p w14:paraId="768D306E" w14:textId="77777777" w:rsidR="004B5E95" w:rsidRDefault="00000000">
            <w:pPr>
              <w:spacing w:after="0"/>
            </w:pPr>
            <w:r>
              <w:rPr>
                <w:rFonts w:eastAsia="Arial"/>
                <w:sz w:val="17"/>
              </w:rPr>
              <w:t>11.32</w:t>
            </w:r>
          </w:p>
        </w:tc>
      </w:tr>
      <w:tr w:rsidR="004B5E95" w14:paraId="21EFEBA5" w14:textId="77777777">
        <w:trPr>
          <w:cantSplit/>
        </w:trPr>
        <w:tc>
          <w:tcPr>
            <w:tcW w:w="1642" w:type="dxa"/>
            <w:vAlign w:val="center"/>
          </w:tcPr>
          <w:p w14:paraId="73AD3955" w14:textId="77777777" w:rsidR="004B5E95" w:rsidRDefault="00000000">
            <w:pPr>
              <w:spacing w:after="0"/>
            </w:pPr>
            <w:r>
              <w:rPr>
                <w:rFonts w:eastAsia="Arial"/>
                <w:sz w:val="17"/>
              </w:rPr>
              <w:lastRenderedPageBreak/>
              <w:t>20,000</w:t>
            </w:r>
          </w:p>
        </w:tc>
        <w:tc>
          <w:tcPr>
            <w:tcW w:w="1642" w:type="dxa"/>
            <w:vAlign w:val="center"/>
          </w:tcPr>
          <w:p w14:paraId="577D730E" w14:textId="77777777" w:rsidR="004B5E95" w:rsidRDefault="00000000">
            <w:pPr>
              <w:spacing w:after="0"/>
            </w:pPr>
            <w:r>
              <w:rPr>
                <w:rFonts w:eastAsia="Arial"/>
                <w:sz w:val="17"/>
              </w:rPr>
              <w:t>Acceleration-first</w:t>
            </w:r>
          </w:p>
        </w:tc>
        <w:tc>
          <w:tcPr>
            <w:tcW w:w="1642" w:type="dxa"/>
            <w:vAlign w:val="center"/>
          </w:tcPr>
          <w:p w14:paraId="02B3BFA0" w14:textId="77777777" w:rsidR="004B5E95" w:rsidRDefault="00000000">
            <w:pPr>
              <w:spacing w:after="0"/>
            </w:pPr>
            <w:r>
              <w:rPr>
                <w:rFonts w:eastAsia="Arial"/>
                <w:sz w:val="17"/>
              </w:rPr>
              <w:t>356.82</w:t>
            </w:r>
          </w:p>
        </w:tc>
        <w:tc>
          <w:tcPr>
            <w:tcW w:w="1642" w:type="dxa"/>
            <w:vAlign w:val="center"/>
          </w:tcPr>
          <w:p w14:paraId="44CB00F1" w14:textId="77777777" w:rsidR="004B5E95" w:rsidRDefault="00000000">
            <w:pPr>
              <w:spacing w:after="0"/>
            </w:pPr>
            <w:r>
              <w:rPr>
                <w:rFonts w:eastAsia="Arial"/>
                <w:sz w:val="17"/>
              </w:rPr>
              <w:t>0.098</w:t>
            </w:r>
          </w:p>
        </w:tc>
        <w:tc>
          <w:tcPr>
            <w:tcW w:w="1642" w:type="dxa"/>
            <w:vAlign w:val="center"/>
          </w:tcPr>
          <w:p w14:paraId="3AEFF0A6" w14:textId="77777777" w:rsidR="004B5E95" w:rsidRDefault="00000000">
            <w:pPr>
              <w:spacing w:after="0"/>
            </w:pPr>
            <w:r>
              <w:rPr>
                <w:rFonts w:eastAsia="Arial"/>
                <w:sz w:val="17"/>
              </w:rPr>
              <w:t>130.56</w:t>
            </w:r>
          </w:p>
        </w:tc>
      </w:tr>
      <w:tr w:rsidR="004B5E95" w14:paraId="2956F8F3" w14:textId="77777777">
        <w:trPr>
          <w:cantSplit/>
        </w:trPr>
        <w:tc>
          <w:tcPr>
            <w:tcW w:w="1642" w:type="dxa"/>
            <w:vAlign w:val="center"/>
          </w:tcPr>
          <w:p w14:paraId="0C2FDC88" w14:textId="77777777" w:rsidR="004B5E95" w:rsidRDefault="00000000">
            <w:pPr>
              <w:spacing w:after="0"/>
            </w:pPr>
            <w:r>
              <w:rPr>
                <w:rFonts w:eastAsia="Arial"/>
                <w:sz w:val="17"/>
              </w:rPr>
              <w:t>20,000</w:t>
            </w:r>
          </w:p>
        </w:tc>
        <w:tc>
          <w:tcPr>
            <w:tcW w:w="1642" w:type="dxa"/>
            <w:vAlign w:val="center"/>
          </w:tcPr>
          <w:p w14:paraId="232BFABD" w14:textId="77777777" w:rsidR="004B5E95" w:rsidRDefault="00000000">
            <w:pPr>
              <w:spacing w:after="0"/>
            </w:pPr>
            <w:r>
              <w:rPr>
                <w:rFonts w:eastAsia="Arial"/>
                <w:sz w:val="17"/>
              </w:rPr>
              <w:t>Balanced assurance</w:t>
            </w:r>
          </w:p>
        </w:tc>
        <w:tc>
          <w:tcPr>
            <w:tcW w:w="1642" w:type="dxa"/>
            <w:vAlign w:val="center"/>
          </w:tcPr>
          <w:p w14:paraId="693EFA60" w14:textId="77777777" w:rsidR="004B5E95" w:rsidRDefault="00000000">
            <w:pPr>
              <w:spacing w:after="0"/>
            </w:pPr>
            <w:r>
              <w:rPr>
                <w:rFonts w:eastAsia="Arial"/>
                <w:sz w:val="17"/>
              </w:rPr>
              <w:t>408.01</w:t>
            </w:r>
          </w:p>
        </w:tc>
        <w:tc>
          <w:tcPr>
            <w:tcW w:w="1642" w:type="dxa"/>
            <w:vAlign w:val="center"/>
          </w:tcPr>
          <w:p w14:paraId="30182D49" w14:textId="77777777" w:rsidR="004B5E95" w:rsidRDefault="00000000">
            <w:pPr>
              <w:spacing w:after="0"/>
            </w:pPr>
            <w:r>
              <w:rPr>
                <w:rFonts w:eastAsia="Arial"/>
                <w:sz w:val="17"/>
              </w:rPr>
              <w:t>0.032</w:t>
            </w:r>
          </w:p>
        </w:tc>
        <w:tc>
          <w:tcPr>
            <w:tcW w:w="1642" w:type="dxa"/>
            <w:vAlign w:val="center"/>
          </w:tcPr>
          <w:p w14:paraId="2A8E1F64" w14:textId="77777777" w:rsidR="004B5E95" w:rsidRDefault="00000000">
            <w:pPr>
              <w:spacing w:after="0"/>
            </w:pPr>
            <w:r>
              <w:rPr>
                <w:rFonts w:eastAsia="Arial"/>
                <w:sz w:val="17"/>
              </w:rPr>
              <w:t>9.99</w:t>
            </w:r>
          </w:p>
        </w:tc>
      </w:tr>
      <w:tr w:rsidR="004B5E95" w14:paraId="70D07ECF" w14:textId="77777777">
        <w:trPr>
          <w:cantSplit/>
        </w:trPr>
        <w:tc>
          <w:tcPr>
            <w:tcW w:w="1642" w:type="dxa"/>
            <w:vAlign w:val="center"/>
          </w:tcPr>
          <w:p w14:paraId="08994FE8" w14:textId="77777777" w:rsidR="004B5E95" w:rsidRDefault="00000000">
            <w:pPr>
              <w:spacing w:after="0"/>
            </w:pPr>
            <w:r>
              <w:rPr>
                <w:rFonts w:eastAsia="Arial"/>
                <w:sz w:val="17"/>
              </w:rPr>
              <w:t>20,000</w:t>
            </w:r>
          </w:p>
        </w:tc>
        <w:tc>
          <w:tcPr>
            <w:tcW w:w="1642" w:type="dxa"/>
            <w:vAlign w:val="center"/>
          </w:tcPr>
          <w:p w14:paraId="7C9B31A6" w14:textId="77777777" w:rsidR="004B5E95" w:rsidRDefault="00000000">
            <w:pPr>
              <w:spacing w:after="0"/>
            </w:pPr>
            <w:r>
              <w:rPr>
                <w:rFonts w:eastAsia="Arial"/>
                <w:sz w:val="17"/>
              </w:rPr>
              <w:t>Assurance-scaled automation</w:t>
            </w:r>
          </w:p>
        </w:tc>
        <w:tc>
          <w:tcPr>
            <w:tcW w:w="1642" w:type="dxa"/>
            <w:vAlign w:val="center"/>
          </w:tcPr>
          <w:p w14:paraId="68CC9A40" w14:textId="77777777" w:rsidR="004B5E95" w:rsidRDefault="00000000">
            <w:pPr>
              <w:spacing w:after="0"/>
            </w:pPr>
            <w:r>
              <w:rPr>
                <w:rFonts w:eastAsia="Arial"/>
                <w:sz w:val="17"/>
              </w:rPr>
              <w:t>416.69</w:t>
            </w:r>
          </w:p>
        </w:tc>
        <w:tc>
          <w:tcPr>
            <w:tcW w:w="1642" w:type="dxa"/>
            <w:vAlign w:val="center"/>
          </w:tcPr>
          <w:p w14:paraId="0C46674A" w14:textId="77777777" w:rsidR="004B5E95" w:rsidRDefault="00000000">
            <w:pPr>
              <w:spacing w:after="0"/>
            </w:pPr>
            <w:r>
              <w:rPr>
                <w:rFonts w:eastAsia="Arial"/>
                <w:sz w:val="17"/>
              </w:rPr>
              <w:t>0.033</w:t>
            </w:r>
          </w:p>
        </w:tc>
        <w:tc>
          <w:tcPr>
            <w:tcW w:w="1642" w:type="dxa"/>
            <w:vAlign w:val="center"/>
          </w:tcPr>
          <w:p w14:paraId="03F533CA" w14:textId="77777777" w:rsidR="004B5E95" w:rsidRDefault="00000000">
            <w:pPr>
              <w:spacing w:after="0"/>
            </w:pPr>
            <w:r>
              <w:rPr>
                <w:rFonts w:eastAsia="Arial"/>
                <w:sz w:val="17"/>
              </w:rPr>
              <w:t>11.31</w:t>
            </w:r>
          </w:p>
        </w:tc>
      </w:tr>
      <w:tr w:rsidR="004B5E95" w14:paraId="1BF94E86" w14:textId="77777777">
        <w:trPr>
          <w:cantSplit/>
        </w:trPr>
        <w:tc>
          <w:tcPr>
            <w:tcW w:w="1642" w:type="dxa"/>
            <w:vAlign w:val="center"/>
          </w:tcPr>
          <w:p w14:paraId="099DAE68" w14:textId="77777777" w:rsidR="004B5E95" w:rsidRDefault="00000000">
            <w:pPr>
              <w:spacing w:after="0"/>
            </w:pPr>
            <w:r>
              <w:rPr>
                <w:rFonts w:eastAsia="Arial"/>
                <w:sz w:val="17"/>
              </w:rPr>
              <w:t>40,000</w:t>
            </w:r>
          </w:p>
        </w:tc>
        <w:tc>
          <w:tcPr>
            <w:tcW w:w="1642" w:type="dxa"/>
            <w:vAlign w:val="center"/>
          </w:tcPr>
          <w:p w14:paraId="01389225" w14:textId="77777777" w:rsidR="004B5E95" w:rsidRDefault="00000000">
            <w:pPr>
              <w:spacing w:after="0"/>
            </w:pPr>
            <w:r>
              <w:rPr>
                <w:rFonts w:eastAsia="Arial"/>
                <w:sz w:val="17"/>
              </w:rPr>
              <w:t>Acceleration-first</w:t>
            </w:r>
          </w:p>
        </w:tc>
        <w:tc>
          <w:tcPr>
            <w:tcW w:w="1642" w:type="dxa"/>
            <w:vAlign w:val="center"/>
          </w:tcPr>
          <w:p w14:paraId="724B380E" w14:textId="77777777" w:rsidR="004B5E95" w:rsidRDefault="00000000">
            <w:pPr>
              <w:spacing w:after="0"/>
            </w:pPr>
            <w:r>
              <w:rPr>
                <w:rFonts w:eastAsia="Arial"/>
                <w:sz w:val="17"/>
              </w:rPr>
              <w:t>356.76</w:t>
            </w:r>
          </w:p>
        </w:tc>
        <w:tc>
          <w:tcPr>
            <w:tcW w:w="1642" w:type="dxa"/>
            <w:vAlign w:val="center"/>
          </w:tcPr>
          <w:p w14:paraId="4AB26E24" w14:textId="77777777" w:rsidR="004B5E95" w:rsidRDefault="00000000">
            <w:pPr>
              <w:spacing w:after="0"/>
            </w:pPr>
            <w:r>
              <w:rPr>
                <w:rFonts w:eastAsia="Arial"/>
                <w:sz w:val="17"/>
              </w:rPr>
              <w:t>0.070</w:t>
            </w:r>
          </w:p>
        </w:tc>
        <w:tc>
          <w:tcPr>
            <w:tcW w:w="1642" w:type="dxa"/>
            <w:vAlign w:val="center"/>
          </w:tcPr>
          <w:p w14:paraId="3A38469A" w14:textId="77777777" w:rsidR="004B5E95" w:rsidRDefault="00000000">
            <w:pPr>
              <w:spacing w:after="0"/>
            </w:pPr>
            <w:r>
              <w:rPr>
                <w:rFonts w:eastAsia="Arial"/>
                <w:sz w:val="17"/>
              </w:rPr>
              <w:t>130.50</w:t>
            </w:r>
          </w:p>
        </w:tc>
      </w:tr>
      <w:tr w:rsidR="004B5E95" w14:paraId="43DA335A" w14:textId="77777777">
        <w:trPr>
          <w:cantSplit/>
        </w:trPr>
        <w:tc>
          <w:tcPr>
            <w:tcW w:w="1642" w:type="dxa"/>
            <w:vAlign w:val="center"/>
          </w:tcPr>
          <w:p w14:paraId="46463695" w14:textId="77777777" w:rsidR="004B5E95" w:rsidRDefault="00000000">
            <w:pPr>
              <w:spacing w:after="0"/>
            </w:pPr>
            <w:r>
              <w:rPr>
                <w:rFonts w:eastAsia="Arial"/>
                <w:sz w:val="17"/>
              </w:rPr>
              <w:t>40,000</w:t>
            </w:r>
          </w:p>
        </w:tc>
        <w:tc>
          <w:tcPr>
            <w:tcW w:w="1642" w:type="dxa"/>
            <w:vAlign w:val="center"/>
          </w:tcPr>
          <w:p w14:paraId="0EA8CC0C" w14:textId="77777777" w:rsidR="004B5E95" w:rsidRDefault="00000000">
            <w:pPr>
              <w:spacing w:after="0"/>
            </w:pPr>
            <w:r>
              <w:rPr>
                <w:rFonts w:eastAsia="Arial"/>
                <w:sz w:val="17"/>
              </w:rPr>
              <w:t>Balanced assurance</w:t>
            </w:r>
          </w:p>
        </w:tc>
        <w:tc>
          <w:tcPr>
            <w:tcW w:w="1642" w:type="dxa"/>
            <w:vAlign w:val="center"/>
          </w:tcPr>
          <w:p w14:paraId="7CA89AA2" w14:textId="77777777" w:rsidR="004B5E95" w:rsidRDefault="00000000">
            <w:pPr>
              <w:spacing w:after="0"/>
            </w:pPr>
            <w:r>
              <w:rPr>
                <w:rFonts w:eastAsia="Arial"/>
                <w:sz w:val="17"/>
              </w:rPr>
              <w:t>407.97</w:t>
            </w:r>
          </w:p>
        </w:tc>
        <w:tc>
          <w:tcPr>
            <w:tcW w:w="1642" w:type="dxa"/>
            <w:vAlign w:val="center"/>
          </w:tcPr>
          <w:p w14:paraId="6B41347B" w14:textId="77777777" w:rsidR="004B5E95" w:rsidRDefault="00000000">
            <w:pPr>
              <w:spacing w:after="0"/>
            </w:pPr>
            <w:r>
              <w:rPr>
                <w:rFonts w:eastAsia="Arial"/>
                <w:sz w:val="17"/>
              </w:rPr>
              <w:t>0.023</w:t>
            </w:r>
          </w:p>
        </w:tc>
        <w:tc>
          <w:tcPr>
            <w:tcW w:w="1642" w:type="dxa"/>
            <w:vAlign w:val="center"/>
          </w:tcPr>
          <w:p w14:paraId="3F8747CC" w14:textId="77777777" w:rsidR="004B5E95" w:rsidRDefault="00000000">
            <w:pPr>
              <w:spacing w:after="0"/>
            </w:pPr>
            <w:r>
              <w:rPr>
                <w:rFonts w:eastAsia="Arial"/>
                <w:sz w:val="17"/>
              </w:rPr>
              <w:t>9.99</w:t>
            </w:r>
          </w:p>
        </w:tc>
      </w:tr>
      <w:tr w:rsidR="004B5E95" w14:paraId="3522CE90" w14:textId="77777777">
        <w:trPr>
          <w:cantSplit/>
        </w:trPr>
        <w:tc>
          <w:tcPr>
            <w:tcW w:w="1642" w:type="dxa"/>
            <w:vAlign w:val="center"/>
          </w:tcPr>
          <w:p w14:paraId="24F0E029" w14:textId="77777777" w:rsidR="004B5E95" w:rsidRDefault="00000000">
            <w:pPr>
              <w:spacing w:after="0"/>
            </w:pPr>
            <w:r>
              <w:rPr>
                <w:rFonts w:eastAsia="Arial"/>
                <w:sz w:val="17"/>
              </w:rPr>
              <w:t>40,000</w:t>
            </w:r>
          </w:p>
        </w:tc>
        <w:tc>
          <w:tcPr>
            <w:tcW w:w="1642" w:type="dxa"/>
            <w:vAlign w:val="center"/>
          </w:tcPr>
          <w:p w14:paraId="47D43DEA" w14:textId="77777777" w:rsidR="004B5E95" w:rsidRDefault="00000000">
            <w:pPr>
              <w:spacing w:after="0"/>
            </w:pPr>
            <w:r>
              <w:rPr>
                <w:rFonts w:eastAsia="Arial"/>
                <w:sz w:val="17"/>
              </w:rPr>
              <w:t>Assurance-scaled automation</w:t>
            </w:r>
          </w:p>
        </w:tc>
        <w:tc>
          <w:tcPr>
            <w:tcW w:w="1642" w:type="dxa"/>
            <w:vAlign w:val="center"/>
          </w:tcPr>
          <w:p w14:paraId="34581C9D" w14:textId="77777777" w:rsidR="004B5E95" w:rsidRDefault="00000000">
            <w:pPr>
              <w:spacing w:after="0"/>
            </w:pPr>
            <w:r>
              <w:rPr>
                <w:rFonts w:eastAsia="Arial"/>
                <w:sz w:val="17"/>
              </w:rPr>
              <w:t>416.66</w:t>
            </w:r>
          </w:p>
        </w:tc>
        <w:tc>
          <w:tcPr>
            <w:tcW w:w="1642" w:type="dxa"/>
            <w:vAlign w:val="center"/>
          </w:tcPr>
          <w:p w14:paraId="334E8E60" w14:textId="77777777" w:rsidR="004B5E95" w:rsidRDefault="00000000">
            <w:pPr>
              <w:spacing w:after="0"/>
            </w:pPr>
            <w:r>
              <w:rPr>
                <w:rFonts w:eastAsia="Arial"/>
                <w:sz w:val="17"/>
              </w:rPr>
              <w:t>0.023</w:t>
            </w:r>
          </w:p>
        </w:tc>
        <w:tc>
          <w:tcPr>
            <w:tcW w:w="1642" w:type="dxa"/>
            <w:vAlign w:val="center"/>
          </w:tcPr>
          <w:p w14:paraId="67B8BC75" w14:textId="77777777" w:rsidR="004B5E95" w:rsidRDefault="00000000">
            <w:pPr>
              <w:spacing w:after="0"/>
            </w:pPr>
            <w:r>
              <w:rPr>
                <w:rFonts w:eastAsia="Arial"/>
                <w:sz w:val="17"/>
              </w:rPr>
              <w:t>11.31</w:t>
            </w:r>
          </w:p>
        </w:tc>
      </w:tr>
    </w:tbl>
    <w:p w14:paraId="135B4009" w14:textId="77777777" w:rsidR="000D74C1" w:rsidRDefault="000D74C1"/>
    <w:sectPr w:rsidR="000D74C1" w:rsidSect="0045173E">
      <w:headerReference w:type="even" r:id="rId36"/>
      <w:headerReference w:type="default" r:id="rId37"/>
      <w:footerReference w:type="even" r:id="rId38"/>
      <w:footerReference w:type="default" r:id="rId39"/>
      <w:headerReference w:type="first" r:id="rId40"/>
      <w:footerReference w:type="first" r:id="rId41"/>
      <w:pgSz w:w="12240" w:h="15840" w:code="1"/>
      <w:pgMar w:top="1440" w:right="2016" w:bottom="2016" w:left="2016" w:header="720" w:footer="129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34991" w14:textId="77777777" w:rsidR="00A14C89" w:rsidRDefault="00A14C89">
      <w:pPr>
        <w:spacing w:after="0"/>
      </w:pPr>
      <w:r>
        <w:separator/>
      </w:r>
    </w:p>
  </w:endnote>
  <w:endnote w:type="continuationSeparator" w:id="0">
    <w:p w14:paraId="224C311A" w14:textId="77777777" w:rsidR="00A14C89" w:rsidRDefault="00A14C8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2EA8C" w14:textId="77777777" w:rsidR="00F007D2" w:rsidRDefault="00F007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E0876" w14:textId="77777777" w:rsidR="00C37E61" w:rsidRPr="00F007D2" w:rsidRDefault="00C37E61" w:rsidP="00F007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31960" w14:textId="77777777" w:rsidR="009E048A" w:rsidRDefault="009E048A">
    <w:pPr>
      <w:pStyle w:val="Footer"/>
      <w:rPr>
        <w:rFonts w:cs="Arial"/>
        <w:sz w:val="16"/>
      </w:rPr>
    </w:pPr>
  </w:p>
  <w:p w14:paraId="104167AC" w14:textId="77777777" w:rsidR="009E048A" w:rsidRDefault="009E048A" w:rsidP="009E048A">
    <w:pPr>
      <w:pStyle w:val="Footer"/>
      <w:jc w:val="center"/>
      <w:rPr>
        <w:rFonts w:cs="Arial"/>
        <w:sz w:val="16"/>
      </w:rPr>
    </w:pPr>
    <w:r>
      <w:rPr>
        <w:rFonts w:cs="Arial"/>
        <w:sz w:val="16"/>
      </w:rPr>
      <w:t>______________________________________________________________________</w:t>
    </w:r>
    <w:r w:rsidR="00BF121F">
      <w:rPr>
        <w:rFonts w:cs="Arial"/>
        <w:sz w:val="16"/>
      </w:rPr>
      <w:t>______________________</w:t>
    </w:r>
  </w:p>
  <w:p w14:paraId="3832E543" w14:textId="77777777" w:rsidR="009E048A" w:rsidRDefault="009E048A">
    <w:pPr>
      <w:pStyle w:val="Footer"/>
      <w:rPr>
        <w:rFonts w:cs="Arial"/>
        <w:sz w:val="16"/>
      </w:rPr>
    </w:pPr>
  </w:p>
  <w:p w14:paraId="13920286" w14:textId="77777777" w:rsidR="00754C9A" w:rsidRPr="009E048A" w:rsidRDefault="00754C9A">
    <w:pPr>
      <w:pStyle w:val="Footer"/>
      <w:rPr>
        <w:rFonts w:cs="Arial"/>
        <w:i/>
        <w:sz w:val="16"/>
      </w:rPr>
    </w:pPr>
    <w:r w:rsidRPr="009E048A">
      <w:rPr>
        <w:rFonts w:cs="Arial"/>
        <w:i/>
        <w:sz w:val="16"/>
      </w:rPr>
      <w:t>*Corresponding author: Email: XYZ@ABC.COM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1A0D1" w14:textId="77777777" w:rsidR="00A14C89" w:rsidRDefault="00A14C89">
      <w:r>
        <w:separator/>
      </w:r>
    </w:p>
  </w:footnote>
  <w:footnote w:type="continuationSeparator" w:id="0">
    <w:p w14:paraId="5958FADA" w14:textId="77777777" w:rsidR="00A14C89" w:rsidRDefault="00A14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04C11" w14:textId="77777777" w:rsidR="00F007D2" w:rsidRDefault="00F007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62205" w14:textId="77777777" w:rsidR="00F007D2" w:rsidRDefault="00F007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6C9F7" w14:textId="77777777" w:rsidR="00296529" w:rsidRPr="00296529" w:rsidRDefault="00296529" w:rsidP="00296529">
    <w:pPr>
      <w:ind w:left="2160"/>
      <w:jc w:val="center"/>
      <w:rPr>
        <w:rFonts w:ascii="Times New Roman" w:eastAsia="Calibri" w:hAnsi="Times New Roman"/>
        <w:i/>
        <w:sz w:val="18"/>
        <w:szCs w:val="22"/>
      </w:rPr>
    </w:pPr>
  </w:p>
  <w:p w14:paraId="57BED3F5"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4ED645EE"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D4592D5"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11EA0EA"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F0FF8F0"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32CDF76A"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A990"/>
    <w:multiLevelType w:val="multilevel"/>
    <w:tmpl w:val="6D2C8D3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3030459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32840686">
    <w:abstractNumId w:val="16"/>
  </w:num>
  <w:num w:numId="3" w16cid:durableId="2103598014">
    <w:abstractNumId w:val="24"/>
  </w:num>
  <w:num w:numId="4" w16cid:durableId="98712743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845365814">
    <w:abstractNumId w:val="8"/>
  </w:num>
  <w:num w:numId="6" w16cid:durableId="289169156">
    <w:abstractNumId w:val="7"/>
  </w:num>
  <w:num w:numId="7" w16cid:durableId="2106879109">
    <w:abstractNumId w:val="2"/>
  </w:num>
  <w:num w:numId="8" w16cid:durableId="1261067945">
    <w:abstractNumId w:val="13"/>
  </w:num>
  <w:num w:numId="9" w16cid:durableId="261648611">
    <w:abstractNumId w:val="26"/>
  </w:num>
  <w:num w:numId="10" w16cid:durableId="1927572822">
    <w:abstractNumId w:val="3"/>
  </w:num>
  <w:num w:numId="11" w16cid:durableId="253319430">
    <w:abstractNumId w:val="19"/>
  </w:num>
  <w:num w:numId="12" w16cid:durableId="1119565390">
    <w:abstractNumId w:val="4"/>
  </w:num>
  <w:num w:numId="13" w16cid:durableId="744186699">
    <w:abstractNumId w:val="18"/>
  </w:num>
  <w:num w:numId="14" w16cid:durableId="1421021759">
    <w:abstractNumId w:val="9"/>
  </w:num>
  <w:num w:numId="15" w16cid:durableId="1535998427">
    <w:abstractNumId w:val="22"/>
  </w:num>
  <w:num w:numId="16" w16cid:durableId="241912135">
    <w:abstractNumId w:val="6"/>
  </w:num>
  <w:num w:numId="17" w16cid:durableId="1336878955">
    <w:abstractNumId w:val="23"/>
  </w:num>
  <w:num w:numId="18" w16cid:durableId="1782802765">
    <w:abstractNumId w:val="15"/>
  </w:num>
  <w:num w:numId="19" w16cid:durableId="213547875">
    <w:abstractNumId w:val="29"/>
  </w:num>
  <w:num w:numId="20" w16cid:durableId="883448254">
    <w:abstractNumId w:val="12"/>
  </w:num>
  <w:num w:numId="21" w16cid:durableId="607542810">
    <w:abstractNumId w:val="10"/>
  </w:num>
  <w:num w:numId="22" w16cid:durableId="545415541">
    <w:abstractNumId w:val="14"/>
  </w:num>
  <w:num w:numId="23" w16cid:durableId="283392850">
    <w:abstractNumId w:val="20"/>
  </w:num>
  <w:num w:numId="24" w16cid:durableId="1659461014">
    <w:abstractNumId w:val="27"/>
  </w:num>
  <w:num w:numId="25" w16cid:durableId="773671221">
    <w:abstractNumId w:val="5"/>
  </w:num>
  <w:num w:numId="26" w16cid:durableId="385645096">
    <w:abstractNumId w:val="17"/>
  </w:num>
  <w:num w:numId="27" w16cid:durableId="463734775">
    <w:abstractNumId w:val="21"/>
  </w:num>
  <w:num w:numId="28" w16cid:durableId="804934479">
    <w:abstractNumId w:val="28"/>
  </w:num>
  <w:num w:numId="29" w16cid:durableId="519127891">
    <w:abstractNumId w:val="25"/>
  </w:num>
  <w:num w:numId="30" w16cid:durableId="909777182">
    <w:abstractNumId w:val="11"/>
  </w:num>
  <w:num w:numId="31" w16cid:durableId="20183380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0"/>
  <w:drawingGridVerticalSpacing w:val="36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QztDC0NDI1NjY1N7dU0lEKTi0uzszPAykwrAUAHNfRcCwAAAA="/>
  </w:docVars>
  <w:rsids>
    <w:rsidRoot w:val="00AA6219"/>
    <w:rsid w:val="00000F8F"/>
    <w:rsid w:val="00030174"/>
    <w:rsid w:val="0004579C"/>
    <w:rsid w:val="000A47FA"/>
    <w:rsid w:val="000A65D3"/>
    <w:rsid w:val="000B1E33"/>
    <w:rsid w:val="000D689F"/>
    <w:rsid w:val="000D74C1"/>
    <w:rsid w:val="000E7B7B"/>
    <w:rsid w:val="000E7D62"/>
    <w:rsid w:val="00103357"/>
    <w:rsid w:val="00123C9F"/>
    <w:rsid w:val="00126190"/>
    <w:rsid w:val="00130F17"/>
    <w:rsid w:val="001320BF"/>
    <w:rsid w:val="00163BC4"/>
    <w:rsid w:val="00182DB2"/>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56CCB"/>
    <w:rsid w:val="00283105"/>
    <w:rsid w:val="00284C4C"/>
    <w:rsid w:val="00287E68"/>
    <w:rsid w:val="00296529"/>
    <w:rsid w:val="002B27FB"/>
    <w:rsid w:val="002B685A"/>
    <w:rsid w:val="002C57D2"/>
    <w:rsid w:val="002E0D56"/>
    <w:rsid w:val="00315186"/>
    <w:rsid w:val="0033343E"/>
    <w:rsid w:val="003512C2"/>
    <w:rsid w:val="00371FB6"/>
    <w:rsid w:val="003763C1"/>
    <w:rsid w:val="00376BBE"/>
    <w:rsid w:val="0039224F"/>
    <w:rsid w:val="003A43A4"/>
    <w:rsid w:val="003A7E18"/>
    <w:rsid w:val="003C4C86"/>
    <w:rsid w:val="003C6258"/>
    <w:rsid w:val="003E2904"/>
    <w:rsid w:val="003E4C56"/>
    <w:rsid w:val="00401927"/>
    <w:rsid w:val="0041027F"/>
    <w:rsid w:val="00412475"/>
    <w:rsid w:val="00423789"/>
    <w:rsid w:val="00440F43"/>
    <w:rsid w:val="00441B6F"/>
    <w:rsid w:val="00443845"/>
    <w:rsid w:val="00446221"/>
    <w:rsid w:val="00450E62"/>
    <w:rsid w:val="0045173E"/>
    <w:rsid w:val="004539DB"/>
    <w:rsid w:val="00466F0E"/>
    <w:rsid w:val="00471A80"/>
    <w:rsid w:val="00492ED3"/>
    <w:rsid w:val="004B5E95"/>
    <w:rsid w:val="004D305E"/>
    <w:rsid w:val="004D4277"/>
    <w:rsid w:val="00502516"/>
    <w:rsid w:val="00505F06"/>
    <w:rsid w:val="00506828"/>
    <w:rsid w:val="0053056E"/>
    <w:rsid w:val="00554FDA"/>
    <w:rsid w:val="005C784C"/>
    <w:rsid w:val="005D17F6"/>
    <w:rsid w:val="005D1FE1"/>
    <w:rsid w:val="005E5539"/>
    <w:rsid w:val="005F1951"/>
    <w:rsid w:val="00601131"/>
    <w:rsid w:val="00602BF5"/>
    <w:rsid w:val="00617FDD"/>
    <w:rsid w:val="00633614"/>
    <w:rsid w:val="00633F68"/>
    <w:rsid w:val="00636EB2"/>
    <w:rsid w:val="006375B8"/>
    <w:rsid w:val="0066510A"/>
    <w:rsid w:val="00673F9F"/>
    <w:rsid w:val="00686953"/>
    <w:rsid w:val="00687DEA"/>
    <w:rsid w:val="00687E67"/>
    <w:rsid w:val="0069534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D2288"/>
    <w:rsid w:val="007E088F"/>
    <w:rsid w:val="007F7B32"/>
    <w:rsid w:val="00804BC2"/>
    <w:rsid w:val="0081431A"/>
    <w:rsid w:val="0083216F"/>
    <w:rsid w:val="00860000"/>
    <w:rsid w:val="00863BD3"/>
    <w:rsid w:val="008641ED"/>
    <w:rsid w:val="00866D66"/>
    <w:rsid w:val="008671C6"/>
    <w:rsid w:val="00875803"/>
    <w:rsid w:val="008B459E"/>
    <w:rsid w:val="008E13AE"/>
    <w:rsid w:val="008E1506"/>
    <w:rsid w:val="008E710C"/>
    <w:rsid w:val="008E7235"/>
    <w:rsid w:val="008F69D6"/>
    <w:rsid w:val="00902823"/>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14C89"/>
    <w:rsid w:val="00A24E7E"/>
    <w:rsid w:val="00A258C3"/>
    <w:rsid w:val="00A347C0"/>
    <w:rsid w:val="00A51431"/>
    <w:rsid w:val="00A539AD"/>
    <w:rsid w:val="00A94063"/>
    <w:rsid w:val="00AA6219"/>
    <w:rsid w:val="00AA74E0"/>
    <w:rsid w:val="00AB703F"/>
    <w:rsid w:val="00AC6BB8"/>
    <w:rsid w:val="00AE008F"/>
    <w:rsid w:val="00B01FCD"/>
    <w:rsid w:val="00B1776C"/>
    <w:rsid w:val="00B52583"/>
    <w:rsid w:val="00B52896"/>
    <w:rsid w:val="00B70E3C"/>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D6755"/>
    <w:rsid w:val="00CD6856"/>
    <w:rsid w:val="00CE0089"/>
    <w:rsid w:val="00CE559C"/>
    <w:rsid w:val="00CE793C"/>
    <w:rsid w:val="00CF193C"/>
    <w:rsid w:val="00D173F1"/>
    <w:rsid w:val="00D56986"/>
    <w:rsid w:val="00D74CB0"/>
    <w:rsid w:val="00D8295D"/>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A7806"/>
    <w:rsid w:val="00EC6A55"/>
    <w:rsid w:val="00EC77AE"/>
    <w:rsid w:val="00ED0288"/>
    <w:rsid w:val="00EE2397"/>
    <w:rsid w:val="00EE52CB"/>
    <w:rsid w:val="00EF581D"/>
    <w:rsid w:val="00EF7FD8"/>
    <w:rsid w:val="00F007D2"/>
    <w:rsid w:val="00F06F59"/>
    <w:rsid w:val="00F17988"/>
    <w:rsid w:val="00F20472"/>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6BA072"/>
  <w15:docId w15:val="{4BCEF27A-CA65-D648-B248-8D4DEDC5E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pPr>
      <w:spacing w:after="100"/>
    </w:pPr>
    <w:rPr>
      <w:rFonts w:ascii="Arial" w:hAnsi="Arial"/>
    </w:rPr>
  </w:style>
  <w:style w:type="paragraph" w:styleId="Heading1">
    <w:name w:val="heading 1"/>
    <w:basedOn w:val="Normal"/>
    <w:next w:val="Normal"/>
    <w:qFormat/>
    <w:rsid w:val="00423789"/>
    <w:pPr>
      <w:keepNext/>
      <w:spacing w:before="240" w:after="60"/>
      <w:outlineLvl w:val="0"/>
    </w:pPr>
    <w:rPr>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93/rof/rfab017" TargetMode="External"/><Relationship Id="rId18" Type="http://schemas.openxmlformats.org/officeDocument/2006/relationships/hyperlink" Target="https://doi.org/10.2307/2297430" TargetMode="External"/><Relationship Id="rId26" Type="http://schemas.openxmlformats.org/officeDocument/2006/relationships/hyperlink" Target="https://doi.org/10.1111/j.1475-679X.2007.00238.x" TargetMode="External"/><Relationship Id="rId39" Type="http://schemas.openxmlformats.org/officeDocument/2006/relationships/footer" Target="footer2.xml"/><Relationship Id="rId21" Type="http://schemas.openxmlformats.org/officeDocument/2006/relationships/hyperlink" Target="https://doi.org/10.1093/epolic/eiae053" TargetMode="External"/><Relationship Id="rId34" Type="http://schemas.openxmlformats.org/officeDocument/2006/relationships/hyperlink" Target="https://doi.org/10.56557/jgembr/2026/v18i310956" TargetMode="Externa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1016/j.jempfin.2026.101730" TargetMode="External"/><Relationship Id="rId20" Type="http://schemas.openxmlformats.org/officeDocument/2006/relationships/hyperlink" Target="https://www.fsb.org/2024/11/the-financial-stability-implications-of-artificial-intelligence/" TargetMode="External"/><Relationship Id="rId29" Type="http://schemas.openxmlformats.org/officeDocument/2006/relationships/hyperlink" Target="https://doi.org/10.1111/j.1540-6261.1974.tb03058.x" TargetMode="External"/><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jfineco.2023.103745" TargetMode="External"/><Relationship Id="rId24" Type="http://schemas.openxmlformats.org/officeDocument/2006/relationships/hyperlink" Target="https://doi.org/10.1016/0304-405X(76)90026-X" TargetMode="External"/><Relationship Id="rId32" Type="http://schemas.openxmlformats.org/officeDocument/2006/relationships/hyperlink" Target="https://doi.org/10.1126/science.adh2586"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doi.org/10.1016/j.cjar.2024.100372" TargetMode="External"/><Relationship Id="rId23" Type="http://schemas.openxmlformats.org/officeDocument/2006/relationships/hyperlink" Target="https://doi.org/10.1093/rof/rfad024" TargetMode="External"/><Relationship Id="rId28" Type="http://schemas.openxmlformats.org/officeDocument/2006/relationships/hyperlink" Target="https://doi.org/10.1016/j.frl.2025.107873" TargetMode="External"/><Relationship Id="rId36" Type="http://schemas.openxmlformats.org/officeDocument/2006/relationships/header" Target="header1.xml"/><Relationship Id="rId10" Type="http://schemas.openxmlformats.org/officeDocument/2006/relationships/hyperlink" Target="https://doi.org/10.1093/epolic/eiae042" TargetMode="External"/><Relationship Id="rId19" Type="http://schemas.openxmlformats.org/officeDocument/2006/relationships/hyperlink" Target="https://doi.org/10.1111/j.1540-6261.2004.00672.x" TargetMode="External"/><Relationship Id="rId31" Type="http://schemas.openxmlformats.org/officeDocument/2006/relationships/hyperlink" Target="https://doi.org/10.1016/0304-405X(84)90023-0"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093/qje/qjae044" TargetMode="External"/><Relationship Id="rId22" Type="http://schemas.openxmlformats.org/officeDocument/2006/relationships/hyperlink" Target="https://doi.org/10.1162/003355397555316" TargetMode="External"/><Relationship Id="rId27" Type="http://schemas.openxmlformats.org/officeDocument/2006/relationships/hyperlink" Target="https://doi.org/10.1016/j.irfa.2024.103773" TargetMode="External"/><Relationship Id="rId30" Type="http://schemas.openxmlformats.org/officeDocument/2006/relationships/hyperlink" Target="https://doi.org/10.1016/0304-405X(77)90015-0" TargetMode="External"/><Relationship Id="rId35" Type="http://schemas.openxmlformats.org/officeDocument/2006/relationships/hyperlink" Target="https://doi.org/10.1080/00036846.2025.2583490" TargetMode="External"/><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www.federalreserve.gov/supervisionreg/srletters/sr1107.htm" TargetMode="External"/><Relationship Id="rId17" Type="http://schemas.openxmlformats.org/officeDocument/2006/relationships/hyperlink" Target="https://www.bis.org/fsi/publ/insights63.htm" TargetMode="External"/><Relationship Id="rId25" Type="http://schemas.openxmlformats.org/officeDocument/2006/relationships/hyperlink" Target="https://doi.org/10.1093/epolic/eiae057" TargetMode="External"/><Relationship Id="rId33" Type="http://schemas.openxmlformats.org/officeDocument/2006/relationships/hyperlink" Target="https://doi.org/10.6028/NIST.AI.100-1" TargetMode="External"/><Relationship Id="rId38"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2007 paper template</Template>
  <TotalTime>19</TotalTime>
  <Pages>22</Pages>
  <Words>10295</Words>
  <Characters>58687</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68845</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Artificial Intelligence Verification Premium: A Dynamic Model of Automation Opacity, Borrowing Costs, and Firm Value</dc:title>
  <dc:subject>Artificial intelligence governance, cost of debt, verification, and firm value</dc:subject>
  <dc:creator>Kwan Hong TAN</dc:creator>
  <cp:keywords>artificial intelligence; cost of debt; verification; firm value; model risk; corporate finance; automation; information asymmetry</cp:keywords>
  <cp:lastModifiedBy>SDI 1020</cp:lastModifiedBy>
  <cp:revision>14</cp:revision>
  <dcterms:created xsi:type="dcterms:W3CDTF">2026-08-10T10:42:00Z</dcterms:created>
  <dcterms:modified xsi:type="dcterms:W3CDTF">2026-08-19T13:03:00Z</dcterms:modified>
</cp:coreProperties>
</file>