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EA879" w14:textId="77777777" w:rsidR="00756632" w:rsidRDefault="00000000">
      <w:pPr>
        <w:spacing w:after="100"/>
        <w:jc w:val="center"/>
      </w:pPr>
      <w:r>
        <w:rPr>
          <w:b/>
        </w:rPr>
        <w:t>CORPORATE RESTRUCTURING AND THE FINANCIAL STABILITY OF QUOTED DEPOSIT MONEY BANKS IN NIGERIA</w:t>
      </w:r>
    </w:p>
    <w:p w14:paraId="757027C9" w14:textId="77777777" w:rsidR="00756632" w:rsidRDefault="00000000">
      <w:pPr>
        <w:spacing w:after="100"/>
      </w:pPr>
      <w:r>
        <w:rPr>
          <w:b/>
        </w:rPr>
        <w:t>ABSTRACT</w:t>
      </w:r>
    </w:p>
    <w:p w14:paraId="6AB33218" w14:textId="77777777" w:rsidR="00756632" w:rsidRDefault="00000000">
      <w:pPr>
        <w:spacing w:after="100"/>
      </w:pPr>
      <w:r>
        <w:t>This study examined the effect of corporate restructuring on the financial stability of quoted deposit money banks (DMBs) in Nigeria. Specifically, it evaluated the effects of financial restructuring, asset restructuring, operational restructuring, and capital restructuring on bank stability. The study adopted an ex post facto research design and used balanced panel data for eight quoted DMBs over the 2010–2023 period, yielding 112 bank-year observations. Data were obtained from audited annual reports. Financial stability was measured using the bank Z-score, for which a higher value indicates a lower probability of insolvency and greater financial stability. The explanatory variables were measured using the restructuring proxies reported in the banks’ financial statements. Panel estimation was conducted using the random-effects model, selected on the basis of the Hausman and Breusch–Pagan LM tests. The results showed that financial restructuring had a significant negative effect on financial stability (β = −0.071595, p = 0.0106), asset restructuring had a significant positive effect (β = 0.420337, p &lt; 0.001), operational restructuring had a positive but statistically insignificant effect (β = 0.009859, p = 0.9429), while capital restructuring had a significant positive effect (β = 0.171277, p = 0.0001). The study concludes that asset and capital restructuring are important correlates of bank financial stability, whereas the operational restructuring proxy did not exhibit a statistically significant independent effect during the study period. The findings have implications for bank management and regulators seeking to strengthen resilience through asset-quality improvement and sustainable capital restructuring.</w:t>
      </w:r>
    </w:p>
    <w:p w14:paraId="7795A818" w14:textId="77777777" w:rsidR="00756632" w:rsidRDefault="00000000">
      <w:pPr>
        <w:spacing w:after="100"/>
      </w:pPr>
      <w:r>
        <w:t>Keywords: Corporate restructuring; financial stability; bank Z-score; financial restructuring; asset restructuring; operational restructuring; capital restructuring.</w:t>
      </w:r>
    </w:p>
    <w:p w14:paraId="435E97B4" w14:textId="77777777" w:rsidR="00756632" w:rsidRDefault="00000000">
      <w:pPr>
        <w:spacing w:after="100"/>
      </w:pPr>
      <w:r>
        <w:rPr>
          <w:b/>
        </w:rPr>
        <w:t>1. INTRODUCTION</w:t>
      </w:r>
    </w:p>
    <w:p w14:paraId="1EEEBF51" w14:textId="77777777" w:rsidR="00756632" w:rsidRDefault="00000000">
      <w:pPr>
        <w:spacing w:after="100"/>
      </w:pPr>
      <w:r>
        <w:rPr>
          <w:b/>
        </w:rPr>
        <w:t>1.1 Background and Motivation</w:t>
      </w:r>
    </w:p>
    <w:p w14:paraId="482E419E" w14:textId="77777777" w:rsidR="00756632" w:rsidRDefault="00000000">
      <w:pPr>
        <w:spacing w:after="100"/>
      </w:pPr>
      <w:r>
        <w:t>A stable and resilient banking system is essential to financial intermediation, monetary-policy transmission, capital formation, payment-system efficiency, and sustainable economic growth. Because bank distress can impose costs on depositors, investors, borrowers, public finances, and the wider economy, understanding the institutional and strategic factors associated with bank stability remains important, particularly in emerging economies. In Nigeria, banking-sector reforms have included recapitalisation, consolidation, changes in ownership and governance, asset-quality interventions, and operational reforms. These developments make corporate restructuring a relevant lens through which to examine bank resilience.</w:t>
      </w:r>
    </w:p>
    <w:p w14:paraId="31983745" w14:textId="77777777" w:rsidR="00756632" w:rsidRDefault="00000000">
      <w:pPr>
        <w:spacing w:after="100"/>
      </w:pPr>
      <w:r>
        <w:t>Corporate restructuring is broader than mergers and acquisitions. It may involve changes to a bank’s financing structure, asset portfolio, operating processes, and capital base. These dimensions may affect stability through different channels. Financial restructuring can alter leverage and funding risk; asset restructuring can improve asset quality and reduce exposure to impaired assets; operational restructuring can influence cost efficiency and service delivery; and capital restructuring can strengthen loss-absorbing capacity and regulatory resilience. However, the empirical effects of these dimensions may differ across banks and over time.</w:t>
      </w:r>
    </w:p>
    <w:p w14:paraId="378D28FC" w14:textId="77777777" w:rsidR="00756632" w:rsidRDefault="00000000">
      <w:pPr>
        <w:spacing w:after="100"/>
      </w:pPr>
      <w:r>
        <w:t>The motivation for this study arises from the need to move beyond a narrow focus on mergers, acquisitions, or single restructuring indicators and to examine several dimensions of restructuring jointly. The study therefore investigates financial, asset, operational, and capital restructuring in relation to the financial stability of quoted DMBs in Nigeria. The use of the bank Z-score also provides a stability-oriented outcome measure because it combines profitability, capitalisation, and earnings volatility. This focus is intended to provide evidence that is useful to researchers, regulators, policymakers, and bank managers.</w:t>
      </w:r>
    </w:p>
    <w:p w14:paraId="3D6A19FF" w14:textId="77777777" w:rsidR="00756632" w:rsidRDefault="00000000">
      <w:pPr>
        <w:spacing w:after="100"/>
      </w:pPr>
      <w:r>
        <w:rPr>
          <w:b/>
        </w:rPr>
        <w:t>1.2 Statement of the Problem</w:t>
      </w:r>
    </w:p>
    <w:p w14:paraId="2A742C4C" w14:textId="77777777" w:rsidR="00756632" w:rsidRDefault="00000000">
      <w:pPr>
        <w:spacing w:after="100"/>
      </w:pPr>
      <w:r>
        <w:lastRenderedPageBreak/>
        <w:t>Despite successive banking-sector reforms, concerns relating to asset quality, capital adequacy, funding structure, operational efficiency, and exposure to macroeconomic shocks remain relevant in Nigeria. Although restructuring is frequently presented as a means of strengthening banks, its effects are not necessarily uniform across restructuring dimensions. Existing studies have often focused on mergers and acquisitions, profitability, or isolated restructuring measures, while comparatively limited attention has been given to the joint effects of financial, asset, operational, and capital restructuring on bank stability. In addition, inconsistent reporting and weak operational definitions can make empirical findings difficult to interpret. This study addresses these issues by clearly specifying the variables, presenting the complete panel-regression output, and aligning the abstract, results, discussion, conclusion, and recommendations with the same empirical evidence.</w:t>
      </w:r>
    </w:p>
    <w:p w14:paraId="45D41F39" w14:textId="77777777" w:rsidR="00756632" w:rsidRDefault="00000000">
      <w:pPr>
        <w:spacing w:after="100"/>
      </w:pPr>
      <w:r>
        <w:rPr>
          <w:b/>
        </w:rPr>
        <w:t>1.3 Objectives of the Study</w:t>
      </w:r>
    </w:p>
    <w:p w14:paraId="75BEAFB6" w14:textId="77777777" w:rsidR="00756632" w:rsidRDefault="00000000">
      <w:pPr>
        <w:spacing w:after="100"/>
      </w:pPr>
      <w:r>
        <w:t>Examine the effect of financial restructuring on the financial stability of quoted DMBs in Nigeria.</w:t>
      </w:r>
    </w:p>
    <w:p w14:paraId="2F67C970" w14:textId="77777777" w:rsidR="00756632" w:rsidRDefault="00000000">
      <w:pPr>
        <w:spacing w:after="100"/>
      </w:pPr>
      <w:r>
        <w:t>Determine the effect of asset restructuring on the financial stability of quoted DMBs in Nigeria.</w:t>
      </w:r>
    </w:p>
    <w:p w14:paraId="3BA78BF4" w14:textId="77777777" w:rsidR="00756632" w:rsidRDefault="00000000">
      <w:pPr>
        <w:spacing w:after="100"/>
      </w:pPr>
      <w:r>
        <w:t>Assess the effect of operational restructuring on the financial stability of quoted DMBs in Nigeria.</w:t>
      </w:r>
    </w:p>
    <w:p w14:paraId="25B0E74F" w14:textId="77777777" w:rsidR="00756632" w:rsidRDefault="00000000">
      <w:pPr>
        <w:spacing w:after="100"/>
      </w:pPr>
      <w:r>
        <w:t>Evaluate the effect of capital restructuring on the financial stability of quoted DMBs in Nigeria.</w:t>
      </w:r>
    </w:p>
    <w:p w14:paraId="0EA6891C" w14:textId="77777777" w:rsidR="00756632" w:rsidRDefault="00000000">
      <w:pPr>
        <w:spacing w:after="100"/>
      </w:pPr>
      <w:r>
        <w:rPr>
          <w:b/>
        </w:rPr>
        <w:t>1.4 Research Hypotheses</w:t>
      </w:r>
    </w:p>
    <w:p w14:paraId="25E6AE9F" w14:textId="77777777" w:rsidR="00756632" w:rsidRDefault="00000000">
      <w:pPr>
        <w:spacing w:after="100"/>
      </w:pPr>
      <w:r>
        <w:t>H01: Financial restructuring has no significant effect on the financial stability of quoted DMBs in Nigeria.</w:t>
      </w:r>
    </w:p>
    <w:p w14:paraId="1DC5CD20" w14:textId="77777777" w:rsidR="00756632" w:rsidRDefault="00000000">
      <w:pPr>
        <w:spacing w:after="100"/>
      </w:pPr>
      <w:r>
        <w:t>H02: Asset restructuring has no significant effect on the financial stability of quoted DMBs in Nigeria.</w:t>
      </w:r>
    </w:p>
    <w:p w14:paraId="485B036A" w14:textId="77777777" w:rsidR="00756632" w:rsidRDefault="00000000">
      <w:pPr>
        <w:spacing w:after="100"/>
      </w:pPr>
      <w:r>
        <w:t>H03: Operational restructuring has no significant effect on the financial stability of quoted DMBs in Nigeria.</w:t>
      </w:r>
    </w:p>
    <w:p w14:paraId="669EDB96" w14:textId="77777777" w:rsidR="00756632" w:rsidRDefault="00000000">
      <w:pPr>
        <w:spacing w:after="100"/>
      </w:pPr>
      <w:r>
        <w:t>H04: Capital restructuring has no significant effect on the financial stability of quoted DMBs in Nigeria.</w:t>
      </w:r>
    </w:p>
    <w:p w14:paraId="775B00C6" w14:textId="77777777" w:rsidR="00756632" w:rsidRDefault="00000000">
      <w:pPr>
        <w:spacing w:after="100"/>
      </w:pPr>
      <w:r>
        <w:rPr>
          <w:b/>
        </w:rPr>
        <w:t>2. LITERATURE REVIEW</w:t>
      </w:r>
    </w:p>
    <w:p w14:paraId="7939B2B9" w14:textId="77777777" w:rsidR="00756632" w:rsidRDefault="00000000">
      <w:pPr>
        <w:spacing w:after="100"/>
      </w:pPr>
      <w:r>
        <w:rPr>
          <w:b/>
        </w:rPr>
        <w:t>2.1 Conceptual Review</w:t>
      </w:r>
    </w:p>
    <w:p w14:paraId="358A5AB8" w14:textId="77777777" w:rsidR="00756632" w:rsidRDefault="00000000">
      <w:pPr>
        <w:spacing w:after="100"/>
      </w:pPr>
      <w:r>
        <w:t>Corporate restructuring refers to deliberate changes in a firm’s financial structure, asset composition, operating arrangements, ownership, or capital base undertaken to improve efficiency, restore viability, manage risk, or strengthen competitiveness. In banking, restructuring may include changes in funding composition, asset-quality management, branch and process rationalisation, technology deployment, recapitalisation, and other measures intended to improve resilience.</w:t>
      </w:r>
    </w:p>
    <w:p w14:paraId="17C713E5" w14:textId="77777777" w:rsidR="00756632" w:rsidRDefault="00000000">
      <w:pPr>
        <w:spacing w:after="100"/>
      </w:pPr>
      <w:r>
        <w:rPr>
          <w:b/>
        </w:rPr>
        <w:t>2.2 Financial Stability and the Bank Z-Score</w:t>
      </w:r>
    </w:p>
    <w:p w14:paraId="4B5303DE" w14:textId="77777777" w:rsidR="00756632" w:rsidRDefault="00000000">
      <w:pPr>
        <w:spacing w:after="100"/>
      </w:pPr>
      <w:r>
        <w:t>The dependent variable is financial stability, measured by the bank Z-score. The Z-score is interpreted as an inverse indicator of insolvency risk: a higher value indicates a greater distance from insolvency and, therefore, stronger financial stability. Consequently, a positive coefficient on a restructuring variable indicates an association with higher financial stability, while a negative coefficient indicates an association with lower financial stability, subject to the statistical significance of the estimate.</w:t>
      </w:r>
    </w:p>
    <w:p w14:paraId="4AC84705" w14:textId="77777777" w:rsidR="00756632" w:rsidRDefault="00000000">
      <w:pPr>
        <w:spacing w:after="100"/>
      </w:pPr>
      <w:r>
        <w:rPr>
          <w:b/>
        </w:rPr>
        <w:t>2.3 Literature Gap</w:t>
      </w:r>
    </w:p>
    <w:p w14:paraId="00596FD3" w14:textId="77777777" w:rsidR="00756632" w:rsidRDefault="00000000">
      <w:pPr>
        <w:spacing w:after="100"/>
      </w:pPr>
      <w:r>
        <w:t>The reviewed literature shows that restructuring may affect bank outcomes through financing, asset, operational, and capital channels. However, many studies focus on a single restructuring dimension, mergers and acquisitions, or conventional profitability measures. This study contributes by examining four restructuring dimensions jointly and by using a stability-oriented outcome measure for a balanced panel of quoted Nigerian DMBs over 2010–2023.</w:t>
      </w:r>
    </w:p>
    <w:p w14:paraId="02239F70" w14:textId="77777777" w:rsidR="00756632" w:rsidRDefault="00000000">
      <w:pPr>
        <w:spacing w:after="100"/>
      </w:pPr>
      <w:r>
        <w:rPr>
          <w:b/>
        </w:rPr>
        <w:t>3. METHODOLOGY</w:t>
      </w:r>
    </w:p>
    <w:p w14:paraId="2BA83E7E" w14:textId="77777777" w:rsidR="00756632" w:rsidRDefault="00000000">
      <w:pPr>
        <w:spacing w:after="100"/>
      </w:pPr>
      <w:r>
        <w:rPr>
          <w:b/>
        </w:rPr>
        <w:t>3.1 Research Design</w:t>
      </w:r>
    </w:p>
    <w:p w14:paraId="70722F77" w14:textId="77777777" w:rsidR="00756632" w:rsidRDefault="00000000">
      <w:pPr>
        <w:spacing w:after="100"/>
      </w:pPr>
      <w:r>
        <w:lastRenderedPageBreak/>
        <w:t>The study adopted an ex post facto research design because it relied on historical, non-manipulable secondary data. The design is appropriate for examining statistical relationships among bank-level variables observed over time. Given the observational nature of the data, the estimates are interpreted as empirical associations rather than definitive causal effects.</w:t>
      </w:r>
    </w:p>
    <w:p w14:paraId="6793E206" w14:textId="77777777" w:rsidR="00756632" w:rsidRDefault="00000000">
      <w:pPr>
        <w:spacing w:after="100"/>
      </w:pPr>
      <w:r>
        <w:rPr>
          <w:b/>
        </w:rPr>
        <w:t>3.2 Population, Sample, and Sampling Procedure</w:t>
      </w:r>
    </w:p>
    <w:p w14:paraId="2F52F718" w14:textId="77777777" w:rsidR="00756632" w:rsidRDefault="00000000">
      <w:pPr>
        <w:spacing w:after="100"/>
      </w:pPr>
      <w:r>
        <w:t>The population comprised the 21 banks quoted on the Nigerian Exchange Group during the study period. Eight quoted DMBs—Access Bank Plc, Ecobank Transnational Incorporated, Fidelity Bank Plc, First City Monument Bank Plc, Guaranty Trust Holding Company Plc, United Bank for Africa Plc, Wema Bank Plc, and Zenith Bank Plc—were included. The sample was selected purposively on the basis of the availability of sufficiently consistent annual-report data for the variables required throughout 2010–2023 and the need to construct a balanced panel. The final sample produced 112 bank-year observations (8 banks × 14 years). The purposive selection and the focus on quoted banks limit the generalisability of the findings to the wider banking system.</w:t>
      </w:r>
    </w:p>
    <w:p w14:paraId="1CDE1150" w14:textId="77777777" w:rsidR="00756632" w:rsidRDefault="00000000">
      <w:pPr>
        <w:spacing w:after="100"/>
      </w:pPr>
      <w:r>
        <w:rPr>
          <w:b/>
        </w:rPr>
        <w:t>3.3 Data Source and Ethical Considerations</w:t>
      </w:r>
    </w:p>
    <w:p w14:paraId="0E4AE961" w14:textId="77777777" w:rsidR="00756632" w:rsidRDefault="00000000">
      <w:pPr>
        <w:spacing w:after="100"/>
      </w:pPr>
      <w:r>
        <w:t>The study used secondary data obtained from the audited annual reports and financial statements of the sampled banks. The study did not involve human participants, personal data, interviews, or experimental intervention. Accordingly, no human-subject ethical approval was required. Data extraction and reporting were undertaken using publicly available corporate disclosures.</w:t>
      </w:r>
    </w:p>
    <w:p w14:paraId="6AE7F45E" w14:textId="77777777" w:rsidR="00756632" w:rsidRDefault="00000000">
      <w:pPr>
        <w:spacing w:after="100"/>
      </w:pPr>
      <w:r>
        <w:rPr>
          <w:b/>
        </w:rPr>
        <w:t>3.4 Operational Definition and Measurement of Variables</w:t>
      </w:r>
    </w:p>
    <w:tbl>
      <w:tblPr>
        <w:tblStyle w:val="TableGrid"/>
        <w:tblW w:w="0" w:type="auto"/>
        <w:jc w:val="center"/>
        <w:tblLook w:val="04A0" w:firstRow="1" w:lastRow="0" w:firstColumn="1" w:lastColumn="0" w:noHBand="0" w:noVBand="1"/>
      </w:tblPr>
      <w:tblGrid>
        <w:gridCol w:w="2484"/>
        <w:gridCol w:w="2484"/>
        <w:gridCol w:w="2484"/>
        <w:gridCol w:w="2484"/>
      </w:tblGrid>
      <w:tr w:rsidR="00756632" w14:paraId="6FEFB354" w14:textId="77777777">
        <w:trPr>
          <w:jc w:val="center"/>
        </w:trPr>
        <w:tc>
          <w:tcPr>
            <w:tcW w:w="2484" w:type="dxa"/>
            <w:vAlign w:val="center"/>
          </w:tcPr>
          <w:p w14:paraId="5F96BAF3" w14:textId="77777777" w:rsidR="00756632" w:rsidRDefault="00000000">
            <w:r>
              <w:rPr>
                <w:b/>
                <w:sz w:val="18"/>
              </w:rPr>
              <w:t>Variable</w:t>
            </w:r>
          </w:p>
        </w:tc>
        <w:tc>
          <w:tcPr>
            <w:tcW w:w="2484" w:type="dxa"/>
            <w:vAlign w:val="center"/>
          </w:tcPr>
          <w:p w14:paraId="348EDF69" w14:textId="77777777" w:rsidR="00756632" w:rsidRDefault="00000000">
            <w:r>
              <w:rPr>
                <w:b/>
                <w:sz w:val="18"/>
              </w:rPr>
              <w:t>Code</w:t>
            </w:r>
          </w:p>
        </w:tc>
        <w:tc>
          <w:tcPr>
            <w:tcW w:w="2484" w:type="dxa"/>
            <w:vAlign w:val="center"/>
          </w:tcPr>
          <w:p w14:paraId="681D7E88" w14:textId="77777777" w:rsidR="00756632" w:rsidRDefault="00000000">
            <w:r>
              <w:rPr>
                <w:b/>
                <w:sz w:val="18"/>
              </w:rPr>
              <w:t>Operational definition/measurement</w:t>
            </w:r>
          </w:p>
        </w:tc>
        <w:tc>
          <w:tcPr>
            <w:tcW w:w="2484" w:type="dxa"/>
            <w:vAlign w:val="center"/>
          </w:tcPr>
          <w:p w14:paraId="4E8C1ADF" w14:textId="77777777" w:rsidR="00756632" w:rsidRDefault="00000000">
            <w:r>
              <w:rPr>
                <w:b/>
                <w:sz w:val="18"/>
              </w:rPr>
              <w:t>Role</w:t>
            </w:r>
          </w:p>
        </w:tc>
      </w:tr>
      <w:tr w:rsidR="00756632" w14:paraId="63425C6C" w14:textId="77777777">
        <w:trPr>
          <w:jc w:val="center"/>
        </w:trPr>
        <w:tc>
          <w:tcPr>
            <w:tcW w:w="2484" w:type="dxa"/>
            <w:vAlign w:val="center"/>
          </w:tcPr>
          <w:p w14:paraId="59BF80F2" w14:textId="77777777" w:rsidR="00756632" w:rsidRDefault="00000000">
            <w:r>
              <w:rPr>
                <w:sz w:val="18"/>
              </w:rPr>
              <w:t>Financial stability</w:t>
            </w:r>
          </w:p>
        </w:tc>
        <w:tc>
          <w:tcPr>
            <w:tcW w:w="2484" w:type="dxa"/>
            <w:vAlign w:val="center"/>
          </w:tcPr>
          <w:p w14:paraId="22C29F41" w14:textId="77777777" w:rsidR="00756632" w:rsidRDefault="00000000">
            <w:r>
              <w:rPr>
                <w:sz w:val="18"/>
              </w:rPr>
              <w:t>FIRE</w:t>
            </w:r>
          </w:p>
        </w:tc>
        <w:tc>
          <w:tcPr>
            <w:tcW w:w="2484" w:type="dxa"/>
            <w:vAlign w:val="center"/>
          </w:tcPr>
          <w:p w14:paraId="1F644433" w14:textId="77777777" w:rsidR="00756632" w:rsidRDefault="00000000">
            <w:r>
              <w:rPr>
                <w:sz w:val="18"/>
              </w:rPr>
              <w:t>Bank Z-score. A higher Z-score indicates a lower probability of insolvency and greater financial stability. The study should retain the exact formula used in the source dataset, including the treatment of ROA volatility.</w:t>
            </w:r>
          </w:p>
        </w:tc>
        <w:tc>
          <w:tcPr>
            <w:tcW w:w="2484" w:type="dxa"/>
            <w:vAlign w:val="center"/>
          </w:tcPr>
          <w:p w14:paraId="64992C38" w14:textId="77777777" w:rsidR="00756632" w:rsidRDefault="00000000">
            <w:r>
              <w:rPr>
                <w:sz w:val="18"/>
              </w:rPr>
              <w:t>Dependent</w:t>
            </w:r>
          </w:p>
        </w:tc>
      </w:tr>
      <w:tr w:rsidR="00756632" w14:paraId="1DE5C6C3" w14:textId="77777777">
        <w:trPr>
          <w:jc w:val="center"/>
        </w:trPr>
        <w:tc>
          <w:tcPr>
            <w:tcW w:w="2484" w:type="dxa"/>
            <w:vAlign w:val="center"/>
          </w:tcPr>
          <w:p w14:paraId="03E093A6" w14:textId="77777777" w:rsidR="00756632" w:rsidRDefault="00000000">
            <w:r>
              <w:rPr>
                <w:sz w:val="18"/>
              </w:rPr>
              <w:t>Financial restructuring</w:t>
            </w:r>
          </w:p>
        </w:tc>
        <w:tc>
          <w:tcPr>
            <w:tcW w:w="2484" w:type="dxa"/>
            <w:vAlign w:val="center"/>
          </w:tcPr>
          <w:p w14:paraId="598CF6CF" w14:textId="77777777" w:rsidR="00756632" w:rsidRDefault="00000000">
            <w:r>
              <w:rPr>
                <w:sz w:val="18"/>
              </w:rPr>
              <w:t>FINR</w:t>
            </w:r>
          </w:p>
        </w:tc>
        <w:tc>
          <w:tcPr>
            <w:tcW w:w="2484" w:type="dxa"/>
            <w:vAlign w:val="center"/>
          </w:tcPr>
          <w:p w14:paraId="0FE54330" w14:textId="77777777" w:rsidR="00756632" w:rsidRDefault="00000000">
            <w:r>
              <w:rPr>
                <w:sz w:val="18"/>
              </w:rPr>
              <w:t>Financial-structure restructuring proxy extracted from audited annual reports. The exact numerator, denominator, and accounting items used should be stated consistently with the source dataset.</w:t>
            </w:r>
          </w:p>
        </w:tc>
        <w:tc>
          <w:tcPr>
            <w:tcW w:w="2484" w:type="dxa"/>
            <w:vAlign w:val="center"/>
          </w:tcPr>
          <w:p w14:paraId="694F2FB3" w14:textId="77777777" w:rsidR="00756632" w:rsidRDefault="00000000">
            <w:r>
              <w:rPr>
                <w:sz w:val="18"/>
              </w:rPr>
              <w:t>Independent</w:t>
            </w:r>
          </w:p>
        </w:tc>
      </w:tr>
      <w:tr w:rsidR="00756632" w14:paraId="0F99A8ED" w14:textId="77777777">
        <w:trPr>
          <w:jc w:val="center"/>
        </w:trPr>
        <w:tc>
          <w:tcPr>
            <w:tcW w:w="2484" w:type="dxa"/>
            <w:vAlign w:val="center"/>
          </w:tcPr>
          <w:p w14:paraId="1306ED6D" w14:textId="77777777" w:rsidR="00756632" w:rsidRDefault="00000000">
            <w:r>
              <w:rPr>
                <w:sz w:val="18"/>
              </w:rPr>
              <w:t>Asset restructuring</w:t>
            </w:r>
          </w:p>
        </w:tc>
        <w:tc>
          <w:tcPr>
            <w:tcW w:w="2484" w:type="dxa"/>
            <w:vAlign w:val="center"/>
          </w:tcPr>
          <w:p w14:paraId="0BCF261F" w14:textId="77777777" w:rsidR="00756632" w:rsidRDefault="00000000">
            <w:r>
              <w:rPr>
                <w:sz w:val="18"/>
              </w:rPr>
              <w:t>ASSR</w:t>
            </w:r>
          </w:p>
        </w:tc>
        <w:tc>
          <w:tcPr>
            <w:tcW w:w="2484" w:type="dxa"/>
            <w:vAlign w:val="center"/>
          </w:tcPr>
          <w:p w14:paraId="24F63D98" w14:textId="77777777" w:rsidR="00756632" w:rsidRDefault="00000000">
            <w:r>
              <w:rPr>
                <w:sz w:val="18"/>
              </w:rPr>
              <w:t>Asset-quality/asset-portfolio restructuring proxy extracted from audited annual reports. The exact formula and accounting items used should be stated.</w:t>
            </w:r>
          </w:p>
        </w:tc>
        <w:tc>
          <w:tcPr>
            <w:tcW w:w="2484" w:type="dxa"/>
            <w:vAlign w:val="center"/>
          </w:tcPr>
          <w:p w14:paraId="15A5AAE4" w14:textId="77777777" w:rsidR="00756632" w:rsidRDefault="00000000">
            <w:r>
              <w:rPr>
                <w:sz w:val="18"/>
              </w:rPr>
              <w:t>Independent</w:t>
            </w:r>
          </w:p>
        </w:tc>
      </w:tr>
      <w:tr w:rsidR="00756632" w14:paraId="6942B39B" w14:textId="77777777">
        <w:trPr>
          <w:jc w:val="center"/>
        </w:trPr>
        <w:tc>
          <w:tcPr>
            <w:tcW w:w="2484" w:type="dxa"/>
            <w:vAlign w:val="center"/>
          </w:tcPr>
          <w:p w14:paraId="14F23323" w14:textId="77777777" w:rsidR="00756632" w:rsidRDefault="00000000">
            <w:r>
              <w:rPr>
                <w:sz w:val="18"/>
              </w:rPr>
              <w:t>Operational restructuring</w:t>
            </w:r>
          </w:p>
        </w:tc>
        <w:tc>
          <w:tcPr>
            <w:tcW w:w="2484" w:type="dxa"/>
            <w:vAlign w:val="center"/>
          </w:tcPr>
          <w:p w14:paraId="2AA0918B" w14:textId="77777777" w:rsidR="00756632" w:rsidRDefault="00000000">
            <w:r>
              <w:rPr>
                <w:sz w:val="18"/>
              </w:rPr>
              <w:t>OPR</w:t>
            </w:r>
          </w:p>
        </w:tc>
        <w:tc>
          <w:tcPr>
            <w:tcW w:w="2484" w:type="dxa"/>
            <w:vAlign w:val="center"/>
          </w:tcPr>
          <w:p w14:paraId="6CFC5470" w14:textId="77777777" w:rsidR="00756632" w:rsidRDefault="00000000">
            <w:r>
              <w:rPr>
                <w:sz w:val="18"/>
              </w:rPr>
              <w:t>Operational restructuring proxy derived from the banks’ reported operating/branch/technology or efficiency-related information, using the exact formula applied in the dataset.</w:t>
            </w:r>
          </w:p>
        </w:tc>
        <w:tc>
          <w:tcPr>
            <w:tcW w:w="2484" w:type="dxa"/>
            <w:vAlign w:val="center"/>
          </w:tcPr>
          <w:p w14:paraId="27404FD0" w14:textId="77777777" w:rsidR="00756632" w:rsidRDefault="00000000">
            <w:r>
              <w:rPr>
                <w:sz w:val="18"/>
              </w:rPr>
              <w:t>Independent</w:t>
            </w:r>
          </w:p>
        </w:tc>
      </w:tr>
      <w:tr w:rsidR="00756632" w14:paraId="32FD965A" w14:textId="77777777">
        <w:trPr>
          <w:jc w:val="center"/>
        </w:trPr>
        <w:tc>
          <w:tcPr>
            <w:tcW w:w="2484" w:type="dxa"/>
            <w:vAlign w:val="center"/>
          </w:tcPr>
          <w:p w14:paraId="3EF1215E" w14:textId="77777777" w:rsidR="00756632" w:rsidRDefault="00000000">
            <w:r>
              <w:rPr>
                <w:sz w:val="18"/>
              </w:rPr>
              <w:t>Capital restructuring</w:t>
            </w:r>
          </w:p>
        </w:tc>
        <w:tc>
          <w:tcPr>
            <w:tcW w:w="2484" w:type="dxa"/>
            <w:vAlign w:val="center"/>
          </w:tcPr>
          <w:p w14:paraId="4399E7BE" w14:textId="77777777" w:rsidR="00756632" w:rsidRDefault="00000000">
            <w:r>
              <w:rPr>
                <w:sz w:val="18"/>
              </w:rPr>
              <w:t>CAR</w:t>
            </w:r>
          </w:p>
        </w:tc>
        <w:tc>
          <w:tcPr>
            <w:tcW w:w="2484" w:type="dxa"/>
            <w:vAlign w:val="center"/>
          </w:tcPr>
          <w:p w14:paraId="025C40A4" w14:textId="77777777" w:rsidR="00756632" w:rsidRDefault="00000000">
            <w:r>
              <w:rPr>
                <w:sz w:val="18"/>
              </w:rPr>
              <w:t>Capital-structure/capital-strengthening proxy derived from audited annual reports, using the exact formula applied in the dataset.</w:t>
            </w:r>
          </w:p>
        </w:tc>
        <w:tc>
          <w:tcPr>
            <w:tcW w:w="2484" w:type="dxa"/>
            <w:vAlign w:val="center"/>
          </w:tcPr>
          <w:p w14:paraId="2828742C" w14:textId="77777777" w:rsidR="00756632" w:rsidRDefault="00000000">
            <w:r>
              <w:rPr>
                <w:sz w:val="18"/>
              </w:rPr>
              <w:t>Independent</w:t>
            </w:r>
          </w:p>
        </w:tc>
      </w:tr>
    </w:tbl>
    <w:p w14:paraId="457DC76C" w14:textId="77777777" w:rsidR="00756632" w:rsidRDefault="00756632"/>
    <w:p w14:paraId="05585414" w14:textId="77777777" w:rsidR="00756632" w:rsidRDefault="00000000">
      <w:pPr>
        <w:spacing w:after="100"/>
      </w:pPr>
      <w:r>
        <w:rPr>
          <w:b/>
        </w:rPr>
        <w:lastRenderedPageBreak/>
        <w:t>Editorial verification note: The original manuscript did not disclose the exact formulas for FINR, ASSR, OPR, and CAR. Before submission, the authors must insert the precise formulas and accounting line items used to generate the dataset. This is essential because operational definitions cannot be reconstructed reliably from summary output alone.</w:t>
      </w:r>
    </w:p>
    <w:p w14:paraId="289E2E93" w14:textId="77777777" w:rsidR="00756632" w:rsidRDefault="00000000">
      <w:pPr>
        <w:spacing w:after="100"/>
      </w:pPr>
      <w:r>
        <w:rPr>
          <w:b/>
        </w:rPr>
        <w:t>3.5 Model Specification</w:t>
      </w:r>
    </w:p>
    <w:p w14:paraId="576D96CA" w14:textId="77777777" w:rsidR="00756632" w:rsidRDefault="00000000">
      <w:pPr>
        <w:spacing w:after="100"/>
      </w:pPr>
      <w:r>
        <w:t>The functional relationship is expressed as:</w:t>
      </w:r>
      <w:r>
        <w:br/>
        <w:t>FIRE_it = f(FINR_it, ASSR_it, OPR_it, CAR_it).</w:t>
      </w:r>
      <w:r>
        <w:br/>
        <w:t>The estimable panel model is:</w:t>
      </w:r>
      <w:r>
        <w:br/>
        <w:t>FIRE_it = β0 + β1FINR_it + β2ASSR_it + β3OPR_it + β4CAR_it + μ_i + ε_it,</w:t>
      </w:r>
      <w:r>
        <w:br/>
        <w:t>where i denotes bank, t denotes year, β0 is the intercept, β1–β4 are slope coefficients, μ_i captures unobserved bank-specific effects, and ε_it is the idiosyncratic error term.</w:t>
      </w:r>
    </w:p>
    <w:p w14:paraId="223EB7F9" w14:textId="77777777" w:rsidR="00756632" w:rsidRDefault="00000000">
      <w:pPr>
        <w:spacing w:after="100"/>
      </w:pPr>
      <w:r>
        <w:rPr>
          <w:b/>
        </w:rPr>
        <w:t>3.6 Estimation and Diagnostic Procedures</w:t>
      </w:r>
    </w:p>
    <w:p w14:paraId="5B249735" w14:textId="77777777" w:rsidR="00756632" w:rsidRDefault="00000000">
      <w:pPr>
        <w:spacing w:after="100"/>
      </w:pPr>
      <w:r>
        <w:t>Pooled, fixed-effects, and random-effects specifications were considered. The Hausman test was used to guide the choice between fixed and random effects, while the Breusch–Pagan LM test was used to assess whether a random-effects specification was preferable to pooled estimation. Multicollinearity was assessed using centred variance inflation factors (VIFs). The study also reported Pesaran cross-sectional-dependence statistics. Because significant cross-sectional dependence was detected, the conventional random-effects standard errors should not be treated as fully robust unless an appropriate correction is applied. The reported random-effects estimates are therefore retained as the baseline results, while the cross-sectional-dependence issue is explicitly acknowledged as a limitation. A final submission should ideally include a robustness re-estimation using a method appropriate to the panel dimensions and the software available (for example, cross-section-robust or Driscoll–Kraay-type inference where justified).</w:t>
      </w:r>
    </w:p>
    <w:p w14:paraId="25C9BE99" w14:textId="77777777" w:rsidR="00756632" w:rsidRDefault="00000000">
      <w:pPr>
        <w:spacing w:after="100"/>
      </w:pPr>
      <w:r>
        <w:rPr>
          <w:b/>
        </w:rPr>
        <w:t>4. RESULTS AND DISCUSSION</w:t>
      </w:r>
    </w:p>
    <w:p w14:paraId="47A1AE1A" w14:textId="77777777" w:rsidR="00756632" w:rsidRDefault="00000000">
      <w:pPr>
        <w:spacing w:after="100"/>
      </w:pPr>
      <w:r>
        <w:rPr>
          <w:b/>
        </w:rPr>
        <w:t>4.1 Descriptive Statistics</w:t>
      </w:r>
    </w:p>
    <w:tbl>
      <w:tblPr>
        <w:tblStyle w:val="TableGrid"/>
        <w:tblW w:w="0" w:type="auto"/>
        <w:jc w:val="center"/>
        <w:tblLook w:val="04A0" w:firstRow="1" w:lastRow="0" w:firstColumn="1" w:lastColumn="0" w:noHBand="0" w:noVBand="1"/>
      </w:tblPr>
      <w:tblGrid>
        <w:gridCol w:w="1656"/>
        <w:gridCol w:w="1656"/>
        <w:gridCol w:w="1656"/>
        <w:gridCol w:w="1656"/>
        <w:gridCol w:w="1656"/>
        <w:gridCol w:w="1656"/>
      </w:tblGrid>
      <w:tr w:rsidR="00756632" w14:paraId="1B020169" w14:textId="77777777">
        <w:trPr>
          <w:jc w:val="center"/>
        </w:trPr>
        <w:tc>
          <w:tcPr>
            <w:tcW w:w="1656" w:type="dxa"/>
            <w:vAlign w:val="center"/>
          </w:tcPr>
          <w:p w14:paraId="20A0EFF7" w14:textId="77777777" w:rsidR="00756632" w:rsidRDefault="00000000">
            <w:r>
              <w:rPr>
                <w:b/>
                <w:sz w:val="18"/>
              </w:rPr>
              <w:t>Statistic</w:t>
            </w:r>
          </w:p>
        </w:tc>
        <w:tc>
          <w:tcPr>
            <w:tcW w:w="1656" w:type="dxa"/>
            <w:vAlign w:val="center"/>
          </w:tcPr>
          <w:p w14:paraId="5922AC5F" w14:textId="77777777" w:rsidR="00756632" w:rsidRDefault="00000000">
            <w:r>
              <w:rPr>
                <w:b/>
                <w:sz w:val="18"/>
              </w:rPr>
              <w:t>FIRE</w:t>
            </w:r>
          </w:p>
        </w:tc>
        <w:tc>
          <w:tcPr>
            <w:tcW w:w="1656" w:type="dxa"/>
            <w:vAlign w:val="center"/>
          </w:tcPr>
          <w:p w14:paraId="223BA9F5" w14:textId="77777777" w:rsidR="00756632" w:rsidRDefault="00000000">
            <w:r>
              <w:rPr>
                <w:b/>
                <w:sz w:val="18"/>
              </w:rPr>
              <w:t>FINR</w:t>
            </w:r>
          </w:p>
        </w:tc>
        <w:tc>
          <w:tcPr>
            <w:tcW w:w="1656" w:type="dxa"/>
            <w:vAlign w:val="center"/>
          </w:tcPr>
          <w:p w14:paraId="65F3CFA1" w14:textId="77777777" w:rsidR="00756632" w:rsidRDefault="00000000">
            <w:r>
              <w:rPr>
                <w:b/>
                <w:sz w:val="18"/>
              </w:rPr>
              <w:t>ASSR</w:t>
            </w:r>
          </w:p>
        </w:tc>
        <w:tc>
          <w:tcPr>
            <w:tcW w:w="1656" w:type="dxa"/>
            <w:vAlign w:val="center"/>
          </w:tcPr>
          <w:p w14:paraId="55713319" w14:textId="77777777" w:rsidR="00756632" w:rsidRDefault="00000000">
            <w:r>
              <w:rPr>
                <w:b/>
                <w:sz w:val="18"/>
              </w:rPr>
              <w:t>OPR</w:t>
            </w:r>
          </w:p>
        </w:tc>
        <w:tc>
          <w:tcPr>
            <w:tcW w:w="1656" w:type="dxa"/>
            <w:vAlign w:val="center"/>
          </w:tcPr>
          <w:p w14:paraId="72C2173A" w14:textId="77777777" w:rsidR="00756632" w:rsidRDefault="00000000">
            <w:r>
              <w:rPr>
                <w:b/>
                <w:sz w:val="18"/>
              </w:rPr>
              <w:t>CAR</w:t>
            </w:r>
          </w:p>
        </w:tc>
      </w:tr>
      <w:tr w:rsidR="00756632" w14:paraId="7E2D631B" w14:textId="77777777">
        <w:trPr>
          <w:jc w:val="center"/>
        </w:trPr>
        <w:tc>
          <w:tcPr>
            <w:tcW w:w="1656" w:type="dxa"/>
            <w:vAlign w:val="center"/>
          </w:tcPr>
          <w:p w14:paraId="36FCDE01" w14:textId="77777777" w:rsidR="00756632" w:rsidRDefault="00000000">
            <w:r>
              <w:rPr>
                <w:sz w:val="18"/>
              </w:rPr>
              <w:t>Mean</w:t>
            </w:r>
          </w:p>
        </w:tc>
        <w:tc>
          <w:tcPr>
            <w:tcW w:w="1656" w:type="dxa"/>
            <w:vAlign w:val="center"/>
          </w:tcPr>
          <w:p w14:paraId="1DDDA36F" w14:textId="77777777" w:rsidR="00756632" w:rsidRDefault="00000000">
            <w:r>
              <w:rPr>
                <w:sz w:val="18"/>
              </w:rPr>
              <w:t>0.467081</w:t>
            </w:r>
          </w:p>
        </w:tc>
        <w:tc>
          <w:tcPr>
            <w:tcW w:w="1656" w:type="dxa"/>
            <w:vAlign w:val="center"/>
          </w:tcPr>
          <w:p w14:paraId="5AD38F59" w14:textId="77777777" w:rsidR="00756632" w:rsidRDefault="00000000">
            <w:r>
              <w:rPr>
                <w:sz w:val="18"/>
              </w:rPr>
              <w:t>0.443085</w:t>
            </w:r>
          </w:p>
        </w:tc>
        <w:tc>
          <w:tcPr>
            <w:tcW w:w="1656" w:type="dxa"/>
            <w:vAlign w:val="center"/>
          </w:tcPr>
          <w:p w14:paraId="012F21C0" w14:textId="77777777" w:rsidR="00756632" w:rsidRDefault="00000000">
            <w:r>
              <w:rPr>
                <w:sz w:val="18"/>
              </w:rPr>
              <w:t>0.098442</w:t>
            </w:r>
          </w:p>
        </w:tc>
        <w:tc>
          <w:tcPr>
            <w:tcW w:w="1656" w:type="dxa"/>
            <w:vAlign w:val="center"/>
          </w:tcPr>
          <w:p w14:paraId="082E831E" w14:textId="77777777" w:rsidR="00756632" w:rsidRDefault="00000000">
            <w:r>
              <w:rPr>
                <w:sz w:val="18"/>
              </w:rPr>
              <w:t>0.375014</w:t>
            </w:r>
          </w:p>
        </w:tc>
        <w:tc>
          <w:tcPr>
            <w:tcW w:w="1656" w:type="dxa"/>
            <w:vAlign w:val="center"/>
          </w:tcPr>
          <w:p w14:paraId="7B68CA7F" w14:textId="77777777" w:rsidR="00756632" w:rsidRDefault="00000000">
            <w:r>
              <w:rPr>
                <w:sz w:val="18"/>
              </w:rPr>
              <w:t>0.196254</w:t>
            </w:r>
          </w:p>
        </w:tc>
      </w:tr>
      <w:tr w:rsidR="00756632" w14:paraId="4797739A" w14:textId="77777777">
        <w:trPr>
          <w:jc w:val="center"/>
        </w:trPr>
        <w:tc>
          <w:tcPr>
            <w:tcW w:w="1656" w:type="dxa"/>
            <w:vAlign w:val="center"/>
          </w:tcPr>
          <w:p w14:paraId="2E3FF9DF" w14:textId="77777777" w:rsidR="00756632" w:rsidRDefault="00000000">
            <w:r>
              <w:rPr>
                <w:sz w:val="18"/>
              </w:rPr>
              <w:t>Median</w:t>
            </w:r>
          </w:p>
        </w:tc>
        <w:tc>
          <w:tcPr>
            <w:tcW w:w="1656" w:type="dxa"/>
            <w:vAlign w:val="center"/>
          </w:tcPr>
          <w:p w14:paraId="6761AB9D" w14:textId="77777777" w:rsidR="00756632" w:rsidRDefault="00000000">
            <w:r>
              <w:rPr>
                <w:sz w:val="18"/>
              </w:rPr>
              <w:t>0.367250</w:t>
            </w:r>
          </w:p>
        </w:tc>
        <w:tc>
          <w:tcPr>
            <w:tcW w:w="1656" w:type="dxa"/>
            <w:vAlign w:val="center"/>
          </w:tcPr>
          <w:p w14:paraId="29018A71" w14:textId="77777777" w:rsidR="00756632" w:rsidRDefault="00000000">
            <w:r>
              <w:rPr>
                <w:sz w:val="18"/>
              </w:rPr>
              <w:t>0.287650</w:t>
            </w:r>
          </w:p>
        </w:tc>
        <w:tc>
          <w:tcPr>
            <w:tcW w:w="1656" w:type="dxa"/>
            <w:vAlign w:val="center"/>
          </w:tcPr>
          <w:p w14:paraId="3B28D3D0" w14:textId="77777777" w:rsidR="00756632" w:rsidRDefault="00000000">
            <w:r>
              <w:rPr>
                <w:sz w:val="18"/>
              </w:rPr>
              <w:t>0.049600</w:t>
            </w:r>
          </w:p>
        </w:tc>
        <w:tc>
          <w:tcPr>
            <w:tcW w:w="1656" w:type="dxa"/>
            <w:vAlign w:val="center"/>
          </w:tcPr>
          <w:p w14:paraId="2852A656" w14:textId="77777777" w:rsidR="00756632" w:rsidRDefault="00000000">
            <w:r>
              <w:rPr>
                <w:sz w:val="18"/>
              </w:rPr>
              <w:t>0.330900</w:t>
            </w:r>
          </w:p>
        </w:tc>
        <w:tc>
          <w:tcPr>
            <w:tcW w:w="1656" w:type="dxa"/>
            <w:vAlign w:val="center"/>
          </w:tcPr>
          <w:p w14:paraId="05C3E792" w14:textId="77777777" w:rsidR="00756632" w:rsidRDefault="00000000">
            <w:r>
              <w:rPr>
                <w:sz w:val="18"/>
              </w:rPr>
              <w:t>0.181050</w:t>
            </w:r>
          </w:p>
        </w:tc>
      </w:tr>
      <w:tr w:rsidR="00756632" w14:paraId="40FDD855" w14:textId="77777777">
        <w:trPr>
          <w:jc w:val="center"/>
        </w:trPr>
        <w:tc>
          <w:tcPr>
            <w:tcW w:w="1656" w:type="dxa"/>
            <w:vAlign w:val="center"/>
          </w:tcPr>
          <w:p w14:paraId="183AB131" w14:textId="77777777" w:rsidR="00756632" w:rsidRDefault="00000000">
            <w:r>
              <w:rPr>
                <w:sz w:val="18"/>
              </w:rPr>
              <w:t>Maximum</w:t>
            </w:r>
          </w:p>
        </w:tc>
        <w:tc>
          <w:tcPr>
            <w:tcW w:w="1656" w:type="dxa"/>
            <w:vAlign w:val="center"/>
          </w:tcPr>
          <w:p w14:paraId="1EAC5AE7" w14:textId="77777777" w:rsidR="00756632" w:rsidRDefault="00000000">
            <w:r>
              <w:rPr>
                <w:sz w:val="18"/>
              </w:rPr>
              <w:t>0.982900</w:t>
            </w:r>
          </w:p>
        </w:tc>
        <w:tc>
          <w:tcPr>
            <w:tcW w:w="1656" w:type="dxa"/>
            <w:vAlign w:val="center"/>
          </w:tcPr>
          <w:p w14:paraId="552808F0" w14:textId="77777777" w:rsidR="00756632" w:rsidRDefault="00000000">
            <w:r>
              <w:rPr>
                <w:sz w:val="18"/>
              </w:rPr>
              <w:t>1.702200</w:t>
            </w:r>
          </w:p>
        </w:tc>
        <w:tc>
          <w:tcPr>
            <w:tcW w:w="1656" w:type="dxa"/>
            <w:vAlign w:val="center"/>
          </w:tcPr>
          <w:p w14:paraId="7BEBC1CA" w14:textId="77777777" w:rsidR="00756632" w:rsidRDefault="00000000">
            <w:r>
              <w:rPr>
                <w:sz w:val="18"/>
              </w:rPr>
              <w:t>0.488900</w:t>
            </w:r>
          </w:p>
        </w:tc>
        <w:tc>
          <w:tcPr>
            <w:tcW w:w="1656" w:type="dxa"/>
            <w:vAlign w:val="center"/>
          </w:tcPr>
          <w:p w14:paraId="1E766416" w14:textId="77777777" w:rsidR="00756632" w:rsidRDefault="00000000">
            <w:r>
              <w:rPr>
                <w:sz w:val="18"/>
              </w:rPr>
              <w:t>0.927600</w:t>
            </w:r>
          </w:p>
        </w:tc>
        <w:tc>
          <w:tcPr>
            <w:tcW w:w="1656" w:type="dxa"/>
            <w:vAlign w:val="center"/>
          </w:tcPr>
          <w:p w14:paraId="3EEA63A7" w14:textId="77777777" w:rsidR="00756632" w:rsidRDefault="00000000">
            <w:r>
              <w:rPr>
                <w:sz w:val="18"/>
              </w:rPr>
              <w:t>0.707900</w:t>
            </w:r>
          </w:p>
        </w:tc>
      </w:tr>
      <w:tr w:rsidR="00756632" w14:paraId="50F34718" w14:textId="77777777">
        <w:trPr>
          <w:jc w:val="center"/>
        </w:trPr>
        <w:tc>
          <w:tcPr>
            <w:tcW w:w="1656" w:type="dxa"/>
            <w:vAlign w:val="center"/>
          </w:tcPr>
          <w:p w14:paraId="65610679" w14:textId="77777777" w:rsidR="00756632" w:rsidRDefault="00000000">
            <w:r>
              <w:rPr>
                <w:sz w:val="18"/>
              </w:rPr>
              <w:t>Minimum</w:t>
            </w:r>
          </w:p>
        </w:tc>
        <w:tc>
          <w:tcPr>
            <w:tcW w:w="1656" w:type="dxa"/>
            <w:vAlign w:val="center"/>
          </w:tcPr>
          <w:p w14:paraId="564248BE" w14:textId="77777777" w:rsidR="00756632" w:rsidRDefault="00000000">
            <w:r>
              <w:rPr>
                <w:sz w:val="18"/>
              </w:rPr>
              <w:t>−0.010600</w:t>
            </w:r>
          </w:p>
        </w:tc>
        <w:tc>
          <w:tcPr>
            <w:tcW w:w="1656" w:type="dxa"/>
            <w:vAlign w:val="center"/>
          </w:tcPr>
          <w:p w14:paraId="47ED735F" w14:textId="77777777" w:rsidR="00756632" w:rsidRDefault="00000000">
            <w:r>
              <w:rPr>
                <w:sz w:val="18"/>
              </w:rPr>
              <w:t>−0.049400</w:t>
            </w:r>
          </w:p>
        </w:tc>
        <w:tc>
          <w:tcPr>
            <w:tcW w:w="1656" w:type="dxa"/>
            <w:vAlign w:val="center"/>
          </w:tcPr>
          <w:p w14:paraId="7B6FCEE3" w14:textId="77777777" w:rsidR="00756632" w:rsidRDefault="00000000">
            <w:r>
              <w:rPr>
                <w:sz w:val="18"/>
              </w:rPr>
              <w:t>0.000900</w:t>
            </w:r>
          </w:p>
        </w:tc>
        <w:tc>
          <w:tcPr>
            <w:tcW w:w="1656" w:type="dxa"/>
            <w:vAlign w:val="center"/>
          </w:tcPr>
          <w:p w14:paraId="0B60D055" w14:textId="77777777" w:rsidR="00756632" w:rsidRDefault="00000000">
            <w:r>
              <w:rPr>
                <w:sz w:val="18"/>
              </w:rPr>
              <w:t>0.007500</w:t>
            </w:r>
          </w:p>
        </w:tc>
        <w:tc>
          <w:tcPr>
            <w:tcW w:w="1656" w:type="dxa"/>
            <w:vAlign w:val="center"/>
          </w:tcPr>
          <w:p w14:paraId="1C24F5B8" w14:textId="77777777" w:rsidR="00756632" w:rsidRDefault="00000000">
            <w:r>
              <w:rPr>
                <w:sz w:val="18"/>
              </w:rPr>
              <w:t>0.100200</w:t>
            </w:r>
          </w:p>
        </w:tc>
      </w:tr>
      <w:tr w:rsidR="00756632" w14:paraId="7AB84E5C" w14:textId="77777777">
        <w:trPr>
          <w:jc w:val="center"/>
        </w:trPr>
        <w:tc>
          <w:tcPr>
            <w:tcW w:w="1656" w:type="dxa"/>
            <w:vAlign w:val="center"/>
          </w:tcPr>
          <w:p w14:paraId="1FFB46DA" w14:textId="77777777" w:rsidR="00756632" w:rsidRDefault="00000000">
            <w:r>
              <w:rPr>
                <w:sz w:val="18"/>
              </w:rPr>
              <w:t>Std. Dev.</w:t>
            </w:r>
          </w:p>
        </w:tc>
        <w:tc>
          <w:tcPr>
            <w:tcW w:w="1656" w:type="dxa"/>
            <w:vAlign w:val="center"/>
          </w:tcPr>
          <w:p w14:paraId="05D9D897" w14:textId="77777777" w:rsidR="00756632" w:rsidRDefault="00000000">
            <w:r>
              <w:rPr>
                <w:sz w:val="18"/>
              </w:rPr>
              <w:t>0.205381</w:t>
            </w:r>
          </w:p>
        </w:tc>
        <w:tc>
          <w:tcPr>
            <w:tcW w:w="1656" w:type="dxa"/>
            <w:vAlign w:val="center"/>
          </w:tcPr>
          <w:p w14:paraId="1156BF99" w14:textId="77777777" w:rsidR="00756632" w:rsidRDefault="00000000">
            <w:r>
              <w:rPr>
                <w:sz w:val="18"/>
              </w:rPr>
              <w:t>0.396579</w:t>
            </w:r>
          </w:p>
        </w:tc>
        <w:tc>
          <w:tcPr>
            <w:tcW w:w="1656" w:type="dxa"/>
            <w:vAlign w:val="center"/>
          </w:tcPr>
          <w:p w14:paraId="48010089" w14:textId="77777777" w:rsidR="00756632" w:rsidRDefault="00000000">
            <w:r>
              <w:rPr>
                <w:sz w:val="18"/>
              </w:rPr>
              <w:t>0.010846</w:t>
            </w:r>
          </w:p>
        </w:tc>
        <w:tc>
          <w:tcPr>
            <w:tcW w:w="1656" w:type="dxa"/>
            <w:vAlign w:val="center"/>
          </w:tcPr>
          <w:p w14:paraId="697E6B32" w14:textId="77777777" w:rsidR="00756632" w:rsidRDefault="00000000">
            <w:r>
              <w:rPr>
                <w:sz w:val="18"/>
              </w:rPr>
              <w:t>0.261591</w:t>
            </w:r>
          </w:p>
        </w:tc>
        <w:tc>
          <w:tcPr>
            <w:tcW w:w="1656" w:type="dxa"/>
            <w:vAlign w:val="center"/>
          </w:tcPr>
          <w:p w14:paraId="31E35ECB" w14:textId="77777777" w:rsidR="00756632" w:rsidRDefault="00000000">
            <w:r>
              <w:rPr>
                <w:sz w:val="18"/>
              </w:rPr>
              <w:t>0.082557</w:t>
            </w:r>
          </w:p>
        </w:tc>
      </w:tr>
      <w:tr w:rsidR="00756632" w14:paraId="39A94497" w14:textId="77777777">
        <w:trPr>
          <w:jc w:val="center"/>
        </w:trPr>
        <w:tc>
          <w:tcPr>
            <w:tcW w:w="1656" w:type="dxa"/>
            <w:vAlign w:val="center"/>
          </w:tcPr>
          <w:p w14:paraId="0BA31D9B" w14:textId="77777777" w:rsidR="00756632" w:rsidRDefault="00000000">
            <w:r>
              <w:rPr>
                <w:sz w:val="18"/>
              </w:rPr>
              <w:t>Skewness</w:t>
            </w:r>
          </w:p>
        </w:tc>
        <w:tc>
          <w:tcPr>
            <w:tcW w:w="1656" w:type="dxa"/>
            <w:vAlign w:val="center"/>
          </w:tcPr>
          <w:p w14:paraId="0BB3724B" w14:textId="77777777" w:rsidR="00756632" w:rsidRDefault="00000000">
            <w:r>
              <w:rPr>
                <w:sz w:val="18"/>
              </w:rPr>
              <w:t>0.826738</w:t>
            </w:r>
          </w:p>
        </w:tc>
        <w:tc>
          <w:tcPr>
            <w:tcW w:w="1656" w:type="dxa"/>
            <w:vAlign w:val="center"/>
          </w:tcPr>
          <w:p w14:paraId="7E345673" w14:textId="77777777" w:rsidR="00756632" w:rsidRDefault="00000000">
            <w:r>
              <w:rPr>
                <w:sz w:val="18"/>
              </w:rPr>
              <w:t>0.978419</w:t>
            </w:r>
          </w:p>
        </w:tc>
        <w:tc>
          <w:tcPr>
            <w:tcW w:w="1656" w:type="dxa"/>
            <w:vAlign w:val="center"/>
          </w:tcPr>
          <w:p w14:paraId="38E56440" w14:textId="77777777" w:rsidR="00756632" w:rsidRDefault="00000000">
            <w:r>
              <w:rPr>
                <w:sz w:val="18"/>
              </w:rPr>
              <w:t>1.532285</w:t>
            </w:r>
          </w:p>
        </w:tc>
        <w:tc>
          <w:tcPr>
            <w:tcW w:w="1656" w:type="dxa"/>
            <w:vAlign w:val="center"/>
          </w:tcPr>
          <w:p w14:paraId="5343C96F" w14:textId="77777777" w:rsidR="00756632" w:rsidRDefault="00000000">
            <w:r>
              <w:rPr>
                <w:sz w:val="18"/>
              </w:rPr>
              <w:t>0.508576</w:t>
            </w:r>
          </w:p>
        </w:tc>
        <w:tc>
          <w:tcPr>
            <w:tcW w:w="1656" w:type="dxa"/>
            <w:vAlign w:val="center"/>
          </w:tcPr>
          <w:p w14:paraId="6A938D86" w14:textId="77777777" w:rsidR="00756632" w:rsidRDefault="00000000">
            <w:r>
              <w:rPr>
                <w:sz w:val="18"/>
              </w:rPr>
              <w:t>2.962635</w:t>
            </w:r>
          </w:p>
        </w:tc>
      </w:tr>
      <w:tr w:rsidR="00756632" w14:paraId="098DD63F" w14:textId="77777777">
        <w:trPr>
          <w:jc w:val="center"/>
        </w:trPr>
        <w:tc>
          <w:tcPr>
            <w:tcW w:w="1656" w:type="dxa"/>
            <w:vAlign w:val="center"/>
          </w:tcPr>
          <w:p w14:paraId="2DB938D0" w14:textId="77777777" w:rsidR="00756632" w:rsidRDefault="00000000">
            <w:r>
              <w:rPr>
                <w:sz w:val="18"/>
              </w:rPr>
              <w:t>Kurtosis</w:t>
            </w:r>
          </w:p>
        </w:tc>
        <w:tc>
          <w:tcPr>
            <w:tcW w:w="1656" w:type="dxa"/>
            <w:vAlign w:val="center"/>
          </w:tcPr>
          <w:p w14:paraId="35C542E1" w14:textId="77777777" w:rsidR="00756632" w:rsidRDefault="00000000">
            <w:r>
              <w:rPr>
                <w:sz w:val="18"/>
              </w:rPr>
              <w:t>2.633513</w:t>
            </w:r>
          </w:p>
        </w:tc>
        <w:tc>
          <w:tcPr>
            <w:tcW w:w="1656" w:type="dxa"/>
            <w:vAlign w:val="center"/>
          </w:tcPr>
          <w:p w14:paraId="6BA377DE" w14:textId="77777777" w:rsidR="00756632" w:rsidRDefault="00000000">
            <w:r>
              <w:rPr>
                <w:sz w:val="18"/>
              </w:rPr>
              <w:t>2.202792</w:t>
            </w:r>
          </w:p>
        </w:tc>
        <w:tc>
          <w:tcPr>
            <w:tcW w:w="1656" w:type="dxa"/>
            <w:vAlign w:val="center"/>
          </w:tcPr>
          <w:p w14:paraId="793A8072" w14:textId="77777777" w:rsidR="00756632" w:rsidRDefault="00000000">
            <w:r>
              <w:rPr>
                <w:sz w:val="18"/>
              </w:rPr>
              <w:t>2.140854</w:t>
            </w:r>
          </w:p>
        </w:tc>
        <w:tc>
          <w:tcPr>
            <w:tcW w:w="1656" w:type="dxa"/>
            <w:vAlign w:val="center"/>
          </w:tcPr>
          <w:p w14:paraId="545E9EE8" w14:textId="77777777" w:rsidR="00756632" w:rsidRDefault="00000000">
            <w:r>
              <w:rPr>
                <w:sz w:val="18"/>
              </w:rPr>
              <w:t>2.146457</w:t>
            </w:r>
          </w:p>
        </w:tc>
        <w:tc>
          <w:tcPr>
            <w:tcW w:w="1656" w:type="dxa"/>
            <w:vAlign w:val="center"/>
          </w:tcPr>
          <w:p w14:paraId="4D03101C" w14:textId="77777777" w:rsidR="00756632" w:rsidRDefault="00000000">
            <w:r>
              <w:rPr>
                <w:sz w:val="18"/>
              </w:rPr>
              <w:t>1.051636</w:t>
            </w:r>
          </w:p>
        </w:tc>
      </w:tr>
      <w:tr w:rsidR="00756632" w14:paraId="52412392" w14:textId="77777777">
        <w:trPr>
          <w:jc w:val="center"/>
        </w:trPr>
        <w:tc>
          <w:tcPr>
            <w:tcW w:w="1656" w:type="dxa"/>
            <w:vAlign w:val="center"/>
          </w:tcPr>
          <w:p w14:paraId="2160DAB9" w14:textId="77777777" w:rsidR="00756632" w:rsidRDefault="00000000">
            <w:r>
              <w:rPr>
                <w:sz w:val="18"/>
              </w:rPr>
              <w:t>Jarque–Bera p-value</w:t>
            </w:r>
          </w:p>
        </w:tc>
        <w:tc>
          <w:tcPr>
            <w:tcW w:w="1656" w:type="dxa"/>
            <w:vAlign w:val="center"/>
          </w:tcPr>
          <w:p w14:paraId="1BB3A8A7" w14:textId="77777777" w:rsidR="00756632" w:rsidRDefault="00000000">
            <w:r>
              <w:rPr>
                <w:sz w:val="18"/>
              </w:rPr>
              <w:t>0.253736</w:t>
            </w:r>
          </w:p>
        </w:tc>
        <w:tc>
          <w:tcPr>
            <w:tcW w:w="1656" w:type="dxa"/>
            <w:vAlign w:val="center"/>
          </w:tcPr>
          <w:p w14:paraId="5659C00B" w14:textId="77777777" w:rsidR="00756632" w:rsidRDefault="00000000">
            <w:r>
              <w:rPr>
                <w:sz w:val="18"/>
              </w:rPr>
              <w:t>0.299107</w:t>
            </w:r>
          </w:p>
        </w:tc>
        <w:tc>
          <w:tcPr>
            <w:tcW w:w="1656" w:type="dxa"/>
            <w:vAlign w:val="center"/>
          </w:tcPr>
          <w:p w14:paraId="4C295ABC" w14:textId="77777777" w:rsidR="00756632" w:rsidRDefault="00000000">
            <w:r>
              <w:rPr>
                <w:sz w:val="18"/>
              </w:rPr>
              <w:t>0.254862</w:t>
            </w:r>
          </w:p>
        </w:tc>
        <w:tc>
          <w:tcPr>
            <w:tcW w:w="1656" w:type="dxa"/>
            <w:vAlign w:val="center"/>
          </w:tcPr>
          <w:p w14:paraId="698AB7FC" w14:textId="77777777" w:rsidR="00756632" w:rsidRDefault="00000000">
            <w:r>
              <w:rPr>
                <w:sz w:val="18"/>
              </w:rPr>
              <w:t>0.253736</w:t>
            </w:r>
          </w:p>
        </w:tc>
        <w:tc>
          <w:tcPr>
            <w:tcW w:w="1656" w:type="dxa"/>
            <w:vAlign w:val="center"/>
          </w:tcPr>
          <w:p w14:paraId="09C128A6" w14:textId="77777777" w:rsidR="00756632" w:rsidRDefault="00000000">
            <w:r>
              <w:rPr>
                <w:sz w:val="18"/>
              </w:rPr>
              <w:t>0.147613</w:t>
            </w:r>
          </w:p>
        </w:tc>
      </w:tr>
      <w:tr w:rsidR="00756632" w14:paraId="097ED6B6" w14:textId="77777777">
        <w:trPr>
          <w:jc w:val="center"/>
        </w:trPr>
        <w:tc>
          <w:tcPr>
            <w:tcW w:w="1656" w:type="dxa"/>
            <w:vAlign w:val="center"/>
          </w:tcPr>
          <w:p w14:paraId="27FE8BE1" w14:textId="77777777" w:rsidR="00756632" w:rsidRDefault="00000000">
            <w:r>
              <w:rPr>
                <w:sz w:val="18"/>
              </w:rPr>
              <w:t>Observations</w:t>
            </w:r>
          </w:p>
        </w:tc>
        <w:tc>
          <w:tcPr>
            <w:tcW w:w="1656" w:type="dxa"/>
            <w:vAlign w:val="center"/>
          </w:tcPr>
          <w:p w14:paraId="6B490988" w14:textId="77777777" w:rsidR="00756632" w:rsidRDefault="00000000">
            <w:r>
              <w:rPr>
                <w:sz w:val="18"/>
              </w:rPr>
              <w:t>112</w:t>
            </w:r>
          </w:p>
        </w:tc>
        <w:tc>
          <w:tcPr>
            <w:tcW w:w="1656" w:type="dxa"/>
            <w:vAlign w:val="center"/>
          </w:tcPr>
          <w:p w14:paraId="6BFF9B97" w14:textId="77777777" w:rsidR="00756632" w:rsidRDefault="00000000">
            <w:r>
              <w:rPr>
                <w:sz w:val="18"/>
              </w:rPr>
              <w:t>112</w:t>
            </w:r>
          </w:p>
        </w:tc>
        <w:tc>
          <w:tcPr>
            <w:tcW w:w="1656" w:type="dxa"/>
            <w:vAlign w:val="center"/>
          </w:tcPr>
          <w:p w14:paraId="4800F35B" w14:textId="77777777" w:rsidR="00756632" w:rsidRDefault="00000000">
            <w:r>
              <w:rPr>
                <w:sz w:val="18"/>
              </w:rPr>
              <w:t>112</w:t>
            </w:r>
          </w:p>
        </w:tc>
        <w:tc>
          <w:tcPr>
            <w:tcW w:w="1656" w:type="dxa"/>
            <w:vAlign w:val="center"/>
          </w:tcPr>
          <w:p w14:paraId="6784BB81" w14:textId="77777777" w:rsidR="00756632" w:rsidRDefault="00000000">
            <w:r>
              <w:rPr>
                <w:sz w:val="18"/>
              </w:rPr>
              <w:t>112</w:t>
            </w:r>
          </w:p>
        </w:tc>
        <w:tc>
          <w:tcPr>
            <w:tcW w:w="1656" w:type="dxa"/>
            <w:vAlign w:val="center"/>
          </w:tcPr>
          <w:p w14:paraId="6A1A2EB5" w14:textId="77777777" w:rsidR="00756632" w:rsidRDefault="00000000">
            <w:r>
              <w:rPr>
                <w:sz w:val="18"/>
              </w:rPr>
              <w:t>112</w:t>
            </w:r>
          </w:p>
        </w:tc>
      </w:tr>
    </w:tbl>
    <w:p w14:paraId="61FFA861" w14:textId="77777777" w:rsidR="00756632" w:rsidRDefault="00756632"/>
    <w:p w14:paraId="27EB8E25" w14:textId="77777777" w:rsidR="00756632" w:rsidRDefault="00000000">
      <w:pPr>
        <w:spacing w:after="100"/>
      </w:pPr>
      <w:r>
        <w:t>Source: Authors’ computation from EViews 9.0 output.</w:t>
      </w:r>
    </w:p>
    <w:p w14:paraId="12B8F36B" w14:textId="77777777" w:rsidR="00756632" w:rsidRDefault="00000000">
      <w:pPr>
        <w:spacing w:after="100"/>
      </w:pPr>
      <w:r>
        <w:t>The descriptive statistics show variation across banks and years. The standard deviations indicate that FINR and OPR displayed greater dispersion than ASSR and CAR. The Jarque–Bera probabilities exceed 0.05 for all variables; however, normality of the raw variables is not, by itself, a sufficient condition for valid panel-regression inference. The diagnostic and model-selection results are therefore considered alongside the descriptive evidence.</w:t>
      </w:r>
    </w:p>
    <w:p w14:paraId="5C5EF868" w14:textId="77777777" w:rsidR="00756632" w:rsidRDefault="00000000">
      <w:pPr>
        <w:spacing w:after="100"/>
      </w:pPr>
      <w:r>
        <w:rPr>
          <w:b/>
        </w:rPr>
        <w:t>4.2 Correlation Analysis</w:t>
      </w:r>
    </w:p>
    <w:tbl>
      <w:tblPr>
        <w:tblStyle w:val="TableGrid"/>
        <w:tblW w:w="0" w:type="auto"/>
        <w:jc w:val="center"/>
        <w:tblLook w:val="04A0" w:firstRow="1" w:lastRow="0" w:firstColumn="1" w:lastColumn="0" w:noHBand="0" w:noVBand="1"/>
      </w:tblPr>
      <w:tblGrid>
        <w:gridCol w:w="1656"/>
        <w:gridCol w:w="1656"/>
        <w:gridCol w:w="1656"/>
        <w:gridCol w:w="1656"/>
        <w:gridCol w:w="1656"/>
        <w:gridCol w:w="1656"/>
      </w:tblGrid>
      <w:tr w:rsidR="00756632" w14:paraId="4C9C95B2" w14:textId="77777777">
        <w:trPr>
          <w:jc w:val="center"/>
        </w:trPr>
        <w:tc>
          <w:tcPr>
            <w:tcW w:w="1656" w:type="dxa"/>
            <w:vAlign w:val="center"/>
          </w:tcPr>
          <w:p w14:paraId="426C91E3" w14:textId="77777777" w:rsidR="00756632" w:rsidRDefault="00000000">
            <w:r>
              <w:rPr>
                <w:b/>
                <w:sz w:val="18"/>
              </w:rPr>
              <w:t>Variable</w:t>
            </w:r>
          </w:p>
        </w:tc>
        <w:tc>
          <w:tcPr>
            <w:tcW w:w="1656" w:type="dxa"/>
            <w:vAlign w:val="center"/>
          </w:tcPr>
          <w:p w14:paraId="5A257EB7" w14:textId="77777777" w:rsidR="00756632" w:rsidRDefault="00000000">
            <w:r>
              <w:rPr>
                <w:b/>
                <w:sz w:val="18"/>
              </w:rPr>
              <w:t>FIRE</w:t>
            </w:r>
          </w:p>
        </w:tc>
        <w:tc>
          <w:tcPr>
            <w:tcW w:w="1656" w:type="dxa"/>
            <w:vAlign w:val="center"/>
          </w:tcPr>
          <w:p w14:paraId="6B7B16BB" w14:textId="77777777" w:rsidR="00756632" w:rsidRDefault="00000000">
            <w:r>
              <w:rPr>
                <w:b/>
                <w:sz w:val="18"/>
              </w:rPr>
              <w:t>FINR</w:t>
            </w:r>
          </w:p>
        </w:tc>
        <w:tc>
          <w:tcPr>
            <w:tcW w:w="1656" w:type="dxa"/>
            <w:vAlign w:val="center"/>
          </w:tcPr>
          <w:p w14:paraId="6C24057B" w14:textId="77777777" w:rsidR="00756632" w:rsidRDefault="00000000">
            <w:r>
              <w:rPr>
                <w:b/>
                <w:sz w:val="18"/>
              </w:rPr>
              <w:t>ASSR</w:t>
            </w:r>
          </w:p>
        </w:tc>
        <w:tc>
          <w:tcPr>
            <w:tcW w:w="1656" w:type="dxa"/>
            <w:vAlign w:val="center"/>
          </w:tcPr>
          <w:p w14:paraId="3CF34222" w14:textId="77777777" w:rsidR="00756632" w:rsidRDefault="00000000">
            <w:r>
              <w:rPr>
                <w:b/>
                <w:sz w:val="18"/>
              </w:rPr>
              <w:t>OPR</w:t>
            </w:r>
          </w:p>
        </w:tc>
        <w:tc>
          <w:tcPr>
            <w:tcW w:w="1656" w:type="dxa"/>
            <w:vAlign w:val="center"/>
          </w:tcPr>
          <w:p w14:paraId="5B3CF555" w14:textId="77777777" w:rsidR="00756632" w:rsidRDefault="00000000">
            <w:r>
              <w:rPr>
                <w:b/>
                <w:sz w:val="18"/>
              </w:rPr>
              <w:t>CAR</w:t>
            </w:r>
          </w:p>
        </w:tc>
      </w:tr>
      <w:tr w:rsidR="00756632" w14:paraId="5EF32AB9" w14:textId="77777777">
        <w:trPr>
          <w:jc w:val="center"/>
        </w:trPr>
        <w:tc>
          <w:tcPr>
            <w:tcW w:w="1656" w:type="dxa"/>
            <w:vAlign w:val="center"/>
          </w:tcPr>
          <w:p w14:paraId="2E27A302" w14:textId="77777777" w:rsidR="00756632" w:rsidRDefault="00000000">
            <w:r>
              <w:rPr>
                <w:sz w:val="18"/>
              </w:rPr>
              <w:t>FIRE</w:t>
            </w:r>
          </w:p>
        </w:tc>
        <w:tc>
          <w:tcPr>
            <w:tcW w:w="1656" w:type="dxa"/>
            <w:vAlign w:val="center"/>
          </w:tcPr>
          <w:p w14:paraId="41A5594B" w14:textId="77777777" w:rsidR="00756632" w:rsidRDefault="00000000">
            <w:r>
              <w:rPr>
                <w:sz w:val="18"/>
              </w:rPr>
              <w:t>1.000000</w:t>
            </w:r>
          </w:p>
        </w:tc>
        <w:tc>
          <w:tcPr>
            <w:tcW w:w="1656" w:type="dxa"/>
            <w:vAlign w:val="center"/>
          </w:tcPr>
          <w:p w14:paraId="7F5F7CB7" w14:textId="77777777" w:rsidR="00756632" w:rsidRDefault="00756632"/>
        </w:tc>
        <w:tc>
          <w:tcPr>
            <w:tcW w:w="1656" w:type="dxa"/>
            <w:vAlign w:val="center"/>
          </w:tcPr>
          <w:p w14:paraId="0D407CF5" w14:textId="77777777" w:rsidR="00756632" w:rsidRDefault="00756632"/>
        </w:tc>
        <w:tc>
          <w:tcPr>
            <w:tcW w:w="1656" w:type="dxa"/>
            <w:vAlign w:val="center"/>
          </w:tcPr>
          <w:p w14:paraId="7E067BDF" w14:textId="77777777" w:rsidR="00756632" w:rsidRDefault="00756632"/>
        </w:tc>
        <w:tc>
          <w:tcPr>
            <w:tcW w:w="1656" w:type="dxa"/>
            <w:vAlign w:val="center"/>
          </w:tcPr>
          <w:p w14:paraId="59CB150B" w14:textId="77777777" w:rsidR="00756632" w:rsidRDefault="00756632"/>
        </w:tc>
      </w:tr>
      <w:tr w:rsidR="00756632" w14:paraId="7E625C91" w14:textId="77777777">
        <w:trPr>
          <w:jc w:val="center"/>
        </w:trPr>
        <w:tc>
          <w:tcPr>
            <w:tcW w:w="1656" w:type="dxa"/>
            <w:vAlign w:val="center"/>
          </w:tcPr>
          <w:p w14:paraId="31BAF258" w14:textId="77777777" w:rsidR="00756632" w:rsidRDefault="00000000">
            <w:r>
              <w:rPr>
                <w:sz w:val="18"/>
              </w:rPr>
              <w:t>FINR</w:t>
            </w:r>
          </w:p>
        </w:tc>
        <w:tc>
          <w:tcPr>
            <w:tcW w:w="1656" w:type="dxa"/>
            <w:vAlign w:val="center"/>
          </w:tcPr>
          <w:p w14:paraId="6BEFEC76" w14:textId="77777777" w:rsidR="00756632" w:rsidRDefault="00000000">
            <w:r>
              <w:rPr>
                <w:sz w:val="18"/>
              </w:rPr>
              <w:t>−0.529281</w:t>
            </w:r>
          </w:p>
        </w:tc>
        <w:tc>
          <w:tcPr>
            <w:tcW w:w="1656" w:type="dxa"/>
            <w:vAlign w:val="center"/>
          </w:tcPr>
          <w:p w14:paraId="6E4F6A8B" w14:textId="77777777" w:rsidR="00756632" w:rsidRDefault="00000000">
            <w:r>
              <w:rPr>
                <w:sz w:val="18"/>
              </w:rPr>
              <w:t>1.000000</w:t>
            </w:r>
          </w:p>
        </w:tc>
        <w:tc>
          <w:tcPr>
            <w:tcW w:w="1656" w:type="dxa"/>
            <w:vAlign w:val="center"/>
          </w:tcPr>
          <w:p w14:paraId="77B7441D" w14:textId="77777777" w:rsidR="00756632" w:rsidRDefault="00756632"/>
        </w:tc>
        <w:tc>
          <w:tcPr>
            <w:tcW w:w="1656" w:type="dxa"/>
            <w:vAlign w:val="center"/>
          </w:tcPr>
          <w:p w14:paraId="4CBD02D9" w14:textId="77777777" w:rsidR="00756632" w:rsidRDefault="00756632"/>
        </w:tc>
        <w:tc>
          <w:tcPr>
            <w:tcW w:w="1656" w:type="dxa"/>
            <w:vAlign w:val="center"/>
          </w:tcPr>
          <w:p w14:paraId="0A23117B" w14:textId="77777777" w:rsidR="00756632" w:rsidRDefault="00756632"/>
        </w:tc>
      </w:tr>
      <w:tr w:rsidR="00756632" w14:paraId="784A7EE8" w14:textId="77777777">
        <w:trPr>
          <w:jc w:val="center"/>
        </w:trPr>
        <w:tc>
          <w:tcPr>
            <w:tcW w:w="1656" w:type="dxa"/>
            <w:vAlign w:val="center"/>
          </w:tcPr>
          <w:p w14:paraId="1E86326B" w14:textId="77777777" w:rsidR="00756632" w:rsidRDefault="00000000">
            <w:r>
              <w:rPr>
                <w:sz w:val="18"/>
              </w:rPr>
              <w:lastRenderedPageBreak/>
              <w:t>ASSR</w:t>
            </w:r>
          </w:p>
        </w:tc>
        <w:tc>
          <w:tcPr>
            <w:tcW w:w="1656" w:type="dxa"/>
            <w:vAlign w:val="center"/>
          </w:tcPr>
          <w:p w14:paraId="1D490392" w14:textId="77777777" w:rsidR="00756632" w:rsidRDefault="00000000">
            <w:r>
              <w:rPr>
                <w:sz w:val="18"/>
              </w:rPr>
              <w:t>0.436646</w:t>
            </w:r>
          </w:p>
        </w:tc>
        <w:tc>
          <w:tcPr>
            <w:tcW w:w="1656" w:type="dxa"/>
            <w:vAlign w:val="center"/>
          </w:tcPr>
          <w:p w14:paraId="151AC392" w14:textId="77777777" w:rsidR="00756632" w:rsidRDefault="00000000">
            <w:r>
              <w:rPr>
                <w:sz w:val="18"/>
              </w:rPr>
              <w:t>0.240424</w:t>
            </w:r>
          </w:p>
        </w:tc>
        <w:tc>
          <w:tcPr>
            <w:tcW w:w="1656" w:type="dxa"/>
            <w:vAlign w:val="center"/>
          </w:tcPr>
          <w:p w14:paraId="3ECD6F1D" w14:textId="77777777" w:rsidR="00756632" w:rsidRDefault="00000000">
            <w:r>
              <w:rPr>
                <w:sz w:val="18"/>
              </w:rPr>
              <w:t>1.000000</w:t>
            </w:r>
          </w:p>
        </w:tc>
        <w:tc>
          <w:tcPr>
            <w:tcW w:w="1656" w:type="dxa"/>
            <w:vAlign w:val="center"/>
          </w:tcPr>
          <w:p w14:paraId="6A2C726A" w14:textId="77777777" w:rsidR="00756632" w:rsidRDefault="00756632"/>
        </w:tc>
        <w:tc>
          <w:tcPr>
            <w:tcW w:w="1656" w:type="dxa"/>
            <w:vAlign w:val="center"/>
          </w:tcPr>
          <w:p w14:paraId="462E4644" w14:textId="77777777" w:rsidR="00756632" w:rsidRDefault="00756632"/>
        </w:tc>
      </w:tr>
      <w:tr w:rsidR="00756632" w14:paraId="7059A32D" w14:textId="77777777">
        <w:trPr>
          <w:jc w:val="center"/>
        </w:trPr>
        <w:tc>
          <w:tcPr>
            <w:tcW w:w="1656" w:type="dxa"/>
            <w:vAlign w:val="center"/>
          </w:tcPr>
          <w:p w14:paraId="5CF3932C" w14:textId="77777777" w:rsidR="00756632" w:rsidRDefault="00000000">
            <w:r>
              <w:rPr>
                <w:sz w:val="18"/>
              </w:rPr>
              <w:t>OPR</w:t>
            </w:r>
          </w:p>
        </w:tc>
        <w:tc>
          <w:tcPr>
            <w:tcW w:w="1656" w:type="dxa"/>
            <w:vAlign w:val="center"/>
          </w:tcPr>
          <w:p w14:paraId="0761F9CC" w14:textId="77777777" w:rsidR="00756632" w:rsidRDefault="00000000">
            <w:r>
              <w:rPr>
                <w:sz w:val="18"/>
              </w:rPr>
              <w:t>−0.398804</w:t>
            </w:r>
          </w:p>
        </w:tc>
        <w:tc>
          <w:tcPr>
            <w:tcW w:w="1656" w:type="dxa"/>
            <w:vAlign w:val="center"/>
          </w:tcPr>
          <w:p w14:paraId="54B8AF6B" w14:textId="77777777" w:rsidR="00756632" w:rsidRDefault="00000000">
            <w:r>
              <w:rPr>
                <w:sz w:val="18"/>
              </w:rPr>
              <w:t>0.256768</w:t>
            </w:r>
          </w:p>
        </w:tc>
        <w:tc>
          <w:tcPr>
            <w:tcW w:w="1656" w:type="dxa"/>
            <w:vAlign w:val="center"/>
          </w:tcPr>
          <w:p w14:paraId="4C2E916F" w14:textId="77777777" w:rsidR="00756632" w:rsidRDefault="00000000">
            <w:r>
              <w:rPr>
                <w:sz w:val="18"/>
              </w:rPr>
              <w:t>−0.125121</w:t>
            </w:r>
          </w:p>
        </w:tc>
        <w:tc>
          <w:tcPr>
            <w:tcW w:w="1656" w:type="dxa"/>
            <w:vAlign w:val="center"/>
          </w:tcPr>
          <w:p w14:paraId="318E28F1" w14:textId="77777777" w:rsidR="00756632" w:rsidRDefault="00000000">
            <w:r>
              <w:rPr>
                <w:sz w:val="18"/>
              </w:rPr>
              <w:t>1.000000</w:t>
            </w:r>
          </w:p>
        </w:tc>
        <w:tc>
          <w:tcPr>
            <w:tcW w:w="1656" w:type="dxa"/>
            <w:vAlign w:val="center"/>
          </w:tcPr>
          <w:p w14:paraId="35C56252" w14:textId="77777777" w:rsidR="00756632" w:rsidRDefault="00756632"/>
        </w:tc>
      </w:tr>
      <w:tr w:rsidR="00756632" w14:paraId="1260A58F" w14:textId="77777777">
        <w:trPr>
          <w:jc w:val="center"/>
        </w:trPr>
        <w:tc>
          <w:tcPr>
            <w:tcW w:w="1656" w:type="dxa"/>
            <w:vAlign w:val="center"/>
          </w:tcPr>
          <w:p w14:paraId="39D5E8D0" w14:textId="77777777" w:rsidR="00756632" w:rsidRDefault="00000000">
            <w:r>
              <w:rPr>
                <w:sz w:val="18"/>
              </w:rPr>
              <w:t>CAR</w:t>
            </w:r>
          </w:p>
        </w:tc>
        <w:tc>
          <w:tcPr>
            <w:tcW w:w="1656" w:type="dxa"/>
            <w:vAlign w:val="center"/>
          </w:tcPr>
          <w:p w14:paraId="5E5149F4" w14:textId="77777777" w:rsidR="00756632" w:rsidRDefault="00000000">
            <w:r>
              <w:rPr>
                <w:sz w:val="18"/>
              </w:rPr>
              <w:t>−0.413070</w:t>
            </w:r>
          </w:p>
        </w:tc>
        <w:tc>
          <w:tcPr>
            <w:tcW w:w="1656" w:type="dxa"/>
            <w:vAlign w:val="center"/>
          </w:tcPr>
          <w:p w14:paraId="6F8F0009" w14:textId="77777777" w:rsidR="00756632" w:rsidRDefault="00000000">
            <w:r>
              <w:rPr>
                <w:sz w:val="18"/>
              </w:rPr>
              <w:t>−0.257239</w:t>
            </w:r>
          </w:p>
        </w:tc>
        <w:tc>
          <w:tcPr>
            <w:tcW w:w="1656" w:type="dxa"/>
            <w:vAlign w:val="center"/>
          </w:tcPr>
          <w:p w14:paraId="5C0156C6" w14:textId="77777777" w:rsidR="00756632" w:rsidRDefault="00000000">
            <w:r>
              <w:rPr>
                <w:sz w:val="18"/>
              </w:rPr>
              <w:t>−0.154211</w:t>
            </w:r>
          </w:p>
        </w:tc>
        <w:tc>
          <w:tcPr>
            <w:tcW w:w="1656" w:type="dxa"/>
            <w:vAlign w:val="center"/>
          </w:tcPr>
          <w:p w14:paraId="3A6ACD5C" w14:textId="77777777" w:rsidR="00756632" w:rsidRDefault="00000000">
            <w:r>
              <w:rPr>
                <w:sz w:val="18"/>
              </w:rPr>
              <w:t>0.049337</w:t>
            </w:r>
          </w:p>
        </w:tc>
        <w:tc>
          <w:tcPr>
            <w:tcW w:w="1656" w:type="dxa"/>
            <w:vAlign w:val="center"/>
          </w:tcPr>
          <w:p w14:paraId="2E551DB0" w14:textId="77777777" w:rsidR="00756632" w:rsidRDefault="00000000">
            <w:r>
              <w:rPr>
                <w:sz w:val="18"/>
              </w:rPr>
              <w:t>1.000000</w:t>
            </w:r>
          </w:p>
        </w:tc>
      </w:tr>
    </w:tbl>
    <w:p w14:paraId="20BC1067" w14:textId="77777777" w:rsidR="00756632" w:rsidRDefault="00756632"/>
    <w:p w14:paraId="69CE14C2" w14:textId="77777777" w:rsidR="00756632" w:rsidRDefault="00000000">
      <w:pPr>
        <w:spacing w:after="100"/>
      </w:pPr>
      <w:r>
        <w:t>Source: Authors’ computation from EViews 9.0 output.</w:t>
      </w:r>
    </w:p>
    <w:p w14:paraId="21FF5269" w14:textId="77777777" w:rsidR="00756632" w:rsidRDefault="00000000">
      <w:pPr>
        <w:spacing w:after="100"/>
      </w:pPr>
      <w:r>
        <w:t>FINR, OPR, and CAR are negatively correlated with FIRE, while ASSR is positively correlated with FIRE. Because a higher Z-score denotes greater financial stability, the negative correlations indicate that higher values of FINR, OPR, and CAR are associated descriptively with lower Z-scores, whereas higher ASSR is associated with higher Z-scores. These are bivariate associations and should not be interpreted as causal effects or as evidence that negative correlations improve resilience. The correlations among the explanatory variables are modest, and the VIF results provide additional evidence against harmful multicollinearity.</w:t>
      </w:r>
    </w:p>
    <w:p w14:paraId="5B094A41" w14:textId="77777777" w:rsidR="00756632" w:rsidRDefault="00000000">
      <w:pPr>
        <w:spacing w:after="100"/>
      </w:pPr>
      <w:r>
        <w:rPr>
          <w:b/>
        </w:rPr>
        <w:t>4.3 Multicollinearity Test</w:t>
      </w:r>
    </w:p>
    <w:tbl>
      <w:tblPr>
        <w:tblStyle w:val="TableGrid"/>
        <w:tblW w:w="0" w:type="auto"/>
        <w:jc w:val="center"/>
        <w:tblLook w:val="04A0" w:firstRow="1" w:lastRow="0" w:firstColumn="1" w:lastColumn="0" w:noHBand="0" w:noVBand="1"/>
      </w:tblPr>
      <w:tblGrid>
        <w:gridCol w:w="4968"/>
        <w:gridCol w:w="4968"/>
      </w:tblGrid>
      <w:tr w:rsidR="00756632" w14:paraId="209A20B9" w14:textId="77777777">
        <w:trPr>
          <w:jc w:val="center"/>
        </w:trPr>
        <w:tc>
          <w:tcPr>
            <w:tcW w:w="4968" w:type="dxa"/>
            <w:vAlign w:val="center"/>
          </w:tcPr>
          <w:p w14:paraId="0E727DBA" w14:textId="77777777" w:rsidR="00756632" w:rsidRDefault="00000000">
            <w:r>
              <w:rPr>
                <w:b/>
                <w:sz w:val="18"/>
              </w:rPr>
              <w:t>Variable</w:t>
            </w:r>
          </w:p>
        </w:tc>
        <w:tc>
          <w:tcPr>
            <w:tcW w:w="4968" w:type="dxa"/>
            <w:vAlign w:val="center"/>
          </w:tcPr>
          <w:p w14:paraId="594E0171" w14:textId="77777777" w:rsidR="00756632" w:rsidRDefault="00000000">
            <w:r>
              <w:rPr>
                <w:b/>
                <w:sz w:val="18"/>
              </w:rPr>
              <w:t>Centred VIF</w:t>
            </w:r>
          </w:p>
        </w:tc>
      </w:tr>
      <w:tr w:rsidR="00756632" w14:paraId="6E247B0F" w14:textId="77777777">
        <w:trPr>
          <w:jc w:val="center"/>
        </w:trPr>
        <w:tc>
          <w:tcPr>
            <w:tcW w:w="4968" w:type="dxa"/>
            <w:vAlign w:val="center"/>
          </w:tcPr>
          <w:p w14:paraId="53E6166C" w14:textId="77777777" w:rsidR="00756632" w:rsidRDefault="00000000">
            <w:r>
              <w:rPr>
                <w:sz w:val="18"/>
              </w:rPr>
              <w:t>FINR</w:t>
            </w:r>
          </w:p>
        </w:tc>
        <w:tc>
          <w:tcPr>
            <w:tcW w:w="4968" w:type="dxa"/>
            <w:vAlign w:val="center"/>
          </w:tcPr>
          <w:p w14:paraId="3CF7166F" w14:textId="77777777" w:rsidR="00756632" w:rsidRDefault="00000000">
            <w:r>
              <w:rPr>
                <w:sz w:val="18"/>
              </w:rPr>
              <w:t>1.103701</w:t>
            </w:r>
          </w:p>
        </w:tc>
      </w:tr>
      <w:tr w:rsidR="00756632" w14:paraId="4C8BF098" w14:textId="77777777">
        <w:trPr>
          <w:jc w:val="center"/>
        </w:trPr>
        <w:tc>
          <w:tcPr>
            <w:tcW w:w="4968" w:type="dxa"/>
            <w:vAlign w:val="center"/>
          </w:tcPr>
          <w:p w14:paraId="0891ED62" w14:textId="77777777" w:rsidR="00756632" w:rsidRDefault="00000000">
            <w:r>
              <w:rPr>
                <w:sz w:val="18"/>
              </w:rPr>
              <w:t>ASSR</w:t>
            </w:r>
          </w:p>
        </w:tc>
        <w:tc>
          <w:tcPr>
            <w:tcW w:w="4968" w:type="dxa"/>
            <w:vAlign w:val="center"/>
          </w:tcPr>
          <w:p w14:paraId="614C70B0" w14:textId="77777777" w:rsidR="00756632" w:rsidRDefault="00000000">
            <w:r>
              <w:rPr>
                <w:sz w:val="18"/>
              </w:rPr>
              <w:t>1.113812</w:t>
            </w:r>
          </w:p>
        </w:tc>
      </w:tr>
      <w:tr w:rsidR="00756632" w14:paraId="52B1C6F0" w14:textId="77777777">
        <w:trPr>
          <w:jc w:val="center"/>
        </w:trPr>
        <w:tc>
          <w:tcPr>
            <w:tcW w:w="4968" w:type="dxa"/>
            <w:vAlign w:val="center"/>
          </w:tcPr>
          <w:p w14:paraId="2F99DD33" w14:textId="77777777" w:rsidR="00756632" w:rsidRDefault="00000000">
            <w:r>
              <w:rPr>
                <w:sz w:val="18"/>
              </w:rPr>
              <w:t>OPR</w:t>
            </w:r>
          </w:p>
        </w:tc>
        <w:tc>
          <w:tcPr>
            <w:tcW w:w="4968" w:type="dxa"/>
            <w:vAlign w:val="center"/>
          </w:tcPr>
          <w:p w14:paraId="3CC7A92C" w14:textId="77777777" w:rsidR="00756632" w:rsidRDefault="00000000">
            <w:r>
              <w:rPr>
                <w:sz w:val="18"/>
              </w:rPr>
              <w:t>1.056968</w:t>
            </w:r>
          </w:p>
        </w:tc>
      </w:tr>
      <w:tr w:rsidR="00756632" w14:paraId="1C31DABD" w14:textId="77777777">
        <w:trPr>
          <w:jc w:val="center"/>
        </w:trPr>
        <w:tc>
          <w:tcPr>
            <w:tcW w:w="4968" w:type="dxa"/>
            <w:vAlign w:val="center"/>
          </w:tcPr>
          <w:p w14:paraId="0929C9BF" w14:textId="77777777" w:rsidR="00756632" w:rsidRDefault="00000000">
            <w:r>
              <w:rPr>
                <w:sz w:val="18"/>
              </w:rPr>
              <w:t>CAR</w:t>
            </w:r>
          </w:p>
        </w:tc>
        <w:tc>
          <w:tcPr>
            <w:tcW w:w="4968" w:type="dxa"/>
            <w:vAlign w:val="center"/>
          </w:tcPr>
          <w:p w14:paraId="232D4EB9" w14:textId="77777777" w:rsidR="00756632" w:rsidRDefault="00000000">
            <w:r>
              <w:rPr>
                <w:sz w:val="18"/>
              </w:rPr>
              <w:t>1.026099</w:t>
            </w:r>
          </w:p>
        </w:tc>
      </w:tr>
      <w:tr w:rsidR="00756632" w14:paraId="102C521C" w14:textId="77777777">
        <w:trPr>
          <w:jc w:val="center"/>
        </w:trPr>
        <w:tc>
          <w:tcPr>
            <w:tcW w:w="4968" w:type="dxa"/>
            <w:vAlign w:val="center"/>
          </w:tcPr>
          <w:p w14:paraId="3FA13BBC" w14:textId="77777777" w:rsidR="00756632" w:rsidRDefault="00000000">
            <w:r>
              <w:rPr>
                <w:sz w:val="18"/>
              </w:rPr>
              <w:t>Mean VIF</w:t>
            </w:r>
          </w:p>
        </w:tc>
        <w:tc>
          <w:tcPr>
            <w:tcW w:w="4968" w:type="dxa"/>
            <w:vAlign w:val="center"/>
          </w:tcPr>
          <w:p w14:paraId="277D622E" w14:textId="77777777" w:rsidR="00756632" w:rsidRDefault="00000000">
            <w:r>
              <w:rPr>
                <w:sz w:val="18"/>
              </w:rPr>
              <w:t>1.075145</w:t>
            </w:r>
          </w:p>
        </w:tc>
      </w:tr>
    </w:tbl>
    <w:p w14:paraId="0F56B605" w14:textId="77777777" w:rsidR="00756632" w:rsidRDefault="00756632"/>
    <w:p w14:paraId="0C9199FD" w14:textId="77777777" w:rsidR="00756632" w:rsidRDefault="00000000">
      <w:pPr>
        <w:spacing w:after="100"/>
      </w:pPr>
      <w:r>
        <w:t>All centred VIF values are close to one and well below conventional thresholds, indicating that harmful multicollinearity is unlikely to distort the coefficient estimates.</w:t>
      </w:r>
    </w:p>
    <w:p w14:paraId="48CD2CEA" w14:textId="77777777" w:rsidR="00756632" w:rsidRDefault="00000000">
      <w:pPr>
        <w:spacing w:after="100"/>
      </w:pPr>
      <w:r>
        <w:rPr>
          <w:b/>
        </w:rPr>
        <w:t>4.4 Model Selection and Cross-Sectional Dependence</w:t>
      </w:r>
    </w:p>
    <w:tbl>
      <w:tblPr>
        <w:tblStyle w:val="TableGrid"/>
        <w:tblW w:w="0" w:type="auto"/>
        <w:jc w:val="center"/>
        <w:tblLook w:val="04A0" w:firstRow="1" w:lastRow="0" w:firstColumn="1" w:lastColumn="0" w:noHBand="0" w:noVBand="1"/>
      </w:tblPr>
      <w:tblGrid>
        <w:gridCol w:w="2484"/>
        <w:gridCol w:w="2484"/>
        <w:gridCol w:w="2484"/>
        <w:gridCol w:w="2484"/>
      </w:tblGrid>
      <w:tr w:rsidR="00756632" w14:paraId="34E7B2C9" w14:textId="77777777">
        <w:trPr>
          <w:jc w:val="center"/>
        </w:trPr>
        <w:tc>
          <w:tcPr>
            <w:tcW w:w="2484" w:type="dxa"/>
            <w:vAlign w:val="center"/>
          </w:tcPr>
          <w:p w14:paraId="0240FB15" w14:textId="77777777" w:rsidR="00756632" w:rsidRDefault="00000000">
            <w:r>
              <w:rPr>
                <w:b/>
                <w:sz w:val="18"/>
              </w:rPr>
              <w:t>Test</w:t>
            </w:r>
          </w:p>
        </w:tc>
        <w:tc>
          <w:tcPr>
            <w:tcW w:w="2484" w:type="dxa"/>
            <w:vAlign w:val="center"/>
          </w:tcPr>
          <w:p w14:paraId="11ED0197" w14:textId="77777777" w:rsidR="00756632" w:rsidRDefault="00000000">
            <w:r>
              <w:rPr>
                <w:b/>
                <w:sz w:val="18"/>
              </w:rPr>
              <w:t>Statistic</w:t>
            </w:r>
          </w:p>
        </w:tc>
        <w:tc>
          <w:tcPr>
            <w:tcW w:w="2484" w:type="dxa"/>
            <w:vAlign w:val="center"/>
          </w:tcPr>
          <w:p w14:paraId="4C62B0BC" w14:textId="77777777" w:rsidR="00756632" w:rsidRDefault="00000000">
            <w:r>
              <w:rPr>
                <w:b/>
                <w:sz w:val="18"/>
              </w:rPr>
              <w:t>p-value</w:t>
            </w:r>
          </w:p>
        </w:tc>
        <w:tc>
          <w:tcPr>
            <w:tcW w:w="2484" w:type="dxa"/>
            <w:vAlign w:val="center"/>
          </w:tcPr>
          <w:p w14:paraId="0122F398" w14:textId="77777777" w:rsidR="00756632" w:rsidRDefault="00000000">
            <w:r>
              <w:rPr>
                <w:b/>
                <w:sz w:val="18"/>
              </w:rPr>
              <w:t>Interpretation</w:t>
            </w:r>
          </w:p>
        </w:tc>
      </w:tr>
      <w:tr w:rsidR="00756632" w14:paraId="1EC5DE98" w14:textId="77777777">
        <w:trPr>
          <w:jc w:val="center"/>
        </w:trPr>
        <w:tc>
          <w:tcPr>
            <w:tcW w:w="2484" w:type="dxa"/>
            <w:vAlign w:val="center"/>
          </w:tcPr>
          <w:p w14:paraId="37C29513" w14:textId="77777777" w:rsidR="00756632" w:rsidRDefault="00000000">
            <w:r>
              <w:rPr>
                <w:sz w:val="18"/>
              </w:rPr>
              <w:t>Hausman test</w:t>
            </w:r>
          </w:p>
        </w:tc>
        <w:tc>
          <w:tcPr>
            <w:tcW w:w="2484" w:type="dxa"/>
            <w:vAlign w:val="center"/>
          </w:tcPr>
          <w:p w14:paraId="3EDDC6E4" w14:textId="77777777" w:rsidR="00756632" w:rsidRDefault="00000000">
            <w:r>
              <w:rPr>
                <w:sz w:val="18"/>
              </w:rPr>
              <w:t>1.772583</w:t>
            </w:r>
          </w:p>
        </w:tc>
        <w:tc>
          <w:tcPr>
            <w:tcW w:w="2484" w:type="dxa"/>
            <w:vAlign w:val="center"/>
          </w:tcPr>
          <w:p w14:paraId="5D23F7D6" w14:textId="77777777" w:rsidR="00756632" w:rsidRDefault="00000000">
            <w:r>
              <w:rPr>
                <w:sz w:val="18"/>
              </w:rPr>
              <w:t>0.7775</w:t>
            </w:r>
          </w:p>
        </w:tc>
        <w:tc>
          <w:tcPr>
            <w:tcW w:w="2484" w:type="dxa"/>
            <w:vAlign w:val="center"/>
          </w:tcPr>
          <w:p w14:paraId="47E7B2DF" w14:textId="77777777" w:rsidR="00756632" w:rsidRDefault="00000000">
            <w:r>
              <w:rPr>
                <w:sz w:val="18"/>
              </w:rPr>
              <w:t>Random effects preferred to fixed effects under the test’s null hypothesis.</w:t>
            </w:r>
          </w:p>
        </w:tc>
      </w:tr>
      <w:tr w:rsidR="00756632" w14:paraId="097F7622" w14:textId="77777777">
        <w:trPr>
          <w:jc w:val="center"/>
        </w:trPr>
        <w:tc>
          <w:tcPr>
            <w:tcW w:w="2484" w:type="dxa"/>
            <w:vAlign w:val="center"/>
          </w:tcPr>
          <w:p w14:paraId="27F92EEF" w14:textId="77777777" w:rsidR="00756632" w:rsidRDefault="00000000">
            <w:r>
              <w:rPr>
                <w:sz w:val="18"/>
              </w:rPr>
              <w:t>Breusch–Pagan LM</w:t>
            </w:r>
          </w:p>
        </w:tc>
        <w:tc>
          <w:tcPr>
            <w:tcW w:w="2484" w:type="dxa"/>
            <w:vAlign w:val="center"/>
          </w:tcPr>
          <w:p w14:paraId="1D8A45C4" w14:textId="77777777" w:rsidR="00756632" w:rsidRDefault="00000000">
            <w:r>
              <w:rPr>
                <w:sz w:val="18"/>
              </w:rPr>
              <w:t>135.9157</w:t>
            </w:r>
          </w:p>
        </w:tc>
        <w:tc>
          <w:tcPr>
            <w:tcW w:w="2484" w:type="dxa"/>
            <w:vAlign w:val="center"/>
          </w:tcPr>
          <w:p w14:paraId="5CA339DB" w14:textId="77777777" w:rsidR="00756632" w:rsidRDefault="00000000">
            <w:r>
              <w:rPr>
                <w:sz w:val="18"/>
              </w:rPr>
              <w:t>0.0016</w:t>
            </w:r>
          </w:p>
        </w:tc>
        <w:tc>
          <w:tcPr>
            <w:tcW w:w="2484" w:type="dxa"/>
            <w:vAlign w:val="center"/>
          </w:tcPr>
          <w:p w14:paraId="7CEF7599" w14:textId="77777777" w:rsidR="00756632" w:rsidRDefault="00000000">
            <w:r>
              <w:rPr>
                <w:sz w:val="18"/>
              </w:rPr>
              <w:t>Random effects preferred to pooled OLS.</w:t>
            </w:r>
          </w:p>
        </w:tc>
      </w:tr>
      <w:tr w:rsidR="00756632" w14:paraId="5115954A" w14:textId="77777777">
        <w:trPr>
          <w:jc w:val="center"/>
        </w:trPr>
        <w:tc>
          <w:tcPr>
            <w:tcW w:w="2484" w:type="dxa"/>
            <w:vAlign w:val="center"/>
          </w:tcPr>
          <w:p w14:paraId="79E39A17" w14:textId="77777777" w:rsidR="00756632" w:rsidRDefault="00000000">
            <w:r>
              <w:rPr>
                <w:sz w:val="18"/>
              </w:rPr>
              <w:t>Pesaran scaled LM</w:t>
            </w:r>
          </w:p>
        </w:tc>
        <w:tc>
          <w:tcPr>
            <w:tcW w:w="2484" w:type="dxa"/>
            <w:vAlign w:val="center"/>
          </w:tcPr>
          <w:p w14:paraId="2B9B56D9" w14:textId="77777777" w:rsidR="00756632" w:rsidRDefault="00000000">
            <w:r>
              <w:rPr>
                <w:sz w:val="18"/>
              </w:rPr>
              <w:t>2.291628</w:t>
            </w:r>
          </w:p>
        </w:tc>
        <w:tc>
          <w:tcPr>
            <w:tcW w:w="2484" w:type="dxa"/>
            <w:vAlign w:val="center"/>
          </w:tcPr>
          <w:p w14:paraId="015F8B4B" w14:textId="77777777" w:rsidR="00756632" w:rsidRDefault="00000000">
            <w:r>
              <w:rPr>
                <w:sz w:val="18"/>
              </w:rPr>
              <w:t>0.0219</w:t>
            </w:r>
          </w:p>
        </w:tc>
        <w:tc>
          <w:tcPr>
            <w:tcW w:w="2484" w:type="dxa"/>
            <w:vAlign w:val="center"/>
          </w:tcPr>
          <w:p w14:paraId="496F6229" w14:textId="77777777" w:rsidR="00756632" w:rsidRDefault="00000000">
            <w:r>
              <w:rPr>
                <w:sz w:val="18"/>
              </w:rPr>
              <w:t>Evidence of cross-sectional dependence.</w:t>
            </w:r>
          </w:p>
        </w:tc>
      </w:tr>
      <w:tr w:rsidR="00756632" w14:paraId="4A0D1CD0" w14:textId="77777777">
        <w:trPr>
          <w:jc w:val="center"/>
        </w:trPr>
        <w:tc>
          <w:tcPr>
            <w:tcW w:w="2484" w:type="dxa"/>
            <w:vAlign w:val="center"/>
          </w:tcPr>
          <w:p w14:paraId="440D0762" w14:textId="77777777" w:rsidR="00756632" w:rsidRDefault="00000000">
            <w:r>
              <w:rPr>
                <w:sz w:val="18"/>
              </w:rPr>
              <w:t>Pesaran CD</w:t>
            </w:r>
          </w:p>
        </w:tc>
        <w:tc>
          <w:tcPr>
            <w:tcW w:w="2484" w:type="dxa"/>
            <w:vAlign w:val="center"/>
          </w:tcPr>
          <w:p w14:paraId="42E109BA" w14:textId="77777777" w:rsidR="00756632" w:rsidRDefault="00000000">
            <w:r>
              <w:rPr>
                <w:sz w:val="18"/>
              </w:rPr>
              <w:t>2.118854</w:t>
            </w:r>
          </w:p>
        </w:tc>
        <w:tc>
          <w:tcPr>
            <w:tcW w:w="2484" w:type="dxa"/>
            <w:vAlign w:val="center"/>
          </w:tcPr>
          <w:p w14:paraId="4E3EF737" w14:textId="77777777" w:rsidR="00756632" w:rsidRDefault="00000000">
            <w:r>
              <w:rPr>
                <w:sz w:val="18"/>
              </w:rPr>
              <w:t>0.0341</w:t>
            </w:r>
          </w:p>
        </w:tc>
        <w:tc>
          <w:tcPr>
            <w:tcW w:w="2484" w:type="dxa"/>
            <w:vAlign w:val="center"/>
          </w:tcPr>
          <w:p w14:paraId="609EE03B" w14:textId="77777777" w:rsidR="00756632" w:rsidRDefault="00000000">
            <w:r>
              <w:rPr>
                <w:sz w:val="18"/>
              </w:rPr>
              <w:t>Evidence of cross-sectional dependence.</w:t>
            </w:r>
          </w:p>
        </w:tc>
      </w:tr>
    </w:tbl>
    <w:p w14:paraId="7417282F" w14:textId="77777777" w:rsidR="00756632" w:rsidRDefault="00756632"/>
    <w:p w14:paraId="376D7DFF" w14:textId="77777777" w:rsidR="00756632" w:rsidRDefault="00000000">
      <w:pPr>
        <w:spacing w:after="100"/>
      </w:pPr>
      <w:r>
        <w:t>The Hausman result does not reject the random-effects specification, and the Breusch–Pagan LM result supports random effects over pooled OLS. However, the significant Pesaran statistics indicate cross-sectional dependence, meaning that common shocks or interbank linkages may affect the sampled banks simultaneously. The baseline random-effects estimates are presented below, but this dependence should be addressed through an appropriate robustness procedure before final submission if the underlying dataset and software output are available.</w:t>
      </w:r>
    </w:p>
    <w:p w14:paraId="7E878144" w14:textId="77777777" w:rsidR="00756632" w:rsidRDefault="00000000">
      <w:pPr>
        <w:spacing w:after="100"/>
      </w:pPr>
      <w:r>
        <w:rPr>
          <w:b/>
        </w:rPr>
        <w:t>4.5 Random-Effects Regression Results</w:t>
      </w:r>
    </w:p>
    <w:tbl>
      <w:tblPr>
        <w:tblStyle w:val="TableGrid"/>
        <w:tblW w:w="0" w:type="auto"/>
        <w:jc w:val="center"/>
        <w:tblLook w:val="04A0" w:firstRow="1" w:lastRow="0" w:firstColumn="1" w:lastColumn="0" w:noHBand="0" w:noVBand="1"/>
      </w:tblPr>
      <w:tblGrid>
        <w:gridCol w:w="1656"/>
        <w:gridCol w:w="1656"/>
        <w:gridCol w:w="1656"/>
        <w:gridCol w:w="1656"/>
        <w:gridCol w:w="1656"/>
        <w:gridCol w:w="1656"/>
      </w:tblGrid>
      <w:tr w:rsidR="00756632" w14:paraId="5FB4904D" w14:textId="77777777">
        <w:trPr>
          <w:jc w:val="center"/>
        </w:trPr>
        <w:tc>
          <w:tcPr>
            <w:tcW w:w="1656" w:type="dxa"/>
            <w:vAlign w:val="center"/>
          </w:tcPr>
          <w:p w14:paraId="2F77018B" w14:textId="77777777" w:rsidR="00756632" w:rsidRDefault="00000000">
            <w:r>
              <w:rPr>
                <w:b/>
                <w:sz w:val="18"/>
              </w:rPr>
              <w:t>Variable</w:t>
            </w:r>
          </w:p>
        </w:tc>
        <w:tc>
          <w:tcPr>
            <w:tcW w:w="1656" w:type="dxa"/>
            <w:vAlign w:val="center"/>
          </w:tcPr>
          <w:p w14:paraId="03830472" w14:textId="77777777" w:rsidR="00756632" w:rsidRDefault="00000000">
            <w:r>
              <w:rPr>
                <w:b/>
                <w:sz w:val="18"/>
              </w:rPr>
              <w:t>Coefficient</w:t>
            </w:r>
          </w:p>
        </w:tc>
        <w:tc>
          <w:tcPr>
            <w:tcW w:w="1656" w:type="dxa"/>
            <w:vAlign w:val="center"/>
          </w:tcPr>
          <w:p w14:paraId="544E3FD0" w14:textId="77777777" w:rsidR="00756632" w:rsidRDefault="00000000">
            <w:r>
              <w:rPr>
                <w:b/>
                <w:sz w:val="18"/>
              </w:rPr>
              <w:t>Std. Error</w:t>
            </w:r>
          </w:p>
        </w:tc>
        <w:tc>
          <w:tcPr>
            <w:tcW w:w="1656" w:type="dxa"/>
            <w:vAlign w:val="center"/>
          </w:tcPr>
          <w:p w14:paraId="58F2E374" w14:textId="77777777" w:rsidR="00756632" w:rsidRDefault="00000000">
            <w:r>
              <w:rPr>
                <w:b/>
                <w:sz w:val="18"/>
              </w:rPr>
              <w:t>t-statistic</w:t>
            </w:r>
          </w:p>
        </w:tc>
        <w:tc>
          <w:tcPr>
            <w:tcW w:w="1656" w:type="dxa"/>
            <w:vAlign w:val="center"/>
          </w:tcPr>
          <w:p w14:paraId="790CD19F" w14:textId="77777777" w:rsidR="00756632" w:rsidRDefault="00000000">
            <w:r>
              <w:rPr>
                <w:b/>
                <w:sz w:val="18"/>
              </w:rPr>
              <w:t>p-value</w:t>
            </w:r>
          </w:p>
        </w:tc>
        <w:tc>
          <w:tcPr>
            <w:tcW w:w="1656" w:type="dxa"/>
            <w:vAlign w:val="center"/>
          </w:tcPr>
          <w:p w14:paraId="7BD2C3F5" w14:textId="77777777" w:rsidR="00756632" w:rsidRDefault="00000000">
            <w:r>
              <w:rPr>
                <w:b/>
                <w:sz w:val="18"/>
              </w:rPr>
              <w:t>Decision</w:t>
            </w:r>
          </w:p>
        </w:tc>
      </w:tr>
      <w:tr w:rsidR="00756632" w14:paraId="373A2CF5" w14:textId="77777777">
        <w:trPr>
          <w:jc w:val="center"/>
        </w:trPr>
        <w:tc>
          <w:tcPr>
            <w:tcW w:w="1656" w:type="dxa"/>
            <w:vAlign w:val="center"/>
          </w:tcPr>
          <w:p w14:paraId="2D10D562" w14:textId="77777777" w:rsidR="00756632" w:rsidRDefault="00000000">
            <w:r>
              <w:rPr>
                <w:sz w:val="18"/>
              </w:rPr>
              <w:t>Constant</w:t>
            </w:r>
          </w:p>
        </w:tc>
        <w:tc>
          <w:tcPr>
            <w:tcW w:w="1656" w:type="dxa"/>
            <w:vAlign w:val="center"/>
          </w:tcPr>
          <w:p w14:paraId="79D6CA4B" w14:textId="77777777" w:rsidR="00756632" w:rsidRDefault="00000000">
            <w:r>
              <w:rPr>
                <w:sz w:val="18"/>
              </w:rPr>
              <w:t>0.395128</w:t>
            </w:r>
          </w:p>
        </w:tc>
        <w:tc>
          <w:tcPr>
            <w:tcW w:w="1656" w:type="dxa"/>
            <w:vAlign w:val="center"/>
          </w:tcPr>
          <w:p w14:paraId="401B9A34" w14:textId="77777777" w:rsidR="00756632" w:rsidRDefault="00000000">
            <w:r>
              <w:rPr>
                <w:sz w:val="18"/>
              </w:rPr>
              <w:t>0.060501</w:t>
            </w:r>
          </w:p>
        </w:tc>
        <w:tc>
          <w:tcPr>
            <w:tcW w:w="1656" w:type="dxa"/>
            <w:vAlign w:val="center"/>
          </w:tcPr>
          <w:p w14:paraId="7DF79993" w14:textId="77777777" w:rsidR="00756632" w:rsidRDefault="00000000">
            <w:r>
              <w:rPr>
                <w:sz w:val="18"/>
              </w:rPr>
              <w:t>6.530912</w:t>
            </w:r>
          </w:p>
        </w:tc>
        <w:tc>
          <w:tcPr>
            <w:tcW w:w="1656" w:type="dxa"/>
            <w:vAlign w:val="center"/>
          </w:tcPr>
          <w:p w14:paraId="1ECB90B2" w14:textId="77777777" w:rsidR="00756632" w:rsidRDefault="00000000">
            <w:r>
              <w:rPr>
                <w:sz w:val="18"/>
              </w:rPr>
              <w:t>0.0000</w:t>
            </w:r>
          </w:p>
        </w:tc>
        <w:tc>
          <w:tcPr>
            <w:tcW w:w="1656" w:type="dxa"/>
            <w:vAlign w:val="center"/>
          </w:tcPr>
          <w:p w14:paraId="027AAC8C" w14:textId="77777777" w:rsidR="00756632" w:rsidRDefault="00000000">
            <w:r>
              <w:rPr>
                <w:sz w:val="18"/>
              </w:rPr>
              <w:t>Significant</w:t>
            </w:r>
          </w:p>
        </w:tc>
      </w:tr>
      <w:tr w:rsidR="00756632" w14:paraId="6225B173" w14:textId="77777777">
        <w:trPr>
          <w:jc w:val="center"/>
        </w:trPr>
        <w:tc>
          <w:tcPr>
            <w:tcW w:w="1656" w:type="dxa"/>
            <w:vAlign w:val="center"/>
          </w:tcPr>
          <w:p w14:paraId="4DDB9264" w14:textId="77777777" w:rsidR="00756632" w:rsidRDefault="00000000">
            <w:r>
              <w:rPr>
                <w:sz w:val="18"/>
              </w:rPr>
              <w:t>FINR</w:t>
            </w:r>
          </w:p>
        </w:tc>
        <w:tc>
          <w:tcPr>
            <w:tcW w:w="1656" w:type="dxa"/>
            <w:vAlign w:val="center"/>
          </w:tcPr>
          <w:p w14:paraId="7B8BD992" w14:textId="77777777" w:rsidR="00756632" w:rsidRDefault="00000000">
            <w:r>
              <w:rPr>
                <w:sz w:val="18"/>
              </w:rPr>
              <w:t>−0.071595</w:t>
            </w:r>
          </w:p>
        </w:tc>
        <w:tc>
          <w:tcPr>
            <w:tcW w:w="1656" w:type="dxa"/>
            <w:vAlign w:val="center"/>
          </w:tcPr>
          <w:p w14:paraId="3F26AEAD" w14:textId="77777777" w:rsidR="00756632" w:rsidRDefault="00000000">
            <w:r>
              <w:rPr>
                <w:sz w:val="18"/>
              </w:rPr>
              <w:t>0.027677</w:t>
            </w:r>
          </w:p>
        </w:tc>
        <w:tc>
          <w:tcPr>
            <w:tcW w:w="1656" w:type="dxa"/>
            <w:vAlign w:val="center"/>
          </w:tcPr>
          <w:p w14:paraId="4A07E768" w14:textId="77777777" w:rsidR="00756632" w:rsidRDefault="00000000">
            <w:r>
              <w:rPr>
                <w:sz w:val="18"/>
              </w:rPr>
              <w:t>−2.586790</w:t>
            </w:r>
          </w:p>
        </w:tc>
        <w:tc>
          <w:tcPr>
            <w:tcW w:w="1656" w:type="dxa"/>
            <w:vAlign w:val="center"/>
          </w:tcPr>
          <w:p w14:paraId="2C456257" w14:textId="77777777" w:rsidR="00756632" w:rsidRDefault="00000000">
            <w:r>
              <w:rPr>
                <w:sz w:val="18"/>
              </w:rPr>
              <w:t>0.0106</w:t>
            </w:r>
          </w:p>
        </w:tc>
        <w:tc>
          <w:tcPr>
            <w:tcW w:w="1656" w:type="dxa"/>
            <w:vAlign w:val="center"/>
          </w:tcPr>
          <w:p w14:paraId="7CDA6A1C" w14:textId="77777777" w:rsidR="00756632" w:rsidRDefault="00000000">
            <w:r>
              <w:rPr>
                <w:sz w:val="18"/>
              </w:rPr>
              <w:t>Reject H01</w:t>
            </w:r>
          </w:p>
        </w:tc>
      </w:tr>
      <w:tr w:rsidR="00756632" w14:paraId="2A4E4148" w14:textId="77777777">
        <w:trPr>
          <w:jc w:val="center"/>
        </w:trPr>
        <w:tc>
          <w:tcPr>
            <w:tcW w:w="1656" w:type="dxa"/>
            <w:vAlign w:val="center"/>
          </w:tcPr>
          <w:p w14:paraId="5B157D97" w14:textId="77777777" w:rsidR="00756632" w:rsidRDefault="00000000">
            <w:r>
              <w:rPr>
                <w:sz w:val="18"/>
              </w:rPr>
              <w:t>ASSR</w:t>
            </w:r>
          </w:p>
        </w:tc>
        <w:tc>
          <w:tcPr>
            <w:tcW w:w="1656" w:type="dxa"/>
            <w:vAlign w:val="center"/>
          </w:tcPr>
          <w:p w14:paraId="627FEA83" w14:textId="77777777" w:rsidR="00756632" w:rsidRDefault="00000000">
            <w:r>
              <w:rPr>
                <w:sz w:val="18"/>
              </w:rPr>
              <w:t>0.420337</w:t>
            </w:r>
          </w:p>
        </w:tc>
        <w:tc>
          <w:tcPr>
            <w:tcW w:w="1656" w:type="dxa"/>
            <w:vAlign w:val="center"/>
          </w:tcPr>
          <w:p w14:paraId="60548991" w14:textId="77777777" w:rsidR="00756632" w:rsidRDefault="00000000">
            <w:r>
              <w:rPr>
                <w:sz w:val="18"/>
              </w:rPr>
              <w:t>0.098847</w:t>
            </w:r>
          </w:p>
        </w:tc>
        <w:tc>
          <w:tcPr>
            <w:tcW w:w="1656" w:type="dxa"/>
            <w:vAlign w:val="center"/>
          </w:tcPr>
          <w:p w14:paraId="262E61AF" w14:textId="77777777" w:rsidR="00756632" w:rsidRDefault="00000000">
            <w:r>
              <w:rPr>
                <w:sz w:val="18"/>
              </w:rPr>
              <w:t>4.252396</w:t>
            </w:r>
          </w:p>
        </w:tc>
        <w:tc>
          <w:tcPr>
            <w:tcW w:w="1656" w:type="dxa"/>
            <w:vAlign w:val="center"/>
          </w:tcPr>
          <w:p w14:paraId="5C664087" w14:textId="77777777" w:rsidR="00756632" w:rsidRDefault="00000000">
            <w:r>
              <w:rPr>
                <w:sz w:val="18"/>
              </w:rPr>
              <w:t>0.0000</w:t>
            </w:r>
          </w:p>
        </w:tc>
        <w:tc>
          <w:tcPr>
            <w:tcW w:w="1656" w:type="dxa"/>
            <w:vAlign w:val="center"/>
          </w:tcPr>
          <w:p w14:paraId="59C65F98" w14:textId="77777777" w:rsidR="00756632" w:rsidRDefault="00000000">
            <w:r>
              <w:rPr>
                <w:sz w:val="18"/>
              </w:rPr>
              <w:t>Reject H02</w:t>
            </w:r>
          </w:p>
        </w:tc>
      </w:tr>
      <w:tr w:rsidR="00756632" w14:paraId="3E73D40D" w14:textId="77777777">
        <w:trPr>
          <w:jc w:val="center"/>
        </w:trPr>
        <w:tc>
          <w:tcPr>
            <w:tcW w:w="1656" w:type="dxa"/>
            <w:vAlign w:val="center"/>
          </w:tcPr>
          <w:p w14:paraId="172B32B0" w14:textId="77777777" w:rsidR="00756632" w:rsidRDefault="00000000">
            <w:r>
              <w:rPr>
                <w:sz w:val="18"/>
              </w:rPr>
              <w:t>OPR</w:t>
            </w:r>
          </w:p>
        </w:tc>
        <w:tc>
          <w:tcPr>
            <w:tcW w:w="1656" w:type="dxa"/>
            <w:vAlign w:val="center"/>
          </w:tcPr>
          <w:p w14:paraId="6F444102" w14:textId="77777777" w:rsidR="00756632" w:rsidRDefault="00000000">
            <w:r>
              <w:rPr>
                <w:sz w:val="18"/>
              </w:rPr>
              <w:t>0.009859</w:t>
            </w:r>
          </w:p>
        </w:tc>
        <w:tc>
          <w:tcPr>
            <w:tcW w:w="1656" w:type="dxa"/>
            <w:vAlign w:val="center"/>
          </w:tcPr>
          <w:p w14:paraId="287ED6F9" w14:textId="77777777" w:rsidR="00756632" w:rsidRDefault="00000000">
            <w:r>
              <w:rPr>
                <w:sz w:val="18"/>
              </w:rPr>
              <w:t>0.137515</w:t>
            </w:r>
          </w:p>
        </w:tc>
        <w:tc>
          <w:tcPr>
            <w:tcW w:w="1656" w:type="dxa"/>
            <w:vAlign w:val="center"/>
          </w:tcPr>
          <w:p w14:paraId="2509E201" w14:textId="77777777" w:rsidR="00756632" w:rsidRDefault="00000000">
            <w:r>
              <w:rPr>
                <w:sz w:val="18"/>
              </w:rPr>
              <w:t>0.071691</w:t>
            </w:r>
          </w:p>
        </w:tc>
        <w:tc>
          <w:tcPr>
            <w:tcW w:w="1656" w:type="dxa"/>
            <w:vAlign w:val="center"/>
          </w:tcPr>
          <w:p w14:paraId="07300826" w14:textId="77777777" w:rsidR="00756632" w:rsidRDefault="00000000">
            <w:r>
              <w:rPr>
                <w:sz w:val="18"/>
              </w:rPr>
              <w:t>0.9429</w:t>
            </w:r>
          </w:p>
        </w:tc>
        <w:tc>
          <w:tcPr>
            <w:tcW w:w="1656" w:type="dxa"/>
            <w:vAlign w:val="center"/>
          </w:tcPr>
          <w:p w14:paraId="58B54DBB" w14:textId="77777777" w:rsidR="00756632" w:rsidRDefault="00000000">
            <w:r>
              <w:rPr>
                <w:sz w:val="18"/>
              </w:rPr>
              <w:t>Fail to reject H03</w:t>
            </w:r>
          </w:p>
        </w:tc>
      </w:tr>
      <w:tr w:rsidR="00756632" w14:paraId="66BC303A" w14:textId="77777777">
        <w:trPr>
          <w:jc w:val="center"/>
        </w:trPr>
        <w:tc>
          <w:tcPr>
            <w:tcW w:w="1656" w:type="dxa"/>
            <w:vAlign w:val="center"/>
          </w:tcPr>
          <w:p w14:paraId="7C9ADDBF" w14:textId="77777777" w:rsidR="00756632" w:rsidRDefault="00000000">
            <w:r>
              <w:rPr>
                <w:sz w:val="18"/>
              </w:rPr>
              <w:t>CAR</w:t>
            </w:r>
          </w:p>
        </w:tc>
        <w:tc>
          <w:tcPr>
            <w:tcW w:w="1656" w:type="dxa"/>
            <w:vAlign w:val="center"/>
          </w:tcPr>
          <w:p w14:paraId="5C39DF39" w14:textId="77777777" w:rsidR="00756632" w:rsidRDefault="00000000">
            <w:r>
              <w:rPr>
                <w:sz w:val="18"/>
              </w:rPr>
              <w:t>0.171277</w:t>
            </w:r>
          </w:p>
        </w:tc>
        <w:tc>
          <w:tcPr>
            <w:tcW w:w="1656" w:type="dxa"/>
            <w:vAlign w:val="center"/>
          </w:tcPr>
          <w:p w14:paraId="33356AD8" w14:textId="77777777" w:rsidR="00756632" w:rsidRDefault="00000000">
            <w:r>
              <w:rPr>
                <w:sz w:val="18"/>
              </w:rPr>
              <w:t>0.041746</w:t>
            </w:r>
          </w:p>
        </w:tc>
        <w:tc>
          <w:tcPr>
            <w:tcW w:w="1656" w:type="dxa"/>
            <w:vAlign w:val="center"/>
          </w:tcPr>
          <w:p w14:paraId="2350B1D8" w14:textId="77777777" w:rsidR="00756632" w:rsidRDefault="00000000">
            <w:r>
              <w:rPr>
                <w:sz w:val="18"/>
              </w:rPr>
              <w:t>4.102825</w:t>
            </w:r>
          </w:p>
        </w:tc>
        <w:tc>
          <w:tcPr>
            <w:tcW w:w="1656" w:type="dxa"/>
            <w:vAlign w:val="center"/>
          </w:tcPr>
          <w:p w14:paraId="69C368FC" w14:textId="77777777" w:rsidR="00756632" w:rsidRDefault="00000000">
            <w:r>
              <w:rPr>
                <w:sz w:val="18"/>
              </w:rPr>
              <w:t>0.0001</w:t>
            </w:r>
          </w:p>
        </w:tc>
        <w:tc>
          <w:tcPr>
            <w:tcW w:w="1656" w:type="dxa"/>
            <w:vAlign w:val="center"/>
          </w:tcPr>
          <w:p w14:paraId="089F6A43" w14:textId="77777777" w:rsidR="00756632" w:rsidRDefault="00000000">
            <w:r>
              <w:rPr>
                <w:sz w:val="18"/>
              </w:rPr>
              <w:t>Reject H04</w:t>
            </w:r>
          </w:p>
        </w:tc>
      </w:tr>
    </w:tbl>
    <w:p w14:paraId="5C93217F" w14:textId="77777777" w:rsidR="00756632" w:rsidRDefault="00756632"/>
    <w:p w14:paraId="1378EBB7" w14:textId="77777777" w:rsidR="00756632" w:rsidRDefault="00000000">
      <w:pPr>
        <w:spacing w:after="100"/>
      </w:pPr>
      <w:r>
        <w:lastRenderedPageBreak/>
        <w:t>Model statistics: R² = 0.587480; Adjusted R² = 0.567541; F-statistic = 9.402633; Prob(F-statistic) = 0.000001; Durbin–Watson statistic = 2.082339; balanced observations = 112; cross-sections = 8; periods = 14.</w:t>
      </w:r>
    </w:p>
    <w:p w14:paraId="20F79882" w14:textId="77777777" w:rsidR="00756632" w:rsidRDefault="00000000">
      <w:pPr>
        <w:spacing w:after="100"/>
      </w:pPr>
      <w:r>
        <w:t>The model is jointly significant, and the explanatory variables account for approximately 58.75% of the variation in the weighted dependent variable reported by the random-effects output. Financial restructuring has a negative and statistically significant coefficient. Given the interpretation of the Z-score, this result indicates that higher values of the financial-restructuring proxy are associated with lower financial stability during the study period. The finding should be interpreted in relation to the exact construction of FINR; it may reflect adjustment costs, leverage-related risk, or the fact that financially weaker banks undertake more intensive restructuring. The observational design does not establish causality.</w:t>
      </w:r>
    </w:p>
    <w:p w14:paraId="55A28293" w14:textId="77777777" w:rsidR="00756632" w:rsidRDefault="00000000">
      <w:pPr>
        <w:spacing w:after="100"/>
      </w:pPr>
      <w:r>
        <w:t>Asset restructuring has a positive and statistically significant coefficient, indicating that higher values of the asset-restructuring proxy are associated with higher bank stability. This is consistent with the view that improvements in asset quality, portfolio composition, or the management of impaired assets can strengthen resilience and increase the distance from insolvency.</w:t>
      </w:r>
    </w:p>
    <w:p w14:paraId="567828F4" w14:textId="77777777" w:rsidR="00756632" w:rsidRDefault="00000000">
      <w:pPr>
        <w:spacing w:after="100"/>
      </w:pPr>
      <w:r>
        <w:t>Operational restructuring has a positive but statistically insignificant coefficient (p = 0.9429). Therefore, the study does not find sufficient evidence that the operational-restructuring proxy had an independent effect on financial stability after controlling for the other restructuring variables. The result should not be described as significant in the abstract, conclusion, or recommendations.</w:t>
      </w:r>
    </w:p>
    <w:p w14:paraId="5AC7F387" w14:textId="77777777" w:rsidR="00756632" w:rsidRDefault="00000000">
      <w:pPr>
        <w:spacing w:after="100"/>
      </w:pPr>
      <w:r>
        <w:t>Capital restructuring has a positive and statistically significant coefficient, indicating that higher values of the capital-restructuring proxy are associated with greater financial stability. This result is consistent with the role of stronger capital structures in absorbing losses and supporting resilience. The magnitude and policy meaning should nevertheless be interpreted in light of the exact proxy used.</w:t>
      </w:r>
    </w:p>
    <w:p w14:paraId="43D6688C" w14:textId="77777777" w:rsidR="00756632" w:rsidRDefault="00000000">
      <w:pPr>
        <w:spacing w:after="100"/>
      </w:pPr>
      <w:r>
        <w:rPr>
          <w:b/>
        </w:rPr>
        <w:t>5. CONCLUSION, RECOMMENDATIONS, AND LIMITATIONS</w:t>
      </w:r>
    </w:p>
    <w:p w14:paraId="137588EC" w14:textId="77777777" w:rsidR="00756632" w:rsidRDefault="00000000">
      <w:pPr>
        <w:spacing w:after="100"/>
      </w:pPr>
      <w:r>
        <w:rPr>
          <w:b/>
        </w:rPr>
        <w:t>5.1 Conclusion</w:t>
      </w:r>
    </w:p>
    <w:p w14:paraId="1F1272D8" w14:textId="77777777" w:rsidR="00756632" w:rsidRDefault="00000000">
      <w:pPr>
        <w:spacing w:after="100"/>
      </w:pPr>
      <w:r>
        <w:t>The study examined the relationship between four dimensions of corporate restructuring and the financial stability of eight quoted DMBs in Nigeria over 2010–2023. The random-effects estimates indicate that financial restructuring was negatively and significantly associated with the bank Z-score, asset restructuring was positively and significantly associated with the Z-score, operational restructuring was positive but statistically insignificant, and capital restructuring was positively and significantly associated with the Z-score. The findings suggest that asset and capital restructuring were the most consistently favourable correlates of financial stability in the estimated model. The results should be interpreted as associations because the study uses observational secondary data and because cross-sectional dependence was detected.</w:t>
      </w:r>
    </w:p>
    <w:p w14:paraId="21CC8949" w14:textId="77777777" w:rsidR="00756632" w:rsidRDefault="00000000">
      <w:pPr>
        <w:spacing w:after="100"/>
      </w:pPr>
      <w:r>
        <w:rPr>
          <w:b/>
        </w:rPr>
        <w:t>5.2 Recommendations</w:t>
      </w:r>
    </w:p>
    <w:p w14:paraId="3EBB6D91" w14:textId="77777777" w:rsidR="00756632" w:rsidRDefault="00000000">
      <w:pPr>
        <w:spacing w:after="100"/>
      </w:pPr>
      <w:r>
        <w:t>Bank management should strengthen asset-quality management through timely identification, restructuring, recovery, provisioning, or disposal of impaired assets, while ensuring that such actions are consistent with prudential requirements.</w:t>
      </w:r>
    </w:p>
    <w:p w14:paraId="3767286C" w14:textId="77777777" w:rsidR="00756632" w:rsidRDefault="00000000">
      <w:pPr>
        <w:spacing w:after="100"/>
      </w:pPr>
      <w:r>
        <w:t>Banks and regulators should support sustainable capital-strengthening strategies that improve loss-absorbing capacity without creating excessive funding costs or risk incentives.</w:t>
      </w:r>
    </w:p>
    <w:p w14:paraId="0B867B6C" w14:textId="77777777" w:rsidR="00756632" w:rsidRDefault="00000000">
      <w:pPr>
        <w:spacing w:after="100"/>
      </w:pPr>
      <w:r>
        <w:t>Financial restructuring should be evaluated carefully before implementation. Because the estimated association with the Z-score is negative, management should assess leverage, refinancing costs, maturity mismatches, and transitional risks rather than assuming that all financing changes improve stability.</w:t>
      </w:r>
    </w:p>
    <w:p w14:paraId="41399CF3" w14:textId="77777777" w:rsidR="00756632" w:rsidRDefault="00000000">
      <w:pPr>
        <w:spacing w:after="100"/>
      </w:pPr>
      <w:r>
        <w:t>Operational restructuring should be guided by bank-specific efficiency assessments. Since the estimated coefficient is not statistically significant, the evidence does not support a uniform policy conclusion based solely on the operational proxy used in this study.</w:t>
      </w:r>
    </w:p>
    <w:p w14:paraId="5A46F164" w14:textId="77777777" w:rsidR="00756632" w:rsidRDefault="00000000">
      <w:pPr>
        <w:spacing w:after="100"/>
      </w:pPr>
      <w:r>
        <w:t>Regulators and future researchers should examine common shocks and interbank linkages and apply estimators or standard-error corrections that are robust to cross-sectional dependence.</w:t>
      </w:r>
    </w:p>
    <w:p w14:paraId="6EA75E5F" w14:textId="77777777" w:rsidR="00756632" w:rsidRDefault="00000000">
      <w:pPr>
        <w:spacing w:after="100"/>
      </w:pPr>
      <w:r>
        <w:rPr>
          <w:b/>
        </w:rPr>
        <w:t>5.3 Limitations and Directions for Future Research</w:t>
      </w:r>
    </w:p>
    <w:p w14:paraId="25DC4292" w14:textId="77777777" w:rsidR="00756632" w:rsidRDefault="00000000">
      <w:pPr>
        <w:spacing w:after="100"/>
      </w:pPr>
      <w:r>
        <w:t>The study has several limitations. First, it covers eight quoted DMBs and therefore may not fully represent unquoted banks or the entire Nigerian banking system. Second, the analysis relies on secondary accounting data, which may not capture all qualitative or strategic aspects of restructuring. Third, the use of selected proxies may not fully represent the breadth of financial, asset, operational, and capital restructuring. Fourth, reverse causality, omitted variables, and other forms of endogeneity cannot be completely ruled out in an observational panel design. Fifth, the significant cross-sectional-dependence results indicate that common shocks or interbank linkages may affect inference. Future studies should use broader samples, longer periods, alternative stability measures, more explicit restructuring indicators, and panel estimators or robust inference procedures designed for cross-sectional dependence and potential endogeneity.</w:t>
      </w:r>
    </w:p>
    <w:p w14:paraId="0DF2AFC9" w14:textId="77777777" w:rsidR="00756632" w:rsidRDefault="00000000">
      <w:pPr>
        <w:spacing w:after="100"/>
      </w:pPr>
      <w:r>
        <w:rPr>
          <w:b/>
        </w:rPr>
        <w:t>5.4 Contributions to Knowledge</w:t>
      </w:r>
    </w:p>
    <w:p w14:paraId="324E7635" w14:textId="77777777" w:rsidR="00756632" w:rsidRDefault="00000000">
      <w:pPr>
        <w:spacing w:after="100"/>
      </w:pPr>
      <w:r>
        <w:t>The study contributes by examining four dimensions of corporate restructuring jointly rather than limiting attention to mergers, acquisitions, or a single restructuring strategy. It also uses the bank Z-score as a stability-oriented outcome measure and provides evidence from a balanced panel of quoted Nigerian DMBs over 2010–2023. The revised presentation improves transparency by reporting the complete random-effects estimates, clarifying the meaning of the Z-score, and aligning the empirical results with the discussion, conclusion, and recommendations.</w:t>
      </w:r>
    </w:p>
    <w:p w14:paraId="07198DF9" w14:textId="77777777" w:rsidR="00756632" w:rsidRDefault="00000000">
      <w:pPr>
        <w:spacing w:after="100"/>
      </w:pPr>
      <w:r>
        <w:rPr>
          <w:b/>
        </w:rPr>
        <w:t>Competing Interests</w:t>
      </w:r>
    </w:p>
    <w:p w14:paraId="7A683E34" w14:textId="77777777" w:rsidR="00756632" w:rsidRDefault="00000000">
      <w:pPr>
        <w:spacing w:after="100"/>
      </w:pPr>
      <w:r>
        <w:t>The authors declare that they have no competing interests.</w:t>
      </w:r>
    </w:p>
    <w:p w14:paraId="0C274C4D" w14:textId="77777777" w:rsidR="00756632" w:rsidRDefault="00000000">
      <w:pPr>
        <w:spacing w:after="100"/>
      </w:pPr>
      <w:r>
        <w:rPr>
          <w:b/>
        </w:rPr>
        <w:t>Data Availability</w:t>
      </w:r>
    </w:p>
    <w:p w14:paraId="5AA6DFBE" w14:textId="77777777" w:rsidR="00756632" w:rsidRDefault="00000000">
      <w:pPr>
        <w:spacing w:after="100"/>
      </w:pPr>
      <w:r>
        <w:t>The dataset was compiled from the audited annual reports and financial statements of the sampled banks. The underlying data and variable-construction details should be supplied as a supplementary spreadsheet or appendix, subject to the journal’s data-sharing requirements.</w:t>
      </w:r>
    </w:p>
    <w:p w14:paraId="0F9A4194" w14:textId="77777777" w:rsidR="004F6CD0" w:rsidRPr="004F6CD0" w:rsidRDefault="004F6CD0" w:rsidP="004F6CD0">
      <w:pPr>
        <w:spacing w:after="160" w:line="278" w:lineRule="auto"/>
        <w:rPr>
          <w:rFonts w:ascii="Arial" w:eastAsia="Calibri" w:hAnsi="Arial" w:cs="Arial"/>
          <w:b/>
          <w:bCs/>
          <w:kern w:val="2"/>
          <w:sz w:val="20"/>
          <w:szCs w:val="20"/>
          <w14:ligatures w14:val="standardContextual"/>
        </w:rPr>
      </w:pPr>
      <w:r w:rsidRPr="004F6CD0">
        <w:rPr>
          <w:rFonts w:ascii="Arial" w:eastAsia="Calibri" w:hAnsi="Arial" w:cs="Arial"/>
          <w:b/>
          <w:bCs/>
          <w:kern w:val="2"/>
          <w:sz w:val="20"/>
          <w:szCs w:val="20"/>
          <w14:ligatures w14:val="standardContextual"/>
        </w:rPr>
        <w:t>Declaration of AI Use</w:t>
      </w:r>
    </w:p>
    <w:p w14:paraId="2BD277F3" w14:textId="77777777" w:rsidR="004F6CD0" w:rsidRPr="004F6CD0" w:rsidRDefault="004F6CD0" w:rsidP="004F6CD0">
      <w:pPr>
        <w:spacing w:after="160" w:line="278" w:lineRule="auto"/>
        <w:jc w:val="both"/>
        <w:rPr>
          <w:rFonts w:ascii="Arial" w:eastAsia="Calibri" w:hAnsi="Arial" w:cs="Arial"/>
          <w:kern w:val="2"/>
          <w:sz w:val="20"/>
          <w:szCs w:val="20"/>
          <w14:ligatures w14:val="standardContextual"/>
        </w:rPr>
      </w:pPr>
      <w:r w:rsidRPr="004F6CD0">
        <w:rPr>
          <w:rFonts w:ascii="Arial" w:eastAsia="Calibri" w:hAnsi="Arial" w:cs="Arial"/>
          <w:kern w:val="2"/>
          <w:sz w:val="20"/>
          <w:szCs w:val="20"/>
          <w14:ligatures w14:val="standardContextual"/>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34A5E30" w14:textId="77777777" w:rsidR="004F6CD0" w:rsidRDefault="004F6CD0">
      <w:pPr>
        <w:spacing w:after="100"/>
      </w:pPr>
    </w:p>
    <w:p w14:paraId="4EE25796" w14:textId="77777777" w:rsidR="00756632" w:rsidRDefault="00000000">
      <w:pPr>
        <w:spacing w:after="100"/>
      </w:pPr>
      <w:r>
        <w:rPr>
          <w:b/>
        </w:rPr>
        <w:t>REFERENCES</w:t>
      </w:r>
    </w:p>
    <w:p w14:paraId="13C764D8" w14:textId="77777777" w:rsidR="007756B0" w:rsidRPr="007756B0" w:rsidRDefault="007756B0" w:rsidP="007756B0">
      <w:pPr>
        <w:pStyle w:val="BodyTextIndent"/>
        <w:spacing w:before="120"/>
        <w:ind w:left="630" w:hanging="630"/>
        <w:jc w:val="both"/>
        <w:rPr>
          <w:sz w:val="24"/>
          <w:szCs w:val="24"/>
        </w:rPr>
      </w:pPr>
      <w:r w:rsidRPr="007756B0">
        <w:rPr>
          <w:sz w:val="24"/>
          <w:szCs w:val="24"/>
        </w:rPr>
        <w:t xml:space="preserve">Adhikari, B., Kavanagh, M., &amp; Hampson, B. (2023). A comparative analysis of the financial performance of commercial banks after mergers and acquisitions using Nepalese data. </w:t>
      </w:r>
      <w:r w:rsidRPr="007756B0">
        <w:rPr>
          <w:i/>
          <w:iCs/>
          <w:sz w:val="24"/>
          <w:szCs w:val="24"/>
        </w:rPr>
        <w:t>Central Bank Review, 23</w:t>
      </w:r>
      <w:r w:rsidRPr="007756B0">
        <w:rPr>
          <w:sz w:val="24"/>
          <w:szCs w:val="24"/>
        </w:rPr>
        <w:t>(3), 100128.</w:t>
      </w:r>
    </w:p>
    <w:p w14:paraId="63747E4B" w14:textId="77777777" w:rsidR="007756B0" w:rsidRPr="007756B0" w:rsidRDefault="007756B0" w:rsidP="007756B0">
      <w:pPr>
        <w:pStyle w:val="BodyTextIndent"/>
        <w:spacing w:before="120"/>
        <w:ind w:left="630" w:hanging="630"/>
        <w:jc w:val="both"/>
        <w:rPr>
          <w:sz w:val="24"/>
          <w:szCs w:val="24"/>
        </w:rPr>
      </w:pPr>
      <w:r w:rsidRPr="007756B0">
        <w:rPr>
          <w:sz w:val="24"/>
          <w:szCs w:val="24"/>
        </w:rPr>
        <w:t xml:space="preserve">Alao, O., Joshua, A. A., &amp; Tomomewo, A. (2024). Strategic survival of the Nigerian banking system post-COVID-19: An exploratory analysis. </w:t>
      </w:r>
      <w:r w:rsidRPr="007756B0">
        <w:rPr>
          <w:i/>
          <w:iCs/>
          <w:sz w:val="24"/>
          <w:szCs w:val="24"/>
        </w:rPr>
        <w:t>International Journal of Research Science and Management, 11</w:t>
      </w:r>
      <w:r w:rsidRPr="007756B0">
        <w:rPr>
          <w:sz w:val="24"/>
          <w:szCs w:val="24"/>
        </w:rPr>
        <w:t>(2), 15–27.</w:t>
      </w:r>
    </w:p>
    <w:p w14:paraId="071DFC8F" w14:textId="77777777" w:rsidR="007756B0" w:rsidRPr="007756B0" w:rsidRDefault="007756B0" w:rsidP="007756B0">
      <w:pPr>
        <w:pStyle w:val="BodyTextIndent"/>
        <w:spacing w:before="120"/>
        <w:ind w:left="630" w:hanging="630"/>
        <w:jc w:val="both"/>
        <w:rPr>
          <w:sz w:val="24"/>
          <w:szCs w:val="24"/>
        </w:rPr>
      </w:pPr>
      <w:r w:rsidRPr="007756B0">
        <w:rPr>
          <w:sz w:val="24"/>
          <w:szCs w:val="24"/>
        </w:rPr>
        <w:t xml:space="preserve">Ali, U. M. (2024). A comparative assessment of the performance of deposit money banks in Nigeria. </w:t>
      </w:r>
      <w:r w:rsidRPr="007756B0">
        <w:rPr>
          <w:i/>
          <w:iCs/>
          <w:sz w:val="24"/>
          <w:szCs w:val="24"/>
        </w:rPr>
        <w:t>The American Journal of Management and Economics Innovations, 6</w:t>
      </w:r>
      <w:r w:rsidRPr="007756B0">
        <w:rPr>
          <w:sz w:val="24"/>
          <w:szCs w:val="24"/>
        </w:rPr>
        <w:t>(5), 14–24.</w:t>
      </w:r>
    </w:p>
    <w:p w14:paraId="246EB059" w14:textId="77777777" w:rsidR="007756B0" w:rsidRPr="007756B0" w:rsidRDefault="007756B0" w:rsidP="007756B0">
      <w:pPr>
        <w:pStyle w:val="BodyTextIndent"/>
        <w:spacing w:before="120"/>
        <w:ind w:left="630" w:hanging="630"/>
        <w:jc w:val="both"/>
        <w:rPr>
          <w:sz w:val="24"/>
          <w:szCs w:val="24"/>
        </w:rPr>
      </w:pPr>
      <w:r w:rsidRPr="007756B0">
        <w:rPr>
          <w:sz w:val="24"/>
          <w:szCs w:val="24"/>
        </w:rPr>
        <w:t xml:space="preserve">Alsharari, N. M. (2024). The interplay of strategic management accounting, business strategy, and organizational change: As influenced by configurational theory. </w:t>
      </w:r>
      <w:r w:rsidRPr="007756B0">
        <w:rPr>
          <w:i/>
          <w:iCs/>
          <w:sz w:val="24"/>
          <w:szCs w:val="24"/>
        </w:rPr>
        <w:t>Journal of Accounting &amp; Organizational Change, 20</w:t>
      </w:r>
      <w:r w:rsidRPr="007756B0">
        <w:rPr>
          <w:sz w:val="24"/>
          <w:szCs w:val="24"/>
        </w:rPr>
        <w:t>(1), 153–176.</w:t>
      </w:r>
    </w:p>
    <w:p w14:paraId="45701B3A" w14:textId="77777777" w:rsidR="007756B0" w:rsidRPr="007756B0" w:rsidRDefault="007756B0" w:rsidP="007756B0">
      <w:pPr>
        <w:pStyle w:val="BodyTextIndent"/>
        <w:spacing w:before="120"/>
        <w:ind w:left="630" w:hanging="630"/>
        <w:jc w:val="both"/>
        <w:rPr>
          <w:sz w:val="24"/>
          <w:szCs w:val="24"/>
        </w:rPr>
      </w:pPr>
      <w:r w:rsidRPr="007756B0">
        <w:rPr>
          <w:sz w:val="24"/>
          <w:szCs w:val="24"/>
        </w:rPr>
        <w:t xml:space="preserve">Baker, H., Kaddumi, T. A., Nassar, M. D., &amp; Muqattash, R. S. (2023). Impact of financial technology on improvement of banks’ financial performance. </w:t>
      </w:r>
      <w:r w:rsidRPr="007756B0">
        <w:rPr>
          <w:i/>
          <w:iCs/>
          <w:sz w:val="24"/>
          <w:szCs w:val="24"/>
        </w:rPr>
        <w:t>Journal of Risk and Financial Management, 16</w:t>
      </w:r>
      <w:r w:rsidRPr="007756B0">
        <w:rPr>
          <w:sz w:val="24"/>
          <w:szCs w:val="24"/>
        </w:rPr>
        <w:t>(4), Article 230.</w:t>
      </w:r>
    </w:p>
    <w:p w14:paraId="78D15230" w14:textId="77777777" w:rsidR="007756B0" w:rsidRPr="007756B0" w:rsidRDefault="007756B0" w:rsidP="007756B0">
      <w:pPr>
        <w:pStyle w:val="BodyTextIndent"/>
        <w:spacing w:before="120"/>
        <w:ind w:left="630" w:hanging="630"/>
        <w:jc w:val="both"/>
        <w:rPr>
          <w:sz w:val="24"/>
          <w:szCs w:val="24"/>
        </w:rPr>
      </w:pPr>
      <w:r w:rsidRPr="007756B0">
        <w:rPr>
          <w:sz w:val="24"/>
          <w:szCs w:val="24"/>
        </w:rPr>
        <w:t xml:space="preserve">Bawa, J. K., &amp; Basu, S. (2020). Restructuring assets reform, 2013: Impact of operational ability, liquidity, bank capital, profitability, and capital on bank credit risk. </w:t>
      </w:r>
      <w:r w:rsidRPr="007756B0">
        <w:rPr>
          <w:i/>
          <w:iCs/>
          <w:sz w:val="24"/>
          <w:szCs w:val="24"/>
        </w:rPr>
        <w:t>IIMB Management Review, 32</w:t>
      </w:r>
      <w:r w:rsidRPr="007756B0">
        <w:rPr>
          <w:sz w:val="24"/>
          <w:szCs w:val="24"/>
        </w:rPr>
        <w:t>(3), 267–279.</w:t>
      </w:r>
    </w:p>
    <w:p w14:paraId="114AFEA4" w14:textId="77777777" w:rsidR="007756B0" w:rsidRPr="007756B0" w:rsidRDefault="007756B0" w:rsidP="007756B0">
      <w:pPr>
        <w:pStyle w:val="BodyTextIndent"/>
        <w:spacing w:before="120"/>
        <w:ind w:left="630" w:hanging="630"/>
        <w:jc w:val="both"/>
        <w:rPr>
          <w:sz w:val="24"/>
          <w:szCs w:val="24"/>
        </w:rPr>
      </w:pPr>
      <w:r w:rsidRPr="007756B0">
        <w:rPr>
          <w:sz w:val="24"/>
          <w:szCs w:val="24"/>
        </w:rPr>
        <w:t xml:space="preserve">Bayoud, S. (2024). </w:t>
      </w:r>
      <w:r w:rsidRPr="007756B0">
        <w:rPr>
          <w:i/>
          <w:iCs/>
          <w:sz w:val="24"/>
          <w:szCs w:val="24"/>
        </w:rPr>
        <w:t>Financial intermediation: An exploration of the theoretical foundations</w:t>
      </w:r>
      <w:r w:rsidRPr="007756B0">
        <w:rPr>
          <w:sz w:val="24"/>
          <w:szCs w:val="24"/>
        </w:rPr>
        <w:t>. HAL.</w:t>
      </w:r>
    </w:p>
    <w:p w14:paraId="05178F28" w14:textId="77777777" w:rsidR="007756B0" w:rsidRPr="007756B0" w:rsidRDefault="007756B0" w:rsidP="007756B0">
      <w:pPr>
        <w:pStyle w:val="BodyTextIndent"/>
        <w:spacing w:before="120"/>
        <w:ind w:left="630" w:hanging="630"/>
        <w:jc w:val="both"/>
        <w:rPr>
          <w:sz w:val="24"/>
          <w:szCs w:val="24"/>
        </w:rPr>
      </w:pPr>
      <w:r w:rsidRPr="007756B0">
        <w:rPr>
          <w:sz w:val="24"/>
          <w:szCs w:val="24"/>
        </w:rPr>
        <w:t xml:space="preserve">Belay, N. A. (2024). </w:t>
      </w:r>
      <w:r w:rsidRPr="007756B0">
        <w:rPr>
          <w:i/>
          <w:iCs/>
          <w:sz w:val="24"/>
          <w:szCs w:val="24"/>
        </w:rPr>
        <w:t>Effect of asset and liability management on profitability: Empirical evidence from commercial banks in Ethiopia</w:t>
      </w:r>
      <w:r w:rsidRPr="007756B0">
        <w:rPr>
          <w:sz w:val="24"/>
          <w:szCs w:val="24"/>
        </w:rPr>
        <w:t xml:space="preserve">. SSRN. </w:t>
      </w:r>
      <w:hyperlink r:id="rId6" w:history="1">
        <w:r w:rsidRPr="007756B0">
          <w:rPr>
            <w:rStyle w:val="Hyperlink"/>
            <w:sz w:val="24"/>
            <w:szCs w:val="24"/>
          </w:rPr>
          <w:t>https://doi.org/10.2139/ssrn.4844740</w:t>
        </w:r>
      </w:hyperlink>
    </w:p>
    <w:p w14:paraId="73DBA022" w14:textId="77777777" w:rsidR="007756B0" w:rsidRPr="007756B0" w:rsidRDefault="007756B0" w:rsidP="007756B0">
      <w:pPr>
        <w:pStyle w:val="BodyTextIndent"/>
        <w:spacing w:before="120"/>
        <w:ind w:left="630" w:hanging="630"/>
        <w:jc w:val="both"/>
        <w:rPr>
          <w:sz w:val="24"/>
          <w:szCs w:val="24"/>
        </w:rPr>
      </w:pPr>
      <w:r w:rsidRPr="007756B0">
        <w:rPr>
          <w:sz w:val="24"/>
          <w:szCs w:val="24"/>
        </w:rPr>
        <w:t xml:space="preserve">Bethune, Z., Sultanum, B., &amp; Trachter, N. (2022). An information-based theory of financial intermediation. </w:t>
      </w:r>
      <w:r w:rsidRPr="007756B0">
        <w:rPr>
          <w:i/>
          <w:iCs/>
          <w:sz w:val="24"/>
          <w:szCs w:val="24"/>
        </w:rPr>
        <w:t>The Review of Economic Studies, 89</w:t>
      </w:r>
      <w:r w:rsidRPr="007756B0">
        <w:rPr>
          <w:sz w:val="24"/>
          <w:szCs w:val="24"/>
        </w:rPr>
        <w:t>(5), 2381–2444.</w:t>
      </w:r>
    </w:p>
    <w:p w14:paraId="4B9B37CE" w14:textId="77777777" w:rsidR="007756B0" w:rsidRPr="007756B0" w:rsidRDefault="007756B0" w:rsidP="007756B0">
      <w:pPr>
        <w:pStyle w:val="BodyTextIndent"/>
        <w:spacing w:before="120"/>
        <w:ind w:left="630" w:hanging="630"/>
        <w:jc w:val="both"/>
        <w:rPr>
          <w:sz w:val="24"/>
          <w:szCs w:val="24"/>
        </w:rPr>
      </w:pPr>
      <w:r w:rsidRPr="007756B0">
        <w:rPr>
          <w:sz w:val="24"/>
          <w:szCs w:val="24"/>
        </w:rPr>
        <w:t xml:space="preserve">Bhuiya, M. M. M., &amp; Russel, A. H. (2023). Green finance for sustainable banking: The Australian perspective. In </w:t>
      </w:r>
      <w:r w:rsidRPr="007756B0">
        <w:rPr>
          <w:i/>
          <w:iCs/>
          <w:sz w:val="24"/>
          <w:szCs w:val="24"/>
        </w:rPr>
        <w:t>Environmental finance and green banking</w:t>
      </w:r>
      <w:r w:rsidRPr="007756B0">
        <w:rPr>
          <w:sz w:val="24"/>
          <w:szCs w:val="24"/>
        </w:rPr>
        <w:t xml:space="preserve"> (pp. 85–108). Routledge.</w:t>
      </w:r>
    </w:p>
    <w:p w14:paraId="1CB8B2A1" w14:textId="77777777" w:rsidR="007756B0" w:rsidRPr="007756B0" w:rsidRDefault="007756B0" w:rsidP="007756B0">
      <w:pPr>
        <w:pStyle w:val="BodyTextIndent"/>
        <w:spacing w:before="120"/>
        <w:ind w:left="630" w:hanging="630"/>
        <w:jc w:val="both"/>
        <w:rPr>
          <w:sz w:val="24"/>
          <w:szCs w:val="24"/>
        </w:rPr>
      </w:pPr>
      <w:r w:rsidRPr="007756B0">
        <w:rPr>
          <w:sz w:val="24"/>
          <w:szCs w:val="24"/>
        </w:rPr>
        <w:t xml:space="preserve">Bui, H., &amp; Krajcsák, Z. (2023). The impacts of corporate governance on firms’ performance: From theories and approaches to empirical findings. </w:t>
      </w:r>
      <w:r w:rsidRPr="007756B0">
        <w:rPr>
          <w:i/>
          <w:iCs/>
          <w:sz w:val="24"/>
          <w:szCs w:val="24"/>
        </w:rPr>
        <w:t>Journal of Financial Regulation and Compliance, 32</w:t>
      </w:r>
      <w:r w:rsidRPr="007756B0">
        <w:rPr>
          <w:sz w:val="24"/>
          <w:szCs w:val="24"/>
        </w:rPr>
        <w:t>(1), 18–46.</w:t>
      </w:r>
    </w:p>
    <w:p w14:paraId="74A98754" w14:textId="77777777" w:rsidR="007756B0" w:rsidRPr="007756B0" w:rsidRDefault="007756B0" w:rsidP="007756B0">
      <w:pPr>
        <w:pStyle w:val="BodyTextIndent"/>
        <w:spacing w:before="120"/>
        <w:ind w:left="630" w:hanging="630"/>
        <w:jc w:val="both"/>
        <w:rPr>
          <w:sz w:val="24"/>
          <w:szCs w:val="24"/>
        </w:rPr>
      </w:pPr>
      <w:r w:rsidRPr="007756B0">
        <w:rPr>
          <w:sz w:val="24"/>
          <w:szCs w:val="24"/>
        </w:rPr>
        <w:t xml:space="preserve">Challoumis, C., &amp; Eriotis, N. (2024). A historical analysis of the banking system and its impact on the Greek economy. </w:t>
      </w:r>
      <w:r w:rsidRPr="007756B0">
        <w:rPr>
          <w:i/>
          <w:iCs/>
          <w:sz w:val="24"/>
          <w:szCs w:val="24"/>
        </w:rPr>
        <w:t>Edelweiss Applied Science and Technology, 8</w:t>
      </w:r>
      <w:r w:rsidRPr="007756B0">
        <w:rPr>
          <w:sz w:val="24"/>
          <w:szCs w:val="24"/>
        </w:rPr>
        <w:t>(6), 1598–1617.</w:t>
      </w:r>
    </w:p>
    <w:p w14:paraId="26B98E3D" w14:textId="77777777" w:rsidR="007756B0" w:rsidRPr="007756B0" w:rsidRDefault="007756B0" w:rsidP="007756B0">
      <w:pPr>
        <w:pStyle w:val="BodyTextIndent"/>
        <w:spacing w:before="120"/>
        <w:ind w:left="630" w:hanging="630"/>
        <w:jc w:val="both"/>
        <w:rPr>
          <w:sz w:val="24"/>
          <w:szCs w:val="24"/>
        </w:rPr>
      </w:pPr>
      <w:r w:rsidRPr="007756B0">
        <w:rPr>
          <w:sz w:val="24"/>
          <w:szCs w:val="24"/>
        </w:rPr>
        <w:t xml:space="preserve">Closset, F., Grobmann, C., Kaserer, C., &amp; Urban, D. (2023). Corporate restructuring and creditor power: Evidence from European insolvency law reforms. </w:t>
      </w:r>
      <w:r w:rsidRPr="007756B0">
        <w:rPr>
          <w:i/>
          <w:iCs/>
          <w:sz w:val="24"/>
          <w:szCs w:val="24"/>
        </w:rPr>
        <w:t>Journal of Banking &amp; Finance, 149</w:t>
      </w:r>
      <w:r w:rsidRPr="007756B0">
        <w:rPr>
          <w:sz w:val="24"/>
          <w:szCs w:val="24"/>
        </w:rPr>
        <w:t>, Article 106756.</w:t>
      </w:r>
    </w:p>
    <w:p w14:paraId="37928337" w14:textId="77777777" w:rsidR="007756B0" w:rsidRPr="007756B0" w:rsidRDefault="007756B0" w:rsidP="007756B0">
      <w:pPr>
        <w:pStyle w:val="BodyTextIndent"/>
        <w:spacing w:before="120"/>
        <w:ind w:left="630" w:hanging="630"/>
        <w:jc w:val="both"/>
        <w:rPr>
          <w:sz w:val="24"/>
          <w:szCs w:val="24"/>
        </w:rPr>
      </w:pPr>
      <w:r w:rsidRPr="007756B0">
        <w:rPr>
          <w:sz w:val="24"/>
          <w:szCs w:val="24"/>
        </w:rPr>
        <w:t xml:space="preserve">Cookey, S. C. M., Nwanyanwu, H. D., &amp; Igbara, N. (2023). Empirical analysis of banking sector recapitalisation and performance in Nigeria: A holistic approach. </w:t>
      </w:r>
      <w:r w:rsidRPr="007756B0">
        <w:rPr>
          <w:i/>
          <w:iCs/>
          <w:sz w:val="24"/>
          <w:szCs w:val="24"/>
        </w:rPr>
        <w:t>Journal of Global Interdependence and Economic Sustainability, 2</w:t>
      </w:r>
      <w:r w:rsidRPr="007756B0">
        <w:rPr>
          <w:sz w:val="24"/>
          <w:szCs w:val="24"/>
        </w:rPr>
        <w:t>(8), 1–13.</w:t>
      </w:r>
    </w:p>
    <w:p w14:paraId="0AC0B2A5" w14:textId="77777777" w:rsidR="007756B0" w:rsidRPr="007756B0" w:rsidRDefault="007756B0" w:rsidP="007756B0">
      <w:pPr>
        <w:pStyle w:val="BodyTextIndent"/>
        <w:spacing w:before="120"/>
        <w:ind w:left="630" w:hanging="630"/>
        <w:jc w:val="both"/>
        <w:rPr>
          <w:sz w:val="24"/>
          <w:szCs w:val="24"/>
        </w:rPr>
      </w:pPr>
      <w:r w:rsidRPr="007756B0">
        <w:rPr>
          <w:sz w:val="24"/>
          <w:szCs w:val="24"/>
        </w:rPr>
        <w:t xml:space="preserve">Darmayanthi, J., Rama, N. P., Susanthi, P. R., &amp; Sari, A. P. (2024). Analysis of financial performance due to credit restructuring policy at Batam City BPR. </w:t>
      </w:r>
      <w:r w:rsidRPr="007756B0">
        <w:rPr>
          <w:i/>
          <w:iCs/>
          <w:sz w:val="24"/>
          <w:szCs w:val="24"/>
        </w:rPr>
        <w:t>International Journal of Islamic Business and Management Review, 4</w:t>
      </w:r>
      <w:r w:rsidRPr="007756B0">
        <w:rPr>
          <w:sz w:val="24"/>
          <w:szCs w:val="24"/>
        </w:rPr>
        <w:t xml:space="preserve">(1), 42–54. </w:t>
      </w:r>
      <w:hyperlink r:id="rId7" w:history="1">
        <w:r w:rsidRPr="007756B0">
          <w:rPr>
            <w:rStyle w:val="Hyperlink"/>
            <w:sz w:val="24"/>
            <w:szCs w:val="24"/>
          </w:rPr>
          <w:t>https://doi.org/10.54099/ijibmr.v4i1.1025</w:t>
        </w:r>
      </w:hyperlink>
    </w:p>
    <w:p w14:paraId="1D92195E" w14:textId="77777777" w:rsidR="007756B0" w:rsidRPr="007756B0" w:rsidRDefault="007756B0" w:rsidP="007756B0">
      <w:pPr>
        <w:pStyle w:val="BodyTextIndent"/>
        <w:spacing w:before="120"/>
        <w:ind w:left="630" w:hanging="630"/>
        <w:jc w:val="both"/>
        <w:rPr>
          <w:sz w:val="24"/>
          <w:szCs w:val="24"/>
        </w:rPr>
      </w:pPr>
      <w:r w:rsidRPr="007756B0">
        <w:rPr>
          <w:sz w:val="24"/>
          <w:szCs w:val="24"/>
        </w:rPr>
        <w:t xml:space="preserve">Dzingirai, M., &amp; Baporikar, N. (2022). Financial restructuring and commercial banks’ performance nexus in Zimbabwe. </w:t>
      </w:r>
      <w:r w:rsidRPr="007756B0">
        <w:rPr>
          <w:i/>
          <w:iCs/>
          <w:sz w:val="24"/>
          <w:szCs w:val="24"/>
        </w:rPr>
        <w:t>International Journal of Corporate Finance and Accounting, 9</w:t>
      </w:r>
      <w:r w:rsidRPr="007756B0">
        <w:rPr>
          <w:sz w:val="24"/>
          <w:szCs w:val="24"/>
        </w:rPr>
        <w:t xml:space="preserve">, 1–13. </w:t>
      </w:r>
      <w:hyperlink r:id="rId8" w:history="1">
        <w:r w:rsidRPr="007756B0">
          <w:rPr>
            <w:rStyle w:val="Hyperlink"/>
            <w:sz w:val="24"/>
            <w:szCs w:val="24"/>
          </w:rPr>
          <w:t>https://doi.org/10.4018/IJCFA.312567</w:t>
        </w:r>
      </w:hyperlink>
    </w:p>
    <w:p w14:paraId="08E3F22F" w14:textId="77777777" w:rsidR="007756B0" w:rsidRPr="007756B0" w:rsidRDefault="007756B0" w:rsidP="007756B0">
      <w:pPr>
        <w:pStyle w:val="BodyTextIndent"/>
        <w:spacing w:before="120"/>
        <w:ind w:left="630" w:hanging="630"/>
        <w:jc w:val="both"/>
        <w:rPr>
          <w:sz w:val="24"/>
          <w:szCs w:val="24"/>
        </w:rPr>
      </w:pPr>
      <w:r w:rsidRPr="007756B0">
        <w:rPr>
          <w:sz w:val="24"/>
          <w:szCs w:val="24"/>
        </w:rPr>
        <w:t xml:space="preserve">Elrayah, M., &amp; Jalingo, M. U. (2023). Capital structure dynamics: Evaluating financial performance through financial accountability and investment decision: Moderating influence of internal control systems. </w:t>
      </w:r>
      <w:r w:rsidRPr="007756B0">
        <w:rPr>
          <w:i/>
          <w:iCs/>
          <w:sz w:val="24"/>
          <w:szCs w:val="24"/>
        </w:rPr>
        <w:t>Cuadernos de Economía, 46</w:t>
      </w:r>
      <w:r w:rsidRPr="007756B0">
        <w:rPr>
          <w:sz w:val="24"/>
          <w:szCs w:val="24"/>
        </w:rPr>
        <w:t>(132), 79–91.</w:t>
      </w:r>
    </w:p>
    <w:p w14:paraId="2BCEB00B" w14:textId="77777777" w:rsidR="007756B0" w:rsidRPr="007756B0" w:rsidRDefault="007756B0" w:rsidP="007756B0">
      <w:pPr>
        <w:pStyle w:val="BodyTextIndent"/>
        <w:spacing w:before="120"/>
        <w:ind w:left="630" w:hanging="630"/>
        <w:jc w:val="both"/>
        <w:rPr>
          <w:sz w:val="24"/>
          <w:szCs w:val="24"/>
        </w:rPr>
      </w:pPr>
      <w:r w:rsidRPr="007756B0">
        <w:rPr>
          <w:sz w:val="24"/>
          <w:szCs w:val="24"/>
        </w:rPr>
        <w:t xml:space="preserve">Indy, L. A., Uzliawati, L., &amp; Yulianto, A. S. (2023). Managerial ownership, profitability, and firm value: An agency theory perspective. </w:t>
      </w:r>
      <w:r w:rsidRPr="007756B0">
        <w:rPr>
          <w:i/>
          <w:iCs/>
          <w:sz w:val="24"/>
          <w:szCs w:val="24"/>
        </w:rPr>
        <w:t>Enrichment: Journal of Management, 13</w:t>
      </w:r>
      <w:r w:rsidRPr="007756B0">
        <w:rPr>
          <w:sz w:val="24"/>
          <w:szCs w:val="24"/>
        </w:rPr>
        <w:t>(1), 619–626.</w:t>
      </w:r>
    </w:p>
    <w:p w14:paraId="33446DF7" w14:textId="77777777" w:rsidR="007756B0" w:rsidRPr="007756B0" w:rsidRDefault="007756B0" w:rsidP="007756B0">
      <w:pPr>
        <w:pStyle w:val="BodyTextIndent"/>
        <w:spacing w:before="120"/>
        <w:ind w:left="630" w:hanging="630"/>
        <w:jc w:val="both"/>
        <w:rPr>
          <w:sz w:val="24"/>
          <w:szCs w:val="24"/>
        </w:rPr>
      </w:pPr>
      <w:r w:rsidRPr="007756B0">
        <w:rPr>
          <w:sz w:val="24"/>
          <w:szCs w:val="24"/>
        </w:rPr>
        <w:t xml:space="preserve">Ingow, L. U., &amp; Opuodho, G. (2019). Effect of corporate restructuring on financial performance of SACCOs in Kenya. </w:t>
      </w:r>
      <w:r w:rsidRPr="007756B0">
        <w:rPr>
          <w:i/>
          <w:iCs/>
          <w:sz w:val="24"/>
          <w:szCs w:val="24"/>
        </w:rPr>
        <w:t>International Journal of Recent Research in Commerce, Economics and Management, 6</w:t>
      </w:r>
      <w:r w:rsidRPr="007756B0">
        <w:rPr>
          <w:sz w:val="24"/>
          <w:szCs w:val="24"/>
        </w:rPr>
        <w:t>(4), 199–204.</w:t>
      </w:r>
    </w:p>
    <w:p w14:paraId="633B59A5" w14:textId="77777777" w:rsidR="007756B0" w:rsidRPr="007756B0" w:rsidRDefault="007756B0" w:rsidP="007756B0">
      <w:pPr>
        <w:pStyle w:val="BodyTextIndent"/>
        <w:spacing w:before="120"/>
        <w:ind w:left="630" w:hanging="630"/>
        <w:jc w:val="both"/>
        <w:rPr>
          <w:sz w:val="24"/>
          <w:szCs w:val="24"/>
        </w:rPr>
      </w:pPr>
      <w:r w:rsidRPr="007756B0">
        <w:rPr>
          <w:sz w:val="24"/>
          <w:szCs w:val="24"/>
        </w:rPr>
        <w:t xml:space="preserve">Isabwa, H. K., &amp; Mabonga, W. M. (2019). Financial restructuring and non-financial performance of Pan Africa Insurance Holding Company, Kenya. </w:t>
      </w:r>
      <w:r w:rsidRPr="007756B0">
        <w:rPr>
          <w:i/>
          <w:iCs/>
          <w:sz w:val="24"/>
          <w:szCs w:val="24"/>
        </w:rPr>
        <w:t>International Journal of Research in Finance and Marketing, 9</w:t>
      </w:r>
      <w:r w:rsidRPr="007756B0">
        <w:rPr>
          <w:sz w:val="24"/>
          <w:szCs w:val="24"/>
        </w:rPr>
        <w:t>(4), 20–40.</w:t>
      </w:r>
    </w:p>
    <w:p w14:paraId="76EB02A1" w14:textId="77777777" w:rsidR="007756B0" w:rsidRPr="007756B0" w:rsidRDefault="007756B0" w:rsidP="007756B0">
      <w:pPr>
        <w:pStyle w:val="BodyTextIndent"/>
        <w:spacing w:before="120"/>
        <w:ind w:left="630" w:hanging="630"/>
        <w:jc w:val="both"/>
        <w:rPr>
          <w:sz w:val="24"/>
          <w:szCs w:val="24"/>
        </w:rPr>
      </w:pPr>
      <w:r w:rsidRPr="007756B0">
        <w:rPr>
          <w:sz w:val="24"/>
          <w:szCs w:val="24"/>
        </w:rPr>
        <w:t xml:space="preserve">Izu, I. S., Sheidu, C. F., &amp; Sule, G. A. (2024). Two decades of bank recapitalization and economic stabilization measures in Nigeria. </w:t>
      </w:r>
      <w:r w:rsidRPr="007756B0">
        <w:rPr>
          <w:i/>
          <w:iCs/>
          <w:sz w:val="24"/>
          <w:szCs w:val="24"/>
        </w:rPr>
        <w:t>Journal of Political Discourse, 2</w:t>
      </w:r>
      <w:r w:rsidRPr="007756B0">
        <w:rPr>
          <w:sz w:val="24"/>
          <w:szCs w:val="24"/>
        </w:rPr>
        <w:t>(1), 103–114.</w:t>
      </w:r>
    </w:p>
    <w:p w14:paraId="30D0C5B6" w14:textId="77777777" w:rsidR="007756B0" w:rsidRPr="007756B0" w:rsidRDefault="007756B0" w:rsidP="007756B0">
      <w:pPr>
        <w:pStyle w:val="BodyTextIndent"/>
        <w:spacing w:before="120"/>
        <w:ind w:left="630" w:hanging="630"/>
        <w:jc w:val="both"/>
        <w:rPr>
          <w:sz w:val="24"/>
          <w:szCs w:val="24"/>
        </w:rPr>
      </w:pPr>
      <w:r w:rsidRPr="007756B0">
        <w:rPr>
          <w:sz w:val="24"/>
          <w:szCs w:val="24"/>
        </w:rPr>
        <w:t xml:space="preserve">Johnstone, S. (2024). Human resource management in recession: Restructuring and alternatives to downsizing in times of crisis. </w:t>
      </w:r>
      <w:r w:rsidRPr="007756B0">
        <w:rPr>
          <w:i/>
          <w:iCs/>
          <w:sz w:val="24"/>
          <w:szCs w:val="24"/>
        </w:rPr>
        <w:t>Human Resource Management Journal, 34</w:t>
      </w:r>
      <w:r w:rsidRPr="007756B0">
        <w:rPr>
          <w:sz w:val="24"/>
          <w:szCs w:val="24"/>
        </w:rPr>
        <w:t>(1), 138–157.</w:t>
      </w:r>
    </w:p>
    <w:p w14:paraId="543DAE42" w14:textId="77777777" w:rsidR="007756B0" w:rsidRPr="007756B0" w:rsidRDefault="007756B0" w:rsidP="007756B0">
      <w:pPr>
        <w:pStyle w:val="BodyTextIndent"/>
        <w:spacing w:before="120"/>
        <w:ind w:left="630" w:hanging="630"/>
        <w:jc w:val="both"/>
        <w:rPr>
          <w:sz w:val="24"/>
          <w:szCs w:val="24"/>
        </w:rPr>
      </w:pPr>
      <w:r w:rsidRPr="007756B0">
        <w:rPr>
          <w:sz w:val="24"/>
          <w:szCs w:val="24"/>
        </w:rPr>
        <w:t xml:space="preserve">Kariuki, N. M., &amp; Njuguna, R. (2024). The influence of financial restructuring on organizational performance at Equity Bank Kenya Limited. </w:t>
      </w:r>
      <w:r w:rsidRPr="007756B0">
        <w:rPr>
          <w:i/>
          <w:iCs/>
          <w:sz w:val="24"/>
          <w:szCs w:val="24"/>
        </w:rPr>
        <w:t>Journal of Finance and Accounting, 8</w:t>
      </w:r>
      <w:r w:rsidRPr="007756B0">
        <w:rPr>
          <w:sz w:val="24"/>
          <w:szCs w:val="24"/>
        </w:rPr>
        <w:t xml:space="preserve">(9), 69–79. </w:t>
      </w:r>
      <w:hyperlink r:id="rId9" w:history="1">
        <w:r w:rsidRPr="007756B0">
          <w:rPr>
            <w:rStyle w:val="Hyperlink"/>
            <w:sz w:val="24"/>
            <w:szCs w:val="24"/>
          </w:rPr>
          <w:t>https://doi.org/10.53819/81018102t2443</w:t>
        </w:r>
      </w:hyperlink>
    </w:p>
    <w:p w14:paraId="5D52FD54" w14:textId="77777777" w:rsidR="007756B0" w:rsidRPr="007756B0" w:rsidRDefault="007756B0" w:rsidP="007756B0">
      <w:pPr>
        <w:pStyle w:val="BodyTextIndent"/>
        <w:spacing w:before="120"/>
        <w:ind w:left="630" w:hanging="630"/>
        <w:jc w:val="both"/>
        <w:rPr>
          <w:sz w:val="24"/>
          <w:szCs w:val="24"/>
        </w:rPr>
      </w:pPr>
      <w:r w:rsidRPr="007756B0">
        <w:rPr>
          <w:sz w:val="24"/>
          <w:szCs w:val="24"/>
        </w:rPr>
        <w:t xml:space="preserve">Kithinji, A. M. (2019). The effect of bank restructuring on financial performance controlled by customer deposits: An empirical investigation of commercial banks in Kenya. </w:t>
      </w:r>
      <w:r w:rsidRPr="007756B0">
        <w:rPr>
          <w:i/>
          <w:iCs/>
          <w:sz w:val="24"/>
          <w:szCs w:val="24"/>
        </w:rPr>
        <w:t>International Journal for Innovative Research in Multidisciplinary Field, 5</w:t>
      </w:r>
      <w:r w:rsidRPr="007756B0">
        <w:rPr>
          <w:sz w:val="24"/>
          <w:szCs w:val="24"/>
        </w:rPr>
        <w:t>(1), 13–19.</w:t>
      </w:r>
    </w:p>
    <w:p w14:paraId="53CD7A2C" w14:textId="77777777" w:rsidR="007756B0" w:rsidRPr="007756B0" w:rsidRDefault="007756B0" w:rsidP="007756B0">
      <w:pPr>
        <w:pStyle w:val="BodyTextIndent"/>
        <w:spacing w:before="120"/>
        <w:ind w:left="630" w:hanging="630"/>
        <w:jc w:val="both"/>
        <w:rPr>
          <w:sz w:val="24"/>
          <w:szCs w:val="24"/>
        </w:rPr>
      </w:pPr>
      <w:r w:rsidRPr="007756B0">
        <w:rPr>
          <w:sz w:val="24"/>
          <w:szCs w:val="24"/>
        </w:rPr>
        <w:t xml:space="preserve">Konstantakopoulou, I. (2023). Financial intermediation, economic growth, and business cycles. </w:t>
      </w:r>
      <w:r w:rsidRPr="007756B0">
        <w:rPr>
          <w:i/>
          <w:iCs/>
          <w:sz w:val="24"/>
          <w:szCs w:val="24"/>
        </w:rPr>
        <w:t>Journal of Risk and Financial Management, 16</w:t>
      </w:r>
      <w:r w:rsidRPr="007756B0">
        <w:rPr>
          <w:sz w:val="24"/>
          <w:szCs w:val="24"/>
        </w:rPr>
        <w:t>(12), Article 514.</w:t>
      </w:r>
    </w:p>
    <w:p w14:paraId="0CD4D117" w14:textId="05405F88" w:rsidR="007756B0" w:rsidRPr="007756B0" w:rsidRDefault="007756B0" w:rsidP="007756B0">
      <w:pPr>
        <w:pStyle w:val="BodyTextIndent"/>
        <w:spacing w:before="120"/>
        <w:ind w:left="630" w:hanging="630"/>
        <w:jc w:val="both"/>
        <w:rPr>
          <w:sz w:val="24"/>
          <w:szCs w:val="24"/>
        </w:rPr>
      </w:pPr>
      <w:r w:rsidRPr="007756B0">
        <w:rPr>
          <w:sz w:val="24"/>
          <w:szCs w:val="24"/>
        </w:rPr>
        <w:t>Kumar, P., Verma, P., Bhatnagar, M., Taneja, S., Seychel, S., Todorović, I., &amp; Grima, S. (2023). The financial performance and solvency status of the Indian public sector banks: A CAMELS rating and Z-score approach.</w:t>
      </w:r>
      <w:r>
        <w:rPr>
          <w:sz w:val="24"/>
          <w:szCs w:val="24"/>
        </w:rPr>
        <w:t xml:space="preserve"> </w:t>
      </w:r>
      <w:r w:rsidR="003D143F" w:rsidRPr="003D143F">
        <w:rPr>
          <w:i/>
          <w:iCs/>
          <w:sz w:val="24"/>
          <w:szCs w:val="24"/>
        </w:rPr>
        <w:t>International Journal of Sustainable Development &amp; Planning, 18</w:t>
      </w:r>
      <w:r w:rsidR="003D143F" w:rsidRPr="003D143F">
        <w:rPr>
          <w:sz w:val="24"/>
          <w:szCs w:val="24"/>
        </w:rPr>
        <w:t>(2), 367-376.</w:t>
      </w:r>
    </w:p>
    <w:p w14:paraId="5B66106F" w14:textId="77777777" w:rsidR="007756B0" w:rsidRPr="007756B0" w:rsidRDefault="007756B0" w:rsidP="007756B0">
      <w:pPr>
        <w:pStyle w:val="BodyTextIndent"/>
        <w:spacing w:before="120"/>
        <w:ind w:left="630" w:hanging="630"/>
        <w:jc w:val="both"/>
        <w:rPr>
          <w:sz w:val="24"/>
          <w:szCs w:val="24"/>
        </w:rPr>
      </w:pPr>
      <w:r w:rsidRPr="007756B0">
        <w:rPr>
          <w:sz w:val="24"/>
          <w:szCs w:val="24"/>
        </w:rPr>
        <w:t xml:space="preserve">Liu, X., &amp; Zhao, Q. (2024). Banking competition, credit financing, and the efficiency of corporate technology innovation. </w:t>
      </w:r>
      <w:r w:rsidRPr="007756B0">
        <w:rPr>
          <w:i/>
          <w:iCs/>
          <w:sz w:val="24"/>
          <w:szCs w:val="24"/>
        </w:rPr>
        <w:t>International Review of Financial Analysis, 94</w:t>
      </w:r>
      <w:r w:rsidRPr="007756B0">
        <w:rPr>
          <w:sz w:val="24"/>
          <w:szCs w:val="24"/>
        </w:rPr>
        <w:t>, Article 103248.</w:t>
      </w:r>
    </w:p>
    <w:p w14:paraId="75914B30" w14:textId="77777777" w:rsidR="007756B0" w:rsidRPr="007756B0" w:rsidRDefault="007756B0" w:rsidP="007756B0">
      <w:pPr>
        <w:pStyle w:val="BodyTextIndent"/>
        <w:spacing w:before="120"/>
        <w:ind w:left="630" w:hanging="630"/>
        <w:jc w:val="both"/>
        <w:rPr>
          <w:sz w:val="24"/>
          <w:szCs w:val="24"/>
        </w:rPr>
      </w:pPr>
      <w:r w:rsidRPr="007756B0">
        <w:rPr>
          <w:sz w:val="24"/>
          <w:szCs w:val="24"/>
        </w:rPr>
        <w:t xml:space="preserve">Liu, Y., Ye, K., &amp; Liu, J. (2023). Major asset restructuring performance commitments and classification shifting through non-recurring items. </w:t>
      </w:r>
      <w:r w:rsidRPr="007756B0">
        <w:rPr>
          <w:i/>
          <w:iCs/>
          <w:sz w:val="24"/>
          <w:szCs w:val="24"/>
        </w:rPr>
        <w:t>China Journal of Accounting Studies, 11</w:t>
      </w:r>
      <w:r w:rsidRPr="007756B0">
        <w:rPr>
          <w:sz w:val="24"/>
          <w:szCs w:val="24"/>
        </w:rPr>
        <w:t>(2), 270–299.</w:t>
      </w:r>
    </w:p>
    <w:p w14:paraId="61FE5A9C" w14:textId="77777777" w:rsidR="007756B0" w:rsidRPr="007756B0" w:rsidRDefault="007756B0" w:rsidP="007756B0">
      <w:pPr>
        <w:pStyle w:val="BodyTextIndent"/>
        <w:spacing w:before="120"/>
        <w:ind w:left="630" w:hanging="630"/>
        <w:jc w:val="both"/>
        <w:rPr>
          <w:sz w:val="24"/>
          <w:szCs w:val="24"/>
        </w:rPr>
      </w:pPr>
      <w:r w:rsidRPr="007756B0">
        <w:rPr>
          <w:sz w:val="24"/>
          <w:szCs w:val="24"/>
        </w:rPr>
        <w:t xml:space="preserve">Mavlutova, I., Babenko, V., Dykan, V., Prokopenko, N., Kalinichenko, S., &amp; Tokmakova, I. (2021). Business restructuring as a method of strengthening a company’s financial position. </w:t>
      </w:r>
      <w:r w:rsidRPr="007756B0">
        <w:rPr>
          <w:i/>
          <w:iCs/>
          <w:sz w:val="24"/>
          <w:szCs w:val="24"/>
        </w:rPr>
        <w:t>Journal of Optimization in Industrial Engineering, 14</w:t>
      </w:r>
      <w:r w:rsidRPr="007756B0">
        <w:rPr>
          <w:sz w:val="24"/>
          <w:szCs w:val="24"/>
        </w:rPr>
        <w:t>(1), 129–139.</w:t>
      </w:r>
    </w:p>
    <w:p w14:paraId="75E6FB58" w14:textId="77777777" w:rsidR="007756B0" w:rsidRPr="007756B0" w:rsidRDefault="007756B0" w:rsidP="007756B0">
      <w:pPr>
        <w:pStyle w:val="BodyTextIndent"/>
        <w:spacing w:before="120"/>
        <w:ind w:left="630" w:hanging="630"/>
        <w:jc w:val="both"/>
        <w:rPr>
          <w:sz w:val="24"/>
          <w:szCs w:val="24"/>
        </w:rPr>
      </w:pPr>
      <w:r w:rsidRPr="007756B0">
        <w:rPr>
          <w:sz w:val="24"/>
          <w:szCs w:val="24"/>
        </w:rPr>
        <w:t xml:space="preserve">Moudud-Ul-Huq, S., Zheng, C., Gupta, A. D., Hossain, S. A., &amp; Biswas, T. (2023). Risk and performance in emerging economies: Do bank diversification and financial crises matter? </w:t>
      </w:r>
      <w:r w:rsidRPr="007756B0">
        <w:rPr>
          <w:i/>
          <w:iCs/>
          <w:sz w:val="24"/>
          <w:szCs w:val="24"/>
        </w:rPr>
        <w:t>Global Business Review, 24</w:t>
      </w:r>
      <w:r w:rsidRPr="007756B0">
        <w:rPr>
          <w:sz w:val="24"/>
          <w:szCs w:val="24"/>
        </w:rPr>
        <w:t>(4), 663–689.</w:t>
      </w:r>
    </w:p>
    <w:p w14:paraId="394555A8" w14:textId="77777777" w:rsidR="007756B0" w:rsidRPr="007756B0" w:rsidRDefault="007756B0" w:rsidP="007756B0">
      <w:pPr>
        <w:pStyle w:val="BodyTextIndent"/>
        <w:spacing w:before="120"/>
        <w:ind w:left="630" w:hanging="630"/>
        <w:jc w:val="both"/>
        <w:rPr>
          <w:sz w:val="24"/>
          <w:szCs w:val="24"/>
        </w:rPr>
      </w:pPr>
      <w:r w:rsidRPr="007756B0">
        <w:rPr>
          <w:sz w:val="24"/>
          <w:szCs w:val="24"/>
        </w:rPr>
        <w:t xml:space="preserve">Nagarajan, V., Mohanty, P., &amp; Khatua, A. (2023). Financing effects of corporate diversification: A review. </w:t>
      </w:r>
      <w:r w:rsidRPr="007756B0">
        <w:rPr>
          <w:i/>
          <w:iCs/>
          <w:sz w:val="24"/>
          <w:szCs w:val="24"/>
        </w:rPr>
        <w:t>Review of Managerial Science, 17</w:t>
      </w:r>
      <w:r w:rsidRPr="007756B0">
        <w:rPr>
          <w:sz w:val="24"/>
          <w:szCs w:val="24"/>
        </w:rPr>
        <w:t>(7), 2555–2585.</w:t>
      </w:r>
    </w:p>
    <w:p w14:paraId="33F3DD15" w14:textId="77777777" w:rsidR="007756B0" w:rsidRPr="007756B0" w:rsidRDefault="007756B0" w:rsidP="007756B0">
      <w:pPr>
        <w:pStyle w:val="BodyTextIndent"/>
        <w:spacing w:before="120"/>
        <w:ind w:left="630" w:hanging="630"/>
        <w:jc w:val="both"/>
        <w:rPr>
          <w:sz w:val="24"/>
          <w:szCs w:val="24"/>
        </w:rPr>
      </w:pPr>
      <w:r w:rsidRPr="007756B0">
        <w:rPr>
          <w:sz w:val="24"/>
          <w:szCs w:val="24"/>
        </w:rPr>
        <w:t xml:space="preserve">Nair, T. (2024). Restructuring of banks and financial deepening: Tracing the Indian discourse. </w:t>
      </w:r>
      <w:r w:rsidRPr="007756B0">
        <w:rPr>
          <w:i/>
          <w:iCs/>
          <w:sz w:val="24"/>
          <w:szCs w:val="24"/>
        </w:rPr>
        <w:t>International Journal of Business and Globalisation, 37</w:t>
      </w:r>
      <w:r w:rsidRPr="007756B0">
        <w:rPr>
          <w:sz w:val="24"/>
          <w:szCs w:val="24"/>
        </w:rPr>
        <w:t>(2), 283–296.</w:t>
      </w:r>
    </w:p>
    <w:p w14:paraId="11CCA510" w14:textId="3003B30F" w:rsidR="00935767" w:rsidRDefault="00935767" w:rsidP="007756B0">
      <w:pPr>
        <w:pStyle w:val="BodyTextIndent"/>
        <w:spacing w:before="120"/>
        <w:ind w:left="630" w:hanging="630"/>
        <w:jc w:val="both"/>
        <w:rPr>
          <w:sz w:val="24"/>
          <w:szCs w:val="24"/>
        </w:rPr>
      </w:pPr>
      <w:r w:rsidRPr="00935767">
        <w:rPr>
          <w:sz w:val="24"/>
          <w:szCs w:val="24"/>
        </w:rPr>
        <w:t xml:space="preserve">Nguyen, T. D. (2024). </w:t>
      </w:r>
      <w:r w:rsidRPr="00935767">
        <w:rPr>
          <w:i/>
          <w:iCs/>
          <w:sz w:val="24"/>
          <w:szCs w:val="24"/>
        </w:rPr>
        <w:t>Corporate restructuring and environmental, social, and governance improvement</w:t>
      </w:r>
      <w:r w:rsidRPr="00935767">
        <w:rPr>
          <w:sz w:val="24"/>
          <w:szCs w:val="24"/>
        </w:rPr>
        <w:t xml:space="preserve"> [Doctoral dissertation, University of Technology Sydney]. OPUS at UTS. </w:t>
      </w:r>
      <w:hyperlink r:id="rId10" w:history="1">
        <w:r w:rsidRPr="00935767">
          <w:rPr>
            <w:rStyle w:val="Hyperlink"/>
            <w:sz w:val="24"/>
            <w:szCs w:val="24"/>
          </w:rPr>
          <w:t>https://hdl.handle.net/10453/178167</w:t>
        </w:r>
      </w:hyperlink>
    </w:p>
    <w:p w14:paraId="054AADB6" w14:textId="656C963E" w:rsidR="007756B0" w:rsidRPr="007756B0" w:rsidRDefault="007756B0" w:rsidP="007756B0">
      <w:pPr>
        <w:pStyle w:val="BodyTextIndent"/>
        <w:spacing w:before="120"/>
        <w:ind w:left="630" w:hanging="630"/>
        <w:jc w:val="both"/>
        <w:rPr>
          <w:sz w:val="24"/>
          <w:szCs w:val="24"/>
        </w:rPr>
      </w:pPr>
      <w:r w:rsidRPr="007756B0">
        <w:rPr>
          <w:sz w:val="24"/>
          <w:szCs w:val="24"/>
        </w:rPr>
        <w:t xml:space="preserve">Obadire, A. M., Moyo, V., &amp; Munzhelele, N. F. (2023). An empirical analysis of the dynamics influencing bank capital structure in Africa. </w:t>
      </w:r>
      <w:r w:rsidRPr="007756B0">
        <w:rPr>
          <w:i/>
          <w:iCs/>
          <w:sz w:val="24"/>
          <w:szCs w:val="24"/>
        </w:rPr>
        <w:t>International Journal of Financial Studies, 11</w:t>
      </w:r>
      <w:r w:rsidRPr="007756B0">
        <w:rPr>
          <w:sz w:val="24"/>
          <w:szCs w:val="24"/>
        </w:rPr>
        <w:t>(4), Article 127.</w:t>
      </w:r>
    </w:p>
    <w:p w14:paraId="1CF6DDC2" w14:textId="77777777" w:rsidR="007756B0" w:rsidRPr="007756B0" w:rsidRDefault="007756B0" w:rsidP="007756B0">
      <w:pPr>
        <w:pStyle w:val="BodyTextIndent"/>
        <w:spacing w:before="120"/>
        <w:ind w:left="630" w:hanging="630"/>
        <w:jc w:val="both"/>
        <w:rPr>
          <w:sz w:val="24"/>
          <w:szCs w:val="24"/>
        </w:rPr>
      </w:pPr>
      <w:r w:rsidRPr="007756B0">
        <w:rPr>
          <w:sz w:val="24"/>
          <w:szCs w:val="24"/>
        </w:rPr>
        <w:t xml:space="preserve">Okonkwo, J. J., Okere, W., Okoye, N. J., &amp; Mkparu, E. T. (2023). The effect of capital restructuring on bank financial performance. </w:t>
      </w:r>
      <w:r w:rsidRPr="007756B0">
        <w:rPr>
          <w:i/>
          <w:iCs/>
          <w:sz w:val="24"/>
          <w:szCs w:val="24"/>
        </w:rPr>
        <w:t>AKRUAL: Jurnal Akuntansi, 15</w:t>
      </w:r>
      <w:r w:rsidRPr="007756B0">
        <w:rPr>
          <w:sz w:val="24"/>
          <w:szCs w:val="24"/>
        </w:rPr>
        <w:t>(1), 14–25.</w:t>
      </w:r>
    </w:p>
    <w:p w14:paraId="45A62F9F" w14:textId="77777777" w:rsidR="007756B0" w:rsidRPr="007756B0" w:rsidRDefault="007756B0" w:rsidP="007756B0">
      <w:pPr>
        <w:pStyle w:val="BodyTextIndent"/>
        <w:spacing w:before="120"/>
        <w:ind w:left="630" w:hanging="630"/>
        <w:jc w:val="both"/>
        <w:rPr>
          <w:sz w:val="24"/>
          <w:szCs w:val="24"/>
        </w:rPr>
      </w:pPr>
      <w:r w:rsidRPr="007756B0">
        <w:rPr>
          <w:sz w:val="24"/>
          <w:szCs w:val="24"/>
        </w:rPr>
        <w:t xml:space="preserve">Olawale, A., &amp; Obinna, E. (2023). An empirical analysis of capital structure, liquidity, and banking sector performance in Nigeria (2011–2021). </w:t>
      </w:r>
      <w:r w:rsidRPr="007756B0">
        <w:rPr>
          <w:i/>
          <w:iCs/>
          <w:sz w:val="24"/>
          <w:szCs w:val="24"/>
        </w:rPr>
        <w:t>Journal of Finance and Economics, 11</w:t>
      </w:r>
      <w:r w:rsidRPr="007756B0">
        <w:rPr>
          <w:sz w:val="24"/>
          <w:szCs w:val="24"/>
        </w:rPr>
        <w:t>(3), 149–159.</w:t>
      </w:r>
    </w:p>
    <w:p w14:paraId="137DBFEE" w14:textId="77777777" w:rsidR="007756B0" w:rsidRPr="007756B0" w:rsidRDefault="007756B0" w:rsidP="007756B0">
      <w:pPr>
        <w:pStyle w:val="BodyTextIndent"/>
        <w:spacing w:before="120"/>
        <w:ind w:left="630" w:hanging="630"/>
        <w:jc w:val="both"/>
        <w:rPr>
          <w:sz w:val="24"/>
          <w:szCs w:val="24"/>
        </w:rPr>
      </w:pPr>
      <w:r w:rsidRPr="007756B0">
        <w:rPr>
          <w:sz w:val="24"/>
          <w:szCs w:val="24"/>
        </w:rPr>
        <w:t xml:space="preserve">Osuji, C., &amp; Okwuagwu, P. (2022). Corporate restructuring and financial resilience of deposit money banks in Nigeria. </w:t>
      </w:r>
      <w:r w:rsidRPr="007756B0">
        <w:rPr>
          <w:i/>
          <w:iCs/>
          <w:sz w:val="24"/>
          <w:szCs w:val="24"/>
        </w:rPr>
        <w:t>Asian Journal of Economics, Business and Accounting, 22</w:t>
      </w:r>
      <w:r w:rsidRPr="007756B0">
        <w:rPr>
          <w:sz w:val="24"/>
          <w:szCs w:val="24"/>
        </w:rPr>
        <w:t xml:space="preserve">, 15–24. </w:t>
      </w:r>
      <w:hyperlink r:id="rId11" w:history="1">
        <w:r w:rsidRPr="007756B0">
          <w:rPr>
            <w:rStyle w:val="Hyperlink"/>
            <w:sz w:val="24"/>
            <w:szCs w:val="24"/>
          </w:rPr>
          <w:t>https://doi.org/10.9734/AJEBA/2022/v22i1930655</w:t>
        </w:r>
      </w:hyperlink>
    </w:p>
    <w:p w14:paraId="5A38C6C8" w14:textId="77777777" w:rsidR="007756B0" w:rsidRPr="007756B0" w:rsidRDefault="007756B0" w:rsidP="007756B0">
      <w:pPr>
        <w:pStyle w:val="BodyTextIndent"/>
        <w:spacing w:before="120"/>
        <w:ind w:left="630" w:hanging="630"/>
        <w:jc w:val="both"/>
        <w:rPr>
          <w:sz w:val="24"/>
          <w:szCs w:val="24"/>
        </w:rPr>
      </w:pPr>
      <w:r w:rsidRPr="007756B0">
        <w:rPr>
          <w:sz w:val="24"/>
          <w:szCs w:val="24"/>
        </w:rPr>
        <w:t xml:space="preserve">Patra, B., Padhan, P. C., &amp; Padhi, P. (2023). Efficiency of Indian banks: Private versus public sector banks—A two-stage analysis. </w:t>
      </w:r>
      <w:r w:rsidRPr="007756B0">
        <w:rPr>
          <w:i/>
          <w:iCs/>
          <w:sz w:val="24"/>
          <w:szCs w:val="24"/>
        </w:rPr>
        <w:t>Cogent Economics &amp; Finance, 11</w:t>
      </w:r>
      <w:r w:rsidRPr="007756B0">
        <w:rPr>
          <w:sz w:val="24"/>
          <w:szCs w:val="24"/>
        </w:rPr>
        <w:t>(1), Article 2163081.</w:t>
      </w:r>
    </w:p>
    <w:p w14:paraId="4F2EBEC5" w14:textId="77777777" w:rsidR="007756B0" w:rsidRPr="007756B0" w:rsidRDefault="007756B0" w:rsidP="007756B0">
      <w:pPr>
        <w:pStyle w:val="BodyTextIndent"/>
        <w:spacing w:before="120"/>
        <w:ind w:left="630" w:hanging="630"/>
        <w:jc w:val="both"/>
        <w:rPr>
          <w:sz w:val="24"/>
          <w:szCs w:val="24"/>
        </w:rPr>
      </w:pPr>
      <w:r w:rsidRPr="007756B0">
        <w:rPr>
          <w:sz w:val="24"/>
          <w:szCs w:val="24"/>
        </w:rPr>
        <w:t xml:space="preserve">Purnomo, O. A. P., &amp; Aswin, T. A. (2024). Efficiency analysis of Islamic banks post-merger using DEA methods. </w:t>
      </w:r>
      <w:r w:rsidRPr="007756B0">
        <w:rPr>
          <w:i/>
          <w:iCs/>
          <w:sz w:val="24"/>
          <w:szCs w:val="24"/>
        </w:rPr>
        <w:t>International Journal of Economics Development Research, 5</w:t>
      </w:r>
      <w:r w:rsidRPr="007756B0">
        <w:rPr>
          <w:sz w:val="24"/>
          <w:szCs w:val="24"/>
        </w:rPr>
        <w:t>(2), 1049–1061.</w:t>
      </w:r>
    </w:p>
    <w:p w14:paraId="4F597CC8" w14:textId="77777777" w:rsidR="007756B0" w:rsidRPr="007756B0" w:rsidRDefault="007756B0" w:rsidP="007756B0">
      <w:pPr>
        <w:pStyle w:val="BodyTextIndent"/>
        <w:spacing w:before="120"/>
        <w:ind w:left="630" w:hanging="630"/>
        <w:jc w:val="both"/>
        <w:rPr>
          <w:sz w:val="24"/>
          <w:szCs w:val="24"/>
        </w:rPr>
      </w:pPr>
      <w:r w:rsidRPr="007756B0">
        <w:rPr>
          <w:sz w:val="24"/>
          <w:szCs w:val="24"/>
        </w:rPr>
        <w:t xml:space="preserve">Putri, N. J., &amp; Kusmila, Z. (2023). Factors affecting the preparation of financial statements based on FAS MSME. </w:t>
      </w:r>
      <w:r w:rsidRPr="007756B0">
        <w:rPr>
          <w:i/>
          <w:iCs/>
          <w:sz w:val="24"/>
          <w:szCs w:val="24"/>
        </w:rPr>
        <w:t>International Journal of Economics Development Research, 4</w:t>
      </w:r>
      <w:r w:rsidRPr="007756B0">
        <w:rPr>
          <w:sz w:val="24"/>
          <w:szCs w:val="24"/>
        </w:rPr>
        <w:t>(2), 1009–1021.</w:t>
      </w:r>
    </w:p>
    <w:p w14:paraId="3714F01B" w14:textId="77777777" w:rsidR="007756B0" w:rsidRPr="007756B0" w:rsidRDefault="007756B0" w:rsidP="007756B0">
      <w:pPr>
        <w:pStyle w:val="BodyTextIndent"/>
        <w:spacing w:before="120"/>
        <w:ind w:left="630" w:hanging="630"/>
        <w:jc w:val="both"/>
        <w:rPr>
          <w:sz w:val="24"/>
          <w:szCs w:val="24"/>
        </w:rPr>
      </w:pPr>
      <w:r w:rsidRPr="007756B0">
        <w:rPr>
          <w:sz w:val="24"/>
          <w:szCs w:val="24"/>
        </w:rPr>
        <w:t xml:space="preserve">Ramzan, M., &amp; Lau, W. Y. (2023). Impact of asset preferences on firm performance over its life cycle: Is agency theory or neoclassical theory more relevant? </w:t>
      </w:r>
      <w:r w:rsidRPr="007756B0">
        <w:rPr>
          <w:i/>
          <w:iCs/>
          <w:sz w:val="24"/>
          <w:szCs w:val="24"/>
        </w:rPr>
        <w:t>Managerial and Decision Economics, 44</w:t>
      </w:r>
      <w:r w:rsidRPr="007756B0">
        <w:rPr>
          <w:sz w:val="24"/>
          <w:szCs w:val="24"/>
        </w:rPr>
        <w:t>(1), 595–607.</w:t>
      </w:r>
    </w:p>
    <w:p w14:paraId="394C016B" w14:textId="77777777" w:rsidR="007756B0" w:rsidRPr="007756B0" w:rsidRDefault="007756B0" w:rsidP="007756B0">
      <w:pPr>
        <w:pStyle w:val="BodyTextIndent"/>
        <w:spacing w:before="120"/>
        <w:ind w:left="630" w:hanging="630"/>
        <w:jc w:val="both"/>
        <w:rPr>
          <w:sz w:val="24"/>
          <w:szCs w:val="24"/>
        </w:rPr>
      </w:pPr>
      <w:r w:rsidRPr="007756B0">
        <w:rPr>
          <w:sz w:val="24"/>
          <w:szCs w:val="24"/>
        </w:rPr>
        <w:t xml:space="preserve">Ray, K. G. (2022). </w:t>
      </w:r>
      <w:r w:rsidRPr="007756B0">
        <w:rPr>
          <w:i/>
          <w:iCs/>
          <w:sz w:val="24"/>
          <w:szCs w:val="24"/>
        </w:rPr>
        <w:t>Mergers and acquisitions: Strategy, valuation and integration</w:t>
      </w:r>
      <w:r w:rsidRPr="007756B0">
        <w:rPr>
          <w:sz w:val="24"/>
          <w:szCs w:val="24"/>
        </w:rPr>
        <w:t>. PHI Learning.</w:t>
      </w:r>
    </w:p>
    <w:p w14:paraId="33DF35E5" w14:textId="77777777" w:rsidR="007756B0" w:rsidRPr="007756B0" w:rsidRDefault="007756B0" w:rsidP="007756B0">
      <w:pPr>
        <w:pStyle w:val="BodyTextIndent"/>
        <w:spacing w:before="120"/>
        <w:ind w:left="630" w:hanging="630"/>
        <w:jc w:val="both"/>
        <w:rPr>
          <w:sz w:val="24"/>
          <w:szCs w:val="24"/>
        </w:rPr>
      </w:pPr>
      <w:r w:rsidRPr="007756B0">
        <w:rPr>
          <w:sz w:val="24"/>
          <w:szCs w:val="24"/>
        </w:rPr>
        <w:t xml:space="preserve">Segura, A., &amp; Suarez, J. (2023). Bank restructuring under asymmetric information: The role of bad loan sales. </w:t>
      </w:r>
      <w:r w:rsidRPr="007756B0">
        <w:rPr>
          <w:i/>
          <w:iCs/>
          <w:sz w:val="24"/>
          <w:szCs w:val="24"/>
        </w:rPr>
        <w:t>Journal of Financial Intermediation, 56</w:t>
      </w:r>
      <w:r w:rsidRPr="007756B0">
        <w:rPr>
          <w:sz w:val="24"/>
          <w:szCs w:val="24"/>
        </w:rPr>
        <w:t>, Article 101058.</w:t>
      </w:r>
    </w:p>
    <w:p w14:paraId="15236BBC" w14:textId="77777777" w:rsidR="007756B0" w:rsidRPr="007756B0" w:rsidRDefault="007756B0" w:rsidP="007756B0">
      <w:pPr>
        <w:pStyle w:val="BodyTextIndent"/>
        <w:spacing w:before="120"/>
        <w:ind w:left="630" w:hanging="630"/>
        <w:jc w:val="both"/>
        <w:rPr>
          <w:sz w:val="24"/>
          <w:szCs w:val="24"/>
        </w:rPr>
      </w:pPr>
      <w:r w:rsidRPr="007756B0">
        <w:rPr>
          <w:sz w:val="24"/>
          <w:szCs w:val="24"/>
        </w:rPr>
        <w:t xml:space="preserve">Sethi, D., Chaturvedi, V., Sethi, A., &amp; Jain, N. (2024). Assessing the effect of ethnocentrism and cultural intelligence on employees during corporate restructuring. </w:t>
      </w:r>
      <w:r w:rsidRPr="007756B0">
        <w:rPr>
          <w:i/>
          <w:iCs/>
          <w:sz w:val="24"/>
          <w:szCs w:val="24"/>
        </w:rPr>
        <w:t>Employee Responsibilities and Rights Journal, 36</w:t>
      </w:r>
      <w:r w:rsidRPr="007756B0">
        <w:rPr>
          <w:sz w:val="24"/>
          <w:szCs w:val="24"/>
        </w:rPr>
        <w:t>(1), 19–39.</w:t>
      </w:r>
    </w:p>
    <w:p w14:paraId="0AE8C119" w14:textId="77777777" w:rsidR="007756B0" w:rsidRPr="007756B0" w:rsidRDefault="007756B0" w:rsidP="007756B0">
      <w:pPr>
        <w:pStyle w:val="BodyTextIndent"/>
        <w:spacing w:before="120"/>
        <w:ind w:left="630" w:hanging="630"/>
        <w:jc w:val="both"/>
        <w:rPr>
          <w:sz w:val="24"/>
          <w:szCs w:val="24"/>
        </w:rPr>
      </w:pPr>
      <w:r w:rsidRPr="007756B0">
        <w:rPr>
          <w:sz w:val="24"/>
          <w:szCs w:val="24"/>
        </w:rPr>
        <w:t xml:space="preserve">Silva, V. A. B., &amp; Saito, R. (2020). Corporate financial distress and reorganization: A survey of theoretical and empirical contributions. </w:t>
      </w:r>
      <w:r w:rsidRPr="007756B0">
        <w:rPr>
          <w:i/>
          <w:iCs/>
          <w:sz w:val="24"/>
          <w:szCs w:val="24"/>
        </w:rPr>
        <w:t>Revista Brasileira de Gestão de Negócios, 22</w:t>
      </w:r>
      <w:r w:rsidRPr="007756B0">
        <w:rPr>
          <w:sz w:val="24"/>
          <w:szCs w:val="24"/>
        </w:rPr>
        <w:t>(Special Issue), 401–420.</w:t>
      </w:r>
    </w:p>
    <w:p w14:paraId="1E449F98" w14:textId="77777777" w:rsidR="007756B0" w:rsidRPr="007756B0" w:rsidRDefault="007756B0" w:rsidP="007756B0">
      <w:pPr>
        <w:pStyle w:val="BodyTextIndent"/>
        <w:spacing w:before="120"/>
        <w:ind w:left="630" w:hanging="630"/>
        <w:jc w:val="both"/>
        <w:rPr>
          <w:sz w:val="24"/>
          <w:szCs w:val="24"/>
        </w:rPr>
      </w:pPr>
      <w:r w:rsidRPr="007756B0">
        <w:rPr>
          <w:sz w:val="24"/>
          <w:szCs w:val="24"/>
        </w:rPr>
        <w:t xml:space="preserve">Tomar, P. S., &amp; Chauhan, A. (n.d.). </w:t>
      </w:r>
      <w:r w:rsidRPr="007756B0">
        <w:rPr>
          <w:i/>
          <w:iCs/>
          <w:sz w:val="24"/>
          <w:szCs w:val="24"/>
        </w:rPr>
        <w:t>Corporate finance, capital structure and financing strategies</w:t>
      </w:r>
      <w:r w:rsidRPr="007756B0">
        <w:rPr>
          <w:sz w:val="24"/>
          <w:szCs w:val="24"/>
        </w:rPr>
        <w:t xml:space="preserve">. In </w:t>
      </w:r>
      <w:r w:rsidRPr="007756B0">
        <w:rPr>
          <w:i/>
          <w:iCs/>
          <w:sz w:val="24"/>
          <w:szCs w:val="24"/>
        </w:rPr>
        <w:t>Media education and national educational policy</w:t>
      </w:r>
      <w:r w:rsidRPr="007756B0">
        <w:rPr>
          <w:sz w:val="24"/>
          <w:szCs w:val="24"/>
        </w:rPr>
        <w:t xml:space="preserve"> (p. 450).</w:t>
      </w:r>
    </w:p>
    <w:p w14:paraId="49AB56F2" w14:textId="77777777" w:rsidR="007756B0" w:rsidRPr="007756B0" w:rsidRDefault="007756B0" w:rsidP="007756B0">
      <w:pPr>
        <w:pStyle w:val="BodyTextIndent"/>
        <w:spacing w:before="120"/>
        <w:ind w:left="630" w:hanging="630"/>
        <w:jc w:val="both"/>
        <w:rPr>
          <w:sz w:val="24"/>
          <w:szCs w:val="24"/>
        </w:rPr>
      </w:pPr>
      <w:r w:rsidRPr="007756B0">
        <w:rPr>
          <w:sz w:val="24"/>
          <w:szCs w:val="24"/>
        </w:rPr>
        <w:t xml:space="preserve">Tran, N. P., Le, Q. T. T., Vo, A. T., &amp; Vo, D. H. (2024). Digital transformation and corporate restructuring: Does corporate governance matter? </w:t>
      </w:r>
      <w:r w:rsidRPr="007756B0">
        <w:rPr>
          <w:i/>
          <w:iCs/>
          <w:sz w:val="24"/>
          <w:szCs w:val="24"/>
        </w:rPr>
        <w:t>Journal of Strategy and Management</w:t>
      </w:r>
      <w:r w:rsidRPr="007756B0">
        <w:rPr>
          <w:sz w:val="24"/>
          <w:szCs w:val="24"/>
        </w:rPr>
        <w:t>.</w:t>
      </w:r>
    </w:p>
    <w:p w14:paraId="4D335BC1" w14:textId="77777777" w:rsidR="007756B0" w:rsidRPr="007756B0" w:rsidRDefault="007756B0" w:rsidP="007756B0">
      <w:pPr>
        <w:pStyle w:val="BodyTextIndent"/>
        <w:spacing w:before="120"/>
        <w:ind w:left="630" w:hanging="630"/>
        <w:jc w:val="both"/>
        <w:rPr>
          <w:sz w:val="24"/>
          <w:szCs w:val="24"/>
        </w:rPr>
      </w:pPr>
      <w:r w:rsidRPr="007756B0">
        <w:rPr>
          <w:sz w:val="24"/>
          <w:szCs w:val="24"/>
        </w:rPr>
        <w:t xml:space="preserve">Umar, M. A. (2023). Corporate restructuring: A strategy for improving organizational performance. </w:t>
      </w:r>
      <w:r w:rsidRPr="007756B0">
        <w:rPr>
          <w:i/>
          <w:iCs/>
          <w:sz w:val="24"/>
          <w:szCs w:val="24"/>
        </w:rPr>
        <w:t>International Journal of Strategic Decision Sciences, 14</w:t>
      </w:r>
      <w:r w:rsidRPr="007756B0">
        <w:rPr>
          <w:sz w:val="24"/>
          <w:szCs w:val="24"/>
        </w:rPr>
        <w:t>(1), 1–11.</w:t>
      </w:r>
    </w:p>
    <w:p w14:paraId="11E717EB" w14:textId="77777777" w:rsidR="00462A93" w:rsidRPr="00C97625" w:rsidRDefault="00462A93" w:rsidP="00462A93">
      <w:pPr>
        <w:pStyle w:val="BodyTextIndent"/>
        <w:spacing w:before="120" w:line="360" w:lineRule="auto"/>
        <w:jc w:val="both"/>
        <w:rPr>
          <w:b/>
          <w:bCs/>
          <w:sz w:val="24"/>
          <w:szCs w:val="24"/>
        </w:rPr>
      </w:pPr>
    </w:p>
    <w:sectPr w:rsidR="00462A93" w:rsidRPr="00C97625" w:rsidSect="00034616">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76242813">
    <w:abstractNumId w:val="8"/>
  </w:num>
  <w:num w:numId="2" w16cid:durableId="1059477177">
    <w:abstractNumId w:val="6"/>
  </w:num>
  <w:num w:numId="3" w16cid:durableId="648827212">
    <w:abstractNumId w:val="5"/>
  </w:num>
  <w:num w:numId="4" w16cid:durableId="1984505792">
    <w:abstractNumId w:val="4"/>
  </w:num>
  <w:num w:numId="5" w16cid:durableId="1449856679">
    <w:abstractNumId w:val="7"/>
  </w:num>
  <w:num w:numId="6" w16cid:durableId="1901673015">
    <w:abstractNumId w:val="3"/>
  </w:num>
  <w:num w:numId="7" w16cid:durableId="2014910717">
    <w:abstractNumId w:val="2"/>
  </w:num>
  <w:num w:numId="8" w16cid:durableId="697126161">
    <w:abstractNumId w:val="1"/>
  </w:num>
  <w:num w:numId="9" w16cid:durableId="1187871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D143F"/>
    <w:rsid w:val="00462A93"/>
    <w:rsid w:val="0049489A"/>
    <w:rsid w:val="004F6CD0"/>
    <w:rsid w:val="00595031"/>
    <w:rsid w:val="00756632"/>
    <w:rsid w:val="007756B0"/>
    <w:rsid w:val="008262F2"/>
    <w:rsid w:val="00935767"/>
    <w:rsid w:val="009C7F02"/>
    <w:rsid w:val="009F4670"/>
    <w:rsid w:val="00AA1D8D"/>
    <w:rsid w:val="00B47730"/>
    <w:rsid w:val="00B9711D"/>
    <w:rsid w:val="00CB0664"/>
    <w:rsid w:val="00EA0E3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186EE9"/>
  <w14:defaultImageDpi w14:val="300"/>
  <w15:docId w15:val="{8CE3F829-DB6F-45B3-9CFE-09F49AAAA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odyTextIndent">
    <w:name w:val="Body Text Indent"/>
    <w:basedOn w:val="Normal"/>
    <w:link w:val="BodyTextIndentChar"/>
    <w:uiPriority w:val="99"/>
    <w:semiHidden/>
    <w:unhideWhenUsed/>
    <w:rsid w:val="00462A93"/>
    <w:pPr>
      <w:spacing w:after="120"/>
      <w:ind w:left="360"/>
    </w:pPr>
  </w:style>
  <w:style w:type="character" w:customStyle="1" w:styleId="BodyTextIndentChar">
    <w:name w:val="Body Text Indent Char"/>
    <w:basedOn w:val="DefaultParagraphFont"/>
    <w:link w:val="BodyTextIndent"/>
    <w:uiPriority w:val="99"/>
    <w:semiHidden/>
    <w:rsid w:val="00462A93"/>
    <w:rPr>
      <w:rFonts w:ascii="Times New Roman" w:hAnsi="Times New Roman"/>
    </w:rPr>
  </w:style>
  <w:style w:type="character" w:styleId="Hyperlink">
    <w:name w:val="Hyperlink"/>
    <w:basedOn w:val="DefaultParagraphFont"/>
    <w:uiPriority w:val="99"/>
    <w:unhideWhenUsed/>
    <w:rsid w:val="007756B0"/>
    <w:rPr>
      <w:color w:val="0000FF" w:themeColor="hyperlink"/>
      <w:u w:val="single"/>
    </w:rPr>
  </w:style>
  <w:style w:type="character" w:styleId="UnresolvedMention">
    <w:name w:val="Unresolved Mention"/>
    <w:basedOn w:val="DefaultParagraphFont"/>
    <w:uiPriority w:val="99"/>
    <w:semiHidden/>
    <w:unhideWhenUsed/>
    <w:rsid w:val="007756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4018/IJCFA.31256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doi.org/10.54099/ijibmr.v4i1.1025"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i.org/10.2139/ssrn.4844740" TargetMode="External"/><Relationship Id="rId11" Type="http://schemas.openxmlformats.org/officeDocument/2006/relationships/hyperlink" Target="https://doi.org/10.9734/AJEBA/2022/v22i1930655" TargetMode="External"/><Relationship Id="rId5" Type="http://schemas.openxmlformats.org/officeDocument/2006/relationships/webSettings" Target="webSettings.xml"/><Relationship Id="rId10" Type="http://schemas.openxmlformats.org/officeDocument/2006/relationships/hyperlink" Target="https://hdl.handle.net/10453/178167" TargetMode="External"/><Relationship Id="rId4" Type="http://schemas.openxmlformats.org/officeDocument/2006/relationships/settings" Target="settings.xml"/><Relationship Id="rId9" Type="http://schemas.openxmlformats.org/officeDocument/2006/relationships/hyperlink" Target="https://doi.org/10.53819/81018102t24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4852</Words>
  <Characters>27659</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32447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SDI CPU 1117</cp:lastModifiedBy>
  <cp:revision>4</cp:revision>
  <dcterms:created xsi:type="dcterms:W3CDTF">2026-08-04T22:01:00Z</dcterms:created>
  <dcterms:modified xsi:type="dcterms:W3CDTF">2026-08-07T07:37:00Z</dcterms:modified>
  <cp:category/>
</cp:coreProperties>
</file>