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4619" w14:textId="77777777" w:rsidR="00C82F74" w:rsidRDefault="00C82F74" w:rsidP="00992504">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C82F74">
        <w:rPr>
          <w:rFonts w:ascii="Times New Roman" w:eastAsia="Times New Roman" w:hAnsi="Times New Roman" w:cs="Times New Roman"/>
          <w:b/>
          <w:bCs/>
          <w:sz w:val="36"/>
          <w:szCs w:val="36"/>
          <w:lang w:eastAsia="en-GB"/>
        </w:rPr>
        <w:t>Project Management Practices and the Performance of Infrastructure Projects in Kenya: A Critical Review</w:t>
      </w:r>
    </w:p>
    <w:p w14:paraId="2D0EE89D" w14:textId="77777777" w:rsidR="0084610A" w:rsidRPr="00C82F74" w:rsidRDefault="0084610A" w:rsidP="00992504">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p>
    <w:p w14:paraId="2FFEA1B8"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Abstract</w:t>
      </w:r>
    </w:p>
    <w:p w14:paraId="568EE765"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delivery occupies a central place in Kenya's development agenda, yet roads, railways, water schemes and public buildings continue to experience delays, cost escalation and quality shortfalls that undermine their intended developmental returns. This review synthesises the scholarly literature on project management practices and the performance of infrastructure projects in Kenya, situating the country's experience within the wider body of research on infrastructure delivery across sub-Saharan Africa and other developing regions. The review traces how planning and scheduling, risk management, stakeholder engagement, procurement, monitoring and evaluation, and resource and quality management practices have been examined in relation to time, cost, quality and stakeholder-satisfaction outcomes. It further considers the institutional and political economy conditions, including devolution, corruption and financing constraints, that mediate the translation of sound project management practice into improved performance. The review finds that while individual practices are well documented in isolated studies, the literature remains fragmented across disciplinary silos, methodologically dominated by cross-sectional survey designs, and thin on rigorous longitudinal or comparative analysis. Digitalisation, climate-resilient design and public–private financing arrangements emerge as underexplored but increasingly consequential themes. The review closes by identifying priority directions for future research and drawing out the practical and policy implications of the evidence assembled, while acknowledging the limitations inherent in a narrative synthesis of a heterogeneous and rapidly evolving literature.</w:t>
      </w:r>
    </w:p>
    <w:p w14:paraId="4350043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Keywords:</w:t>
      </w:r>
      <w:r w:rsidRPr="00C82F74">
        <w:rPr>
          <w:rFonts w:ascii="Times New Roman" w:eastAsia="Times New Roman" w:hAnsi="Times New Roman" w:cs="Times New Roman"/>
          <w:sz w:val="24"/>
          <w:szCs w:val="24"/>
          <w:lang w:eastAsia="en-GB"/>
        </w:rPr>
        <w:t xml:space="preserve"> project management practices; infrastructure projects; project performance; Kenya; devolution; public–private partnerships</w:t>
      </w:r>
    </w:p>
    <w:p w14:paraId="6FBD9C92"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 Introduction</w:t>
      </w:r>
    </w:p>
    <w:p w14:paraId="582C85E6"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has, over the past two decades, positioned infrastructure investment as the backbone of its long-term development strategy. Vision 2030, the country's overarching development blueprint, identifies transport, energy, water and urban infrastructure as foundational pillars for economic transformation, and successive national and county budgets have channelled substantial public resources toward roads, railways, ports, water and sanitation schemes, and public buildings (Kandie et al., 2025). The devolved system of government established under the Constitution of Kenya 2010 added a further layer of complexity by transferring significant planning, budgeting and implementation responsibilities to forty-seven county governments, each with varying levels of technical and administrative capacity (D'Arcy &amp; Cornell, 2016). Alongside this domestic effort, Kenya has attracted large-scale externally financed projects, most visibly the Standard Gauge Railway (SGR) linking Mombasa and Nairobi, which illustrates both the transformative potential and the environmental, fiscal and governance tensions that accompany megaproject delivery in a developing-country setting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w:t>
      </w:r>
    </w:p>
    <w:p w14:paraId="3F19A1F2"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Despite this sustained investment, infrastructure projects in Kenya are frequently reported to fall short of their planning targets. Time overruns, budget escalation, disputed variations, stalled works and quality defects recur across sectors and counties, prompting a substantial body of academic enquiry into the project management practices that public agencies, contractors and consultants apply, and into how those practices relate to project outcomes. This literature draws on an international theoretical foundation, most notably the classical formulation of project success around cost, time and quality, commonly termed the iron triangle, together with later arguments that this triad is an incomplete measure of success and that stakeholder satisfaction, sustainability and long-term benefit realisation deserve equal weight (Atkinson, 1999). Kenyan and comparable African studies have applied and extended these frameworks to examine planning, risk management, stakeholder engagement, procurement, monitoring and evaluation, and resource and quality management within road, water, energy, housing and public-facility projects, generating a rich but dispersed evidence base.</w:t>
      </w:r>
    </w:p>
    <w:p w14:paraId="55668F23"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1.1 Infrastructure Development and Project Management in the Kenyan Context</w:t>
      </w:r>
    </w:p>
    <w:p w14:paraId="5A8E23D4" w14:textId="7AE123B9"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The Kenyan infrastructure sector spans several distinct delivery arrangements. National trunk roads and highways fall under the Kenya National Highways Authority, while county governments and the Kenya Rural Roads Authority manage lower-tier road networks; the National Government Constituencies Development Fund (NG-CDF) channels resources to community-level facilities including schools and dispensaries; and an expanding public–private partnership (PPP) framework, formalised through dedicated legislation in 2013, has opened space for privately financed toll roads, energy projects and housing schemes (Chileshe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 xml:space="preserve">;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 Each of these delivery channels operates under a distinct set of procurement rules, oversight bodies and financing sources, producing considerable variation in how project management is practised and in the performance outcomes that result. Devolution has, in principle, brought planning closer to citizens, yet several accounts suggest that decentralised patronage networks and uneven technical capacity across counties have reproduced, rather than resolved, longstanding governance weaknesses in public infrastructure delivery (D'Arcy &amp; Cornell, 2016).</w:t>
      </w:r>
    </w:p>
    <w:p w14:paraId="1A016E5C"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Project management as a discipline has diffused into this environment primarily through professional training, donor-funded capacity building and the adoption of international standards such as the Project Management Body of Knowledge (Project Management Institute, 2021). Kenyan researchers have applied these standards to examine practices across the project lifecycle, from initiation and planning through execution, monitoring and closure, typically using survey-based designs administered to project managers, consultants and public officials. A parallel and partly overlapping literature situates Kenyan findings within broader sub-Saharan African experience, drawing comparisons with Ghana, Tanzania, Rwanda, Malawi and South Africa, where similar public-sector delivery constraints have been documented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 Frimpong et al., 2003;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2010).</w:t>
      </w:r>
    </w:p>
    <w:p w14:paraId="43F379F1"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1.2 The Project Management–Performance Nexus in Developing Economies</w:t>
      </w:r>
    </w:p>
    <w:p w14:paraId="6E99E71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International development projects financed by multilateral institutions in Africa have long attracted scholarly attention because they combine technical project management challenges with the institutional peculiarities of aid-dependent public administration. Early empirical work established that trust and communication between task managers and national project </w:t>
      </w:r>
      <w:r w:rsidRPr="00C82F74">
        <w:rPr>
          <w:rFonts w:ascii="Times New Roman" w:eastAsia="Times New Roman" w:hAnsi="Times New Roman" w:cs="Times New Roman"/>
          <w:sz w:val="24"/>
          <w:szCs w:val="24"/>
          <w:lang w:eastAsia="en-GB"/>
        </w:rPr>
        <w:lastRenderedPageBreak/>
        <w:t>coordinators were significant predictors of project success in multilateral-financed development operations across the continent, while later analysis extended this line of enquiry to a broader set of critical success factors (Diallo &amp; Thuillier, 2005; Ika, 2012). These studies collectively argue that conventional project management prescriptions, largely developed in industrialised-country contexts, require adaptation to accommodate weak institutional capacity, donor conditionality and the socio-political dynamics of African public administration. Comparable arguments recur in construction-specific research on government project failure, which identifies political interference, payment delays, poor supervision and corruption as recurring causes of underperformance in public infrastructure projects across the region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p w14:paraId="2142732F" w14:textId="77777777" w:rsid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Within the built environment literature more specifically, a substantial body of work has examined how discrete project management practices, including risk management, stakeholder management and monitoring and evaluation, relate to construction project performance in developing countries. Studies conducted in Malawi, Palestine, Ghana and Pakistan, among others, have consistently found that the formality and rigour with which these practices are applied vary considerably by project type and public agency, and that this variation correlates with observed schedule and cost performance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Lindhard &amp; Larsen, 2016;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2011). Kenyan-focused research draws heavily on this comparative literature while adding country-specific detail on devolved governance, national infrastructure agencies and PPP financing arrangements.</w:t>
      </w:r>
    </w:p>
    <w:p w14:paraId="55867968" w14:textId="617E1DB3" w:rsidR="00992504" w:rsidRPr="00992504" w:rsidRDefault="00992504" w:rsidP="00992504">
      <w:pPr>
        <w:jc w:val="both"/>
        <w:rPr>
          <w:bCs/>
        </w:rPr>
      </w:pPr>
      <w:r w:rsidRPr="00992504">
        <w:rPr>
          <w:bCs/>
          <w:highlight w:val="yellow"/>
        </w:rPr>
        <w:t>The emerging literature also highlights that infrastructure project performance is shaped by the interaction between managerial practices, technological capabilities, and institutional conditions rather than by individual practices operating independently. Recent empirical research on infrastructure projects in developing contexts has continued to examine the role of planning, monitoring, stakeholder engagement, and governance arrangements in influencing delivery outcomes (</w:t>
      </w:r>
      <w:proofErr w:type="spellStart"/>
      <w:r w:rsidRPr="00992504">
        <w:rPr>
          <w:bCs/>
          <w:highlight w:val="yellow"/>
        </w:rPr>
        <w:t>Kakw’u</w:t>
      </w:r>
      <w:proofErr w:type="spellEnd"/>
      <w:r w:rsidRPr="00992504">
        <w:rPr>
          <w:bCs/>
          <w:highlight w:val="yellow"/>
        </w:rPr>
        <w:t xml:space="preserve"> &amp; Sang, 2024).</w:t>
      </w:r>
      <w:r w:rsidRPr="00992504">
        <w:rPr>
          <w:bCs/>
        </w:rPr>
        <w:t xml:space="preserve"> </w:t>
      </w:r>
      <w:r w:rsidRPr="00992504">
        <w:rPr>
          <w:bCs/>
          <w:highlight w:val="yellow"/>
        </w:rPr>
        <w:t>Recent studies in infrastructure project management have increasingly emphasised the importance of integrated governance approaches, digital transformation, and lifecycle-based decision-making for improving project delivery outcomes. Evidence from recent construction management research indicates that digital technologies, including Building Information Modelling and digital twins, are being examined as mechanisms for improving coordination, information exchange, and project control, although implementation challenges remain significant (Zhang et al., 2024; Reja et al., 2024).</w:t>
      </w:r>
    </w:p>
    <w:p w14:paraId="0D499D3B"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1.3 Scope, Research Gap and Objectives of the Review</w:t>
      </w:r>
    </w:p>
    <w:p w14:paraId="1990BAFA"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review synthesises the empirical and conceptual literature on project management practices and the performance of infrastructure projects in Kenya, drawing on comparable studies from other African and developing-country settings where these illuminate patterns relevant to the Kenyan case. It covers planning and scheduling, risk management, stakeholder management, procurement and contract management, monitoring and evaluation, resource and quality management, and the adoption of digital technologies, and it examines how these practices relate to conventional and extended measures of project performance. Particular attention is paid to the institutional and political economy conditions, including devolution, corruption and infrastructure financing, that shape the practical application of project management in the Kenyan public sector.</w:t>
      </w:r>
    </w:p>
    <w:p w14:paraId="6061D3F9"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A recurring limitation identified across the literature is its fragmentation: individual studies typically examine a single practice within a single county, sector or funding stream, using cross-sectional survey data collected from a modest sample of project participants. Few studies integrate multiple practice domains within a single analytical framework, and fewer still track project performance longitudinally or compare performance systematically across counties, sectors or financing modalities. This review addresses that gap by consolidating the dispersed evidence into a single analytical account, identifying convergences and contradictions across studies, and clarifying where the existing evidence base is strong and where it remains thin. The specific objectives are to characterise the principal project management practices documented in Kenyan infrastructure research; to examine how project performance has been conceptualised and measured in this literature; to synthesise the evidence linking specific practices to performance outcomes; and to identify the institutional constraints and emerging themes that should inform both future research and practice.</w:t>
      </w:r>
    </w:p>
    <w:p w14:paraId="240DD86B"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2. Methods for Literature Selection</w:t>
      </w:r>
    </w:p>
    <w:p w14:paraId="423435FF"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2.1 Databases and Search Strategy</w:t>
      </w:r>
    </w:p>
    <w:p w14:paraId="68084928"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Literature for this review was identified through systematic searching of Web of Science, Scopus and Google Scholar, supplemented by five field-specific indexing databases selected for their relevance to construction, project management and transport infrastructure research: African Journals Online, </w:t>
      </w:r>
      <w:proofErr w:type="spellStart"/>
      <w:r w:rsidRPr="00C82F74">
        <w:rPr>
          <w:rFonts w:ascii="Times New Roman" w:eastAsia="Times New Roman" w:hAnsi="Times New Roman" w:cs="Times New Roman"/>
          <w:sz w:val="24"/>
          <w:szCs w:val="24"/>
          <w:lang w:eastAsia="en-GB"/>
        </w:rPr>
        <w:t>Compendex</w:t>
      </w:r>
      <w:proofErr w:type="spellEnd"/>
      <w:r w:rsidRPr="00C82F74">
        <w:rPr>
          <w:rFonts w:ascii="Times New Roman" w:eastAsia="Times New Roman" w:hAnsi="Times New Roman" w:cs="Times New Roman"/>
          <w:sz w:val="24"/>
          <w:szCs w:val="24"/>
          <w:lang w:eastAsia="en-GB"/>
        </w:rPr>
        <w:t xml:space="preserve"> (Engineering Village), the International Construction Database (ICONDA), the Transport Research International Documentation database (TRID), and </w:t>
      </w:r>
      <w:proofErr w:type="spellStart"/>
      <w:r w:rsidRPr="00C82F74">
        <w:rPr>
          <w:rFonts w:ascii="Times New Roman" w:eastAsia="Times New Roman" w:hAnsi="Times New Roman" w:cs="Times New Roman"/>
          <w:sz w:val="24"/>
          <w:szCs w:val="24"/>
          <w:lang w:eastAsia="en-GB"/>
        </w:rPr>
        <w:t>RePEc</w:t>
      </w:r>
      <w:proofErr w:type="spellEnd"/>
      <w:r w:rsidRPr="00C82F74">
        <w:rPr>
          <w:rFonts w:ascii="Times New Roman" w:eastAsia="Times New Roman" w:hAnsi="Times New Roman" w:cs="Times New Roman"/>
          <w:sz w:val="24"/>
          <w:szCs w:val="24"/>
          <w:lang w:eastAsia="en-GB"/>
        </w:rPr>
        <w:t>/IDEAS, an economics-oriented repository that indexes financing and public investment literature relevant to infrastructure delivery. PubMed was considered but judged unsuitable, since the review concerns construction and public infrastructure management rather than health-related outcomes. Combining general bibliographic databases with field-specific repositories was intended to capture both internationally indexed journal literature and regionally published African construction and public administration research, much of which is only partially indexed in Scopus and Web of Science.</w:t>
      </w:r>
    </w:p>
    <w:p w14:paraId="20EB7559"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2.2 Search Strings, Date Range and Inclusion/Exclusion Criteria</w:t>
      </w:r>
    </w:p>
    <w:p w14:paraId="0401ADCE"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Search strings combined terms relating to project management practice (for example, "project management practices", "project planning", "risk management", "stakeholder management", "monitoring and evaluation", "procurement") with terms relating to infrastructure and geography ("infrastructure project", "construction project", "Kenya", "road", "water project", "public–private partnership", "devolution"), connected using Boolean operators and truncation where database syntax permitted. The search covered literature published between January 2010 and 9 April 2026. The year 2010 was chosen as the starting point because it corresponds to the promulgation of the Constitution of Kenya, which introduced devolved government and substantially reconfigured the institutional architecture through which infrastructure projects are planned, financed and delivered; literature published before this date reflects a materially different governance context and was therefore judged less directly comparable to the contemporary Kenyan experience.</w:t>
      </w:r>
    </w:p>
    <w:p w14:paraId="4F755C7A"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Inclusion criteria comprised peer-reviewed journal articles published in English that examined project management practices, infrastructure or construction project performance, or related institutional and governance themes, with either a direct Kenyan focus or a sub-Saharan African or comparable developing-country focus offering transferable insight. </w:t>
      </w:r>
      <w:r w:rsidRPr="00C82F74">
        <w:rPr>
          <w:rFonts w:ascii="Times New Roman" w:eastAsia="Times New Roman" w:hAnsi="Times New Roman" w:cs="Times New Roman"/>
          <w:sz w:val="24"/>
          <w:szCs w:val="24"/>
          <w:lang w:eastAsia="en-GB"/>
        </w:rPr>
        <w:lastRenderedPageBreak/>
        <w:t>Authoritative institutional reports from bodies such as the World Bank and the IMF were included where they provided verifiable data on infrastructure financing and public investment management. Exclusion criteria removed grey literature, unpublished theses and dissertations, conference proceedings without subsequent journal publication, trade magazine content, pre-print manuscripts, patents and sources lacking identifiable peer review. Where multiple studies reported overlapping findings from the same dataset, the more comprehensive or more recently published version was retained.</w:t>
      </w:r>
    </w:p>
    <w:p w14:paraId="64698757"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2.3 Rationale for a Narrative Review Approach</w:t>
      </w:r>
    </w:p>
    <w:p w14:paraId="3F79F856"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 narrative rather than systematic review approach was adopted because the literature on project management practices and infrastructure performance in Kenya is methodologically heterogeneous, spans several disciplinary traditions including construction management, public administration and development studies, and addresses a broad set of interrelated constructs that do not lend themselves to the tightly specified research question required for a systematic review or meta-analysis. Narrative reviews suit contexts where the objective is to synthesise and critically interpret a diverse body of literature rather than to aggregate effect sizes from methodologically comparable studies, and where the reviewer seeks to identify conceptual patterns, contradictions and gaps across an evolving field (Snyder, 2019).</w:t>
      </w:r>
    </w:p>
    <w:p w14:paraId="4538CC04"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2.4 Screening, Duplicate Handling and Selection of Influential Studies</w:t>
      </w:r>
    </w:p>
    <w:p w14:paraId="2EF787F3"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Records retrieved from each database were screened first by title and abstract to remove obvious duplicates and clearly irrelevant results, and full texts of the remaining records were then reviewed against the inclusion and exclusion criteria described above. Where the same article appeared across multiple databases, only a single copy was retained. No formal restriction was placed on study design, allowing the inclusion of quantitative survey research, qualitative case studies and conceptual or policy-oriented analyses, reflecting the methodological diversity typical of construction management and development-studies scholarship. Priority in the final selection went to studies published in internationally recognised construction management, project management and development journals, to studies with a direct empirical focus on Kenya, and to frequently cited studies that have shaped the conceptual vocabulary used elsewhere in the literature, such as those establishing the iron triangle of project success criteria and those examining trust, communication and critical success factors in African development projects.</w:t>
      </w:r>
    </w:p>
    <w:p w14:paraId="69274E97"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3. Infrastructure Development and Governance Context in Kenya</w:t>
      </w:r>
    </w:p>
    <w:p w14:paraId="23FEE47A"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Kenya's infrastructure programme has expanded considerably since the launch of Vision 2030, with substantial public and externally financed investment directed toward transport corridors, energy generation and transmission, water and sanitation, and urban and county-level public facilities. The SGR connecting Mombasa and Nairobi, financed predominantly through Chinese concessional lending, represents the most prominent recent megaproject and has generated a distinct scholarly literature examining its ecological, fiscal and socio-economic consequences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 Beyond this flagship project, road construction and rehabilitation absorb a substantial share of national and county capital budgets, water and sanitation schemes are financed through a combination of national allocations, county budgets and donor support, and the NG-CDF channels resources toward community facilities such as schools, health posts and small bridges (Kandie et al., 2025).</w:t>
      </w:r>
    </w:p>
    <w:p w14:paraId="048FEC33"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Devolution has reshaped this landscape by transferring responsibility for many local infrastructure functions, including county roads, markets, health facilities and water supply, to county governments, each operating with different revenue bases, technical staffing levels and procurement capacity. Kandie et al. (2025) note that Kenya's infrastructure financing gap has been addressed through a combination of national exchequer allocations, bilateral and multilateral loans, and an expanding PPP framework introduced through dedicated legislation in 2013, which permits arrangements ranging from design–build contracts to build–operate–transfer concessions. </w:t>
      </w:r>
      <w:r w:rsidRPr="00C82F74">
        <w:rPr>
          <w:rFonts w:ascii="Times New Roman" w:eastAsia="Times New Roman" w:hAnsi="Times New Roman" w:cs="Times New Roman"/>
          <w:b/>
          <w:bCs/>
          <w:sz w:val="24"/>
          <w:szCs w:val="24"/>
          <w:lang w:eastAsia="en-GB"/>
        </w:rPr>
        <w:t xml:space="preserve">Briceño-Garmendia and </w:t>
      </w:r>
      <w:proofErr w:type="spellStart"/>
      <w:r w:rsidRPr="00C82F74">
        <w:rPr>
          <w:rFonts w:ascii="Times New Roman" w:eastAsia="Times New Roman" w:hAnsi="Times New Roman" w:cs="Times New Roman"/>
          <w:b/>
          <w:bCs/>
          <w:sz w:val="24"/>
          <w:szCs w:val="24"/>
          <w:lang w:eastAsia="en-GB"/>
        </w:rPr>
        <w:t>Shkaratan's</w:t>
      </w:r>
      <w:proofErr w:type="spellEnd"/>
      <w:r w:rsidRPr="00C82F74">
        <w:rPr>
          <w:rFonts w:ascii="Times New Roman" w:eastAsia="Times New Roman" w:hAnsi="Times New Roman" w:cs="Times New Roman"/>
          <w:b/>
          <w:bCs/>
          <w:sz w:val="24"/>
          <w:szCs w:val="24"/>
          <w:lang w:eastAsia="en-GB"/>
        </w:rPr>
        <w:t xml:space="preserve"> (2011)</w:t>
      </w:r>
      <w:r w:rsidRPr="00C82F74">
        <w:rPr>
          <w:rFonts w:ascii="Times New Roman" w:eastAsia="Times New Roman" w:hAnsi="Times New Roman" w:cs="Times New Roman"/>
          <w:sz w:val="24"/>
          <w:szCs w:val="24"/>
          <w:lang w:eastAsia="en-GB"/>
        </w:rPr>
        <w:t xml:space="preserve"> assessment of Kenya's infrastructure sector </w:t>
      </w:r>
      <w:proofErr w:type="gramStart"/>
      <w:r w:rsidRPr="00C82F74">
        <w:rPr>
          <w:rFonts w:ascii="Times New Roman" w:eastAsia="Times New Roman" w:hAnsi="Times New Roman" w:cs="Times New Roman"/>
          <w:sz w:val="24"/>
          <w:szCs w:val="24"/>
          <w:lang w:eastAsia="en-GB"/>
        </w:rPr>
        <w:t>situates</w:t>
      </w:r>
      <w:proofErr w:type="gramEnd"/>
      <w:r w:rsidRPr="00C82F74">
        <w:rPr>
          <w:rFonts w:ascii="Times New Roman" w:eastAsia="Times New Roman" w:hAnsi="Times New Roman" w:cs="Times New Roman"/>
          <w:sz w:val="24"/>
          <w:szCs w:val="24"/>
          <w:lang w:eastAsia="en-GB"/>
        </w:rPr>
        <w:t xml:space="preserve"> the country's transport, energy and water networks within a wider continental pattern of underinvestment relative to demand, while identifying land acquisition, resettlement and public investment management weaknesses as recurring constraints on project delivery. More recent technical assessment work, conducted by the International Monetary Fund (IMF), extends this diagnosis to climate considerations, noting that public investment planning in Kenya has not yet been fully aligned with national climate adaptation and mitigation commitments, despite the exposure of transport, water and energy infrastructure to drought and flood risk (International Monetary Fund, 2024).</w:t>
      </w:r>
    </w:p>
    <w:p w14:paraId="206505C5"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1 summarises these delivery arrangements alongside their lead institutions, principal financing sources and governing features. The table illustrates a pattern that recurs throughout the sections that follow: delivery channels operating under stronger centralised technical oversight, such as national highways and the externally financed SGR, are documented in the literature separately from the more fragmented, capacity-constrained arrangements found at county and constituency level, a distinction that later sections show to be closely associated with variation in project management practice and performance.</w:t>
      </w:r>
    </w:p>
    <w:p w14:paraId="5E9B149B"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1. Overview of major infrastructure delivery arrangements in Kenya</w:t>
      </w:r>
    </w:p>
    <w:tbl>
      <w:tblPr>
        <w:tblStyle w:val="TableGrid"/>
        <w:tblW w:w="0" w:type="auto"/>
        <w:tblLook w:val="04A0" w:firstRow="1" w:lastRow="0" w:firstColumn="1" w:lastColumn="0" w:noHBand="0" w:noVBand="1"/>
      </w:tblPr>
      <w:tblGrid>
        <w:gridCol w:w="1809"/>
        <w:gridCol w:w="1916"/>
        <w:gridCol w:w="1739"/>
        <w:gridCol w:w="1984"/>
        <w:gridCol w:w="1794"/>
      </w:tblGrid>
      <w:tr w:rsidR="00C82F74" w:rsidRPr="00C82F74" w14:paraId="2DE3293F" w14:textId="77777777" w:rsidTr="00C82F74">
        <w:tc>
          <w:tcPr>
            <w:tcW w:w="0" w:type="auto"/>
            <w:hideMark/>
          </w:tcPr>
          <w:p w14:paraId="7E72676E"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Sub-sector / delivery channel</w:t>
            </w:r>
          </w:p>
        </w:tc>
        <w:tc>
          <w:tcPr>
            <w:tcW w:w="0" w:type="auto"/>
            <w:hideMark/>
          </w:tcPr>
          <w:p w14:paraId="05F6E119"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Lead institution(s)</w:t>
            </w:r>
          </w:p>
        </w:tc>
        <w:tc>
          <w:tcPr>
            <w:tcW w:w="0" w:type="auto"/>
            <w:hideMark/>
          </w:tcPr>
          <w:p w14:paraId="6B26328D"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financing sources</w:t>
            </w:r>
          </w:p>
        </w:tc>
        <w:tc>
          <w:tcPr>
            <w:tcW w:w="0" w:type="auto"/>
            <w:hideMark/>
          </w:tcPr>
          <w:p w14:paraId="336E4D73"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Key governance feature</w:t>
            </w:r>
          </w:p>
        </w:tc>
        <w:tc>
          <w:tcPr>
            <w:tcW w:w="0" w:type="auto"/>
            <w:hideMark/>
          </w:tcPr>
          <w:p w14:paraId="299E02EE"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69DCC25C" w14:textId="77777777" w:rsidTr="00C82F74">
        <w:tc>
          <w:tcPr>
            <w:tcW w:w="0" w:type="auto"/>
            <w:hideMark/>
          </w:tcPr>
          <w:p w14:paraId="7EB225FB"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roads and highways</w:t>
            </w:r>
          </w:p>
        </w:tc>
        <w:tc>
          <w:tcPr>
            <w:tcW w:w="0" w:type="auto"/>
            <w:hideMark/>
          </w:tcPr>
          <w:p w14:paraId="1368150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National Highways Authority</w:t>
            </w:r>
          </w:p>
        </w:tc>
        <w:tc>
          <w:tcPr>
            <w:tcW w:w="0" w:type="auto"/>
            <w:hideMark/>
          </w:tcPr>
          <w:p w14:paraId="1AFC922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exchequer, fuel levy, concessional loans</w:t>
            </w:r>
          </w:p>
        </w:tc>
        <w:tc>
          <w:tcPr>
            <w:tcW w:w="0" w:type="auto"/>
            <w:hideMark/>
          </w:tcPr>
          <w:p w14:paraId="667EBFD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Centralised technical oversight, tolling on select corridors</w:t>
            </w:r>
          </w:p>
        </w:tc>
        <w:tc>
          <w:tcPr>
            <w:tcW w:w="0" w:type="auto"/>
            <w:hideMark/>
          </w:tcPr>
          <w:p w14:paraId="2793BD9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Kandie et al. (2025); </w:t>
            </w:r>
            <w:r w:rsidRPr="00C82F74">
              <w:rPr>
                <w:rFonts w:ascii="Times New Roman" w:eastAsia="Times New Roman" w:hAnsi="Times New Roman" w:cs="Times New Roman"/>
                <w:b/>
                <w:bCs/>
                <w:sz w:val="24"/>
                <w:szCs w:val="24"/>
                <w:lang w:eastAsia="en-GB"/>
              </w:rPr>
              <w:t xml:space="preserve">Briceño-Garmendia &amp; </w:t>
            </w:r>
            <w:proofErr w:type="spellStart"/>
            <w:r w:rsidRPr="00C82F74">
              <w:rPr>
                <w:rFonts w:ascii="Times New Roman" w:eastAsia="Times New Roman" w:hAnsi="Times New Roman" w:cs="Times New Roman"/>
                <w:b/>
                <w:bCs/>
                <w:sz w:val="24"/>
                <w:szCs w:val="24"/>
                <w:lang w:eastAsia="en-GB"/>
              </w:rPr>
              <w:t>Shkaratan</w:t>
            </w:r>
            <w:proofErr w:type="spellEnd"/>
            <w:r w:rsidRPr="00C82F74">
              <w:rPr>
                <w:rFonts w:ascii="Times New Roman" w:eastAsia="Times New Roman" w:hAnsi="Times New Roman" w:cs="Times New Roman"/>
                <w:b/>
                <w:bCs/>
                <w:sz w:val="24"/>
                <w:szCs w:val="24"/>
                <w:lang w:eastAsia="en-GB"/>
              </w:rPr>
              <w:t xml:space="preserve"> (2011)</w:t>
            </w:r>
          </w:p>
        </w:tc>
      </w:tr>
      <w:tr w:rsidR="00C82F74" w:rsidRPr="00C82F74" w14:paraId="089B1BFE" w14:textId="77777777" w:rsidTr="00C82F74">
        <w:tc>
          <w:tcPr>
            <w:tcW w:w="0" w:type="auto"/>
            <w:hideMark/>
          </w:tcPr>
          <w:p w14:paraId="55193D5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and rural roads</w:t>
            </w:r>
          </w:p>
        </w:tc>
        <w:tc>
          <w:tcPr>
            <w:tcW w:w="0" w:type="auto"/>
            <w:hideMark/>
          </w:tcPr>
          <w:p w14:paraId="4452ADA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governments; Kenya Rural Roads Authority</w:t>
            </w:r>
          </w:p>
        </w:tc>
        <w:tc>
          <w:tcPr>
            <w:tcW w:w="0" w:type="auto"/>
            <w:hideMark/>
          </w:tcPr>
          <w:p w14:paraId="32DD06A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County budgets, national transfers</w:t>
            </w:r>
          </w:p>
        </w:tc>
        <w:tc>
          <w:tcPr>
            <w:tcW w:w="0" w:type="auto"/>
            <w:hideMark/>
          </w:tcPr>
          <w:p w14:paraId="64563CB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planning and procurement, variable technical capacity</w:t>
            </w:r>
          </w:p>
        </w:tc>
        <w:tc>
          <w:tcPr>
            <w:tcW w:w="0" w:type="auto"/>
            <w:hideMark/>
          </w:tcPr>
          <w:p w14:paraId="5B63395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D'Arcy &amp; Cornell (2016)</w:t>
            </w:r>
          </w:p>
        </w:tc>
      </w:tr>
      <w:tr w:rsidR="00C82F74" w:rsidRPr="00C82F74" w14:paraId="52BF34B7" w14:textId="77777777" w:rsidTr="00C82F74">
        <w:tc>
          <w:tcPr>
            <w:tcW w:w="0" w:type="auto"/>
            <w:hideMark/>
          </w:tcPr>
          <w:p w14:paraId="418D95E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Rail (Standard Gauge Railway)</w:t>
            </w:r>
          </w:p>
        </w:tc>
        <w:tc>
          <w:tcPr>
            <w:tcW w:w="0" w:type="auto"/>
            <w:hideMark/>
          </w:tcPr>
          <w:p w14:paraId="6FBC5BF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Railways Corporation</w:t>
            </w:r>
          </w:p>
        </w:tc>
        <w:tc>
          <w:tcPr>
            <w:tcW w:w="0" w:type="auto"/>
            <w:hideMark/>
          </w:tcPr>
          <w:p w14:paraId="2821E50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Bilateral concessional loans</w:t>
            </w:r>
          </w:p>
        </w:tc>
        <w:tc>
          <w:tcPr>
            <w:tcW w:w="0" w:type="auto"/>
            <w:hideMark/>
          </w:tcPr>
          <w:p w14:paraId="375C41F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Externally financed megaproject with distinct environmental oversight</w:t>
            </w:r>
          </w:p>
        </w:tc>
        <w:tc>
          <w:tcPr>
            <w:tcW w:w="0" w:type="auto"/>
            <w:hideMark/>
          </w:tcPr>
          <w:p w14:paraId="695A92D0" w14:textId="77777777" w:rsidR="00C82F74" w:rsidRPr="00C82F74" w:rsidRDefault="00C82F74" w:rsidP="00992504">
            <w:pPr>
              <w:jc w:val="both"/>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Zhu et al. (2023)</w:t>
            </w:r>
          </w:p>
        </w:tc>
      </w:tr>
      <w:tr w:rsidR="00C82F74" w:rsidRPr="00C82F74" w14:paraId="7FE00638" w14:textId="77777777" w:rsidTr="00C82F74">
        <w:tc>
          <w:tcPr>
            <w:tcW w:w="0" w:type="auto"/>
            <w:hideMark/>
          </w:tcPr>
          <w:p w14:paraId="0C5633B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Constituency-level facilities</w:t>
            </w:r>
          </w:p>
        </w:tc>
        <w:tc>
          <w:tcPr>
            <w:tcW w:w="0" w:type="auto"/>
            <w:hideMark/>
          </w:tcPr>
          <w:p w14:paraId="6209AD4B"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National Government Constituencies </w:t>
            </w:r>
            <w:r w:rsidRPr="00C82F74">
              <w:rPr>
                <w:rFonts w:ascii="Times New Roman" w:eastAsia="Times New Roman" w:hAnsi="Times New Roman" w:cs="Times New Roman"/>
                <w:sz w:val="24"/>
                <w:szCs w:val="24"/>
                <w:lang w:eastAsia="en-GB"/>
              </w:rPr>
              <w:lastRenderedPageBreak/>
              <w:t>Development Fund</w:t>
            </w:r>
          </w:p>
        </w:tc>
        <w:tc>
          <w:tcPr>
            <w:tcW w:w="0" w:type="auto"/>
            <w:hideMark/>
          </w:tcPr>
          <w:p w14:paraId="284A059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National allocation formula</w:t>
            </w:r>
          </w:p>
        </w:tc>
        <w:tc>
          <w:tcPr>
            <w:tcW w:w="0" w:type="auto"/>
            <w:hideMark/>
          </w:tcPr>
          <w:p w14:paraId="3AC5488C"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Community-level prioritisation, limited technical </w:t>
            </w:r>
            <w:r w:rsidRPr="00C82F74">
              <w:rPr>
                <w:rFonts w:ascii="Times New Roman" w:eastAsia="Times New Roman" w:hAnsi="Times New Roman" w:cs="Times New Roman"/>
                <w:sz w:val="24"/>
                <w:szCs w:val="24"/>
                <w:lang w:eastAsia="en-GB"/>
              </w:rPr>
              <w:lastRenderedPageBreak/>
              <w:t>capacity</w:t>
            </w:r>
          </w:p>
        </w:tc>
        <w:tc>
          <w:tcPr>
            <w:tcW w:w="0" w:type="auto"/>
            <w:hideMark/>
          </w:tcPr>
          <w:p w14:paraId="3D7D02C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Kandie et al. (2025)</w:t>
            </w:r>
          </w:p>
        </w:tc>
      </w:tr>
      <w:tr w:rsidR="00C82F74" w:rsidRPr="00C82F74" w14:paraId="48E66A78" w14:textId="77777777" w:rsidTr="00C82F74">
        <w:tc>
          <w:tcPr>
            <w:tcW w:w="0" w:type="auto"/>
            <w:hideMark/>
          </w:tcPr>
          <w:p w14:paraId="505B9D8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Public–private partnership projects</w:t>
            </w:r>
          </w:p>
        </w:tc>
        <w:tc>
          <w:tcPr>
            <w:tcW w:w="0" w:type="auto"/>
            <w:hideMark/>
          </w:tcPr>
          <w:p w14:paraId="65B863AB"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Treasury (PPP unit); sector agencies</w:t>
            </w:r>
          </w:p>
        </w:tc>
        <w:tc>
          <w:tcPr>
            <w:tcW w:w="0" w:type="auto"/>
            <w:hideMark/>
          </w:tcPr>
          <w:p w14:paraId="6DD4867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Private equity and debt, government support agreements</w:t>
            </w:r>
          </w:p>
        </w:tc>
        <w:tc>
          <w:tcPr>
            <w:tcW w:w="0" w:type="auto"/>
            <w:hideMark/>
          </w:tcPr>
          <w:p w14:paraId="0D3759E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legislative framework since 2013</w:t>
            </w:r>
          </w:p>
        </w:tc>
        <w:tc>
          <w:tcPr>
            <w:tcW w:w="0" w:type="auto"/>
            <w:hideMark/>
          </w:tcPr>
          <w:p w14:paraId="1F8192B8" w14:textId="5066FB95"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 xml:space="preserve">);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w:t>
            </w:r>
          </w:p>
        </w:tc>
      </w:tr>
      <w:tr w:rsidR="00C82F74" w:rsidRPr="00C82F74" w14:paraId="37BDE00D" w14:textId="77777777" w:rsidTr="00C82F74">
        <w:tc>
          <w:tcPr>
            <w:tcW w:w="0" w:type="auto"/>
            <w:hideMark/>
          </w:tcPr>
          <w:p w14:paraId="4A8F5E5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 investment planning and climate alignment</w:t>
            </w:r>
          </w:p>
        </w:tc>
        <w:tc>
          <w:tcPr>
            <w:tcW w:w="0" w:type="auto"/>
            <w:hideMark/>
          </w:tcPr>
          <w:p w14:paraId="7922831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Treasury; sector ministries</w:t>
            </w:r>
          </w:p>
        </w:tc>
        <w:tc>
          <w:tcPr>
            <w:tcW w:w="0" w:type="auto"/>
            <w:hideMark/>
          </w:tcPr>
          <w:p w14:paraId="3C0C33F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National budget, donor technical assistance</w:t>
            </w:r>
          </w:p>
        </w:tc>
        <w:tc>
          <w:tcPr>
            <w:tcW w:w="0" w:type="auto"/>
            <w:hideMark/>
          </w:tcPr>
          <w:p w14:paraId="3B327B8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Emerging climate-adjusted appraisal requirements</w:t>
            </w:r>
          </w:p>
        </w:tc>
        <w:tc>
          <w:tcPr>
            <w:tcW w:w="0" w:type="auto"/>
            <w:hideMark/>
          </w:tcPr>
          <w:p w14:paraId="1AB89F2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International Monetary Fund (2024)</w:t>
            </w:r>
          </w:p>
        </w:tc>
      </w:tr>
    </w:tbl>
    <w:p w14:paraId="0A492080"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4. Project Management Practices in Kenya's Infrastructure Sector</w:t>
      </w:r>
    </w:p>
    <w:p w14:paraId="327096CF"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4.1 Project Planning and Scheduling</w:t>
      </w:r>
    </w:p>
    <w:p w14:paraId="2456418B"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is consistently identified in the literature as the foundation upon which subsequent project performance is built. Where project scope, schedule baselines and resource requirements are inadequately defined at the outset, subsequent phases tend to accumulate variations, rework and disputed claims, a pattern documented repeatedly in African construction settings. Frimpong et al. (2003), examining groundwater construction projects in Ghana, found that inappropriate planning and scheduling, together with payment difficulties and material procurement problems, were principal contributors to delay and cost escalation, a finding echoed in subsequent Kenyan county-level studies of road and building projects. Lindhard and Larsen (2016) extended this line of analysis by identifying twenty-five process-level factors, grouped into five categories, that determine construction project performance, concluding that clarity of scope definition and the rigour of pre-construction planning exert disproportionate influence relative to factors emerging later in the project lifecycle. Kenyan studies applying similar frameworks to road, water and public-building projects have generally reinforced this conclusion, reporting that projects with more structured planning processes, including clearly documented work breakdown structures and realistic scheduling, exhibit fewer time and cost overruns than those where planning is conducted informally or compressed under political and fiscal pressure to commence works quickly.</w:t>
      </w:r>
    </w:p>
    <w:p w14:paraId="1C1D29C5"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4.2 Risk Management</w:t>
      </w:r>
    </w:p>
    <w:p w14:paraId="25D82DDB"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Risk management practice has received sustained attention in the construction management literature, reflecting the exposure of infrastructure projects to design changes, weather, contractor default, land disputes and price volatility. </w:t>
      </w: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and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studying construction contractors in Malawi, developed a statement-based instrument to measure the maturity of formal risk management processes and found that implementation of structured risk identification, assessment and response planning remained relatively low, a pattern broadly consistent with reports from Kenyan road and building contractors.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 similarly mapped risk factors affecting time delay in road construction from the perspective of project owners, distinguishing factors of high, moderate and low severity and demonstrating that financial, contractual and site-related risks cluster in the highest-severity zone across developing-country road sectors. Within Kenya specifically, county-level studies of road and building projects have applied comparable risk-mapping approaches, generally finding that design risk, contractual risk and political risk associated with changes in county </w:t>
      </w:r>
      <w:r w:rsidRPr="00C82F74">
        <w:rPr>
          <w:rFonts w:ascii="Times New Roman" w:eastAsia="Times New Roman" w:hAnsi="Times New Roman" w:cs="Times New Roman"/>
          <w:sz w:val="24"/>
          <w:szCs w:val="24"/>
          <w:lang w:eastAsia="en-GB"/>
        </w:rPr>
        <w:lastRenderedPageBreak/>
        <w:t>leadership or national policy direction rank among the most consequential categories, and that formal risk registers and contingency planning remain unevenly applied, particularly in smaller devolved infrastructure programmes.</w:t>
      </w:r>
    </w:p>
    <w:p w14:paraId="7163E261"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4.3 Stakeholder Management and Project Governance</w:t>
      </w:r>
    </w:p>
    <w:p w14:paraId="1FF0897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Stakeholder management has become a central theme in project governance research, reflecting recognition that infrastructure projects involve multiple parties, including government agencies, contractors, consultants, financiers and affected communities, whose divergent interests must be reconciled for successful delivery. Olander's (2007) stakeholder impact analysis, which combines assessment of stakeholder power, legitimacy and probability of exercising influence, remains a widely applied framework for identifying and prioritising stakeholder engagement in construction projects, and it has informed subsequent developing-country applications examining how stakeholder influence strategies affect project outcomes. Waris et al. (2022), analysing public-sector infrastructure projects in Pakistan, identified risk control, communication, engagement and empowerment as the principal dimensions of external stakeholder management, finding that weak empowerment of affected communities was the least developed dimension in practice.</w:t>
      </w:r>
    </w:p>
    <w:p w14:paraId="69D58499"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governance dimension has itself been the subject of dedicated enquiry within the Pakistani public infrastructure literature that Kenyan researchers have drawn upon for comparative insight. Khan, Waris, Ismail, Sajid, and Usman (2019a) documented persistent deficiencies in project governance across a national infrastructure development programme, including weak supervision, unclear accountability lines and vulnerability to political exigency, while Khan, Waris, Ismail, Sajid, Ullah, and Usman (2019b) extended this diagnosis through a qualitative investigation of governance practice, arguing that a holistic governance framework, incorporating stakeholder representation and legitimised decision-making, is required to address the delays and disruptions typical of public infrastructure programmes in developing economies. Building on this earlier work, subsequent research on the same institutional setting has shown that the interaction between formal governance structures and stakeholder management jointly determines project performance, with governance quality alone proving insufficient where stakeholder engagement is weak, and vice versa (Khan et al., 2021). These findings resonate with the Kenyan devolved context, where county-level infrastructure projects routinely involve public participation requirements under the Constitution, yet studies of stakeholder engagement in county-funded and constituency-funded projects report that formal consultation processes are frequently conducted late in the project cycle or treated as a procedural rather than substantive exercise, limiting their contribution to improved performance.</w:t>
      </w:r>
    </w:p>
    <w:p w14:paraId="3F4CC589"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4.4 Procurement and Contract Management</w:t>
      </w:r>
    </w:p>
    <w:p w14:paraId="7F42FE72" w14:textId="7DCAF75F"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Procurement practice occupies a distinctive position within the Kenyan project management literature because it intersects directly with governance and integrity concerns. Public procurement in Kenya is governed by dedicated legislation intended to ensure transparency and competitive bidding, yet empirical accounts of infrastructure delivery consistently document procurement-related delays, contested tender awards and allegations of favouritism, particularly at the county level following devolution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 Comparative research on unethical and corrupt practice in the construction industry, conducted among South African professionals, has identified inflated tender pricing, kickbacks and weak whistle-blower protection as persistent barriers to ethical compliance, and has argued that </w:t>
      </w:r>
      <w:r w:rsidRPr="00C82F74">
        <w:rPr>
          <w:rFonts w:ascii="Times New Roman" w:eastAsia="Times New Roman" w:hAnsi="Times New Roman" w:cs="Times New Roman"/>
          <w:sz w:val="24"/>
          <w:szCs w:val="24"/>
          <w:lang w:eastAsia="en-GB"/>
        </w:rPr>
        <w:lastRenderedPageBreak/>
        <w:t>professional codes of conduct alone are insufficient without stronger institutional enforcement mechanisms (Amoah &amp; Steyn, 2023). Kenyan PPP research similarly identifies procurement and contracting arrangements, including the clarity of risk allocation between public and private partners and the rigour of feasibility assessment prior to contract award, as critical determinants of whether infrastructure and housing partnerships proceed to successful completion (Chileshe et al., 20</w:t>
      </w:r>
      <w:r w:rsidR="00F72ED0">
        <w:rPr>
          <w:rFonts w:ascii="Times New Roman" w:eastAsia="Times New Roman" w:hAnsi="Times New Roman" w:cs="Times New Roman"/>
          <w:sz w:val="24"/>
          <w:szCs w:val="24"/>
          <w:lang w:eastAsia="en-GB"/>
        </w:rPr>
        <w:t>22</w:t>
      </w:r>
      <w:r w:rsidRPr="00C82F74">
        <w:rPr>
          <w:rFonts w:ascii="Times New Roman" w:eastAsia="Times New Roman" w:hAnsi="Times New Roman" w:cs="Times New Roman"/>
          <w:sz w:val="24"/>
          <w:szCs w:val="24"/>
          <w:lang w:eastAsia="en-GB"/>
        </w:rPr>
        <w:t xml:space="preserve">).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and Kumi (2018), synthesising causes of government construction project failure in Ghana, likewise identified procurement-related political interference and bureaucratic delay among the most important failure factors, a pattern that recurs across Kenyan county government infrastructure studies where procurement timelines are frequently disrupted by budget reallocation, leadership transitions and contested award decisions.</w:t>
      </w:r>
    </w:p>
    <w:p w14:paraId="482847E9"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4.5 Monitoring and Evaluation</w:t>
      </w:r>
    </w:p>
    <w:p w14:paraId="4C5B9015"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and evaluation (M&amp;E) practice determines the extent to which deviations from planned cost, schedule and quality parameters are detected and corrected during implementation rather than only at project closure. Crawford and Bryce (2003) established an influential framework for project M&amp;E in internationally financed development projects, arguing that logical framework approaches, while useful for project design, require supplementary indicator-based monitoring systems to support timely management decisions during implementation. Kissi et al. (2019), applying comparable analysis to Ghanaian construction projects, found that the frequency and technical competence of M&amp;E activity correlated positively with project success across cost, time and stakeholder-satisfaction criteria, while noting that monitoring systems in many public agencies remained oriented toward compliance reporting rather than active project control. Kenyan studies of county and national government infrastructure projects have generally reported similar patterns, with M&amp;E functions often understaffed relative to the scale of the infrastructure portfolio being overseen, and with monitoring data frequently underutilised in subsequent decision-making, limiting the corrective potential that Crawford and Bryce (2003) identified as central to effective project monitoring.</w:t>
      </w:r>
    </w:p>
    <w:p w14:paraId="6FB358AE"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4.6 Resource, Cost and Quality Management</w:t>
      </w:r>
    </w:p>
    <w:p w14:paraId="4E5E105C"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Resource management, encompassing the allocation and scheduling of finance, materials, plant and labour, together with quality management, encompassing adherence to design specifications and construction standards, constitute a further practice domain examined extensively in Kenyan road and building project research. Findings across this literature indicate that resource management practice is most strongly associated with project scale, with larger national road and rail projects generally exhibiting more formalised cost-control and quality-assurance systems than smaller county-funded or constituency-funded works, where resource planning is often constrained by irregular disbursement schedules and limited technical supervision capacity. This resource constraint interacts with the risk and procurement dynamics described above, since delayed payment to contractors, itself frequently linked to public financial management weaknesses, is repeatedly identified as a proximate cause of both schedule slippage and diminished quality outcomes, as contractors respond to cash-flow pressure by reducing input quality or pace of work (Frimpong et al., 2003).</w:t>
      </w:r>
    </w:p>
    <w:p w14:paraId="09A66AB9"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4.7 Digitalisation and Technology Adoption</w:t>
      </w:r>
    </w:p>
    <w:p w14:paraId="5058F1C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Digital tools, and Building Information Modelling (BIM) in particular, have begun to attract Kenyan-specific research attention as a potential lever for improving coordination and reducing errors across the design and construction interface. Nasila and Cloete (2018), surveying construction professionals across Kenya, found that while awareness of BIM had grown, actual adoption remained limited, constrained by the cost of software and training, and by the absence of a formal government mandate or standard requiring its use on public projects. </w:t>
      </w:r>
      <w:proofErr w:type="spellStart"/>
      <w:r w:rsidRPr="00C82F74">
        <w:rPr>
          <w:rFonts w:ascii="Times New Roman" w:eastAsia="Times New Roman" w:hAnsi="Times New Roman" w:cs="Times New Roman"/>
          <w:sz w:val="24"/>
          <w:szCs w:val="24"/>
          <w:lang w:eastAsia="en-GB"/>
        </w:rPr>
        <w:t>Oyuga</w:t>
      </w:r>
      <w:proofErr w:type="spellEnd"/>
      <w:r w:rsidRPr="00C82F74">
        <w:rPr>
          <w:rFonts w:ascii="Times New Roman" w:eastAsia="Times New Roman" w:hAnsi="Times New Roman" w:cs="Times New Roman"/>
          <w:sz w:val="24"/>
          <w:szCs w:val="24"/>
          <w:lang w:eastAsia="en-GB"/>
        </w:rPr>
        <w:t xml:space="preserve"> et al. (2021) extended this analysis by examining the specific role of government involvement in shaping adoption among building contractors, concluding that the absence of clear policy signals and regulatory incentives, rather than contractor reluctance alone, explains the slow diffusion of digital design and coordination tools within the Kenyan construction sector. These findings suggest that digitalisation, while promising as a means of strengthening planning accuracy and reducing design-related risk, remains at an early and uneven stage of adoption relative to more established practice domains such as procurement and monitoring.</w:t>
      </w:r>
    </w:p>
    <w:p w14:paraId="7F3F5BF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2 draws these seven practice domains together, indicating for each the principal focus documented in the literature and the direction of its reported influence on performance. Read across, the table shows that the practices most closely tied to formal, rule-based process, namely procurement and M&amp;E, have attracted the most direct evidence linking practice quality to outcomes, whereas digitalisation remains comparatively data-thin.</w:t>
      </w:r>
    </w:p>
    <w:p w14:paraId="3CB71CCB"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2. Summary of project management practice dimensions examined in the reviewed literature</w:t>
      </w:r>
    </w:p>
    <w:tbl>
      <w:tblPr>
        <w:tblStyle w:val="TableGrid"/>
        <w:tblW w:w="0" w:type="auto"/>
        <w:tblLook w:val="04A0" w:firstRow="1" w:lastRow="0" w:firstColumn="1" w:lastColumn="0" w:noHBand="0" w:noVBand="1"/>
      </w:tblPr>
      <w:tblGrid>
        <w:gridCol w:w="1894"/>
        <w:gridCol w:w="2440"/>
        <w:gridCol w:w="2545"/>
        <w:gridCol w:w="2363"/>
      </w:tblGrid>
      <w:tr w:rsidR="00C82F74" w:rsidRPr="00C82F74" w14:paraId="54282358" w14:textId="77777777" w:rsidTr="00C82F74">
        <w:tc>
          <w:tcPr>
            <w:tcW w:w="0" w:type="auto"/>
            <w:hideMark/>
          </w:tcPr>
          <w:p w14:paraId="57D8757B"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Practice domain</w:t>
            </w:r>
          </w:p>
        </w:tc>
        <w:tc>
          <w:tcPr>
            <w:tcW w:w="0" w:type="auto"/>
            <w:hideMark/>
          </w:tcPr>
          <w:p w14:paraId="261FD271"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focus</w:t>
            </w:r>
          </w:p>
        </w:tc>
        <w:tc>
          <w:tcPr>
            <w:tcW w:w="0" w:type="auto"/>
            <w:hideMark/>
          </w:tcPr>
          <w:p w14:paraId="2DD8FBF7"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Reported influence on performance</w:t>
            </w:r>
          </w:p>
        </w:tc>
        <w:tc>
          <w:tcPr>
            <w:tcW w:w="0" w:type="auto"/>
            <w:hideMark/>
          </w:tcPr>
          <w:p w14:paraId="7846EE12"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5D773B02" w14:textId="77777777" w:rsidTr="00C82F74">
        <w:tc>
          <w:tcPr>
            <w:tcW w:w="0" w:type="auto"/>
            <w:hideMark/>
          </w:tcPr>
          <w:p w14:paraId="22E0DC1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and scheduling</w:t>
            </w:r>
          </w:p>
        </w:tc>
        <w:tc>
          <w:tcPr>
            <w:tcW w:w="0" w:type="auto"/>
            <w:hideMark/>
          </w:tcPr>
          <w:p w14:paraId="2767E7CC"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Scope definition, work breakdown, baseline scheduling</w:t>
            </w:r>
          </w:p>
        </w:tc>
        <w:tc>
          <w:tcPr>
            <w:tcW w:w="0" w:type="auto"/>
            <w:hideMark/>
          </w:tcPr>
          <w:p w14:paraId="5834529A"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Structured planning associated with fewer time and cost overruns</w:t>
            </w:r>
          </w:p>
        </w:tc>
        <w:tc>
          <w:tcPr>
            <w:tcW w:w="0" w:type="auto"/>
            <w:hideMark/>
          </w:tcPr>
          <w:p w14:paraId="6A51C17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Frimpong et al. (2003); Lindhard &amp; Larsen (2016)</w:t>
            </w:r>
          </w:p>
        </w:tc>
      </w:tr>
      <w:tr w:rsidR="00C82F74" w:rsidRPr="00C82F74" w14:paraId="20031ECD" w14:textId="77777777" w:rsidTr="00C82F74">
        <w:tc>
          <w:tcPr>
            <w:tcW w:w="0" w:type="auto"/>
            <w:hideMark/>
          </w:tcPr>
          <w:p w14:paraId="421F9A9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management</w:t>
            </w:r>
          </w:p>
        </w:tc>
        <w:tc>
          <w:tcPr>
            <w:tcW w:w="0" w:type="auto"/>
            <w:hideMark/>
          </w:tcPr>
          <w:p w14:paraId="517A44A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identification, assessment, response planning</w:t>
            </w:r>
          </w:p>
        </w:tc>
        <w:tc>
          <w:tcPr>
            <w:tcW w:w="0" w:type="auto"/>
            <w:hideMark/>
          </w:tcPr>
          <w:p w14:paraId="5AA9BF6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risk processes remain immature; financial and contractual risks most severe</w:t>
            </w:r>
          </w:p>
        </w:tc>
        <w:tc>
          <w:tcPr>
            <w:tcW w:w="0" w:type="auto"/>
            <w:hideMark/>
          </w:tcPr>
          <w:p w14:paraId="3D206D05" w14:textId="77777777" w:rsidR="00C82F74" w:rsidRPr="00C82F74" w:rsidRDefault="00C82F74" w:rsidP="00992504">
            <w:pPr>
              <w:jc w:val="both"/>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7DD9F853" w14:textId="77777777" w:rsidTr="00C82F74">
        <w:tc>
          <w:tcPr>
            <w:tcW w:w="0" w:type="auto"/>
            <w:hideMark/>
          </w:tcPr>
          <w:p w14:paraId="32C16AFA"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Stakeholder management and governance</w:t>
            </w:r>
          </w:p>
        </w:tc>
        <w:tc>
          <w:tcPr>
            <w:tcW w:w="0" w:type="auto"/>
            <w:hideMark/>
          </w:tcPr>
          <w:p w14:paraId="4131BDC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Engagement, communication, empowerment, governance structure</w:t>
            </w:r>
          </w:p>
        </w:tc>
        <w:tc>
          <w:tcPr>
            <w:tcW w:w="0" w:type="auto"/>
            <w:hideMark/>
          </w:tcPr>
          <w:p w14:paraId="2C49732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Weak community empowerment and weak governance jointly limit performance gains</w:t>
            </w:r>
          </w:p>
        </w:tc>
        <w:tc>
          <w:tcPr>
            <w:tcW w:w="0" w:type="auto"/>
            <w:hideMark/>
          </w:tcPr>
          <w:p w14:paraId="18D3511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Olander (2007); Waris et al. (2022); Khan et al. (2019a, 2019b, 2021)</w:t>
            </w:r>
          </w:p>
        </w:tc>
      </w:tr>
      <w:tr w:rsidR="00C82F74" w:rsidRPr="00C82F74" w14:paraId="1EA726EF" w14:textId="77777777" w:rsidTr="00C82F74">
        <w:tc>
          <w:tcPr>
            <w:tcW w:w="0" w:type="auto"/>
            <w:hideMark/>
          </w:tcPr>
          <w:p w14:paraId="2E1891B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Procurement and contract management</w:t>
            </w:r>
          </w:p>
        </w:tc>
        <w:tc>
          <w:tcPr>
            <w:tcW w:w="0" w:type="auto"/>
            <w:hideMark/>
          </w:tcPr>
          <w:p w14:paraId="7F9B2C9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Tendering, contract award, risk allocation</w:t>
            </w:r>
          </w:p>
        </w:tc>
        <w:tc>
          <w:tcPr>
            <w:tcW w:w="0" w:type="auto"/>
            <w:hideMark/>
          </w:tcPr>
          <w:p w14:paraId="7F097FA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Political interference and weak integrity controls drive delay and cost escalation</w:t>
            </w:r>
          </w:p>
        </w:tc>
        <w:tc>
          <w:tcPr>
            <w:tcW w:w="0" w:type="auto"/>
            <w:hideMark/>
          </w:tcPr>
          <w:p w14:paraId="2A7326E0" w14:textId="64419E16"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 xml:space="preserve">);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 Amoah &amp; Steyn (2023);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651A8BC0" w14:textId="77777777" w:rsidTr="00C82F74">
        <w:tc>
          <w:tcPr>
            <w:tcW w:w="0" w:type="auto"/>
            <w:hideMark/>
          </w:tcPr>
          <w:p w14:paraId="0D8D643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and evaluation</w:t>
            </w:r>
          </w:p>
        </w:tc>
        <w:tc>
          <w:tcPr>
            <w:tcW w:w="0" w:type="auto"/>
            <w:hideMark/>
          </w:tcPr>
          <w:p w14:paraId="044A26B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Indicator tracking, corrective decision-making</w:t>
            </w:r>
          </w:p>
        </w:tc>
        <w:tc>
          <w:tcPr>
            <w:tcW w:w="0" w:type="auto"/>
            <w:hideMark/>
          </w:tcPr>
          <w:p w14:paraId="2BBCE03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Competent, frequent monitoring correlates with improved success criteria</w:t>
            </w:r>
          </w:p>
        </w:tc>
        <w:tc>
          <w:tcPr>
            <w:tcW w:w="0" w:type="auto"/>
            <w:hideMark/>
          </w:tcPr>
          <w:p w14:paraId="07F1DF92"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Crawford &amp; Bryce (2003); Kissi et al. (2019)</w:t>
            </w:r>
          </w:p>
        </w:tc>
      </w:tr>
      <w:tr w:rsidR="00C82F74" w:rsidRPr="00C82F74" w14:paraId="174021E6" w14:textId="77777777" w:rsidTr="00C82F74">
        <w:tc>
          <w:tcPr>
            <w:tcW w:w="0" w:type="auto"/>
            <w:hideMark/>
          </w:tcPr>
          <w:p w14:paraId="467028E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Resource, cost and quality </w:t>
            </w:r>
            <w:r w:rsidRPr="00C82F74">
              <w:rPr>
                <w:rFonts w:ascii="Times New Roman" w:eastAsia="Times New Roman" w:hAnsi="Times New Roman" w:cs="Times New Roman"/>
                <w:sz w:val="24"/>
                <w:szCs w:val="24"/>
                <w:lang w:eastAsia="en-GB"/>
              </w:rPr>
              <w:lastRenderedPageBreak/>
              <w:t>management</w:t>
            </w:r>
          </w:p>
        </w:tc>
        <w:tc>
          <w:tcPr>
            <w:tcW w:w="0" w:type="auto"/>
            <w:hideMark/>
          </w:tcPr>
          <w:p w14:paraId="57DF06A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Finance, materials and labour allocation; </w:t>
            </w:r>
            <w:r w:rsidRPr="00C82F74">
              <w:rPr>
                <w:rFonts w:ascii="Times New Roman" w:eastAsia="Times New Roman" w:hAnsi="Times New Roman" w:cs="Times New Roman"/>
                <w:sz w:val="24"/>
                <w:szCs w:val="24"/>
                <w:lang w:eastAsia="en-GB"/>
              </w:rPr>
              <w:lastRenderedPageBreak/>
              <w:t>specification compliance</w:t>
            </w:r>
          </w:p>
        </w:tc>
        <w:tc>
          <w:tcPr>
            <w:tcW w:w="0" w:type="auto"/>
            <w:hideMark/>
          </w:tcPr>
          <w:p w14:paraId="2210215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Payment delay and cash-flow constraints </w:t>
            </w:r>
            <w:r w:rsidRPr="00C82F74">
              <w:rPr>
                <w:rFonts w:ascii="Times New Roman" w:eastAsia="Times New Roman" w:hAnsi="Times New Roman" w:cs="Times New Roman"/>
                <w:sz w:val="24"/>
                <w:szCs w:val="24"/>
                <w:lang w:eastAsia="en-GB"/>
              </w:rPr>
              <w:lastRenderedPageBreak/>
              <w:t>undermine quality and pace</w:t>
            </w:r>
          </w:p>
        </w:tc>
        <w:tc>
          <w:tcPr>
            <w:tcW w:w="0" w:type="auto"/>
            <w:hideMark/>
          </w:tcPr>
          <w:p w14:paraId="5FDC088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Frimpong et al. (2003)</w:t>
            </w:r>
          </w:p>
        </w:tc>
      </w:tr>
      <w:tr w:rsidR="00C82F74" w:rsidRPr="00C82F74" w14:paraId="5A402603" w14:textId="77777777" w:rsidTr="00C82F74">
        <w:tc>
          <w:tcPr>
            <w:tcW w:w="0" w:type="auto"/>
            <w:hideMark/>
          </w:tcPr>
          <w:p w14:paraId="12613BE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Digitalisation</w:t>
            </w:r>
          </w:p>
        </w:tc>
        <w:tc>
          <w:tcPr>
            <w:tcW w:w="0" w:type="auto"/>
            <w:hideMark/>
          </w:tcPr>
          <w:p w14:paraId="37434A4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Building Information Modelling and related tools</w:t>
            </w:r>
          </w:p>
        </w:tc>
        <w:tc>
          <w:tcPr>
            <w:tcW w:w="0" w:type="auto"/>
            <w:hideMark/>
          </w:tcPr>
          <w:p w14:paraId="2B86802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Adoption limited by cost, training and absent policy mandate</w:t>
            </w:r>
          </w:p>
        </w:tc>
        <w:tc>
          <w:tcPr>
            <w:tcW w:w="0" w:type="auto"/>
            <w:hideMark/>
          </w:tcPr>
          <w:p w14:paraId="61F0497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Nasila &amp; Cloete (2018); </w:t>
            </w:r>
            <w:proofErr w:type="spellStart"/>
            <w:r w:rsidRPr="00C82F74">
              <w:rPr>
                <w:rFonts w:ascii="Times New Roman" w:eastAsia="Times New Roman" w:hAnsi="Times New Roman" w:cs="Times New Roman"/>
                <w:sz w:val="24"/>
                <w:szCs w:val="24"/>
                <w:lang w:eastAsia="en-GB"/>
              </w:rPr>
              <w:t>Oyuga</w:t>
            </w:r>
            <w:proofErr w:type="spellEnd"/>
            <w:r w:rsidRPr="00C82F74">
              <w:rPr>
                <w:rFonts w:ascii="Times New Roman" w:eastAsia="Times New Roman" w:hAnsi="Times New Roman" w:cs="Times New Roman"/>
                <w:sz w:val="24"/>
                <w:szCs w:val="24"/>
                <w:lang w:eastAsia="en-GB"/>
              </w:rPr>
              <w:t xml:space="preserve"> et al. (2021)</w:t>
            </w:r>
          </w:p>
        </w:tc>
      </w:tr>
    </w:tbl>
    <w:p w14:paraId="69FF269E"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5. Conceptualising and Measuring Infrastructure Project Performance</w:t>
      </w:r>
    </w:p>
    <w:p w14:paraId="7C7959F4"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5.1 Performance Criteria</w:t>
      </w:r>
    </w:p>
    <w:p w14:paraId="567CEEAF"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Project performance in the construction management literature has historically been anchored to the iron triangle of cost, time and quality, a formulation that offers a parsimonious and readily measurable basis for comparison across projects. Atkinson (1999) argued influentially that this triad, while useful, represents only a partial account of project success, since projects delivered within budget, schedule and specification may nonetheless fail to achieve the operational benefits or stakeholder satisfaction that justified their initiation in the first place. This critique has shaped subsequent Kenyan and comparable African research, which increasingly incorporates stakeholder satisfaction, community benefit and, more recently, environmental and climate outcomes alongside the conventional cost, time and quality metrics. Diallo and Thuillier (2005) demonstrated empirically, in the context of internationally financed African development projects, that success as perceived by project coordinators depended substantially on relational factors such as trust and communication, in addition to conventional output measures, reinforcing the argument that performance assessment in developing-country infrastructure delivery cannot rest solely on technical completion criteria.</w:t>
      </w:r>
    </w:p>
    <w:p w14:paraId="11DD91F5"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5.2 Determinants and Critical Success Factors</w:t>
      </w:r>
    </w:p>
    <w:p w14:paraId="7C352A6F"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Building on this extended conception of performance, a substantial literature has sought to identify the critical success factors that distinguish well-performing infrastructure projects from those that underperform. Ika's (2012) analysis of project management for development in Africa identified a set of recurring traps, including an excessive reliance on standardised technical solutions poorly adapted to local conditions, and weak alignment between donor accountability requirements and long-term development objectives, both of which constrain project performance regardless of the technical competence applied at the project level. Within the construction-specific literature, critical success factors identified across Kenyan and comparable studies converge on several recurring themes: the technical and managerial competence of project teams, the adequacy and timeliness of project financing, the clarity of contractual risk allocation, the strength of monitoring and corrective decision-making systems, and the degree of genuine, rather than procedural, stakeholder engagement. These determinants interact rather than operate independently; financing adequacy, for instance, shapes contractor cash flow, which in turn affects the pace and quality of construction, while weak monitoring reduces the likelihood that financing or contractual problems are identified and corrected before they escalate into significant delay or cost overrun.</w:t>
      </w:r>
    </w:p>
    <w:p w14:paraId="1EA9DAA3"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Table 3 organises these performance dimensions alongside their typical indicators and the determinants most consistently associated with each in the literature reviewed. The pattern evident across the table is that cost, time and quality determinants tend to be internal to the project delivery process, whereas stakeholder and institutional outcomes depend more </w:t>
      </w:r>
      <w:r w:rsidRPr="00C82F74">
        <w:rPr>
          <w:rFonts w:ascii="Times New Roman" w:eastAsia="Times New Roman" w:hAnsi="Times New Roman" w:cs="Times New Roman"/>
          <w:sz w:val="24"/>
          <w:szCs w:val="24"/>
          <w:lang w:eastAsia="en-GB"/>
        </w:rPr>
        <w:lastRenderedPageBreak/>
        <w:t>heavily on factors external to the immediate project team, a distinction taken up further in Section 6.</w:t>
      </w:r>
    </w:p>
    <w:p w14:paraId="753571DC"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3. Performance measurement indicators and determinants identified in the reviewed literature</w:t>
      </w:r>
    </w:p>
    <w:tbl>
      <w:tblPr>
        <w:tblStyle w:val="TableGrid"/>
        <w:tblW w:w="0" w:type="auto"/>
        <w:tblLook w:val="04A0" w:firstRow="1" w:lastRow="0" w:firstColumn="1" w:lastColumn="0" w:noHBand="0" w:noVBand="1"/>
      </w:tblPr>
      <w:tblGrid>
        <w:gridCol w:w="2063"/>
        <w:gridCol w:w="2506"/>
        <w:gridCol w:w="2711"/>
        <w:gridCol w:w="1962"/>
      </w:tblGrid>
      <w:tr w:rsidR="00C82F74" w:rsidRPr="00C82F74" w14:paraId="5A86D85A" w14:textId="77777777" w:rsidTr="00C82F74">
        <w:tc>
          <w:tcPr>
            <w:tcW w:w="0" w:type="auto"/>
            <w:hideMark/>
          </w:tcPr>
          <w:p w14:paraId="1E5DEC2D"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Performance dimension</w:t>
            </w:r>
          </w:p>
        </w:tc>
        <w:tc>
          <w:tcPr>
            <w:tcW w:w="0" w:type="auto"/>
            <w:hideMark/>
          </w:tcPr>
          <w:p w14:paraId="143A3984"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Typical indicators</w:t>
            </w:r>
          </w:p>
        </w:tc>
        <w:tc>
          <w:tcPr>
            <w:tcW w:w="0" w:type="auto"/>
            <w:hideMark/>
          </w:tcPr>
          <w:p w14:paraId="18BD3527"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Key determinants identified</w:t>
            </w:r>
          </w:p>
        </w:tc>
        <w:tc>
          <w:tcPr>
            <w:tcW w:w="0" w:type="auto"/>
            <w:hideMark/>
          </w:tcPr>
          <w:p w14:paraId="2DACD57D"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14B51EE2" w14:textId="77777777" w:rsidTr="00C82F74">
        <w:tc>
          <w:tcPr>
            <w:tcW w:w="0" w:type="auto"/>
            <w:hideMark/>
          </w:tcPr>
          <w:p w14:paraId="0226DA8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Cost performance</w:t>
            </w:r>
          </w:p>
        </w:tc>
        <w:tc>
          <w:tcPr>
            <w:tcW w:w="0" w:type="auto"/>
            <w:hideMark/>
          </w:tcPr>
          <w:p w14:paraId="279A1AC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Variance between budgeted and actual cost</w:t>
            </w:r>
          </w:p>
        </w:tc>
        <w:tc>
          <w:tcPr>
            <w:tcW w:w="0" w:type="auto"/>
            <w:hideMark/>
          </w:tcPr>
          <w:p w14:paraId="5E0109F2"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Contractual risk allocation, payment timeliness, procurement integrity</w:t>
            </w:r>
          </w:p>
        </w:tc>
        <w:tc>
          <w:tcPr>
            <w:tcW w:w="0" w:type="auto"/>
            <w:hideMark/>
          </w:tcPr>
          <w:p w14:paraId="68E783B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Frimpong et al. (2003);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1097C10F" w14:textId="77777777" w:rsidTr="00C82F74">
        <w:tc>
          <w:tcPr>
            <w:tcW w:w="0" w:type="auto"/>
            <w:hideMark/>
          </w:tcPr>
          <w:p w14:paraId="036E934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Time performance</w:t>
            </w:r>
          </w:p>
        </w:tc>
        <w:tc>
          <w:tcPr>
            <w:tcW w:w="0" w:type="auto"/>
            <w:hideMark/>
          </w:tcPr>
          <w:p w14:paraId="4415CA9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Variance between planned and actual completion date</w:t>
            </w:r>
          </w:p>
        </w:tc>
        <w:tc>
          <w:tcPr>
            <w:tcW w:w="0" w:type="auto"/>
            <w:hideMark/>
          </w:tcPr>
          <w:p w14:paraId="1309BFA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rigour, contractor resourcing, risk management maturity</w:t>
            </w:r>
          </w:p>
        </w:tc>
        <w:tc>
          <w:tcPr>
            <w:tcW w:w="0" w:type="auto"/>
            <w:hideMark/>
          </w:tcPr>
          <w:p w14:paraId="78091C8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Lindhard &amp; Larsen (2016);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12B8F737" w14:textId="77777777" w:rsidTr="00C82F74">
        <w:tc>
          <w:tcPr>
            <w:tcW w:w="0" w:type="auto"/>
            <w:hideMark/>
          </w:tcPr>
          <w:p w14:paraId="28D60C7B"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Quality performance</w:t>
            </w:r>
          </w:p>
        </w:tc>
        <w:tc>
          <w:tcPr>
            <w:tcW w:w="0" w:type="auto"/>
            <w:hideMark/>
          </w:tcPr>
          <w:p w14:paraId="36A98EB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Compliance with design specification and standards</w:t>
            </w:r>
          </w:p>
        </w:tc>
        <w:tc>
          <w:tcPr>
            <w:tcW w:w="0" w:type="auto"/>
            <w:hideMark/>
          </w:tcPr>
          <w:p w14:paraId="21D4FFF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Supervision capacity, resource adequacy, contractor technical performance</w:t>
            </w:r>
          </w:p>
        </w:tc>
        <w:tc>
          <w:tcPr>
            <w:tcW w:w="0" w:type="auto"/>
            <w:hideMark/>
          </w:tcPr>
          <w:p w14:paraId="036D49E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Frimpong et al. (2003)</w:t>
            </w:r>
          </w:p>
        </w:tc>
      </w:tr>
      <w:tr w:rsidR="00C82F74" w:rsidRPr="00C82F74" w14:paraId="2C891588" w14:textId="77777777" w:rsidTr="00C82F74">
        <w:tc>
          <w:tcPr>
            <w:tcW w:w="0" w:type="auto"/>
            <w:hideMark/>
          </w:tcPr>
          <w:p w14:paraId="5CF0B9B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Stakeholder satisfaction</w:t>
            </w:r>
          </w:p>
        </w:tc>
        <w:tc>
          <w:tcPr>
            <w:tcW w:w="0" w:type="auto"/>
            <w:hideMark/>
          </w:tcPr>
          <w:p w14:paraId="1A119F4A"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Perceived project success among coordinators, communities and financiers</w:t>
            </w:r>
          </w:p>
        </w:tc>
        <w:tc>
          <w:tcPr>
            <w:tcW w:w="0" w:type="auto"/>
            <w:hideMark/>
          </w:tcPr>
          <w:p w14:paraId="31188C6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Trust, communication, genuine engagement</w:t>
            </w:r>
          </w:p>
        </w:tc>
        <w:tc>
          <w:tcPr>
            <w:tcW w:w="0" w:type="auto"/>
            <w:hideMark/>
          </w:tcPr>
          <w:p w14:paraId="15CE75C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Diallo &amp; Thuillier (2005); Olander (2007)</w:t>
            </w:r>
          </w:p>
        </w:tc>
      </w:tr>
      <w:tr w:rsidR="00C82F74" w:rsidRPr="00C82F74" w14:paraId="0EC761F5" w14:textId="77777777" w:rsidTr="00C82F74">
        <w:tc>
          <w:tcPr>
            <w:tcW w:w="0" w:type="auto"/>
            <w:hideMark/>
          </w:tcPr>
          <w:p w14:paraId="220BCBC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Institutional and developmental outcomes</w:t>
            </w:r>
          </w:p>
        </w:tc>
        <w:tc>
          <w:tcPr>
            <w:tcW w:w="0" w:type="auto"/>
            <w:hideMark/>
          </w:tcPr>
          <w:p w14:paraId="3994CB0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Alignment with long-term development objectives, sustainability of benefits</w:t>
            </w:r>
          </w:p>
        </w:tc>
        <w:tc>
          <w:tcPr>
            <w:tcW w:w="0" w:type="auto"/>
            <w:hideMark/>
          </w:tcPr>
          <w:p w14:paraId="1C3CFD6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Governance quality, financing model, technical capacity building</w:t>
            </w:r>
          </w:p>
        </w:tc>
        <w:tc>
          <w:tcPr>
            <w:tcW w:w="0" w:type="auto"/>
            <w:hideMark/>
          </w:tcPr>
          <w:p w14:paraId="6AD1D43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Ika (2012); Khan et al. (2021)</w:t>
            </w:r>
          </w:p>
        </w:tc>
      </w:tr>
    </w:tbl>
    <w:p w14:paraId="12059FFD"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6. Project Management Practices and Performance: Synthesis of the Evidence</w:t>
      </w:r>
    </w:p>
    <w:p w14:paraId="7CD77849"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Drawing together the practice-specific and performance-specific literatures reviewed above, several convergent patterns emerge across Kenyan and comparable African infrastructure studies. First, no single project management practice functions in isolation as a determinant of performance; rather, planning, risk management, stakeholder engagement, procurement and monitoring interact cumulatively, such that weaknesses in one domain tend to amplify vulnerabilities in others. A project with weak initial planning is more exposed to design-change risk, which in turn generates procurement variations and contractual disputes that competent M&amp;E systems might otherwise detect and manage before they escalate. Second, the maturity of formal project management processes, as distinct from awareness of project management principles, remains the more consistent predictor of performance across the studies reviewed; Kenyan and comparable studies repeatedly find that project teams are familiar with recognised practices in principle but apply them inconsistently in practice, particularly under fiscal or political pressure to accelerate project commencement.</w:t>
      </w:r>
    </w:p>
    <w:p w14:paraId="712E7E61" w14:textId="62962652"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Third, institutional and governance conditions external to the immediate project team appear to influence performance at least as strongly as internal project management competence. Studies of PPP performance in Kenya emphasise that critical success factors such as </w:t>
      </w:r>
      <w:r w:rsidRPr="00C82F74">
        <w:rPr>
          <w:rFonts w:ascii="Times New Roman" w:eastAsia="Times New Roman" w:hAnsi="Times New Roman" w:cs="Times New Roman"/>
          <w:sz w:val="24"/>
          <w:szCs w:val="24"/>
          <w:lang w:eastAsia="en-GB"/>
        </w:rPr>
        <w:lastRenderedPageBreak/>
        <w:t>community acceptance, project feasibility and the existence of well-organised, committed public agencies operate largely at the institutional rather than the project level (Chileshe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 Research on government project failure in Ghana similarly situates the most important causes of underperformance, including political interference and bureaucratic delay, outside the direct control of project managers, suggesting that improvements in individual project management competence, while necessary, are unlikely to be sufficient without corresponding institutional reform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 Fourth, the literature reveals a persistent tension between formally mandated participatory and governance mechanisms, such as public participation requirements under Kenya's devolved constitutional framework, and the substantive quality of stakeholder engagement actually delivered, echoing the Pakistani evidence that governance structures and stakeholder management jointly, rather than independently, determine project performance (Khan et al., 2019a, 2019b, 2021; Waris et al., 2022).</w:t>
      </w:r>
    </w:p>
    <w:p w14:paraId="1FB344CE"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4 consolidates the empirical studies drawn on throughout this synthesis, grouped by study context, to make explicit the geographic and sectoral spread of the underlying evidence base and the practices each contributes most directly to understanding.</w:t>
      </w:r>
    </w:p>
    <w:p w14:paraId="3B63462A"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4. Summary of empirical studies linking project management practices to infrastructure project performance</w:t>
      </w:r>
    </w:p>
    <w:tbl>
      <w:tblPr>
        <w:tblStyle w:val="TableGrid"/>
        <w:tblW w:w="0" w:type="auto"/>
        <w:tblLook w:val="04A0" w:firstRow="1" w:lastRow="0" w:firstColumn="1" w:lastColumn="0" w:noHBand="0" w:noVBand="1"/>
      </w:tblPr>
      <w:tblGrid>
        <w:gridCol w:w="2101"/>
        <w:gridCol w:w="2293"/>
        <w:gridCol w:w="2934"/>
        <w:gridCol w:w="1914"/>
      </w:tblGrid>
      <w:tr w:rsidR="00C82F74" w:rsidRPr="00C82F74" w14:paraId="498006FF" w14:textId="77777777" w:rsidTr="00C82F74">
        <w:tc>
          <w:tcPr>
            <w:tcW w:w="0" w:type="auto"/>
            <w:hideMark/>
          </w:tcPr>
          <w:p w14:paraId="6A877CFE"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Study context</w:t>
            </w:r>
          </w:p>
        </w:tc>
        <w:tc>
          <w:tcPr>
            <w:tcW w:w="0" w:type="auto"/>
            <w:hideMark/>
          </w:tcPr>
          <w:p w14:paraId="6AD2FDE7"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Practices examined</w:t>
            </w:r>
          </w:p>
        </w:tc>
        <w:tc>
          <w:tcPr>
            <w:tcW w:w="0" w:type="auto"/>
            <w:hideMark/>
          </w:tcPr>
          <w:p w14:paraId="3B637AC2"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Principal finding</w:t>
            </w:r>
          </w:p>
        </w:tc>
        <w:tc>
          <w:tcPr>
            <w:tcW w:w="0" w:type="auto"/>
            <w:hideMark/>
          </w:tcPr>
          <w:p w14:paraId="7269376B"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189D8EB0" w14:textId="77777777" w:rsidTr="00C82F74">
        <w:tc>
          <w:tcPr>
            <w:tcW w:w="0" w:type="auto"/>
            <w:hideMark/>
          </w:tcPr>
          <w:p w14:paraId="4F9939A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African development projects (multi-country)</w:t>
            </w:r>
          </w:p>
        </w:tc>
        <w:tc>
          <w:tcPr>
            <w:tcW w:w="0" w:type="auto"/>
            <w:hideMark/>
          </w:tcPr>
          <w:p w14:paraId="4446A84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Communication, trust, critical success factors</w:t>
            </w:r>
          </w:p>
        </w:tc>
        <w:tc>
          <w:tcPr>
            <w:tcW w:w="0" w:type="auto"/>
            <w:hideMark/>
          </w:tcPr>
          <w:p w14:paraId="65B233A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Relational factors significantly predict perceived project success</w:t>
            </w:r>
          </w:p>
        </w:tc>
        <w:tc>
          <w:tcPr>
            <w:tcW w:w="0" w:type="auto"/>
            <w:hideMark/>
          </w:tcPr>
          <w:p w14:paraId="0074B70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Diallo &amp; Thuillier (2005); Ika (2012)</w:t>
            </w:r>
          </w:p>
        </w:tc>
      </w:tr>
      <w:tr w:rsidR="00C82F74" w:rsidRPr="00C82F74" w14:paraId="2680DDC8" w14:textId="77777777" w:rsidTr="00C82F74">
        <w:tc>
          <w:tcPr>
            <w:tcW w:w="0" w:type="auto"/>
            <w:hideMark/>
          </w:tcPr>
          <w:p w14:paraId="6F77A9F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Ghana (groundwater and government construction)</w:t>
            </w:r>
          </w:p>
        </w:tc>
        <w:tc>
          <w:tcPr>
            <w:tcW w:w="0" w:type="auto"/>
            <w:hideMark/>
          </w:tcPr>
          <w:p w14:paraId="5CBF43C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procurement, political factors</w:t>
            </w:r>
          </w:p>
        </w:tc>
        <w:tc>
          <w:tcPr>
            <w:tcW w:w="0" w:type="auto"/>
            <w:hideMark/>
          </w:tcPr>
          <w:p w14:paraId="3097F49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Planning weaknesses and political interference jointly drive delay and failure</w:t>
            </w:r>
          </w:p>
        </w:tc>
        <w:tc>
          <w:tcPr>
            <w:tcW w:w="0" w:type="auto"/>
            <w:hideMark/>
          </w:tcPr>
          <w:p w14:paraId="508F5A1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Frimpong et al. (2003); </w:t>
            </w:r>
            <w:proofErr w:type="spellStart"/>
            <w:r w:rsidRPr="00C82F74">
              <w:rPr>
                <w:rFonts w:ascii="Times New Roman" w:eastAsia="Times New Roman" w:hAnsi="Times New Roman" w:cs="Times New Roman"/>
                <w:sz w:val="24"/>
                <w:szCs w:val="24"/>
                <w:lang w:eastAsia="en-GB"/>
              </w:rPr>
              <w:t>Damoah</w:t>
            </w:r>
            <w:proofErr w:type="spellEnd"/>
            <w:r w:rsidRPr="00C82F74">
              <w:rPr>
                <w:rFonts w:ascii="Times New Roman" w:eastAsia="Times New Roman" w:hAnsi="Times New Roman" w:cs="Times New Roman"/>
                <w:sz w:val="24"/>
                <w:szCs w:val="24"/>
                <w:lang w:eastAsia="en-GB"/>
              </w:rPr>
              <w:t xml:space="preserve"> &amp; Kumi (2018)</w:t>
            </w:r>
          </w:p>
        </w:tc>
      </w:tr>
      <w:tr w:rsidR="00C82F74" w:rsidRPr="00C82F74" w14:paraId="607EE21C" w14:textId="77777777" w:rsidTr="00C82F74">
        <w:tc>
          <w:tcPr>
            <w:tcW w:w="0" w:type="auto"/>
            <w:hideMark/>
          </w:tcPr>
          <w:p w14:paraId="38C913E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Malawi and Palestine (road and general construction)</w:t>
            </w:r>
          </w:p>
        </w:tc>
        <w:tc>
          <w:tcPr>
            <w:tcW w:w="0" w:type="auto"/>
            <w:hideMark/>
          </w:tcPr>
          <w:p w14:paraId="150E55E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Risk management maturity</w:t>
            </w:r>
          </w:p>
        </w:tc>
        <w:tc>
          <w:tcPr>
            <w:tcW w:w="0" w:type="auto"/>
            <w:hideMark/>
          </w:tcPr>
          <w:p w14:paraId="62011FA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Formal risk processes remain underdeveloped, concentrating severity in financial and contractual risks</w:t>
            </w:r>
          </w:p>
        </w:tc>
        <w:tc>
          <w:tcPr>
            <w:tcW w:w="0" w:type="auto"/>
            <w:hideMark/>
          </w:tcPr>
          <w:p w14:paraId="60275899" w14:textId="77777777" w:rsidR="00C82F74" w:rsidRPr="00C82F74" w:rsidRDefault="00C82F74" w:rsidP="00992504">
            <w:pPr>
              <w:jc w:val="both"/>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t>Kululanga</w:t>
            </w:r>
            <w:proofErr w:type="spellEnd"/>
            <w:r w:rsidRPr="00C82F74">
              <w:rPr>
                <w:rFonts w:ascii="Times New Roman" w:eastAsia="Times New Roman" w:hAnsi="Times New Roman" w:cs="Times New Roman"/>
                <w:sz w:val="24"/>
                <w:szCs w:val="24"/>
                <w:lang w:eastAsia="en-GB"/>
              </w:rPr>
              <w:t xml:space="preserve"> &amp; </w:t>
            </w:r>
            <w:proofErr w:type="spellStart"/>
            <w:r w:rsidRPr="00C82F74">
              <w:rPr>
                <w:rFonts w:ascii="Times New Roman" w:eastAsia="Times New Roman" w:hAnsi="Times New Roman" w:cs="Times New Roman"/>
                <w:sz w:val="24"/>
                <w:szCs w:val="24"/>
                <w:lang w:eastAsia="en-GB"/>
              </w:rPr>
              <w:t>Kuotcha</w:t>
            </w:r>
            <w:proofErr w:type="spellEnd"/>
            <w:r w:rsidRPr="00C82F74">
              <w:rPr>
                <w:rFonts w:ascii="Times New Roman" w:eastAsia="Times New Roman" w:hAnsi="Times New Roman" w:cs="Times New Roman"/>
                <w:sz w:val="24"/>
                <w:szCs w:val="24"/>
                <w:lang w:eastAsia="en-GB"/>
              </w:rPr>
              <w:t xml:space="preserve"> (2010); </w:t>
            </w:r>
            <w:proofErr w:type="spellStart"/>
            <w:r w:rsidRPr="00C82F74">
              <w:rPr>
                <w:rFonts w:ascii="Times New Roman" w:eastAsia="Times New Roman" w:hAnsi="Times New Roman" w:cs="Times New Roman"/>
                <w:sz w:val="24"/>
                <w:szCs w:val="24"/>
                <w:lang w:eastAsia="en-GB"/>
              </w:rPr>
              <w:t>Mahamid</w:t>
            </w:r>
            <w:proofErr w:type="spellEnd"/>
            <w:r w:rsidRPr="00C82F74">
              <w:rPr>
                <w:rFonts w:ascii="Times New Roman" w:eastAsia="Times New Roman" w:hAnsi="Times New Roman" w:cs="Times New Roman"/>
                <w:sz w:val="24"/>
                <w:szCs w:val="24"/>
                <w:lang w:eastAsia="en-GB"/>
              </w:rPr>
              <w:t xml:space="preserve"> (2011)</w:t>
            </w:r>
          </w:p>
        </w:tc>
      </w:tr>
      <w:tr w:rsidR="00C82F74" w:rsidRPr="00C82F74" w14:paraId="3FA17DAC" w14:textId="77777777" w:rsidTr="00C82F74">
        <w:tc>
          <w:tcPr>
            <w:tcW w:w="0" w:type="auto"/>
            <w:hideMark/>
          </w:tcPr>
          <w:p w14:paraId="7EB5480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Ghana (construction monitoring)</w:t>
            </w:r>
          </w:p>
        </w:tc>
        <w:tc>
          <w:tcPr>
            <w:tcW w:w="0" w:type="auto"/>
            <w:hideMark/>
          </w:tcPr>
          <w:p w14:paraId="0B99180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and evaluation competence</w:t>
            </w:r>
          </w:p>
        </w:tc>
        <w:tc>
          <w:tcPr>
            <w:tcW w:w="0" w:type="auto"/>
            <w:hideMark/>
          </w:tcPr>
          <w:p w14:paraId="0B3C669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Monitoring frequency and competence correlate with success across multiple criteria</w:t>
            </w:r>
          </w:p>
        </w:tc>
        <w:tc>
          <w:tcPr>
            <w:tcW w:w="0" w:type="auto"/>
            <w:hideMark/>
          </w:tcPr>
          <w:p w14:paraId="27388DB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Kissi et al. (2019)</w:t>
            </w:r>
          </w:p>
        </w:tc>
      </w:tr>
      <w:tr w:rsidR="00C82F74" w:rsidRPr="00C82F74" w14:paraId="02514BFB" w14:textId="77777777" w:rsidTr="00C82F74">
        <w:tc>
          <w:tcPr>
            <w:tcW w:w="0" w:type="auto"/>
            <w:hideMark/>
          </w:tcPr>
          <w:p w14:paraId="315F014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Pakistan (public infrastructure)</w:t>
            </w:r>
          </w:p>
        </w:tc>
        <w:tc>
          <w:tcPr>
            <w:tcW w:w="0" w:type="auto"/>
            <w:hideMark/>
          </w:tcPr>
          <w:p w14:paraId="24C1F4AA"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Governance deficiencies, stakeholder management</w:t>
            </w:r>
          </w:p>
        </w:tc>
        <w:tc>
          <w:tcPr>
            <w:tcW w:w="0" w:type="auto"/>
            <w:hideMark/>
          </w:tcPr>
          <w:p w14:paraId="3FD3E3B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Interaction of governance quality and stakeholder management determines performance</w:t>
            </w:r>
          </w:p>
        </w:tc>
        <w:tc>
          <w:tcPr>
            <w:tcW w:w="0" w:type="auto"/>
            <w:hideMark/>
          </w:tcPr>
          <w:p w14:paraId="3ED4BC8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Khan et al. (2019a, 2019b, 2021); Waris et al. (2022)</w:t>
            </w:r>
          </w:p>
        </w:tc>
      </w:tr>
      <w:tr w:rsidR="00C82F74" w:rsidRPr="00C82F74" w14:paraId="4AA8CE94" w14:textId="77777777" w:rsidTr="00C82F74">
        <w:tc>
          <w:tcPr>
            <w:tcW w:w="0" w:type="auto"/>
            <w:hideMark/>
          </w:tcPr>
          <w:p w14:paraId="03DC93DC"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(public–private partnerships)</w:t>
            </w:r>
          </w:p>
        </w:tc>
        <w:tc>
          <w:tcPr>
            <w:tcW w:w="0" w:type="auto"/>
            <w:hideMark/>
          </w:tcPr>
          <w:p w14:paraId="402110D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Institutional and project-level critical success factors</w:t>
            </w:r>
          </w:p>
        </w:tc>
        <w:tc>
          <w:tcPr>
            <w:tcW w:w="0" w:type="auto"/>
            <w:hideMark/>
          </w:tcPr>
          <w:p w14:paraId="4F8F5E6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Community acceptance and agency competence outweigh purely technical factors</w:t>
            </w:r>
          </w:p>
        </w:tc>
        <w:tc>
          <w:tcPr>
            <w:tcW w:w="0" w:type="auto"/>
            <w:hideMark/>
          </w:tcPr>
          <w:p w14:paraId="4A26B98A" w14:textId="4FD400D3"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w:t>
            </w:r>
          </w:p>
        </w:tc>
      </w:tr>
      <w:tr w:rsidR="00C82F74" w:rsidRPr="00C82F74" w14:paraId="06772E8B" w14:textId="77777777" w:rsidTr="00C82F74">
        <w:tc>
          <w:tcPr>
            <w:tcW w:w="0" w:type="auto"/>
            <w:hideMark/>
          </w:tcPr>
          <w:p w14:paraId="4909EFB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Kenya (Standard Gauge Railway)</w:t>
            </w:r>
          </w:p>
        </w:tc>
        <w:tc>
          <w:tcPr>
            <w:tcW w:w="0" w:type="auto"/>
            <w:hideMark/>
          </w:tcPr>
          <w:p w14:paraId="1D3EF5B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Environmental and socio-economic </w:t>
            </w:r>
            <w:r w:rsidRPr="00C82F74">
              <w:rPr>
                <w:rFonts w:ascii="Times New Roman" w:eastAsia="Times New Roman" w:hAnsi="Times New Roman" w:cs="Times New Roman"/>
                <w:sz w:val="24"/>
                <w:szCs w:val="24"/>
                <w:lang w:eastAsia="en-GB"/>
              </w:rPr>
              <w:lastRenderedPageBreak/>
              <w:t>management</w:t>
            </w:r>
          </w:p>
        </w:tc>
        <w:tc>
          <w:tcPr>
            <w:tcW w:w="0" w:type="auto"/>
            <w:hideMark/>
          </w:tcPr>
          <w:p w14:paraId="1364141E"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 xml:space="preserve">Megaproject delivery generates trade-offs </w:t>
            </w:r>
            <w:r w:rsidRPr="00C82F74">
              <w:rPr>
                <w:rFonts w:ascii="Times New Roman" w:eastAsia="Times New Roman" w:hAnsi="Times New Roman" w:cs="Times New Roman"/>
                <w:sz w:val="24"/>
                <w:szCs w:val="24"/>
                <w:lang w:eastAsia="en-GB"/>
              </w:rPr>
              <w:lastRenderedPageBreak/>
              <w:t>between developmental benefit and ecological cost</w:t>
            </w:r>
          </w:p>
        </w:tc>
        <w:tc>
          <w:tcPr>
            <w:tcW w:w="0" w:type="auto"/>
            <w:hideMark/>
          </w:tcPr>
          <w:p w14:paraId="016478B3" w14:textId="77777777" w:rsidR="00C82F74" w:rsidRPr="00C82F74" w:rsidRDefault="00C82F74" w:rsidP="00992504">
            <w:pPr>
              <w:jc w:val="both"/>
              <w:rPr>
                <w:rFonts w:ascii="Times New Roman" w:eastAsia="Times New Roman" w:hAnsi="Times New Roman" w:cs="Times New Roman"/>
                <w:sz w:val="24"/>
                <w:szCs w:val="24"/>
                <w:lang w:eastAsia="en-GB"/>
              </w:rPr>
            </w:pPr>
            <w:proofErr w:type="spellStart"/>
            <w:r w:rsidRPr="00C82F74">
              <w:rPr>
                <w:rFonts w:ascii="Times New Roman" w:eastAsia="Times New Roman" w:hAnsi="Times New Roman" w:cs="Times New Roman"/>
                <w:sz w:val="24"/>
                <w:szCs w:val="24"/>
                <w:lang w:eastAsia="en-GB"/>
              </w:rPr>
              <w:lastRenderedPageBreak/>
              <w:t>Nyumba</w:t>
            </w:r>
            <w:proofErr w:type="spellEnd"/>
            <w:r w:rsidRPr="00C82F74">
              <w:rPr>
                <w:rFonts w:ascii="Times New Roman" w:eastAsia="Times New Roman" w:hAnsi="Times New Roman" w:cs="Times New Roman"/>
                <w:sz w:val="24"/>
                <w:szCs w:val="24"/>
                <w:lang w:eastAsia="en-GB"/>
              </w:rPr>
              <w:t xml:space="preserve"> et al. (2021); Zhu et al. </w:t>
            </w:r>
            <w:r w:rsidRPr="00C82F74">
              <w:rPr>
                <w:rFonts w:ascii="Times New Roman" w:eastAsia="Times New Roman" w:hAnsi="Times New Roman" w:cs="Times New Roman"/>
                <w:sz w:val="24"/>
                <w:szCs w:val="24"/>
                <w:lang w:eastAsia="en-GB"/>
              </w:rPr>
              <w:lastRenderedPageBreak/>
              <w:t>(2023)</w:t>
            </w:r>
          </w:p>
        </w:tc>
      </w:tr>
    </w:tbl>
    <w:p w14:paraId="254130DD"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lastRenderedPageBreak/>
        <w:t>7. Institutional, Governance and Political Economy Challenges</w:t>
      </w:r>
    </w:p>
    <w:p w14:paraId="50FC4D42"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7.1 Corruption and Procurement Integrity</w:t>
      </w:r>
    </w:p>
    <w:p w14:paraId="7A2CB5A7"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Corruption recurs throughout the Kenyan infrastructure literature as a cross-cutting constraint on project performance, affecting procurement, contract variation and payment processes across national and county government projects alike. D'Arcy and Cornell (2016) argue that devolution in Kenya, rather than eliminating patronage-driven resource allocation, has instead relocated such practices to the county level, where popular expectations of local benefit sharing intersect with weaker oversight capacity than exists nationally. This institutional analysis complements construction-specific research on unethical practice, which identifies inflated pricing, kickbacks and weak whistle-blower protection as persistent features of construction procurement even where formal codes of conduct exist, suggesting that professional ethics standards alone are insufficient without stronger external enforcement (Amoah &amp; Steyn, 2023). Kenyan-focused analysis of PPP procurement similarly documents governance, accountability and implementation challenges that compromise the intended benefits of private-sector participation in infrastructure delivery, including cases where partnership arrangements have been structured in ways that limit competitive scrutiny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w:t>
      </w:r>
    </w:p>
    <w:p w14:paraId="2041B391"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7.2 Devolution and Sub-National Implementation Capacity</w:t>
      </w:r>
    </w:p>
    <w:p w14:paraId="13928ABC"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Devolution has fundamentally altered the institutional geography of Kenyan infrastructure delivery, transferring substantial planning and implementation authority to county governments that vary considerably in fiscal capacity, technical staffing and administrative experience. While devolution has, in principle, improved the responsiveness of infrastructure planning to local priorities, the redistribution of patronage dynamics identified by D'Arcy and Cornell (2016) suggests that county-level project selection and contractor award decisions remain vulnerable to political influence, particularly in the arid and semi-arid counties where infrastructure need is greatest and pre-existing administrative capacity is often weakest. This uneven capacity across counties has implications for the transferability of project management practice guidance, since interventions calibrated to well-resourced counties or national agencies may prove difficult to implement where staffing and financing constraints are more acute.</w:t>
      </w:r>
    </w:p>
    <w:p w14:paraId="77E10597"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7.3 Financing Constraints and Fiscal Sustainability</w:t>
      </w:r>
    </w:p>
    <w:p w14:paraId="0EA07402"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Infrastructure financing in Kenya combines national exchequer allocation, county budgets, concessional and commercial external borrowing, and an expanding PPP programme, each of which carries distinct implications for project management practice. Kandie et al. (2025) note that reliance on external borrowing to close Kenya's infrastructure financing gap has raised debt sustainability concerns that interact directly with project-level cash flow, since delayed disbursement associated with fiscal constraint is a recurrent driver of contractor payment delay and consequent schedule slippage. </w:t>
      </w:r>
      <w:r w:rsidRPr="00C82F74">
        <w:rPr>
          <w:rFonts w:ascii="Times New Roman" w:eastAsia="Times New Roman" w:hAnsi="Times New Roman" w:cs="Times New Roman"/>
          <w:b/>
          <w:bCs/>
          <w:sz w:val="24"/>
          <w:szCs w:val="24"/>
          <w:lang w:eastAsia="en-GB"/>
        </w:rPr>
        <w:t xml:space="preserve">Briceño-Garmendia and </w:t>
      </w:r>
      <w:proofErr w:type="spellStart"/>
      <w:r w:rsidRPr="00C82F74">
        <w:rPr>
          <w:rFonts w:ascii="Times New Roman" w:eastAsia="Times New Roman" w:hAnsi="Times New Roman" w:cs="Times New Roman"/>
          <w:b/>
          <w:bCs/>
          <w:sz w:val="24"/>
          <w:szCs w:val="24"/>
          <w:lang w:eastAsia="en-GB"/>
        </w:rPr>
        <w:t>Shkaratan's</w:t>
      </w:r>
      <w:proofErr w:type="spellEnd"/>
      <w:r w:rsidRPr="00C82F74">
        <w:rPr>
          <w:rFonts w:ascii="Times New Roman" w:eastAsia="Times New Roman" w:hAnsi="Times New Roman" w:cs="Times New Roman"/>
          <w:b/>
          <w:bCs/>
          <w:sz w:val="24"/>
          <w:szCs w:val="24"/>
          <w:lang w:eastAsia="en-GB"/>
        </w:rPr>
        <w:t xml:space="preserve"> (2011)</w:t>
      </w:r>
      <w:r w:rsidRPr="00C82F74">
        <w:rPr>
          <w:rFonts w:ascii="Times New Roman" w:eastAsia="Times New Roman" w:hAnsi="Times New Roman" w:cs="Times New Roman"/>
          <w:sz w:val="24"/>
          <w:szCs w:val="24"/>
          <w:lang w:eastAsia="en-GB"/>
        </w:rPr>
        <w:t xml:space="preserve"> institutional assessment of Kenya's public investment management system similarly </w:t>
      </w:r>
      <w:proofErr w:type="gramStart"/>
      <w:r w:rsidRPr="00C82F74">
        <w:rPr>
          <w:rFonts w:ascii="Times New Roman" w:eastAsia="Times New Roman" w:hAnsi="Times New Roman" w:cs="Times New Roman"/>
          <w:sz w:val="24"/>
          <w:szCs w:val="24"/>
          <w:lang w:eastAsia="en-GB"/>
        </w:rPr>
        <w:t>identifies</w:t>
      </w:r>
      <w:proofErr w:type="gramEnd"/>
      <w:r w:rsidRPr="00C82F74">
        <w:rPr>
          <w:rFonts w:ascii="Times New Roman" w:eastAsia="Times New Roman" w:hAnsi="Times New Roman" w:cs="Times New Roman"/>
          <w:sz w:val="24"/>
          <w:szCs w:val="24"/>
          <w:lang w:eastAsia="en-GB"/>
        </w:rPr>
        <w:t xml:space="preserve"> land acquisition and resettlement processes, alongside broader public investment appraisal weaknesses, as structural constraints that predate and condition project-level performance, </w:t>
      </w:r>
      <w:r w:rsidRPr="00C82F74">
        <w:rPr>
          <w:rFonts w:ascii="Times New Roman" w:eastAsia="Times New Roman" w:hAnsi="Times New Roman" w:cs="Times New Roman"/>
          <w:sz w:val="24"/>
          <w:szCs w:val="24"/>
          <w:lang w:eastAsia="en-GB"/>
        </w:rPr>
        <w:lastRenderedPageBreak/>
        <w:t>irrespective of the technical competence applied once implementation begins. More recent IMF assessment extends this diagnosis to climate considerations, finding that infrastructure appraisal processes have not yet been systematically adjusted to account for climate-related risk to transport, water and energy assets, despite documented exposure to drought and flood hazards (International Monetary Fund, 2024).</w:t>
      </w:r>
    </w:p>
    <w:p w14:paraId="3C8F37D6"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Table 5 draws these institutional challenges together. Read alongside Table 4, it indicates that the governance and financing constraints summarised here condition, rather than merely accompany, the project-level practice outcomes examined earlier in the review.</w:t>
      </w:r>
    </w:p>
    <w:p w14:paraId="5D5DCEAD"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Table 5. Key institutional and governance challenges affecting infrastructure project performance in Kenya</w:t>
      </w:r>
    </w:p>
    <w:tbl>
      <w:tblPr>
        <w:tblStyle w:val="TableGrid"/>
        <w:tblW w:w="0" w:type="auto"/>
        <w:tblLook w:val="04A0" w:firstRow="1" w:lastRow="0" w:firstColumn="1" w:lastColumn="0" w:noHBand="0" w:noVBand="1"/>
      </w:tblPr>
      <w:tblGrid>
        <w:gridCol w:w="2340"/>
        <w:gridCol w:w="2363"/>
        <w:gridCol w:w="2580"/>
        <w:gridCol w:w="1959"/>
      </w:tblGrid>
      <w:tr w:rsidR="00C82F74" w:rsidRPr="00C82F74" w14:paraId="76055BF5" w14:textId="77777777" w:rsidTr="00C82F74">
        <w:tc>
          <w:tcPr>
            <w:tcW w:w="0" w:type="auto"/>
            <w:hideMark/>
          </w:tcPr>
          <w:p w14:paraId="72CEBD0E"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Challenge domain</w:t>
            </w:r>
          </w:p>
        </w:tc>
        <w:tc>
          <w:tcPr>
            <w:tcW w:w="0" w:type="auto"/>
            <w:hideMark/>
          </w:tcPr>
          <w:p w14:paraId="0037A5BF"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Description</w:t>
            </w:r>
          </w:p>
        </w:tc>
        <w:tc>
          <w:tcPr>
            <w:tcW w:w="0" w:type="auto"/>
            <w:hideMark/>
          </w:tcPr>
          <w:p w14:paraId="71DE33FA"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Implication for project performance</w:t>
            </w:r>
          </w:p>
        </w:tc>
        <w:tc>
          <w:tcPr>
            <w:tcW w:w="0" w:type="auto"/>
            <w:hideMark/>
          </w:tcPr>
          <w:p w14:paraId="747CE25F" w14:textId="77777777" w:rsidR="00C82F74" w:rsidRPr="00C82F74" w:rsidRDefault="00C82F74" w:rsidP="00992504">
            <w:pPr>
              <w:jc w:val="both"/>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Supporting references</w:t>
            </w:r>
          </w:p>
        </w:tc>
      </w:tr>
      <w:tr w:rsidR="00C82F74" w:rsidRPr="00C82F74" w14:paraId="49411372" w14:textId="77777777" w:rsidTr="00C82F74">
        <w:tc>
          <w:tcPr>
            <w:tcW w:w="0" w:type="auto"/>
            <w:hideMark/>
          </w:tcPr>
          <w:p w14:paraId="46A5B32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Corruption and patronage</w:t>
            </w:r>
          </w:p>
        </w:tc>
        <w:tc>
          <w:tcPr>
            <w:tcW w:w="0" w:type="auto"/>
            <w:hideMark/>
          </w:tcPr>
          <w:p w14:paraId="5DD791D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patronage networks and weak procurement oversight</w:t>
            </w:r>
          </w:p>
        </w:tc>
        <w:tc>
          <w:tcPr>
            <w:tcW w:w="0" w:type="auto"/>
            <w:hideMark/>
          </w:tcPr>
          <w:p w14:paraId="32031D2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Delayed and contested contract awards; inflated costs</w:t>
            </w:r>
          </w:p>
        </w:tc>
        <w:tc>
          <w:tcPr>
            <w:tcW w:w="0" w:type="auto"/>
            <w:hideMark/>
          </w:tcPr>
          <w:p w14:paraId="3C81590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D'Arcy &amp; Cornell (2016);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xml:space="preserve"> (2025)</w:t>
            </w:r>
          </w:p>
        </w:tc>
      </w:tr>
      <w:tr w:rsidR="00C82F74" w:rsidRPr="00C82F74" w14:paraId="180E999A" w14:textId="77777777" w:rsidTr="00C82F74">
        <w:tc>
          <w:tcPr>
            <w:tcW w:w="0" w:type="auto"/>
            <w:hideMark/>
          </w:tcPr>
          <w:p w14:paraId="6093D53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Professional and construction ethics</w:t>
            </w:r>
          </w:p>
        </w:tc>
        <w:tc>
          <w:tcPr>
            <w:tcW w:w="0" w:type="auto"/>
            <w:hideMark/>
          </w:tcPr>
          <w:p w14:paraId="22670F1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Inflated pricing, kickbacks, weak whistle-blower protection</w:t>
            </w:r>
          </w:p>
        </w:tc>
        <w:tc>
          <w:tcPr>
            <w:tcW w:w="0" w:type="auto"/>
            <w:hideMark/>
          </w:tcPr>
          <w:p w14:paraId="66BAF870"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Erosion of cost and quality performance despite formal codes</w:t>
            </w:r>
          </w:p>
        </w:tc>
        <w:tc>
          <w:tcPr>
            <w:tcW w:w="0" w:type="auto"/>
            <w:hideMark/>
          </w:tcPr>
          <w:p w14:paraId="2DD9D008"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Amoah &amp; Steyn (2023)</w:t>
            </w:r>
          </w:p>
        </w:tc>
      </w:tr>
      <w:tr w:rsidR="00C82F74" w:rsidRPr="00C82F74" w14:paraId="097CD40F" w14:textId="77777777" w:rsidTr="00C82F74">
        <w:tc>
          <w:tcPr>
            <w:tcW w:w="0" w:type="auto"/>
            <w:hideMark/>
          </w:tcPr>
          <w:p w14:paraId="0327627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Devolved implementation capacity</w:t>
            </w:r>
          </w:p>
        </w:tc>
        <w:tc>
          <w:tcPr>
            <w:tcW w:w="0" w:type="auto"/>
            <w:hideMark/>
          </w:tcPr>
          <w:p w14:paraId="18FA426F"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Uneven fiscal and technical capacity across counties</w:t>
            </w:r>
          </w:p>
        </w:tc>
        <w:tc>
          <w:tcPr>
            <w:tcW w:w="0" w:type="auto"/>
            <w:hideMark/>
          </w:tcPr>
          <w:p w14:paraId="53D35AD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Inconsistent application of planning, risk and monitoring practices</w:t>
            </w:r>
          </w:p>
        </w:tc>
        <w:tc>
          <w:tcPr>
            <w:tcW w:w="0" w:type="auto"/>
            <w:hideMark/>
          </w:tcPr>
          <w:p w14:paraId="6E4FE122"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D'Arcy &amp; Cornell (2016)</w:t>
            </w:r>
          </w:p>
        </w:tc>
      </w:tr>
      <w:tr w:rsidR="00C82F74" w:rsidRPr="00C82F74" w14:paraId="65EC6E93" w14:textId="77777777" w:rsidTr="00C82F74">
        <w:tc>
          <w:tcPr>
            <w:tcW w:w="0" w:type="auto"/>
            <w:hideMark/>
          </w:tcPr>
          <w:p w14:paraId="14DFFCEC"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financing and debt sustainability</w:t>
            </w:r>
          </w:p>
        </w:tc>
        <w:tc>
          <w:tcPr>
            <w:tcW w:w="0" w:type="auto"/>
            <w:hideMark/>
          </w:tcPr>
          <w:p w14:paraId="6FF6A96C"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Reliance on external borrowing amid fiscal constraint</w:t>
            </w:r>
          </w:p>
        </w:tc>
        <w:tc>
          <w:tcPr>
            <w:tcW w:w="0" w:type="auto"/>
            <w:hideMark/>
          </w:tcPr>
          <w:p w14:paraId="64CE7D35"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Payment delay, contractor cash-flow stress, schedule slippage</w:t>
            </w:r>
          </w:p>
        </w:tc>
        <w:tc>
          <w:tcPr>
            <w:tcW w:w="0" w:type="auto"/>
            <w:hideMark/>
          </w:tcPr>
          <w:p w14:paraId="60A6468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Kandie et al. (2025)</w:t>
            </w:r>
          </w:p>
        </w:tc>
      </w:tr>
      <w:tr w:rsidR="00C82F74" w:rsidRPr="00C82F74" w14:paraId="1CCA4497" w14:textId="77777777" w:rsidTr="00C82F74">
        <w:tc>
          <w:tcPr>
            <w:tcW w:w="0" w:type="auto"/>
            <w:hideMark/>
          </w:tcPr>
          <w:p w14:paraId="3A5AECD2"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Public investment management and land acquisition</w:t>
            </w:r>
          </w:p>
        </w:tc>
        <w:tc>
          <w:tcPr>
            <w:tcW w:w="0" w:type="auto"/>
            <w:hideMark/>
          </w:tcPr>
          <w:p w14:paraId="4D3C11F3"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Weak appraisal and resettlement processes</w:t>
            </w:r>
          </w:p>
        </w:tc>
        <w:tc>
          <w:tcPr>
            <w:tcW w:w="0" w:type="auto"/>
            <w:hideMark/>
          </w:tcPr>
          <w:p w14:paraId="14897311"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Structural delay preceding project implementation</w:t>
            </w:r>
          </w:p>
        </w:tc>
        <w:tc>
          <w:tcPr>
            <w:tcW w:w="0" w:type="auto"/>
            <w:hideMark/>
          </w:tcPr>
          <w:p w14:paraId="78101A34"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b/>
                <w:bCs/>
                <w:sz w:val="24"/>
                <w:szCs w:val="24"/>
                <w:lang w:eastAsia="en-GB"/>
              </w:rPr>
              <w:t xml:space="preserve">Briceño-Garmendia &amp; </w:t>
            </w:r>
            <w:proofErr w:type="spellStart"/>
            <w:r w:rsidRPr="00C82F74">
              <w:rPr>
                <w:rFonts w:ascii="Times New Roman" w:eastAsia="Times New Roman" w:hAnsi="Times New Roman" w:cs="Times New Roman"/>
                <w:b/>
                <w:bCs/>
                <w:sz w:val="24"/>
                <w:szCs w:val="24"/>
                <w:lang w:eastAsia="en-GB"/>
              </w:rPr>
              <w:t>Shkaratan</w:t>
            </w:r>
            <w:proofErr w:type="spellEnd"/>
            <w:r w:rsidRPr="00C82F74">
              <w:rPr>
                <w:rFonts w:ascii="Times New Roman" w:eastAsia="Times New Roman" w:hAnsi="Times New Roman" w:cs="Times New Roman"/>
                <w:b/>
                <w:bCs/>
                <w:sz w:val="24"/>
                <w:szCs w:val="24"/>
                <w:lang w:eastAsia="en-GB"/>
              </w:rPr>
              <w:t xml:space="preserve"> (2011)</w:t>
            </w:r>
          </w:p>
        </w:tc>
      </w:tr>
      <w:tr w:rsidR="00C82F74" w:rsidRPr="00C82F74" w14:paraId="76571E3C" w14:textId="77777777" w:rsidTr="00C82F74">
        <w:tc>
          <w:tcPr>
            <w:tcW w:w="0" w:type="auto"/>
            <w:hideMark/>
          </w:tcPr>
          <w:p w14:paraId="16B60689"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Climate misalignment</w:t>
            </w:r>
          </w:p>
        </w:tc>
        <w:tc>
          <w:tcPr>
            <w:tcW w:w="0" w:type="auto"/>
            <w:hideMark/>
          </w:tcPr>
          <w:p w14:paraId="602579A7"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Infrastructure appraisal not adjusted for climate risk</w:t>
            </w:r>
          </w:p>
        </w:tc>
        <w:tc>
          <w:tcPr>
            <w:tcW w:w="0" w:type="auto"/>
            <w:hideMark/>
          </w:tcPr>
          <w:p w14:paraId="18B8EB3D"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Long-term asset vulnerability despite short-term completion</w:t>
            </w:r>
          </w:p>
        </w:tc>
        <w:tc>
          <w:tcPr>
            <w:tcW w:w="0" w:type="auto"/>
            <w:hideMark/>
          </w:tcPr>
          <w:p w14:paraId="09254866" w14:textId="77777777" w:rsidR="00C82F74" w:rsidRPr="00C82F74" w:rsidRDefault="00C82F74" w:rsidP="00992504">
            <w:pPr>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International Monetary Fund (2024)</w:t>
            </w:r>
          </w:p>
        </w:tc>
      </w:tr>
    </w:tbl>
    <w:p w14:paraId="072FD1F2"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8. Emerging Trends and Cross-Cutting Considerations</w:t>
      </w:r>
    </w:p>
    <w:p w14:paraId="5095E4FD"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8.1 Digital Technologies</w:t>
      </w:r>
    </w:p>
    <w:p w14:paraId="217EA0F8"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Digital design and coordination technologies, particularly BIM, represent an emerging but still underexploited opportunity to strengthen Kenyan infrastructure project management. As documented in Section 4.7, adoption remains constrained by cost and the absence of policy mandates, yet the potential contribution of such tools to reducing design-stage errors and improving multi-stakeholder coordination suggests that digitalisation warrants closer integration with the risk management and stakeholder engagement practices already established in the literature, rather than treatment as a separate technical initiative.</w:t>
      </w:r>
    </w:p>
    <w:p w14:paraId="11F20285"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8.2 Climate Resilience and Environmental Sustainability</w:t>
      </w:r>
    </w:p>
    <w:p w14:paraId="0C57532E"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lastRenderedPageBreak/>
        <w:t>Environmental and climate considerations have moved from the periphery to the centre of infrastructure debate in Kenya, driven partly by the ecological consequences documented in SGR research, which identified ecosystem degradation, fragmentation and, in some locations, destruction along the rail corridor despite formal environmental and social impact assessment procedures (</w:t>
      </w:r>
      <w:proofErr w:type="spellStart"/>
      <w:r w:rsidRPr="00C82F74">
        <w:rPr>
          <w:rFonts w:ascii="Times New Roman" w:eastAsia="Times New Roman" w:hAnsi="Times New Roman" w:cs="Times New Roman"/>
          <w:sz w:val="24"/>
          <w:szCs w:val="24"/>
          <w:lang w:eastAsia="en-GB"/>
        </w:rPr>
        <w:t>Nyumba</w:t>
      </w:r>
      <w:proofErr w:type="spellEnd"/>
      <w:r w:rsidRPr="00C82F74">
        <w:rPr>
          <w:rFonts w:ascii="Times New Roman" w:eastAsia="Times New Roman" w:hAnsi="Times New Roman" w:cs="Times New Roman"/>
          <w:sz w:val="24"/>
          <w:szCs w:val="24"/>
          <w:lang w:eastAsia="en-GB"/>
        </w:rPr>
        <w:t xml:space="preserve"> et al., 2021). This experience, combined with IMF assessment indicating that public investment appraisal has not yet been systematically aligned with climate risk, points toward an emerging requirement for project management practice in Kenya to incorporate climate-adjusted planning and risk assessment as a standard rather than exceptional consideration (International Monetary Fund, 2024).</w:t>
      </w:r>
    </w:p>
    <w:p w14:paraId="0D1EBB4B" w14:textId="77777777" w:rsidR="00C82F74" w:rsidRPr="00C82F74" w:rsidRDefault="00C82F74" w:rsidP="00992504">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C82F74">
        <w:rPr>
          <w:rFonts w:ascii="Times New Roman" w:eastAsia="Times New Roman" w:hAnsi="Times New Roman" w:cs="Times New Roman"/>
          <w:b/>
          <w:bCs/>
          <w:sz w:val="24"/>
          <w:szCs w:val="24"/>
          <w:lang w:eastAsia="en-GB"/>
        </w:rPr>
        <w:t>8.3 Public–Private Partnerships</w:t>
      </w:r>
    </w:p>
    <w:p w14:paraId="6F03ECD5" w14:textId="46C1BD7A"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PPPs continue to expand as a financing and delivery mechanism for Kenyan infrastructure, offering a means of mobilising private capital and technical expertise while transferring specified risks to private partners. The evidence reviewed indicates that the success of such arrangements depends heavily on institutional-level conditions, including community acceptance, agency competence and clarity of contractual risk allocation, rather than on private financing alone, and that weaknesses in procurement governance can undermine the intended benefits of private-sector participation (Chileshe et al., 202</w:t>
      </w:r>
      <w:r w:rsidR="00F72ED0">
        <w:rPr>
          <w:rFonts w:ascii="Times New Roman" w:eastAsia="Times New Roman" w:hAnsi="Times New Roman" w:cs="Times New Roman"/>
          <w:sz w:val="24"/>
          <w:szCs w:val="24"/>
          <w:lang w:eastAsia="en-GB"/>
        </w:rPr>
        <w:t>2</w:t>
      </w:r>
      <w:r w:rsidRPr="00C82F74">
        <w:rPr>
          <w:rFonts w:ascii="Times New Roman" w:eastAsia="Times New Roman" w:hAnsi="Times New Roman" w:cs="Times New Roman"/>
          <w:sz w:val="24"/>
          <w:szCs w:val="24"/>
          <w:lang w:eastAsia="en-GB"/>
        </w:rPr>
        <w:t xml:space="preserve">; </w:t>
      </w:r>
      <w:proofErr w:type="spellStart"/>
      <w:r w:rsidRPr="00C82F74">
        <w:rPr>
          <w:rFonts w:ascii="Times New Roman" w:eastAsia="Times New Roman" w:hAnsi="Times New Roman" w:cs="Times New Roman"/>
          <w:sz w:val="24"/>
          <w:szCs w:val="24"/>
          <w:lang w:eastAsia="en-GB"/>
        </w:rPr>
        <w:t>Thiga</w:t>
      </w:r>
      <w:proofErr w:type="spellEnd"/>
      <w:r w:rsidRPr="00C82F74">
        <w:rPr>
          <w:rFonts w:ascii="Times New Roman" w:eastAsia="Times New Roman" w:hAnsi="Times New Roman" w:cs="Times New Roman"/>
          <w:sz w:val="24"/>
          <w:szCs w:val="24"/>
          <w:lang w:eastAsia="en-GB"/>
        </w:rPr>
        <w:t>, 2025). As Kenya's partnership pipeline grows, the interaction between this delivery model and the broader project management practice domains examined throughout this review, particularly procurement, stakeholder management and monitoring, is likely to become an increasingly important focus for both research and policy.</w:t>
      </w:r>
    </w:p>
    <w:p w14:paraId="04A19740"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9. Future Directions</w:t>
      </w:r>
    </w:p>
    <w:p w14:paraId="46342D12"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Future research on project management practices and infrastructure performance in Kenya would benefit from methodological approaches that move beyond the cross-sectional survey designs that currently dominate the literature. Longitudinal research tracking individual projects from planning through post-completion operation would allow researchers to observe how practices applied at different lifecycle stages interact cumulatively to shape final performance outcomes, addressing a limitation evident throughout the studies reviewed here. Comparative research explicitly designed to contrast performance across counties with differing fiscal and technical capacity would also help clarify how much of the variation currently attributed to project management practice is in fact attributable to institutional context, a distinction the existing literature has not yet disentangled with sufficient rigour.</w:t>
      </w:r>
    </w:p>
    <w:p w14:paraId="5AB1D591"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 xml:space="preserve">Further attention should be directed toward the integration of digital design and coordination technologies with established project management practice domains, examining not simply whether BIM and related tools are adopted, but how their adoption interacts with risk management, stakeholder engagement and monitoring processes to influence performance. Similarly, research explicitly linking climate risk assessment to project appraisal and design decisions would help translate the institutional-level diagnosis offered by recent public investment management assessment into project-level guidance applicable to specific sectors such as roads, water supply and energy transmission. Finally, given the consistent finding that institutional and governance conditions exert an influence on performance comparable to, or exceeding, project-level management competence, future research would benefit from theoretical frameworks that more explicitly model the interaction between political economy variables, such as devolved patronage dynamics and procurement governance, and </w:t>
      </w:r>
      <w:r w:rsidRPr="00C82F74">
        <w:rPr>
          <w:rFonts w:ascii="Times New Roman" w:eastAsia="Times New Roman" w:hAnsi="Times New Roman" w:cs="Times New Roman"/>
          <w:sz w:val="24"/>
          <w:szCs w:val="24"/>
          <w:lang w:eastAsia="en-GB"/>
        </w:rPr>
        <w:lastRenderedPageBreak/>
        <w:t>conventional project management constructs, rather than treating these as separate analytical domains.</w:t>
      </w:r>
    </w:p>
    <w:p w14:paraId="735B0732"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10. Conclusions</w:t>
      </w:r>
    </w:p>
    <w:p w14:paraId="062FFC1C" w14:textId="77777777" w:rsidR="00C82F74" w:rsidRP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review has synthesised the literature on project management practices and the performance of infrastructure projects in Kenya, situating the country's experience within a wider comparative evidence base drawn from sub-Saharan Africa and other developing regions. The evidence indicates that planning, risk management, stakeholder engagement, procurement, monitoring and evaluation, and resource and quality management practices are each individually associated with project performance outcomes, but that their influence is best understood cumulatively rather than in isolation, since weakness in one domain tends to compound vulnerabilities elsewhere in the project lifecycle. The review further establishes that institutional and political economy conditions, including devolved patronage dynamics, procurement governance and infrastructure financing constraints, exert an influence on performance that operates alongside, and at times overshadows, project-level management competence. Digitalisation, climate-resilient design and PPP arrangements emerge as increasingly consequential themes that remain comparatively underexplored relative to the more established practice domains of planning, risk and procurement. Taken together, the evidence suggests that improving infrastructure performance in Kenya will require attention to both project-level management capability and the broader institutional environment within which that capability is exercised, rather than reliance on either dimension alone.</w:t>
      </w:r>
    </w:p>
    <w:p w14:paraId="79E763DC"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11. Limitations</w:t>
      </w:r>
    </w:p>
    <w:p w14:paraId="3CEED6C6" w14:textId="77777777" w:rsidR="00C82F74" w:rsidRDefault="00C82F7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r w:rsidRPr="00C82F74">
        <w:rPr>
          <w:rFonts w:ascii="Times New Roman" w:eastAsia="Times New Roman" w:hAnsi="Times New Roman" w:cs="Times New Roman"/>
          <w:sz w:val="24"/>
          <w:szCs w:val="24"/>
          <w:lang w:eastAsia="en-GB"/>
        </w:rPr>
        <w:t>This review is subject to several limitations. As a narrative rather than systematic review, the selection and interpretation of studies, while guided by explicit criteria, retains an element of reviewer judgement that a fully systematic protocol would constrain more tightly. The literature synthesised here is dominated by cross-sectional survey research, much of it drawing on convenience samples of project participants in specific counties or sectors, which limits the extent to which findings can be generalised across the full diversity of Kenyan infrastructure delivery. Several studies included in the comparative evidence base are drawn from other African and developing-country contexts, and while these were selected for their conceptual and empirical relevance, institutional differences between Kenya and these comparator countries mean that findings cannot be assumed to transfer without qualification. Finally, the rapidly evolving character of Kenya's infrastructure financing and governance environment, including ongoing developments in PPP regulation and climate-adjusted public investment management, means that some of the institutional detail discussed in this review may be superseded by subsequent policy and regulatory change.</w:t>
      </w:r>
    </w:p>
    <w:p w14:paraId="31B23A7B" w14:textId="77777777" w:rsidR="003A1E08" w:rsidRDefault="003A1E08"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D7A3E47" w14:textId="77777777" w:rsidR="003A1E08" w:rsidRPr="000839CE" w:rsidRDefault="003A1E08" w:rsidP="00992504">
      <w:pPr>
        <w:spacing w:after="0" w:line="240" w:lineRule="auto"/>
        <w:jc w:val="both"/>
        <w:rPr>
          <w:rFonts w:ascii="Times New Roman" w:hAnsi="Times New Roman" w:cs="Times New Roman"/>
          <w:b/>
        </w:rPr>
      </w:pPr>
      <w:bookmarkStart w:id="0" w:name="_Hlk234486585"/>
      <w:bookmarkStart w:id="1" w:name="_Hlk234075571"/>
      <w:bookmarkStart w:id="2" w:name="_Hlk232755622"/>
      <w:r w:rsidRPr="000839CE">
        <w:rPr>
          <w:rFonts w:ascii="Times New Roman" w:hAnsi="Times New Roman" w:cs="Times New Roman"/>
          <w:b/>
        </w:rPr>
        <w:t>Declaration of AI Use</w:t>
      </w:r>
    </w:p>
    <w:p w14:paraId="75B3E91B" w14:textId="77777777" w:rsidR="003A1E08" w:rsidRPr="000839CE" w:rsidRDefault="003A1E08" w:rsidP="00992504">
      <w:pPr>
        <w:spacing w:after="0" w:line="240" w:lineRule="auto"/>
        <w:jc w:val="both"/>
        <w:rPr>
          <w:rFonts w:ascii="Times New Roman" w:hAnsi="Times New Roman" w:cs="Times New Roman"/>
        </w:rPr>
      </w:pPr>
      <w:bookmarkStart w:id="3" w:name="_Hlk234486575"/>
      <w:bookmarkEnd w:id="0"/>
    </w:p>
    <w:p w14:paraId="12029D4F" w14:textId="77777777" w:rsidR="003A1E08" w:rsidRPr="000839CE" w:rsidRDefault="003A1E08" w:rsidP="00992504">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C56790">
        <w:rPr>
          <w:rFonts w:ascii="Times New Roman" w:hAnsi="Times New Roman" w:cs="Times New Roman"/>
        </w:rPr>
        <w:lastRenderedPageBreak/>
        <w:t>revised, verified, 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095993C7" w14:textId="77777777" w:rsidR="003A1E08" w:rsidRPr="00C82F74" w:rsidRDefault="003A1E08"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66B18A7B" w14:textId="77777777" w:rsidR="00C82F74" w:rsidRPr="00C82F74" w:rsidRDefault="00C82F74" w:rsidP="00992504">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C82F74">
        <w:rPr>
          <w:rFonts w:ascii="Times New Roman" w:eastAsia="Times New Roman" w:hAnsi="Times New Roman" w:cs="Times New Roman"/>
          <w:b/>
          <w:bCs/>
          <w:sz w:val="27"/>
          <w:szCs w:val="27"/>
          <w:lang w:eastAsia="en-GB"/>
        </w:rPr>
        <w:t>References</w:t>
      </w:r>
    </w:p>
    <w:p w14:paraId="209D2C03" w14:textId="77777777" w:rsidR="00F72ED0" w:rsidRDefault="00F72ED0" w:rsidP="00F72ED0">
      <w:pPr>
        <w:pStyle w:val="pdq2pgselectionanchorcontainer"/>
      </w:pPr>
      <w:r>
        <w:t xml:space="preserve">Amoah, C., &amp; Steyn, D. (2023). Barriers to unethical and corrupt practices avoidance in the construction industry. </w:t>
      </w:r>
      <w:r>
        <w:rPr>
          <w:rStyle w:val="Emphasis"/>
        </w:rPr>
        <w:t>International Journal of Building Pathology and Adaptation, 41</w:t>
      </w:r>
      <w:r>
        <w:t xml:space="preserve">(6), 85–101. </w:t>
      </w:r>
      <w:hyperlink r:id="rId6" w:tgtFrame="_new" w:history="1">
        <w:r>
          <w:rPr>
            <w:rStyle w:val="Hyperlink"/>
          </w:rPr>
          <w:t>https://doi.org/10.1108/IJBPA-01-2022-0021</w:t>
        </w:r>
      </w:hyperlink>
    </w:p>
    <w:p w14:paraId="48AE4256" w14:textId="77777777" w:rsidR="00F72ED0" w:rsidRDefault="00F72ED0" w:rsidP="00F72ED0">
      <w:pPr>
        <w:pStyle w:val="NormalWeb"/>
      </w:pPr>
      <w:r>
        <w:t xml:space="preserve">Atkinson, R. (1999). Project management: Cost, time and quality, two best guesses and a phenomenon, it’s time to accept other success criteria. </w:t>
      </w:r>
      <w:r>
        <w:rPr>
          <w:rStyle w:val="Emphasis"/>
        </w:rPr>
        <w:t>International Journal of Project Management, 17</w:t>
      </w:r>
      <w:r>
        <w:t xml:space="preserve">(6), 337–342. </w:t>
      </w:r>
      <w:hyperlink r:id="rId7" w:tgtFrame="_new" w:history="1">
        <w:r>
          <w:rPr>
            <w:rStyle w:val="Hyperlink"/>
          </w:rPr>
          <w:t>https://doi.org/10.1016/S0263-7863(98)00069-6</w:t>
        </w:r>
      </w:hyperlink>
    </w:p>
    <w:p w14:paraId="6033AF83" w14:textId="77777777" w:rsidR="00F72ED0" w:rsidRDefault="00F72ED0" w:rsidP="00F72ED0">
      <w:pPr>
        <w:pStyle w:val="NormalWeb"/>
      </w:pPr>
      <w:r>
        <w:t xml:space="preserve">Briceño-Garmendia, C. M., &amp; </w:t>
      </w:r>
      <w:proofErr w:type="spellStart"/>
      <w:r>
        <w:t>Shkaratan</w:t>
      </w:r>
      <w:proofErr w:type="spellEnd"/>
      <w:r>
        <w:t xml:space="preserve">, M. (2011). </w:t>
      </w:r>
      <w:r>
        <w:rPr>
          <w:rStyle w:val="Emphasis"/>
        </w:rPr>
        <w:t>Kenya’s infrastructure: A continental perspective</w:t>
      </w:r>
      <w:r>
        <w:t xml:space="preserve"> (World Bank Policy Research Working Paper No. 5596). World Bank. </w:t>
      </w:r>
      <w:hyperlink r:id="rId8" w:tgtFrame="_new" w:history="1">
        <w:r>
          <w:rPr>
            <w:rStyle w:val="Hyperlink"/>
          </w:rPr>
          <w:t>https://doi.org/10.1596/1813-9450-5596</w:t>
        </w:r>
      </w:hyperlink>
    </w:p>
    <w:p w14:paraId="39E11F5D" w14:textId="77777777" w:rsidR="00F72ED0" w:rsidRDefault="00F72ED0" w:rsidP="00F72ED0">
      <w:pPr>
        <w:pStyle w:val="NormalWeb"/>
      </w:pPr>
      <w:r>
        <w:t xml:space="preserve">Chileshe, N., Njau, C. W., </w:t>
      </w:r>
      <w:proofErr w:type="spellStart"/>
      <w:r>
        <w:t>Kibichii</w:t>
      </w:r>
      <w:proofErr w:type="spellEnd"/>
      <w:r>
        <w:t xml:space="preserve">, B. K., Macharia, L. N., &amp; </w:t>
      </w:r>
      <w:proofErr w:type="spellStart"/>
      <w:r>
        <w:t>Kavishe</w:t>
      </w:r>
      <w:proofErr w:type="spellEnd"/>
      <w:r>
        <w:t xml:space="preserve">, N. (2022). Critical success factors for public–private partnership infrastructure and housing projects in Kenya. </w:t>
      </w:r>
      <w:r>
        <w:rPr>
          <w:rStyle w:val="Emphasis"/>
        </w:rPr>
        <w:t>International Journal of Construction Management, 22</w:t>
      </w:r>
      <w:r>
        <w:t xml:space="preserve">(9), 1606–1617. </w:t>
      </w:r>
      <w:hyperlink r:id="rId9" w:tgtFrame="_new" w:history="1">
        <w:r>
          <w:rPr>
            <w:rStyle w:val="Hyperlink"/>
          </w:rPr>
          <w:t>https://doi.org/10.1080/15623599.2020.1736835</w:t>
        </w:r>
      </w:hyperlink>
    </w:p>
    <w:p w14:paraId="336B9288" w14:textId="77777777" w:rsidR="00F72ED0" w:rsidRDefault="00F72ED0" w:rsidP="00F72ED0">
      <w:pPr>
        <w:pStyle w:val="NormalWeb"/>
      </w:pPr>
      <w:r>
        <w:t xml:space="preserve">Crawford, P., &amp; Bryce, P. (2003). Project monitoring and evaluation: A method for enhancing the efficiency and effectiveness of aid project implementation. </w:t>
      </w:r>
      <w:r>
        <w:rPr>
          <w:rStyle w:val="Emphasis"/>
        </w:rPr>
        <w:t>International Journal of Project Management, 21</w:t>
      </w:r>
      <w:r>
        <w:t xml:space="preserve">(5), 363–373. </w:t>
      </w:r>
      <w:hyperlink r:id="rId10" w:tgtFrame="_new" w:history="1">
        <w:r>
          <w:rPr>
            <w:rStyle w:val="Hyperlink"/>
          </w:rPr>
          <w:t>https://doi.org/10.1016/S0263-7863(02)00060-1</w:t>
        </w:r>
      </w:hyperlink>
    </w:p>
    <w:p w14:paraId="40E14193" w14:textId="77777777" w:rsidR="00F72ED0" w:rsidRDefault="00F72ED0" w:rsidP="00F72ED0">
      <w:pPr>
        <w:pStyle w:val="NormalWeb"/>
      </w:pPr>
      <w:proofErr w:type="spellStart"/>
      <w:r>
        <w:t>Damoah</w:t>
      </w:r>
      <w:proofErr w:type="spellEnd"/>
      <w:r>
        <w:t xml:space="preserve">, I. S., &amp; Kumi, D. K. (2018). Causes of government construction projects failure in an emerging economy: Evidence from Ghana. </w:t>
      </w:r>
      <w:r>
        <w:rPr>
          <w:rStyle w:val="Emphasis"/>
        </w:rPr>
        <w:t>International Journal of Managing Projects in Business, 11</w:t>
      </w:r>
      <w:r>
        <w:t xml:space="preserve">(3), 558–582. </w:t>
      </w:r>
      <w:hyperlink r:id="rId11" w:tgtFrame="_new" w:history="1">
        <w:r>
          <w:rPr>
            <w:rStyle w:val="Hyperlink"/>
          </w:rPr>
          <w:t>https://doi.org/10.1108/IJMPB-04-2017-0042</w:t>
        </w:r>
      </w:hyperlink>
    </w:p>
    <w:p w14:paraId="1C9D79E6" w14:textId="77777777" w:rsidR="00F72ED0" w:rsidRDefault="00F72ED0" w:rsidP="00F72ED0">
      <w:pPr>
        <w:pStyle w:val="NormalWeb"/>
      </w:pPr>
      <w:r>
        <w:t xml:space="preserve">D’Arcy, M., &amp; Cornell, A. (2016). Devolution and corruption in Kenya: Everyone’s turn to eat? </w:t>
      </w:r>
      <w:r>
        <w:rPr>
          <w:rStyle w:val="Emphasis"/>
        </w:rPr>
        <w:t>African Affairs, 115</w:t>
      </w:r>
      <w:r>
        <w:t xml:space="preserve">(459), 246–273. </w:t>
      </w:r>
      <w:hyperlink r:id="rId12" w:tgtFrame="_new" w:history="1">
        <w:r>
          <w:rPr>
            <w:rStyle w:val="Hyperlink"/>
          </w:rPr>
          <w:t>https://doi.org/10.1093/afraf/adw002</w:t>
        </w:r>
      </w:hyperlink>
    </w:p>
    <w:p w14:paraId="605A29B2" w14:textId="77777777" w:rsidR="00F72ED0" w:rsidRDefault="00F72ED0" w:rsidP="00F72ED0">
      <w:pPr>
        <w:pStyle w:val="NormalWeb"/>
      </w:pPr>
      <w:r>
        <w:t xml:space="preserve">Diallo, A., &amp; Thuillier, D. (2005). The success of international development projects, trust and communication: An African perspective. </w:t>
      </w:r>
      <w:r>
        <w:rPr>
          <w:rStyle w:val="Emphasis"/>
        </w:rPr>
        <w:t>International Journal of Project Management, 23</w:t>
      </w:r>
      <w:r>
        <w:t xml:space="preserve">(3), 237–252. </w:t>
      </w:r>
      <w:hyperlink r:id="rId13" w:tgtFrame="_new" w:history="1">
        <w:r>
          <w:rPr>
            <w:rStyle w:val="Hyperlink"/>
          </w:rPr>
          <w:t>https://doi.org/10.1016/j.ijproman.2004.10.002</w:t>
        </w:r>
      </w:hyperlink>
    </w:p>
    <w:p w14:paraId="7DFE73E4" w14:textId="77777777" w:rsidR="00F72ED0" w:rsidRDefault="00F72ED0" w:rsidP="00F72ED0">
      <w:pPr>
        <w:pStyle w:val="NormalWeb"/>
      </w:pPr>
      <w:r>
        <w:t xml:space="preserve">Frimpong, Y., </w:t>
      </w:r>
      <w:proofErr w:type="spellStart"/>
      <w:r>
        <w:t>Oluwoye</w:t>
      </w:r>
      <w:proofErr w:type="spellEnd"/>
      <w:r>
        <w:t xml:space="preserve">, J., &amp; Crawford, L. (2003). Causes of delay and cost overruns in construction of groundwater projects in a </w:t>
      </w:r>
      <w:proofErr w:type="gramStart"/>
      <w:r>
        <w:t>developing countries</w:t>
      </w:r>
      <w:proofErr w:type="gramEnd"/>
      <w:r>
        <w:t xml:space="preserve">; Ghana as a case study. </w:t>
      </w:r>
      <w:r>
        <w:rPr>
          <w:rStyle w:val="Emphasis"/>
        </w:rPr>
        <w:t>International Journal of Project Management, 21</w:t>
      </w:r>
      <w:r>
        <w:t xml:space="preserve">(5), 321–326. </w:t>
      </w:r>
      <w:hyperlink r:id="rId14" w:tgtFrame="_new" w:history="1">
        <w:r>
          <w:rPr>
            <w:rStyle w:val="Hyperlink"/>
          </w:rPr>
          <w:t>https://doi.org/10.1016/S0263-7863(02)00055-8</w:t>
        </w:r>
      </w:hyperlink>
    </w:p>
    <w:p w14:paraId="25B0F70D" w14:textId="77777777" w:rsidR="00F72ED0" w:rsidRDefault="00F72ED0" w:rsidP="00F72ED0">
      <w:pPr>
        <w:pStyle w:val="NormalWeb"/>
      </w:pPr>
      <w:r>
        <w:t xml:space="preserve">Ika, L. A. (2012). Project management for development in Africa: Why projects are failing and what can be done about it. </w:t>
      </w:r>
      <w:r>
        <w:rPr>
          <w:rStyle w:val="Emphasis"/>
        </w:rPr>
        <w:t>Project Management Journal, 43</w:t>
      </w:r>
      <w:r>
        <w:t xml:space="preserve">(4), 27–41. </w:t>
      </w:r>
      <w:hyperlink r:id="rId15" w:tgtFrame="_new" w:history="1">
        <w:r>
          <w:rPr>
            <w:rStyle w:val="Hyperlink"/>
          </w:rPr>
          <w:t>https://doi.org/10.1002/pmj.21281</w:t>
        </w:r>
      </w:hyperlink>
    </w:p>
    <w:p w14:paraId="11028611" w14:textId="77777777" w:rsidR="00F72ED0" w:rsidRDefault="00F72ED0" w:rsidP="00F72ED0">
      <w:pPr>
        <w:pStyle w:val="NormalWeb"/>
      </w:pPr>
      <w:r>
        <w:lastRenderedPageBreak/>
        <w:t xml:space="preserve">International Monetary Fund. (2024). </w:t>
      </w:r>
      <w:r>
        <w:rPr>
          <w:rStyle w:val="Emphasis"/>
        </w:rPr>
        <w:t>Kenya: Technical assistance report—Climate module of the public investment management assessment</w:t>
      </w:r>
      <w:r>
        <w:t xml:space="preserve"> (Technical Assistance Report No. 2024/009). </w:t>
      </w:r>
      <w:hyperlink r:id="rId16" w:tgtFrame="_new" w:history="1">
        <w:r>
          <w:rPr>
            <w:rStyle w:val="Hyperlink"/>
          </w:rPr>
          <w:t>https://doi.org/10.5089/9798400268342.019</w:t>
        </w:r>
      </w:hyperlink>
    </w:p>
    <w:p w14:paraId="28DDF393" w14:textId="77777777" w:rsidR="00F72ED0" w:rsidRDefault="00F72ED0" w:rsidP="00F72ED0">
      <w:pPr>
        <w:pStyle w:val="NormalWeb"/>
      </w:pPr>
      <w:proofErr w:type="spellStart"/>
      <w:r>
        <w:t>Kakw’u</w:t>
      </w:r>
      <w:proofErr w:type="spellEnd"/>
      <w:r>
        <w:t xml:space="preserve">, F. M., &amp; Sang, P. K. (2024). Project management strategies and performance of public private partnership road infrastructure projects in Nairobi City-County, Kenya. </w:t>
      </w:r>
      <w:r>
        <w:rPr>
          <w:rStyle w:val="Emphasis"/>
        </w:rPr>
        <w:t>Strategic Journal of Business &amp; Change Management, 11</w:t>
      </w:r>
      <w:r>
        <w:t xml:space="preserve">(1), 684–704. </w:t>
      </w:r>
      <w:hyperlink r:id="rId17" w:tgtFrame="_new" w:history="1">
        <w:r>
          <w:rPr>
            <w:rStyle w:val="Hyperlink"/>
          </w:rPr>
          <w:t>https://doi.org/10.61426/sjbcm.v11i1.2880</w:t>
        </w:r>
      </w:hyperlink>
    </w:p>
    <w:p w14:paraId="65D6071F" w14:textId="77777777" w:rsidR="00F72ED0" w:rsidRDefault="00F72ED0" w:rsidP="00F72ED0">
      <w:pPr>
        <w:pStyle w:val="NormalWeb"/>
      </w:pPr>
      <w:r>
        <w:t xml:space="preserve">Kandie, J., </w:t>
      </w:r>
      <w:proofErr w:type="spellStart"/>
      <w:r>
        <w:t>Baimwera</w:t>
      </w:r>
      <w:proofErr w:type="spellEnd"/>
      <w:r>
        <w:t xml:space="preserve">, B., &amp; Mutegi, D. (2025). The role of public finance in infrastructure financing for developing countries: The case for Kenya. </w:t>
      </w:r>
      <w:r>
        <w:rPr>
          <w:rStyle w:val="Emphasis"/>
        </w:rPr>
        <w:t>Strategic Journal of Business &amp; Change Management, 12</w:t>
      </w:r>
      <w:r>
        <w:t xml:space="preserve">(3), 376–393. </w:t>
      </w:r>
      <w:hyperlink r:id="rId18" w:tgtFrame="_new" w:history="1">
        <w:r>
          <w:rPr>
            <w:rStyle w:val="Hyperlink"/>
          </w:rPr>
          <w:t>https://doi.org/10.61426/sjbcm.v12i3.3334</w:t>
        </w:r>
      </w:hyperlink>
    </w:p>
    <w:p w14:paraId="5EDC1D5B" w14:textId="77777777" w:rsidR="00F72ED0" w:rsidRDefault="00F72ED0" w:rsidP="00F72ED0">
      <w:pPr>
        <w:pStyle w:val="NormalWeb"/>
      </w:pPr>
      <w:r>
        <w:t xml:space="preserve">Khan, A., Waris, M., Ismail, I., Sajid, M. R., Ullah, M., &amp; Usman, F. (2019a). Deficiencies in project governance: An analysis of infrastructure development program. </w:t>
      </w:r>
      <w:r>
        <w:rPr>
          <w:rStyle w:val="Emphasis"/>
        </w:rPr>
        <w:t>Administrative Sciences, 9</w:t>
      </w:r>
      <w:r>
        <w:t xml:space="preserve">(1), Article 9. </w:t>
      </w:r>
      <w:hyperlink r:id="rId19" w:tgtFrame="_new" w:history="1">
        <w:r>
          <w:rPr>
            <w:rStyle w:val="Hyperlink"/>
          </w:rPr>
          <w:t>https://doi.org/10.3390/admsci9010009</w:t>
        </w:r>
      </w:hyperlink>
    </w:p>
    <w:p w14:paraId="3D5F17E2" w14:textId="77777777" w:rsidR="00F72ED0" w:rsidRDefault="00F72ED0" w:rsidP="00F72ED0">
      <w:pPr>
        <w:pStyle w:val="NormalWeb"/>
      </w:pPr>
      <w:r>
        <w:t xml:space="preserve">Khan, A., Waris, M., Ismail, I., Sajid, M. R., Ali, Z., Ullah, M., &amp; Hussain, A. (2019b). Investigating the practices of project governance in public sector infrastructure program in Pakistan. </w:t>
      </w:r>
      <w:r>
        <w:rPr>
          <w:rStyle w:val="Emphasis"/>
        </w:rPr>
        <w:t>Advances in Civil Engineering, 2019</w:t>
      </w:r>
      <w:r>
        <w:t xml:space="preserve">, Article 7436592. </w:t>
      </w:r>
      <w:hyperlink r:id="rId20" w:tgtFrame="_new" w:history="1">
        <w:r>
          <w:rPr>
            <w:rStyle w:val="Hyperlink"/>
          </w:rPr>
          <w:t>https://doi.org/10.1155/2019/7436592</w:t>
        </w:r>
      </w:hyperlink>
    </w:p>
    <w:p w14:paraId="0423FB31" w14:textId="77777777" w:rsidR="00F72ED0" w:rsidRDefault="00F72ED0" w:rsidP="00F72ED0">
      <w:pPr>
        <w:pStyle w:val="NormalWeb"/>
      </w:pPr>
      <w:r>
        <w:t xml:space="preserve">Khan, A., Waris, M., Panigrahi, S., Sajid, M. R., &amp; Rana, F. (2021). Improving the performance of public sector infrastructure projects: Role of project governance and stakeholder management. </w:t>
      </w:r>
      <w:r>
        <w:rPr>
          <w:rStyle w:val="Emphasis"/>
        </w:rPr>
        <w:t>Journal of Management in Engineering, 37</w:t>
      </w:r>
      <w:r>
        <w:t xml:space="preserve">(2), Article 04020112. </w:t>
      </w:r>
      <w:hyperlink r:id="rId21" w:tgtFrame="_new" w:history="1">
        <w:r>
          <w:rPr>
            <w:rStyle w:val="Hyperlink"/>
          </w:rPr>
          <w:t>https://doi.org/10.1061/(ASCE)ME.1943-5479.0000886</w:t>
        </w:r>
      </w:hyperlink>
    </w:p>
    <w:p w14:paraId="73684237" w14:textId="77777777" w:rsidR="00F72ED0" w:rsidRDefault="00F72ED0" w:rsidP="00F72ED0">
      <w:pPr>
        <w:pStyle w:val="NormalWeb"/>
      </w:pPr>
      <w:r>
        <w:t xml:space="preserve">Kissi, E., Agyekum, K., Baiden, B. K., Tannor, R. A., Asamoah, G. E., &amp; Andam, E. T. (2019). Impact of project monitoring and evaluation practices on construction project success criteria in Ghana. </w:t>
      </w:r>
      <w:r>
        <w:rPr>
          <w:rStyle w:val="Emphasis"/>
        </w:rPr>
        <w:t>Built Environment Project and Asset Management, 9</w:t>
      </w:r>
      <w:r>
        <w:t xml:space="preserve">(3), 364–382. </w:t>
      </w:r>
      <w:hyperlink r:id="rId22" w:tgtFrame="_new" w:history="1">
        <w:r>
          <w:rPr>
            <w:rStyle w:val="Hyperlink"/>
          </w:rPr>
          <w:t>https://doi.org/10.1108/BEPAM-11-2018-0135</w:t>
        </w:r>
      </w:hyperlink>
    </w:p>
    <w:p w14:paraId="01C139C3" w14:textId="77777777" w:rsidR="00F72ED0" w:rsidRDefault="00F72ED0" w:rsidP="00F72ED0">
      <w:pPr>
        <w:pStyle w:val="NormalWeb"/>
      </w:pPr>
      <w:proofErr w:type="spellStart"/>
      <w:r>
        <w:t>Kululanga</w:t>
      </w:r>
      <w:proofErr w:type="spellEnd"/>
      <w:r>
        <w:t xml:space="preserve">, G., &amp; </w:t>
      </w:r>
      <w:proofErr w:type="spellStart"/>
      <w:r>
        <w:t>Kuotcha</w:t>
      </w:r>
      <w:proofErr w:type="spellEnd"/>
      <w:r>
        <w:t xml:space="preserve">, W. (2010). Measuring project risk management process for construction contractors with statement indicators linked to numerical scores. </w:t>
      </w:r>
      <w:r>
        <w:rPr>
          <w:rStyle w:val="Emphasis"/>
        </w:rPr>
        <w:t>Engineering, Construction and Architectural Management, 17</w:t>
      </w:r>
      <w:r>
        <w:t xml:space="preserve">(4), 336–351. </w:t>
      </w:r>
      <w:hyperlink r:id="rId23" w:tgtFrame="_new" w:history="1">
        <w:r>
          <w:rPr>
            <w:rStyle w:val="Hyperlink"/>
          </w:rPr>
          <w:t>https://doi.org/10.1108/09699981011056556</w:t>
        </w:r>
      </w:hyperlink>
    </w:p>
    <w:p w14:paraId="6CD19207" w14:textId="77777777" w:rsidR="00F72ED0" w:rsidRDefault="00F72ED0" w:rsidP="00F72ED0">
      <w:pPr>
        <w:pStyle w:val="NormalWeb"/>
      </w:pPr>
      <w:r>
        <w:t xml:space="preserve">Lindhard, S., &amp; Larsen, J. K. (2016). Identifying the key process factors affecting project performance. </w:t>
      </w:r>
      <w:r>
        <w:rPr>
          <w:rStyle w:val="Emphasis"/>
        </w:rPr>
        <w:t>Engineering, Construction and Architectural Management, 23</w:t>
      </w:r>
      <w:r>
        <w:t xml:space="preserve">(5), 657–673. </w:t>
      </w:r>
      <w:hyperlink r:id="rId24" w:tgtFrame="_new" w:history="1">
        <w:r>
          <w:rPr>
            <w:rStyle w:val="Hyperlink"/>
          </w:rPr>
          <w:t>https://doi.org/10.1108/ECAM-08-2015-0123</w:t>
        </w:r>
      </w:hyperlink>
    </w:p>
    <w:p w14:paraId="3EDC0C7C" w14:textId="77777777" w:rsidR="00F72ED0" w:rsidRDefault="00F72ED0" w:rsidP="00F72ED0">
      <w:pPr>
        <w:pStyle w:val="NormalWeb"/>
      </w:pPr>
      <w:proofErr w:type="spellStart"/>
      <w:r>
        <w:t>Mahamid</w:t>
      </w:r>
      <w:proofErr w:type="spellEnd"/>
      <w:r>
        <w:t xml:space="preserve">, I. (2011). Risk matrix for factors affecting time delay in road construction projects: Owners’ perspective. </w:t>
      </w:r>
      <w:r>
        <w:rPr>
          <w:rStyle w:val="Emphasis"/>
        </w:rPr>
        <w:t>Engineering, Construction and Architectural Management, 18</w:t>
      </w:r>
      <w:r>
        <w:t xml:space="preserve">(6), 609–617. </w:t>
      </w:r>
      <w:hyperlink r:id="rId25" w:tgtFrame="_new" w:history="1">
        <w:r>
          <w:rPr>
            <w:rStyle w:val="Hyperlink"/>
          </w:rPr>
          <w:t>https://doi.org/10.1108/09699981111180917</w:t>
        </w:r>
      </w:hyperlink>
    </w:p>
    <w:p w14:paraId="1AD7B7DB" w14:textId="77777777" w:rsidR="00F72ED0" w:rsidRDefault="00F72ED0" w:rsidP="00F72ED0">
      <w:pPr>
        <w:pStyle w:val="NormalWeb"/>
      </w:pPr>
      <w:r>
        <w:t xml:space="preserve">Nasila, M., &amp; Cloete, C. (2018). Adoption of building information modelling in the construction industry in Kenya. </w:t>
      </w:r>
      <w:r>
        <w:rPr>
          <w:rStyle w:val="Emphasis"/>
        </w:rPr>
        <w:t xml:space="preserve">Acta </w:t>
      </w:r>
      <w:proofErr w:type="spellStart"/>
      <w:r>
        <w:rPr>
          <w:rStyle w:val="Emphasis"/>
        </w:rPr>
        <w:t>Structilia</w:t>
      </w:r>
      <w:proofErr w:type="spellEnd"/>
      <w:r>
        <w:rPr>
          <w:rStyle w:val="Emphasis"/>
        </w:rPr>
        <w:t>, 25</w:t>
      </w:r>
      <w:r>
        <w:t xml:space="preserve">(2), 1–38. </w:t>
      </w:r>
      <w:hyperlink r:id="rId26" w:tgtFrame="_new" w:history="1">
        <w:r>
          <w:rPr>
            <w:rStyle w:val="Hyperlink"/>
          </w:rPr>
          <w:t>https://doi.org/10.18820/24150487/as25i2.1</w:t>
        </w:r>
      </w:hyperlink>
    </w:p>
    <w:p w14:paraId="60B518FC" w14:textId="77777777" w:rsidR="00F72ED0" w:rsidRDefault="00F72ED0" w:rsidP="00F72ED0">
      <w:pPr>
        <w:pStyle w:val="NormalWeb"/>
      </w:pPr>
      <w:proofErr w:type="spellStart"/>
      <w:r>
        <w:lastRenderedPageBreak/>
        <w:t>Nyumba</w:t>
      </w:r>
      <w:proofErr w:type="spellEnd"/>
      <w:r>
        <w:t xml:space="preserve">, T. O., Sang, C. C., Olago, D. O., Marchant, R., </w:t>
      </w:r>
      <w:proofErr w:type="spellStart"/>
      <w:r>
        <w:t>Waruingi</w:t>
      </w:r>
      <w:proofErr w:type="spellEnd"/>
      <w:r>
        <w:t xml:space="preserve">, L., </w:t>
      </w:r>
      <w:proofErr w:type="spellStart"/>
      <w:r>
        <w:t>Githiora</w:t>
      </w:r>
      <w:proofErr w:type="spellEnd"/>
      <w:r>
        <w:t xml:space="preserve">, Y., Kago, F., Mwangi, M., </w:t>
      </w:r>
      <w:proofErr w:type="spellStart"/>
      <w:r>
        <w:t>Owira</w:t>
      </w:r>
      <w:proofErr w:type="spellEnd"/>
      <w:r>
        <w:t xml:space="preserve">, G., Barasa, R., </w:t>
      </w:r>
      <w:proofErr w:type="spellStart"/>
      <w:r>
        <w:t>Omangi</w:t>
      </w:r>
      <w:proofErr w:type="spellEnd"/>
      <w:r>
        <w:t xml:space="preserve">, S., &amp; </w:t>
      </w:r>
      <w:proofErr w:type="spellStart"/>
      <w:r>
        <w:t>Lötters</w:t>
      </w:r>
      <w:proofErr w:type="spellEnd"/>
      <w:r>
        <w:t xml:space="preserve">, S. (2021). Assessing the ecological impacts of transportation infrastructure development: A reconnaissance study of the Standard Gauge Railway in Kenya. </w:t>
      </w:r>
      <w:r>
        <w:rPr>
          <w:rStyle w:val="Emphasis"/>
        </w:rPr>
        <w:t>PLOS ONE, 16</w:t>
      </w:r>
      <w:r>
        <w:t xml:space="preserve">(1), Article e0246248. </w:t>
      </w:r>
      <w:hyperlink r:id="rId27" w:tgtFrame="_new" w:history="1">
        <w:r>
          <w:rPr>
            <w:rStyle w:val="Hyperlink"/>
          </w:rPr>
          <w:t>https://doi.org/10.1371/journal.pone.0246248</w:t>
        </w:r>
      </w:hyperlink>
    </w:p>
    <w:p w14:paraId="1E8C5FE1" w14:textId="77777777" w:rsidR="00F72ED0" w:rsidRDefault="00F72ED0" w:rsidP="00F72ED0">
      <w:pPr>
        <w:pStyle w:val="NormalWeb"/>
      </w:pPr>
      <w:r>
        <w:t xml:space="preserve">Olander, S. (2007). Stakeholder impact analysis in construction project management. </w:t>
      </w:r>
      <w:r>
        <w:rPr>
          <w:rStyle w:val="Emphasis"/>
        </w:rPr>
        <w:t>Construction Management and Economics, 25</w:t>
      </w:r>
      <w:r>
        <w:t xml:space="preserve">(3), 277–287. </w:t>
      </w:r>
      <w:hyperlink r:id="rId28" w:tgtFrame="_new" w:history="1">
        <w:r>
          <w:rPr>
            <w:rStyle w:val="Hyperlink"/>
          </w:rPr>
          <w:t>https://doi.org/10.1080/01446190600879125</w:t>
        </w:r>
      </w:hyperlink>
    </w:p>
    <w:p w14:paraId="0A46F689" w14:textId="77777777" w:rsidR="00F72ED0" w:rsidRDefault="00F72ED0" w:rsidP="00F72ED0">
      <w:pPr>
        <w:pStyle w:val="NormalWeb"/>
      </w:pPr>
      <w:proofErr w:type="spellStart"/>
      <w:r>
        <w:t>Oyuga</w:t>
      </w:r>
      <w:proofErr w:type="spellEnd"/>
      <w:r>
        <w:t xml:space="preserve">, J. O., </w:t>
      </w:r>
      <w:proofErr w:type="spellStart"/>
      <w:r>
        <w:t>Gwaya</w:t>
      </w:r>
      <w:proofErr w:type="spellEnd"/>
      <w:r>
        <w:t xml:space="preserve">, A., &amp; Njuguna, M. (2021). Kenyan government involvement on BIM and its effect on BIM adoption amongst building contractors. </w:t>
      </w:r>
      <w:r>
        <w:rPr>
          <w:rStyle w:val="Emphasis"/>
        </w:rPr>
        <w:t>East African Journal of Engineering, 3</w:t>
      </w:r>
      <w:r>
        <w:t xml:space="preserve">(1), 99–113. </w:t>
      </w:r>
      <w:hyperlink r:id="rId29" w:tgtFrame="_new" w:history="1">
        <w:r>
          <w:rPr>
            <w:rStyle w:val="Hyperlink"/>
          </w:rPr>
          <w:t>https://doi.org/10.37284/eaje.3.1.414</w:t>
        </w:r>
      </w:hyperlink>
    </w:p>
    <w:p w14:paraId="5F6C974C" w14:textId="77777777" w:rsidR="00F72ED0" w:rsidRDefault="00F72ED0" w:rsidP="00F72ED0">
      <w:pPr>
        <w:pStyle w:val="NormalWeb"/>
      </w:pPr>
      <w:r>
        <w:t xml:space="preserve">Project Management Institute. (2021). </w:t>
      </w:r>
      <w:r>
        <w:rPr>
          <w:rStyle w:val="Emphasis"/>
        </w:rPr>
        <w:t>A guide to the project management body of knowledge (PMBOK® guide) and the standard for project management</w:t>
      </w:r>
      <w:r>
        <w:t xml:space="preserve"> (7th ed.). </w:t>
      </w:r>
      <w:hyperlink r:id="rId30" w:tgtFrame="_new" w:history="1">
        <w:r>
          <w:rPr>
            <w:rStyle w:val="Hyperlink"/>
          </w:rPr>
          <w:t>https://www.pmi.org/-/media/pmi/documents/public/pdf/pmbok-standards/pmbok-guide-public-faqs-1-july-2021.pdf</w:t>
        </w:r>
      </w:hyperlink>
    </w:p>
    <w:p w14:paraId="63F51AEB" w14:textId="77777777" w:rsidR="00F72ED0" w:rsidRDefault="00F72ED0" w:rsidP="00F72ED0">
      <w:pPr>
        <w:pStyle w:val="NormalWeb"/>
      </w:pPr>
      <w:r>
        <w:t xml:space="preserve">Reja, V. K., Sindhu Pradeep, M., &amp; Varghese, K. (2024). Digital twins for construction project management (DT-CPM): Applications and future research directions. </w:t>
      </w:r>
      <w:r>
        <w:rPr>
          <w:rStyle w:val="Emphasis"/>
        </w:rPr>
        <w:t>Journal of The Institution of Engineers (India): Series A, 105</w:t>
      </w:r>
      <w:r>
        <w:t xml:space="preserve">(3), 793–807. </w:t>
      </w:r>
      <w:hyperlink r:id="rId31" w:tgtFrame="_new" w:history="1">
        <w:r>
          <w:rPr>
            <w:rStyle w:val="Hyperlink"/>
          </w:rPr>
          <w:t>https://doi.org/10.1007/s40030-024-00810-8</w:t>
        </w:r>
      </w:hyperlink>
    </w:p>
    <w:p w14:paraId="4D16A12E" w14:textId="77777777" w:rsidR="00F72ED0" w:rsidRDefault="00F72ED0" w:rsidP="00F72ED0">
      <w:pPr>
        <w:pStyle w:val="NormalWeb"/>
      </w:pPr>
      <w:r>
        <w:t xml:space="preserve">Snyder, H. (2019). Literature review as a research methodology: An overview and guidelines. </w:t>
      </w:r>
      <w:r>
        <w:rPr>
          <w:rStyle w:val="Emphasis"/>
        </w:rPr>
        <w:t>Journal of Business Research, 104</w:t>
      </w:r>
      <w:r>
        <w:t xml:space="preserve">, 333–339. </w:t>
      </w:r>
      <w:hyperlink r:id="rId32" w:tgtFrame="_new" w:history="1">
        <w:r>
          <w:rPr>
            <w:rStyle w:val="Hyperlink"/>
          </w:rPr>
          <w:t>https://doi.org/10.1016/j.jbusres.2019.07.039</w:t>
        </w:r>
      </w:hyperlink>
    </w:p>
    <w:p w14:paraId="78324C8E" w14:textId="77777777" w:rsidR="00F72ED0" w:rsidRDefault="00F72ED0" w:rsidP="00F72ED0">
      <w:pPr>
        <w:pStyle w:val="NormalWeb"/>
      </w:pPr>
      <w:proofErr w:type="spellStart"/>
      <w:r>
        <w:t>Thiga</w:t>
      </w:r>
      <w:proofErr w:type="spellEnd"/>
      <w:r>
        <w:t xml:space="preserve">, H. K. (2025). Exploring the misuse of public-private partnerships in Kenya’s public procurement: A study of governance, accountability, and implementation challenges. </w:t>
      </w:r>
      <w:r>
        <w:rPr>
          <w:rStyle w:val="Emphasis"/>
        </w:rPr>
        <w:t>Journal of Public Policy and Administration, 10</w:t>
      </w:r>
      <w:r>
        <w:t xml:space="preserve">(1), 63–77. </w:t>
      </w:r>
      <w:hyperlink r:id="rId33" w:tgtFrame="_new" w:history="1">
        <w:r>
          <w:rPr>
            <w:rStyle w:val="Hyperlink"/>
          </w:rPr>
          <w:t>https://doi.org/10.47604/jppa.3332</w:t>
        </w:r>
      </w:hyperlink>
    </w:p>
    <w:p w14:paraId="3CAFE48A" w14:textId="77777777" w:rsidR="00F72ED0" w:rsidRDefault="00F72ED0" w:rsidP="00F72ED0">
      <w:pPr>
        <w:pStyle w:val="NormalWeb"/>
      </w:pPr>
      <w:r>
        <w:t xml:space="preserve">Waris, M., Khan, A., Abideen, A. Z., </w:t>
      </w:r>
      <w:proofErr w:type="spellStart"/>
      <w:r>
        <w:t>Sorooshian</w:t>
      </w:r>
      <w:proofErr w:type="spellEnd"/>
      <w:r>
        <w:t xml:space="preserve">, S., &amp; Ullah, M. (2022). Stakeholder management in public sector infrastructure projects. </w:t>
      </w:r>
      <w:r>
        <w:rPr>
          <w:rStyle w:val="Emphasis"/>
        </w:rPr>
        <w:t>Journal of Engineering, Project, and Production Management, 12</w:t>
      </w:r>
      <w:r>
        <w:t xml:space="preserve">(3), 188–201. </w:t>
      </w:r>
      <w:hyperlink r:id="rId34" w:tgtFrame="_new" w:history="1">
        <w:r>
          <w:rPr>
            <w:rStyle w:val="Hyperlink"/>
          </w:rPr>
          <w:t>https://doi.org/10.32738/JEPPM-2022-0017</w:t>
        </w:r>
      </w:hyperlink>
    </w:p>
    <w:p w14:paraId="42DF4CD6" w14:textId="77777777" w:rsidR="00F72ED0" w:rsidRDefault="00F72ED0" w:rsidP="00F72ED0">
      <w:pPr>
        <w:pStyle w:val="NormalWeb"/>
      </w:pPr>
      <w:r>
        <w:t xml:space="preserve">Zhang, S., Tang, Y., Zou, Y., Yang, H., Chen, Y., &amp; Liang, J. (2024). Optimization of architectural design and construction with integrated BIM and PLM methodologies. </w:t>
      </w:r>
      <w:r>
        <w:rPr>
          <w:rStyle w:val="Emphasis"/>
        </w:rPr>
        <w:t>Scientific Reports, 14</w:t>
      </w:r>
      <w:r>
        <w:t xml:space="preserve">, Article 26153. </w:t>
      </w:r>
      <w:hyperlink r:id="rId35" w:tgtFrame="_new" w:history="1">
        <w:r>
          <w:rPr>
            <w:rStyle w:val="Hyperlink"/>
          </w:rPr>
          <w:t>https://doi.org/10.1038/s41598-024-75940-x</w:t>
        </w:r>
      </w:hyperlink>
    </w:p>
    <w:p w14:paraId="0B938B42" w14:textId="77777777" w:rsidR="00F72ED0" w:rsidRDefault="00F72ED0" w:rsidP="00F72ED0">
      <w:pPr>
        <w:pStyle w:val="NormalWeb"/>
      </w:pPr>
      <w:r>
        <w:t xml:space="preserve">Zhu, K., Mwangi, B., &amp; Hu, L. (2023). Socio-economic impact of China’s infrastructure-led growth model in Africa: A case study of the Kenyan Standard Gauge Railway. </w:t>
      </w:r>
      <w:r>
        <w:rPr>
          <w:rStyle w:val="Emphasis"/>
        </w:rPr>
        <w:t>Journal of International Development, 35</w:t>
      </w:r>
      <w:r>
        <w:t xml:space="preserve">(4), 614–638. </w:t>
      </w:r>
      <w:hyperlink r:id="rId36" w:tgtFrame="_new" w:history="1">
        <w:r>
          <w:rPr>
            <w:rStyle w:val="Hyperlink"/>
          </w:rPr>
          <w:t>https://doi.org/10.1002/jid.3684</w:t>
        </w:r>
      </w:hyperlink>
    </w:p>
    <w:p w14:paraId="71E99517" w14:textId="77777777" w:rsidR="00992504" w:rsidRPr="00C82F74" w:rsidRDefault="00992504" w:rsidP="00992504">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4A09FAAF" w14:textId="77777777" w:rsidR="004841B3" w:rsidRDefault="004841B3" w:rsidP="00992504">
      <w:pPr>
        <w:jc w:val="both"/>
      </w:pPr>
    </w:p>
    <w:sectPr w:rsidR="004841B3" w:rsidSect="004841B3">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289D" w14:textId="77777777" w:rsidR="005F6E40" w:rsidRDefault="005F6E40" w:rsidP="00D86CB6">
      <w:pPr>
        <w:spacing w:after="0" w:line="240" w:lineRule="auto"/>
      </w:pPr>
      <w:r>
        <w:separator/>
      </w:r>
    </w:p>
  </w:endnote>
  <w:endnote w:type="continuationSeparator" w:id="0">
    <w:p w14:paraId="11CF924B" w14:textId="77777777" w:rsidR="005F6E40" w:rsidRDefault="005F6E40" w:rsidP="00D86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EA20" w14:textId="77777777" w:rsidR="00D86CB6" w:rsidRDefault="00D86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6D7B5" w14:textId="77777777" w:rsidR="00D86CB6" w:rsidRDefault="00D86C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FE12" w14:textId="77777777" w:rsidR="00D86CB6" w:rsidRDefault="00D86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B112" w14:textId="77777777" w:rsidR="005F6E40" w:rsidRDefault="005F6E40" w:rsidP="00D86CB6">
      <w:pPr>
        <w:spacing w:after="0" w:line="240" w:lineRule="auto"/>
      </w:pPr>
      <w:r>
        <w:separator/>
      </w:r>
    </w:p>
  </w:footnote>
  <w:footnote w:type="continuationSeparator" w:id="0">
    <w:p w14:paraId="45BC9799" w14:textId="77777777" w:rsidR="005F6E40" w:rsidRDefault="005F6E40" w:rsidP="00D86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7688" w14:textId="77777777" w:rsidR="00D86CB6" w:rsidRDefault="00000000">
    <w:pPr>
      <w:pStyle w:val="Header"/>
    </w:pPr>
    <w:r>
      <w:rPr>
        <w:noProof/>
      </w:rPr>
      <w:pict w14:anchorId="04A4B8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D637" w14:textId="77777777" w:rsidR="00D86CB6" w:rsidRDefault="00000000">
    <w:pPr>
      <w:pStyle w:val="Header"/>
    </w:pPr>
    <w:r>
      <w:rPr>
        <w:noProof/>
      </w:rPr>
      <w:pict w14:anchorId="533A6D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742B" w14:textId="77777777" w:rsidR="00D86CB6" w:rsidRDefault="00000000">
    <w:pPr>
      <w:pStyle w:val="Header"/>
    </w:pPr>
    <w:r>
      <w:rPr>
        <w:noProof/>
      </w:rPr>
      <w:pict w14:anchorId="57F4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5323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sjS0sDA1NTA2NTAzMDdT0lEKTi0uzszPAykwrAUAVOEVWywAAAA="/>
  </w:docVars>
  <w:rsids>
    <w:rsidRoot w:val="00A12DC4"/>
    <w:rsid w:val="00345F3B"/>
    <w:rsid w:val="00374BE4"/>
    <w:rsid w:val="00384B45"/>
    <w:rsid w:val="003A1E08"/>
    <w:rsid w:val="004841B3"/>
    <w:rsid w:val="005F6E40"/>
    <w:rsid w:val="00726B43"/>
    <w:rsid w:val="00824882"/>
    <w:rsid w:val="0084610A"/>
    <w:rsid w:val="008E5B6E"/>
    <w:rsid w:val="008E71EE"/>
    <w:rsid w:val="00992504"/>
    <w:rsid w:val="00A12DC4"/>
    <w:rsid w:val="00C82F74"/>
    <w:rsid w:val="00CB3C7A"/>
    <w:rsid w:val="00D23A17"/>
    <w:rsid w:val="00D86CB6"/>
    <w:rsid w:val="00F72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EF75"/>
  <w15:chartTrackingRefBased/>
  <w15:docId w15:val="{2ACCA637-6B83-4C59-A5A1-00E570D0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next w:val="Normal"/>
    <w:link w:val="Heading1Char"/>
    <w:uiPriority w:val="9"/>
    <w:qFormat/>
    <w:rsid w:val="00A12D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12D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12DC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2DC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12DC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12D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A12DC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12DC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12DC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2DC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12DC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12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DC4"/>
    <w:rPr>
      <w:rFonts w:eastAsiaTheme="majorEastAsia" w:cstheme="majorBidi"/>
      <w:color w:val="272727" w:themeColor="text1" w:themeTint="D8"/>
    </w:rPr>
  </w:style>
  <w:style w:type="paragraph" w:styleId="Title">
    <w:name w:val="Title"/>
    <w:basedOn w:val="Normal"/>
    <w:next w:val="Normal"/>
    <w:link w:val="TitleChar"/>
    <w:uiPriority w:val="10"/>
    <w:qFormat/>
    <w:rsid w:val="00A12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DC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D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2DC4"/>
    <w:rPr>
      <w:i/>
      <w:iCs/>
      <w:color w:val="404040" w:themeColor="text1" w:themeTint="BF"/>
    </w:rPr>
  </w:style>
  <w:style w:type="paragraph" w:styleId="ListParagraph">
    <w:name w:val="List Paragraph"/>
    <w:basedOn w:val="Normal"/>
    <w:uiPriority w:val="34"/>
    <w:qFormat/>
    <w:rsid w:val="00A12DC4"/>
    <w:pPr>
      <w:ind w:left="720"/>
      <w:contextualSpacing/>
    </w:pPr>
  </w:style>
  <w:style w:type="character" w:styleId="IntenseEmphasis">
    <w:name w:val="Intense Emphasis"/>
    <w:basedOn w:val="DefaultParagraphFont"/>
    <w:uiPriority w:val="21"/>
    <w:qFormat/>
    <w:rsid w:val="00A12DC4"/>
    <w:rPr>
      <w:i/>
      <w:iCs/>
      <w:color w:val="365F91" w:themeColor="accent1" w:themeShade="BF"/>
    </w:rPr>
  </w:style>
  <w:style w:type="paragraph" w:styleId="IntenseQuote">
    <w:name w:val="Intense Quote"/>
    <w:basedOn w:val="Normal"/>
    <w:next w:val="Normal"/>
    <w:link w:val="IntenseQuoteChar"/>
    <w:uiPriority w:val="30"/>
    <w:qFormat/>
    <w:rsid w:val="00A12D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2DC4"/>
    <w:rPr>
      <w:i/>
      <w:iCs/>
      <w:color w:val="365F91" w:themeColor="accent1" w:themeShade="BF"/>
    </w:rPr>
  </w:style>
  <w:style w:type="character" w:styleId="IntenseReference">
    <w:name w:val="Intense Reference"/>
    <w:basedOn w:val="DefaultParagraphFont"/>
    <w:uiPriority w:val="32"/>
    <w:qFormat/>
    <w:rsid w:val="00A12DC4"/>
    <w:rPr>
      <w:b/>
      <w:bCs/>
      <w:smallCaps/>
      <w:color w:val="365F91" w:themeColor="accent1" w:themeShade="BF"/>
      <w:spacing w:val="5"/>
    </w:rPr>
  </w:style>
  <w:style w:type="table" w:styleId="TableGrid">
    <w:name w:val="Table Grid"/>
    <w:basedOn w:val="TableNormal"/>
    <w:uiPriority w:val="59"/>
    <w:rsid w:val="00C8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CB6"/>
  </w:style>
  <w:style w:type="paragraph" w:styleId="Footer">
    <w:name w:val="footer"/>
    <w:basedOn w:val="Normal"/>
    <w:link w:val="FooterChar"/>
    <w:uiPriority w:val="99"/>
    <w:unhideWhenUsed/>
    <w:rsid w:val="00D86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CB6"/>
  </w:style>
  <w:style w:type="paragraph" w:customStyle="1" w:styleId="pdq2pgselectionanchorcontainer">
    <w:name w:val="pdq2pg_selectionanchorcontainer"/>
    <w:basedOn w:val="Normal"/>
    <w:rsid w:val="00F72E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72ED0"/>
    <w:rPr>
      <w:i/>
      <w:iCs/>
    </w:rPr>
  </w:style>
  <w:style w:type="character" w:styleId="Hyperlink">
    <w:name w:val="Hyperlink"/>
    <w:basedOn w:val="DefaultParagraphFont"/>
    <w:uiPriority w:val="99"/>
    <w:semiHidden/>
    <w:unhideWhenUsed/>
    <w:rsid w:val="00F72ED0"/>
    <w:rPr>
      <w:color w:val="0000FF"/>
      <w:u w:val="single"/>
    </w:rPr>
  </w:style>
  <w:style w:type="paragraph" w:styleId="NormalWeb">
    <w:name w:val="Normal (Web)"/>
    <w:basedOn w:val="Normal"/>
    <w:uiPriority w:val="99"/>
    <w:semiHidden/>
    <w:unhideWhenUsed/>
    <w:rsid w:val="00F72E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72E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jproman.2004.10.002" TargetMode="External"/><Relationship Id="rId18" Type="http://schemas.openxmlformats.org/officeDocument/2006/relationships/hyperlink" Target="https://doi.org/10.61426/sjbcm.v12i3.3334" TargetMode="External"/><Relationship Id="rId26" Type="http://schemas.openxmlformats.org/officeDocument/2006/relationships/hyperlink" Target="https://doi.org/10.18820/24150487/as25i2.1" TargetMode="External"/><Relationship Id="rId39" Type="http://schemas.openxmlformats.org/officeDocument/2006/relationships/footer" Target="footer1.xml"/><Relationship Id="rId21" Type="http://schemas.openxmlformats.org/officeDocument/2006/relationships/hyperlink" Target="https://doi.org/10.1061/(ASCE)ME.1943-5479.0000886" TargetMode="External"/><Relationship Id="rId34" Type="http://schemas.openxmlformats.org/officeDocument/2006/relationships/hyperlink" Target="https://doi.org/10.32738/JEPPM-2022-0017" TargetMode="External"/><Relationship Id="rId42" Type="http://schemas.openxmlformats.org/officeDocument/2006/relationships/footer" Target="footer3.xml"/><Relationship Id="rId7" Type="http://schemas.openxmlformats.org/officeDocument/2006/relationships/hyperlink" Target="https://doi.org/10.1016/S0263-7863(98)00069-6" TargetMode="External"/><Relationship Id="rId2" Type="http://schemas.openxmlformats.org/officeDocument/2006/relationships/settings" Target="settings.xml"/><Relationship Id="rId16" Type="http://schemas.openxmlformats.org/officeDocument/2006/relationships/hyperlink" Target="https://doi.org/10.5089/9798400268342.019" TargetMode="External"/><Relationship Id="rId20" Type="http://schemas.openxmlformats.org/officeDocument/2006/relationships/hyperlink" Target="https://doi.org/10.1155/2019/7436592" TargetMode="External"/><Relationship Id="rId29" Type="http://schemas.openxmlformats.org/officeDocument/2006/relationships/hyperlink" Target="https://doi.org/10.37284/eaje.3.1.414" TargetMode="External"/><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doi.org/10.1108/IJBPA-01-2022-0021" TargetMode="External"/><Relationship Id="rId11" Type="http://schemas.openxmlformats.org/officeDocument/2006/relationships/hyperlink" Target="https://doi.org/10.1108/IJMPB-04-2017-0042" TargetMode="External"/><Relationship Id="rId24" Type="http://schemas.openxmlformats.org/officeDocument/2006/relationships/hyperlink" Target="https://doi.org/10.1108/ECAM-08-2015-0123" TargetMode="External"/><Relationship Id="rId32" Type="http://schemas.openxmlformats.org/officeDocument/2006/relationships/hyperlink" Target="https://doi.org/10.1016/j.jbusres.2019.07.039"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doi.org/10.1002/pmj.21281" TargetMode="External"/><Relationship Id="rId23" Type="http://schemas.openxmlformats.org/officeDocument/2006/relationships/hyperlink" Target="https://doi.org/10.1108/09699981011056556" TargetMode="External"/><Relationship Id="rId28" Type="http://schemas.openxmlformats.org/officeDocument/2006/relationships/hyperlink" Target="https://doi.org/10.1080/01446190600879125" TargetMode="External"/><Relationship Id="rId36" Type="http://schemas.openxmlformats.org/officeDocument/2006/relationships/hyperlink" Target="https://doi.org/10.1002/jid.3684" TargetMode="External"/><Relationship Id="rId10" Type="http://schemas.openxmlformats.org/officeDocument/2006/relationships/hyperlink" Target="https://doi.org/10.1016/S0263-7863(02)00060-1" TargetMode="External"/><Relationship Id="rId19" Type="http://schemas.openxmlformats.org/officeDocument/2006/relationships/hyperlink" Target="https://doi.org/10.3390/admsci9010009" TargetMode="External"/><Relationship Id="rId31" Type="http://schemas.openxmlformats.org/officeDocument/2006/relationships/hyperlink" Target="https://doi.org/10.1007/s40030-024-00810-8"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80/15623599.2020.1736835" TargetMode="External"/><Relationship Id="rId14" Type="http://schemas.openxmlformats.org/officeDocument/2006/relationships/hyperlink" Target="https://doi.org/10.1016/S0263-7863(02)00055-8" TargetMode="External"/><Relationship Id="rId22" Type="http://schemas.openxmlformats.org/officeDocument/2006/relationships/hyperlink" Target="https://doi.org/10.1108/BEPAM-11-2018-0135" TargetMode="External"/><Relationship Id="rId27" Type="http://schemas.openxmlformats.org/officeDocument/2006/relationships/hyperlink" Target="https://doi.org/10.1371/journal.pone.0246248" TargetMode="External"/><Relationship Id="rId30" Type="http://schemas.openxmlformats.org/officeDocument/2006/relationships/hyperlink" Target="https://www.pmi.org/-/media/pmi/documents/public/pdf/pmbok-standards/pmbok-guide-public-faqs-1-july-2021.pdf?utm_source=chatgpt.com" TargetMode="External"/><Relationship Id="rId35" Type="http://schemas.openxmlformats.org/officeDocument/2006/relationships/hyperlink" Target="https://doi.org/10.1038/s41598-024-75940-x" TargetMode="External"/><Relationship Id="rId43" Type="http://schemas.openxmlformats.org/officeDocument/2006/relationships/fontTable" Target="fontTable.xml"/><Relationship Id="rId8" Type="http://schemas.openxmlformats.org/officeDocument/2006/relationships/hyperlink" Target="https://doi.org/10.1596/1813-9450-5596" TargetMode="External"/><Relationship Id="rId3" Type="http://schemas.openxmlformats.org/officeDocument/2006/relationships/webSettings" Target="webSettings.xml"/><Relationship Id="rId12" Type="http://schemas.openxmlformats.org/officeDocument/2006/relationships/hyperlink" Target="https://doi.org/10.1093/afraf/adw002" TargetMode="External"/><Relationship Id="rId17" Type="http://schemas.openxmlformats.org/officeDocument/2006/relationships/hyperlink" Target="https://doi.org/10.61426/sjbcm.v11i1.2880" TargetMode="External"/><Relationship Id="rId25" Type="http://schemas.openxmlformats.org/officeDocument/2006/relationships/hyperlink" Target="https://doi.org/10.1108/09699981111180917" TargetMode="External"/><Relationship Id="rId33" Type="http://schemas.openxmlformats.org/officeDocument/2006/relationships/hyperlink" Target="https://doi.org/10.47604/jppa.3332"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10069</Words>
  <Characters>57398</Characters>
  <Application>Microsoft Office Word</Application>
  <DocSecurity>0</DocSecurity>
  <Lines>478</Lines>
  <Paragraphs>134</Paragraphs>
  <ScaleCrop>false</ScaleCrop>
  <Company>HP</Company>
  <LinksUpToDate>false</LinksUpToDate>
  <CharactersWithSpaces>67333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Pinaki Mondal</dc:creator>
  <cp:keywords/>
  <dc:description/>
  <cp:lastModifiedBy>SDI 1087</cp:lastModifiedBy>
  <cp:revision>8</cp:revision>
  <dcterms:created xsi:type="dcterms:W3CDTF">2026-07-18T18:19:00Z</dcterms:created>
  <dcterms:modified xsi:type="dcterms:W3CDTF">2026-07-27T10:00:00Z</dcterms:modified>
</cp:coreProperties>
</file>