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F09D" w14:textId="77777777" w:rsidR="00DF599E" w:rsidRPr="00032248" w:rsidRDefault="00FD0D63" w:rsidP="00AE50F8">
      <w:pPr>
        <w:pStyle w:val="NoSpacing"/>
        <w:jc w:val="center"/>
        <w:rPr>
          <w:rFonts w:ascii="Arial" w:hAnsi="Arial"/>
          <w:b/>
          <w:sz w:val="28"/>
        </w:rPr>
      </w:pPr>
      <w:r w:rsidRPr="00032248">
        <w:rPr>
          <w:rFonts w:ascii="Arial" w:hAnsi="Arial"/>
          <w:b/>
          <w:sz w:val="28"/>
        </w:rPr>
        <w:t>Budget Deficit, Tax Reforms, and Economic Performance in Nigeria</w:t>
      </w:r>
    </w:p>
    <w:p w14:paraId="29BA8D48" w14:textId="77777777" w:rsidR="00DD0F50" w:rsidRPr="00032248" w:rsidRDefault="00DD0F50" w:rsidP="0077036A">
      <w:pPr>
        <w:jc w:val="center"/>
        <w:rPr>
          <w:rFonts w:ascii="Arial" w:hAnsi="Arial"/>
          <w:sz w:val="28"/>
        </w:rPr>
      </w:pPr>
    </w:p>
    <w:p w14:paraId="74CAB940" w14:textId="77777777" w:rsidR="004E4753" w:rsidRPr="00032248" w:rsidRDefault="004E4753" w:rsidP="0077036A">
      <w:pPr>
        <w:jc w:val="right"/>
        <w:rPr>
          <w:rFonts w:ascii="Arial" w:hAnsi="Arial" w:cs="Arial"/>
        </w:rPr>
      </w:pPr>
    </w:p>
    <w:p w14:paraId="2031D200" w14:textId="77777777" w:rsidR="00FD0D63" w:rsidRPr="00032248" w:rsidRDefault="00FD0D63" w:rsidP="0077036A">
      <w:pPr>
        <w:jc w:val="center"/>
        <w:rPr>
          <w:rFonts w:ascii="Arial" w:hAnsi="Arial" w:cs="Arial"/>
          <w:b/>
          <w:bCs/>
        </w:rPr>
      </w:pPr>
    </w:p>
    <w:p w14:paraId="32520652" w14:textId="77777777" w:rsidR="000F383C" w:rsidRPr="00032248" w:rsidRDefault="008169AB" w:rsidP="00060F52">
      <w:pPr>
        <w:spacing w:line="360" w:lineRule="auto"/>
        <w:jc w:val="center"/>
        <w:rPr>
          <w:rFonts w:ascii="Arial" w:hAnsi="Arial" w:cs="Arial"/>
          <w:b/>
          <w:bCs/>
          <w:sz w:val="24"/>
          <w:szCs w:val="24"/>
          <w:lang w:val="en-US"/>
        </w:rPr>
      </w:pPr>
      <w:r w:rsidRPr="00032248">
        <w:rPr>
          <w:rFonts w:ascii="Arial" w:hAnsi="Arial" w:cs="Arial"/>
          <w:b/>
          <w:bCs/>
          <w:sz w:val="24"/>
          <w:szCs w:val="24"/>
          <w:lang w:val="en-US"/>
        </w:rPr>
        <w:t>ABSTRACT</w:t>
      </w:r>
    </w:p>
    <w:p w14:paraId="63B7D55E" w14:textId="77777777" w:rsidR="003D6A66" w:rsidRPr="00032248" w:rsidRDefault="003D6A66" w:rsidP="003D6A66">
      <w:pPr>
        <w:pStyle w:val="pdq2pgselectionanchorcontainer"/>
        <w:jc w:val="both"/>
      </w:pPr>
      <w:r w:rsidRPr="00032248">
        <w:rPr>
          <w:rStyle w:val="Strong"/>
        </w:rPr>
        <w:t>Aim:</w:t>
      </w:r>
      <w:r w:rsidRPr="00032248">
        <w:t xml:space="preserve"> This study examines the short-run and long-run associations of budget deficits and tax revenue </w:t>
      </w:r>
      <w:proofErr w:type="spellStart"/>
      <w:r w:rsidRPr="00032248">
        <w:t>mobilisation</w:t>
      </w:r>
      <w:proofErr w:type="spellEnd"/>
      <w:r w:rsidRPr="00032248">
        <w:t xml:space="preserve"> with economic performance in Nigeria. It also considers how fiscal variables relate to inflation, the interest rate, and trade openness within a dynamic framework.</w:t>
      </w:r>
    </w:p>
    <w:p w14:paraId="1E816A2A" w14:textId="77777777" w:rsidR="003D6A66" w:rsidRPr="00032248" w:rsidRDefault="003D6A66" w:rsidP="003D6A66">
      <w:pPr>
        <w:pStyle w:val="NormalWeb"/>
        <w:jc w:val="both"/>
      </w:pPr>
      <w:r w:rsidRPr="00032248">
        <w:rPr>
          <w:rStyle w:val="Strong"/>
        </w:rPr>
        <w:t>Methodology:</w:t>
      </w:r>
      <w:r w:rsidRPr="00032248">
        <w:t xml:space="preserve"> Annual time-series data for 2000–2023 are analysed using an autoregressive distributed lag model and the bounds-testing approach. Real GDP growth represents economic performance, while the budget-deficit-to-GDP ratio and tax-revenue-to-GDP ratio represent the principal fiscal variables. Inflation, the interest rate, and trade openness are included as controls. Augmented Dickey–Fuller tests establish the integration properties of the series, and diagnostic and stability procedures assess model adequacy.</w:t>
      </w:r>
    </w:p>
    <w:p w14:paraId="65D2A020" w14:textId="77777777" w:rsidR="003D6A66" w:rsidRPr="00032248" w:rsidRDefault="003D6A66" w:rsidP="003D6A66">
      <w:pPr>
        <w:pStyle w:val="NormalWeb"/>
        <w:jc w:val="both"/>
      </w:pPr>
      <w:r w:rsidRPr="00032248">
        <w:rPr>
          <w:rStyle w:val="Strong"/>
        </w:rPr>
        <w:t>Results:</w:t>
      </w:r>
      <w:r w:rsidRPr="00032248">
        <w:t xml:space="preserve"> The bounds test indicates a long-run relationship among the variables. The estimated long-run coefficients of the budget deficit and tax revenue are positive and statistically significant. Short-run estimates also show positive contemporaneous coefficients for both fiscal variables, although tax revenue changes vary across lags. Trade openness has a positive long-run coefficient but negative short-run coefficients. The negative and statistically significant error-correction term indicates adjustment after short-run disequilibrium.</w:t>
      </w:r>
    </w:p>
    <w:p w14:paraId="5C55E7C8" w14:textId="77777777" w:rsidR="003D6A66" w:rsidRPr="00032248" w:rsidRDefault="003D6A66" w:rsidP="003D6A66">
      <w:pPr>
        <w:pStyle w:val="NormalWeb"/>
        <w:jc w:val="both"/>
      </w:pPr>
      <w:r w:rsidRPr="00032248">
        <w:rPr>
          <w:rStyle w:val="Strong"/>
        </w:rPr>
        <w:t>Conclusion:</w:t>
      </w:r>
      <w:r w:rsidRPr="00032248">
        <w:t xml:space="preserve"> The findings show that deficit management and tax revenue mobilisation were associated with Nigeria’s economic performance during the study period. However, the estimates do not establish causality or isolate the effects of specific tax reforms. Policy interpretation should therefore consider the composition, financing, and sustainability of deficits, together with the administrative quality and economic incidence of taxation.</w:t>
      </w:r>
    </w:p>
    <w:p w14:paraId="665E8D60" w14:textId="77777777" w:rsidR="003D6A66" w:rsidRPr="00032248" w:rsidRDefault="003D6A66" w:rsidP="00B32196">
      <w:pPr>
        <w:spacing w:line="360" w:lineRule="auto"/>
        <w:rPr>
          <w:rFonts w:ascii="Arial" w:hAnsi="Arial" w:cs="Arial"/>
          <w:b/>
          <w:bCs/>
        </w:rPr>
      </w:pPr>
    </w:p>
    <w:p w14:paraId="61B60A4B" w14:textId="01DF1613" w:rsidR="000F383C" w:rsidRPr="00032248" w:rsidRDefault="00A0517A" w:rsidP="00B32196">
      <w:pPr>
        <w:spacing w:line="360" w:lineRule="auto"/>
        <w:rPr>
          <w:rFonts w:ascii="Arial" w:hAnsi="Arial" w:cs="Arial"/>
        </w:rPr>
      </w:pPr>
      <w:r w:rsidRPr="00032248">
        <w:rPr>
          <w:rFonts w:ascii="Arial" w:hAnsi="Arial" w:cs="Arial"/>
          <w:b/>
          <w:bCs/>
        </w:rPr>
        <w:t>Keywords:</w:t>
      </w:r>
      <w:r w:rsidRPr="00032248">
        <w:rPr>
          <w:rFonts w:ascii="Arial" w:hAnsi="Arial" w:cs="Arial"/>
        </w:rPr>
        <w:t xml:space="preserve"> fiscal deficit, tax reforms, economic growth, inflationary pressure, fiscal imbalance</w:t>
      </w:r>
    </w:p>
    <w:p w14:paraId="1FB5C959" w14:textId="77777777" w:rsidR="000F383C" w:rsidRPr="00032248" w:rsidRDefault="000F383C" w:rsidP="00B32196">
      <w:pPr>
        <w:spacing w:line="360" w:lineRule="auto"/>
        <w:rPr>
          <w:rFonts w:ascii="Arial" w:hAnsi="Arial" w:cs="Arial"/>
          <w:b/>
          <w:bCs/>
        </w:rPr>
      </w:pPr>
    </w:p>
    <w:p w14:paraId="1BFA169A" w14:textId="77777777" w:rsidR="00BE2FA9" w:rsidRPr="00032248" w:rsidRDefault="00BE2FA9" w:rsidP="0078594F">
      <w:pPr>
        <w:pStyle w:val="Heading3"/>
        <w:keepNext/>
        <w:spacing w:line="360" w:lineRule="auto"/>
        <w:rPr>
          <w:rFonts w:ascii="Arial" w:hAnsi="Arial" w:cs="Arial"/>
          <w:sz w:val="22"/>
          <w:szCs w:val="22"/>
        </w:rPr>
      </w:pPr>
      <w:r w:rsidRPr="00032248">
        <w:rPr>
          <w:rFonts w:ascii="Arial" w:hAnsi="Arial" w:cs="Arial"/>
          <w:sz w:val="22"/>
          <w:szCs w:val="22"/>
        </w:rPr>
        <w:t xml:space="preserve">1. </w:t>
      </w:r>
      <w:r w:rsidR="0078594F" w:rsidRPr="00032248">
        <w:rPr>
          <w:rFonts w:ascii="Arial" w:hAnsi="Arial" w:cs="Arial"/>
          <w:sz w:val="22"/>
          <w:szCs w:val="22"/>
        </w:rPr>
        <w:t>INTRODUCTION</w:t>
      </w:r>
    </w:p>
    <w:p w14:paraId="6441DF6B" w14:textId="225E75B8" w:rsidR="00BE2FA9" w:rsidRPr="00032248" w:rsidRDefault="00BE2FA9" w:rsidP="00B32196">
      <w:pPr>
        <w:pStyle w:val="NormalWeb"/>
        <w:spacing w:line="360" w:lineRule="auto"/>
        <w:jc w:val="both"/>
        <w:rPr>
          <w:rFonts w:ascii="Arial" w:hAnsi="Arial" w:cs="Arial"/>
          <w:sz w:val="22"/>
          <w:szCs w:val="22"/>
        </w:rPr>
      </w:pPr>
      <w:r w:rsidRPr="00032248">
        <w:t xml:space="preserve">The conduct of fiscal policy has re-emerged as a central concern in global macroeconomic management amid rising public debt, recurrent fiscal imbalances, and a renewed emphasis on domestic revenue mobilisation. These challenges are particularly pronounced in developing, resource-dependent economies characterised by volatile revenue bases, narrow tax systems, and persistent development-financing needs. In such contexts, fiscal adjustment hinges critically on </w:t>
      </w:r>
      <w:r w:rsidRPr="00032248">
        <w:lastRenderedPageBreak/>
        <w:t>the management of budget deficits and the effectiveness of tax reforms in stabilising output and sustaining growth (Onakoya &amp; Afintinni, 2016; Fashina et al., 20</w:t>
      </w:r>
      <w:r w:rsidR="00E2027D">
        <w:t>18</w:t>
      </w:r>
      <w:r w:rsidRPr="00032248">
        <w:t>; Effiong &amp; Okijie, 2021).</w:t>
      </w:r>
    </w:p>
    <w:p w14:paraId="4E250508" w14:textId="5CBDD8BD" w:rsidR="00BE2FA9" w:rsidRPr="00032248" w:rsidRDefault="00BE2FA9" w:rsidP="00B32196">
      <w:pPr>
        <w:pStyle w:val="NormalWeb"/>
        <w:spacing w:line="360" w:lineRule="auto"/>
        <w:jc w:val="both"/>
        <w:rPr>
          <w:rFonts w:ascii="Arial" w:hAnsi="Arial" w:cs="Arial"/>
          <w:sz w:val="22"/>
          <w:szCs w:val="22"/>
        </w:rPr>
      </w:pPr>
      <w:r w:rsidRPr="00032248">
        <w:t xml:space="preserve">Nigeria exemplifies these structural tensions. Fiscal outcomes are shaped by chronic revenue volatility associated with oil dependence, rigid expenditure commitments, and limited non-oil tax mobilisation, resulting in recurrent budget deficits that are not merely cyclical but structurally embedded (World Bank, 2024; International Monetary Fund [IMF], 2024). Tax reforms have therefore been pursued to broaden the revenue base, enhance compliance, and reduce reliance on deficit financing, yet their growth implications remain empirically contested (Ukangwa et al., 2023; </w:t>
      </w:r>
      <w:r w:rsidR="00E2027D" w:rsidRPr="00E2027D">
        <w:t>Ogbonna</w:t>
      </w:r>
      <w:r w:rsidRPr="00032248">
        <w:t>, 201</w:t>
      </w:r>
      <w:r w:rsidR="00E2027D">
        <w:t>2</w:t>
      </w:r>
      <w:r w:rsidRPr="00032248">
        <w:t>; Jones &amp; Ekwueme, 2016).</w:t>
      </w:r>
    </w:p>
    <w:p w14:paraId="7D3ED2BA" w14:textId="3F08A63C" w:rsidR="00BE2FA9" w:rsidRPr="00032248" w:rsidRDefault="00BE2FA9" w:rsidP="00B32196">
      <w:pPr>
        <w:pStyle w:val="NormalWeb"/>
        <w:spacing w:line="360" w:lineRule="auto"/>
        <w:jc w:val="both"/>
        <w:rPr>
          <w:rFonts w:ascii="Arial" w:hAnsi="Arial" w:cs="Arial"/>
          <w:sz w:val="22"/>
          <w:szCs w:val="22"/>
        </w:rPr>
      </w:pPr>
      <w:r w:rsidRPr="00032248">
        <w:t xml:space="preserve">Both theory and evidence suggest that the growth effects of fiscal policy instruments are conditional rather than uniform. Keynesian arguments imply that deficit-financed public spending can stimulate output in the short run, while Ricardian equivalence and endogenous growth perspectives caution that fiscal imbalances and inefficient taxation may neutralise or undermine long-run growth effects. Empirical evidence for Nigeria reflects these theoretical ambiguities, with budget deficits found to stimulate growth under certain conditions but retard it beyond fiscal-sustainability thresholds (Umaru et al., 2021; </w:t>
      </w:r>
      <w:r w:rsidR="00E2027D" w:rsidRPr="00E2027D">
        <w:t>Aero</w:t>
      </w:r>
      <w:r w:rsidRPr="00032248">
        <w:t>, 201</w:t>
      </w:r>
      <w:r w:rsidR="00E2027D">
        <w:t>8</w:t>
      </w:r>
      <w:r w:rsidRPr="00032248">
        <w:t>). Similarly, the impact of taxation on growth remains unsettled, with findings ranging from negative effects of tax revenue on GDP (Ukangwa et al., 2023) to marginal or context-dependent growth gains from tax reforms (</w:t>
      </w:r>
      <w:r w:rsidR="00E2027D" w:rsidRPr="00E2027D">
        <w:t>Ogbonna</w:t>
      </w:r>
      <w:r w:rsidRPr="00032248">
        <w:t>, 201</w:t>
      </w:r>
      <w:r w:rsidR="00E2027D">
        <w:t>2</w:t>
      </w:r>
      <w:r w:rsidRPr="00032248">
        <w:t xml:space="preserve">; </w:t>
      </w:r>
      <w:proofErr w:type="spellStart"/>
      <w:r w:rsidRPr="00032248">
        <w:t>Okafornta</w:t>
      </w:r>
      <w:proofErr w:type="spellEnd"/>
      <w:r w:rsidRPr="00032248">
        <w:t>, 2020).</w:t>
      </w:r>
    </w:p>
    <w:p w14:paraId="6E272D11" w14:textId="77777777" w:rsidR="00BE2FA9" w:rsidRPr="00032248" w:rsidRDefault="00BE2FA9" w:rsidP="00B32196">
      <w:pPr>
        <w:pStyle w:val="NormalWeb"/>
        <w:spacing w:line="360" w:lineRule="auto"/>
        <w:jc w:val="both"/>
        <w:rPr>
          <w:rFonts w:ascii="Arial" w:hAnsi="Arial" w:cs="Arial"/>
          <w:sz w:val="22"/>
          <w:szCs w:val="22"/>
        </w:rPr>
      </w:pPr>
      <w:r w:rsidRPr="00032248">
        <w:t>This study contributes to this debate by offering an integrated assessment of the dynamic and potentially non-linear effects of budget deficits and tax reforms on Nigeria’s economic performance. By situating the analysis within a unified ARDL/ECM framework, the study aligns the empirical specification with the conditional theoretical predictions and heterogeneous empirical evidence documented in the Nigerian fiscal-growth literature (Umaru et al., 2021; Onakoya &amp; Afintinni, 2016). The study examines the impact of budget deficits on economic performance, assesses the growth and revenue implications of tax reforms, and analyses the interaction between deficits and tax reforms within a coherent dynamic modelling structure.</w:t>
      </w:r>
    </w:p>
    <w:p w14:paraId="6FF8DCFC" w14:textId="756B0C62" w:rsidR="00BE2FA9" w:rsidRPr="00032248" w:rsidRDefault="00BE2FA9" w:rsidP="00B32196">
      <w:pPr>
        <w:pStyle w:val="NormalWeb"/>
        <w:spacing w:line="360" w:lineRule="auto"/>
        <w:jc w:val="both"/>
        <w:rPr>
          <w:rFonts w:ascii="Arial" w:hAnsi="Arial" w:cs="Arial"/>
          <w:sz w:val="22"/>
          <w:szCs w:val="22"/>
        </w:rPr>
      </w:pPr>
      <w:r w:rsidRPr="00032248">
        <w:lastRenderedPageBreak/>
        <w:t xml:space="preserve">Despite extensive empirical attention, the fiscal policy–growth nexus in Nigeria remains conceptually and methodologically unsettled. Evidence on the growth effects of budget deficits is inconsistent, with threshold-dependent positive effects reported in some studies and uniformly negative effects in others, reflecting unresolved theoretical and empirical tensions (Umaru et al., 2021; </w:t>
      </w:r>
      <w:r w:rsidR="00E2027D" w:rsidRPr="00E2027D">
        <w:t>Aero</w:t>
      </w:r>
      <w:r w:rsidRPr="00032248">
        <w:t>, 201</w:t>
      </w:r>
      <w:r w:rsidR="00E2027D">
        <w:t>8</w:t>
      </w:r>
      <w:r w:rsidRPr="00032248">
        <w:t xml:space="preserve">). Similarly, findings on taxation and tax reforms remain inconclusive, with tax revenue found to constrain growth in some specifications, while reforms yield only marginal or indirect growth effects in others (Ukangwa et al., 2023; </w:t>
      </w:r>
      <w:r w:rsidR="00E2027D" w:rsidRPr="00E2027D">
        <w:t>Ogbonna</w:t>
      </w:r>
      <w:r w:rsidRPr="00032248">
        <w:t>, 201</w:t>
      </w:r>
      <w:r w:rsidR="00E2027D">
        <w:t>2</w:t>
      </w:r>
      <w:r w:rsidRPr="00032248">
        <w:t>; Jones &amp; Ekwueme, 2016).</w:t>
      </w:r>
    </w:p>
    <w:p w14:paraId="39429A78" w14:textId="0BD3BAF4" w:rsidR="00BE2FA9" w:rsidRPr="00032248" w:rsidRDefault="00BE2FA9" w:rsidP="00B32196">
      <w:pPr>
        <w:pStyle w:val="NormalWeb"/>
        <w:spacing w:line="360" w:lineRule="auto"/>
        <w:jc w:val="both"/>
        <w:rPr>
          <w:rFonts w:ascii="Arial" w:hAnsi="Arial" w:cs="Arial"/>
          <w:sz w:val="22"/>
          <w:szCs w:val="22"/>
        </w:rPr>
      </w:pPr>
      <w:r w:rsidRPr="00032248">
        <w:t>A key limitation of the existing literature lies in the fragmented treatment of fiscal instruments. Many studies analyse deficits and taxation separately, thereby overlooking their interaction in shaping fiscal sustainability and macroeconomic outcomes (Onakoya &amp; Afintinni, 2016; Fashina et al., 20</w:t>
      </w:r>
      <w:r w:rsidR="00E2027D">
        <w:t>18</w:t>
      </w:r>
      <w:r w:rsidRPr="00032248">
        <w:t>). Moreover, although theoretical frameworks emphasise dynamic and non-linear fiscal effects, much of the empirical literature relies on linear specifications that impose homogeneous responses across fiscal regimes and time horizons, limiting both explanatory power and policy relevance in a structurally volatile economy such as Nigeria (Umaru et al., 2021).</w:t>
      </w:r>
    </w:p>
    <w:p w14:paraId="1116B18D" w14:textId="609872A9" w:rsidR="00B6529C" w:rsidRPr="00032248" w:rsidRDefault="00BE2FA9" w:rsidP="003D6A66">
      <w:pPr>
        <w:pStyle w:val="NormalWeb"/>
        <w:spacing w:line="360" w:lineRule="auto"/>
        <w:jc w:val="both"/>
        <w:rPr>
          <w:rFonts w:ascii="Arial" w:hAnsi="Arial" w:cs="Arial"/>
          <w:sz w:val="22"/>
          <w:szCs w:val="22"/>
        </w:rPr>
      </w:pPr>
      <w:r w:rsidRPr="00032248">
        <w:rPr>
          <w:rFonts w:ascii="Arial" w:hAnsi="Arial" w:cs="Arial"/>
          <w:sz w:val="22"/>
          <w:szCs w:val="22"/>
        </w:rPr>
        <w:t>These limitations are economically significant given Nigeria’s persistent fiscal imbalances, inflationary pressures following recent reforms, and ongoing attempts at fiscal consolidation (World Bank, 2024; IMF, 2024). The absence of a theoretically integrated and methodologically coherent framework capable of jointly modelling budget deficits, tax reforms, and economic performance constrains the literature’s capacity to inform credible fiscal policy design. This study is therefore necessary and timely in providing a unified dynamic analysis that explicitly aligns theory, model specification, and fiscal policy realities in Nigeria.</w:t>
      </w:r>
      <w:r w:rsidR="003D6A66" w:rsidRPr="00032248">
        <w:rPr>
          <w:rFonts w:ascii="Arial" w:hAnsi="Arial" w:cs="Arial"/>
          <w:sz w:val="22"/>
          <w:szCs w:val="22"/>
        </w:rPr>
        <w:t xml:space="preserve"> </w:t>
      </w:r>
      <w:r w:rsidRPr="00032248">
        <w:t>Recent evidence reinforces the need to assess revenue mobilisation and deficit financing within a common framework. Tax-reform periods and major tax components have been shown to influence government expenditure in Nigeria (Ndubuisi et al., 2020), while the infrastructure and growth implications of debt-financed fiscal activity depend partly on debt composition and debt-servicing burdens (Falade et al., 2024; Yusuf &amp; Mohd, 2024). Evidence from sub-Saharan Africa further indicates that the growth effect of government revenue is conditioned by institutional quality, underscoring the importance of administrative effectiveness when assessing tax reforms (Ayana et al., 2023).</w:t>
      </w:r>
    </w:p>
    <w:p w14:paraId="2EA61AA8" w14:textId="77777777" w:rsidR="00BE2FA9" w:rsidRPr="00032248" w:rsidRDefault="00AF6B56" w:rsidP="00B32196">
      <w:pPr>
        <w:pStyle w:val="Heading2"/>
        <w:keepNext/>
        <w:spacing w:line="360" w:lineRule="auto"/>
        <w:jc w:val="both"/>
        <w:rPr>
          <w:rFonts w:ascii="Arial" w:hAnsi="Arial" w:cs="Arial"/>
          <w:b w:val="0"/>
          <w:bCs w:val="0"/>
          <w:sz w:val="22"/>
          <w:szCs w:val="22"/>
        </w:rPr>
      </w:pPr>
      <w:r w:rsidRPr="00032248">
        <w:rPr>
          <w:rFonts w:ascii="Arial" w:hAnsi="Arial" w:cs="Arial"/>
          <w:b w:val="0"/>
          <w:bCs w:val="0"/>
          <w:sz w:val="22"/>
          <w:szCs w:val="22"/>
        </w:rPr>
        <w:lastRenderedPageBreak/>
        <w:t>The study seeks to answer the following research questions:</w:t>
      </w:r>
    </w:p>
    <w:p w14:paraId="35596DDB" w14:textId="77777777" w:rsidR="00BE2FA9" w:rsidRPr="00032248" w:rsidRDefault="00BE2FA9" w:rsidP="00B32196">
      <w:pPr>
        <w:pStyle w:val="NormalWeb"/>
        <w:numPr>
          <w:ilvl w:val="0"/>
          <w:numId w:val="3"/>
        </w:numPr>
        <w:spacing w:line="360" w:lineRule="auto"/>
        <w:jc w:val="both"/>
        <w:rPr>
          <w:rFonts w:ascii="Arial" w:hAnsi="Arial" w:cs="Arial"/>
          <w:sz w:val="22"/>
          <w:szCs w:val="22"/>
        </w:rPr>
      </w:pPr>
      <w:r w:rsidRPr="00032248">
        <w:rPr>
          <w:rFonts w:ascii="Arial" w:hAnsi="Arial" w:cs="Arial"/>
          <w:sz w:val="22"/>
          <w:szCs w:val="22"/>
        </w:rPr>
        <w:t>How do budget deficits affect Nigeria’s economic performance in the short run and the long run within a dynamic adjustment framework?</w:t>
      </w:r>
    </w:p>
    <w:p w14:paraId="42D847B2" w14:textId="77777777" w:rsidR="00BE2FA9" w:rsidRPr="00032248" w:rsidRDefault="00BE2FA9" w:rsidP="00B32196">
      <w:pPr>
        <w:pStyle w:val="NormalWeb"/>
        <w:numPr>
          <w:ilvl w:val="0"/>
          <w:numId w:val="3"/>
        </w:numPr>
        <w:spacing w:line="360" w:lineRule="auto"/>
        <w:jc w:val="both"/>
        <w:rPr>
          <w:rFonts w:ascii="Arial" w:hAnsi="Arial" w:cs="Arial"/>
          <w:sz w:val="22"/>
          <w:szCs w:val="22"/>
        </w:rPr>
      </w:pPr>
      <w:r w:rsidRPr="00032248">
        <w:rPr>
          <w:rFonts w:ascii="Arial" w:hAnsi="Arial" w:cs="Arial"/>
          <w:sz w:val="22"/>
          <w:szCs w:val="22"/>
        </w:rPr>
        <w:t>To what extent do tax reforms influence revenue generation and economic performance in Nigeria over time?</w:t>
      </w:r>
    </w:p>
    <w:p w14:paraId="7E434908" w14:textId="77777777" w:rsidR="00885195" w:rsidRPr="00032248" w:rsidRDefault="00BE2FA9" w:rsidP="00B32196">
      <w:pPr>
        <w:pStyle w:val="NormalWeb"/>
        <w:numPr>
          <w:ilvl w:val="0"/>
          <w:numId w:val="3"/>
        </w:numPr>
        <w:spacing w:line="360" w:lineRule="auto"/>
        <w:jc w:val="both"/>
        <w:rPr>
          <w:rFonts w:ascii="Arial" w:hAnsi="Arial" w:cs="Arial"/>
          <w:sz w:val="22"/>
          <w:szCs w:val="22"/>
        </w:rPr>
      </w:pPr>
      <w:r w:rsidRPr="00032248">
        <w:rPr>
          <w:rFonts w:ascii="Arial" w:hAnsi="Arial" w:cs="Arial"/>
          <w:sz w:val="22"/>
          <w:szCs w:val="22"/>
        </w:rPr>
        <w:t>How does the interaction between budget deficits and tax reforms condition economic performance in Nigeria, and do persistent fiscal imbalances weaken or amplify the growth effects of tax reforms?</w:t>
      </w:r>
    </w:p>
    <w:p w14:paraId="7655C225" w14:textId="77777777" w:rsidR="00885195" w:rsidRPr="00032248" w:rsidRDefault="00885195" w:rsidP="00B32196">
      <w:pPr>
        <w:spacing w:line="360" w:lineRule="auto"/>
        <w:jc w:val="both"/>
        <w:rPr>
          <w:rFonts w:ascii="Arial" w:hAnsi="Arial" w:cs="Arial"/>
        </w:rPr>
      </w:pPr>
      <w:r w:rsidRPr="00032248">
        <w:t>The study primarily examines the effects of budget deficits and tax reforms on economic performance. Specifically, it seeks to:</w:t>
      </w:r>
    </w:p>
    <w:p w14:paraId="53060A97" w14:textId="77777777" w:rsidR="00885195" w:rsidRPr="00032248" w:rsidRDefault="00885195" w:rsidP="00B32196">
      <w:pPr>
        <w:pStyle w:val="ListParagraph"/>
        <w:numPr>
          <w:ilvl w:val="0"/>
          <w:numId w:val="2"/>
        </w:numPr>
        <w:spacing w:line="360" w:lineRule="auto"/>
        <w:jc w:val="both"/>
        <w:rPr>
          <w:rFonts w:ascii="Arial" w:hAnsi="Arial" w:cs="Arial"/>
        </w:rPr>
      </w:pPr>
      <w:r w:rsidRPr="00032248">
        <w:t>Examine the effect of budget deficits on economic performance in Nigeria.</w:t>
      </w:r>
    </w:p>
    <w:p w14:paraId="29D11428" w14:textId="77777777" w:rsidR="00885195" w:rsidRPr="00032248" w:rsidRDefault="00885195" w:rsidP="00B32196">
      <w:pPr>
        <w:pStyle w:val="ListParagraph"/>
        <w:numPr>
          <w:ilvl w:val="0"/>
          <w:numId w:val="2"/>
        </w:numPr>
        <w:spacing w:line="360" w:lineRule="auto"/>
        <w:jc w:val="both"/>
        <w:rPr>
          <w:rFonts w:ascii="Arial" w:hAnsi="Arial" w:cs="Arial"/>
        </w:rPr>
      </w:pPr>
      <w:r w:rsidRPr="00032248">
        <w:t>Assess the effect of tax reforms on revenue generation and economic performance in Nigeria.</w:t>
      </w:r>
    </w:p>
    <w:p w14:paraId="54FEF914" w14:textId="77777777" w:rsidR="00885195" w:rsidRPr="00032248" w:rsidRDefault="00885195" w:rsidP="00B32196">
      <w:pPr>
        <w:pStyle w:val="ListParagraph"/>
        <w:numPr>
          <w:ilvl w:val="0"/>
          <w:numId w:val="2"/>
        </w:numPr>
        <w:spacing w:before="100" w:beforeAutospacing="1" w:after="100" w:afterAutospacing="1" w:line="360" w:lineRule="auto"/>
        <w:jc w:val="both"/>
        <w:outlineLvl w:val="1"/>
        <w:rPr>
          <w:rFonts w:ascii="Arial" w:eastAsia="Times New Roman" w:hAnsi="Arial" w:cs="Arial"/>
          <w:b/>
          <w:bCs/>
          <w:lang w:eastAsia="en-GB"/>
        </w:rPr>
      </w:pPr>
      <w:r w:rsidRPr="00032248">
        <w:t>Investigate the interaction between budget deficits, tax reforms, and economic performance in Nigeria.</w:t>
      </w:r>
    </w:p>
    <w:p w14:paraId="54A65718" w14:textId="77777777" w:rsidR="00885195" w:rsidRPr="00032248" w:rsidRDefault="00885195" w:rsidP="00B32196">
      <w:pPr>
        <w:keepNext/>
        <w:spacing w:before="100" w:beforeAutospacing="1" w:after="100" w:afterAutospacing="1" w:line="360" w:lineRule="auto"/>
        <w:jc w:val="both"/>
        <w:outlineLvl w:val="1"/>
        <w:rPr>
          <w:rFonts w:ascii="Arial" w:eastAsia="Times New Roman" w:hAnsi="Arial" w:cs="Arial"/>
          <w:b/>
          <w:bCs/>
          <w:lang w:eastAsia="en-GB"/>
        </w:rPr>
      </w:pPr>
      <w:r w:rsidRPr="00032248">
        <w:rPr>
          <w:rFonts w:ascii="Arial" w:eastAsia="Times New Roman" w:hAnsi="Arial" w:cs="Arial"/>
          <w:b/>
          <w:bCs/>
          <w:lang w:eastAsia="en-GB"/>
        </w:rPr>
        <w:t xml:space="preserve">2. </w:t>
      </w:r>
      <w:r w:rsidR="00AF6B56" w:rsidRPr="00032248">
        <w:rPr>
          <w:rFonts w:ascii="Arial" w:eastAsia="Times New Roman" w:hAnsi="Arial" w:cs="Arial"/>
          <w:b/>
          <w:bCs/>
          <w:lang w:eastAsia="en-GB"/>
        </w:rPr>
        <w:t>LITERATURE REVIEW</w:t>
      </w:r>
    </w:p>
    <w:p w14:paraId="0C6823F7" w14:textId="77777777" w:rsidR="00885195" w:rsidRPr="00032248"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032248">
        <w:t>2.1 Conceptual Framing of Fiscal Deficits, Tax Reforms, and Output Performance</w:t>
      </w:r>
    </w:p>
    <w:p w14:paraId="123871F5" w14:textId="7777777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Fiscal policy occupies a central position in Nigeria’s macroeconomic management due to the structural volatility of public revenues, heavy dependence on oil rents, and persistent development financing needs. Within this context, budget deficits and tax reforms constitute the principal fiscal adjustment mechanisms through which government seeks to stabilise output and stimulate growth. A budget deficit reflects the excess of public expenditure over revenue and, in empirical macroeconomic analysis, is conventionally normalised by GDP to capture fiscal pressure relative to economic size. In Nigeria, recurrent deficits are not merely cyclical responses but structural outcomes of revenue fragility, expenditure rigidities, and limited non-oil tax mobilisation, rendering deficit dynamics a key determinant of macroeconomic performance.</w:t>
      </w:r>
    </w:p>
    <w:p w14:paraId="1A787276" w14:textId="7777777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 xml:space="preserve">Tax reforms represent institutional and policy adjustments aimed at broadening the tax base, improving compliance, and enhancing revenue efficiency. However, in developing economies characterised by large informal sectors and weak administrative capacity, tax reforms can simultaneously expand fiscal space and impose distortionary burdens on private sector activity. </w:t>
      </w:r>
      <w:r w:rsidRPr="00032248">
        <w:rPr>
          <w:rFonts w:ascii="Arial" w:eastAsia="Times New Roman" w:hAnsi="Arial" w:cs="Arial"/>
          <w:lang w:eastAsia="en-GB"/>
        </w:rPr>
        <w:lastRenderedPageBreak/>
        <w:t>Consequently, the growth implications of taxation depend not simply on revenue yield but on the structure, efficiency, and incidence of the tax system, as well as the productivity of expenditure financed through taxation. In empirical growth models for Nigeria, real GDP growth remains the dominant proxy for economic performance due to data reliability and its centrality in macroeconomic stabilisation frameworks, even though it abstracts from distributional and welfare dimensions. The selection of deficit and tax variables in the present study is therefore conceptually grounded in the fiscal transmission mechanisms through which public finance conditions aggregate demand, private investment incentives, and macroeconomic stability.</w:t>
      </w:r>
    </w:p>
    <w:p w14:paraId="19CBE406" w14:textId="77777777" w:rsidR="00885195" w:rsidRPr="00032248"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2.2 Theoretical Alignment with Dynamic and Non-Linear Fiscal Effects</w:t>
      </w:r>
    </w:p>
    <w:p w14:paraId="3DF774C6" w14:textId="7777777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t>The theoretical foundations of fiscal policy effects on growth point to dynamic and potentially non-linear relationships between deficits, taxation, and output, thereby justifying econometric strategies that allow for both short-run adjustment and long-run equilibrium. Keynesian theory predicts that deficit-financed public spending can raise output in the short run by stimulating aggregate demand, particularly in economies with underutilised capacity and high unemployment, as is often the case in Nigeria (Keynes, 1936). However, this stimulative effect is contingent on the productivity of spending and the financing structure of deficits, as excessive or poorly targeted deficit financing may crowd out private investment or generate inflationary pressures that erode real income and growth.</w:t>
      </w:r>
    </w:p>
    <w:p w14:paraId="5947AB6A" w14:textId="7777777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t>Ricardian equivalence introduces an opposing theoretical benchmark, suggesting that deficit financing may be neutral if households internalise future tax liabilities and adjust their saving behaviour accordingly (Barro, 1974). Although the strong assumptions underpinning Ricardian neutrality are unlikely to hold fully in Nigeria because of liquidity constraints and imperfect financial markets, the theory nonetheless implies that deficit effects on output are not invariant and may vary across institutional and macroeconomic regimes. Endogenous growth theory further reinforces this conditionality by positing that fiscal policy influences long-run growth through its effects on human-capital formation, infrastructure provision, and innovation incentives, implying that both the level and composition of taxation and expenditure matter for sustained growth outcomes (Romer, 1986, 1990). These theoretical perspectives jointly imply that the deficit–growth and tax–growth relationships may exhibit threshold effects and regime dependence rather than uniform linear responses.</w:t>
      </w:r>
    </w:p>
    <w:p w14:paraId="2D87F965" w14:textId="7777777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 xml:space="preserve">This theoretical ambiguity provides a strong analytical rationale for adopting an ARDL/ECM framework capable of distinguishing short-run from long-run fiscal effects while accommodating </w:t>
      </w:r>
      <w:r w:rsidRPr="00032248">
        <w:rPr>
          <w:rFonts w:ascii="Arial" w:eastAsia="Times New Roman" w:hAnsi="Arial" w:cs="Arial"/>
          <w:lang w:eastAsia="en-GB"/>
        </w:rPr>
        <w:lastRenderedPageBreak/>
        <w:t>non-linearities in the deficit–growth relationship. The incorporation of potential threshold behaviour in the deficit variable is theoretically consistent with Keynesian stimulus effects at low deficit levels and Ricardian or debt overhang effects beyond fiscally sustainable thresholds.</w:t>
      </w:r>
    </w:p>
    <w:p w14:paraId="54776325" w14:textId="77777777" w:rsidR="00885195" w:rsidRPr="00032248"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2.3 Empirical Evidence and Implications for Model Specification</w:t>
      </w:r>
    </w:p>
    <w:p w14:paraId="032358EA" w14:textId="6D5CD5F8"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t xml:space="preserve">The Nigerian empirical literature confirms the theoretical expectation of heterogeneous and regime-dependent fiscal effects. Evidence on budget deficits and growth remains sharply divided, reflecting both structural economic constraints and methodological heterogeneity. Umaru et al. (2021) demonstrate that deficits exert a positive growth effect in linear specifications but become growth-reducing once a threshold relative to GDP is exceeded, indicating the presence of non-linear fiscal regimes. This finding provides direct empirical justification for incorporating non-linearity or regime sensitivity into the modelling of deficit effects. In contrast, </w:t>
      </w:r>
      <w:r w:rsidR="00E2027D" w:rsidRPr="00E2027D">
        <w:t>Aero</w:t>
      </w:r>
      <w:r w:rsidRPr="00032248">
        <w:t xml:space="preserve"> (201</w:t>
      </w:r>
      <w:r w:rsidR="00E2027D">
        <w:t>8</w:t>
      </w:r>
      <w:r w:rsidRPr="00032248">
        <w:t>) report a uniformly negative relationship between fiscal deficits and growth, suggesting that historical deficit financing in Nigeria has been predominantly distortionary rather than growth-enhancing. These divergent results point to the sensitivity of estimated fiscal effects to both time periods and model structure, reinforcing the need for a dynamic framework capable of capturing both transitory stimulus and longer-run fiscal drag.</w:t>
      </w:r>
    </w:p>
    <w:p w14:paraId="7E16ADA5" w14:textId="5300B4D8"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t xml:space="preserve">The literature on taxation and tax reforms similarly lacks consensus on growth effects. Ukangwa et al. (2023) report a negative association between tax revenue and GDP, implying that Nigeria’s tax structure may be inefficient or distortionary, while </w:t>
      </w:r>
      <w:r w:rsidR="00E2027D" w:rsidRPr="00E2027D">
        <w:t>Ogbonna</w:t>
      </w:r>
      <w:r w:rsidRPr="00032248">
        <w:t xml:space="preserve"> (201</w:t>
      </w:r>
      <w:r w:rsidR="00E2027D">
        <w:t>2</w:t>
      </w:r>
      <w:r w:rsidRPr="00032248">
        <w:t>) finds only marginal growth gains from tax reforms, emphasising that weak implementation undermines potential benefits. Jones and Ekwueme (2016) document improvements associated with tax reforms but do not establish a clear transmission to output growth, suggesting that revenue mobilisation alone is insufficient to generate growth without complementary improvements in expenditure efficiency and macroeconomic stability. Okafornta (2020), by contrast, finds positive effects of both tax revenue and government expenditure on growth, indicating that fiscal impacts may be contingent on broader macroeconomic conditions and the productivity of public spending.</w:t>
      </w:r>
    </w:p>
    <w:p w14:paraId="47108C54" w14:textId="300F91D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t>Studies that integrate deficit dynamics and taxation provide a more coherent basis for joint modelling. Onakoya and Afintinni (2016) show that taxation is related to economic growth in Nigeria, while Fashina et al. (20</w:t>
      </w:r>
      <w:r w:rsidR="00E2027D">
        <w:t>18</w:t>
      </w:r>
      <w:r w:rsidRPr="00032248">
        <w:t xml:space="preserve">) demonstrate the importance of complementary growth determinants in the Nigerian context. </w:t>
      </w:r>
      <w:r w:rsidRPr="00032248">
        <w:lastRenderedPageBreak/>
        <w:t>These findings collectively support the specification of growth models in which deficit and tax variables enter jointly and interactively rather than being treated as isolated policy instruments.</w:t>
      </w:r>
    </w:p>
    <w:p w14:paraId="60E446F5" w14:textId="77777777" w:rsidR="00885195" w:rsidRPr="00032248" w:rsidRDefault="00885195"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Recent institutional assessments reinforce the empirical complexity of fiscal adjustment in Nigeria. The World Bank documents deficit reduction following subsidy removal and exchange rate unification, alongside inflationary pressures that potentially undermine real growth effects, while the IMF highlights structural weaknesses and macroeconomic imbalances that constrain the growth dividends of fiscal reform. These observations underscore the importance of modelling both short-run adjustment dynamics and long-run fiscal-growth relationships within a unified econometric framework.</w:t>
      </w:r>
    </w:p>
    <w:p w14:paraId="30831A0B" w14:textId="77777777" w:rsidR="00885195" w:rsidRPr="00032248"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2.4 Integration of Literature with Estimation Strategy</w:t>
      </w:r>
    </w:p>
    <w:p w14:paraId="308AE732" w14:textId="77777777" w:rsidR="006A1550" w:rsidRPr="00032248" w:rsidRDefault="00885195" w:rsidP="00AE7AC0">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The methodological diversity in the literature, spanning OLS, VAR, cointegration, ECM, ARDL, and threshold models, reflects both the dynamic nature of fiscal effects and the absence of a settled empirical consensus. The ARDL/ECM approach adopted in this study is directly motivated by this literature in two respects. First, it accommodates mixed orders of integration among fiscal and macroeconomic variables, which is a recurrent feature of Nigerian time-series data. Second, it permits the simultaneous estimation of short-run adjustment dynamics and long-run equilibrium relationships, thereby aligning closely with theoretical expectations of transitory Keynesian effects and longer-term fiscal sustainability constraints. The incorporation of non-linear or threshold elements in the deficit specification is explicitly grounded in empirical evidence of regime-dependent fiscal effects and theoretical predictions of diminishing or adverse growth returns to excessive deficit financing.</w:t>
      </w:r>
    </w:p>
    <w:p w14:paraId="5BD442C7" w14:textId="77777777" w:rsidR="00885195" w:rsidRPr="00032248"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2.5 Research Gap and Contribution</w:t>
      </w:r>
    </w:p>
    <w:p w14:paraId="7912AF6C" w14:textId="77777777" w:rsidR="00AE7AC0" w:rsidRPr="00032248" w:rsidRDefault="00885195" w:rsidP="0064642B">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 xml:space="preserve">Although the Nigerian fiscal-growth literature is extensive, it remains fragmented by inconsistent findings, limited theoretical integration, and insufficient alignment between econometric strategy and the conditional nature of fiscal effects predicted by theory. Existing studies frequently examine deficits and taxation in isolation, rely on linear specifications that mask regime-dependent behaviour, or fail to embed empirical models explicitly within competing theoretical frameworks. The present study addresses these limitations by integrating budget deficits and tax reforms within a single dynamic growth model that is theoretically informed by Keynesian, Ricardian, and endogenous growth perspectives and empirically operationalised through an ARDL/ECM </w:t>
      </w:r>
      <w:r w:rsidRPr="00032248">
        <w:rPr>
          <w:rFonts w:ascii="Arial" w:eastAsia="Times New Roman" w:hAnsi="Arial" w:cs="Arial"/>
          <w:lang w:eastAsia="en-GB"/>
        </w:rPr>
        <w:lastRenderedPageBreak/>
        <w:t>framework that allows for non-linear deficit effects. In doing so, the study contributes a more coherent and methodologically grounded assessment of how fiscal adjustment, revenue mobilisation, and deficit management jointly shape economic performance in Nigeria, thereby strengthening the analytical foundations for evidence-based fiscal policy design.</w:t>
      </w:r>
    </w:p>
    <w:p w14:paraId="5CE0A7FC" w14:textId="110B779B" w:rsidR="00272AEE" w:rsidRPr="00032248" w:rsidRDefault="00272AEE" w:rsidP="00B32196">
      <w:pPr>
        <w:spacing w:before="100" w:beforeAutospacing="1" w:after="100" w:afterAutospacing="1" w:line="360" w:lineRule="auto"/>
        <w:jc w:val="both"/>
        <w:outlineLvl w:val="1"/>
        <w:rPr>
          <w:rFonts w:ascii="Arial" w:eastAsia="Times New Roman" w:hAnsi="Arial" w:cs="Arial"/>
          <w:b/>
          <w:bCs/>
          <w:lang w:eastAsia="en-GB"/>
        </w:rPr>
      </w:pPr>
      <w:r w:rsidRPr="00032248">
        <w:rPr>
          <w:rFonts w:ascii="Arial" w:eastAsia="Times New Roman" w:hAnsi="Arial" w:cs="Arial"/>
          <w:b/>
          <w:bCs/>
          <w:lang w:eastAsia="en-GB"/>
        </w:rPr>
        <w:t>3.</w:t>
      </w:r>
      <w:r w:rsidR="00AF6B56" w:rsidRPr="00032248">
        <w:rPr>
          <w:rFonts w:ascii="Arial" w:eastAsia="Times New Roman" w:hAnsi="Arial" w:cs="Arial"/>
          <w:b/>
          <w:bCs/>
          <w:lang w:eastAsia="en-GB"/>
        </w:rPr>
        <w:t xml:space="preserve"> METHODOLOGY</w:t>
      </w:r>
    </w:p>
    <w:p w14:paraId="3199622A" w14:textId="77777777" w:rsidR="00272AEE" w:rsidRPr="00032248"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3.1 Research Design</w:t>
      </w:r>
    </w:p>
    <w:p w14:paraId="6457A326"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t>This study adopts an empirical, ex-post facto time-series research design to examine the dynamic effects of budget deficits and tax reforms on economic performance in Nigeria over 2000–2023. The empirical orientation reflects the objective of estimating structural relationships from observed macroeconomic data rather than constructing counterfactuals through experimental designs, which are infeasible in macroeconomic policy analysis. Fiscal policy variables and macroeconomic outcomes are historically determined by institutional and political processes beyond the researcher’s control; hence, an ex-post facto design is methodologically appropriate and consistent with standard practice in applied macroeconometrics.</w:t>
      </w:r>
    </w:p>
    <w:p w14:paraId="111AC3FF"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t>The time-series framework is justified by the dynamic nature of fiscal transmission mechanisms. Keynesian stabilisation theory predicts short-run demand-side effects of deficit-financed spending, whereas Ricardian equivalence and fiscal-sustainability arguments imply longer-run neutral or adverse growth effects of persistent fiscal imbalances. Endogenous growth models further posit that the growth effects of taxation depend on revenue efficiency and the productivity of public spending. A time-series design is therefore necessary to distinguish short-run adjustment dynamics from long-run equilibrium relationships.</w:t>
      </w:r>
    </w:p>
    <w:p w14:paraId="4ADDC349"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A single-country design is analytically appropriate given Nigeria’s distinctive fiscal structure, characterised by oil-revenue volatility, recurrent structural deficits, and episodic tax reforms. Cross-country pooling would impose restrictive parameter homogeneity and risk masking country-specific institutional dynamics. The design aligns directly with the study’s objectives and hypotheses, which are framed in terms of short-run and long-run effects of budget deficits, tax reforms, and their interaction on economic performance within a dynamic adjustment framework.</w:t>
      </w:r>
    </w:p>
    <w:p w14:paraId="3899A375" w14:textId="77777777" w:rsidR="00272AEE" w:rsidRPr="00032248"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3.2 Model Specification</w:t>
      </w:r>
    </w:p>
    <w:p w14:paraId="79209478" w14:textId="77777777" w:rsidR="00272AEE" w:rsidRPr="00032248" w:rsidRDefault="00272AEE" w:rsidP="00B32196">
      <w:pPr>
        <w:spacing w:before="100" w:beforeAutospacing="1" w:after="100" w:afterAutospacing="1" w:line="360" w:lineRule="auto"/>
        <w:rPr>
          <w:rFonts w:ascii="Arial" w:eastAsia="Times New Roman" w:hAnsi="Arial" w:cs="Arial"/>
          <w:lang w:eastAsia="en-GB"/>
        </w:rPr>
      </w:pPr>
      <w:r w:rsidRPr="00032248">
        <w:lastRenderedPageBreak/>
        <w:t>The empirical framework is based on a reduced-form growth model in which economic performance is conditioned on fiscal policy instruments and standard macroeconomic controls. Let economic performance be proxied by real GDP growth (RGDPt). The functional form is:</w:t>
      </w:r>
    </w:p>
    <w:p w14:paraId="71ECBF0B" w14:textId="77777777" w:rsidR="00B60FC1" w:rsidRPr="00032248" w:rsidRDefault="00B60FC1" w:rsidP="00B32196">
      <w:pPr>
        <w:spacing w:line="360" w:lineRule="auto"/>
        <w:jc w:val="both"/>
        <w:rPr>
          <w:rFonts w:ascii="Arial" w:hAnsi="Arial" w:cs="Arial"/>
        </w:rPr>
      </w:pPr>
      <w:r w:rsidRPr="00032248">
        <w:rPr>
          <w:rFonts w:ascii="Arial" w:hAnsi="Arial" w:cs="Arial"/>
        </w:rPr>
        <w:t>RGDP</w:t>
      </w:r>
      <w:r w:rsidRPr="00032248">
        <w:rPr>
          <w:rFonts w:ascii="Arial" w:hAnsi="Arial" w:cs="Arial"/>
          <w:vertAlign w:val="subscript"/>
        </w:rPr>
        <w:t xml:space="preserve">t </w:t>
      </w:r>
      <w:r w:rsidRPr="00032248">
        <w:rPr>
          <w:rFonts w:ascii="Arial" w:hAnsi="Arial" w:cs="Arial"/>
        </w:rPr>
        <w:t>= β0 + β1BD</w:t>
      </w:r>
      <w:r w:rsidRPr="00032248">
        <w:rPr>
          <w:rFonts w:ascii="Arial" w:hAnsi="Arial" w:cs="Arial"/>
          <w:vertAlign w:val="subscript"/>
        </w:rPr>
        <w:t>t</w:t>
      </w:r>
      <w:r w:rsidRPr="00032248">
        <w:rPr>
          <w:rFonts w:ascii="Arial" w:hAnsi="Arial" w:cs="Arial"/>
        </w:rPr>
        <w:t xml:space="preserve"> + β2TR</w:t>
      </w:r>
      <w:r w:rsidRPr="00032248">
        <w:rPr>
          <w:rFonts w:ascii="Arial" w:hAnsi="Arial" w:cs="Arial"/>
          <w:vertAlign w:val="subscript"/>
        </w:rPr>
        <w:t>t</w:t>
      </w:r>
      <w:r w:rsidRPr="00032248">
        <w:rPr>
          <w:rFonts w:ascii="Arial" w:hAnsi="Arial" w:cs="Arial"/>
        </w:rPr>
        <w:t xml:space="preserve"> + β3INF</w:t>
      </w:r>
      <w:r w:rsidRPr="00032248">
        <w:rPr>
          <w:rFonts w:ascii="Arial" w:hAnsi="Arial" w:cs="Arial"/>
          <w:vertAlign w:val="subscript"/>
        </w:rPr>
        <w:t>t</w:t>
      </w:r>
      <w:r w:rsidRPr="00032248">
        <w:rPr>
          <w:rFonts w:ascii="Arial" w:hAnsi="Arial" w:cs="Arial"/>
        </w:rPr>
        <w:t xml:space="preserve"> + β4INT</w:t>
      </w:r>
      <w:r w:rsidRPr="00032248">
        <w:rPr>
          <w:rFonts w:ascii="Arial" w:hAnsi="Arial" w:cs="Arial"/>
          <w:vertAlign w:val="subscript"/>
        </w:rPr>
        <w:t>t</w:t>
      </w:r>
      <w:r w:rsidRPr="00032248">
        <w:rPr>
          <w:rFonts w:ascii="Arial" w:hAnsi="Arial" w:cs="Arial"/>
        </w:rPr>
        <w:t xml:space="preserve"> + β5OPEN</w:t>
      </w:r>
      <w:r w:rsidRPr="00032248">
        <w:rPr>
          <w:rFonts w:ascii="Arial" w:hAnsi="Arial" w:cs="Arial"/>
          <w:vertAlign w:val="subscript"/>
        </w:rPr>
        <w:t xml:space="preserve">t </w:t>
      </w:r>
      <w:r w:rsidRPr="00032248">
        <w:rPr>
          <w:rFonts w:ascii="Arial" w:hAnsi="Arial" w:cs="Arial"/>
        </w:rPr>
        <w:t>+ ϵ</w:t>
      </w:r>
      <w:r w:rsidRPr="00032248">
        <w:rPr>
          <w:rFonts w:ascii="Arial" w:hAnsi="Arial" w:cs="Arial"/>
          <w:vertAlign w:val="subscript"/>
        </w:rPr>
        <w:t xml:space="preserve">t </w:t>
      </w:r>
      <w:r w:rsidR="00AC7E1C" w:rsidRPr="00032248">
        <w:rPr>
          <w:rFonts w:ascii="Arial" w:hAnsi="Arial" w:cs="Arial"/>
          <w:vertAlign w:val="subscript"/>
        </w:rPr>
        <w:tab/>
      </w:r>
      <w:r w:rsidR="00AC7E1C" w:rsidRPr="00032248">
        <w:rPr>
          <w:rFonts w:ascii="Arial" w:hAnsi="Arial" w:cs="Arial"/>
        </w:rPr>
        <w:tab/>
      </w:r>
      <w:r w:rsidR="00AC7E1C" w:rsidRPr="00032248">
        <w:rPr>
          <w:rFonts w:ascii="Arial" w:hAnsi="Arial" w:cs="Arial"/>
        </w:rPr>
        <w:tab/>
        <w:t>(1)</w:t>
      </w:r>
    </w:p>
    <w:p w14:paraId="226A0827" w14:textId="77777777" w:rsidR="00AD00A6" w:rsidRPr="00032248" w:rsidRDefault="00AD00A6" w:rsidP="00B32196">
      <w:pPr>
        <w:spacing w:line="360" w:lineRule="auto"/>
        <w:jc w:val="both"/>
        <w:rPr>
          <w:rFonts w:ascii="Arial" w:hAnsi="Arial" w:cs="Arial"/>
        </w:rPr>
      </w:pPr>
      <w:r w:rsidRPr="00032248">
        <w:rPr>
          <w:rFonts w:ascii="Arial" w:hAnsi="Arial" w:cs="Arial"/>
        </w:rPr>
        <w:t>Where:</w:t>
      </w:r>
    </w:p>
    <w:p w14:paraId="58C77D15" w14:textId="77777777" w:rsidR="00AD00A6" w:rsidRPr="00032248" w:rsidRDefault="00AD00A6" w:rsidP="00607BC8">
      <w:pPr>
        <w:spacing w:line="360" w:lineRule="auto"/>
        <w:ind w:left="720"/>
        <w:jc w:val="both"/>
        <w:rPr>
          <w:rFonts w:ascii="Arial" w:hAnsi="Arial" w:cs="Arial"/>
        </w:rPr>
      </w:pPr>
      <w:r w:rsidRPr="00032248">
        <w:rPr>
          <w:rFonts w:ascii="Arial" w:hAnsi="Arial" w:cs="Arial"/>
        </w:rPr>
        <w:t>RGDP</w:t>
      </w:r>
      <w:r w:rsidRPr="00032248">
        <w:rPr>
          <w:rFonts w:ascii="Arial" w:hAnsi="Arial" w:cs="Arial"/>
          <w:vertAlign w:val="subscript"/>
        </w:rPr>
        <w:t xml:space="preserve">t </w:t>
      </w:r>
      <w:r w:rsidRPr="00032248">
        <w:rPr>
          <w:rFonts w:ascii="Arial" w:hAnsi="Arial" w:cs="Arial"/>
        </w:rPr>
        <w:t>= Real GDP growth rate at time t (economic performance).</w:t>
      </w:r>
    </w:p>
    <w:p w14:paraId="78168251" w14:textId="77777777" w:rsidR="00AD00A6" w:rsidRPr="00032248" w:rsidRDefault="00AD00A6" w:rsidP="00607BC8">
      <w:pPr>
        <w:spacing w:line="360" w:lineRule="auto"/>
        <w:ind w:left="720"/>
        <w:jc w:val="both"/>
        <w:rPr>
          <w:rFonts w:ascii="Arial" w:hAnsi="Arial" w:cs="Arial"/>
        </w:rPr>
      </w:pPr>
      <w:r w:rsidRPr="00032248">
        <w:rPr>
          <w:rFonts w:ascii="Arial" w:hAnsi="Arial" w:cs="Arial"/>
        </w:rPr>
        <w:t>BD</w:t>
      </w:r>
      <w:r w:rsidRPr="00032248">
        <w:rPr>
          <w:rFonts w:ascii="Arial" w:hAnsi="Arial" w:cs="Arial"/>
          <w:vertAlign w:val="subscript"/>
        </w:rPr>
        <w:t>t</w:t>
      </w:r>
      <w:r w:rsidRPr="00032248">
        <w:rPr>
          <w:rFonts w:ascii="Arial" w:hAnsi="Arial" w:cs="Arial"/>
        </w:rPr>
        <w:t xml:space="preserve"> = Budget deficit-to-GDP ratio at time t.</w:t>
      </w:r>
    </w:p>
    <w:p w14:paraId="129248A7" w14:textId="77777777" w:rsidR="00AD00A6" w:rsidRPr="00032248" w:rsidRDefault="00AD00A6" w:rsidP="00607BC8">
      <w:pPr>
        <w:spacing w:line="360" w:lineRule="auto"/>
        <w:ind w:left="720"/>
        <w:jc w:val="both"/>
        <w:rPr>
          <w:rFonts w:ascii="Arial" w:hAnsi="Arial" w:cs="Arial"/>
        </w:rPr>
      </w:pPr>
      <w:r w:rsidRPr="00032248">
        <w:rPr>
          <w:rFonts w:ascii="Arial" w:hAnsi="Arial" w:cs="Arial"/>
        </w:rPr>
        <w:t>TR</w:t>
      </w:r>
      <w:r w:rsidRPr="00032248">
        <w:rPr>
          <w:rFonts w:ascii="Arial" w:hAnsi="Arial" w:cs="Arial"/>
          <w:vertAlign w:val="subscript"/>
        </w:rPr>
        <w:t>t</w:t>
      </w:r>
      <w:r w:rsidRPr="00032248">
        <w:rPr>
          <w:rFonts w:ascii="Arial" w:hAnsi="Arial" w:cs="Arial"/>
        </w:rPr>
        <w:t xml:space="preserve"> = Index of tax reform (dummy variable or tax revenue-to-GDP ratio).</w:t>
      </w:r>
    </w:p>
    <w:p w14:paraId="10F9DF73" w14:textId="77777777" w:rsidR="00AD00A6" w:rsidRPr="00032248" w:rsidRDefault="00AD00A6" w:rsidP="00607BC8">
      <w:pPr>
        <w:spacing w:line="360" w:lineRule="auto"/>
        <w:ind w:left="720"/>
        <w:jc w:val="both"/>
        <w:rPr>
          <w:rFonts w:ascii="Arial" w:hAnsi="Arial" w:cs="Arial"/>
        </w:rPr>
      </w:pPr>
      <w:r w:rsidRPr="00032248">
        <w:rPr>
          <w:rFonts w:ascii="Arial" w:hAnsi="Arial" w:cs="Arial"/>
        </w:rPr>
        <w:t>INF</w:t>
      </w:r>
      <w:r w:rsidRPr="00032248">
        <w:rPr>
          <w:rFonts w:ascii="Arial" w:hAnsi="Arial" w:cs="Arial"/>
          <w:vertAlign w:val="subscript"/>
        </w:rPr>
        <w:t>t</w:t>
      </w:r>
      <w:r w:rsidRPr="00032248">
        <w:rPr>
          <w:rFonts w:ascii="Arial" w:hAnsi="Arial" w:cs="Arial"/>
        </w:rPr>
        <w:t xml:space="preserve"> = Inflation rate at time t.</w:t>
      </w:r>
    </w:p>
    <w:p w14:paraId="5CFDFBC4" w14:textId="77777777" w:rsidR="00AD00A6" w:rsidRPr="00032248" w:rsidRDefault="00AD00A6" w:rsidP="00607BC8">
      <w:pPr>
        <w:spacing w:line="360" w:lineRule="auto"/>
        <w:ind w:left="720"/>
        <w:jc w:val="both"/>
        <w:rPr>
          <w:rFonts w:ascii="Arial" w:hAnsi="Arial" w:cs="Arial"/>
        </w:rPr>
      </w:pPr>
      <w:r w:rsidRPr="00032248">
        <w:t>INTt = Interest rate at time t.</w:t>
      </w:r>
    </w:p>
    <w:p w14:paraId="16B088DD" w14:textId="77777777" w:rsidR="00AD00A6" w:rsidRPr="00032248" w:rsidRDefault="00AD00A6" w:rsidP="00607BC8">
      <w:pPr>
        <w:spacing w:line="360" w:lineRule="auto"/>
        <w:ind w:left="720"/>
        <w:jc w:val="both"/>
        <w:rPr>
          <w:rFonts w:ascii="Arial" w:hAnsi="Arial" w:cs="Arial"/>
        </w:rPr>
      </w:pPr>
      <w:r w:rsidRPr="00032248">
        <w:rPr>
          <w:rFonts w:ascii="Arial" w:hAnsi="Arial" w:cs="Arial"/>
        </w:rPr>
        <w:t>OPEN</w:t>
      </w:r>
      <w:r w:rsidRPr="00032248">
        <w:rPr>
          <w:rFonts w:ascii="Arial" w:hAnsi="Arial" w:cs="Arial"/>
          <w:vertAlign w:val="subscript"/>
        </w:rPr>
        <w:t>t</w:t>
      </w:r>
      <w:r w:rsidRPr="00032248">
        <w:rPr>
          <w:rFonts w:ascii="Arial" w:hAnsi="Arial" w:cs="Arial"/>
        </w:rPr>
        <w:t xml:space="preserve"> = Trade openness (sum of exports and imports as a percentage of GDP).</w:t>
      </w:r>
    </w:p>
    <w:p w14:paraId="0D7F4707" w14:textId="77777777" w:rsidR="00AD00A6" w:rsidRPr="00032248" w:rsidRDefault="00AD00A6" w:rsidP="00607BC8">
      <w:pPr>
        <w:spacing w:line="360" w:lineRule="auto"/>
        <w:ind w:left="720"/>
        <w:jc w:val="both"/>
        <w:rPr>
          <w:rFonts w:ascii="Arial" w:hAnsi="Arial" w:cs="Arial"/>
        </w:rPr>
      </w:pPr>
      <w:r w:rsidRPr="00032248">
        <w:rPr>
          <w:rFonts w:ascii="Arial" w:hAnsi="Arial" w:cs="Arial"/>
        </w:rPr>
        <w:t>ϵ</w:t>
      </w:r>
      <w:r w:rsidRPr="00032248">
        <w:rPr>
          <w:rFonts w:ascii="Arial" w:hAnsi="Arial" w:cs="Arial"/>
          <w:vertAlign w:val="subscript"/>
        </w:rPr>
        <w:t xml:space="preserve"> t</w:t>
      </w:r>
      <w:r w:rsidRPr="00032248">
        <w:rPr>
          <w:rFonts w:ascii="Arial" w:hAnsi="Arial" w:cs="Arial"/>
        </w:rPr>
        <w:t xml:space="preserve"> = Error term.</w:t>
      </w:r>
    </w:p>
    <w:p w14:paraId="66D4889E" w14:textId="77777777" w:rsidR="00272AEE" w:rsidRPr="00032248" w:rsidRDefault="00272AEE" w:rsidP="00B32196">
      <w:pPr>
        <w:spacing w:before="100" w:beforeAutospacing="1" w:after="100" w:afterAutospacing="1" w:line="360" w:lineRule="auto"/>
        <w:rPr>
          <w:rFonts w:ascii="Arial" w:eastAsia="Times New Roman" w:hAnsi="Arial" w:cs="Arial"/>
          <w:lang w:eastAsia="en-GB"/>
        </w:rPr>
      </w:pPr>
      <w:r w:rsidRPr="00032248">
        <w:rPr>
          <w:rFonts w:ascii="Arial" w:eastAsia="Times New Roman" w:hAnsi="Arial" w:cs="Arial"/>
          <w:lang w:eastAsia="en-GB"/>
        </w:rPr>
        <w:t>This specification permits the decomposition of short-run dynamics and long-run equilibrium relationships through an error-correction representation.</w:t>
      </w:r>
    </w:p>
    <w:p w14:paraId="028A14A1" w14:textId="77777777" w:rsidR="0083553F" w:rsidRPr="00032248" w:rsidRDefault="00272AEE" w:rsidP="0064642B">
      <w:pPr>
        <w:spacing w:before="100" w:beforeAutospacing="1" w:after="100" w:afterAutospacing="1" w:line="360" w:lineRule="auto"/>
        <w:jc w:val="both"/>
        <w:rPr>
          <w:rFonts w:ascii="Arial" w:eastAsia="Times New Roman" w:hAnsi="Arial" w:cs="Arial"/>
          <w:lang w:eastAsia="en-GB"/>
        </w:rPr>
      </w:pPr>
      <w:r w:rsidRPr="00032248">
        <w:t>The inclusion of the budget deficit variable is theoretically grounded in Keynesian stabilisation theory (short-run expansionary effects) and Ricardian equivalence and debt-overhang arguments (long-run neutral or adverse effects of persistent deficits). Accordingly, the a priori sign of (BDt) is ambiguous in the short run but is expected to be negative in the long run beyond sustainable fiscal thresholds. Tax reform, proxied by tax revenue relative to GDP, captures the effectiveness of revenue mobilisation; endogenous growth theory predicts that efficient, broad-based taxation can support growth through improved financing of productive public investment, while distortionary taxation may impede private-sector activity, rendering the sign of (TRt) theoretically indeterminate. Inflation is expected to exert a negative effect on growth through macroeconomic instability, interest rates are expected to exert a negative effect through the cost-of-capital channel, and trade openness is expected to exert a positive effect through efficiency gains, market access, and technology diffusion.</w:t>
      </w:r>
    </w:p>
    <w:p w14:paraId="0646284D" w14:textId="77777777" w:rsidR="00272AEE" w:rsidRPr="00032248"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3.3 Data Description and Sources</w:t>
      </w:r>
    </w:p>
    <w:p w14:paraId="4C84D436"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 xml:space="preserve">Annual time-series data for Nigeria covering 2000–2023 are employed. This period captures major fiscal adjustments, tax reform episodes, and macroeconomic shocks relevant for identifying </w:t>
      </w:r>
      <w:r w:rsidRPr="00032248">
        <w:rPr>
          <w:rFonts w:ascii="Arial" w:eastAsia="Times New Roman" w:hAnsi="Arial" w:cs="Arial"/>
          <w:lang w:eastAsia="en-GB"/>
        </w:rPr>
        <w:lastRenderedPageBreak/>
        <w:t>dynamic fiscal-growth relationships, while also reflecting improved data consistency and availability relative to earlier periods.</w:t>
      </w:r>
    </w:p>
    <w:p w14:paraId="1ECDFBF8"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Economic performance is measured by real GDP growth (annual percentage change). The budget deficit is measured as the overall fiscal balance relative to GDP, normalising fiscal imbalance by economic size. Tax reform is proxied by tax revenue as a percentage of GDP, reflecting the outcomes of revenue mobilisation efforts. Inflation is measured by the consumer price index (annual percentage change), the interest rate reflects the monetary policy stance and cost of capital, and trade openness is measured as the ratio of total trade to GDP.</w:t>
      </w:r>
    </w:p>
    <w:p w14:paraId="5F4813E9"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Data are sourced from authoritative and internationally recognised institutions to ensure transparency and replicability. Real GDP growth and trade openness are obtained from the World Bank’s World Development Indicators. Budget deficit and inflation series are drawn from the Central Bank of Nigeria, while tax revenue data are obtained from the National Bureau of Statistics. These sources are standard in applied macroeconomic research and ensure comparability with the existing literature.</w:t>
      </w:r>
    </w:p>
    <w:p w14:paraId="6B30C209" w14:textId="77777777" w:rsidR="00144384" w:rsidRPr="00032248" w:rsidRDefault="00144384"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List1-</w:t>
      </w:r>
      <w:r w:rsidR="00133AD5" w:rsidRPr="00032248">
        <w:t xml:space="preserve"> Description, Measurement, Data Sources, and Expected Signs of the Study Variables</w:t>
      </w:r>
    </w:p>
    <w:tbl>
      <w:tblPr>
        <w:tblStyle w:val="TableGrid"/>
        <w:tblW w:w="0" w:type="auto"/>
        <w:tblLook w:val="04A0" w:firstRow="1" w:lastRow="0" w:firstColumn="1" w:lastColumn="0" w:noHBand="0" w:noVBand="1"/>
      </w:tblPr>
      <w:tblGrid>
        <w:gridCol w:w="2099"/>
        <w:gridCol w:w="1136"/>
        <w:gridCol w:w="2236"/>
        <w:gridCol w:w="1724"/>
        <w:gridCol w:w="1724"/>
      </w:tblGrid>
      <w:tr w:rsidR="00ED403B" w:rsidRPr="00032248" w14:paraId="30EB00DE" w14:textId="77777777" w:rsidTr="00867096">
        <w:trPr>
          <w:trHeight w:val="669"/>
        </w:trPr>
        <w:tc>
          <w:tcPr>
            <w:tcW w:w="2099" w:type="dxa"/>
          </w:tcPr>
          <w:p w14:paraId="4890BECB" w14:textId="77777777" w:rsidR="00ED403B" w:rsidRPr="00032248" w:rsidRDefault="00ED403B" w:rsidP="00B32196">
            <w:pPr>
              <w:spacing w:line="360" w:lineRule="auto"/>
              <w:rPr>
                <w:rFonts w:ascii="Arial" w:hAnsi="Arial" w:cs="Arial"/>
                <w:b/>
                <w:bCs/>
                <w:sz w:val="22"/>
                <w:szCs w:val="22"/>
              </w:rPr>
            </w:pPr>
            <w:r w:rsidRPr="00032248">
              <w:rPr>
                <w:rFonts w:ascii="Arial" w:hAnsi="Arial" w:cs="Arial"/>
                <w:b/>
                <w:bCs/>
                <w:sz w:val="22"/>
                <w:szCs w:val="22"/>
              </w:rPr>
              <w:t>Variable Name</w:t>
            </w:r>
          </w:p>
        </w:tc>
        <w:tc>
          <w:tcPr>
            <w:tcW w:w="1136" w:type="dxa"/>
          </w:tcPr>
          <w:p w14:paraId="73F43E65" w14:textId="77777777" w:rsidR="00ED403B" w:rsidRPr="00032248" w:rsidRDefault="00ED403B" w:rsidP="00B32196">
            <w:pPr>
              <w:spacing w:line="360" w:lineRule="auto"/>
              <w:rPr>
                <w:rFonts w:ascii="Arial" w:hAnsi="Arial" w:cs="Arial"/>
                <w:b/>
                <w:bCs/>
                <w:sz w:val="22"/>
                <w:szCs w:val="22"/>
              </w:rPr>
            </w:pPr>
            <w:r w:rsidRPr="00032248">
              <w:rPr>
                <w:rFonts w:ascii="Arial" w:hAnsi="Arial" w:cs="Arial"/>
                <w:b/>
                <w:bCs/>
                <w:sz w:val="22"/>
                <w:szCs w:val="22"/>
              </w:rPr>
              <w:t>Short Form</w:t>
            </w:r>
          </w:p>
        </w:tc>
        <w:tc>
          <w:tcPr>
            <w:tcW w:w="2236" w:type="dxa"/>
          </w:tcPr>
          <w:p w14:paraId="7C0AA1EC" w14:textId="77777777" w:rsidR="00ED403B" w:rsidRPr="00032248" w:rsidRDefault="00ED403B" w:rsidP="00B32196">
            <w:pPr>
              <w:spacing w:line="360" w:lineRule="auto"/>
              <w:rPr>
                <w:rFonts w:ascii="Arial" w:hAnsi="Arial" w:cs="Arial"/>
                <w:b/>
                <w:bCs/>
                <w:sz w:val="22"/>
                <w:szCs w:val="22"/>
              </w:rPr>
            </w:pPr>
            <w:r w:rsidRPr="00032248">
              <w:rPr>
                <w:rFonts w:ascii="Arial" w:hAnsi="Arial" w:cs="Arial"/>
                <w:b/>
                <w:bCs/>
                <w:sz w:val="22"/>
                <w:szCs w:val="22"/>
              </w:rPr>
              <w:t>Description / Measurement.</w:t>
            </w:r>
          </w:p>
        </w:tc>
        <w:tc>
          <w:tcPr>
            <w:tcW w:w="1724" w:type="dxa"/>
          </w:tcPr>
          <w:p w14:paraId="3EF2D70A" w14:textId="77777777" w:rsidR="00ED403B" w:rsidRPr="00032248" w:rsidRDefault="00ED403B" w:rsidP="00B32196">
            <w:pPr>
              <w:spacing w:line="360" w:lineRule="auto"/>
              <w:rPr>
                <w:rFonts w:ascii="Arial" w:hAnsi="Arial" w:cs="Arial"/>
                <w:b/>
                <w:bCs/>
                <w:sz w:val="22"/>
                <w:szCs w:val="22"/>
              </w:rPr>
            </w:pPr>
            <w:r w:rsidRPr="00032248">
              <w:rPr>
                <w:rFonts w:ascii="Arial" w:hAnsi="Arial" w:cs="Arial"/>
                <w:b/>
                <w:bCs/>
                <w:sz w:val="22"/>
                <w:szCs w:val="22"/>
              </w:rPr>
              <w:t>Source</w:t>
            </w:r>
          </w:p>
        </w:tc>
        <w:tc>
          <w:tcPr>
            <w:tcW w:w="1724" w:type="dxa"/>
          </w:tcPr>
          <w:p w14:paraId="053081AA" w14:textId="77777777" w:rsidR="00ED403B" w:rsidRPr="00032248" w:rsidRDefault="00ED403B" w:rsidP="00B32196">
            <w:pPr>
              <w:spacing w:line="360" w:lineRule="auto"/>
              <w:rPr>
                <w:rFonts w:ascii="Arial" w:hAnsi="Arial" w:cs="Arial"/>
                <w:b/>
                <w:bCs/>
                <w:sz w:val="22"/>
                <w:szCs w:val="22"/>
              </w:rPr>
            </w:pPr>
            <w:r w:rsidRPr="00032248">
              <w:rPr>
                <w:rFonts w:ascii="Arial" w:hAnsi="Arial" w:cs="Arial"/>
                <w:b/>
                <w:bCs/>
                <w:sz w:val="22"/>
                <w:szCs w:val="22"/>
              </w:rPr>
              <w:t>Expected Sign</w:t>
            </w:r>
          </w:p>
        </w:tc>
      </w:tr>
      <w:tr w:rsidR="00ED403B" w:rsidRPr="00032248" w14:paraId="7321F4CC" w14:textId="77777777" w:rsidTr="00867096">
        <w:trPr>
          <w:trHeight w:val="900"/>
        </w:trPr>
        <w:tc>
          <w:tcPr>
            <w:tcW w:w="2099" w:type="dxa"/>
          </w:tcPr>
          <w:p w14:paraId="428D21A2"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GDP Growth Rate</w:t>
            </w:r>
          </w:p>
        </w:tc>
        <w:tc>
          <w:tcPr>
            <w:tcW w:w="1136" w:type="dxa"/>
          </w:tcPr>
          <w:p w14:paraId="3B502DA7"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GDPR</w:t>
            </w:r>
          </w:p>
        </w:tc>
        <w:tc>
          <w:tcPr>
            <w:tcW w:w="2236" w:type="dxa"/>
          </w:tcPr>
          <w:p w14:paraId="0DF4256E"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Annual percentage growth rate of GDP.</w:t>
            </w:r>
          </w:p>
        </w:tc>
        <w:tc>
          <w:tcPr>
            <w:tcW w:w="1724" w:type="dxa"/>
          </w:tcPr>
          <w:p w14:paraId="6A4CA48E"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World Bank (WDI)</w:t>
            </w:r>
          </w:p>
        </w:tc>
        <w:tc>
          <w:tcPr>
            <w:tcW w:w="1724" w:type="dxa"/>
          </w:tcPr>
          <w:p w14:paraId="1951D340" w14:textId="77777777" w:rsidR="00ED403B" w:rsidRPr="00032248" w:rsidRDefault="00867096" w:rsidP="00B32196">
            <w:pPr>
              <w:spacing w:line="360" w:lineRule="auto"/>
              <w:rPr>
                <w:rFonts w:ascii="Arial" w:hAnsi="Arial" w:cs="Arial"/>
                <w:sz w:val="22"/>
                <w:szCs w:val="22"/>
              </w:rPr>
            </w:pPr>
            <w:r w:rsidRPr="00032248">
              <w:rPr>
                <w:rFonts w:ascii="Arial" w:hAnsi="Arial" w:cs="Arial"/>
                <w:sz w:val="22"/>
                <w:szCs w:val="22"/>
                <w:lang w:val="en-GB"/>
              </w:rPr>
              <w:t>Dependent</w:t>
            </w:r>
          </w:p>
        </w:tc>
      </w:tr>
      <w:tr w:rsidR="00ED403B" w:rsidRPr="00032248" w14:paraId="7AB31B34" w14:textId="77777777" w:rsidTr="00867096">
        <w:tc>
          <w:tcPr>
            <w:tcW w:w="2099" w:type="dxa"/>
          </w:tcPr>
          <w:p w14:paraId="78B918F0"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Budget deficit</w:t>
            </w:r>
          </w:p>
        </w:tc>
        <w:tc>
          <w:tcPr>
            <w:tcW w:w="1136" w:type="dxa"/>
          </w:tcPr>
          <w:p w14:paraId="6FFE9F81"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BD</w:t>
            </w:r>
          </w:p>
        </w:tc>
        <w:tc>
          <w:tcPr>
            <w:tcW w:w="2236" w:type="dxa"/>
          </w:tcPr>
          <w:p w14:paraId="1639FC7F"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Budget deficit-to-GDP ratio.</w:t>
            </w:r>
          </w:p>
        </w:tc>
        <w:tc>
          <w:tcPr>
            <w:tcW w:w="1724" w:type="dxa"/>
          </w:tcPr>
          <w:p w14:paraId="49984584"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Central Bank of Nigeria</w:t>
            </w:r>
          </w:p>
        </w:tc>
        <w:tc>
          <w:tcPr>
            <w:tcW w:w="1724" w:type="dxa"/>
          </w:tcPr>
          <w:p w14:paraId="71AFA753" w14:textId="77777777" w:rsidR="00ED403B" w:rsidRPr="00032248" w:rsidRDefault="00867096" w:rsidP="00B32196">
            <w:pPr>
              <w:spacing w:line="360" w:lineRule="auto"/>
              <w:rPr>
                <w:rFonts w:ascii="Arial" w:hAnsi="Arial" w:cs="Arial"/>
                <w:sz w:val="22"/>
                <w:szCs w:val="22"/>
              </w:rPr>
            </w:pPr>
            <w:r w:rsidRPr="00032248">
              <w:rPr>
                <w:rFonts w:ascii="Arial" w:hAnsi="Arial" w:cs="Arial"/>
                <w:sz w:val="22"/>
                <w:szCs w:val="22"/>
                <w:lang w:val="en-GB"/>
              </w:rPr>
              <w:t>Negative (–)</w:t>
            </w:r>
          </w:p>
        </w:tc>
      </w:tr>
      <w:tr w:rsidR="00ED403B" w:rsidRPr="00032248" w14:paraId="40AF3E19" w14:textId="77777777" w:rsidTr="00867096">
        <w:tc>
          <w:tcPr>
            <w:tcW w:w="2099" w:type="dxa"/>
          </w:tcPr>
          <w:p w14:paraId="44278410"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Tax reform</w:t>
            </w:r>
          </w:p>
        </w:tc>
        <w:tc>
          <w:tcPr>
            <w:tcW w:w="1136" w:type="dxa"/>
          </w:tcPr>
          <w:p w14:paraId="3B02427D"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TR</w:t>
            </w:r>
          </w:p>
        </w:tc>
        <w:tc>
          <w:tcPr>
            <w:tcW w:w="2236" w:type="dxa"/>
          </w:tcPr>
          <w:p w14:paraId="60BD85BB"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Tax revenue-to-GDP ratio.</w:t>
            </w:r>
          </w:p>
        </w:tc>
        <w:tc>
          <w:tcPr>
            <w:tcW w:w="1724" w:type="dxa"/>
          </w:tcPr>
          <w:p w14:paraId="61C04C58"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National Bureau</w:t>
            </w:r>
            <w:r w:rsidR="00867096" w:rsidRPr="00032248">
              <w:rPr>
                <w:rFonts w:ascii="Arial" w:hAnsi="Arial" w:cs="Arial"/>
                <w:sz w:val="22"/>
                <w:szCs w:val="22"/>
              </w:rPr>
              <w:t xml:space="preserve"> </w:t>
            </w:r>
            <w:r w:rsidRPr="00032248">
              <w:rPr>
                <w:rFonts w:ascii="Arial" w:hAnsi="Arial" w:cs="Arial"/>
                <w:sz w:val="22"/>
                <w:szCs w:val="22"/>
              </w:rPr>
              <w:t>of Statistics (NBS)</w:t>
            </w:r>
          </w:p>
        </w:tc>
        <w:tc>
          <w:tcPr>
            <w:tcW w:w="1724" w:type="dxa"/>
          </w:tcPr>
          <w:p w14:paraId="293DBE03" w14:textId="77777777" w:rsidR="00ED403B" w:rsidRPr="00032248" w:rsidRDefault="00867096" w:rsidP="00B32196">
            <w:pPr>
              <w:spacing w:line="360" w:lineRule="auto"/>
              <w:rPr>
                <w:rFonts w:ascii="Arial" w:hAnsi="Arial" w:cs="Arial"/>
                <w:sz w:val="22"/>
                <w:szCs w:val="22"/>
              </w:rPr>
            </w:pPr>
            <w:r w:rsidRPr="00032248">
              <w:rPr>
                <w:rFonts w:ascii="Arial" w:hAnsi="Arial" w:cs="Arial"/>
                <w:sz w:val="22"/>
                <w:szCs w:val="22"/>
                <w:lang w:val="en-GB"/>
              </w:rPr>
              <w:t>Positive (+)</w:t>
            </w:r>
          </w:p>
        </w:tc>
      </w:tr>
      <w:tr w:rsidR="00ED403B" w:rsidRPr="00032248" w14:paraId="0573B680" w14:textId="77777777" w:rsidTr="00867096">
        <w:trPr>
          <w:trHeight w:val="773"/>
        </w:trPr>
        <w:tc>
          <w:tcPr>
            <w:tcW w:w="2099" w:type="dxa"/>
          </w:tcPr>
          <w:p w14:paraId="1DEE2A16"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Inflation</w:t>
            </w:r>
          </w:p>
        </w:tc>
        <w:tc>
          <w:tcPr>
            <w:tcW w:w="1136" w:type="dxa"/>
          </w:tcPr>
          <w:p w14:paraId="54D16223"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INF</w:t>
            </w:r>
          </w:p>
        </w:tc>
        <w:tc>
          <w:tcPr>
            <w:tcW w:w="2236" w:type="dxa"/>
          </w:tcPr>
          <w:p w14:paraId="7FAEB1E0"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Consumer Price Index (CPI).</w:t>
            </w:r>
          </w:p>
        </w:tc>
        <w:tc>
          <w:tcPr>
            <w:tcW w:w="1724" w:type="dxa"/>
          </w:tcPr>
          <w:p w14:paraId="6BEAE46B"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Central Bank of Nigeria</w:t>
            </w:r>
          </w:p>
        </w:tc>
        <w:tc>
          <w:tcPr>
            <w:tcW w:w="1724" w:type="dxa"/>
          </w:tcPr>
          <w:p w14:paraId="2D49DB6D" w14:textId="77777777" w:rsidR="00ED403B" w:rsidRPr="00032248" w:rsidRDefault="00867096" w:rsidP="00B32196">
            <w:pPr>
              <w:spacing w:line="360" w:lineRule="auto"/>
              <w:rPr>
                <w:rFonts w:ascii="Arial" w:hAnsi="Arial" w:cs="Arial"/>
                <w:sz w:val="22"/>
                <w:szCs w:val="22"/>
              </w:rPr>
            </w:pPr>
            <w:r w:rsidRPr="00032248">
              <w:rPr>
                <w:rFonts w:ascii="Arial" w:hAnsi="Arial" w:cs="Arial"/>
                <w:sz w:val="22"/>
                <w:szCs w:val="22"/>
                <w:lang w:val="en-GB"/>
              </w:rPr>
              <w:t>Negative (–)</w:t>
            </w:r>
          </w:p>
        </w:tc>
      </w:tr>
      <w:tr w:rsidR="00ED403B" w:rsidRPr="00032248" w14:paraId="787410CF" w14:textId="77777777" w:rsidTr="00867096">
        <w:tc>
          <w:tcPr>
            <w:tcW w:w="2099" w:type="dxa"/>
          </w:tcPr>
          <w:p w14:paraId="432CEE11"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Interest</w:t>
            </w:r>
          </w:p>
        </w:tc>
        <w:tc>
          <w:tcPr>
            <w:tcW w:w="1136" w:type="dxa"/>
          </w:tcPr>
          <w:p w14:paraId="2DB5EA67"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INT</w:t>
            </w:r>
          </w:p>
        </w:tc>
        <w:tc>
          <w:tcPr>
            <w:tcW w:w="2236" w:type="dxa"/>
          </w:tcPr>
          <w:p w14:paraId="36EE3E4C"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Interest rate.</w:t>
            </w:r>
          </w:p>
        </w:tc>
        <w:tc>
          <w:tcPr>
            <w:tcW w:w="1724" w:type="dxa"/>
          </w:tcPr>
          <w:p w14:paraId="6CD8AB05"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Central Bank of Nigeria</w:t>
            </w:r>
          </w:p>
        </w:tc>
        <w:tc>
          <w:tcPr>
            <w:tcW w:w="1724" w:type="dxa"/>
          </w:tcPr>
          <w:p w14:paraId="4F25CE9C" w14:textId="77777777" w:rsidR="00ED403B" w:rsidRPr="00032248" w:rsidRDefault="00867096" w:rsidP="00B32196">
            <w:pPr>
              <w:spacing w:line="360" w:lineRule="auto"/>
              <w:rPr>
                <w:rFonts w:ascii="Arial" w:hAnsi="Arial" w:cs="Arial"/>
                <w:sz w:val="22"/>
                <w:szCs w:val="22"/>
              </w:rPr>
            </w:pPr>
            <w:r w:rsidRPr="00032248">
              <w:rPr>
                <w:rFonts w:ascii="Arial" w:hAnsi="Arial" w:cs="Arial"/>
                <w:sz w:val="22"/>
                <w:szCs w:val="22"/>
                <w:lang w:val="en-GB"/>
              </w:rPr>
              <w:t>Negative (–)</w:t>
            </w:r>
          </w:p>
        </w:tc>
      </w:tr>
      <w:tr w:rsidR="00ED403B" w:rsidRPr="00032248" w14:paraId="2E36C465" w14:textId="77777777" w:rsidTr="00867096">
        <w:tc>
          <w:tcPr>
            <w:tcW w:w="2099" w:type="dxa"/>
          </w:tcPr>
          <w:p w14:paraId="17B5C2BF"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Trade openness</w:t>
            </w:r>
          </w:p>
        </w:tc>
        <w:tc>
          <w:tcPr>
            <w:tcW w:w="1136" w:type="dxa"/>
          </w:tcPr>
          <w:p w14:paraId="32FCE271"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OPEN</w:t>
            </w:r>
          </w:p>
        </w:tc>
        <w:tc>
          <w:tcPr>
            <w:tcW w:w="2236" w:type="dxa"/>
          </w:tcPr>
          <w:p w14:paraId="2A87E6B6"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t xml:space="preserve">Sum of exports and </w:t>
            </w:r>
            <w:r w:rsidRPr="00032248">
              <w:rPr>
                <w:rFonts w:ascii="Arial" w:hAnsi="Arial" w:cs="Arial"/>
                <w:sz w:val="22"/>
                <w:szCs w:val="22"/>
              </w:rPr>
              <w:lastRenderedPageBreak/>
              <w:t>imports as a percentage of</w:t>
            </w:r>
            <w:r w:rsidR="00867096" w:rsidRPr="00032248">
              <w:rPr>
                <w:rFonts w:ascii="Arial" w:hAnsi="Arial" w:cs="Arial"/>
                <w:sz w:val="22"/>
                <w:szCs w:val="22"/>
              </w:rPr>
              <w:t xml:space="preserve"> GDP.</w:t>
            </w:r>
            <w:r w:rsidRPr="00032248">
              <w:rPr>
                <w:rFonts w:ascii="Arial" w:hAnsi="Arial" w:cs="Arial"/>
                <w:sz w:val="22"/>
                <w:szCs w:val="22"/>
              </w:rPr>
              <w:t xml:space="preserve"> </w:t>
            </w:r>
          </w:p>
        </w:tc>
        <w:tc>
          <w:tcPr>
            <w:tcW w:w="1724" w:type="dxa"/>
          </w:tcPr>
          <w:p w14:paraId="3AAAAFE8" w14:textId="77777777" w:rsidR="00ED403B" w:rsidRPr="00032248" w:rsidRDefault="00ED403B" w:rsidP="00B32196">
            <w:pPr>
              <w:spacing w:line="360" w:lineRule="auto"/>
              <w:rPr>
                <w:rFonts w:ascii="Arial" w:hAnsi="Arial" w:cs="Arial"/>
                <w:sz w:val="22"/>
                <w:szCs w:val="22"/>
              </w:rPr>
            </w:pPr>
            <w:r w:rsidRPr="00032248">
              <w:rPr>
                <w:rFonts w:ascii="Arial" w:hAnsi="Arial" w:cs="Arial"/>
                <w:sz w:val="22"/>
                <w:szCs w:val="22"/>
              </w:rPr>
              <w:lastRenderedPageBreak/>
              <w:t xml:space="preserve">World Bank </w:t>
            </w:r>
            <w:r w:rsidRPr="00032248">
              <w:rPr>
                <w:rFonts w:ascii="Arial" w:hAnsi="Arial" w:cs="Arial"/>
                <w:sz w:val="22"/>
                <w:szCs w:val="22"/>
              </w:rPr>
              <w:lastRenderedPageBreak/>
              <w:t>(WDI)</w:t>
            </w:r>
          </w:p>
        </w:tc>
        <w:tc>
          <w:tcPr>
            <w:tcW w:w="1724" w:type="dxa"/>
          </w:tcPr>
          <w:p w14:paraId="412B1E50" w14:textId="77777777" w:rsidR="00ED403B" w:rsidRPr="00032248" w:rsidRDefault="00867096" w:rsidP="00B32196">
            <w:pPr>
              <w:spacing w:line="360" w:lineRule="auto"/>
              <w:rPr>
                <w:rFonts w:ascii="Arial" w:hAnsi="Arial" w:cs="Arial"/>
                <w:sz w:val="22"/>
                <w:szCs w:val="22"/>
              </w:rPr>
            </w:pPr>
            <w:r w:rsidRPr="00032248">
              <w:rPr>
                <w:rFonts w:ascii="Arial" w:hAnsi="Arial" w:cs="Arial"/>
                <w:sz w:val="22"/>
                <w:szCs w:val="22"/>
                <w:lang w:val="en-GB"/>
              </w:rPr>
              <w:lastRenderedPageBreak/>
              <w:t>Positive (+)</w:t>
            </w:r>
          </w:p>
        </w:tc>
      </w:tr>
    </w:tbl>
    <w:p w14:paraId="06192EA9" w14:textId="77777777" w:rsidR="007A73CA" w:rsidRPr="00032248" w:rsidRDefault="004C035A" w:rsidP="007A73CA">
      <w:pPr>
        <w:spacing w:line="360" w:lineRule="auto"/>
        <w:rPr>
          <w:rFonts w:ascii="Arial" w:eastAsia="Times New Roman" w:hAnsi="Arial" w:cs="Arial"/>
          <w:lang w:val="en-US" w:eastAsia="en-GB"/>
        </w:rPr>
      </w:pPr>
      <w:r w:rsidRPr="00032248">
        <w:rPr>
          <w:rFonts w:ascii="Arial" w:eastAsia="Times New Roman" w:hAnsi="Arial" w:cs="Arial"/>
          <w:lang w:val="en-US" w:eastAsia="en-GB"/>
        </w:rPr>
        <w:t>Source: Compiled by the authors</w:t>
      </w:r>
    </w:p>
    <w:p w14:paraId="0F1FC651" w14:textId="77777777" w:rsidR="007A73CA" w:rsidRPr="00032248" w:rsidRDefault="007A73CA" w:rsidP="007A73CA">
      <w:pPr>
        <w:spacing w:line="360" w:lineRule="auto"/>
        <w:rPr>
          <w:rFonts w:ascii="Arial" w:eastAsia="Times New Roman" w:hAnsi="Arial" w:cs="Arial"/>
          <w:b/>
          <w:bCs/>
          <w:lang w:val="en-US" w:eastAsia="en-GB"/>
        </w:rPr>
      </w:pPr>
      <w:r w:rsidRPr="00032248">
        <w:rPr>
          <w:rFonts w:ascii="Arial" w:eastAsia="Times New Roman" w:hAnsi="Arial" w:cs="Arial"/>
          <w:b/>
          <w:bCs/>
          <w:lang w:val="en-US" w:eastAsia="en-GB"/>
        </w:rPr>
        <w:t>3.4 Estimation Technique</w:t>
      </w:r>
    </w:p>
    <w:p w14:paraId="5107B863" w14:textId="77777777" w:rsidR="007A73CA" w:rsidRPr="00032248" w:rsidRDefault="007A73CA" w:rsidP="00AF6B56">
      <w:pPr>
        <w:spacing w:line="360" w:lineRule="auto"/>
        <w:jc w:val="both"/>
        <w:rPr>
          <w:rFonts w:ascii="Arial" w:eastAsia="Times New Roman" w:hAnsi="Arial" w:cs="Arial"/>
          <w:lang w:val="en-US" w:eastAsia="en-GB"/>
        </w:rPr>
      </w:pPr>
      <w:r w:rsidRPr="00032248">
        <w:t>This study utilises the Autoregressive Distributed Lag (ARDL) modelling approach alongside the bounds-testing procedure to investigate the relationships among the variables. The ARDL technique is well suited to time-series data drawn from a single economy, particularly when the explanatory variables are integrated at different orders, such as I(0) and I(1), provided that none is integrated of order two. This property makes it appropriate for analysing macroeconomic and fiscal indicators, which often display varying stochastic behaviour.</w:t>
      </w:r>
    </w:p>
    <w:p w14:paraId="30399930" w14:textId="77777777" w:rsidR="007A73CA" w:rsidRPr="00032248" w:rsidRDefault="007A73CA" w:rsidP="00AF6B56">
      <w:pPr>
        <w:spacing w:line="360" w:lineRule="auto"/>
        <w:jc w:val="both"/>
        <w:rPr>
          <w:rFonts w:ascii="Arial" w:eastAsia="Times New Roman" w:hAnsi="Arial" w:cs="Arial"/>
          <w:lang w:val="en-US" w:eastAsia="en-GB"/>
        </w:rPr>
      </w:pPr>
      <w:r w:rsidRPr="00032248">
        <w:t>One key advantage of the ARDL approach is its reliability in studies with relatively limited observations, as well as its capacity to estimate both short-run adjustments and long-run relationships within a unified framework. Through the inclusion of lagged variables, the model effectively captures dynamic interactions over time. In addition, the error-correction specification provides a means of assessing how quickly the system returns to equilibrium after temporary deviations, aligning with theoretical expectations of fiscal policy effects operating in both the short and long run.</w:t>
      </w:r>
    </w:p>
    <w:p w14:paraId="2CB69D81" w14:textId="77777777" w:rsidR="007A73CA" w:rsidRPr="00032248" w:rsidRDefault="007A73CA" w:rsidP="00AF6B56">
      <w:pPr>
        <w:spacing w:line="360" w:lineRule="auto"/>
        <w:jc w:val="both"/>
        <w:rPr>
          <w:rFonts w:ascii="Arial" w:eastAsia="Times New Roman" w:hAnsi="Arial" w:cs="Arial"/>
          <w:lang w:val="en-US" w:eastAsia="en-GB"/>
        </w:rPr>
      </w:pPr>
      <w:r w:rsidRPr="00032248">
        <w:t>The bounds-testing procedure, established in the econometric literature by Pesaran et al. (2001), is applied to determine whether a stable long-run association exists among the variables. Overall, the ARDL methodology offers a flexible and theoretically grounded approach for examining the dynamics of macroeconomic relationships.</w:t>
      </w:r>
    </w:p>
    <w:p w14:paraId="74C53A3F" w14:textId="77777777" w:rsidR="0080703D" w:rsidRPr="00032248" w:rsidRDefault="0080703D" w:rsidP="00B32196">
      <w:pPr>
        <w:spacing w:line="360" w:lineRule="auto"/>
        <w:ind w:left="-900" w:right="-900"/>
        <w:jc w:val="center"/>
        <w:rPr>
          <w:rFonts w:ascii="Arial" w:hAnsi="Arial" w:cs="Arial"/>
        </w:rPr>
      </w:pPr>
      <m:oMathPara>
        <m:oMathParaPr>
          <m:jc m:val="center"/>
        </m:oMathParaPr>
        <m:oMath>
          <m:r>
            <w:rPr>
              <w:rFonts w:ascii="Cambria Math" w:hAnsi="Cambria Math" w:cs="Arial"/>
            </w:rPr>
            <m:t>RGD</m:t>
          </m:r>
          <m:sSub>
            <m:sSubPr>
              <m:ctrlPr>
                <w:rPr>
                  <w:rFonts w:ascii="Cambria Math" w:hAnsi="Cambria Math" w:cs="Arial"/>
                  <w:i/>
                </w:rPr>
              </m:ctrlPr>
            </m:sSubPr>
            <m:e>
              <m:r>
                <w:rPr>
                  <w:rFonts w:ascii="Cambria Math" w:hAnsi="Cambria Math" w:cs="Arial"/>
                </w:rPr>
                <m:t>P</m:t>
              </m:r>
            </m:e>
            <m:sub>
              <m:r>
                <w:rPr>
                  <w:rFonts w:ascii="Cambria Math" w:hAnsi="Cambria Math" w:cs="Arial"/>
                </w:rPr>
                <m:t>t</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i=1</m:t>
              </m:r>
            </m:sub>
            <m:sup>
              <m:r>
                <w:rPr>
                  <w:rFonts w:ascii="Cambria Math" w:hAnsi="Cambria Math" w:cs="Arial"/>
                </w:rPr>
                <m:t>P</m:t>
              </m:r>
            </m:sup>
            <m:e>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e>
          </m:nary>
          <m:r>
            <w:rPr>
              <w:rFonts w:ascii="Cambria Math" w:hAnsi="Cambria Math" w:cs="Arial"/>
            </w:rPr>
            <m:t>RG</m:t>
          </m:r>
          <m:sSub>
            <m:sSubPr>
              <m:ctrlPr>
                <w:rPr>
                  <w:rFonts w:ascii="Cambria Math" w:hAnsi="Cambria Math" w:cs="Arial"/>
                  <w:i/>
                </w:rPr>
              </m:ctrlPr>
            </m:sSubPr>
            <m:e>
              <m:r>
                <w:rPr>
                  <w:rFonts w:ascii="Cambria Math" w:hAnsi="Cambria Math" w:cs="Arial"/>
                </w:rPr>
                <m:t>DP</m:t>
              </m:r>
            </m:e>
            <m:sub>
              <m:r>
                <w:rPr>
                  <w:rFonts w:ascii="Cambria Math" w:hAnsi="Cambria Math" w:cs="Arial"/>
                </w:rPr>
                <m:t xml:space="preserve"> t-1</m:t>
              </m:r>
            </m:sub>
          </m:sSub>
          <m: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1j</m:t>
                  </m:r>
                </m:sub>
              </m:sSub>
            </m:e>
          </m:nary>
          <m:r>
            <w:rPr>
              <w:rFonts w:ascii="Cambria Math" w:hAnsi="Cambria Math" w:cs="Arial"/>
            </w:rPr>
            <m:t>B</m:t>
          </m:r>
          <m:sSub>
            <m:sSubPr>
              <m:ctrlPr>
                <w:rPr>
                  <w:rFonts w:ascii="Cambria Math" w:hAnsi="Cambria Math" w:cs="Arial"/>
                  <w:i/>
                </w:rPr>
              </m:ctrlPr>
            </m:sSubPr>
            <m:e>
              <m:r>
                <w:rPr>
                  <w:rFonts w:ascii="Cambria Math" w:hAnsi="Cambria Math" w:cs="Arial"/>
                </w:rPr>
                <m:t>D</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2j</m:t>
                  </m:r>
                </m:sub>
              </m:sSub>
            </m:e>
          </m:nary>
          <m:r>
            <w:rPr>
              <w:rFonts w:ascii="Cambria Math" w:hAnsi="Cambria Math" w:cs="Arial"/>
            </w:rPr>
            <m:t>T</m:t>
          </m:r>
          <m:sSub>
            <m:sSubPr>
              <m:ctrlPr>
                <w:rPr>
                  <w:rFonts w:ascii="Cambria Math" w:hAnsi="Cambria Math" w:cs="Arial"/>
                  <w:i/>
                </w:rPr>
              </m:ctrlPr>
            </m:sSubPr>
            <m:e>
              <m:r>
                <w:rPr>
                  <w:rFonts w:ascii="Cambria Math" w:hAnsi="Cambria Math" w:cs="Arial"/>
                </w:rPr>
                <m:t>R</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3</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3j</m:t>
                  </m:r>
                </m:sub>
              </m:sSub>
            </m:e>
          </m:nary>
          <m:r>
            <w:rPr>
              <w:rFonts w:ascii="Cambria Math" w:hAnsi="Cambria Math" w:cs="Arial"/>
            </w:rPr>
            <m:t>IN</m:t>
          </m:r>
          <m:sSub>
            <m:sSubPr>
              <m:ctrlPr>
                <w:rPr>
                  <w:rFonts w:ascii="Cambria Math" w:hAnsi="Cambria Math" w:cs="Arial"/>
                  <w:i/>
                </w:rPr>
              </m:ctrlPr>
            </m:sSubPr>
            <m:e>
              <m:r>
                <w:rPr>
                  <w:rFonts w:ascii="Cambria Math" w:hAnsi="Cambria Math" w:cs="Arial"/>
                </w:rPr>
                <m:t>F</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4</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4j</m:t>
                  </m:r>
                </m:sub>
              </m:sSub>
            </m:e>
          </m:nary>
          <m:r>
            <w:rPr>
              <w:rFonts w:ascii="Cambria Math" w:hAnsi="Cambria Math" w:cs="Arial"/>
            </w:rPr>
            <m:t>IN</m:t>
          </m:r>
          <m:sSub>
            <m:sSubPr>
              <m:ctrlPr>
                <w:rPr>
                  <w:rFonts w:ascii="Cambria Math" w:hAnsi="Cambria Math" w:cs="Arial"/>
                  <w:i/>
                </w:rPr>
              </m:ctrlPr>
            </m:sSubPr>
            <m:e>
              <m:r>
                <w:rPr>
                  <w:rFonts w:ascii="Cambria Math" w:hAnsi="Cambria Math" w:cs="Arial"/>
                </w:rPr>
                <m:t>T</m:t>
              </m:r>
            </m:e>
            <m:sub>
              <m:r>
                <w:rPr>
                  <w:rFonts w:ascii="Cambria Math" w:hAnsi="Cambria Math" w:cs="Arial"/>
                </w:rPr>
                <m:t>t-j</m:t>
              </m:r>
            </m:sub>
          </m:sSub>
          <m:r>
            <w:rPr>
              <w:rFonts w:ascii="Cambria Math" w:hAnsi="Cambria Math" w:cs="Arial"/>
            </w:rPr>
            <m:t xml:space="preserve">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5</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5j</m:t>
                  </m:r>
                </m:sub>
              </m:sSub>
            </m:e>
          </m:nary>
          <m:r>
            <w:rPr>
              <w:rFonts w:ascii="Cambria Math" w:hAnsi="Cambria Math" w:cs="Arial"/>
            </w:rPr>
            <m:t>OPE</m:t>
          </m:r>
          <m:sSub>
            <m:sSubPr>
              <m:ctrlPr>
                <w:rPr>
                  <w:rFonts w:ascii="Cambria Math" w:hAnsi="Cambria Math" w:cs="Arial"/>
                  <w:i/>
                </w:rPr>
              </m:ctrlPr>
            </m:sSubPr>
            <m:e>
              <m:r>
                <w:rPr>
                  <w:rFonts w:ascii="Cambria Math" w:hAnsi="Cambria Math" w:cs="Arial"/>
                </w:rPr>
                <m:t>N</m:t>
              </m:r>
            </m:e>
            <m:sub>
              <m:r>
                <w:rPr>
                  <w:rFonts w:ascii="Cambria Math" w:hAnsi="Cambria Math" w:cs="Arial"/>
                </w:rPr>
                <m:t>t-j</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m:t>
              </m:r>
            </m:e>
            <m:sub>
              <m:r>
                <w:rPr>
                  <w:rFonts w:ascii="Cambria Math" w:hAnsi="Cambria Math" w:cs="Arial"/>
                </w:rPr>
                <m:t>t</m:t>
              </m:r>
            </m:sub>
          </m:sSub>
          <m:r>
            <w:rPr>
              <w:rFonts w:ascii="Cambria Math" w:hAnsi="Cambria Math" w:cs="Arial"/>
            </w:rPr>
            <m:t xml:space="preserve">                                           (2)</m:t>
          </m:r>
        </m:oMath>
      </m:oMathPara>
    </w:p>
    <w:p w14:paraId="4D5881AA" w14:textId="77777777" w:rsidR="00272AEE" w:rsidRPr="00032248"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3.5 Pre-Estimation Diagnostic Tests</w:t>
      </w:r>
    </w:p>
    <w:p w14:paraId="57733D7C"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Pre-estimation diagnostics are conducted to characterise the data and inform model specification. Descriptive statistics summarise central tendency and dispersion, providing preliminary insights into scale differences and potential outliers. A correlation matrix is examined to assess linear associations among regressors and to identify potential multicollinearity concerns that could undermine coefficient precision.</w:t>
      </w:r>
    </w:p>
    <w:p w14:paraId="7B0A9902"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lastRenderedPageBreak/>
        <w:t xml:space="preserve">Stationarity properties are examined using the Augmented Dickey–Fuller (ADF) and Phillips–Perron (PP) tests. The null hypothesis of a unit root is tested against the alternative of stationarity using conventional critical values. Unit root testing is necessary to avoid spurious regression and invalid inference in time-series models. The integration orders of the variables determine the admissibility of the ARDL framework, which requires variables to be </w:t>
      </w:r>
      <w:proofErr w:type="gramStart"/>
      <w:r w:rsidRPr="00032248">
        <w:rPr>
          <w:rFonts w:ascii="Arial" w:eastAsia="Times New Roman" w:hAnsi="Arial" w:cs="Arial"/>
          <w:lang w:eastAsia="en-GB"/>
        </w:rPr>
        <w:t>I(</w:t>
      </w:r>
      <w:proofErr w:type="gramEnd"/>
      <w:r w:rsidRPr="00032248">
        <w:rPr>
          <w:rFonts w:ascii="Arial" w:eastAsia="Times New Roman" w:hAnsi="Arial" w:cs="Arial"/>
          <w:lang w:eastAsia="en-GB"/>
        </w:rPr>
        <w:t xml:space="preserve">0) or </w:t>
      </w:r>
      <w:proofErr w:type="gramStart"/>
      <w:r w:rsidRPr="00032248">
        <w:rPr>
          <w:rFonts w:ascii="Arial" w:eastAsia="Times New Roman" w:hAnsi="Arial" w:cs="Arial"/>
          <w:lang w:eastAsia="en-GB"/>
        </w:rPr>
        <w:t>I(</w:t>
      </w:r>
      <w:proofErr w:type="gramEnd"/>
      <w:r w:rsidRPr="00032248">
        <w:rPr>
          <w:rFonts w:ascii="Arial" w:eastAsia="Times New Roman" w:hAnsi="Arial" w:cs="Arial"/>
          <w:lang w:eastAsia="en-GB"/>
        </w:rPr>
        <w:t xml:space="preserve">1) but not </w:t>
      </w:r>
      <w:proofErr w:type="gramStart"/>
      <w:r w:rsidRPr="00032248">
        <w:rPr>
          <w:rFonts w:ascii="Arial" w:eastAsia="Times New Roman" w:hAnsi="Arial" w:cs="Arial"/>
          <w:lang w:eastAsia="en-GB"/>
        </w:rPr>
        <w:t>I(</w:t>
      </w:r>
      <w:proofErr w:type="gramEnd"/>
      <w:r w:rsidRPr="00032248">
        <w:rPr>
          <w:rFonts w:ascii="Arial" w:eastAsia="Times New Roman" w:hAnsi="Arial" w:cs="Arial"/>
          <w:lang w:eastAsia="en-GB"/>
        </w:rPr>
        <w:t>2). These diagnostics therefore ensure econometric validity and coherence between data properties and model choice.</w:t>
      </w:r>
    </w:p>
    <w:p w14:paraId="609CCF32" w14:textId="77777777" w:rsidR="00272AEE" w:rsidRPr="00032248"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032248">
        <w:rPr>
          <w:rFonts w:ascii="Arial" w:eastAsia="Times New Roman" w:hAnsi="Arial" w:cs="Arial"/>
          <w:b/>
          <w:bCs/>
          <w:lang w:eastAsia="en-GB"/>
        </w:rPr>
        <w:t>3.6 Post-Estimation Diagnostic Tests</w:t>
      </w:r>
    </w:p>
    <w:p w14:paraId="7AC59989"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Post-estimation diagnostics assess model adequacy, stability, and robustness. The Ramsey RESET test is used to detect functional form misspecification and omitted variable bias by testing whether non-linear transformations of fitted values add explanatory power. Failure to reject the null hypothesis supports correct model specification.</w:t>
      </w:r>
    </w:p>
    <w:p w14:paraId="09A01DF3" w14:textId="77777777" w:rsidR="00272AEE" w:rsidRPr="00032248" w:rsidRDefault="00272AEE"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Parameter stability is evaluated using CUSUM and CUSUMSQ tests to assess whether estimated coefficients remain stable over time or exhibit structural instability associated with regime shifts or macroeconomic shocks. Parameter stability is a prerequisite for credible long-run inference and policy interpretation, particularly in economies characterised by episodic fiscal reforms. Together, these diagnostics validate the reliability and robustness of the estimated ARDL model.</w:t>
      </w:r>
    </w:p>
    <w:p w14:paraId="5EA9AC72" w14:textId="77777777" w:rsidR="009D0ABA" w:rsidRPr="00032248" w:rsidRDefault="009D0ABA" w:rsidP="003C78BA">
      <w:pPr>
        <w:spacing w:after="120" w:line="360" w:lineRule="auto"/>
        <w:jc w:val="both"/>
        <w:rPr>
          <w:rFonts w:ascii="Arial" w:eastAsia="Times New Roman" w:hAnsi="Arial" w:cs="Arial"/>
          <w:b/>
          <w:bCs/>
          <w:lang w:val="en-US" w:eastAsia="en-GB"/>
        </w:rPr>
      </w:pPr>
      <w:r w:rsidRPr="00032248">
        <w:rPr>
          <w:rFonts w:ascii="Arial" w:eastAsia="Times New Roman" w:hAnsi="Arial" w:cs="Arial"/>
          <w:b/>
          <w:bCs/>
          <w:lang w:val="en-US" w:eastAsia="en-GB"/>
        </w:rPr>
        <w:t>3.7 Ethical Considerations</w:t>
      </w:r>
    </w:p>
    <w:p w14:paraId="2E4981F5" w14:textId="77777777" w:rsidR="009D0ABA" w:rsidRPr="00032248" w:rsidRDefault="009D0ABA" w:rsidP="003C78BA">
      <w:pPr>
        <w:spacing w:after="120" w:line="360" w:lineRule="auto"/>
        <w:jc w:val="both"/>
        <w:rPr>
          <w:rFonts w:ascii="Arial" w:eastAsia="Times New Roman" w:hAnsi="Arial" w:cs="Arial"/>
          <w:lang w:val="en-US" w:eastAsia="en-GB"/>
        </w:rPr>
      </w:pPr>
      <w:r w:rsidRPr="00032248">
        <w:rPr>
          <w:rFonts w:ascii="Arial" w:eastAsia="Times New Roman" w:hAnsi="Arial" w:cs="Arial"/>
          <w:lang w:val="en-US" w:eastAsia="en-GB"/>
        </w:rPr>
        <w:t>This study is based entirely on secondary macroeconomic data obtained from reputable and publicly available institutional sources. As no primary data were collected and no human participants were involved, issues relating to informed consent, privacy, and confidentiality do not arise. All data used in the analysis are handled with care to preserve accuracy and reliability, and appropriate citations are provided for every source consulted. The research process is presented clearly to ensure openness and ease of verification. In addition, the study conforms to accepted academic ethical standards by ensuring proper attribution, avoiding any form of data distortion, and presenting results in an objective and responsible manner.</w:t>
      </w:r>
    </w:p>
    <w:p w14:paraId="550B6719" w14:textId="77777777" w:rsidR="003B3BAB" w:rsidRPr="00032248" w:rsidRDefault="003B3BAB" w:rsidP="003C78BA">
      <w:pPr>
        <w:spacing w:after="120" w:line="360" w:lineRule="auto"/>
        <w:jc w:val="both"/>
        <w:rPr>
          <w:rFonts w:ascii="Arial" w:eastAsia="Times New Roman" w:hAnsi="Arial" w:cs="Arial"/>
          <w:lang w:val="en-US" w:eastAsia="en-GB"/>
        </w:rPr>
      </w:pPr>
    </w:p>
    <w:p w14:paraId="317F14C8" w14:textId="43884808" w:rsidR="00086826" w:rsidRPr="000375D8" w:rsidRDefault="00086826" w:rsidP="00B32196">
      <w:pPr>
        <w:spacing w:after="120" w:line="360" w:lineRule="auto"/>
        <w:rPr>
          <w:rFonts w:ascii="Arial" w:hAnsi="Arial" w:cs="Arial"/>
          <w:b/>
        </w:rPr>
      </w:pPr>
      <w:r w:rsidRPr="00032248">
        <w:rPr>
          <w:rFonts w:ascii="Arial" w:hAnsi="Arial" w:cs="Arial"/>
          <w:b/>
        </w:rPr>
        <w:t>4.</w:t>
      </w:r>
      <w:r w:rsidR="00AF6B56" w:rsidRPr="00032248">
        <w:rPr>
          <w:rFonts w:ascii="Arial" w:hAnsi="Arial" w:cs="Arial"/>
          <w:b/>
        </w:rPr>
        <w:t xml:space="preserve"> </w:t>
      </w:r>
      <w:r w:rsidR="00AF6B56" w:rsidRPr="000375D8">
        <w:rPr>
          <w:rFonts w:ascii="Arial" w:hAnsi="Arial" w:cs="Arial"/>
          <w:bCs/>
        </w:rPr>
        <w:t xml:space="preserve"> </w:t>
      </w:r>
      <w:r w:rsidR="00AF6B56" w:rsidRPr="000375D8">
        <w:rPr>
          <w:rFonts w:ascii="Arial" w:hAnsi="Arial" w:cs="Arial"/>
          <w:b/>
        </w:rPr>
        <w:t>RESULTS</w:t>
      </w:r>
      <w:r w:rsidRPr="000375D8">
        <w:rPr>
          <w:rFonts w:ascii="Arial" w:hAnsi="Arial" w:cs="Arial"/>
          <w:b/>
        </w:rPr>
        <w:tab/>
      </w:r>
      <w:r w:rsidR="000375D8" w:rsidRPr="000375D8">
        <w:rPr>
          <w:rFonts w:ascii="Arial" w:hAnsi="Arial" w:cs="Arial"/>
          <w:b/>
        </w:rPr>
        <w:t>AND DISCUSSIONS</w:t>
      </w:r>
    </w:p>
    <w:p w14:paraId="734D094E" w14:textId="77777777" w:rsidR="00476EC9" w:rsidRPr="00032248" w:rsidRDefault="00476EC9" w:rsidP="00B32196">
      <w:pPr>
        <w:spacing w:before="100" w:beforeAutospacing="1" w:after="100" w:afterAutospacing="1" w:line="360" w:lineRule="auto"/>
        <w:jc w:val="both"/>
        <w:rPr>
          <w:rFonts w:ascii="Arial" w:eastAsia="Times New Roman" w:hAnsi="Arial" w:cs="Arial"/>
          <w:lang w:eastAsia="en-GB"/>
        </w:rPr>
      </w:pPr>
      <w:r w:rsidRPr="00032248">
        <w:lastRenderedPageBreak/>
        <w:t>This section critically considers the empirical findings on the relationship between budget deficits, tax reforms, and economic performance in Nigeria. The results are organised to align directly with the study’s research objectives and econometric framework, beginning with descriptive and correlation diagnostics, followed by formal model estimates and robustness checks. Emphasis is placed on the magnitude, direction, and statistical significance of key parameters, as well as their economic interpretation within the study’s theoretical framework. Where relevant, diagnostics and sensitivity analyses are reported to assess model validity and stability. The discussion focuses on substantive implications for macroeconomic policy design while carefully distinguishing statistical association from causal inference.</w:t>
      </w:r>
    </w:p>
    <w:p w14:paraId="6D6AEE91" w14:textId="77777777" w:rsidR="00086826" w:rsidRPr="00032248" w:rsidRDefault="00086826" w:rsidP="00B32196">
      <w:pPr>
        <w:spacing w:after="120" w:line="360" w:lineRule="auto"/>
        <w:jc w:val="both"/>
        <w:rPr>
          <w:rFonts w:ascii="Arial" w:hAnsi="Arial" w:cs="Arial"/>
          <w:b/>
        </w:rPr>
      </w:pPr>
      <w:r w:rsidRPr="00032248">
        <w:t>4.1 Descriptive Statistics and Correlation Matrix</w:t>
      </w:r>
    </w:p>
    <w:p w14:paraId="3A4F2CFC" w14:textId="77777777" w:rsidR="00476EC9" w:rsidRPr="00032248" w:rsidRDefault="00476EC9"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This section provides preliminary empirical insights into the distributional properties and bivariate relationships among real GDP growth, budget deficit, tax reforms, inflation, interest rate, and trade openness in Nigeria. The descriptive statistics summarise central tendencies and dispersion to characterise macroeconomic volatility and the extent of policy variability over the sample period, while the correlation matrix offers an initial assessment of co-movements among fiscal, monetary, and external sector indicators. These diagnostics serve two purposes: first, to motivate appropriate transformations and model specifications in subsequent econometric analysis; and second, to identify potential multicollinearity concerns</w:t>
      </w:r>
      <w:r w:rsidR="00EA060D" w:rsidRPr="00032248">
        <w:rPr>
          <w:rFonts w:ascii="Arial" w:eastAsia="Times New Roman" w:hAnsi="Arial" w:cs="Arial"/>
          <w:lang w:eastAsia="en-GB"/>
        </w:rPr>
        <w:t xml:space="preserve"> </w:t>
      </w:r>
      <w:r w:rsidRPr="00032248">
        <w:rPr>
          <w:rFonts w:ascii="Arial" w:eastAsia="Times New Roman" w:hAnsi="Arial" w:cs="Arial"/>
          <w:lang w:eastAsia="en-GB"/>
        </w:rPr>
        <w:t>particularly among closely related macro variables</w:t>
      </w:r>
      <w:r w:rsidR="00EA060D" w:rsidRPr="00032248">
        <w:rPr>
          <w:rFonts w:ascii="Arial" w:eastAsia="Times New Roman" w:hAnsi="Arial" w:cs="Arial"/>
          <w:lang w:eastAsia="en-GB"/>
        </w:rPr>
        <w:t xml:space="preserve"> </w:t>
      </w:r>
      <w:r w:rsidRPr="00032248">
        <w:rPr>
          <w:rFonts w:ascii="Arial" w:eastAsia="Times New Roman" w:hAnsi="Arial" w:cs="Arial"/>
          <w:lang w:eastAsia="en-GB"/>
        </w:rPr>
        <w:t>prior to multivariate estimation. Importantly, the correlations are interpreted as descriptive associations rather than causal relationships, with causal inference reserved for the structural models developed in later sections.</w:t>
      </w:r>
    </w:p>
    <w:p w14:paraId="0A7D8037" w14:textId="77777777" w:rsidR="00CA599B" w:rsidRPr="00032248" w:rsidRDefault="00CA599B" w:rsidP="00B32196">
      <w:pPr>
        <w:spacing w:before="100" w:beforeAutospacing="1" w:after="100" w:afterAutospacing="1" w:line="360" w:lineRule="auto"/>
        <w:jc w:val="both"/>
        <w:rPr>
          <w:rFonts w:ascii="Arial" w:eastAsia="Times New Roman" w:hAnsi="Arial" w:cs="Arial"/>
          <w:lang w:eastAsia="en-GB"/>
        </w:rPr>
      </w:pPr>
    </w:p>
    <w:p w14:paraId="0BAC6818" w14:textId="77777777" w:rsidR="003C78BA" w:rsidRPr="00032248" w:rsidRDefault="007E357C" w:rsidP="003C78BA">
      <w:pPr>
        <w:spacing w:after="120" w:line="360" w:lineRule="auto"/>
        <w:jc w:val="both"/>
        <w:rPr>
          <w:rFonts w:ascii="Arial" w:eastAsia="Times New Roman" w:hAnsi="Arial" w:cs="Arial"/>
          <w:lang w:eastAsia="en-GB"/>
        </w:rPr>
      </w:pPr>
      <w:r w:rsidRPr="00032248">
        <w:rPr>
          <w:rFonts w:ascii="Arial" w:hAnsi="Arial" w:cs="Arial"/>
          <w:b/>
        </w:rPr>
        <w:t>4.1.1 Summary of Statistics</w:t>
      </w:r>
    </w:p>
    <w:p w14:paraId="70221757" w14:textId="77777777" w:rsidR="007E357C" w:rsidRPr="00032248" w:rsidRDefault="007E357C" w:rsidP="003C78BA">
      <w:pPr>
        <w:spacing w:after="120" w:line="360" w:lineRule="auto"/>
        <w:jc w:val="both"/>
        <w:rPr>
          <w:rFonts w:ascii="Arial" w:hAnsi="Arial" w:cs="Arial"/>
          <w:b/>
        </w:rPr>
      </w:pPr>
      <w:r w:rsidRPr="00032248">
        <w:rPr>
          <w:rFonts w:ascii="Arial" w:eastAsia="Times New Roman" w:hAnsi="Arial" w:cs="Arial"/>
          <w:lang w:eastAsia="en-GB"/>
        </w:rPr>
        <w:t>The summary statistics reveal pronounced macroeconomic volatility over the sample period. Real GDP growth (RGDP) averages 3.05% but exhibits wide dispersion (SD = 5.32), ranging from deep contractions (−13.13%) to strong expansions (15.33%), underscoring Nigeria’s growth instability. The budget deficit (BD) displays moderate variability around a mean of 0.31, suggesting recurrent but fluctuating fiscal imbalances. Tax reforms (TR) show substantial dispersion relative to the mean (SD ≈ 0.99 of the mean), indicating episodic and uneven reform intensity.</w:t>
      </w:r>
    </w:p>
    <w:p w14:paraId="66E64E67" w14:textId="77777777" w:rsidR="007E357C" w:rsidRPr="00032248" w:rsidRDefault="007E357C" w:rsidP="00B32196">
      <w:pPr>
        <w:spacing w:before="100" w:beforeAutospacing="1" w:after="100" w:afterAutospacing="1" w:line="360" w:lineRule="auto"/>
        <w:jc w:val="both"/>
        <w:rPr>
          <w:rFonts w:ascii="Arial" w:eastAsia="Times New Roman" w:hAnsi="Arial" w:cs="Arial"/>
          <w:lang w:eastAsia="en-GB"/>
        </w:rPr>
      </w:pPr>
      <w:r w:rsidRPr="00032248">
        <w:lastRenderedPageBreak/>
        <w:t>Inflation (INF) and the interest rate (INTR) exhibit extreme volatility, with large standard deviations and wide ranges (INF: 0.01–423.33; INTR: 4.10–2522.50), reflecting episodes of macroeconomic stress and policy instability. Trade openness (OPEN) has a negative mean with sizeable dispersion, pointing to persistent external vulnerability with marked cyclical swings. Overall, the scale and dispersion of key variables motivate log transformations, robustness checks, and dynamic specifications to accommodate outliers and structural breaks in subsequent econometric analysis.</w:t>
      </w:r>
    </w:p>
    <w:p w14:paraId="2C5AB18B" w14:textId="77777777" w:rsidR="00086826" w:rsidRPr="00032248" w:rsidRDefault="00B9110F" w:rsidP="00B32196">
      <w:pPr>
        <w:spacing w:before="100" w:beforeAutospacing="1" w:after="100" w:afterAutospacing="1" w:line="360" w:lineRule="auto"/>
        <w:jc w:val="both"/>
        <w:rPr>
          <w:rFonts w:ascii="Arial" w:eastAsia="Times New Roman" w:hAnsi="Arial" w:cs="Arial"/>
          <w:lang w:eastAsia="en-GB"/>
        </w:rPr>
      </w:pPr>
      <w:r w:rsidRPr="00032248">
        <w:rPr>
          <w:rFonts w:ascii="Arial" w:hAnsi="Arial" w:cs="Arial"/>
          <w:b/>
          <w:spacing w:val="-2"/>
          <w:w w:val="105"/>
        </w:rPr>
        <w:t xml:space="preserve">Table 1A: Descriptive Statistics </w:t>
      </w: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770"/>
        <w:gridCol w:w="1770"/>
        <w:gridCol w:w="1920"/>
        <w:gridCol w:w="1861"/>
      </w:tblGrid>
      <w:tr w:rsidR="00086826" w:rsidRPr="00032248" w14:paraId="472366D8" w14:textId="77777777" w:rsidTr="004E08FC">
        <w:trPr>
          <w:trHeight w:val="604"/>
        </w:trPr>
        <w:tc>
          <w:tcPr>
            <w:tcW w:w="1348" w:type="dxa"/>
            <w:vAlign w:val="center"/>
            <w:hideMark/>
          </w:tcPr>
          <w:p w14:paraId="2E59D918"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Variables </w:t>
            </w:r>
          </w:p>
        </w:tc>
        <w:tc>
          <w:tcPr>
            <w:tcW w:w="1770" w:type="dxa"/>
            <w:vAlign w:val="center"/>
            <w:hideMark/>
          </w:tcPr>
          <w:p w14:paraId="47EA3F04" w14:textId="77777777" w:rsidR="00086826" w:rsidRPr="00032248" w:rsidRDefault="00086826" w:rsidP="00B32196">
            <w:pPr>
              <w:spacing w:after="120" w:line="360" w:lineRule="auto"/>
              <w:rPr>
                <w:rFonts w:ascii="Arial" w:eastAsia="Times New Roman" w:hAnsi="Arial" w:cs="Arial"/>
                <w:b/>
                <w:bCs/>
                <w:color w:val="000000"/>
                <w:lang w:eastAsia="en-GB"/>
              </w:rPr>
            </w:pPr>
            <w:r w:rsidRPr="00032248">
              <w:rPr>
                <w:rFonts w:ascii="Arial" w:eastAsia="Times New Roman" w:hAnsi="Arial" w:cs="Arial"/>
                <w:b/>
                <w:bCs/>
                <w:color w:val="000000"/>
                <w:lang w:eastAsia="en-GB"/>
              </w:rPr>
              <w:t> Mean</w:t>
            </w:r>
          </w:p>
        </w:tc>
        <w:tc>
          <w:tcPr>
            <w:tcW w:w="1770" w:type="dxa"/>
            <w:vAlign w:val="center"/>
            <w:hideMark/>
          </w:tcPr>
          <w:p w14:paraId="0080595E" w14:textId="77777777" w:rsidR="00086826" w:rsidRPr="00032248" w:rsidRDefault="00086826" w:rsidP="00B32196">
            <w:pPr>
              <w:spacing w:after="120" w:line="360" w:lineRule="auto"/>
              <w:rPr>
                <w:rFonts w:ascii="Arial" w:eastAsia="Times New Roman" w:hAnsi="Arial" w:cs="Arial"/>
                <w:b/>
                <w:bCs/>
                <w:color w:val="000000"/>
                <w:lang w:eastAsia="en-GB"/>
              </w:rPr>
            </w:pPr>
            <w:r w:rsidRPr="00032248">
              <w:rPr>
                <w:rFonts w:ascii="Arial" w:eastAsia="Times New Roman" w:hAnsi="Arial" w:cs="Arial"/>
                <w:b/>
                <w:bCs/>
                <w:color w:val="000000"/>
                <w:lang w:eastAsia="en-GB"/>
              </w:rPr>
              <w:t> Std. Dev.</w:t>
            </w:r>
          </w:p>
        </w:tc>
        <w:tc>
          <w:tcPr>
            <w:tcW w:w="1920" w:type="dxa"/>
            <w:vAlign w:val="center"/>
            <w:hideMark/>
          </w:tcPr>
          <w:p w14:paraId="56F1279D" w14:textId="77777777" w:rsidR="00086826" w:rsidRPr="00032248" w:rsidRDefault="00086826" w:rsidP="00B32196">
            <w:pPr>
              <w:spacing w:after="120" w:line="360" w:lineRule="auto"/>
              <w:rPr>
                <w:rFonts w:ascii="Arial" w:eastAsia="Times New Roman" w:hAnsi="Arial" w:cs="Arial"/>
                <w:b/>
                <w:bCs/>
                <w:color w:val="000000"/>
                <w:lang w:eastAsia="en-GB"/>
              </w:rPr>
            </w:pPr>
            <w:r w:rsidRPr="00032248">
              <w:rPr>
                <w:rFonts w:ascii="Arial" w:eastAsia="Times New Roman" w:hAnsi="Arial" w:cs="Arial"/>
                <w:b/>
                <w:bCs/>
                <w:color w:val="000000"/>
                <w:lang w:eastAsia="en-GB"/>
              </w:rPr>
              <w:t> Maximum</w:t>
            </w:r>
          </w:p>
        </w:tc>
        <w:tc>
          <w:tcPr>
            <w:tcW w:w="1861" w:type="dxa"/>
            <w:vAlign w:val="center"/>
            <w:hideMark/>
          </w:tcPr>
          <w:p w14:paraId="7C89A247" w14:textId="77777777" w:rsidR="00086826" w:rsidRPr="00032248" w:rsidRDefault="00086826" w:rsidP="00B32196">
            <w:pPr>
              <w:spacing w:after="120" w:line="360" w:lineRule="auto"/>
              <w:rPr>
                <w:rFonts w:ascii="Arial" w:eastAsia="Times New Roman" w:hAnsi="Arial" w:cs="Arial"/>
                <w:b/>
                <w:bCs/>
                <w:color w:val="000000"/>
                <w:lang w:eastAsia="en-GB"/>
              </w:rPr>
            </w:pPr>
            <w:r w:rsidRPr="00032248">
              <w:rPr>
                <w:rFonts w:ascii="Arial" w:eastAsia="Times New Roman" w:hAnsi="Arial" w:cs="Arial"/>
                <w:b/>
                <w:bCs/>
                <w:color w:val="000000"/>
                <w:lang w:eastAsia="en-GB"/>
              </w:rPr>
              <w:t> Minimum</w:t>
            </w:r>
          </w:p>
        </w:tc>
      </w:tr>
      <w:tr w:rsidR="00086826" w:rsidRPr="00032248" w14:paraId="1EE51C3C" w14:textId="77777777" w:rsidTr="004E08FC">
        <w:trPr>
          <w:trHeight w:val="604"/>
        </w:trPr>
        <w:tc>
          <w:tcPr>
            <w:tcW w:w="1348" w:type="dxa"/>
            <w:vAlign w:val="center"/>
            <w:hideMark/>
          </w:tcPr>
          <w:p w14:paraId="342D396C"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RGDP</w:t>
            </w:r>
          </w:p>
        </w:tc>
        <w:tc>
          <w:tcPr>
            <w:tcW w:w="1770" w:type="dxa"/>
            <w:vAlign w:val="center"/>
            <w:hideMark/>
          </w:tcPr>
          <w:p w14:paraId="4600AC9D"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3.046905</w:t>
            </w:r>
          </w:p>
        </w:tc>
        <w:tc>
          <w:tcPr>
            <w:tcW w:w="1770" w:type="dxa"/>
            <w:vAlign w:val="center"/>
            <w:hideMark/>
          </w:tcPr>
          <w:p w14:paraId="22EAEEB6"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5.319518</w:t>
            </w:r>
          </w:p>
        </w:tc>
        <w:tc>
          <w:tcPr>
            <w:tcW w:w="1920" w:type="dxa"/>
            <w:vAlign w:val="center"/>
            <w:hideMark/>
          </w:tcPr>
          <w:p w14:paraId="29D47045"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15.33000</w:t>
            </w:r>
          </w:p>
        </w:tc>
        <w:tc>
          <w:tcPr>
            <w:tcW w:w="1861" w:type="dxa"/>
            <w:vAlign w:val="center"/>
            <w:hideMark/>
          </w:tcPr>
          <w:p w14:paraId="55E3CAB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-13.13</w:t>
            </w:r>
          </w:p>
        </w:tc>
      </w:tr>
      <w:tr w:rsidR="00086826" w:rsidRPr="00032248" w14:paraId="782FB116" w14:textId="77777777" w:rsidTr="004E08FC">
        <w:trPr>
          <w:trHeight w:val="604"/>
        </w:trPr>
        <w:tc>
          <w:tcPr>
            <w:tcW w:w="1348" w:type="dxa"/>
            <w:vAlign w:val="center"/>
            <w:hideMark/>
          </w:tcPr>
          <w:p w14:paraId="5678FB65"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BD</w:t>
            </w:r>
          </w:p>
        </w:tc>
        <w:tc>
          <w:tcPr>
            <w:tcW w:w="1770" w:type="dxa"/>
            <w:vAlign w:val="center"/>
            <w:hideMark/>
          </w:tcPr>
          <w:p w14:paraId="7A51241C"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0.307262</w:t>
            </w:r>
          </w:p>
        </w:tc>
        <w:tc>
          <w:tcPr>
            <w:tcW w:w="1770" w:type="dxa"/>
            <w:vAlign w:val="center"/>
            <w:hideMark/>
          </w:tcPr>
          <w:p w14:paraId="15E33EE2"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0.097181</w:t>
            </w:r>
          </w:p>
        </w:tc>
        <w:tc>
          <w:tcPr>
            <w:tcW w:w="1920" w:type="dxa"/>
            <w:vAlign w:val="center"/>
            <w:hideMark/>
          </w:tcPr>
          <w:p w14:paraId="49F02F8E"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0.575000</w:t>
            </w:r>
          </w:p>
        </w:tc>
        <w:tc>
          <w:tcPr>
            <w:tcW w:w="1861" w:type="dxa"/>
            <w:vAlign w:val="center"/>
            <w:hideMark/>
          </w:tcPr>
          <w:p w14:paraId="1E5D310E"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0.149000</w:t>
            </w:r>
          </w:p>
        </w:tc>
      </w:tr>
      <w:tr w:rsidR="00086826" w:rsidRPr="00032248" w14:paraId="710E8B96" w14:textId="77777777" w:rsidTr="004E08FC">
        <w:trPr>
          <w:trHeight w:val="604"/>
        </w:trPr>
        <w:tc>
          <w:tcPr>
            <w:tcW w:w="1348" w:type="dxa"/>
            <w:vAlign w:val="center"/>
            <w:hideMark/>
          </w:tcPr>
          <w:p w14:paraId="58A99260"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TR</w:t>
            </w:r>
          </w:p>
        </w:tc>
        <w:tc>
          <w:tcPr>
            <w:tcW w:w="1770" w:type="dxa"/>
            <w:vAlign w:val="center"/>
            <w:hideMark/>
          </w:tcPr>
          <w:p w14:paraId="7C61509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1.073500</w:t>
            </w:r>
          </w:p>
        </w:tc>
        <w:tc>
          <w:tcPr>
            <w:tcW w:w="1770" w:type="dxa"/>
            <w:vAlign w:val="center"/>
            <w:hideMark/>
          </w:tcPr>
          <w:p w14:paraId="3C5E1B15"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1.060455</w:t>
            </w:r>
          </w:p>
        </w:tc>
        <w:tc>
          <w:tcPr>
            <w:tcW w:w="1920" w:type="dxa"/>
            <w:vAlign w:val="center"/>
            <w:hideMark/>
          </w:tcPr>
          <w:p w14:paraId="0141C747"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6.370000</w:t>
            </w:r>
          </w:p>
        </w:tc>
        <w:tc>
          <w:tcPr>
            <w:tcW w:w="1861" w:type="dxa"/>
            <w:vAlign w:val="center"/>
            <w:hideMark/>
          </w:tcPr>
          <w:p w14:paraId="5386AFAE"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0.410000</w:t>
            </w:r>
          </w:p>
        </w:tc>
      </w:tr>
      <w:tr w:rsidR="00086826" w:rsidRPr="00032248" w14:paraId="3743855B" w14:textId="77777777" w:rsidTr="004E08FC">
        <w:trPr>
          <w:trHeight w:val="604"/>
        </w:trPr>
        <w:tc>
          <w:tcPr>
            <w:tcW w:w="1348" w:type="dxa"/>
            <w:vAlign w:val="center"/>
            <w:hideMark/>
          </w:tcPr>
          <w:p w14:paraId="560DFBF1"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INF</w:t>
            </w:r>
          </w:p>
        </w:tc>
        <w:tc>
          <w:tcPr>
            <w:tcW w:w="1770" w:type="dxa"/>
            <w:vAlign w:val="center"/>
            <w:hideMark/>
          </w:tcPr>
          <w:p w14:paraId="71872F87"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97.22476</w:t>
            </w:r>
          </w:p>
        </w:tc>
        <w:tc>
          <w:tcPr>
            <w:tcW w:w="1770" w:type="dxa"/>
            <w:vAlign w:val="center"/>
            <w:hideMark/>
          </w:tcPr>
          <w:p w14:paraId="6A374C38"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131.6464</w:t>
            </w:r>
          </w:p>
        </w:tc>
        <w:tc>
          <w:tcPr>
            <w:tcW w:w="1920" w:type="dxa"/>
            <w:vAlign w:val="center"/>
            <w:hideMark/>
          </w:tcPr>
          <w:p w14:paraId="6673FC0C"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423.3300</w:t>
            </w:r>
          </w:p>
        </w:tc>
        <w:tc>
          <w:tcPr>
            <w:tcW w:w="1861" w:type="dxa"/>
            <w:vAlign w:val="center"/>
            <w:hideMark/>
          </w:tcPr>
          <w:p w14:paraId="0A99544B"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0.010000</w:t>
            </w:r>
          </w:p>
        </w:tc>
      </w:tr>
      <w:tr w:rsidR="00086826" w:rsidRPr="00032248" w14:paraId="2C5B609A" w14:textId="77777777" w:rsidTr="004E08FC">
        <w:trPr>
          <w:trHeight w:val="604"/>
        </w:trPr>
        <w:tc>
          <w:tcPr>
            <w:tcW w:w="1348" w:type="dxa"/>
            <w:vAlign w:val="center"/>
            <w:hideMark/>
          </w:tcPr>
          <w:p w14:paraId="345FD22B"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INTR</w:t>
            </w:r>
          </w:p>
        </w:tc>
        <w:tc>
          <w:tcPr>
            <w:tcW w:w="1770" w:type="dxa"/>
            <w:vAlign w:val="center"/>
            <w:hideMark/>
          </w:tcPr>
          <w:p w14:paraId="5B0E9ADB"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587.8929</w:t>
            </w:r>
          </w:p>
        </w:tc>
        <w:tc>
          <w:tcPr>
            <w:tcW w:w="1770" w:type="dxa"/>
            <w:vAlign w:val="center"/>
            <w:hideMark/>
          </w:tcPr>
          <w:p w14:paraId="5A57983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664.4652</w:t>
            </w:r>
          </w:p>
        </w:tc>
        <w:tc>
          <w:tcPr>
            <w:tcW w:w="1920" w:type="dxa"/>
            <w:vAlign w:val="center"/>
            <w:hideMark/>
          </w:tcPr>
          <w:p w14:paraId="6D77CCA6"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2522.500</w:t>
            </w:r>
          </w:p>
        </w:tc>
        <w:tc>
          <w:tcPr>
            <w:tcW w:w="1861" w:type="dxa"/>
            <w:vAlign w:val="center"/>
            <w:hideMark/>
          </w:tcPr>
          <w:p w14:paraId="27F2E581"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4.100000</w:t>
            </w:r>
          </w:p>
        </w:tc>
      </w:tr>
      <w:tr w:rsidR="00086826" w:rsidRPr="00032248" w14:paraId="2BFEA2AE" w14:textId="77777777" w:rsidTr="004E08FC">
        <w:trPr>
          <w:trHeight w:val="604"/>
        </w:trPr>
        <w:tc>
          <w:tcPr>
            <w:tcW w:w="1348" w:type="dxa"/>
            <w:vAlign w:val="center"/>
            <w:hideMark/>
          </w:tcPr>
          <w:p w14:paraId="4895CC83"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OPEN</w:t>
            </w:r>
          </w:p>
        </w:tc>
        <w:tc>
          <w:tcPr>
            <w:tcW w:w="1770" w:type="dxa"/>
            <w:vAlign w:val="center"/>
            <w:hideMark/>
          </w:tcPr>
          <w:p w14:paraId="35D38BE4"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-0.4229</w:t>
            </w:r>
          </w:p>
        </w:tc>
        <w:tc>
          <w:tcPr>
            <w:tcW w:w="1770" w:type="dxa"/>
            <w:vAlign w:val="center"/>
            <w:hideMark/>
          </w:tcPr>
          <w:p w14:paraId="0FAA7C8D"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1.004449</w:t>
            </w:r>
          </w:p>
        </w:tc>
        <w:tc>
          <w:tcPr>
            <w:tcW w:w="1920" w:type="dxa"/>
            <w:vAlign w:val="center"/>
            <w:hideMark/>
          </w:tcPr>
          <w:p w14:paraId="1A78F515"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0.970000</w:t>
            </w:r>
          </w:p>
        </w:tc>
        <w:tc>
          <w:tcPr>
            <w:tcW w:w="1861" w:type="dxa"/>
            <w:vAlign w:val="center"/>
            <w:hideMark/>
          </w:tcPr>
          <w:p w14:paraId="2D5EE186"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-1.56</w:t>
            </w:r>
          </w:p>
        </w:tc>
      </w:tr>
    </w:tbl>
    <w:p w14:paraId="62B3AE3F" w14:textId="77777777" w:rsidR="007E357C" w:rsidRPr="00032248" w:rsidRDefault="00086826" w:rsidP="00B32196">
      <w:pPr>
        <w:spacing w:after="120" w:line="360" w:lineRule="auto"/>
        <w:rPr>
          <w:rFonts w:ascii="Arial" w:hAnsi="Arial" w:cs="Arial"/>
          <w:spacing w:val="-5"/>
        </w:rPr>
      </w:pPr>
      <w:r w:rsidRPr="00032248">
        <w:rPr>
          <w:rFonts w:ascii="Arial" w:hAnsi="Arial" w:cs="Arial"/>
        </w:rPr>
        <w:t>Source:</w:t>
      </w:r>
      <w:r w:rsidRPr="00032248">
        <w:rPr>
          <w:rFonts w:ascii="Arial" w:hAnsi="Arial" w:cs="Arial"/>
          <w:spacing w:val="14"/>
        </w:rPr>
        <w:t xml:space="preserve"> </w:t>
      </w:r>
      <w:r w:rsidRPr="00032248">
        <w:rPr>
          <w:rFonts w:ascii="Arial" w:hAnsi="Arial" w:cs="Arial"/>
        </w:rPr>
        <w:t>Researcher’s</w:t>
      </w:r>
      <w:r w:rsidRPr="00032248">
        <w:rPr>
          <w:rFonts w:ascii="Arial" w:hAnsi="Arial" w:cs="Arial"/>
          <w:spacing w:val="12"/>
        </w:rPr>
        <w:t xml:space="preserve"> </w:t>
      </w:r>
      <w:r w:rsidRPr="00032248">
        <w:rPr>
          <w:rFonts w:ascii="Arial" w:hAnsi="Arial" w:cs="Arial"/>
        </w:rPr>
        <w:t>computation</w:t>
      </w:r>
      <w:r w:rsidRPr="00032248">
        <w:rPr>
          <w:rFonts w:ascii="Arial" w:hAnsi="Arial" w:cs="Arial"/>
          <w:spacing w:val="16"/>
        </w:rPr>
        <w:t xml:space="preserve"> </w:t>
      </w:r>
      <w:r w:rsidRPr="00032248">
        <w:rPr>
          <w:rFonts w:ascii="Arial" w:hAnsi="Arial" w:cs="Arial"/>
        </w:rPr>
        <w:t>(2025),</w:t>
      </w:r>
      <w:r w:rsidRPr="00032248">
        <w:rPr>
          <w:rFonts w:ascii="Arial" w:hAnsi="Arial" w:cs="Arial"/>
          <w:spacing w:val="13"/>
        </w:rPr>
        <w:t xml:space="preserve"> </w:t>
      </w:r>
      <w:r w:rsidRPr="00032248">
        <w:rPr>
          <w:rFonts w:ascii="Arial" w:hAnsi="Arial" w:cs="Arial"/>
        </w:rPr>
        <w:t>using</w:t>
      </w:r>
      <w:r w:rsidRPr="00032248">
        <w:rPr>
          <w:rFonts w:ascii="Arial" w:hAnsi="Arial" w:cs="Arial"/>
          <w:spacing w:val="17"/>
        </w:rPr>
        <w:t xml:space="preserve"> </w:t>
      </w:r>
      <w:r w:rsidRPr="00032248">
        <w:rPr>
          <w:rFonts w:ascii="Arial" w:hAnsi="Arial" w:cs="Arial"/>
        </w:rPr>
        <w:t>E-Views</w:t>
      </w:r>
      <w:r w:rsidRPr="00032248">
        <w:rPr>
          <w:rFonts w:ascii="Arial" w:hAnsi="Arial" w:cs="Arial"/>
          <w:spacing w:val="15"/>
        </w:rPr>
        <w:t xml:space="preserve"> </w:t>
      </w:r>
      <w:r w:rsidRPr="00032248">
        <w:rPr>
          <w:rFonts w:ascii="Arial" w:hAnsi="Arial" w:cs="Arial"/>
          <w:spacing w:val="-5"/>
        </w:rPr>
        <w:t>9.</w:t>
      </w:r>
    </w:p>
    <w:p w14:paraId="22309A34" w14:textId="77777777" w:rsidR="007E357C" w:rsidRPr="00032248" w:rsidRDefault="00600278" w:rsidP="00B32196">
      <w:pPr>
        <w:spacing w:after="120" w:line="360" w:lineRule="auto"/>
        <w:rPr>
          <w:rFonts w:ascii="Arial" w:hAnsi="Arial" w:cs="Arial"/>
        </w:rPr>
      </w:pPr>
      <w:r w:rsidRPr="00032248">
        <w:rPr>
          <w:rFonts w:ascii="Arial" w:hAnsi="Arial" w:cs="Arial"/>
          <w:b/>
          <w:spacing w:val="-2"/>
          <w:w w:val="105"/>
        </w:rPr>
        <w:t xml:space="preserve">4.1.2 </w:t>
      </w:r>
      <w:r w:rsidR="007E357C" w:rsidRPr="00032248">
        <w:rPr>
          <w:rFonts w:ascii="Arial" w:hAnsi="Arial" w:cs="Arial"/>
          <w:b/>
          <w:spacing w:val="-2"/>
          <w:w w:val="105"/>
        </w:rPr>
        <w:t>C</w:t>
      </w:r>
      <w:r w:rsidRPr="00032248">
        <w:rPr>
          <w:rFonts w:ascii="Arial" w:hAnsi="Arial" w:cs="Arial"/>
          <w:b/>
          <w:spacing w:val="-2"/>
          <w:w w:val="105"/>
        </w:rPr>
        <w:t>orrelation Analysis</w:t>
      </w:r>
    </w:p>
    <w:p w14:paraId="3D988546" w14:textId="77777777" w:rsidR="007E357C" w:rsidRPr="00032248" w:rsidRDefault="007E357C" w:rsidP="00151951">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The pairwise correlations indicate limited bivariate association between real GDP growth (RGDP) and fiscal–macroeconomic policy variables, with small magnitudes for budget deficit (BD: −0.069), tax reforms (TR: 0.047), inflation (INF: 0.032), and interest rate (INTR: 0.141). By contrast, RGDP exhibits a moderately strong negative correlation with trade openness (OPEN: −0.622), suggesting a contemporaneous inverse association that warrants further structural investigation rather than causal inference.</w:t>
      </w:r>
    </w:p>
    <w:p w14:paraId="1F3D93BE" w14:textId="77777777" w:rsidR="007E357C" w:rsidRPr="00032248" w:rsidRDefault="007E357C"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 xml:space="preserve">Among the covariates, BD is positively correlated with INF (0.633) and INTR (0.609), consistent with fiscal–monetary co-movement in high-inflation environments, while TR is negatively correlated with BD (−0.505), INF (−0.421), and INTR (−0.442), indicating potential reform episodes coinciding with consolidation and disinflation. INF and INTR are highly collinear (0.931), </w:t>
      </w:r>
      <w:r w:rsidRPr="00032248">
        <w:rPr>
          <w:rFonts w:ascii="Arial" w:eastAsia="Times New Roman" w:hAnsi="Arial" w:cs="Arial"/>
          <w:lang w:eastAsia="en-GB"/>
        </w:rPr>
        <w:lastRenderedPageBreak/>
        <w:t>raising concerns about multicollinearity in multivariate specifications. OPEN is negatively correlated with BD (−0.398), INF (−0.502), and INTR (−0.527), but positively with TR (0.305), suggesting reform openness linkages.</w:t>
      </w:r>
    </w:p>
    <w:p w14:paraId="1859942D" w14:textId="77777777" w:rsidR="007E357C" w:rsidRPr="00032248" w:rsidRDefault="007E357C" w:rsidP="00B32196">
      <w:pPr>
        <w:spacing w:before="100" w:beforeAutospacing="1" w:after="100" w:afterAutospacing="1" w:line="360" w:lineRule="auto"/>
        <w:jc w:val="both"/>
        <w:rPr>
          <w:rFonts w:ascii="Arial" w:eastAsia="Times New Roman" w:hAnsi="Arial" w:cs="Arial"/>
          <w:lang w:eastAsia="en-GB"/>
        </w:rPr>
      </w:pPr>
      <w:r w:rsidRPr="00032248">
        <w:rPr>
          <w:rFonts w:ascii="Arial" w:eastAsia="Times New Roman" w:hAnsi="Arial" w:cs="Arial"/>
          <w:lang w:eastAsia="en-GB"/>
        </w:rPr>
        <w:t>Overall, the strong INF–INTR correlation motivates diagnostics (VIFs) and alternative specifications (e.g., excluding one, principal components, or dynamic controls) in subsequent econometric models.</w:t>
      </w:r>
    </w:p>
    <w:p w14:paraId="3F964602" w14:textId="77777777" w:rsidR="007E357C" w:rsidRPr="00032248" w:rsidRDefault="00B9110F" w:rsidP="0077036A">
      <w:pPr>
        <w:spacing w:after="120"/>
        <w:ind w:right="1318"/>
        <w:rPr>
          <w:rFonts w:ascii="Arial" w:hAnsi="Arial" w:cs="Arial"/>
          <w:b/>
          <w:spacing w:val="-2"/>
          <w:w w:val="105"/>
        </w:rPr>
      </w:pPr>
      <w:r w:rsidRPr="00032248">
        <w:rPr>
          <w:rFonts w:ascii="Arial" w:hAnsi="Arial" w:cs="Arial"/>
          <w:b/>
          <w:bCs/>
        </w:rPr>
        <w:t>Table</w:t>
      </w:r>
      <w:r w:rsidRPr="00032248">
        <w:rPr>
          <w:rFonts w:ascii="Arial" w:hAnsi="Arial" w:cs="Arial"/>
          <w:b/>
          <w:bCs/>
          <w:spacing w:val="15"/>
        </w:rPr>
        <w:t xml:space="preserve"> </w:t>
      </w:r>
      <w:r w:rsidR="007E357C" w:rsidRPr="00032248">
        <w:rPr>
          <w:rFonts w:ascii="Arial" w:hAnsi="Arial" w:cs="Arial"/>
          <w:b/>
          <w:bCs/>
          <w:spacing w:val="-4"/>
        </w:rPr>
        <w:t>1B</w:t>
      </w:r>
      <w:r w:rsidR="007E357C" w:rsidRPr="00032248">
        <w:rPr>
          <w:rFonts w:ascii="Arial" w:hAnsi="Arial" w:cs="Arial"/>
          <w:spacing w:val="-4"/>
        </w:rPr>
        <w:t xml:space="preserve">: </w:t>
      </w:r>
      <w:r w:rsidRPr="00032248">
        <w:rPr>
          <w:rFonts w:ascii="Arial" w:hAnsi="Arial" w:cs="Arial"/>
          <w:b/>
          <w:spacing w:val="-2"/>
          <w:w w:val="105"/>
        </w:rPr>
        <w:t>Correlation</w:t>
      </w:r>
      <w:r w:rsidRPr="00032248">
        <w:rPr>
          <w:rFonts w:ascii="Arial" w:hAnsi="Arial" w:cs="Arial"/>
          <w:b/>
          <w:spacing w:val="10"/>
          <w:w w:val="105"/>
        </w:rPr>
        <w:t xml:space="preserve"> </w:t>
      </w:r>
      <w:r w:rsidRPr="00032248">
        <w:rPr>
          <w:rFonts w:ascii="Arial" w:hAnsi="Arial" w:cs="Arial"/>
          <w:b/>
          <w:spacing w:val="-2"/>
          <w:w w:val="105"/>
        </w:rPr>
        <w:t>matrix</w:t>
      </w:r>
    </w:p>
    <w:tbl>
      <w:tblPr>
        <w:tblW w:w="8845" w:type="dxa"/>
        <w:tblLook w:val="04A0" w:firstRow="1" w:lastRow="0" w:firstColumn="1" w:lastColumn="0" w:noHBand="0" w:noVBand="1"/>
      </w:tblPr>
      <w:tblGrid>
        <w:gridCol w:w="1168"/>
        <w:gridCol w:w="1367"/>
        <w:gridCol w:w="1408"/>
        <w:gridCol w:w="1319"/>
        <w:gridCol w:w="1097"/>
        <w:gridCol w:w="1230"/>
        <w:gridCol w:w="1256"/>
      </w:tblGrid>
      <w:tr w:rsidR="00086826" w:rsidRPr="00032248" w14:paraId="65BF6232" w14:textId="77777777" w:rsidTr="004E08FC">
        <w:trPr>
          <w:trHeight w:val="433"/>
        </w:trPr>
        <w:tc>
          <w:tcPr>
            <w:tcW w:w="1168" w:type="dxa"/>
            <w:tcBorders>
              <w:top w:val="single" w:sz="8" w:space="0" w:color="auto"/>
              <w:left w:val="single" w:sz="8" w:space="0" w:color="auto"/>
              <w:bottom w:val="single" w:sz="8" w:space="0" w:color="auto"/>
              <w:right w:val="single" w:sz="8" w:space="0" w:color="auto"/>
            </w:tcBorders>
            <w:vAlign w:val="center"/>
            <w:hideMark/>
          </w:tcPr>
          <w:p w14:paraId="03089565"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 </w:t>
            </w:r>
          </w:p>
        </w:tc>
        <w:tc>
          <w:tcPr>
            <w:tcW w:w="1367" w:type="dxa"/>
            <w:tcBorders>
              <w:top w:val="single" w:sz="8" w:space="0" w:color="auto"/>
              <w:left w:val="nil"/>
              <w:bottom w:val="single" w:sz="8" w:space="0" w:color="auto"/>
              <w:right w:val="single" w:sz="8" w:space="0" w:color="auto"/>
            </w:tcBorders>
            <w:vAlign w:val="center"/>
            <w:hideMark/>
          </w:tcPr>
          <w:p w14:paraId="7B57EEEC"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RGDP</w:t>
            </w:r>
          </w:p>
        </w:tc>
        <w:tc>
          <w:tcPr>
            <w:tcW w:w="1408" w:type="dxa"/>
            <w:tcBorders>
              <w:top w:val="single" w:sz="8" w:space="0" w:color="auto"/>
              <w:left w:val="nil"/>
              <w:bottom w:val="single" w:sz="8" w:space="0" w:color="auto"/>
              <w:right w:val="single" w:sz="8" w:space="0" w:color="auto"/>
            </w:tcBorders>
            <w:vAlign w:val="center"/>
            <w:hideMark/>
          </w:tcPr>
          <w:p w14:paraId="7775CC85"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BD</w:t>
            </w:r>
          </w:p>
        </w:tc>
        <w:tc>
          <w:tcPr>
            <w:tcW w:w="1319" w:type="dxa"/>
            <w:tcBorders>
              <w:top w:val="single" w:sz="8" w:space="0" w:color="auto"/>
              <w:left w:val="nil"/>
              <w:bottom w:val="single" w:sz="8" w:space="0" w:color="auto"/>
              <w:right w:val="single" w:sz="8" w:space="0" w:color="auto"/>
            </w:tcBorders>
            <w:vAlign w:val="center"/>
            <w:hideMark/>
          </w:tcPr>
          <w:p w14:paraId="7D33F3BD"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TR</w:t>
            </w:r>
          </w:p>
        </w:tc>
        <w:tc>
          <w:tcPr>
            <w:tcW w:w="1097" w:type="dxa"/>
            <w:tcBorders>
              <w:top w:val="single" w:sz="8" w:space="0" w:color="auto"/>
              <w:left w:val="nil"/>
              <w:bottom w:val="single" w:sz="8" w:space="0" w:color="auto"/>
              <w:right w:val="single" w:sz="8" w:space="0" w:color="auto"/>
            </w:tcBorders>
            <w:vAlign w:val="center"/>
            <w:hideMark/>
          </w:tcPr>
          <w:p w14:paraId="4D1A8961"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INF</w:t>
            </w:r>
          </w:p>
        </w:tc>
        <w:tc>
          <w:tcPr>
            <w:tcW w:w="1230" w:type="dxa"/>
            <w:tcBorders>
              <w:top w:val="single" w:sz="8" w:space="0" w:color="auto"/>
              <w:left w:val="nil"/>
              <w:bottom w:val="single" w:sz="8" w:space="0" w:color="auto"/>
              <w:right w:val="single" w:sz="8" w:space="0" w:color="auto"/>
            </w:tcBorders>
            <w:vAlign w:val="center"/>
            <w:hideMark/>
          </w:tcPr>
          <w:p w14:paraId="0E15217D"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INTR</w:t>
            </w:r>
          </w:p>
        </w:tc>
        <w:tc>
          <w:tcPr>
            <w:tcW w:w="1256" w:type="dxa"/>
            <w:tcBorders>
              <w:top w:val="single" w:sz="8" w:space="0" w:color="auto"/>
              <w:left w:val="nil"/>
              <w:bottom w:val="single" w:sz="8" w:space="0" w:color="auto"/>
              <w:right w:val="single" w:sz="8" w:space="0" w:color="auto"/>
            </w:tcBorders>
            <w:vAlign w:val="center"/>
            <w:hideMark/>
          </w:tcPr>
          <w:p w14:paraId="5BB26451" w14:textId="77777777" w:rsidR="00086826" w:rsidRPr="00032248" w:rsidRDefault="00086826" w:rsidP="00B32196">
            <w:pPr>
              <w:spacing w:after="120" w:line="360" w:lineRule="auto"/>
              <w:jc w:val="center"/>
              <w:rPr>
                <w:rFonts w:ascii="Arial" w:eastAsia="Times New Roman" w:hAnsi="Arial" w:cs="Arial"/>
                <w:b/>
                <w:bCs/>
                <w:color w:val="000000"/>
                <w:lang w:eastAsia="en-GB"/>
              </w:rPr>
            </w:pPr>
            <w:r w:rsidRPr="00032248">
              <w:rPr>
                <w:rFonts w:ascii="Arial" w:eastAsia="Times New Roman" w:hAnsi="Arial" w:cs="Arial"/>
                <w:b/>
                <w:bCs/>
                <w:color w:val="000000"/>
                <w:lang w:eastAsia="en-GB"/>
              </w:rPr>
              <w:t>OPEN</w:t>
            </w:r>
          </w:p>
        </w:tc>
      </w:tr>
      <w:tr w:rsidR="00086826" w:rsidRPr="00032248" w14:paraId="1EFB6168"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7A271225"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RGDPR</w:t>
            </w:r>
          </w:p>
        </w:tc>
        <w:tc>
          <w:tcPr>
            <w:tcW w:w="1367" w:type="dxa"/>
            <w:tcBorders>
              <w:top w:val="nil"/>
              <w:left w:val="nil"/>
              <w:bottom w:val="single" w:sz="8" w:space="0" w:color="auto"/>
              <w:right w:val="single" w:sz="8" w:space="0" w:color="auto"/>
            </w:tcBorders>
            <w:vAlign w:val="center"/>
            <w:hideMark/>
          </w:tcPr>
          <w:p w14:paraId="47F00A8E"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1.000</w:t>
            </w:r>
          </w:p>
        </w:tc>
        <w:tc>
          <w:tcPr>
            <w:tcW w:w="1408" w:type="dxa"/>
            <w:tcBorders>
              <w:top w:val="nil"/>
              <w:left w:val="nil"/>
              <w:bottom w:val="single" w:sz="8" w:space="0" w:color="auto"/>
              <w:right w:val="single" w:sz="8" w:space="0" w:color="auto"/>
            </w:tcBorders>
            <w:vAlign w:val="center"/>
            <w:hideMark/>
          </w:tcPr>
          <w:p w14:paraId="5ED1BFD4"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319" w:type="dxa"/>
            <w:tcBorders>
              <w:top w:val="nil"/>
              <w:left w:val="nil"/>
              <w:bottom w:val="single" w:sz="8" w:space="0" w:color="auto"/>
              <w:right w:val="single" w:sz="8" w:space="0" w:color="auto"/>
            </w:tcBorders>
            <w:vAlign w:val="center"/>
            <w:hideMark/>
          </w:tcPr>
          <w:p w14:paraId="2FB9047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097" w:type="dxa"/>
            <w:tcBorders>
              <w:top w:val="nil"/>
              <w:left w:val="nil"/>
              <w:bottom w:val="single" w:sz="8" w:space="0" w:color="auto"/>
              <w:right w:val="single" w:sz="8" w:space="0" w:color="auto"/>
            </w:tcBorders>
            <w:vAlign w:val="center"/>
            <w:hideMark/>
          </w:tcPr>
          <w:p w14:paraId="67ED9BB4"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217B2B00"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0D2D53F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r>
      <w:tr w:rsidR="00086826" w:rsidRPr="00032248" w14:paraId="6AC5BB11"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2CD4A67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BD</w:t>
            </w:r>
          </w:p>
        </w:tc>
        <w:tc>
          <w:tcPr>
            <w:tcW w:w="1367" w:type="dxa"/>
            <w:tcBorders>
              <w:top w:val="nil"/>
              <w:left w:val="nil"/>
              <w:bottom w:val="single" w:sz="8" w:space="0" w:color="auto"/>
              <w:right w:val="single" w:sz="8" w:space="0" w:color="auto"/>
            </w:tcBorders>
            <w:vAlign w:val="center"/>
            <w:hideMark/>
          </w:tcPr>
          <w:p w14:paraId="75036C09"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-0.069</w:t>
            </w:r>
          </w:p>
        </w:tc>
        <w:tc>
          <w:tcPr>
            <w:tcW w:w="1408" w:type="dxa"/>
            <w:tcBorders>
              <w:top w:val="nil"/>
              <w:left w:val="nil"/>
              <w:bottom w:val="single" w:sz="8" w:space="0" w:color="auto"/>
              <w:right w:val="single" w:sz="8" w:space="0" w:color="auto"/>
            </w:tcBorders>
            <w:vAlign w:val="center"/>
            <w:hideMark/>
          </w:tcPr>
          <w:p w14:paraId="1F548DAE"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1.000</w:t>
            </w:r>
          </w:p>
        </w:tc>
        <w:tc>
          <w:tcPr>
            <w:tcW w:w="1319" w:type="dxa"/>
            <w:tcBorders>
              <w:top w:val="nil"/>
              <w:left w:val="nil"/>
              <w:bottom w:val="single" w:sz="8" w:space="0" w:color="auto"/>
              <w:right w:val="single" w:sz="8" w:space="0" w:color="auto"/>
            </w:tcBorders>
            <w:vAlign w:val="center"/>
            <w:hideMark/>
          </w:tcPr>
          <w:p w14:paraId="09CC2228"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097" w:type="dxa"/>
            <w:tcBorders>
              <w:top w:val="nil"/>
              <w:left w:val="nil"/>
              <w:bottom w:val="single" w:sz="8" w:space="0" w:color="auto"/>
              <w:right w:val="single" w:sz="8" w:space="0" w:color="auto"/>
            </w:tcBorders>
            <w:vAlign w:val="center"/>
            <w:hideMark/>
          </w:tcPr>
          <w:p w14:paraId="7747191E"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7D9B83C3"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521AD762"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r>
      <w:tr w:rsidR="00086826" w:rsidRPr="00032248" w14:paraId="70AE6AA5"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3EA66DAB"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TR</w:t>
            </w:r>
          </w:p>
        </w:tc>
        <w:tc>
          <w:tcPr>
            <w:tcW w:w="1367" w:type="dxa"/>
            <w:tcBorders>
              <w:top w:val="nil"/>
              <w:left w:val="nil"/>
              <w:bottom w:val="single" w:sz="8" w:space="0" w:color="auto"/>
              <w:right w:val="single" w:sz="8" w:space="0" w:color="auto"/>
            </w:tcBorders>
            <w:vAlign w:val="center"/>
            <w:hideMark/>
          </w:tcPr>
          <w:p w14:paraId="11CA0194"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0.047</w:t>
            </w:r>
          </w:p>
        </w:tc>
        <w:tc>
          <w:tcPr>
            <w:tcW w:w="1408" w:type="dxa"/>
            <w:tcBorders>
              <w:top w:val="nil"/>
              <w:left w:val="nil"/>
              <w:bottom w:val="single" w:sz="8" w:space="0" w:color="auto"/>
              <w:right w:val="single" w:sz="8" w:space="0" w:color="auto"/>
            </w:tcBorders>
            <w:vAlign w:val="center"/>
            <w:hideMark/>
          </w:tcPr>
          <w:p w14:paraId="0DAB570C"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-0.505</w:t>
            </w:r>
          </w:p>
        </w:tc>
        <w:tc>
          <w:tcPr>
            <w:tcW w:w="1319" w:type="dxa"/>
            <w:tcBorders>
              <w:top w:val="nil"/>
              <w:left w:val="nil"/>
              <w:bottom w:val="single" w:sz="8" w:space="0" w:color="auto"/>
              <w:right w:val="single" w:sz="8" w:space="0" w:color="auto"/>
            </w:tcBorders>
            <w:vAlign w:val="center"/>
            <w:hideMark/>
          </w:tcPr>
          <w:p w14:paraId="01371764"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1.000</w:t>
            </w:r>
          </w:p>
        </w:tc>
        <w:tc>
          <w:tcPr>
            <w:tcW w:w="1097" w:type="dxa"/>
            <w:tcBorders>
              <w:top w:val="nil"/>
              <w:left w:val="nil"/>
              <w:bottom w:val="single" w:sz="8" w:space="0" w:color="auto"/>
              <w:right w:val="single" w:sz="8" w:space="0" w:color="auto"/>
            </w:tcBorders>
            <w:vAlign w:val="center"/>
            <w:hideMark/>
          </w:tcPr>
          <w:p w14:paraId="39891B5D"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5BEB95ED"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77E393E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r>
      <w:tr w:rsidR="00086826" w:rsidRPr="00032248" w14:paraId="7C7C725D"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6E3E38D8"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INF</w:t>
            </w:r>
          </w:p>
        </w:tc>
        <w:tc>
          <w:tcPr>
            <w:tcW w:w="1367" w:type="dxa"/>
            <w:tcBorders>
              <w:top w:val="nil"/>
              <w:left w:val="nil"/>
              <w:bottom w:val="single" w:sz="8" w:space="0" w:color="auto"/>
              <w:right w:val="single" w:sz="8" w:space="0" w:color="auto"/>
            </w:tcBorders>
            <w:vAlign w:val="center"/>
            <w:hideMark/>
          </w:tcPr>
          <w:p w14:paraId="6417AEE0"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0.032</w:t>
            </w:r>
          </w:p>
        </w:tc>
        <w:tc>
          <w:tcPr>
            <w:tcW w:w="1408" w:type="dxa"/>
            <w:tcBorders>
              <w:top w:val="nil"/>
              <w:left w:val="nil"/>
              <w:bottom w:val="single" w:sz="8" w:space="0" w:color="auto"/>
              <w:right w:val="single" w:sz="8" w:space="0" w:color="auto"/>
            </w:tcBorders>
            <w:vAlign w:val="center"/>
            <w:hideMark/>
          </w:tcPr>
          <w:p w14:paraId="7B9CC3AD"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0.633</w:t>
            </w:r>
          </w:p>
        </w:tc>
        <w:tc>
          <w:tcPr>
            <w:tcW w:w="1319" w:type="dxa"/>
            <w:tcBorders>
              <w:top w:val="nil"/>
              <w:left w:val="nil"/>
              <w:bottom w:val="single" w:sz="8" w:space="0" w:color="auto"/>
              <w:right w:val="single" w:sz="8" w:space="0" w:color="auto"/>
            </w:tcBorders>
            <w:vAlign w:val="center"/>
            <w:hideMark/>
          </w:tcPr>
          <w:p w14:paraId="480BD12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-0.421</w:t>
            </w:r>
          </w:p>
        </w:tc>
        <w:tc>
          <w:tcPr>
            <w:tcW w:w="1097" w:type="dxa"/>
            <w:tcBorders>
              <w:top w:val="nil"/>
              <w:left w:val="nil"/>
              <w:bottom w:val="single" w:sz="8" w:space="0" w:color="auto"/>
              <w:right w:val="single" w:sz="8" w:space="0" w:color="auto"/>
            </w:tcBorders>
            <w:vAlign w:val="center"/>
            <w:hideMark/>
          </w:tcPr>
          <w:p w14:paraId="086401EB"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1.000</w:t>
            </w:r>
          </w:p>
        </w:tc>
        <w:tc>
          <w:tcPr>
            <w:tcW w:w="1230" w:type="dxa"/>
            <w:tcBorders>
              <w:top w:val="nil"/>
              <w:left w:val="nil"/>
              <w:bottom w:val="single" w:sz="8" w:space="0" w:color="auto"/>
              <w:right w:val="single" w:sz="8" w:space="0" w:color="auto"/>
            </w:tcBorders>
            <w:vAlign w:val="center"/>
            <w:hideMark/>
          </w:tcPr>
          <w:p w14:paraId="7FAA36AF"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4000DF1F"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r>
      <w:tr w:rsidR="00086826" w:rsidRPr="00032248" w14:paraId="2AF4053C"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4D3C4C46"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INTR</w:t>
            </w:r>
          </w:p>
        </w:tc>
        <w:tc>
          <w:tcPr>
            <w:tcW w:w="1367" w:type="dxa"/>
            <w:tcBorders>
              <w:top w:val="nil"/>
              <w:left w:val="nil"/>
              <w:bottom w:val="single" w:sz="8" w:space="0" w:color="auto"/>
              <w:right w:val="single" w:sz="8" w:space="0" w:color="auto"/>
            </w:tcBorders>
            <w:vAlign w:val="center"/>
            <w:hideMark/>
          </w:tcPr>
          <w:p w14:paraId="1D470840"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0.141</w:t>
            </w:r>
          </w:p>
        </w:tc>
        <w:tc>
          <w:tcPr>
            <w:tcW w:w="1408" w:type="dxa"/>
            <w:tcBorders>
              <w:top w:val="nil"/>
              <w:left w:val="nil"/>
              <w:bottom w:val="single" w:sz="8" w:space="0" w:color="auto"/>
              <w:right w:val="single" w:sz="8" w:space="0" w:color="auto"/>
            </w:tcBorders>
            <w:vAlign w:val="center"/>
            <w:hideMark/>
          </w:tcPr>
          <w:p w14:paraId="49144B87"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0.609</w:t>
            </w:r>
          </w:p>
        </w:tc>
        <w:tc>
          <w:tcPr>
            <w:tcW w:w="1319" w:type="dxa"/>
            <w:tcBorders>
              <w:top w:val="nil"/>
              <w:left w:val="nil"/>
              <w:bottom w:val="single" w:sz="8" w:space="0" w:color="auto"/>
              <w:right w:val="single" w:sz="8" w:space="0" w:color="auto"/>
            </w:tcBorders>
            <w:vAlign w:val="center"/>
            <w:hideMark/>
          </w:tcPr>
          <w:p w14:paraId="2AA25070"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-0.442</w:t>
            </w:r>
          </w:p>
        </w:tc>
        <w:tc>
          <w:tcPr>
            <w:tcW w:w="1097" w:type="dxa"/>
            <w:tcBorders>
              <w:top w:val="nil"/>
              <w:left w:val="nil"/>
              <w:bottom w:val="single" w:sz="8" w:space="0" w:color="auto"/>
              <w:right w:val="single" w:sz="8" w:space="0" w:color="auto"/>
            </w:tcBorders>
            <w:vAlign w:val="center"/>
            <w:hideMark/>
          </w:tcPr>
          <w:p w14:paraId="2FF49CB9"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0.931</w:t>
            </w:r>
          </w:p>
        </w:tc>
        <w:tc>
          <w:tcPr>
            <w:tcW w:w="1230" w:type="dxa"/>
            <w:tcBorders>
              <w:top w:val="nil"/>
              <w:left w:val="nil"/>
              <w:bottom w:val="single" w:sz="8" w:space="0" w:color="auto"/>
              <w:right w:val="single" w:sz="8" w:space="0" w:color="auto"/>
            </w:tcBorders>
            <w:vAlign w:val="center"/>
            <w:hideMark/>
          </w:tcPr>
          <w:p w14:paraId="562D3C59"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1.000</w:t>
            </w:r>
          </w:p>
        </w:tc>
        <w:tc>
          <w:tcPr>
            <w:tcW w:w="1256" w:type="dxa"/>
            <w:tcBorders>
              <w:top w:val="nil"/>
              <w:left w:val="nil"/>
              <w:bottom w:val="single" w:sz="8" w:space="0" w:color="auto"/>
              <w:right w:val="single" w:sz="8" w:space="0" w:color="auto"/>
            </w:tcBorders>
            <w:vAlign w:val="center"/>
            <w:hideMark/>
          </w:tcPr>
          <w:p w14:paraId="207105B0"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w:t>
            </w:r>
          </w:p>
        </w:tc>
      </w:tr>
      <w:tr w:rsidR="00086826" w:rsidRPr="00032248" w14:paraId="70584971"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6E798F88"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OPEN</w:t>
            </w:r>
          </w:p>
        </w:tc>
        <w:tc>
          <w:tcPr>
            <w:tcW w:w="1367" w:type="dxa"/>
            <w:tcBorders>
              <w:top w:val="nil"/>
              <w:left w:val="nil"/>
              <w:bottom w:val="single" w:sz="8" w:space="0" w:color="auto"/>
              <w:right w:val="single" w:sz="8" w:space="0" w:color="auto"/>
            </w:tcBorders>
            <w:vAlign w:val="center"/>
            <w:hideMark/>
          </w:tcPr>
          <w:p w14:paraId="48845236"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-0.622</w:t>
            </w:r>
          </w:p>
        </w:tc>
        <w:tc>
          <w:tcPr>
            <w:tcW w:w="1408" w:type="dxa"/>
            <w:tcBorders>
              <w:top w:val="nil"/>
              <w:left w:val="nil"/>
              <w:bottom w:val="single" w:sz="8" w:space="0" w:color="auto"/>
              <w:right w:val="single" w:sz="8" w:space="0" w:color="auto"/>
            </w:tcBorders>
            <w:vAlign w:val="center"/>
            <w:hideMark/>
          </w:tcPr>
          <w:p w14:paraId="1752BA8F"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-0.398</w:t>
            </w:r>
          </w:p>
        </w:tc>
        <w:tc>
          <w:tcPr>
            <w:tcW w:w="1319" w:type="dxa"/>
            <w:tcBorders>
              <w:top w:val="nil"/>
              <w:left w:val="nil"/>
              <w:bottom w:val="single" w:sz="8" w:space="0" w:color="auto"/>
              <w:right w:val="single" w:sz="8" w:space="0" w:color="auto"/>
            </w:tcBorders>
            <w:vAlign w:val="center"/>
            <w:hideMark/>
          </w:tcPr>
          <w:p w14:paraId="5BCBCAB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0.305</w:t>
            </w:r>
          </w:p>
        </w:tc>
        <w:tc>
          <w:tcPr>
            <w:tcW w:w="1097" w:type="dxa"/>
            <w:tcBorders>
              <w:top w:val="nil"/>
              <w:left w:val="nil"/>
              <w:bottom w:val="single" w:sz="8" w:space="0" w:color="auto"/>
              <w:right w:val="single" w:sz="8" w:space="0" w:color="auto"/>
            </w:tcBorders>
            <w:vAlign w:val="center"/>
            <w:hideMark/>
          </w:tcPr>
          <w:p w14:paraId="342D260D"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-0.502</w:t>
            </w:r>
          </w:p>
        </w:tc>
        <w:tc>
          <w:tcPr>
            <w:tcW w:w="1230" w:type="dxa"/>
            <w:tcBorders>
              <w:top w:val="nil"/>
              <w:left w:val="nil"/>
              <w:bottom w:val="single" w:sz="8" w:space="0" w:color="auto"/>
              <w:right w:val="single" w:sz="8" w:space="0" w:color="auto"/>
            </w:tcBorders>
            <w:vAlign w:val="center"/>
            <w:hideMark/>
          </w:tcPr>
          <w:p w14:paraId="43198A74"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-0.527</w:t>
            </w:r>
          </w:p>
        </w:tc>
        <w:tc>
          <w:tcPr>
            <w:tcW w:w="1256" w:type="dxa"/>
            <w:tcBorders>
              <w:top w:val="nil"/>
              <w:left w:val="nil"/>
              <w:bottom w:val="single" w:sz="8" w:space="0" w:color="auto"/>
              <w:right w:val="single" w:sz="8" w:space="0" w:color="auto"/>
            </w:tcBorders>
            <w:vAlign w:val="center"/>
            <w:hideMark/>
          </w:tcPr>
          <w:p w14:paraId="45E153CA" w14:textId="77777777" w:rsidR="00086826" w:rsidRPr="00032248" w:rsidRDefault="00086826" w:rsidP="00B32196">
            <w:pPr>
              <w:spacing w:after="120" w:line="360" w:lineRule="auto"/>
              <w:jc w:val="center"/>
              <w:rPr>
                <w:rFonts w:ascii="Arial" w:eastAsia="Times New Roman" w:hAnsi="Arial" w:cs="Arial"/>
                <w:color w:val="000000"/>
                <w:lang w:eastAsia="en-GB"/>
              </w:rPr>
            </w:pPr>
            <w:r w:rsidRPr="00032248">
              <w:rPr>
                <w:rFonts w:ascii="Arial" w:eastAsia="Times New Roman" w:hAnsi="Arial" w:cs="Arial"/>
                <w:color w:val="000000"/>
                <w:lang w:eastAsia="en-GB"/>
              </w:rPr>
              <w:t> 1.000</w:t>
            </w:r>
          </w:p>
        </w:tc>
      </w:tr>
    </w:tbl>
    <w:p w14:paraId="060664D2" w14:textId="77777777" w:rsidR="0083553F" w:rsidRPr="00032248" w:rsidRDefault="00086826" w:rsidP="0083553F">
      <w:pPr>
        <w:spacing w:after="120" w:line="360" w:lineRule="auto"/>
        <w:rPr>
          <w:rFonts w:ascii="Arial" w:hAnsi="Arial" w:cs="Arial"/>
          <w:spacing w:val="-5"/>
        </w:rPr>
      </w:pPr>
      <w:r w:rsidRPr="00032248">
        <w:rPr>
          <w:rFonts w:ascii="Arial" w:hAnsi="Arial" w:cs="Arial"/>
        </w:rPr>
        <w:t>Source:</w:t>
      </w:r>
      <w:r w:rsidRPr="00032248">
        <w:rPr>
          <w:rFonts w:ascii="Arial" w:hAnsi="Arial" w:cs="Arial"/>
          <w:spacing w:val="14"/>
        </w:rPr>
        <w:t xml:space="preserve"> </w:t>
      </w:r>
      <w:r w:rsidRPr="00032248">
        <w:rPr>
          <w:rFonts w:ascii="Arial" w:hAnsi="Arial" w:cs="Arial"/>
        </w:rPr>
        <w:t>Researcher’s</w:t>
      </w:r>
      <w:r w:rsidRPr="00032248">
        <w:rPr>
          <w:rFonts w:ascii="Arial" w:hAnsi="Arial" w:cs="Arial"/>
          <w:spacing w:val="12"/>
        </w:rPr>
        <w:t xml:space="preserve"> </w:t>
      </w:r>
      <w:r w:rsidRPr="00032248">
        <w:rPr>
          <w:rFonts w:ascii="Arial" w:hAnsi="Arial" w:cs="Arial"/>
        </w:rPr>
        <w:t>computation</w:t>
      </w:r>
      <w:r w:rsidRPr="00032248">
        <w:rPr>
          <w:rFonts w:ascii="Arial" w:hAnsi="Arial" w:cs="Arial"/>
          <w:spacing w:val="16"/>
        </w:rPr>
        <w:t xml:space="preserve"> </w:t>
      </w:r>
      <w:r w:rsidRPr="00032248">
        <w:rPr>
          <w:rFonts w:ascii="Arial" w:hAnsi="Arial" w:cs="Arial"/>
        </w:rPr>
        <w:t>(2025),</w:t>
      </w:r>
      <w:r w:rsidRPr="00032248">
        <w:rPr>
          <w:rFonts w:ascii="Arial" w:hAnsi="Arial" w:cs="Arial"/>
          <w:spacing w:val="13"/>
        </w:rPr>
        <w:t xml:space="preserve"> </w:t>
      </w:r>
      <w:r w:rsidRPr="00032248">
        <w:rPr>
          <w:rFonts w:ascii="Arial" w:hAnsi="Arial" w:cs="Arial"/>
        </w:rPr>
        <w:t>using</w:t>
      </w:r>
      <w:r w:rsidRPr="00032248">
        <w:rPr>
          <w:rFonts w:ascii="Arial" w:hAnsi="Arial" w:cs="Arial"/>
          <w:spacing w:val="17"/>
        </w:rPr>
        <w:t xml:space="preserve"> </w:t>
      </w:r>
      <w:r w:rsidRPr="00032248">
        <w:rPr>
          <w:rFonts w:ascii="Arial" w:hAnsi="Arial" w:cs="Arial"/>
        </w:rPr>
        <w:t>E-Views</w:t>
      </w:r>
      <w:r w:rsidRPr="00032248">
        <w:rPr>
          <w:rFonts w:ascii="Arial" w:hAnsi="Arial" w:cs="Arial"/>
          <w:spacing w:val="15"/>
        </w:rPr>
        <w:t xml:space="preserve"> </w:t>
      </w:r>
      <w:r w:rsidRPr="00032248">
        <w:rPr>
          <w:rFonts w:ascii="Arial" w:hAnsi="Arial" w:cs="Arial"/>
          <w:spacing w:val="-5"/>
        </w:rPr>
        <w:t>9.</w:t>
      </w:r>
    </w:p>
    <w:p w14:paraId="3E568E00" w14:textId="77777777" w:rsidR="00B32196" w:rsidRPr="00032248" w:rsidRDefault="00B32196" w:rsidP="0083553F">
      <w:pPr>
        <w:spacing w:after="120" w:line="360" w:lineRule="auto"/>
        <w:rPr>
          <w:rFonts w:ascii="Arial" w:hAnsi="Arial" w:cs="Arial"/>
        </w:rPr>
      </w:pPr>
      <w:r w:rsidRPr="00032248">
        <w:rPr>
          <w:rFonts w:ascii="Arial" w:hAnsi="Arial" w:cs="Arial"/>
          <w:b/>
          <w:bCs/>
        </w:rPr>
        <w:t>4.1.3 Unit Root Test Results</w:t>
      </w:r>
    </w:p>
    <w:p w14:paraId="19927B4E" w14:textId="77777777" w:rsidR="00B32196" w:rsidRPr="00032248" w:rsidRDefault="00B32196" w:rsidP="00967A45">
      <w:pPr>
        <w:spacing w:line="360" w:lineRule="auto"/>
        <w:jc w:val="both"/>
        <w:rPr>
          <w:rFonts w:ascii="Arial" w:hAnsi="Arial" w:cs="Arial"/>
        </w:rPr>
      </w:pPr>
      <w:r w:rsidRPr="00032248">
        <w:rPr>
          <w:rFonts w:ascii="Arial" w:hAnsi="Arial" w:cs="Arial"/>
        </w:rPr>
        <w:t>To determine the stationarity properties of the variables, the Augmented Dickey–Fuller (ADF) unit root test was conducted. Establishing the order of integration is essential for selecting an appropriate estimation technique and avoiding spurious regression results.</w:t>
      </w:r>
    </w:p>
    <w:p w14:paraId="239128FE" w14:textId="77777777" w:rsidR="00B32196" w:rsidRPr="00032248" w:rsidRDefault="00B32196" w:rsidP="00967A45">
      <w:pPr>
        <w:spacing w:line="360" w:lineRule="auto"/>
        <w:jc w:val="both"/>
        <w:rPr>
          <w:rFonts w:ascii="Arial" w:hAnsi="Arial" w:cs="Arial"/>
        </w:rPr>
      </w:pPr>
      <w:r w:rsidRPr="00032248">
        <w:t>The results indicate that real GDP growth, inflation, and the interest rate are stationary at level, implying that they are integrated of order zero, I(0). In contrast, the budget deficit, tax reforms, and trade openness become stationary only after first differencing, indicating that these variables are integrated of order one, I(1).</w:t>
      </w:r>
    </w:p>
    <w:p w14:paraId="12DE60F5" w14:textId="77777777" w:rsidR="00B32196" w:rsidRPr="00032248" w:rsidRDefault="00B32196" w:rsidP="00967A45">
      <w:pPr>
        <w:spacing w:line="360" w:lineRule="auto"/>
        <w:jc w:val="both"/>
        <w:rPr>
          <w:rFonts w:ascii="Arial" w:hAnsi="Arial" w:cs="Arial"/>
        </w:rPr>
      </w:pPr>
      <w:r w:rsidRPr="00032248">
        <w:rPr>
          <w:rFonts w:ascii="Arial" w:hAnsi="Arial" w:cs="Arial"/>
        </w:rPr>
        <w:t xml:space="preserve">The presence of variables integrated at different orders justifies the use of the Autoregressive Distributed Lag (ARDL) modelling approach adopted in this study. Unlike conventional cointegration techniques, the ARDL framework is suitable when variables are a mixture of </w:t>
      </w:r>
      <w:proofErr w:type="gramStart"/>
      <w:r w:rsidRPr="00032248">
        <w:rPr>
          <w:rFonts w:ascii="Arial" w:hAnsi="Arial" w:cs="Arial"/>
        </w:rPr>
        <w:t>I(</w:t>
      </w:r>
      <w:proofErr w:type="gramEnd"/>
      <w:r w:rsidRPr="00032248">
        <w:rPr>
          <w:rFonts w:ascii="Arial" w:hAnsi="Arial" w:cs="Arial"/>
        </w:rPr>
        <w:t xml:space="preserve">0) and </w:t>
      </w:r>
      <w:proofErr w:type="gramStart"/>
      <w:r w:rsidRPr="00032248">
        <w:rPr>
          <w:rFonts w:ascii="Arial" w:hAnsi="Arial" w:cs="Arial"/>
        </w:rPr>
        <w:t>I(</w:t>
      </w:r>
      <w:proofErr w:type="gramEnd"/>
      <w:r w:rsidRPr="00032248">
        <w:rPr>
          <w:rFonts w:ascii="Arial" w:hAnsi="Arial" w:cs="Arial"/>
        </w:rPr>
        <w:t>1) processes, provided none is integrated of order two or higher. The unit root results therefore provide the econometric basis for applying the ARDL bounds testing procedure to examine the existence of a long-run equilibrium relationship among the variables.</w:t>
      </w:r>
    </w:p>
    <w:p w14:paraId="783A51D2" w14:textId="77777777" w:rsidR="00144384" w:rsidRPr="00032248" w:rsidRDefault="00144384" w:rsidP="00967A45">
      <w:pPr>
        <w:spacing w:line="360" w:lineRule="auto"/>
        <w:jc w:val="both"/>
        <w:rPr>
          <w:rFonts w:ascii="Arial" w:hAnsi="Arial" w:cs="Arial"/>
        </w:rPr>
      </w:pPr>
      <w:r w:rsidRPr="00032248">
        <w:rPr>
          <w:rFonts w:ascii="Arial" w:hAnsi="Arial" w:cs="Arial"/>
        </w:rPr>
        <w:lastRenderedPageBreak/>
        <w:t>Table 2-</w:t>
      </w:r>
      <w:r w:rsidR="00241373" w:rsidRPr="00032248">
        <w:t xml:space="preserve"> Augmented Dickey–Fuller (ADF) Unit Root Test Results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1"/>
        <w:gridCol w:w="1701"/>
        <w:gridCol w:w="1996"/>
        <w:gridCol w:w="1973"/>
      </w:tblGrid>
      <w:tr w:rsidR="00B32196" w:rsidRPr="00032248" w14:paraId="725F682A" w14:textId="77777777" w:rsidTr="00AE50F8">
        <w:trPr>
          <w:trHeight w:val="897"/>
        </w:trPr>
        <w:tc>
          <w:tcPr>
            <w:tcW w:w="1701" w:type="dxa"/>
          </w:tcPr>
          <w:p w14:paraId="7061D5AE" w14:textId="77777777" w:rsidR="00B32196" w:rsidRPr="00032248" w:rsidRDefault="00B32196" w:rsidP="00AE50F8">
            <w:pPr>
              <w:pStyle w:val="TableParagraph"/>
              <w:spacing w:after="120"/>
              <w:jc w:val="left"/>
              <w:rPr>
                <w:rFonts w:ascii="Arial" w:hAnsi="Arial" w:cs="Arial"/>
                <w:b/>
              </w:rPr>
            </w:pPr>
          </w:p>
          <w:p w14:paraId="744F5FBB" w14:textId="77777777" w:rsidR="00B32196" w:rsidRPr="00032248" w:rsidRDefault="00B32196" w:rsidP="00DD26B8">
            <w:pPr>
              <w:pStyle w:val="TableParagraph"/>
              <w:spacing w:after="120"/>
              <w:ind w:left="537"/>
              <w:jc w:val="left"/>
              <w:rPr>
                <w:rFonts w:ascii="Arial" w:hAnsi="Arial" w:cs="Arial"/>
                <w:b/>
              </w:rPr>
            </w:pPr>
            <w:r w:rsidRPr="00032248">
              <w:rPr>
                <w:rFonts w:ascii="Arial" w:hAnsi="Arial" w:cs="Arial"/>
                <w:b/>
                <w:color w:val="0C0C0C"/>
                <w:spacing w:val="-2"/>
              </w:rPr>
              <w:t>Variables</w:t>
            </w:r>
          </w:p>
        </w:tc>
        <w:tc>
          <w:tcPr>
            <w:tcW w:w="1701" w:type="dxa"/>
          </w:tcPr>
          <w:p w14:paraId="24187BF3" w14:textId="77777777" w:rsidR="00CA599B" w:rsidRPr="00032248" w:rsidRDefault="00CA599B" w:rsidP="00DD26B8">
            <w:pPr>
              <w:pStyle w:val="TableParagraph"/>
              <w:spacing w:after="120"/>
              <w:ind w:left="124" w:right="5"/>
              <w:rPr>
                <w:rFonts w:ascii="Arial" w:hAnsi="Arial" w:cs="Arial"/>
                <w:b/>
                <w:color w:val="0C0C0C"/>
                <w:spacing w:val="-5"/>
              </w:rPr>
            </w:pPr>
          </w:p>
          <w:p w14:paraId="5A57EC39" w14:textId="77777777" w:rsidR="00B32196" w:rsidRPr="00032248" w:rsidRDefault="00B32196" w:rsidP="00AE50F8">
            <w:pPr>
              <w:pStyle w:val="TableParagraph"/>
              <w:spacing w:after="120"/>
              <w:ind w:left="124" w:right="5"/>
              <w:rPr>
                <w:rFonts w:ascii="Arial" w:hAnsi="Arial" w:cs="Arial"/>
                <w:b/>
              </w:rPr>
            </w:pPr>
            <w:r w:rsidRPr="00032248">
              <w:rPr>
                <w:rFonts w:ascii="Arial" w:hAnsi="Arial" w:cs="Arial"/>
                <w:b/>
                <w:color w:val="0C0C0C"/>
                <w:spacing w:val="-5"/>
              </w:rPr>
              <w:t>ADF</w:t>
            </w:r>
          </w:p>
          <w:p w14:paraId="7A0E2377" w14:textId="77777777" w:rsidR="00B32196" w:rsidRPr="00032248" w:rsidRDefault="00B32196" w:rsidP="00AE50F8">
            <w:pPr>
              <w:pStyle w:val="TableParagraph"/>
              <w:spacing w:after="120"/>
              <w:ind w:left="124" w:right="1"/>
              <w:rPr>
                <w:rFonts w:ascii="Arial" w:hAnsi="Arial" w:cs="Arial"/>
                <w:b/>
              </w:rPr>
            </w:pPr>
            <w:r w:rsidRPr="00032248">
              <w:rPr>
                <w:rFonts w:ascii="Arial" w:hAnsi="Arial" w:cs="Arial"/>
                <w:b/>
                <w:color w:val="0C0C0C"/>
                <w:spacing w:val="-2"/>
              </w:rPr>
              <w:t>Level</w:t>
            </w:r>
          </w:p>
        </w:tc>
        <w:tc>
          <w:tcPr>
            <w:tcW w:w="1996" w:type="dxa"/>
          </w:tcPr>
          <w:p w14:paraId="0B73877E" w14:textId="77777777" w:rsidR="00B32196" w:rsidRPr="00032248" w:rsidRDefault="00B32196" w:rsidP="00AE50F8">
            <w:pPr>
              <w:pStyle w:val="TableParagraph"/>
              <w:spacing w:after="120"/>
              <w:jc w:val="left"/>
              <w:rPr>
                <w:rFonts w:ascii="Arial" w:hAnsi="Arial" w:cs="Arial"/>
                <w:b/>
              </w:rPr>
            </w:pPr>
          </w:p>
          <w:p w14:paraId="6A21989B" w14:textId="77777777" w:rsidR="00B32196" w:rsidRPr="00032248" w:rsidRDefault="00B32196" w:rsidP="00DD26B8">
            <w:pPr>
              <w:pStyle w:val="TableParagraph"/>
              <w:spacing w:after="120"/>
              <w:ind w:left="200"/>
              <w:rPr>
                <w:rFonts w:ascii="Arial" w:hAnsi="Arial" w:cs="Arial"/>
                <w:b/>
              </w:rPr>
            </w:pPr>
            <w:r w:rsidRPr="00032248">
              <w:rPr>
                <w:rFonts w:ascii="Arial" w:hAnsi="Arial" w:cs="Arial"/>
                <w:b/>
                <w:color w:val="0C0C0C"/>
              </w:rPr>
              <w:t>1</w:t>
            </w:r>
            <w:r w:rsidRPr="00032248">
              <w:rPr>
                <w:rFonts w:ascii="Arial" w:hAnsi="Arial" w:cs="Arial"/>
                <w:b/>
                <w:color w:val="0C0C0C"/>
                <w:position w:val="7"/>
              </w:rPr>
              <w:t>st</w:t>
            </w:r>
            <w:r w:rsidRPr="00032248">
              <w:rPr>
                <w:rFonts w:ascii="Arial" w:hAnsi="Arial" w:cs="Arial"/>
                <w:b/>
                <w:color w:val="0C0C0C"/>
                <w:spacing w:val="21"/>
                <w:position w:val="7"/>
              </w:rPr>
              <w:t xml:space="preserve"> </w:t>
            </w:r>
            <w:r w:rsidRPr="00032248">
              <w:rPr>
                <w:rFonts w:ascii="Arial" w:hAnsi="Arial" w:cs="Arial"/>
                <w:b/>
                <w:color w:val="0C0C0C"/>
                <w:spacing w:val="-2"/>
              </w:rPr>
              <w:t>Difference</w:t>
            </w:r>
          </w:p>
        </w:tc>
        <w:tc>
          <w:tcPr>
            <w:tcW w:w="1973" w:type="dxa"/>
          </w:tcPr>
          <w:p w14:paraId="25E8561D" w14:textId="77777777" w:rsidR="00B32196" w:rsidRPr="00032248" w:rsidRDefault="00B32196" w:rsidP="00AE50F8">
            <w:pPr>
              <w:pStyle w:val="TableParagraph"/>
              <w:spacing w:after="120"/>
              <w:jc w:val="left"/>
              <w:rPr>
                <w:rFonts w:ascii="Arial" w:hAnsi="Arial" w:cs="Arial"/>
                <w:b/>
              </w:rPr>
            </w:pPr>
          </w:p>
          <w:p w14:paraId="5D3C6E46" w14:textId="77777777" w:rsidR="00B32196" w:rsidRPr="00032248" w:rsidRDefault="00B32196" w:rsidP="00DD26B8">
            <w:pPr>
              <w:pStyle w:val="TableParagraph"/>
              <w:spacing w:after="120"/>
              <w:ind w:left="32" w:right="2"/>
              <w:rPr>
                <w:rFonts w:ascii="Arial" w:hAnsi="Arial" w:cs="Arial"/>
                <w:b/>
              </w:rPr>
            </w:pPr>
            <w:r w:rsidRPr="00032248">
              <w:rPr>
                <w:rFonts w:ascii="Arial" w:hAnsi="Arial" w:cs="Arial"/>
                <w:b/>
                <w:color w:val="0C0C0C"/>
              </w:rPr>
              <w:t>Order</w:t>
            </w:r>
            <w:r w:rsidRPr="00032248">
              <w:rPr>
                <w:rFonts w:ascii="Arial" w:hAnsi="Arial" w:cs="Arial"/>
                <w:b/>
                <w:color w:val="0C0C0C"/>
                <w:spacing w:val="8"/>
              </w:rPr>
              <w:t xml:space="preserve"> </w:t>
            </w:r>
            <w:r w:rsidRPr="00032248">
              <w:rPr>
                <w:rFonts w:ascii="Arial" w:hAnsi="Arial" w:cs="Arial"/>
                <w:b/>
                <w:color w:val="0C0C0C"/>
              </w:rPr>
              <w:t>of</w:t>
            </w:r>
            <w:r w:rsidRPr="00032248">
              <w:rPr>
                <w:rFonts w:ascii="Arial" w:hAnsi="Arial" w:cs="Arial"/>
                <w:b/>
                <w:color w:val="0C0C0C"/>
                <w:spacing w:val="6"/>
              </w:rPr>
              <w:t xml:space="preserve"> </w:t>
            </w:r>
            <w:r w:rsidRPr="00032248">
              <w:rPr>
                <w:rFonts w:ascii="Arial" w:hAnsi="Arial" w:cs="Arial"/>
                <w:b/>
                <w:color w:val="0C0C0C"/>
                <w:spacing w:val="-2"/>
              </w:rPr>
              <w:t>integration</w:t>
            </w:r>
          </w:p>
        </w:tc>
      </w:tr>
      <w:tr w:rsidR="00B32196" w:rsidRPr="00032248" w14:paraId="50EF4D7F" w14:textId="77777777" w:rsidTr="00AE50F8">
        <w:trPr>
          <w:trHeight w:val="356"/>
        </w:trPr>
        <w:tc>
          <w:tcPr>
            <w:tcW w:w="1701" w:type="dxa"/>
          </w:tcPr>
          <w:p w14:paraId="512C134F" w14:textId="77777777" w:rsidR="00B32196" w:rsidRPr="00032248" w:rsidRDefault="00B32196" w:rsidP="00AE50F8">
            <w:pPr>
              <w:pStyle w:val="TableParagraph"/>
              <w:spacing w:after="120"/>
              <w:ind w:left="100"/>
              <w:rPr>
                <w:rFonts w:ascii="Arial" w:hAnsi="Arial" w:cs="Arial"/>
              </w:rPr>
            </w:pPr>
            <w:r w:rsidRPr="00032248">
              <w:rPr>
                <w:rFonts w:ascii="Arial" w:hAnsi="Arial" w:cs="Arial"/>
                <w:color w:val="0C0C0C"/>
                <w:spacing w:val="-2"/>
              </w:rPr>
              <w:t>RGDP</w:t>
            </w:r>
          </w:p>
        </w:tc>
        <w:tc>
          <w:tcPr>
            <w:tcW w:w="1701" w:type="dxa"/>
          </w:tcPr>
          <w:p w14:paraId="22EDA7E0" w14:textId="77777777" w:rsidR="00B32196" w:rsidRPr="00032248" w:rsidRDefault="00B32196" w:rsidP="00AE50F8">
            <w:pPr>
              <w:pStyle w:val="TableParagraph"/>
              <w:spacing w:after="120"/>
              <w:ind w:left="124" w:right="2"/>
              <w:rPr>
                <w:rFonts w:ascii="Arial" w:hAnsi="Arial" w:cs="Arial"/>
              </w:rPr>
            </w:pPr>
            <w:r w:rsidRPr="00032248">
              <w:rPr>
                <w:rFonts w:ascii="Arial" w:hAnsi="Arial" w:cs="Arial"/>
                <w:color w:val="0C0C0C"/>
              </w:rPr>
              <w:t>-</w:t>
            </w:r>
            <w:r w:rsidRPr="00032248">
              <w:rPr>
                <w:rFonts w:ascii="Arial" w:hAnsi="Arial" w:cs="Arial"/>
                <w:color w:val="0C0C0C"/>
                <w:spacing w:val="-2"/>
              </w:rPr>
              <w:t>3.203352**</w:t>
            </w:r>
          </w:p>
        </w:tc>
        <w:tc>
          <w:tcPr>
            <w:tcW w:w="1996" w:type="dxa"/>
          </w:tcPr>
          <w:p w14:paraId="124DFE9D" w14:textId="77777777" w:rsidR="00B32196" w:rsidRPr="00032248" w:rsidRDefault="00B32196" w:rsidP="00AE50F8">
            <w:pPr>
              <w:pStyle w:val="TableParagraph"/>
              <w:spacing w:after="120"/>
              <w:ind w:left="200" w:right="8"/>
              <w:rPr>
                <w:rFonts w:ascii="Arial" w:hAnsi="Arial" w:cs="Arial"/>
              </w:rPr>
            </w:pPr>
            <w:r w:rsidRPr="00032248">
              <w:rPr>
                <w:rFonts w:ascii="Arial" w:hAnsi="Arial" w:cs="Arial"/>
                <w:color w:val="0C0C0C"/>
                <w:spacing w:val="-10"/>
              </w:rPr>
              <w:t>-</w:t>
            </w:r>
          </w:p>
        </w:tc>
        <w:tc>
          <w:tcPr>
            <w:tcW w:w="1973" w:type="dxa"/>
          </w:tcPr>
          <w:p w14:paraId="552D9664" w14:textId="77777777" w:rsidR="00B32196" w:rsidRPr="00032248" w:rsidRDefault="00B32196" w:rsidP="00AE50F8">
            <w:pPr>
              <w:pStyle w:val="TableParagraph"/>
              <w:spacing w:after="120"/>
              <w:ind w:left="32" w:right="5"/>
              <w:rPr>
                <w:rFonts w:ascii="Arial" w:hAnsi="Arial" w:cs="Arial"/>
              </w:rPr>
            </w:pPr>
            <w:proofErr w:type="gramStart"/>
            <w:r w:rsidRPr="00032248">
              <w:rPr>
                <w:rFonts w:ascii="Arial" w:hAnsi="Arial" w:cs="Arial"/>
                <w:color w:val="0C0C0C"/>
                <w:spacing w:val="-4"/>
              </w:rPr>
              <w:t>I(</w:t>
            </w:r>
            <w:proofErr w:type="gramEnd"/>
            <w:r w:rsidRPr="00032248">
              <w:rPr>
                <w:rFonts w:ascii="Arial" w:hAnsi="Arial" w:cs="Arial"/>
                <w:color w:val="0C0C0C"/>
                <w:spacing w:val="-4"/>
              </w:rPr>
              <w:t>0)</w:t>
            </w:r>
          </w:p>
        </w:tc>
      </w:tr>
      <w:tr w:rsidR="00B32196" w:rsidRPr="00032248" w14:paraId="01693225" w14:textId="77777777" w:rsidTr="00AE50F8">
        <w:trPr>
          <w:trHeight w:val="448"/>
        </w:trPr>
        <w:tc>
          <w:tcPr>
            <w:tcW w:w="1701" w:type="dxa"/>
          </w:tcPr>
          <w:p w14:paraId="077CF2CF" w14:textId="77777777" w:rsidR="00B32196" w:rsidRPr="00032248" w:rsidRDefault="00B32196" w:rsidP="00AE50F8">
            <w:pPr>
              <w:pStyle w:val="TableParagraph"/>
              <w:spacing w:after="120"/>
              <w:ind w:left="100"/>
              <w:rPr>
                <w:rFonts w:ascii="Arial" w:hAnsi="Arial" w:cs="Arial"/>
              </w:rPr>
            </w:pPr>
            <w:r w:rsidRPr="00032248">
              <w:rPr>
                <w:rFonts w:ascii="Arial" w:hAnsi="Arial" w:cs="Arial"/>
                <w:color w:val="0C0C0C"/>
                <w:spacing w:val="-5"/>
              </w:rPr>
              <w:t>BD</w:t>
            </w:r>
          </w:p>
        </w:tc>
        <w:tc>
          <w:tcPr>
            <w:tcW w:w="1701" w:type="dxa"/>
          </w:tcPr>
          <w:p w14:paraId="5F7B915D" w14:textId="77777777" w:rsidR="00B32196" w:rsidRPr="00032248" w:rsidRDefault="00B32196" w:rsidP="00AE50F8">
            <w:pPr>
              <w:pStyle w:val="TableParagraph"/>
              <w:spacing w:after="120"/>
              <w:ind w:left="124" w:right="5"/>
              <w:rPr>
                <w:rFonts w:ascii="Arial" w:hAnsi="Arial" w:cs="Arial"/>
              </w:rPr>
            </w:pPr>
            <w:r w:rsidRPr="00032248">
              <w:rPr>
                <w:rFonts w:ascii="Arial" w:hAnsi="Arial" w:cs="Arial"/>
                <w:color w:val="0C0C0C"/>
              </w:rPr>
              <w:t>-</w:t>
            </w:r>
            <w:r w:rsidRPr="00032248">
              <w:rPr>
                <w:rFonts w:ascii="Arial" w:hAnsi="Arial" w:cs="Arial"/>
                <w:color w:val="0C0C0C"/>
                <w:spacing w:val="-2"/>
              </w:rPr>
              <w:t>0.712637</w:t>
            </w:r>
          </w:p>
        </w:tc>
        <w:tc>
          <w:tcPr>
            <w:tcW w:w="1996" w:type="dxa"/>
          </w:tcPr>
          <w:p w14:paraId="22849665" w14:textId="77777777" w:rsidR="00B32196" w:rsidRPr="00032248" w:rsidRDefault="00B32196" w:rsidP="00AE50F8">
            <w:pPr>
              <w:pStyle w:val="TableParagraph"/>
              <w:spacing w:after="120"/>
              <w:ind w:left="200" w:right="8"/>
              <w:rPr>
                <w:rFonts w:ascii="Arial" w:hAnsi="Arial" w:cs="Arial"/>
              </w:rPr>
            </w:pPr>
            <w:r w:rsidRPr="00032248">
              <w:rPr>
                <w:rFonts w:ascii="Arial" w:hAnsi="Arial" w:cs="Arial"/>
                <w:color w:val="0C0C0C"/>
              </w:rPr>
              <w:t>-</w:t>
            </w:r>
            <w:r w:rsidRPr="00032248">
              <w:rPr>
                <w:rFonts w:ascii="Arial" w:hAnsi="Arial" w:cs="Arial"/>
                <w:color w:val="0C0C0C"/>
                <w:spacing w:val="-2"/>
              </w:rPr>
              <w:t>7.026260**</w:t>
            </w:r>
          </w:p>
        </w:tc>
        <w:tc>
          <w:tcPr>
            <w:tcW w:w="1973" w:type="dxa"/>
          </w:tcPr>
          <w:p w14:paraId="538A72F6" w14:textId="77777777" w:rsidR="00B32196" w:rsidRPr="00032248" w:rsidRDefault="00B32196" w:rsidP="00AE50F8">
            <w:pPr>
              <w:pStyle w:val="TableParagraph"/>
              <w:spacing w:after="120"/>
              <w:ind w:left="32" w:right="6"/>
              <w:rPr>
                <w:rFonts w:ascii="Arial" w:hAnsi="Arial" w:cs="Arial"/>
              </w:rPr>
            </w:pPr>
            <w:proofErr w:type="gramStart"/>
            <w:r w:rsidRPr="00032248">
              <w:rPr>
                <w:rFonts w:ascii="Arial" w:hAnsi="Arial" w:cs="Arial"/>
                <w:color w:val="0C0C0C"/>
                <w:spacing w:val="-4"/>
              </w:rPr>
              <w:t>I(</w:t>
            </w:r>
            <w:proofErr w:type="gramEnd"/>
            <w:r w:rsidRPr="00032248">
              <w:rPr>
                <w:rFonts w:ascii="Arial" w:hAnsi="Arial" w:cs="Arial"/>
                <w:color w:val="0C0C0C"/>
                <w:spacing w:val="-4"/>
              </w:rPr>
              <w:t>1)</w:t>
            </w:r>
          </w:p>
        </w:tc>
      </w:tr>
      <w:tr w:rsidR="00B32196" w:rsidRPr="00032248" w14:paraId="3974F933" w14:textId="77777777" w:rsidTr="00AE50F8">
        <w:trPr>
          <w:trHeight w:val="447"/>
        </w:trPr>
        <w:tc>
          <w:tcPr>
            <w:tcW w:w="1701" w:type="dxa"/>
          </w:tcPr>
          <w:p w14:paraId="3BB562B3" w14:textId="77777777" w:rsidR="00B32196" w:rsidRPr="00032248" w:rsidRDefault="00B32196" w:rsidP="00AE50F8">
            <w:pPr>
              <w:pStyle w:val="TableParagraph"/>
              <w:spacing w:after="120"/>
              <w:ind w:left="100"/>
              <w:rPr>
                <w:rFonts w:ascii="Arial" w:hAnsi="Arial" w:cs="Arial"/>
              </w:rPr>
            </w:pPr>
            <w:r w:rsidRPr="00032248">
              <w:rPr>
                <w:rFonts w:ascii="Arial" w:hAnsi="Arial" w:cs="Arial"/>
                <w:color w:val="0C0C0C"/>
                <w:spacing w:val="-5"/>
              </w:rPr>
              <w:t>TR</w:t>
            </w:r>
          </w:p>
        </w:tc>
        <w:tc>
          <w:tcPr>
            <w:tcW w:w="1701" w:type="dxa"/>
          </w:tcPr>
          <w:p w14:paraId="38983BC7" w14:textId="77777777" w:rsidR="00B32196" w:rsidRPr="00032248" w:rsidRDefault="00B32196" w:rsidP="00AE50F8">
            <w:pPr>
              <w:pStyle w:val="TableParagraph"/>
              <w:spacing w:after="120"/>
              <w:ind w:left="124" w:right="1"/>
              <w:rPr>
                <w:rFonts w:ascii="Arial" w:hAnsi="Arial" w:cs="Arial"/>
              </w:rPr>
            </w:pPr>
            <w:r w:rsidRPr="00032248">
              <w:rPr>
                <w:rFonts w:ascii="Arial" w:hAnsi="Arial" w:cs="Arial"/>
                <w:color w:val="0C0C0C"/>
                <w:spacing w:val="-2"/>
              </w:rPr>
              <w:t>4.522384</w:t>
            </w:r>
          </w:p>
        </w:tc>
        <w:tc>
          <w:tcPr>
            <w:tcW w:w="1996" w:type="dxa"/>
          </w:tcPr>
          <w:p w14:paraId="433A22ED" w14:textId="77777777" w:rsidR="00B32196" w:rsidRPr="00032248" w:rsidRDefault="00B32196" w:rsidP="00AE50F8">
            <w:pPr>
              <w:pStyle w:val="TableParagraph"/>
              <w:spacing w:after="120"/>
              <w:ind w:left="200" w:right="3"/>
              <w:rPr>
                <w:rFonts w:ascii="Arial" w:hAnsi="Arial" w:cs="Arial"/>
              </w:rPr>
            </w:pPr>
            <w:r w:rsidRPr="00032248">
              <w:rPr>
                <w:rFonts w:ascii="Arial" w:hAnsi="Arial" w:cs="Arial"/>
                <w:color w:val="0C0C0C"/>
              </w:rPr>
              <w:t>-</w:t>
            </w:r>
            <w:r w:rsidRPr="00032248">
              <w:rPr>
                <w:rFonts w:ascii="Arial" w:hAnsi="Arial" w:cs="Arial"/>
                <w:color w:val="0C0C0C"/>
                <w:spacing w:val="-2"/>
              </w:rPr>
              <w:t>9.919616**</w:t>
            </w:r>
          </w:p>
        </w:tc>
        <w:tc>
          <w:tcPr>
            <w:tcW w:w="1973" w:type="dxa"/>
          </w:tcPr>
          <w:p w14:paraId="285AAB93" w14:textId="77777777" w:rsidR="00B32196" w:rsidRPr="00032248" w:rsidRDefault="00B32196" w:rsidP="00AE50F8">
            <w:pPr>
              <w:pStyle w:val="TableParagraph"/>
              <w:spacing w:after="120"/>
              <w:ind w:left="32"/>
              <w:rPr>
                <w:rFonts w:ascii="Arial" w:hAnsi="Arial" w:cs="Arial"/>
              </w:rPr>
            </w:pPr>
            <w:proofErr w:type="gramStart"/>
            <w:r w:rsidRPr="00032248">
              <w:rPr>
                <w:rFonts w:ascii="Arial" w:hAnsi="Arial" w:cs="Arial"/>
                <w:color w:val="0C0C0C"/>
                <w:spacing w:val="-4"/>
              </w:rPr>
              <w:t>I(</w:t>
            </w:r>
            <w:proofErr w:type="gramEnd"/>
            <w:r w:rsidRPr="00032248">
              <w:rPr>
                <w:rFonts w:ascii="Arial" w:hAnsi="Arial" w:cs="Arial"/>
                <w:color w:val="0C0C0C"/>
                <w:spacing w:val="-4"/>
              </w:rPr>
              <w:t>1)</w:t>
            </w:r>
          </w:p>
        </w:tc>
      </w:tr>
      <w:tr w:rsidR="00B32196" w:rsidRPr="00032248" w14:paraId="4D722532" w14:textId="77777777" w:rsidTr="00AE50F8">
        <w:trPr>
          <w:trHeight w:val="447"/>
        </w:trPr>
        <w:tc>
          <w:tcPr>
            <w:tcW w:w="1701" w:type="dxa"/>
          </w:tcPr>
          <w:p w14:paraId="5788E85A" w14:textId="77777777" w:rsidR="00B32196" w:rsidRPr="00032248" w:rsidRDefault="00B32196" w:rsidP="00AE50F8">
            <w:pPr>
              <w:pStyle w:val="TableParagraph"/>
              <w:spacing w:after="120"/>
              <w:ind w:left="100"/>
              <w:rPr>
                <w:rFonts w:ascii="Arial" w:hAnsi="Arial" w:cs="Arial"/>
              </w:rPr>
            </w:pPr>
            <w:r w:rsidRPr="00032248">
              <w:rPr>
                <w:rFonts w:ascii="Arial" w:hAnsi="Arial" w:cs="Arial"/>
                <w:color w:val="0C0C0C"/>
                <w:spacing w:val="-4"/>
              </w:rPr>
              <w:t>INF</w:t>
            </w:r>
          </w:p>
        </w:tc>
        <w:tc>
          <w:tcPr>
            <w:tcW w:w="1701" w:type="dxa"/>
          </w:tcPr>
          <w:p w14:paraId="3A46A1D5" w14:textId="77777777" w:rsidR="00B32196" w:rsidRPr="00032248" w:rsidRDefault="00B32196" w:rsidP="00AE50F8">
            <w:pPr>
              <w:pStyle w:val="TableParagraph"/>
              <w:spacing w:after="120"/>
              <w:ind w:left="124"/>
              <w:rPr>
                <w:rFonts w:ascii="Arial" w:hAnsi="Arial" w:cs="Arial"/>
              </w:rPr>
            </w:pPr>
            <w:r w:rsidRPr="00032248">
              <w:rPr>
                <w:rFonts w:ascii="Arial" w:hAnsi="Arial" w:cs="Arial"/>
                <w:spacing w:val="-2"/>
              </w:rPr>
              <w:t>-3.194671**</w:t>
            </w:r>
          </w:p>
        </w:tc>
        <w:tc>
          <w:tcPr>
            <w:tcW w:w="1996" w:type="dxa"/>
          </w:tcPr>
          <w:p w14:paraId="42BB39C0" w14:textId="77777777" w:rsidR="00B32196" w:rsidRPr="00032248" w:rsidRDefault="00B32196" w:rsidP="00AE50F8">
            <w:pPr>
              <w:pStyle w:val="TableParagraph"/>
              <w:spacing w:after="120"/>
              <w:ind w:left="200" w:right="4"/>
              <w:rPr>
                <w:rFonts w:ascii="Arial" w:hAnsi="Arial" w:cs="Arial"/>
              </w:rPr>
            </w:pPr>
            <w:r w:rsidRPr="00032248">
              <w:rPr>
                <w:rFonts w:ascii="Arial" w:hAnsi="Arial" w:cs="Arial"/>
                <w:spacing w:val="-2"/>
              </w:rPr>
              <w:t>-</w:t>
            </w:r>
          </w:p>
        </w:tc>
        <w:tc>
          <w:tcPr>
            <w:tcW w:w="1973" w:type="dxa"/>
          </w:tcPr>
          <w:p w14:paraId="23A35EA2" w14:textId="77777777" w:rsidR="00B32196" w:rsidRPr="00032248" w:rsidRDefault="00B32196" w:rsidP="00AE50F8">
            <w:pPr>
              <w:pStyle w:val="TableParagraph"/>
              <w:spacing w:after="120"/>
              <w:ind w:left="32"/>
              <w:rPr>
                <w:rFonts w:ascii="Arial" w:hAnsi="Arial" w:cs="Arial"/>
              </w:rPr>
            </w:pPr>
            <w:proofErr w:type="gramStart"/>
            <w:r w:rsidRPr="00032248">
              <w:rPr>
                <w:rFonts w:ascii="Arial" w:hAnsi="Arial" w:cs="Arial"/>
                <w:color w:val="0C0C0C"/>
                <w:spacing w:val="-4"/>
              </w:rPr>
              <w:t>I(</w:t>
            </w:r>
            <w:proofErr w:type="gramEnd"/>
            <w:r w:rsidRPr="00032248">
              <w:rPr>
                <w:rFonts w:ascii="Arial" w:hAnsi="Arial" w:cs="Arial"/>
                <w:color w:val="0C0C0C"/>
                <w:spacing w:val="-4"/>
              </w:rPr>
              <w:t>0)</w:t>
            </w:r>
          </w:p>
        </w:tc>
      </w:tr>
      <w:tr w:rsidR="00B32196" w:rsidRPr="00032248" w14:paraId="0ED08FB1" w14:textId="77777777" w:rsidTr="00AE50F8">
        <w:trPr>
          <w:trHeight w:val="452"/>
        </w:trPr>
        <w:tc>
          <w:tcPr>
            <w:tcW w:w="1701" w:type="dxa"/>
          </w:tcPr>
          <w:p w14:paraId="2F09DFC8" w14:textId="77777777" w:rsidR="00B32196" w:rsidRPr="00032248" w:rsidRDefault="00B32196" w:rsidP="00AE50F8">
            <w:pPr>
              <w:pStyle w:val="TableParagraph"/>
              <w:spacing w:after="120"/>
              <w:ind w:left="100"/>
              <w:rPr>
                <w:rFonts w:ascii="Arial" w:hAnsi="Arial" w:cs="Arial"/>
              </w:rPr>
            </w:pPr>
            <w:r w:rsidRPr="00032248">
              <w:rPr>
                <w:rFonts w:ascii="Arial" w:hAnsi="Arial" w:cs="Arial"/>
                <w:color w:val="0C0C0C"/>
                <w:spacing w:val="-5"/>
              </w:rPr>
              <w:t>INTR</w:t>
            </w:r>
          </w:p>
        </w:tc>
        <w:tc>
          <w:tcPr>
            <w:tcW w:w="1701" w:type="dxa"/>
          </w:tcPr>
          <w:p w14:paraId="28DAD5B9" w14:textId="77777777" w:rsidR="00B32196" w:rsidRPr="00032248" w:rsidRDefault="00B32196" w:rsidP="00AE50F8">
            <w:pPr>
              <w:pStyle w:val="TableParagraph"/>
              <w:spacing w:after="120"/>
              <w:ind w:left="124" w:right="5"/>
              <w:rPr>
                <w:rFonts w:ascii="Arial" w:hAnsi="Arial" w:cs="Arial"/>
              </w:rPr>
            </w:pPr>
            <w:r w:rsidRPr="00032248">
              <w:rPr>
                <w:rFonts w:ascii="Arial" w:hAnsi="Arial" w:cs="Arial"/>
              </w:rPr>
              <w:t>-</w:t>
            </w:r>
            <w:r w:rsidRPr="00032248">
              <w:rPr>
                <w:rFonts w:ascii="Arial" w:hAnsi="Arial" w:cs="Arial"/>
                <w:spacing w:val="-2"/>
              </w:rPr>
              <w:t>3.122394**</w:t>
            </w:r>
          </w:p>
        </w:tc>
        <w:tc>
          <w:tcPr>
            <w:tcW w:w="1996" w:type="dxa"/>
          </w:tcPr>
          <w:p w14:paraId="6E45DA6B" w14:textId="77777777" w:rsidR="00B32196" w:rsidRPr="00032248" w:rsidRDefault="00B32196" w:rsidP="00AE50F8">
            <w:pPr>
              <w:pStyle w:val="TableParagraph"/>
              <w:spacing w:after="120"/>
              <w:ind w:left="200" w:right="3"/>
              <w:rPr>
                <w:rFonts w:ascii="Arial" w:hAnsi="Arial" w:cs="Arial"/>
              </w:rPr>
            </w:pPr>
            <w:r w:rsidRPr="00032248">
              <w:rPr>
                <w:rFonts w:ascii="Arial" w:hAnsi="Arial" w:cs="Arial"/>
                <w:spacing w:val="-10"/>
                <w:w w:val="105"/>
              </w:rPr>
              <w:t>-</w:t>
            </w:r>
          </w:p>
        </w:tc>
        <w:tc>
          <w:tcPr>
            <w:tcW w:w="1973" w:type="dxa"/>
          </w:tcPr>
          <w:p w14:paraId="08D92E44" w14:textId="77777777" w:rsidR="00B32196" w:rsidRPr="00032248" w:rsidRDefault="00B32196" w:rsidP="00AE50F8">
            <w:pPr>
              <w:pStyle w:val="TableParagraph"/>
              <w:spacing w:after="120"/>
              <w:ind w:left="32"/>
              <w:rPr>
                <w:rFonts w:ascii="Arial" w:hAnsi="Arial" w:cs="Arial"/>
              </w:rPr>
            </w:pPr>
            <w:proofErr w:type="gramStart"/>
            <w:r w:rsidRPr="00032248">
              <w:rPr>
                <w:rFonts w:ascii="Arial" w:hAnsi="Arial" w:cs="Arial"/>
                <w:color w:val="0C0C0C"/>
                <w:spacing w:val="-4"/>
              </w:rPr>
              <w:t>I(</w:t>
            </w:r>
            <w:proofErr w:type="gramEnd"/>
            <w:r w:rsidRPr="00032248">
              <w:rPr>
                <w:rFonts w:ascii="Arial" w:hAnsi="Arial" w:cs="Arial"/>
                <w:color w:val="0C0C0C"/>
                <w:spacing w:val="-4"/>
              </w:rPr>
              <w:t>0)</w:t>
            </w:r>
          </w:p>
        </w:tc>
      </w:tr>
      <w:tr w:rsidR="00B32196" w:rsidRPr="00032248" w14:paraId="15524C95" w14:textId="77777777" w:rsidTr="00AE50F8">
        <w:trPr>
          <w:trHeight w:val="446"/>
        </w:trPr>
        <w:tc>
          <w:tcPr>
            <w:tcW w:w="1701" w:type="dxa"/>
          </w:tcPr>
          <w:p w14:paraId="72253A7C" w14:textId="77777777" w:rsidR="00B32196" w:rsidRPr="00032248" w:rsidRDefault="00B32196" w:rsidP="00AE50F8">
            <w:pPr>
              <w:pStyle w:val="TableParagraph"/>
              <w:spacing w:after="120"/>
              <w:ind w:left="100"/>
              <w:rPr>
                <w:rFonts w:ascii="Arial" w:hAnsi="Arial" w:cs="Arial"/>
              </w:rPr>
            </w:pPr>
            <w:r w:rsidRPr="00032248">
              <w:rPr>
                <w:rFonts w:ascii="Arial" w:hAnsi="Arial" w:cs="Arial"/>
                <w:color w:val="0C0C0C"/>
                <w:spacing w:val="-4"/>
              </w:rPr>
              <w:t>OPEN</w:t>
            </w:r>
          </w:p>
        </w:tc>
        <w:tc>
          <w:tcPr>
            <w:tcW w:w="1701" w:type="dxa"/>
          </w:tcPr>
          <w:p w14:paraId="1941A84D" w14:textId="77777777" w:rsidR="00B32196" w:rsidRPr="00032248" w:rsidRDefault="00B32196" w:rsidP="00AE50F8">
            <w:pPr>
              <w:pStyle w:val="TableParagraph"/>
              <w:spacing w:after="120"/>
              <w:ind w:left="124" w:right="4"/>
              <w:rPr>
                <w:rFonts w:ascii="Arial" w:hAnsi="Arial" w:cs="Arial"/>
              </w:rPr>
            </w:pPr>
            <w:r w:rsidRPr="00032248">
              <w:rPr>
                <w:rFonts w:ascii="Arial" w:hAnsi="Arial" w:cs="Arial"/>
                <w:color w:val="0C0C0C"/>
              </w:rPr>
              <w:t>-</w:t>
            </w:r>
            <w:r w:rsidRPr="00032248">
              <w:rPr>
                <w:rFonts w:ascii="Arial" w:hAnsi="Arial" w:cs="Arial"/>
                <w:color w:val="0C0C0C"/>
                <w:spacing w:val="-2"/>
              </w:rPr>
              <w:t>1.169391</w:t>
            </w:r>
          </w:p>
        </w:tc>
        <w:tc>
          <w:tcPr>
            <w:tcW w:w="1996" w:type="dxa"/>
          </w:tcPr>
          <w:p w14:paraId="06E25231" w14:textId="77777777" w:rsidR="00B32196" w:rsidRPr="00032248" w:rsidRDefault="00B32196" w:rsidP="00AE50F8">
            <w:pPr>
              <w:pStyle w:val="TableParagraph"/>
              <w:spacing w:after="120"/>
              <w:ind w:left="200" w:right="10"/>
              <w:rPr>
                <w:rFonts w:ascii="Arial" w:hAnsi="Arial" w:cs="Arial"/>
              </w:rPr>
            </w:pPr>
            <w:r w:rsidRPr="00032248">
              <w:rPr>
                <w:rFonts w:ascii="Arial" w:hAnsi="Arial" w:cs="Arial"/>
                <w:color w:val="0C0C0C"/>
              </w:rPr>
              <w:t>-</w:t>
            </w:r>
            <w:r w:rsidRPr="00032248">
              <w:rPr>
                <w:rFonts w:ascii="Arial" w:hAnsi="Arial" w:cs="Arial"/>
                <w:color w:val="0C0C0C"/>
                <w:spacing w:val="-2"/>
              </w:rPr>
              <w:t>3.878576**</w:t>
            </w:r>
          </w:p>
        </w:tc>
        <w:tc>
          <w:tcPr>
            <w:tcW w:w="1973" w:type="dxa"/>
          </w:tcPr>
          <w:p w14:paraId="3377C877" w14:textId="77777777" w:rsidR="00B32196" w:rsidRPr="00032248" w:rsidRDefault="00B32196" w:rsidP="00AE50F8">
            <w:pPr>
              <w:pStyle w:val="TableParagraph"/>
              <w:spacing w:after="120"/>
              <w:ind w:left="32" w:right="7"/>
              <w:rPr>
                <w:rFonts w:ascii="Arial" w:hAnsi="Arial" w:cs="Arial"/>
              </w:rPr>
            </w:pPr>
            <w:proofErr w:type="gramStart"/>
            <w:r w:rsidRPr="00032248">
              <w:rPr>
                <w:rFonts w:ascii="Arial" w:hAnsi="Arial" w:cs="Arial"/>
                <w:color w:val="0C0C0C"/>
                <w:spacing w:val="-4"/>
              </w:rPr>
              <w:t>I(</w:t>
            </w:r>
            <w:proofErr w:type="gramEnd"/>
            <w:r w:rsidRPr="00032248">
              <w:rPr>
                <w:rFonts w:ascii="Arial" w:hAnsi="Arial" w:cs="Arial"/>
                <w:color w:val="0C0C0C"/>
                <w:spacing w:val="-4"/>
              </w:rPr>
              <w:t>1)</w:t>
            </w:r>
          </w:p>
        </w:tc>
      </w:tr>
    </w:tbl>
    <w:p w14:paraId="1150B152" w14:textId="77777777" w:rsidR="0083553F" w:rsidRPr="00032248" w:rsidRDefault="00B32196" w:rsidP="003C78BA">
      <w:pPr>
        <w:pStyle w:val="BodyText"/>
        <w:spacing w:before="39" w:after="120" w:line="360" w:lineRule="auto"/>
        <w:jc w:val="both"/>
        <w:rPr>
          <w:rFonts w:ascii="Arial" w:hAnsi="Arial" w:cs="Arial"/>
          <w:color w:val="0C0C0C"/>
        </w:rPr>
      </w:pPr>
      <w:r w:rsidRPr="00032248">
        <w:rPr>
          <w:rFonts w:ascii="Arial" w:hAnsi="Arial" w:cs="Arial"/>
          <w:noProof/>
        </w:rPr>
        <mc:AlternateContent>
          <mc:Choice Requires="wps">
            <w:drawing>
              <wp:anchor distT="0" distB="0" distL="0" distR="0" simplePos="0" relativeHeight="251659264" behindDoc="1" locked="0" layoutInCell="1" allowOverlap="1" wp14:anchorId="6D3ACD6E" wp14:editId="03E7DE04">
                <wp:simplePos x="0" y="0"/>
                <wp:positionH relativeFrom="page">
                  <wp:posOffset>1138415</wp:posOffset>
                </wp:positionH>
                <wp:positionV relativeFrom="paragraph">
                  <wp:posOffset>186194</wp:posOffset>
                </wp:positionV>
                <wp:extent cx="5511165" cy="6350"/>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511165" cy="6350"/>
                        </a:xfrm>
                        <a:custGeom>
                          <a:avLst/>
                          <a:gdLst/>
                          <a:ahLst/>
                          <a:cxnLst/>
                          <a:rect l="l" t="t" r="r" b="b"/>
                          <a:pathLst>
                            <a:path w="5511165" h="6350">
                              <a:moveTo>
                                <a:pt x="5510796" y="0"/>
                              </a:moveTo>
                              <a:lnTo>
                                <a:pt x="3979176" y="0"/>
                              </a:lnTo>
                              <a:lnTo>
                                <a:pt x="3976128" y="0"/>
                              </a:lnTo>
                              <a:lnTo>
                                <a:pt x="0" y="0"/>
                              </a:lnTo>
                              <a:lnTo>
                                <a:pt x="0" y="6083"/>
                              </a:lnTo>
                              <a:lnTo>
                                <a:pt x="3976128" y="6083"/>
                              </a:lnTo>
                              <a:lnTo>
                                <a:pt x="3979176" y="6083"/>
                              </a:lnTo>
                              <a:lnTo>
                                <a:pt x="5510796" y="6083"/>
                              </a:lnTo>
                              <a:lnTo>
                                <a:pt x="5510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B1F5A" id="Graphic 10" o:spid="_x0000_s1026" style="position:absolute;margin-left:89.65pt;margin-top:14.65pt;width:433.9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111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" path="m5510796,l3979176,r-3048,l,,,6083r3976128,l3979176,6083r1531620,l5510796,xe" fillcolor="black" stroked="f">
                <v:path arrowok="t"/>
                <o:lock v:ext="edit" aspectratio="t"/>
                <w10:wrap type="topAndBottom" anchorx="page"/>
              </v:shape>
            </w:pict>
          </mc:Fallback>
        </mc:AlternateContent>
      </w:r>
      <w:r w:rsidRPr="00032248">
        <w:rPr>
          <w:rFonts w:ascii="Arial" w:hAnsi="Arial" w:cs="Arial"/>
          <w:color w:val="0C0C0C"/>
        </w:rPr>
        <w:t>Note:</w:t>
      </w:r>
      <w:r w:rsidRPr="00032248">
        <w:rPr>
          <w:rFonts w:ascii="Arial" w:hAnsi="Arial" w:cs="Arial"/>
          <w:color w:val="0C0C0C"/>
          <w:spacing w:val="80"/>
          <w:w w:val="150"/>
        </w:rPr>
        <w:t xml:space="preserve"> </w:t>
      </w:r>
      <w:r w:rsidRPr="00032248">
        <w:rPr>
          <w:rFonts w:ascii="Arial" w:hAnsi="Arial" w:cs="Arial"/>
          <w:color w:val="0C0C0C"/>
        </w:rPr>
        <w:t>Mackinnon critical values for ADF at 1, 5 and 10% levels are -3.60, -2.93 and -2.60 respectively. ** means significant at 5% level.</w:t>
      </w:r>
    </w:p>
    <w:p w14:paraId="5FAF4B50" w14:textId="77777777" w:rsidR="00DD26B8" w:rsidRPr="00032248" w:rsidRDefault="00DD26B8" w:rsidP="003C78BA">
      <w:pPr>
        <w:pStyle w:val="BodyText"/>
        <w:spacing w:before="39" w:after="120" w:line="360" w:lineRule="auto"/>
        <w:jc w:val="both"/>
        <w:rPr>
          <w:rFonts w:ascii="Arial" w:hAnsi="Arial" w:cs="Arial"/>
          <w:color w:val="0C0C0C"/>
        </w:rPr>
      </w:pPr>
    </w:p>
    <w:p w14:paraId="62E92290" w14:textId="77777777" w:rsidR="00B32196" w:rsidRPr="00032248" w:rsidRDefault="00B32196" w:rsidP="003C78BA">
      <w:pPr>
        <w:pStyle w:val="BodyText"/>
        <w:spacing w:before="39" w:after="120" w:line="360" w:lineRule="auto"/>
        <w:jc w:val="both"/>
        <w:rPr>
          <w:rFonts w:ascii="Arial" w:hAnsi="Arial" w:cs="Arial"/>
          <w:color w:val="0C0C0C"/>
        </w:rPr>
      </w:pPr>
      <w:r w:rsidRPr="00032248">
        <w:rPr>
          <w:rFonts w:ascii="Arial" w:hAnsi="Arial" w:cs="Arial"/>
          <w:b/>
          <w:bCs/>
        </w:rPr>
        <w:t>4.2 ARDL Bounds Test for Cointegration</w:t>
      </w:r>
    </w:p>
    <w:p w14:paraId="24DFDABC" w14:textId="77777777" w:rsidR="00B32196" w:rsidRPr="00032248" w:rsidRDefault="00B32196" w:rsidP="003C78BA">
      <w:pPr>
        <w:spacing w:line="360" w:lineRule="auto"/>
        <w:jc w:val="both"/>
        <w:rPr>
          <w:rFonts w:ascii="Arial" w:hAnsi="Arial" w:cs="Arial"/>
        </w:rPr>
      </w:pPr>
      <w:r w:rsidRPr="00032248">
        <w:rPr>
          <w:rFonts w:ascii="Arial" w:hAnsi="Arial" w:cs="Arial"/>
        </w:rPr>
        <w:t xml:space="preserve">The existence of a long-run equilibrium relationship among the variables was examined using the ARDL bounds testing procedure developed by </w:t>
      </w:r>
      <w:proofErr w:type="spellStart"/>
      <w:r w:rsidRPr="00032248">
        <w:rPr>
          <w:rFonts w:ascii="Arial" w:hAnsi="Arial" w:cs="Arial"/>
        </w:rPr>
        <w:t>Pesaran</w:t>
      </w:r>
      <w:proofErr w:type="spellEnd"/>
      <w:r w:rsidRPr="00032248">
        <w:rPr>
          <w:rFonts w:ascii="Arial" w:hAnsi="Arial" w:cs="Arial"/>
        </w:rPr>
        <w:t xml:space="preserve"> et al. (2001). The computed F-statistic from the bounds test is 14.468. This value exceeds both the lower bound critical value of 2.32 and the upper bound critical value of 3.50 at the five per cent significance level.</w:t>
      </w:r>
    </w:p>
    <w:p w14:paraId="3AD731C5" w14:textId="77777777" w:rsidR="00967A45" w:rsidRPr="00032248" w:rsidRDefault="00967A45" w:rsidP="00967A45">
      <w:pPr>
        <w:pStyle w:val="BodyText"/>
        <w:spacing w:after="120" w:line="360" w:lineRule="auto"/>
        <w:ind w:right="1029"/>
        <w:jc w:val="both"/>
        <w:rPr>
          <w:rFonts w:ascii="Arial" w:hAnsi="Arial" w:cs="Arial"/>
          <w:b/>
          <w:bCs/>
          <w:color w:val="0C0C0C"/>
          <w:spacing w:val="-2"/>
        </w:rPr>
      </w:pPr>
      <w:r w:rsidRPr="00032248">
        <w:rPr>
          <w:rFonts w:ascii="Arial" w:hAnsi="Arial" w:cs="Arial"/>
          <w:b/>
          <w:bCs/>
          <w:color w:val="0C0C0C"/>
          <w:spacing w:val="-2"/>
        </w:rPr>
        <w:t>Table 3a: Bounds test</w:t>
      </w:r>
    </w:p>
    <w:p w14:paraId="6C9D1361" w14:textId="77777777" w:rsidR="00967A45" w:rsidRPr="00032248" w:rsidRDefault="00967A45" w:rsidP="00967A45">
      <w:pPr>
        <w:pStyle w:val="BodyText"/>
        <w:pBdr>
          <w:top w:val="single" w:sz="4" w:space="1" w:color="auto"/>
        </w:pBdr>
        <w:spacing w:before="10" w:after="120" w:line="360" w:lineRule="auto"/>
        <w:rPr>
          <w:rFonts w:ascii="Arial" w:hAnsi="Arial" w:cs="Arial"/>
          <w:b/>
        </w:rPr>
      </w:pPr>
      <w:r w:rsidRPr="00032248">
        <w:rPr>
          <w:rFonts w:ascii="Arial" w:hAnsi="Arial" w:cs="Arial"/>
          <w:b/>
          <w:color w:val="0C0C0C"/>
          <w:spacing w:val="-2"/>
        </w:rPr>
        <w:t>Equations</w:t>
      </w:r>
      <w:r w:rsidRPr="00032248">
        <w:rPr>
          <w:rFonts w:ascii="Arial" w:hAnsi="Arial" w:cs="Arial"/>
          <w:b/>
          <w:color w:val="0C0C0C"/>
        </w:rPr>
        <w:tab/>
      </w:r>
      <w:r w:rsidRPr="00032248">
        <w:rPr>
          <w:rFonts w:ascii="Arial" w:hAnsi="Arial" w:cs="Arial"/>
          <w:b/>
          <w:color w:val="0C0C0C"/>
        </w:rPr>
        <w:tab/>
      </w:r>
      <w:r w:rsidRPr="00032248">
        <w:rPr>
          <w:rFonts w:ascii="Arial" w:hAnsi="Arial" w:cs="Arial"/>
          <w:b/>
          <w:color w:val="0C0C0C"/>
        </w:rPr>
        <w:tab/>
      </w:r>
      <w:r w:rsidRPr="00032248">
        <w:rPr>
          <w:rFonts w:ascii="Arial" w:hAnsi="Arial" w:cs="Arial"/>
          <w:b/>
          <w:color w:val="0C0C0C"/>
        </w:rPr>
        <w:tab/>
        <w:t xml:space="preserve">    </w:t>
      </w:r>
      <w:r w:rsidRPr="00032248">
        <w:rPr>
          <w:rFonts w:ascii="Arial" w:hAnsi="Arial" w:cs="Arial"/>
          <w:b/>
          <w:color w:val="0C0C0C"/>
          <w:spacing w:val="-10"/>
        </w:rPr>
        <w:t>K</w:t>
      </w:r>
      <w:r w:rsidRPr="00032248">
        <w:rPr>
          <w:rFonts w:ascii="Arial" w:hAnsi="Arial" w:cs="Arial"/>
          <w:b/>
          <w:color w:val="0C0C0C"/>
        </w:rPr>
        <w:tab/>
        <w:t xml:space="preserve">       F-</w:t>
      </w:r>
      <w:r w:rsidRPr="00032248">
        <w:rPr>
          <w:rFonts w:ascii="Arial" w:hAnsi="Arial" w:cs="Arial"/>
          <w:b/>
          <w:color w:val="0C0C0C"/>
          <w:spacing w:val="-4"/>
        </w:rPr>
        <w:t>Stat</w:t>
      </w:r>
      <w:r w:rsidRPr="00032248">
        <w:rPr>
          <w:rFonts w:ascii="Arial" w:hAnsi="Arial" w:cs="Arial"/>
          <w:b/>
          <w:color w:val="0C0C0C"/>
        </w:rPr>
        <w:tab/>
        <w:t xml:space="preserve">   I</w:t>
      </w:r>
      <w:r w:rsidRPr="00032248">
        <w:rPr>
          <w:rFonts w:ascii="Arial" w:hAnsi="Arial" w:cs="Arial"/>
          <w:b/>
          <w:color w:val="0C0C0C"/>
          <w:spacing w:val="3"/>
        </w:rPr>
        <w:t xml:space="preserve"> </w:t>
      </w:r>
      <w:r w:rsidRPr="00032248">
        <w:rPr>
          <w:rFonts w:ascii="Arial" w:hAnsi="Arial" w:cs="Arial"/>
          <w:b/>
          <w:color w:val="0C0C0C"/>
          <w:spacing w:val="-5"/>
        </w:rPr>
        <w:t>(0)</w:t>
      </w:r>
      <w:r w:rsidRPr="00032248">
        <w:rPr>
          <w:rFonts w:ascii="Arial" w:hAnsi="Arial" w:cs="Arial"/>
          <w:b/>
          <w:color w:val="0C0C0C"/>
        </w:rPr>
        <w:tab/>
        <w:t xml:space="preserve">   I</w:t>
      </w:r>
      <w:r w:rsidRPr="00032248">
        <w:rPr>
          <w:rFonts w:ascii="Arial" w:hAnsi="Arial" w:cs="Arial"/>
          <w:b/>
          <w:color w:val="0C0C0C"/>
          <w:spacing w:val="3"/>
        </w:rPr>
        <w:t xml:space="preserve"> </w:t>
      </w:r>
      <w:r w:rsidRPr="00032248">
        <w:rPr>
          <w:rFonts w:ascii="Arial" w:hAnsi="Arial" w:cs="Arial"/>
          <w:b/>
          <w:color w:val="0C0C0C"/>
          <w:spacing w:val="-5"/>
        </w:rPr>
        <w:t>(1)</w:t>
      </w:r>
      <w:r w:rsidRPr="00032248">
        <w:rPr>
          <w:rFonts w:ascii="Arial" w:hAnsi="Arial" w:cs="Arial"/>
          <w:b/>
          <w:color w:val="0C0C0C"/>
        </w:rPr>
        <w:tab/>
        <w:t xml:space="preserve">        </w:t>
      </w:r>
      <w:r w:rsidRPr="00032248">
        <w:rPr>
          <w:rFonts w:ascii="Arial" w:hAnsi="Arial" w:cs="Arial"/>
          <w:b/>
          <w:color w:val="0C0C0C"/>
          <w:spacing w:val="-2"/>
        </w:rPr>
        <w:t>Outcome</w:t>
      </w:r>
    </w:p>
    <w:tbl>
      <w:tblPr>
        <w:tblW w:w="5143" w:type="pct"/>
        <w:tblCellMar>
          <w:left w:w="0" w:type="dxa"/>
          <w:right w:w="0" w:type="dxa"/>
        </w:tblCellMar>
        <w:tblLook w:val="01E0" w:firstRow="1" w:lastRow="1" w:firstColumn="1" w:lastColumn="1" w:noHBand="0" w:noVBand="0"/>
      </w:tblPr>
      <w:tblGrid>
        <w:gridCol w:w="4962"/>
        <w:gridCol w:w="1069"/>
        <w:gridCol w:w="899"/>
        <w:gridCol w:w="838"/>
        <w:gridCol w:w="1860"/>
      </w:tblGrid>
      <w:tr w:rsidR="00967A45" w:rsidRPr="00032248" w14:paraId="34C5DE77" w14:textId="77777777" w:rsidTr="00967A45">
        <w:trPr>
          <w:trHeight w:val="251"/>
        </w:trPr>
        <w:tc>
          <w:tcPr>
            <w:tcW w:w="2577" w:type="pct"/>
            <w:tcBorders>
              <w:top w:val="single" w:sz="4" w:space="0" w:color="000000"/>
              <w:bottom w:val="single" w:sz="4" w:space="0" w:color="auto"/>
            </w:tcBorders>
          </w:tcPr>
          <w:p w14:paraId="60FD4EA5" w14:textId="77777777" w:rsidR="00967A45" w:rsidRPr="00032248" w:rsidRDefault="00967A45" w:rsidP="00A5548C">
            <w:pPr>
              <w:pStyle w:val="TableParagraph"/>
              <w:spacing w:before="7" w:after="120" w:line="360" w:lineRule="auto"/>
              <w:ind w:left="28"/>
              <w:jc w:val="left"/>
              <w:rPr>
                <w:rFonts w:ascii="Arial" w:hAnsi="Arial"/>
                <w:lang w:val="nl-NL"/>
              </w:rPr>
            </w:pPr>
            <w:r w:rsidRPr="00032248">
              <w:rPr>
                <w:rFonts w:ascii="Arial" w:hAnsi="Arial"/>
                <w:w w:val="105"/>
                <w:lang w:val="nl-NL"/>
              </w:rPr>
              <w:t>RGDP</w:t>
            </w:r>
            <w:r w:rsidRPr="00032248">
              <w:rPr>
                <w:rFonts w:ascii="Arial" w:hAnsi="Arial"/>
                <w:spacing w:val="-3"/>
                <w:w w:val="105"/>
                <w:lang w:val="nl-NL"/>
              </w:rPr>
              <w:t xml:space="preserve"> </w:t>
            </w:r>
            <w:r w:rsidRPr="00032248">
              <w:rPr>
                <w:rFonts w:ascii="Arial" w:hAnsi="Arial"/>
                <w:w w:val="105"/>
                <w:lang w:val="nl-NL"/>
              </w:rPr>
              <w:t>(BD, TR, INF, INTR, OPEN)</w:t>
            </w:r>
            <w:r w:rsidRPr="00032248">
              <w:rPr>
                <w:rFonts w:ascii="Arial" w:hAnsi="Arial"/>
                <w:spacing w:val="41"/>
                <w:w w:val="105"/>
                <w:lang w:val="nl-NL"/>
              </w:rPr>
              <w:t xml:space="preserve"> 5</w:t>
            </w:r>
          </w:p>
        </w:tc>
        <w:tc>
          <w:tcPr>
            <w:tcW w:w="555" w:type="pct"/>
            <w:tcBorders>
              <w:top w:val="single" w:sz="4" w:space="0" w:color="000000"/>
              <w:bottom w:val="single" w:sz="4" w:space="0" w:color="auto"/>
            </w:tcBorders>
          </w:tcPr>
          <w:p w14:paraId="70BF0B0C" w14:textId="77777777" w:rsidR="00967A45" w:rsidRPr="00032248" w:rsidRDefault="00967A45" w:rsidP="00A5548C">
            <w:pPr>
              <w:pStyle w:val="TableParagraph"/>
              <w:spacing w:before="7" w:after="120" w:line="360" w:lineRule="auto"/>
              <w:jc w:val="left"/>
              <w:rPr>
                <w:rFonts w:ascii="Arial" w:hAnsi="Arial" w:cs="Arial"/>
              </w:rPr>
            </w:pPr>
            <w:r w:rsidRPr="00032248">
              <w:rPr>
                <w:rFonts w:ascii="Arial" w:hAnsi="Arial"/>
                <w:color w:val="000000"/>
                <w:lang w:val="nl-NL"/>
              </w:rPr>
              <w:t> </w:t>
            </w:r>
            <w:r w:rsidRPr="00032248">
              <w:rPr>
                <w:rFonts w:ascii="Arial" w:hAnsi="Arial" w:cs="Arial"/>
                <w:color w:val="000000"/>
              </w:rPr>
              <w:t>14.468</w:t>
            </w:r>
          </w:p>
        </w:tc>
        <w:tc>
          <w:tcPr>
            <w:tcW w:w="467" w:type="pct"/>
            <w:tcBorders>
              <w:top w:val="single" w:sz="4" w:space="0" w:color="000000"/>
              <w:bottom w:val="single" w:sz="4" w:space="0" w:color="auto"/>
            </w:tcBorders>
          </w:tcPr>
          <w:p w14:paraId="6C17B5E8" w14:textId="77777777" w:rsidR="00967A45" w:rsidRPr="00032248" w:rsidRDefault="00967A45" w:rsidP="00A5548C">
            <w:pPr>
              <w:pStyle w:val="TableParagraph"/>
              <w:spacing w:before="7" w:after="120" w:line="360" w:lineRule="auto"/>
              <w:ind w:left="13" w:right="13"/>
              <w:rPr>
                <w:rFonts w:ascii="Arial" w:hAnsi="Arial" w:cs="Arial"/>
              </w:rPr>
            </w:pPr>
            <w:r w:rsidRPr="00032248">
              <w:rPr>
                <w:rFonts w:ascii="Arial" w:hAnsi="Arial" w:cs="Arial"/>
                <w:spacing w:val="-4"/>
                <w:w w:val="105"/>
              </w:rPr>
              <w:t>2.32</w:t>
            </w:r>
          </w:p>
        </w:tc>
        <w:tc>
          <w:tcPr>
            <w:tcW w:w="435" w:type="pct"/>
            <w:tcBorders>
              <w:top w:val="single" w:sz="4" w:space="0" w:color="000000"/>
              <w:bottom w:val="single" w:sz="4" w:space="0" w:color="auto"/>
            </w:tcBorders>
          </w:tcPr>
          <w:p w14:paraId="64AA6A82" w14:textId="77777777" w:rsidR="00967A45" w:rsidRPr="00032248" w:rsidRDefault="00967A45" w:rsidP="00A5548C">
            <w:pPr>
              <w:pStyle w:val="TableParagraph"/>
              <w:spacing w:before="7" w:after="120" w:line="360" w:lineRule="auto"/>
              <w:ind w:left="207"/>
              <w:jc w:val="left"/>
              <w:rPr>
                <w:rFonts w:ascii="Arial" w:hAnsi="Arial" w:cs="Arial"/>
              </w:rPr>
            </w:pPr>
            <w:r w:rsidRPr="00032248">
              <w:rPr>
                <w:rFonts w:ascii="Arial" w:hAnsi="Arial" w:cs="Arial"/>
                <w:spacing w:val="-5"/>
                <w:w w:val="105"/>
              </w:rPr>
              <w:t>3.5</w:t>
            </w:r>
          </w:p>
        </w:tc>
        <w:tc>
          <w:tcPr>
            <w:tcW w:w="966" w:type="pct"/>
            <w:tcBorders>
              <w:top w:val="single" w:sz="4" w:space="0" w:color="000000"/>
              <w:bottom w:val="single" w:sz="4" w:space="0" w:color="auto"/>
            </w:tcBorders>
          </w:tcPr>
          <w:p w14:paraId="78C4E659" w14:textId="77777777" w:rsidR="00967A45" w:rsidRPr="00032248" w:rsidRDefault="00967A45" w:rsidP="00A5548C">
            <w:pPr>
              <w:pStyle w:val="TableParagraph"/>
              <w:spacing w:before="7" w:after="120" w:line="360" w:lineRule="auto"/>
              <w:ind w:left="114"/>
              <w:jc w:val="left"/>
              <w:rPr>
                <w:rFonts w:ascii="Arial" w:hAnsi="Arial" w:cs="Arial"/>
              </w:rPr>
            </w:pPr>
            <w:r w:rsidRPr="00032248">
              <w:rPr>
                <w:rFonts w:ascii="Arial" w:hAnsi="Arial" w:cs="Arial"/>
              </w:rPr>
              <w:t>Co-</w:t>
            </w:r>
            <w:r w:rsidRPr="00032248">
              <w:rPr>
                <w:rFonts w:ascii="Arial" w:hAnsi="Arial" w:cs="Arial"/>
                <w:spacing w:val="-2"/>
              </w:rPr>
              <w:t>integration</w:t>
            </w:r>
          </w:p>
        </w:tc>
      </w:tr>
      <w:tr w:rsidR="00967A45" w:rsidRPr="00032248" w14:paraId="29E3600A" w14:textId="77777777" w:rsidTr="00967A45">
        <w:trPr>
          <w:gridAfter w:val="4"/>
          <w:wAfter w:w="2423" w:type="pct"/>
          <w:trHeight w:val="15"/>
        </w:trPr>
        <w:tc>
          <w:tcPr>
            <w:tcW w:w="2577" w:type="pct"/>
          </w:tcPr>
          <w:p w14:paraId="25F45812" w14:textId="77777777" w:rsidR="00967A45" w:rsidRPr="00032248" w:rsidRDefault="00967A45" w:rsidP="00A5548C">
            <w:pPr>
              <w:pStyle w:val="TableParagraph"/>
              <w:spacing w:before="7" w:after="120" w:line="360" w:lineRule="auto"/>
              <w:ind w:left="28"/>
              <w:jc w:val="left"/>
              <w:rPr>
                <w:rFonts w:ascii="Arial" w:hAnsi="Arial" w:cs="Arial"/>
                <w:color w:val="0C0C0C"/>
                <w:spacing w:val="-5"/>
              </w:rPr>
            </w:pPr>
            <w:r w:rsidRPr="00032248">
              <w:rPr>
                <w:rFonts w:ascii="Arial" w:hAnsi="Arial" w:cs="Arial"/>
                <w:color w:val="0C0C0C"/>
                <w:w w:val="105"/>
              </w:rPr>
              <w:t>Note:</w:t>
            </w:r>
            <w:r w:rsidRPr="00032248">
              <w:rPr>
                <w:rFonts w:ascii="Arial" w:hAnsi="Arial" w:cs="Arial"/>
                <w:color w:val="0C0C0C"/>
                <w:spacing w:val="-2"/>
                <w:w w:val="105"/>
              </w:rPr>
              <w:t xml:space="preserve"> </w:t>
            </w:r>
            <w:r w:rsidRPr="00032248">
              <w:rPr>
                <w:rFonts w:ascii="Arial" w:hAnsi="Arial" w:cs="Arial"/>
                <w:color w:val="0C0C0C"/>
                <w:w w:val="105"/>
              </w:rPr>
              <w:t>K</w:t>
            </w:r>
            <w:r w:rsidRPr="00032248">
              <w:rPr>
                <w:rFonts w:ascii="Arial" w:hAnsi="Arial" w:cs="Arial"/>
                <w:color w:val="0C0C0C"/>
                <w:spacing w:val="-4"/>
                <w:w w:val="105"/>
              </w:rPr>
              <w:t xml:space="preserve"> </w:t>
            </w:r>
            <w:r w:rsidRPr="00032248">
              <w:rPr>
                <w:rFonts w:ascii="Arial" w:hAnsi="Arial" w:cs="Arial"/>
                <w:color w:val="0C0C0C"/>
                <w:w w:val="105"/>
              </w:rPr>
              <w:t>=number</w:t>
            </w:r>
            <w:r w:rsidRPr="00032248">
              <w:rPr>
                <w:rFonts w:ascii="Arial" w:hAnsi="Arial" w:cs="Arial"/>
                <w:color w:val="0C0C0C"/>
                <w:spacing w:val="-4"/>
                <w:w w:val="105"/>
              </w:rPr>
              <w:t xml:space="preserve"> </w:t>
            </w:r>
            <w:r w:rsidRPr="00032248">
              <w:rPr>
                <w:rFonts w:ascii="Arial" w:hAnsi="Arial" w:cs="Arial"/>
                <w:color w:val="0C0C0C"/>
                <w:w w:val="105"/>
              </w:rPr>
              <w:t>of</w:t>
            </w:r>
            <w:r w:rsidRPr="00032248">
              <w:rPr>
                <w:rFonts w:ascii="Arial" w:hAnsi="Arial" w:cs="Arial"/>
                <w:color w:val="0C0C0C"/>
                <w:spacing w:val="-2"/>
                <w:w w:val="105"/>
              </w:rPr>
              <w:t xml:space="preserve"> parameters </w:t>
            </w:r>
            <w:r w:rsidRPr="00032248">
              <w:rPr>
                <w:rFonts w:ascii="Arial" w:hAnsi="Arial" w:cs="Arial"/>
                <w:color w:val="0C0C0C"/>
              </w:rPr>
              <w:t>Source:</w:t>
            </w:r>
            <w:r w:rsidRPr="00032248">
              <w:rPr>
                <w:rFonts w:ascii="Arial" w:hAnsi="Arial" w:cs="Arial"/>
                <w:color w:val="0C0C0C"/>
                <w:spacing w:val="16"/>
              </w:rPr>
              <w:t xml:space="preserve"> </w:t>
            </w:r>
            <w:r w:rsidRPr="00032248">
              <w:rPr>
                <w:rFonts w:ascii="Arial" w:hAnsi="Arial" w:cs="Arial"/>
                <w:color w:val="0C0C0C"/>
              </w:rPr>
              <w:t>Researcher’s</w:t>
            </w:r>
            <w:r w:rsidRPr="00032248">
              <w:rPr>
                <w:rFonts w:ascii="Arial" w:hAnsi="Arial" w:cs="Arial"/>
                <w:color w:val="0C0C0C"/>
                <w:spacing w:val="14"/>
              </w:rPr>
              <w:t xml:space="preserve"> </w:t>
            </w:r>
            <w:r w:rsidRPr="00032248">
              <w:rPr>
                <w:rFonts w:ascii="Arial" w:hAnsi="Arial" w:cs="Arial"/>
                <w:color w:val="0C0C0C"/>
              </w:rPr>
              <w:t>computation</w:t>
            </w:r>
            <w:r w:rsidRPr="00032248">
              <w:rPr>
                <w:rFonts w:ascii="Arial" w:hAnsi="Arial" w:cs="Arial"/>
                <w:color w:val="0C0C0C"/>
                <w:spacing w:val="17"/>
              </w:rPr>
              <w:t xml:space="preserve"> </w:t>
            </w:r>
            <w:r w:rsidRPr="00032248">
              <w:rPr>
                <w:rFonts w:ascii="Arial" w:hAnsi="Arial" w:cs="Arial"/>
                <w:color w:val="0C0C0C"/>
              </w:rPr>
              <w:t>(2025),</w:t>
            </w:r>
            <w:r w:rsidRPr="00032248">
              <w:rPr>
                <w:rFonts w:ascii="Arial" w:hAnsi="Arial" w:cs="Arial"/>
                <w:color w:val="0C0C0C"/>
                <w:spacing w:val="17"/>
              </w:rPr>
              <w:t xml:space="preserve"> </w:t>
            </w:r>
            <w:r w:rsidRPr="00032248">
              <w:rPr>
                <w:rFonts w:ascii="Arial" w:hAnsi="Arial" w:cs="Arial"/>
                <w:color w:val="0C0C0C"/>
              </w:rPr>
              <w:t>using</w:t>
            </w:r>
            <w:r w:rsidRPr="00032248">
              <w:rPr>
                <w:rFonts w:ascii="Arial" w:hAnsi="Arial" w:cs="Arial"/>
                <w:color w:val="0C0C0C"/>
                <w:spacing w:val="17"/>
              </w:rPr>
              <w:t xml:space="preserve"> </w:t>
            </w:r>
            <w:r w:rsidRPr="00032248">
              <w:rPr>
                <w:rFonts w:ascii="Arial" w:hAnsi="Arial" w:cs="Arial"/>
                <w:color w:val="0C0C0C"/>
              </w:rPr>
              <w:t>E-Views</w:t>
            </w:r>
            <w:r w:rsidRPr="00032248">
              <w:rPr>
                <w:rFonts w:ascii="Arial" w:hAnsi="Arial" w:cs="Arial"/>
                <w:color w:val="0C0C0C"/>
                <w:spacing w:val="17"/>
              </w:rPr>
              <w:t xml:space="preserve"> </w:t>
            </w:r>
          </w:p>
        </w:tc>
      </w:tr>
    </w:tbl>
    <w:p w14:paraId="12E82DA3" w14:textId="77777777" w:rsidR="00967A45" w:rsidRPr="00032248" w:rsidRDefault="00967A45" w:rsidP="00967A45">
      <w:pPr>
        <w:pStyle w:val="Heading3"/>
        <w:spacing w:after="120" w:afterAutospacing="0"/>
        <w:ind w:right="159"/>
        <w:jc w:val="both"/>
        <w:rPr>
          <w:rFonts w:ascii="Arial" w:hAnsi="Arial" w:cs="Arial"/>
          <w:bCs w:val="0"/>
          <w:sz w:val="22"/>
          <w:szCs w:val="22"/>
        </w:rPr>
      </w:pPr>
      <w:r w:rsidRPr="00032248">
        <w:rPr>
          <w:rFonts w:ascii="Arial" w:hAnsi="Arial" w:cs="Arial"/>
          <w:bCs w:val="0"/>
          <w:color w:val="0C0C0C"/>
          <w:sz w:val="22"/>
          <w:szCs w:val="22"/>
        </w:rPr>
        <w:t>Table 3b: Co-integration</w:t>
      </w:r>
      <w:r w:rsidRPr="00032248">
        <w:rPr>
          <w:rFonts w:ascii="Arial" w:hAnsi="Arial" w:cs="Arial"/>
          <w:bCs w:val="0"/>
          <w:color w:val="0C0C0C"/>
          <w:spacing w:val="17"/>
          <w:sz w:val="22"/>
          <w:szCs w:val="22"/>
        </w:rPr>
        <w:t xml:space="preserve"> </w:t>
      </w:r>
      <w:r w:rsidRPr="00032248">
        <w:rPr>
          <w:rFonts w:ascii="Arial" w:hAnsi="Arial" w:cs="Arial"/>
          <w:bCs w:val="0"/>
          <w:color w:val="0C0C0C"/>
          <w:sz w:val="22"/>
          <w:szCs w:val="22"/>
        </w:rPr>
        <w:t>test</w:t>
      </w:r>
      <w:r w:rsidRPr="00032248">
        <w:rPr>
          <w:rFonts w:ascii="Arial" w:hAnsi="Arial" w:cs="Arial"/>
          <w:bCs w:val="0"/>
          <w:color w:val="0C0C0C"/>
          <w:spacing w:val="17"/>
          <w:sz w:val="22"/>
          <w:szCs w:val="22"/>
        </w:rPr>
        <w:t xml:space="preserve"> </w:t>
      </w:r>
      <w:r w:rsidRPr="00032248">
        <w:rPr>
          <w:rFonts w:ascii="Arial" w:hAnsi="Arial" w:cs="Arial"/>
          <w:bCs w:val="0"/>
          <w:color w:val="0C0C0C"/>
          <w:spacing w:val="-2"/>
          <w:sz w:val="22"/>
          <w:szCs w:val="22"/>
        </w:rPr>
        <w:t>results</w:t>
      </w:r>
    </w:p>
    <w:p w14:paraId="702B7D0F" w14:textId="77777777" w:rsidR="00967A45" w:rsidRPr="00032248" w:rsidRDefault="00967A45" w:rsidP="009656C0">
      <w:pPr>
        <w:pStyle w:val="BodyText"/>
        <w:pBdr>
          <w:top w:val="single" w:sz="4" w:space="1" w:color="auto"/>
        </w:pBdr>
        <w:spacing w:before="10" w:after="120"/>
        <w:jc w:val="center"/>
        <w:rPr>
          <w:rFonts w:ascii="Arial" w:hAnsi="Arial" w:cs="Arial"/>
          <w:b/>
        </w:rPr>
      </w:pPr>
      <w:r w:rsidRPr="00032248">
        <w:rPr>
          <w:rFonts w:ascii="Arial" w:hAnsi="Arial" w:cs="Arial"/>
          <w:b/>
          <w:color w:val="0C0C0C"/>
          <w:spacing w:val="-2"/>
        </w:rPr>
        <w:t>Equations</w:t>
      </w:r>
      <w:r w:rsidRPr="00032248">
        <w:rPr>
          <w:rFonts w:ascii="Arial" w:hAnsi="Arial" w:cs="Arial"/>
          <w:b/>
          <w:color w:val="0C0C0C"/>
        </w:rPr>
        <w:tab/>
      </w:r>
      <w:r w:rsidRPr="00032248">
        <w:rPr>
          <w:rFonts w:ascii="Arial" w:hAnsi="Arial" w:cs="Arial"/>
          <w:b/>
          <w:color w:val="0C0C0C"/>
        </w:rPr>
        <w:tab/>
      </w:r>
      <w:r w:rsidRPr="00032248">
        <w:rPr>
          <w:rFonts w:ascii="Arial" w:hAnsi="Arial" w:cs="Arial"/>
          <w:b/>
          <w:color w:val="0C0C0C"/>
        </w:rPr>
        <w:tab/>
      </w:r>
      <w:r w:rsidRPr="00032248">
        <w:rPr>
          <w:rFonts w:ascii="Arial" w:hAnsi="Arial" w:cs="Arial"/>
          <w:b/>
          <w:color w:val="0C0C0C"/>
        </w:rPr>
        <w:tab/>
        <w:t xml:space="preserve">    </w:t>
      </w:r>
      <w:r w:rsidRPr="00032248">
        <w:rPr>
          <w:rFonts w:ascii="Arial" w:hAnsi="Arial" w:cs="Arial"/>
          <w:b/>
          <w:color w:val="0C0C0C"/>
          <w:spacing w:val="-10"/>
        </w:rPr>
        <w:t>K</w:t>
      </w:r>
      <w:r w:rsidRPr="00032248">
        <w:rPr>
          <w:rFonts w:ascii="Arial" w:hAnsi="Arial" w:cs="Arial"/>
          <w:b/>
          <w:color w:val="0C0C0C"/>
        </w:rPr>
        <w:tab/>
        <w:t xml:space="preserve">        F-</w:t>
      </w:r>
      <w:r w:rsidRPr="00032248">
        <w:rPr>
          <w:rFonts w:ascii="Arial" w:hAnsi="Arial" w:cs="Arial"/>
          <w:b/>
          <w:color w:val="0C0C0C"/>
          <w:spacing w:val="-4"/>
        </w:rPr>
        <w:t>Stat</w:t>
      </w:r>
      <w:r w:rsidRPr="00032248">
        <w:rPr>
          <w:rFonts w:ascii="Arial" w:hAnsi="Arial" w:cs="Arial"/>
          <w:b/>
          <w:color w:val="0C0C0C"/>
        </w:rPr>
        <w:tab/>
        <w:t>I</w:t>
      </w:r>
      <w:r w:rsidRPr="00032248">
        <w:rPr>
          <w:rFonts w:ascii="Arial" w:hAnsi="Arial" w:cs="Arial"/>
          <w:b/>
          <w:color w:val="0C0C0C"/>
          <w:spacing w:val="3"/>
        </w:rPr>
        <w:t xml:space="preserve"> </w:t>
      </w:r>
      <w:r w:rsidRPr="00032248">
        <w:rPr>
          <w:rFonts w:ascii="Arial" w:hAnsi="Arial" w:cs="Arial"/>
          <w:b/>
          <w:color w:val="0C0C0C"/>
          <w:spacing w:val="-5"/>
        </w:rPr>
        <w:t>(0)</w:t>
      </w:r>
      <w:r w:rsidRPr="00032248">
        <w:rPr>
          <w:rFonts w:ascii="Arial" w:hAnsi="Arial" w:cs="Arial"/>
          <w:b/>
          <w:color w:val="0C0C0C"/>
        </w:rPr>
        <w:tab/>
        <w:t>I</w:t>
      </w:r>
      <w:r w:rsidRPr="00032248">
        <w:rPr>
          <w:rFonts w:ascii="Arial" w:hAnsi="Arial" w:cs="Arial"/>
          <w:b/>
          <w:color w:val="0C0C0C"/>
          <w:spacing w:val="3"/>
        </w:rPr>
        <w:t xml:space="preserve"> </w:t>
      </w:r>
      <w:r w:rsidRPr="00032248">
        <w:rPr>
          <w:rFonts w:ascii="Arial" w:hAnsi="Arial" w:cs="Arial"/>
          <w:b/>
          <w:color w:val="0C0C0C"/>
          <w:spacing w:val="-5"/>
        </w:rPr>
        <w:t>(1)</w:t>
      </w:r>
      <w:r w:rsidRPr="00032248">
        <w:rPr>
          <w:rFonts w:ascii="Arial" w:hAnsi="Arial" w:cs="Arial"/>
          <w:b/>
          <w:color w:val="0C0C0C"/>
        </w:rPr>
        <w:tab/>
      </w:r>
      <w:r w:rsidRPr="00032248">
        <w:rPr>
          <w:rFonts w:ascii="Arial" w:hAnsi="Arial" w:cs="Arial"/>
          <w:b/>
          <w:color w:val="0C0C0C"/>
          <w:spacing w:val="-2"/>
        </w:rPr>
        <w:t>Outcome</w:t>
      </w:r>
    </w:p>
    <w:tbl>
      <w:tblPr>
        <w:tblW w:w="5074" w:type="pct"/>
        <w:tblCellMar>
          <w:left w:w="0" w:type="dxa"/>
          <w:right w:w="0" w:type="dxa"/>
        </w:tblCellMar>
        <w:tblLook w:val="01E0" w:firstRow="1" w:lastRow="1" w:firstColumn="1" w:lastColumn="1" w:noHBand="0" w:noVBand="0"/>
      </w:tblPr>
      <w:tblGrid>
        <w:gridCol w:w="5387"/>
        <w:gridCol w:w="1070"/>
        <w:gridCol w:w="901"/>
        <w:gridCol w:w="838"/>
        <w:gridCol w:w="1303"/>
      </w:tblGrid>
      <w:tr w:rsidR="00967A45" w:rsidRPr="00032248" w14:paraId="612D58D9" w14:textId="77777777" w:rsidTr="00967A45">
        <w:trPr>
          <w:trHeight w:val="467"/>
        </w:trPr>
        <w:tc>
          <w:tcPr>
            <w:tcW w:w="2836" w:type="pct"/>
            <w:tcBorders>
              <w:top w:val="single" w:sz="4" w:space="0" w:color="000000"/>
              <w:bottom w:val="single" w:sz="4" w:space="0" w:color="auto"/>
            </w:tcBorders>
          </w:tcPr>
          <w:p w14:paraId="4F69A727" w14:textId="77777777" w:rsidR="00967A45" w:rsidRPr="00032248" w:rsidRDefault="00967A45" w:rsidP="009656C0">
            <w:pPr>
              <w:pStyle w:val="TableParagraph"/>
              <w:spacing w:before="7" w:after="120" w:line="360" w:lineRule="auto"/>
              <w:ind w:left="28"/>
              <w:rPr>
                <w:rFonts w:ascii="Arial" w:hAnsi="Arial"/>
                <w:lang w:val="nl-NL"/>
              </w:rPr>
            </w:pPr>
            <w:r w:rsidRPr="00032248">
              <w:rPr>
                <w:rFonts w:ascii="Arial" w:hAnsi="Arial"/>
                <w:w w:val="105"/>
                <w:lang w:val="nl-NL"/>
              </w:rPr>
              <w:t>RGDP</w:t>
            </w:r>
            <w:r w:rsidRPr="00032248">
              <w:rPr>
                <w:rFonts w:ascii="Arial" w:hAnsi="Arial"/>
                <w:spacing w:val="-3"/>
                <w:w w:val="105"/>
                <w:lang w:val="nl-NL"/>
              </w:rPr>
              <w:t xml:space="preserve"> </w:t>
            </w:r>
            <w:r w:rsidRPr="00032248">
              <w:rPr>
                <w:rFonts w:ascii="Arial" w:hAnsi="Arial"/>
                <w:w w:val="105"/>
                <w:lang w:val="nl-NL"/>
              </w:rPr>
              <w:t>(BD, TR, INF, INTR, OPEN)</w:t>
            </w:r>
            <w:r w:rsidRPr="00032248">
              <w:rPr>
                <w:rFonts w:ascii="Arial" w:hAnsi="Arial"/>
                <w:spacing w:val="41"/>
                <w:w w:val="105"/>
                <w:lang w:val="nl-NL"/>
              </w:rPr>
              <w:t xml:space="preserve"> 5</w:t>
            </w:r>
          </w:p>
        </w:tc>
        <w:tc>
          <w:tcPr>
            <w:tcW w:w="563" w:type="pct"/>
            <w:tcBorders>
              <w:top w:val="single" w:sz="4" w:space="0" w:color="000000"/>
              <w:bottom w:val="single" w:sz="4" w:space="0" w:color="auto"/>
            </w:tcBorders>
          </w:tcPr>
          <w:p w14:paraId="233E6301" w14:textId="77777777" w:rsidR="00967A45" w:rsidRPr="00032248" w:rsidRDefault="00967A45" w:rsidP="009656C0">
            <w:pPr>
              <w:pStyle w:val="TableParagraph"/>
              <w:spacing w:before="7" w:after="120" w:line="360" w:lineRule="auto"/>
              <w:rPr>
                <w:rFonts w:ascii="Arial" w:hAnsi="Arial" w:cs="Arial"/>
              </w:rPr>
            </w:pPr>
            <w:r w:rsidRPr="00032248">
              <w:rPr>
                <w:rFonts w:ascii="Arial" w:hAnsi="Arial" w:cs="Arial"/>
                <w:color w:val="000000"/>
              </w:rPr>
              <w:t>14.468</w:t>
            </w:r>
          </w:p>
        </w:tc>
        <w:tc>
          <w:tcPr>
            <w:tcW w:w="474" w:type="pct"/>
            <w:tcBorders>
              <w:top w:val="single" w:sz="4" w:space="0" w:color="000000"/>
              <w:bottom w:val="single" w:sz="4" w:space="0" w:color="auto"/>
            </w:tcBorders>
          </w:tcPr>
          <w:p w14:paraId="2B68DD0E" w14:textId="77777777" w:rsidR="00967A45" w:rsidRPr="00032248" w:rsidRDefault="00967A45" w:rsidP="009656C0">
            <w:pPr>
              <w:pStyle w:val="TableParagraph"/>
              <w:spacing w:before="7" w:after="120" w:line="360" w:lineRule="auto"/>
              <w:ind w:left="13" w:right="13"/>
              <w:rPr>
                <w:rFonts w:ascii="Arial" w:hAnsi="Arial" w:cs="Arial"/>
              </w:rPr>
            </w:pPr>
            <w:r w:rsidRPr="00032248">
              <w:rPr>
                <w:rFonts w:ascii="Arial" w:hAnsi="Arial" w:cs="Arial"/>
                <w:spacing w:val="-4"/>
                <w:w w:val="105"/>
              </w:rPr>
              <w:t>2.32</w:t>
            </w:r>
          </w:p>
        </w:tc>
        <w:tc>
          <w:tcPr>
            <w:tcW w:w="441" w:type="pct"/>
            <w:tcBorders>
              <w:top w:val="single" w:sz="4" w:space="0" w:color="000000"/>
              <w:bottom w:val="single" w:sz="4" w:space="0" w:color="auto"/>
            </w:tcBorders>
          </w:tcPr>
          <w:p w14:paraId="70F524B2" w14:textId="77777777" w:rsidR="00967A45" w:rsidRPr="00032248" w:rsidRDefault="00967A45" w:rsidP="009656C0">
            <w:pPr>
              <w:pStyle w:val="TableParagraph"/>
              <w:spacing w:before="7" w:after="120" w:line="360" w:lineRule="auto"/>
              <w:ind w:left="207"/>
              <w:rPr>
                <w:rFonts w:ascii="Arial" w:hAnsi="Arial" w:cs="Arial"/>
              </w:rPr>
            </w:pPr>
            <w:r w:rsidRPr="00032248">
              <w:rPr>
                <w:rFonts w:ascii="Arial" w:hAnsi="Arial" w:cs="Arial"/>
                <w:spacing w:val="-5"/>
                <w:w w:val="105"/>
              </w:rPr>
              <w:t>3.5</w:t>
            </w:r>
          </w:p>
        </w:tc>
        <w:tc>
          <w:tcPr>
            <w:tcW w:w="686" w:type="pct"/>
            <w:tcBorders>
              <w:top w:val="single" w:sz="4" w:space="0" w:color="000000"/>
              <w:bottom w:val="single" w:sz="4" w:space="0" w:color="auto"/>
            </w:tcBorders>
          </w:tcPr>
          <w:p w14:paraId="078DACDD" w14:textId="77777777" w:rsidR="00967A45" w:rsidRPr="00032248" w:rsidRDefault="00967A45" w:rsidP="009656C0">
            <w:pPr>
              <w:pStyle w:val="TableParagraph"/>
              <w:spacing w:before="7" w:after="120" w:line="360" w:lineRule="auto"/>
              <w:ind w:left="114"/>
              <w:rPr>
                <w:rFonts w:ascii="Arial" w:hAnsi="Arial" w:cs="Arial"/>
              </w:rPr>
            </w:pPr>
            <w:r w:rsidRPr="00032248">
              <w:rPr>
                <w:rFonts w:ascii="Arial" w:hAnsi="Arial" w:cs="Arial"/>
              </w:rPr>
              <w:t>Co-</w:t>
            </w:r>
            <w:r w:rsidRPr="00032248">
              <w:rPr>
                <w:rFonts w:ascii="Arial" w:hAnsi="Arial" w:cs="Arial"/>
                <w:spacing w:val="-2"/>
              </w:rPr>
              <w:t>integration</w:t>
            </w:r>
          </w:p>
        </w:tc>
      </w:tr>
      <w:tr w:rsidR="00967A45" w:rsidRPr="00032248" w14:paraId="2901C9CD" w14:textId="77777777" w:rsidTr="00967A45">
        <w:trPr>
          <w:gridAfter w:val="4"/>
          <w:wAfter w:w="2164" w:type="pct"/>
          <w:trHeight w:val="15"/>
        </w:trPr>
        <w:tc>
          <w:tcPr>
            <w:tcW w:w="2836" w:type="pct"/>
          </w:tcPr>
          <w:p w14:paraId="23B67060" w14:textId="77777777" w:rsidR="00967A45" w:rsidRPr="00032248" w:rsidRDefault="00967A45" w:rsidP="00A5548C">
            <w:pPr>
              <w:pStyle w:val="TableParagraph"/>
              <w:spacing w:before="7" w:after="120" w:line="360" w:lineRule="auto"/>
              <w:ind w:left="28"/>
              <w:jc w:val="left"/>
              <w:rPr>
                <w:rFonts w:ascii="Arial" w:hAnsi="Arial" w:cs="Arial"/>
                <w:color w:val="0C0C0C"/>
                <w:spacing w:val="-5"/>
              </w:rPr>
            </w:pPr>
            <w:r w:rsidRPr="00032248">
              <w:rPr>
                <w:rFonts w:ascii="Arial" w:hAnsi="Arial" w:cs="Arial"/>
                <w:color w:val="0C0C0C"/>
                <w:w w:val="105"/>
              </w:rPr>
              <w:t>Note:</w:t>
            </w:r>
            <w:r w:rsidRPr="00032248">
              <w:rPr>
                <w:rFonts w:ascii="Arial" w:hAnsi="Arial" w:cs="Arial"/>
                <w:color w:val="0C0C0C"/>
                <w:spacing w:val="-2"/>
                <w:w w:val="105"/>
              </w:rPr>
              <w:t xml:space="preserve"> </w:t>
            </w:r>
            <w:r w:rsidRPr="00032248">
              <w:rPr>
                <w:rFonts w:ascii="Arial" w:hAnsi="Arial" w:cs="Arial"/>
                <w:color w:val="0C0C0C"/>
                <w:w w:val="105"/>
              </w:rPr>
              <w:t>K</w:t>
            </w:r>
            <w:r w:rsidRPr="00032248">
              <w:rPr>
                <w:rFonts w:ascii="Arial" w:hAnsi="Arial" w:cs="Arial"/>
                <w:color w:val="0C0C0C"/>
                <w:spacing w:val="-4"/>
                <w:w w:val="105"/>
              </w:rPr>
              <w:t xml:space="preserve"> </w:t>
            </w:r>
            <w:r w:rsidRPr="00032248">
              <w:rPr>
                <w:rFonts w:ascii="Arial" w:hAnsi="Arial" w:cs="Arial"/>
                <w:color w:val="0C0C0C"/>
                <w:w w:val="105"/>
              </w:rPr>
              <w:t>=number</w:t>
            </w:r>
            <w:r w:rsidRPr="00032248">
              <w:rPr>
                <w:rFonts w:ascii="Arial" w:hAnsi="Arial" w:cs="Arial"/>
                <w:color w:val="0C0C0C"/>
                <w:spacing w:val="-4"/>
                <w:w w:val="105"/>
              </w:rPr>
              <w:t xml:space="preserve"> </w:t>
            </w:r>
            <w:r w:rsidRPr="00032248">
              <w:rPr>
                <w:rFonts w:ascii="Arial" w:hAnsi="Arial" w:cs="Arial"/>
                <w:color w:val="0C0C0C"/>
                <w:w w:val="105"/>
              </w:rPr>
              <w:t>of</w:t>
            </w:r>
            <w:r w:rsidRPr="00032248">
              <w:rPr>
                <w:rFonts w:ascii="Arial" w:hAnsi="Arial" w:cs="Arial"/>
                <w:color w:val="0C0C0C"/>
                <w:spacing w:val="-2"/>
                <w:w w:val="105"/>
              </w:rPr>
              <w:t xml:space="preserve"> parameters </w:t>
            </w:r>
            <w:r w:rsidRPr="00032248">
              <w:rPr>
                <w:rFonts w:ascii="Arial" w:hAnsi="Arial" w:cs="Arial"/>
                <w:color w:val="0C0C0C"/>
              </w:rPr>
              <w:t>Source:</w:t>
            </w:r>
            <w:r w:rsidRPr="00032248">
              <w:rPr>
                <w:rFonts w:ascii="Arial" w:hAnsi="Arial" w:cs="Arial"/>
                <w:color w:val="0C0C0C"/>
                <w:spacing w:val="16"/>
              </w:rPr>
              <w:t xml:space="preserve"> </w:t>
            </w:r>
            <w:r w:rsidRPr="00032248">
              <w:rPr>
                <w:rFonts w:ascii="Arial" w:hAnsi="Arial" w:cs="Arial"/>
                <w:color w:val="0C0C0C"/>
              </w:rPr>
              <w:t>Researcher’s</w:t>
            </w:r>
            <w:r w:rsidRPr="00032248">
              <w:rPr>
                <w:rFonts w:ascii="Arial" w:hAnsi="Arial" w:cs="Arial"/>
                <w:color w:val="0C0C0C"/>
                <w:spacing w:val="14"/>
              </w:rPr>
              <w:t xml:space="preserve"> </w:t>
            </w:r>
            <w:r w:rsidRPr="00032248">
              <w:rPr>
                <w:rFonts w:ascii="Arial" w:hAnsi="Arial" w:cs="Arial"/>
                <w:color w:val="0C0C0C"/>
              </w:rPr>
              <w:t>computation</w:t>
            </w:r>
            <w:r w:rsidRPr="00032248">
              <w:rPr>
                <w:rFonts w:ascii="Arial" w:hAnsi="Arial" w:cs="Arial"/>
                <w:color w:val="0C0C0C"/>
                <w:spacing w:val="17"/>
              </w:rPr>
              <w:t xml:space="preserve"> </w:t>
            </w:r>
            <w:r w:rsidRPr="00032248">
              <w:rPr>
                <w:rFonts w:ascii="Arial" w:hAnsi="Arial" w:cs="Arial"/>
                <w:color w:val="0C0C0C"/>
              </w:rPr>
              <w:t>(2025),</w:t>
            </w:r>
            <w:r w:rsidRPr="00032248">
              <w:rPr>
                <w:rFonts w:ascii="Arial" w:hAnsi="Arial" w:cs="Arial"/>
                <w:color w:val="0C0C0C"/>
                <w:spacing w:val="17"/>
              </w:rPr>
              <w:t xml:space="preserve"> </w:t>
            </w:r>
            <w:r w:rsidRPr="00032248">
              <w:rPr>
                <w:rFonts w:ascii="Arial" w:hAnsi="Arial" w:cs="Arial"/>
                <w:color w:val="0C0C0C"/>
              </w:rPr>
              <w:t>using</w:t>
            </w:r>
            <w:r w:rsidRPr="00032248">
              <w:rPr>
                <w:rFonts w:ascii="Arial" w:hAnsi="Arial" w:cs="Arial"/>
                <w:color w:val="0C0C0C"/>
                <w:spacing w:val="17"/>
              </w:rPr>
              <w:t xml:space="preserve"> </w:t>
            </w:r>
            <w:r w:rsidRPr="00032248">
              <w:rPr>
                <w:rFonts w:ascii="Arial" w:hAnsi="Arial" w:cs="Arial"/>
                <w:color w:val="0C0C0C"/>
              </w:rPr>
              <w:t>E-Views</w:t>
            </w:r>
            <w:r w:rsidRPr="00032248">
              <w:rPr>
                <w:rFonts w:ascii="Arial" w:hAnsi="Arial" w:cs="Arial"/>
                <w:color w:val="0C0C0C"/>
                <w:spacing w:val="17"/>
              </w:rPr>
              <w:t xml:space="preserve"> </w:t>
            </w:r>
          </w:p>
        </w:tc>
      </w:tr>
      <w:tr w:rsidR="00967A45" w:rsidRPr="00032248" w14:paraId="6776C282" w14:textId="77777777" w:rsidTr="00967A45">
        <w:trPr>
          <w:gridAfter w:val="4"/>
          <w:wAfter w:w="2164" w:type="pct"/>
          <w:trHeight w:val="30"/>
        </w:trPr>
        <w:tc>
          <w:tcPr>
            <w:tcW w:w="2836" w:type="pct"/>
          </w:tcPr>
          <w:p w14:paraId="44A7766B" w14:textId="77777777" w:rsidR="00967A45" w:rsidRPr="00032248" w:rsidRDefault="00967A45" w:rsidP="00A5548C">
            <w:pPr>
              <w:pStyle w:val="TableParagraph"/>
              <w:spacing w:before="7" w:after="120"/>
              <w:ind w:left="28"/>
              <w:jc w:val="both"/>
              <w:rPr>
                <w:rFonts w:ascii="Arial" w:hAnsi="Arial" w:cs="Arial"/>
              </w:rPr>
            </w:pPr>
          </w:p>
        </w:tc>
      </w:tr>
    </w:tbl>
    <w:p w14:paraId="5210D4AF" w14:textId="77777777" w:rsidR="00B32196" w:rsidRPr="00032248" w:rsidRDefault="00B32196" w:rsidP="003C78BA">
      <w:pPr>
        <w:spacing w:line="360" w:lineRule="auto"/>
        <w:jc w:val="both"/>
        <w:rPr>
          <w:rFonts w:ascii="Arial" w:hAnsi="Arial" w:cs="Arial"/>
        </w:rPr>
      </w:pPr>
      <w:r w:rsidRPr="00032248">
        <w:t>Since the calculated F-statistic is greater than the upper-bound critical value, the null hypothesis of no long-run relationship among the variables is rejected. This result confirms the existence of cointegration among real GDP growth, the budget deficit, tax reforms, inflation, the interest rate, and trade openness in Nigeria.</w:t>
      </w:r>
    </w:p>
    <w:p w14:paraId="6ABC2725" w14:textId="77777777" w:rsidR="00B32196" w:rsidRPr="00032248" w:rsidRDefault="00B32196" w:rsidP="003C78BA">
      <w:pPr>
        <w:spacing w:line="360" w:lineRule="auto"/>
        <w:jc w:val="both"/>
        <w:rPr>
          <w:rFonts w:ascii="Arial" w:hAnsi="Arial" w:cs="Arial"/>
        </w:rPr>
      </w:pPr>
      <w:r w:rsidRPr="00032248">
        <w:rPr>
          <w:rFonts w:ascii="Arial" w:hAnsi="Arial" w:cs="Arial"/>
        </w:rPr>
        <w:t>The implication of this finding is that although these variables may exhibit short-term fluctuations, they move together over the long run in a stable equilibrium relationship. In other words, fiscal policy variables and macroeconomic indicators collectively influence economic performance over time, and deviations from this equilibrium are temporary.</w:t>
      </w:r>
    </w:p>
    <w:p w14:paraId="4F36B405" w14:textId="77777777" w:rsidR="00B32196" w:rsidRPr="00032248" w:rsidRDefault="00B32196" w:rsidP="003C78BA">
      <w:pPr>
        <w:spacing w:line="360" w:lineRule="auto"/>
        <w:jc w:val="both"/>
        <w:rPr>
          <w:rFonts w:ascii="Arial" w:hAnsi="Arial" w:cs="Arial"/>
        </w:rPr>
      </w:pPr>
      <w:r w:rsidRPr="00032248">
        <w:rPr>
          <w:rFonts w:ascii="Arial" w:hAnsi="Arial" w:cs="Arial"/>
        </w:rPr>
        <w:t>From an economic perspective, the existence of cointegration suggests that fiscal and macroeconomic policy variables are structurally linked to economic growth in Nigeria. Consequently, shocks affecting one variable may lead to adjustments in others in order to restore long-run equilibrium. The confirmation of cointegration also validates the use of the ARDL error-correction framework for estimating both long-run coefficients and short-run dynamics.</w:t>
      </w:r>
    </w:p>
    <w:p w14:paraId="00A50E25" w14:textId="77777777" w:rsidR="00B32196" w:rsidRPr="00032248" w:rsidRDefault="00B32196" w:rsidP="00B32196">
      <w:pPr>
        <w:spacing w:line="360" w:lineRule="auto"/>
        <w:rPr>
          <w:rFonts w:ascii="Arial" w:hAnsi="Arial" w:cs="Arial"/>
          <w:b/>
          <w:bCs/>
        </w:rPr>
      </w:pPr>
      <w:r w:rsidRPr="00032248">
        <w:rPr>
          <w:rFonts w:ascii="Arial" w:hAnsi="Arial" w:cs="Arial"/>
          <w:b/>
          <w:bCs/>
        </w:rPr>
        <w:t>4.3 ARDL Estimation Results</w:t>
      </w:r>
    </w:p>
    <w:p w14:paraId="571C4B40" w14:textId="77777777" w:rsidR="00B32196" w:rsidRPr="00032248" w:rsidRDefault="00B32196" w:rsidP="003C78BA">
      <w:pPr>
        <w:spacing w:line="360" w:lineRule="auto"/>
        <w:jc w:val="both"/>
        <w:rPr>
          <w:rFonts w:ascii="Arial" w:hAnsi="Arial" w:cs="Arial"/>
          <w:b/>
          <w:bCs/>
        </w:rPr>
      </w:pPr>
      <w:r w:rsidRPr="00032248">
        <w:rPr>
          <w:rFonts w:ascii="Arial" w:hAnsi="Arial" w:cs="Arial"/>
          <w:b/>
          <w:bCs/>
        </w:rPr>
        <w:t>4.3.1 Long-Run Estimation Results</w:t>
      </w:r>
    </w:p>
    <w:p w14:paraId="737FBDB9" w14:textId="77777777" w:rsidR="00B32196" w:rsidRPr="00032248" w:rsidRDefault="00B32196" w:rsidP="003C78BA">
      <w:pPr>
        <w:spacing w:line="360" w:lineRule="auto"/>
        <w:jc w:val="both"/>
        <w:rPr>
          <w:rFonts w:ascii="Arial" w:hAnsi="Arial" w:cs="Arial"/>
        </w:rPr>
      </w:pPr>
      <w:r w:rsidRPr="00032248">
        <w:rPr>
          <w:rFonts w:ascii="Arial" w:hAnsi="Arial" w:cs="Arial"/>
        </w:rPr>
        <w:t>The long-run ARDL estimates reveal important insights into the relationship between fiscal policy variables and economic performance in Nigeria.</w:t>
      </w:r>
    </w:p>
    <w:p w14:paraId="069E67F5" w14:textId="77777777" w:rsidR="00967A45" w:rsidRPr="00032248" w:rsidRDefault="00967A45" w:rsidP="00967A45">
      <w:pPr>
        <w:spacing w:before="92" w:after="120" w:line="360" w:lineRule="auto"/>
        <w:ind w:right="291"/>
        <w:rPr>
          <w:rFonts w:ascii="Arial" w:hAnsi="Arial" w:cs="Arial"/>
          <w:b/>
        </w:rPr>
      </w:pPr>
      <w:r w:rsidRPr="00032248">
        <w:rPr>
          <w:rFonts w:ascii="Arial" w:hAnsi="Arial" w:cs="Arial"/>
          <w:b/>
          <w:color w:val="0C0C0C"/>
        </w:rPr>
        <w:t>TABLE</w:t>
      </w:r>
      <w:r w:rsidRPr="00032248">
        <w:rPr>
          <w:rFonts w:ascii="Arial" w:hAnsi="Arial" w:cs="Arial"/>
          <w:b/>
          <w:color w:val="0C0C0C"/>
          <w:spacing w:val="18"/>
        </w:rPr>
        <w:t xml:space="preserve"> </w:t>
      </w:r>
      <w:r w:rsidRPr="00032248">
        <w:rPr>
          <w:rFonts w:ascii="Arial" w:hAnsi="Arial" w:cs="Arial"/>
          <w:b/>
          <w:color w:val="0C0C0C"/>
          <w:spacing w:val="-4"/>
        </w:rPr>
        <w:t>4a:</w:t>
      </w:r>
      <w:r w:rsidRPr="00032248">
        <w:rPr>
          <w:rFonts w:ascii="Arial" w:hAnsi="Arial" w:cs="Arial"/>
          <w:b/>
        </w:rPr>
        <w:t xml:space="preserve"> </w:t>
      </w:r>
      <w:r w:rsidRPr="00032248">
        <w:rPr>
          <w:rFonts w:ascii="Arial" w:hAnsi="Arial" w:cs="Arial"/>
          <w:b/>
          <w:color w:val="0C0C0C"/>
        </w:rPr>
        <w:t xml:space="preserve">Long run coefficients </w:t>
      </w:r>
    </w:p>
    <w:p w14:paraId="0606DE53" w14:textId="77777777" w:rsidR="00967A45" w:rsidRPr="00032248" w:rsidRDefault="00967A45" w:rsidP="0077036A">
      <w:pPr>
        <w:spacing w:after="120"/>
        <w:rPr>
          <w:rFonts w:ascii="Arial" w:hAnsi="Arial" w:cs="Arial"/>
          <w:b/>
        </w:rPr>
      </w:pPr>
      <w:r w:rsidRPr="00032248">
        <w:rPr>
          <w:rFonts w:ascii="Arial" w:hAnsi="Arial" w:cs="Arial"/>
          <w:b/>
          <w:color w:val="0C0C0C"/>
        </w:rPr>
        <w:t>Dependent</w:t>
      </w:r>
      <w:r w:rsidRPr="00032248">
        <w:rPr>
          <w:rFonts w:ascii="Arial" w:hAnsi="Arial" w:cs="Arial"/>
          <w:b/>
          <w:color w:val="0C0C0C"/>
          <w:spacing w:val="18"/>
        </w:rPr>
        <w:t xml:space="preserve"> </w:t>
      </w:r>
      <w:r w:rsidRPr="00032248">
        <w:rPr>
          <w:rFonts w:ascii="Arial" w:hAnsi="Arial" w:cs="Arial"/>
          <w:b/>
          <w:color w:val="0C0C0C"/>
        </w:rPr>
        <w:t>variable:</w:t>
      </w:r>
      <w:r w:rsidRPr="00032248">
        <w:rPr>
          <w:rFonts w:ascii="Arial" w:hAnsi="Arial" w:cs="Arial"/>
          <w:b/>
          <w:color w:val="0C0C0C"/>
          <w:spacing w:val="17"/>
        </w:rPr>
        <w:t xml:space="preserve"> </w:t>
      </w:r>
      <w:r w:rsidRPr="00032248">
        <w:rPr>
          <w:rFonts w:ascii="Arial" w:hAnsi="Arial" w:cs="Arial"/>
          <w:b/>
          <w:color w:val="0C0C0C"/>
          <w:spacing w:val="-4"/>
        </w:rPr>
        <w:t>RGDP</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1"/>
        <w:gridCol w:w="1851"/>
        <w:gridCol w:w="1466"/>
        <w:gridCol w:w="1479"/>
        <w:gridCol w:w="966"/>
      </w:tblGrid>
      <w:tr w:rsidR="00967A45" w:rsidRPr="00032248" w14:paraId="7869637B" w14:textId="77777777" w:rsidTr="00AE50F8">
        <w:trPr>
          <w:trHeight w:val="484"/>
        </w:trPr>
        <w:tc>
          <w:tcPr>
            <w:tcW w:w="1701" w:type="dxa"/>
          </w:tcPr>
          <w:p w14:paraId="508BD218" w14:textId="77777777" w:rsidR="00967A45" w:rsidRPr="00032248" w:rsidRDefault="00967A45" w:rsidP="00A5548C">
            <w:pPr>
              <w:pStyle w:val="TableParagraph"/>
              <w:ind w:right="572"/>
              <w:jc w:val="right"/>
              <w:rPr>
                <w:rFonts w:ascii="Arial" w:hAnsi="Arial" w:cs="Arial"/>
              </w:rPr>
            </w:pPr>
            <w:r w:rsidRPr="00032248">
              <w:rPr>
                <w:rFonts w:ascii="Arial" w:hAnsi="Arial" w:cs="Arial"/>
                <w:spacing w:val="-2"/>
                <w:w w:val="105"/>
              </w:rPr>
              <w:t>Variable</w:t>
            </w:r>
          </w:p>
        </w:tc>
        <w:tc>
          <w:tcPr>
            <w:tcW w:w="1851" w:type="dxa"/>
          </w:tcPr>
          <w:p w14:paraId="1F07C88C" w14:textId="77777777" w:rsidR="00967A45" w:rsidRPr="00032248" w:rsidRDefault="00967A45" w:rsidP="00A5548C">
            <w:pPr>
              <w:pStyle w:val="TableParagraph"/>
              <w:ind w:right="164"/>
              <w:jc w:val="right"/>
              <w:rPr>
                <w:rFonts w:ascii="Arial" w:hAnsi="Arial" w:cs="Arial"/>
              </w:rPr>
            </w:pPr>
            <w:r w:rsidRPr="00032248">
              <w:rPr>
                <w:rFonts w:ascii="Arial" w:hAnsi="Arial" w:cs="Arial"/>
                <w:spacing w:val="-2"/>
                <w:w w:val="105"/>
              </w:rPr>
              <w:t>Coefficient</w:t>
            </w:r>
          </w:p>
        </w:tc>
        <w:tc>
          <w:tcPr>
            <w:tcW w:w="1466" w:type="dxa"/>
          </w:tcPr>
          <w:p w14:paraId="08A576EF" w14:textId="77777777" w:rsidR="00967A45" w:rsidRPr="00032248" w:rsidRDefault="00967A45" w:rsidP="00A5548C">
            <w:pPr>
              <w:pStyle w:val="TableParagraph"/>
              <w:ind w:left="151" w:right="32"/>
              <w:rPr>
                <w:rFonts w:ascii="Arial" w:hAnsi="Arial" w:cs="Arial"/>
              </w:rPr>
            </w:pPr>
            <w:r w:rsidRPr="00032248">
              <w:rPr>
                <w:rFonts w:ascii="Arial" w:hAnsi="Arial" w:cs="Arial"/>
                <w:w w:val="105"/>
              </w:rPr>
              <w:t>Std.</w:t>
            </w:r>
            <w:r w:rsidRPr="00032248">
              <w:rPr>
                <w:rFonts w:ascii="Arial" w:hAnsi="Arial" w:cs="Arial"/>
                <w:spacing w:val="-9"/>
                <w:w w:val="105"/>
              </w:rPr>
              <w:t xml:space="preserve"> </w:t>
            </w:r>
            <w:r w:rsidRPr="00032248">
              <w:rPr>
                <w:rFonts w:ascii="Arial" w:hAnsi="Arial" w:cs="Arial"/>
                <w:spacing w:val="-2"/>
                <w:w w:val="105"/>
              </w:rPr>
              <w:t>Error</w:t>
            </w:r>
          </w:p>
        </w:tc>
        <w:tc>
          <w:tcPr>
            <w:tcW w:w="1479" w:type="dxa"/>
          </w:tcPr>
          <w:p w14:paraId="4ED05AA8" w14:textId="77777777" w:rsidR="00967A45" w:rsidRPr="00032248" w:rsidRDefault="00967A45" w:rsidP="00A5548C">
            <w:pPr>
              <w:pStyle w:val="TableParagraph"/>
              <w:ind w:left="115" w:right="39"/>
              <w:rPr>
                <w:rFonts w:ascii="Arial" w:hAnsi="Arial" w:cs="Arial"/>
              </w:rPr>
            </w:pPr>
            <w:r w:rsidRPr="00032248">
              <w:rPr>
                <w:rFonts w:ascii="Arial" w:hAnsi="Arial" w:cs="Arial"/>
                <w:spacing w:val="-5"/>
                <w:w w:val="105"/>
              </w:rPr>
              <w:t>t-</w:t>
            </w:r>
            <w:r w:rsidRPr="00032248">
              <w:rPr>
                <w:rFonts w:ascii="Arial" w:hAnsi="Arial" w:cs="Arial"/>
                <w:spacing w:val="-2"/>
                <w:w w:val="105"/>
              </w:rPr>
              <w:t>Statistic</w:t>
            </w:r>
          </w:p>
        </w:tc>
        <w:tc>
          <w:tcPr>
            <w:tcW w:w="966" w:type="dxa"/>
          </w:tcPr>
          <w:p w14:paraId="2A32C2D6" w14:textId="77777777" w:rsidR="00967A45" w:rsidRPr="00032248" w:rsidRDefault="00967A45" w:rsidP="00A5548C">
            <w:pPr>
              <w:pStyle w:val="TableParagraph"/>
              <w:ind w:left="236"/>
              <w:jc w:val="left"/>
              <w:rPr>
                <w:rFonts w:ascii="Arial" w:hAnsi="Arial" w:cs="Arial"/>
              </w:rPr>
            </w:pPr>
            <w:r w:rsidRPr="00032248">
              <w:rPr>
                <w:rFonts w:ascii="Arial" w:hAnsi="Arial" w:cs="Arial"/>
                <w:spacing w:val="-4"/>
                <w:w w:val="105"/>
              </w:rPr>
              <w:t>Prob.</w:t>
            </w:r>
          </w:p>
        </w:tc>
      </w:tr>
      <w:tr w:rsidR="00967A45" w:rsidRPr="00032248" w14:paraId="2D58FE7D" w14:textId="77777777" w:rsidTr="00AE50F8">
        <w:trPr>
          <w:trHeight w:val="424"/>
        </w:trPr>
        <w:tc>
          <w:tcPr>
            <w:tcW w:w="1701" w:type="dxa"/>
            <w:vAlign w:val="bottom"/>
          </w:tcPr>
          <w:p w14:paraId="7E1A5A6B" w14:textId="77777777" w:rsidR="00967A45" w:rsidRPr="00032248" w:rsidRDefault="00967A45" w:rsidP="00AE50F8">
            <w:pPr>
              <w:pStyle w:val="TableParagraph"/>
              <w:ind w:left="1"/>
              <w:rPr>
                <w:rFonts w:ascii="Arial" w:hAnsi="Arial" w:cs="Arial"/>
              </w:rPr>
            </w:pPr>
            <w:r w:rsidRPr="00032248">
              <w:rPr>
                <w:rFonts w:ascii="Arial" w:hAnsi="Arial" w:cs="Arial"/>
                <w:color w:val="000000"/>
              </w:rPr>
              <w:t>BD</w:t>
            </w:r>
          </w:p>
        </w:tc>
        <w:tc>
          <w:tcPr>
            <w:tcW w:w="1851" w:type="dxa"/>
            <w:vAlign w:val="bottom"/>
          </w:tcPr>
          <w:p w14:paraId="540BBB13" w14:textId="77777777" w:rsidR="00967A45" w:rsidRPr="00032248" w:rsidRDefault="00967A45" w:rsidP="00AE50F8">
            <w:pPr>
              <w:pStyle w:val="TableParagraph"/>
              <w:ind w:right="175"/>
              <w:rPr>
                <w:rFonts w:ascii="Arial" w:hAnsi="Arial" w:cs="Arial"/>
              </w:rPr>
            </w:pPr>
            <w:r w:rsidRPr="00032248">
              <w:rPr>
                <w:rFonts w:ascii="Arial" w:hAnsi="Arial" w:cs="Arial"/>
                <w:color w:val="000000"/>
              </w:rPr>
              <w:t>23.847033</w:t>
            </w:r>
          </w:p>
        </w:tc>
        <w:tc>
          <w:tcPr>
            <w:tcW w:w="1466" w:type="dxa"/>
            <w:vAlign w:val="bottom"/>
          </w:tcPr>
          <w:p w14:paraId="611499A6" w14:textId="77777777" w:rsidR="00967A45" w:rsidRPr="00032248" w:rsidRDefault="00967A45" w:rsidP="00EE132F">
            <w:pPr>
              <w:pStyle w:val="TableParagraph"/>
              <w:ind w:left="119" w:right="151"/>
              <w:rPr>
                <w:rFonts w:ascii="Arial" w:hAnsi="Arial" w:cs="Arial"/>
              </w:rPr>
            </w:pPr>
            <w:r w:rsidRPr="00032248">
              <w:rPr>
                <w:rFonts w:ascii="Arial" w:hAnsi="Arial" w:cs="Arial"/>
                <w:color w:val="000000"/>
              </w:rPr>
              <w:t>10.658160</w:t>
            </w:r>
          </w:p>
        </w:tc>
        <w:tc>
          <w:tcPr>
            <w:tcW w:w="1479" w:type="dxa"/>
            <w:vAlign w:val="bottom"/>
          </w:tcPr>
          <w:p w14:paraId="6E5755A9" w14:textId="77777777" w:rsidR="00967A45" w:rsidRPr="00032248" w:rsidRDefault="00967A45" w:rsidP="00EE132F">
            <w:pPr>
              <w:pStyle w:val="TableParagraph"/>
              <w:ind w:left="76" w:right="43"/>
              <w:rPr>
                <w:rFonts w:ascii="Arial" w:hAnsi="Arial" w:cs="Arial"/>
              </w:rPr>
            </w:pPr>
            <w:r w:rsidRPr="00032248">
              <w:rPr>
                <w:rFonts w:ascii="Arial" w:hAnsi="Arial" w:cs="Arial"/>
                <w:color w:val="000000"/>
              </w:rPr>
              <w:t>2.237444</w:t>
            </w:r>
          </w:p>
        </w:tc>
        <w:tc>
          <w:tcPr>
            <w:tcW w:w="966" w:type="dxa"/>
            <w:vAlign w:val="bottom"/>
          </w:tcPr>
          <w:p w14:paraId="277E24DD" w14:textId="77777777" w:rsidR="00967A45" w:rsidRPr="00032248" w:rsidRDefault="00967A45" w:rsidP="0077036A">
            <w:pPr>
              <w:pStyle w:val="TableParagraph"/>
              <w:ind w:left="236"/>
              <w:rPr>
                <w:rFonts w:ascii="Arial" w:hAnsi="Arial" w:cs="Arial"/>
              </w:rPr>
            </w:pPr>
            <w:r w:rsidRPr="00032248">
              <w:rPr>
                <w:rFonts w:ascii="Arial" w:hAnsi="Arial" w:cs="Arial"/>
                <w:color w:val="000000"/>
              </w:rPr>
              <w:t>0.0469</w:t>
            </w:r>
          </w:p>
        </w:tc>
      </w:tr>
      <w:tr w:rsidR="00967A45" w:rsidRPr="00032248" w14:paraId="1BCE4EEA" w14:textId="77777777" w:rsidTr="00AE50F8">
        <w:trPr>
          <w:trHeight w:val="272"/>
        </w:trPr>
        <w:tc>
          <w:tcPr>
            <w:tcW w:w="1701" w:type="dxa"/>
            <w:vAlign w:val="bottom"/>
          </w:tcPr>
          <w:p w14:paraId="4A27D0D5" w14:textId="77777777" w:rsidR="00967A45" w:rsidRPr="00032248" w:rsidRDefault="00967A45" w:rsidP="00AE50F8">
            <w:pPr>
              <w:pStyle w:val="TableParagraph"/>
              <w:ind w:left="1" w:right="132"/>
              <w:rPr>
                <w:rFonts w:ascii="Arial" w:hAnsi="Arial" w:cs="Arial"/>
              </w:rPr>
            </w:pPr>
            <w:r w:rsidRPr="00032248">
              <w:rPr>
                <w:rFonts w:ascii="Arial" w:hAnsi="Arial" w:cs="Arial"/>
                <w:color w:val="000000"/>
              </w:rPr>
              <w:t>TR</w:t>
            </w:r>
          </w:p>
        </w:tc>
        <w:tc>
          <w:tcPr>
            <w:tcW w:w="1851" w:type="dxa"/>
            <w:vAlign w:val="bottom"/>
          </w:tcPr>
          <w:p w14:paraId="748369E5" w14:textId="77777777" w:rsidR="00967A45" w:rsidRPr="00032248" w:rsidRDefault="00EE132F" w:rsidP="00AE50F8">
            <w:pPr>
              <w:pStyle w:val="TableParagraph"/>
              <w:ind w:right="175"/>
              <w:rPr>
                <w:rFonts w:ascii="Arial" w:hAnsi="Arial" w:cs="Arial"/>
              </w:rPr>
            </w:pPr>
            <w:r w:rsidRPr="00032248">
              <w:rPr>
                <w:rFonts w:ascii="Arial" w:hAnsi="Arial" w:cs="Arial"/>
                <w:color w:val="000000"/>
              </w:rPr>
              <w:t xml:space="preserve"> </w:t>
            </w:r>
            <w:r w:rsidR="00967A45" w:rsidRPr="00032248">
              <w:rPr>
                <w:rFonts w:ascii="Arial" w:hAnsi="Arial" w:cs="Arial"/>
                <w:color w:val="000000"/>
              </w:rPr>
              <w:t>7.354629</w:t>
            </w:r>
          </w:p>
        </w:tc>
        <w:tc>
          <w:tcPr>
            <w:tcW w:w="1466" w:type="dxa"/>
            <w:vAlign w:val="bottom"/>
          </w:tcPr>
          <w:p w14:paraId="70827352" w14:textId="77777777" w:rsidR="00967A45" w:rsidRPr="00032248" w:rsidRDefault="00967A45" w:rsidP="00EE132F">
            <w:pPr>
              <w:pStyle w:val="TableParagraph"/>
              <w:ind w:left="126" w:right="32"/>
              <w:rPr>
                <w:rFonts w:ascii="Arial" w:hAnsi="Arial" w:cs="Arial"/>
              </w:rPr>
            </w:pPr>
            <w:r w:rsidRPr="00032248">
              <w:rPr>
                <w:rFonts w:ascii="Arial" w:hAnsi="Arial" w:cs="Arial"/>
                <w:color w:val="000000"/>
              </w:rPr>
              <w:t>1.050583</w:t>
            </w:r>
          </w:p>
        </w:tc>
        <w:tc>
          <w:tcPr>
            <w:tcW w:w="1479" w:type="dxa"/>
            <w:vAlign w:val="bottom"/>
          </w:tcPr>
          <w:p w14:paraId="578EF7D0" w14:textId="77777777" w:rsidR="00967A45" w:rsidRPr="00032248" w:rsidRDefault="00967A45" w:rsidP="00EE132F">
            <w:pPr>
              <w:pStyle w:val="TableParagraph"/>
              <w:ind w:left="76" w:right="42"/>
              <w:rPr>
                <w:rFonts w:ascii="Arial" w:hAnsi="Arial" w:cs="Arial"/>
              </w:rPr>
            </w:pPr>
            <w:r w:rsidRPr="00032248">
              <w:rPr>
                <w:rFonts w:ascii="Arial" w:hAnsi="Arial" w:cs="Arial"/>
                <w:color w:val="000000"/>
              </w:rPr>
              <w:t>7.000524</w:t>
            </w:r>
          </w:p>
        </w:tc>
        <w:tc>
          <w:tcPr>
            <w:tcW w:w="966" w:type="dxa"/>
            <w:vAlign w:val="bottom"/>
          </w:tcPr>
          <w:p w14:paraId="22C5DD7A" w14:textId="77777777" w:rsidR="00967A45" w:rsidRPr="00032248" w:rsidRDefault="00967A45" w:rsidP="0077036A">
            <w:pPr>
              <w:pStyle w:val="TableParagraph"/>
              <w:ind w:left="237"/>
              <w:rPr>
                <w:rFonts w:ascii="Arial" w:hAnsi="Arial" w:cs="Arial"/>
              </w:rPr>
            </w:pPr>
            <w:r w:rsidRPr="00032248">
              <w:rPr>
                <w:rFonts w:ascii="Arial" w:hAnsi="Arial" w:cs="Arial"/>
                <w:color w:val="000000"/>
              </w:rPr>
              <w:t>0.0000</w:t>
            </w:r>
          </w:p>
        </w:tc>
      </w:tr>
      <w:tr w:rsidR="00967A45" w:rsidRPr="00032248" w14:paraId="1F113F10" w14:textId="77777777" w:rsidTr="00AE50F8">
        <w:trPr>
          <w:trHeight w:val="272"/>
        </w:trPr>
        <w:tc>
          <w:tcPr>
            <w:tcW w:w="1701" w:type="dxa"/>
            <w:vAlign w:val="bottom"/>
          </w:tcPr>
          <w:p w14:paraId="54B62652" w14:textId="77777777" w:rsidR="00967A45" w:rsidRPr="00032248" w:rsidRDefault="00967A45" w:rsidP="00AE50F8">
            <w:pPr>
              <w:pStyle w:val="TableParagraph"/>
              <w:ind w:left="1"/>
              <w:rPr>
                <w:rFonts w:ascii="Arial" w:hAnsi="Arial" w:cs="Arial"/>
              </w:rPr>
            </w:pPr>
            <w:r w:rsidRPr="00032248">
              <w:rPr>
                <w:rFonts w:ascii="Arial" w:hAnsi="Arial" w:cs="Arial"/>
                <w:color w:val="000000"/>
              </w:rPr>
              <w:t>INF</w:t>
            </w:r>
          </w:p>
        </w:tc>
        <w:tc>
          <w:tcPr>
            <w:tcW w:w="1851" w:type="dxa"/>
            <w:vAlign w:val="bottom"/>
          </w:tcPr>
          <w:p w14:paraId="6AE90448" w14:textId="77777777" w:rsidR="00967A45" w:rsidRPr="00032248" w:rsidRDefault="00EE132F" w:rsidP="00AE50F8">
            <w:pPr>
              <w:pStyle w:val="TableParagraph"/>
              <w:ind w:right="174"/>
              <w:rPr>
                <w:rFonts w:ascii="Arial" w:hAnsi="Arial" w:cs="Arial"/>
              </w:rPr>
            </w:pPr>
            <w:r w:rsidRPr="00032248">
              <w:rPr>
                <w:rFonts w:ascii="Arial" w:hAnsi="Arial" w:cs="Arial"/>
                <w:color w:val="000000"/>
              </w:rPr>
              <w:t xml:space="preserve"> </w:t>
            </w:r>
            <w:r w:rsidR="00967A45" w:rsidRPr="00032248">
              <w:rPr>
                <w:rFonts w:ascii="Arial" w:hAnsi="Arial" w:cs="Arial"/>
                <w:color w:val="000000"/>
              </w:rPr>
              <w:t>0.043793</w:t>
            </w:r>
          </w:p>
        </w:tc>
        <w:tc>
          <w:tcPr>
            <w:tcW w:w="1466" w:type="dxa"/>
            <w:vAlign w:val="bottom"/>
          </w:tcPr>
          <w:p w14:paraId="08563EF6" w14:textId="77777777" w:rsidR="00967A45" w:rsidRPr="00032248" w:rsidRDefault="00967A45" w:rsidP="00EE132F">
            <w:pPr>
              <w:pStyle w:val="TableParagraph"/>
              <w:ind w:left="126" w:right="32"/>
              <w:rPr>
                <w:rFonts w:ascii="Arial" w:hAnsi="Arial" w:cs="Arial"/>
              </w:rPr>
            </w:pPr>
            <w:r w:rsidRPr="00032248">
              <w:rPr>
                <w:rFonts w:ascii="Arial" w:hAnsi="Arial" w:cs="Arial"/>
                <w:color w:val="000000"/>
              </w:rPr>
              <w:t>0.009207</w:t>
            </w:r>
          </w:p>
        </w:tc>
        <w:tc>
          <w:tcPr>
            <w:tcW w:w="1479" w:type="dxa"/>
            <w:vAlign w:val="bottom"/>
          </w:tcPr>
          <w:p w14:paraId="6FBA2022" w14:textId="77777777" w:rsidR="00967A45" w:rsidRPr="00032248" w:rsidRDefault="00967A45" w:rsidP="00EE132F">
            <w:pPr>
              <w:pStyle w:val="TableParagraph"/>
              <w:ind w:left="76" w:right="113"/>
              <w:rPr>
                <w:rFonts w:ascii="Arial" w:hAnsi="Arial" w:cs="Arial"/>
              </w:rPr>
            </w:pPr>
            <w:r w:rsidRPr="00032248">
              <w:rPr>
                <w:rFonts w:ascii="Arial" w:hAnsi="Arial" w:cs="Arial"/>
                <w:color w:val="000000"/>
              </w:rPr>
              <w:t>4.756523</w:t>
            </w:r>
          </w:p>
        </w:tc>
        <w:tc>
          <w:tcPr>
            <w:tcW w:w="966" w:type="dxa"/>
            <w:vAlign w:val="bottom"/>
          </w:tcPr>
          <w:p w14:paraId="526F9E1A" w14:textId="77777777" w:rsidR="00967A45" w:rsidRPr="00032248" w:rsidRDefault="00967A45" w:rsidP="0077036A">
            <w:pPr>
              <w:pStyle w:val="TableParagraph"/>
              <w:ind w:left="237"/>
              <w:rPr>
                <w:rFonts w:ascii="Arial" w:hAnsi="Arial" w:cs="Arial"/>
              </w:rPr>
            </w:pPr>
            <w:r w:rsidRPr="00032248">
              <w:rPr>
                <w:rFonts w:ascii="Arial" w:hAnsi="Arial" w:cs="Arial"/>
                <w:color w:val="000000"/>
              </w:rPr>
              <w:t>0.0006</w:t>
            </w:r>
          </w:p>
        </w:tc>
      </w:tr>
      <w:tr w:rsidR="00967A45" w:rsidRPr="00032248" w14:paraId="14E681CA" w14:textId="77777777" w:rsidTr="00AE50F8">
        <w:trPr>
          <w:trHeight w:val="271"/>
        </w:trPr>
        <w:tc>
          <w:tcPr>
            <w:tcW w:w="1701" w:type="dxa"/>
            <w:vAlign w:val="bottom"/>
          </w:tcPr>
          <w:p w14:paraId="73AD06B3" w14:textId="77777777" w:rsidR="00967A45" w:rsidRPr="00032248" w:rsidRDefault="00967A45" w:rsidP="00AE50F8">
            <w:pPr>
              <w:pStyle w:val="TableParagraph"/>
              <w:ind w:left="1"/>
              <w:rPr>
                <w:rFonts w:ascii="Arial" w:hAnsi="Arial" w:cs="Arial"/>
              </w:rPr>
            </w:pPr>
            <w:r w:rsidRPr="00032248">
              <w:rPr>
                <w:rFonts w:ascii="Arial" w:hAnsi="Arial" w:cs="Arial"/>
                <w:color w:val="000000"/>
              </w:rPr>
              <w:t>INTR</w:t>
            </w:r>
          </w:p>
        </w:tc>
        <w:tc>
          <w:tcPr>
            <w:tcW w:w="1851" w:type="dxa"/>
            <w:vAlign w:val="bottom"/>
          </w:tcPr>
          <w:p w14:paraId="4FE70294" w14:textId="77777777" w:rsidR="00967A45" w:rsidRPr="00032248" w:rsidRDefault="00EE132F" w:rsidP="00AE50F8">
            <w:pPr>
              <w:pStyle w:val="TableParagraph"/>
              <w:ind w:right="174"/>
              <w:rPr>
                <w:rFonts w:ascii="Arial" w:hAnsi="Arial" w:cs="Arial"/>
              </w:rPr>
            </w:pPr>
            <w:r w:rsidRPr="00032248">
              <w:rPr>
                <w:rFonts w:ascii="Arial" w:hAnsi="Arial" w:cs="Arial"/>
                <w:color w:val="000000"/>
              </w:rPr>
              <w:t xml:space="preserve"> </w:t>
            </w:r>
            <w:r w:rsidR="00967A45" w:rsidRPr="00032248">
              <w:rPr>
                <w:rFonts w:ascii="Arial" w:hAnsi="Arial" w:cs="Arial"/>
                <w:color w:val="000000"/>
              </w:rPr>
              <w:t>0.008774</w:t>
            </w:r>
          </w:p>
        </w:tc>
        <w:tc>
          <w:tcPr>
            <w:tcW w:w="1466" w:type="dxa"/>
            <w:vAlign w:val="bottom"/>
          </w:tcPr>
          <w:p w14:paraId="6C5AC3DA" w14:textId="77777777" w:rsidR="00967A45" w:rsidRPr="00032248" w:rsidRDefault="00967A45" w:rsidP="00EE132F">
            <w:pPr>
              <w:pStyle w:val="TableParagraph"/>
              <w:ind w:left="126" w:right="32"/>
              <w:rPr>
                <w:rFonts w:ascii="Arial" w:hAnsi="Arial" w:cs="Arial"/>
              </w:rPr>
            </w:pPr>
            <w:r w:rsidRPr="00032248">
              <w:rPr>
                <w:rFonts w:ascii="Arial" w:hAnsi="Arial" w:cs="Arial"/>
                <w:color w:val="000000"/>
              </w:rPr>
              <w:t>0.001866</w:t>
            </w:r>
          </w:p>
        </w:tc>
        <w:tc>
          <w:tcPr>
            <w:tcW w:w="1479" w:type="dxa"/>
            <w:vAlign w:val="bottom"/>
          </w:tcPr>
          <w:p w14:paraId="71186519" w14:textId="77777777" w:rsidR="00967A45" w:rsidRPr="00032248" w:rsidRDefault="00967A45" w:rsidP="00EE132F">
            <w:pPr>
              <w:pStyle w:val="TableParagraph"/>
              <w:ind w:left="76" w:right="42"/>
              <w:rPr>
                <w:rFonts w:ascii="Arial" w:hAnsi="Arial" w:cs="Arial"/>
              </w:rPr>
            </w:pPr>
            <w:r w:rsidRPr="00032248">
              <w:rPr>
                <w:rFonts w:ascii="Arial" w:hAnsi="Arial" w:cs="Arial"/>
                <w:color w:val="000000"/>
              </w:rPr>
              <w:t>4.702289</w:t>
            </w:r>
          </w:p>
        </w:tc>
        <w:tc>
          <w:tcPr>
            <w:tcW w:w="966" w:type="dxa"/>
            <w:vAlign w:val="bottom"/>
          </w:tcPr>
          <w:p w14:paraId="4FEB674B" w14:textId="77777777" w:rsidR="00967A45" w:rsidRPr="00032248" w:rsidRDefault="00967A45" w:rsidP="0077036A">
            <w:pPr>
              <w:pStyle w:val="TableParagraph"/>
              <w:ind w:left="237"/>
              <w:rPr>
                <w:rFonts w:ascii="Arial" w:hAnsi="Arial" w:cs="Arial"/>
              </w:rPr>
            </w:pPr>
            <w:r w:rsidRPr="00032248">
              <w:rPr>
                <w:rFonts w:ascii="Arial" w:hAnsi="Arial" w:cs="Arial"/>
                <w:color w:val="000000"/>
              </w:rPr>
              <w:t>0.0006</w:t>
            </w:r>
          </w:p>
        </w:tc>
      </w:tr>
      <w:tr w:rsidR="00967A45" w:rsidRPr="00032248" w14:paraId="31229BC7" w14:textId="77777777" w:rsidTr="00AE50F8">
        <w:trPr>
          <w:trHeight w:val="272"/>
        </w:trPr>
        <w:tc>
          <w:tcPr>
            <w:tcW w:w="1701" w:type="dxa"/>
            <w:vAlign w:val="bottom"/>
          </w:tcPr>
          <w:p w14:paraId="6A0DD82E" w14:textId="77777777" w:rsidR="00967A45" w:rsidRPr="00032248" w:rsidRDefault="00967A45" w:rsidP="00AE50F8">
            <w:pPr>
              <w:pStyle w:val="TableParagraph"/>
              <w:ind w:left="1" w:right="132"/>
              <w:rPr>
                <w:rFonts w:ascii="Arial" w:hAnsi="Arial"/>
                <w:color w:val="000000"/>
              </w:rPr>
            </w:pPr>
            <w:r w:rsidRPr="00032248">
              <w:rPr>
                <w:rFonts w:ascii="Arial" w:hAnsi="Arial" w:cs="Arial"/>
                <w:color w:val="000000"/>
              </w:rPr>
              <w:t>OPEN</w:t>
            </w:r>
          </w:p>
        </w:tc>
        <w:tc>
          <w:tcPr>
            <w:tcW w:w="1851" w:type="dxa"/>
            <w:vAlign w:val="bottom"/>
          </w:tcPr>
          <w:p w14:paraId="302B4696" w14:textId="77777777" w:rsidR="00967A45" w:rsidRPr="00032248" w:rsidRDefault="00EE132F" w:rsidP="00AE50F8">
            <w:pPr>
              <w:pStyle w:val="TableParagraph"/>
              <w:ind w:right="176"/>
              <w:rPr>
                <w:rFonts w:ascii="Arial" w:hAnsi="Arial" w:cs="Arial"/>
              </w:rPr>
            </w:pPr>
            <w:r w:rsidRPr="00032248">
              <w:rPr>
                <w:rFonts w:ascii="Arial" w:hAnsi="Arial" w:cs="Arial"/>
                <w:color w:val="000000"/>
              </w:rPr>
              <w:t xml:space="preserve"> </w:t>
            </w:r>
            <w:r w:rsidR="00967A45" w:rsidRPr="00032248">
              <w:rPr>
                <w:rFonts w:ascii="Arial" w:hAnsi="Arial" w:cs="Arial"/>
                <w:color w:val="000000"/>
              </w:rPr>
              <w:t>0.172720</w:t>
            </w:r>
          </w:p>
        </w:tc>
        <w:tc>
          <w:tcPr>
            <w:tcW w:w="1466" w:type="dxa"/>
            <w:vAlign w:val="bottom"/>
          </w:tcPr>
          <w:p w14:paraId="073FB539" w14:textId="77777777" w:rsidR="00967A45" w:rsidRPr="00032248" w:rsidRDefault="00967A45" w:rsidP="00EE132F">
            <w:pPr>
              <w:pStyle w:val="TableParagraph"/>
              <w:ind w:left="126" w:right="32"/>
              <w:rPr>
                <w:rFonts w:ascii="Arial" w:hAnsi="Arial" w:cs="Arial"/>
              </w:rPr>
            </w:pPr>
            <w:r w:rsidRPr="00032248">
              <w:rPr>
                <w:rFonts w:ascii="Arial" w:hAnsi="Arial" w:cs="Arial"/>
                <w:color w:val="000000"/>
              </w:rPr>
              <w:t>0.050978</w:t>
            </w:r>
          </w:p>
        </w:tc>
        <w:tc>
          <w:tcPr>
            <w:tcW w:w="1479" w:type="dxa"/>
            <w:vAlign w:val="bottom"/>
          </w:tcPr>
          <w:p w14:paraId="3217FF2F" w14:textId="77777777" w:rsidR="00967A45" w:rsidRPr="00032248" w:rsidRDefault="00967A45" w:rsidP="00EE132F">
            <w:pPr>
              <w:pStyle w:val="TableParagraph"/>
              <w:ind w:left="76" w:right="115"/>
              <w:rPr>
                <w:rFonts w:ascii="Arial" w:hAnsi="Arial" w:cs="Arial"/>
              </w:rPr>
            </w:pPr>
            <w:r w:rsidRPr="00032248">
              <w:rPr>
                <w:rFonts w:ascii="Arial" w:hAnsi="Arial" w:cs="Arial"/>
                <w:color w:val="000000"/>
              </w:rPr>
              <w:t>3.388096</w:t>
            </w:r>
          </w:p>
        </w:tc>
        <w:tc>
          <w:tcPr>
            <w:tcW w:w="966" w:type="dxa"/>
            <w:vAlign w:val="bottom"/>
          </w:tcPr>
          <w:p w14:paraId="5DA57FBF" w14:textId="77777777" w:rsidR="00967A45" w:rsidRPr="00032248" w:rsidRDefault="00967A45" w:rsidP="0077036A">
            <w:pPr>
              <w:pStyle w:val="TableParagraph"/>
              <w:ind w:left="238"/>
              <w:rPr>
                <w:rFonts w:ascii="Arial" w:hAnsi="Arial" w:cs="Arial"/>
              </w:rPr>
            </w:pPr>
            <w:r w:rsidRPr="00032248">
              <w:rPr>
                <w:rFonts w:ascii="Arial" w:hAnsi="Arial" w:cs="Arial"/>
                <w:color w:val="000000"/>
              </w:rPr>
              <w:t>0.0061</w:t>
            </w:r>
          </w:p>
        </w:tc>
      </w:tr>
      <w:tr w:rsidR="00967A45" w:rsidRPr="00032248" w14:paraId="16C8E8FC" w14:textId="77777777" w:rsidTr="00AE50F8">
        <w:trPr>
          <w:trHeight w:val="389"/>
        </w:trPr>
        <w:tc>
          <w:tcPr>
            <w:tcW w:w="1701" w:type="dxa"/>
            <w:vAlign w:val="bottom"/>
          </w:tcPr>
          <w:p w14:paraId="17BEEF85" w14:textId="77777777" w:rsidR="00967A45" w:rsidRPr="00032248" w:rsidRDefault="00967A45" w:rsidP="00AE50F8">
            <w:pPr>
              <w:pStyle w:val="TableParagraph"/>
              <w:ind w:left="1"/>
              <w:rPr>
                <w:rFonts w:ascii="Arial" w:hAnsi="Arial" w:cs="Arial"/>
              </w:rPr>
            </w:pPr>
            <w:r w:rsidRPr="00032248">
              <w:rPr>
                <w:rFonts w:ascii="Arial" w:hAnsi="Arial" w:cs="Arial"/>
                <w:color w:val="000000"/>
              </w:rPr>
              <w:t>C</w:t>
            </w:r>
          </w:p>
        </w:tc>
        <w:tc>
          <w:tcPr>
            <w:tcW w:w="1851" w:type="dxa"/>
            <w:vAlign w:val="bottom"/>
          </w:tcPr>
          <w:p w14:paraId="12F78D12" w14:textId="77777777" w:rsidR="00967A45" w:rsidRPr="00032248" w:rsidRDefault="00967A45" w:rsidP="00AE50F8">
            <w:pPr>
              <w:pStyle w:val="TableParagraph"/>
              <w:ind w:right="176"/>
              <w:rPr>
                <w:rFonts w:ascii="Arial" w:hAnsi="Arial" w:cs="Arial"/>
              </w:rPr>
            </w:pPr>
            <w:r w:rsidRPr="00032248">
              <w:rPr>
                <w:rFonts w:ascii="Arial" w:hAnsi="Arial" w:cs="Arial"/>
                <w:color w:val="000000"/>
              </w:rPr>
              <w:t>-0.508310</w:t>
            </w:r>
          </w:p>
        </w:tc>
        <w:tc>
          <w:tcPr>
            <w:tcW w:w="1466" w:type="dxa"/>
            <w:vAlign w:val="bottom"/>
          </w:tcPr>
          <w:p w14:paraId="3DEBB784" w14:textId="77777777" w:rsidR="00967A45" w:rsidRPr="00032248" w:rsidRDefault="00967A45" w:rsidP="00EE132F">
            <w:pPr>
              <w:pStyle w:val="TableParagraph"/>
              <w:ind w:left="126" w:right="32"/>
              <w:rPr>
                <w:rFonts w:ascii="Arial" w:hAnsi="Arial" w:cs="Arial"/>
              </w:rPr>
            </w:pPr>
            <w:r w:rsidRPr="00032248">
              <w:rPr>
                <w:rFonts w:ascii="Arial" w:hAnsi="Arial" w:cs="Arial"/>
                <w:color w:val="000000"/>
              </w:rPr>
              <w:t>5.660914</w:t>
            </w:r>
          </w:p>
        </w:tc>
        <w:tc>
          <w:tcPr>
            <w:tcW w:w="1479" w:type="dxa"/>
            <w:vAlign w:val="bottom"/>
          </w:tcPr>
          <w:p w14:paraId="16EC23D7" w14:textId="77777777" w:rsidR="00967A45" w:rsidRPr="00032248" w:rsidRDefault="00967A45" w:rsidP="00EE132F">
            <w:pPr>
              <w:pStyle w:val="TableParagraph"/>
              <w:ind w:left="76" w:right="115"/>
              <w:rPr>
                <w:rFonts w:ascii="Arial" w:hAnsi="Arial" w:cs="Arial"/>
              </w:rPr>
            </w:pPr>
            <w:r w:rsidRPr="00032248">
              <w:rPr>
                <w:rFonts w:ascii="Arial" w:hAnsi="Arial" w:cs="Arial"/>
                <w:color w:val="000000"/>
              </w:rPr>
              <w:t>-0.089793</w:t>
            </w:r>
          </w:p>
        </w:tc>
        <w:tc>
          <w:tcPr>
            <w:tcW w:w="966" w:type="dxa"/>
            <w:vAlign w:val="bottom"/>
          </w:tcPr>
          <w:p w14:paraId="7C279D42" w14:textId="77777777" w:rsidR="00967A45" w:rsidRPr="00032248" w:rsidRDefault="00967A45" w:rsidP="0077036A">
            <w:pPr>
              <w:pStyle w:val="TableParagraph"/>
              <w:ind w:left="238"/>
              <w:rPr>
                <w:rFonts w:ascii="Arial" w:hAnsi="Arial" w:cs="Arial"/>
              </w:rPr>
            </w:pPr>
            <w:r w:rsidRPr="00032248">
              <w:rPr>
                <w:rFonts w:ascii="Arial" w:hAnsi="Arial" w:cs="Arial"/>
                <w:color w:val="000000"/>
              </w:rPr>
              <w:t>0.9301</w:t>
            </w:r>
          </w:p>
        </w:tc>
      </w:tr>
    </w:tbl>
    <w:p w14:paraId="349ED6B3" w14:textId="77777777" w:rsidR="00967A45" w:rsidRPr="00032248" w:rsidRDefault="00967A45" w:rsidP="00967A45">
      <w:pPr>
        <w:spacing w:after="120" w:line="360" w:lineRule="auto"/>
        <w:rPr>
          <w:rFonts w:ascii="Arial" w:hAnsi="Arial" w:cs="Arial"/>
          <w:b/>
          <w:spacing w:val="-5"/>
        </w:rPr>
      </w:pPr>
      <w:r w:rsidRPr="00032248">
        <w:rPr>
          <w:rFonts w:ascii="Arial" w:hAnsi="Arial" w:cs="Arial"/>
          <w:b/>
        </w:rPr>
        <w:t>Source:</w:t>
      </w:r>
      <w:r w:rsidRPr="00032248">
        <w:rPr>
          <w:rFonts w:ascii="Arial" w:hAnsi="Arial" w:cs="Arial"/>
          <w:b/>
          <w:spacing w:val="16"/>
        </w:rPr>
        <w:t xml:space="preserve"> </w:t>
      </w:r>
      <w:r w:rsidRPr="00032248">
        <w:rPr>
          <w:rFonts w:ascii="Arial" w:hAnsi="Arial" w:cs="Arial"/>
          <w:b/>
        </w:rPr>
        <w:t>Researcher’s</w:t>
      </w:r>
      <w:r w:rsidRPr="00032248">
        <w:rPr>
          <w:rFonts w:ascii="Arial" w:hAnsi="Arial" w:cs="Arial"/>
          <w:b/>
          <w:spacing w:val="14"/>
        </w:rPr>
        <w:t xml:space="preserve"> </w:t>
      </w:r>
      <w:r w:rsidRPr="00032248">
        <w:rPr>
          <w:rFonts w:ascii="Arial" w:hAnsi="Arial" w:cs="Arial"/>
          <w:b/>
        </w:rPr>
        <w:t>computation</w:t>
      </w:r>
      <w:r w:rsidRPr="00032248">
        <w:rPr>
          <w:rFonts w:ascii="Arial" w:hAnsi="Arial" w:cs="Arial"/>
          <w:b/>
          <w:spacing w:val="17"/>
        </w:rPr>
        <w:t xml:space="preserve"> </w:t>
      </w:r>
      <w:r w:rsidRPr="00032248">
        <w:rPr>
          <w:rFonts w:ascii="Arial" w:hAnsi="Arial" w:cs="Arial"/>
          <w:b/>
        </w:rPr>
        <w:t>(2025),</w:t>
      </w:r>
      <w:r w:rsidRPr="00032248">
        <w:rPr>
          <w:rFonts w:ascii="Arial" w:hAnsi="Arial" w:cs="Arial"/>
          <w:b/>
          <w:spacing w:val="17"/>
        </w:rPr>
        <w:t xml:space="preserve"> </w:t>
      </w:r>
      <w:r w:rsidRPr="00032248">
        <w:rPr>
          <w:rFonts w:ascii="Arial" w:hAnsi="Arial" w:cs="Arial"/>
          <w:b/>
        </w:rPr>
        <w:t>using</w:t>
      </w:r>
      <w:r w:rsidRPr="00032248">
        <w:rPr>
          <w:rFonts w:ascii="Arial" w:hAnsi="Arial" w:cs="Arial"/>
          <w:b/>
          <w:spacing w:val="17"/>
        </w:rPr>
        <w:t xml:space="preserve"> </w:t>
      </w:r>
      <w:r w:rsidRPr="00032248">
        <w:rPr>
          <w:rFonts w:ascii="Arial" w:hAnsi="Arial" w:cs="Arial"/>
          <w:b/>
        </w:rPr>
        <w:t>E-Views</w:t>
      </w:r>
      <w:r w:rsidRPr="00032248">
        <w:rPr>
          <w:rFonts w:ascii="Arial" w:hAnsi="Arial" w:cs="Arial"/>
          <w:b/>
          <w:spacing w:val="17"/>
        </w:rPr>
        <w:t xml:space="preserve"> </w:t>
      </w:r>
      <w:r w:rsidRPr="00032248">
        <w:rPr>
          <w:rFonts w:ascii="Arial" w:hAnsi="Arial" w:cs="Arial"/>
          <w:b/>
          <w:spacing w:val="-5"/>
        </w:rPr>
        <w:t>9</w:t>
      </w:r>
    </w:p>
    <w:p w14:paraId="4C9F71FC" w14:textId="77777777" w:rsidR="00B32196" w:rsidRPr="00032248" w:rsidRDefault="00B32196" w:rsidP="003C78BA">
      <w:pPr>
        <w:spacing w:line="360" w:lineRule="auto"/>
        <w:jc w:val="both"/>
        <w:rPr>
          <w:rFonts w:ascii="Arial" w:hAnsi="Arial" w:cs="Arial"/>
        </w:rPr>
      </w:pPr>
      <w:r w:rsidRPr="00032248">
        <w:t xml:space="preserve">The budget deficit exhibits a positive and statistically significant relationship with real GDP growth in the long run. The magnitude of the coefficient suggests that increases in fiscal deficits are associated with higher economic growth over time. This finding is consistent with Keynesian fiscal theory, which posits that expansionary fiscal policy can stimulate aggregate demand and promote economic activity, </w:t>
      </w:r>
      <w:r w:rsidRPr="00032248">
        <w:lastRenderedPageBreak/>
        <w:t>particularly in developing economies where public expenditure plays a critical role in infrastructure development and employment generation.</w:t>
      </w:r>
    </w:p>
    <w:p w14:paraId="1BE4AC09" w14:textId="77777777" w:rsidR="00B32196" w:rsidRPr="00032248" w:rsidRDefault="00B32196" w:rsidP="003C78BA">
      <w:pPr>
        <w:spacing w:line="360" w:lineRule="auto"/>
        <w:jc w:val="both"/>
        <w:rPr>
          <w:rFonts w:ascii="Arial" w:hAnsi="Arial" w:cs="Arial"/>
        </w:rPr>
      </w:pPr>
      <w:r w:rsidRPr="00032248">
        <w:rPr>
          <w:rFonts w:ascii="Arial" w:hAnsi="Arial" w:cs="Arial"/>
        </w:rPr>
        <w:t>Tax reforms also display a positive and highly significant long-run effect on economic growth. The magnitude of the estimated coefficient indicates that improvements in the tax system are associated with substantial increases in real GDP. This result suggests that reforms aimed at broadening the tax base, improving revenue administration and enhancing fiscal transparency can contribute positively to economic performance by strengthening government revenue capacity and enabling greater investment in productive sectors.</w:t>
      </w:r>
    </w:p>
    <w:p w14:paraId="2EA8A6CB" w14:textId="77777777" w:rsidR="00B32196" w:rsidRPr="00032248" w:rsidRDefault="00B32196" w:rsidP="003C78BA">
      <w:pPr>
        <w:spacing w:line="360" w:lineRule="auto"/>
        <w:jc w:val="both"/>
        <w:rPr>
          <w:rFonts w:ascii="Arial" w:hAnsi="Arial" w:cs="Arial"/>
        </w:rPr>
      </w:pPr>
      <w:r w:rsidRPr="00032248">
        <w:rPr>
          <w:rFonts w:ascii="Arial" w:hAnsi="Arial" w:cs="Arial"/>
        </w:rPr>
        <w:t>Inflation demonstrates a positive and statistically significant relationship with economic growth in the long run, although the magnitude of the coefficient is relatively small. This result may reflect the presence of moderate inflation accompanying periods of economic expansion, where increased demand leads to gradual price increases without necessarily undermining growth.</w:t>
      </w:r>
    </w:p>
    <w:p w14:paraId="17138534" w14:textId="77777777" w:rsidR="00B32196" w:rsidRPr="00032248" w:rsidRDefault="00B32196" w:rsidP="003C78BA">
      <w:pPr>
        <w:spacing w:line="360" w:lineRule="auto"/>
        <w:jc w:val="both"/>
        <w:rPr>
          <w:rFonts w:ascii="Arial" w:hAnsi="Arial" w:cs="Arial"/>
        </w:rPr>
      </w:pPr>
      <w:r w:rsidRPr="00032248">
        <w:t>The interest rate also exhibits a positive and statistically significant relationship with real GDP in the long run, which aligns with the empirical findings of Effiong (2020). This outcome suggests that periods of higher interest rates may coincide with stronger economic activity, possibly reflecting increased financial-sector development and investment opportunities. In the Nigerian context, interest-rate movements often mirror broader macroeconomic conditions and policy adjustments aimed at stabilising the economy.</w:t>
      </w:r>
    </w:p>
    <w:p w14:paraId="62E9CBFE" w14:textId="77777777" w:rsidR="00B32196" w:rsidRPr="00032248" w:rsidRDefault="00B32196" w:rsidP="003C78BA">
      <w:pPr>
        <w:spacing w:line="360" w:lineRule="auto"/>
        <w:jc w:val="both"/>
        <w:rPr>
          <w:rFonts w:ascii="Arial" w:hAnsi="Arial" w:cs="Arial"/>
        </w:rPr>
      </w:pPr>
      <w:r w:rsidRPr="00032248">
        <w:rPr>
          <w:rFonts w:ascii="Arial" w:hAnsi="Arial" w:cs="Arial"/>
        </w:rPr>
        <w:t>Trade openness similarly shows a positive and significant long-run relationship with economic growth. This indicates that greater integration with international markets may support economic expansion through increased export opportunities, access to foreign investment and technology transfer.</w:t>
      </w:r>
    </w:p>
    <w:p w14:paraId="3E43C0A4" w14:textId="77777777" w:rsidR="00B32196" w:rsidRPr="00032248" w:rsidRDefault="00B32196" w:rsidP="003C78BA">
      <w:pPr>
        <w:spacing w:line="360" w:lineRule="auto"/>
        <w:jc w:val="both"/>
        <w:rPr>
          <w:rFonts w:ascii="Arial" w:hAnsi="Arial" w:cs="Arial"/>
        </w:rPr>
      </w:pPr>
      <w:r w:rsidRPr="00032248">
        <w:rPr>
          <w:rFonts w:ascii="Arial" w:hAnsi="Arial" w:cs="Arial"/>
        </w:rPr>
        <w:t>Overall, the long-run results suggest that fiscal policy instruments, macroeconomic stability indicators and external sector integration collectively play an important role in shaping Nigeria’s economic performance over time.</w:t>
      </w:r>
    </w:p>
    <w:p w14:paraId="48422699" w14:textId="77777777" w:rsidR="00B32196" w:rsidRPr="00032248" w:rsidRDefault="00B32196" w:rsidP="003C78BA">
      <w:pPr>
        <w:spacing w:line="360" w:lineRule="auto"/>
        <w:jc w:val="both"/>
        <w:rPr>
          <w:rFonts w:ascii="Arial" w:hAnsi="Arial" w:cs="Arial"/>
          <w:b/>
          <w:bCs/>
        </w:rPr>
      </w:pPr>
      <w:r w:rsidRPr="00032248">
        <w:rPr>
          <w:rFonts w:ascii="Arial" w:hAnsi="Arial" w:cs="Arial"/>
          <w:b/>
          <w:bCs/>
        </w:rPr>
        <w:t>4.3.2 Short-Run Dynamics and Error Correction Results</w:t>
      </w:r>
    </w:p>
    <w:p w14:paraId="2CCF9F50" w14:textId="77777777" w:rsidR="00B32196" w:rsidRPr="00032248" w:rsidRDefault="00B32196" w:rsidP="003C78BA">
      <w:pPr>
        <w:spacing w:line="360" w:lineRule="auto"/>
        <w:jc w:val="both"/>
        <w:rPr>
          <w:rFonts w:ascii="Arial" w:hAnsi="Arial" w:cs="Arial"/>
        </w:rPr>
      </w:pPr>
      <w:r w:rsidRPr="00032248">
        <w:rPr>
          <w:rFonts w:ascii="Arial" w:hAnsi="Arial" w:cs="Arial"/>
        </w:rPr>
        <w:t>The short-run dynamics of the ARDL model provide insights into the immediate responses of economic growth to changes in fiscal and macroeconomic variables.</w:t>
      </w:r>
    </w:p>
    <w:p w14:paraId="341F90D6" w14:textId="77777777" w:rsidR="00967A45" w:rsidRPr="00032248" w:rsidRDefault="00967A45" w:rsidP="00967A45">
      <w:pPr>
        <w:spacing w:line="360" w:lineRule="auto"/>
        <w:jc w:val="both"/>
        <w:rPr>
          <w:rFonts w:ascii="Arial" w:hAnsi="Arial" w:cs="Arial"/>
        </w:rPr>
      </w:pPr>
      <w:r w:rsidRPr="00032248">
        <w:rPr>
          <w:rFonts w:ascii="Arial" w:hAnsi="Arial" w:cs="Arial"/>
          <w:b/>
          <w:color w:val="0C0C0C"/>
        </w:rPr>
        <w:t>TABLE</w:t>
      </w:r>
      <w:r w:rsidRPr="00032248">
        <w:rPr>
          <w:rFonts w:ascii="Arial" w:hAnsi="Arial" w:cs="Arial"/>
          <w:b/>
          <w:color w:val="0C0C0C"/>
          <w:spacing w:val="17"/>
        </w:rPr>
        <w:t xml:space="preserve"> </w:t>
      </w:r>
      <w:r w:rsidRPr="00032248">
        <w:rPr>
          <w:rFonts w:ascii="Arial" w:hAnsi="Arial" w:cs="Arial"/>
          <w:b/>
          <w:color w:val="0C0C0C"/>
          <w:spacing w:val="-4"/>
        </w:rPr>
        <w:t xml:space="preserve">4b: </w:t>
      </w:r>
      <w:r w:rsidRPr="00032248">
        <w:rPr>
          <w:rFonts w:ascii="Arial" w:hAnsi="Arial" w:cs="Arial"/>
          <w:b/>
          <w:color w:val="0C0C0C"/>
        </w:rPr>
        <w:t>Short run coefficients of the equation</w:t>
      </w:r>
    </w:p>
    <w:p w14:paraId="3A04343D" w14:textId="77777777" w:rsidR="00967A45" w:rsidRPr="00032248" w:rsidRDefault="00967A45" w:rsidP="00967A45">
      <w:pPr>
        <w:spacing w:after="120" w:line="360" w:lineRule="auto"/>
        <w:ind w:right="1032"/>
        <w:jc w:val="both"/>
        <w:rPr>
          <w:rFonts w:ascii="Arial" w:hAnsi="Arial" w:cs="Arial"/>
          <w:b/>
          <w:color w:val="0C0C0C"/>
        </w:rPr>
      </w:pPr>
      <w:r w:rsidRPr="00032248">
        <w:rPr>
          <w:rFonts w:ascii="Arial" w:hAnsi="Arial" w:cs="Arial"/>
          <w:b/>
          <w:color w:val="0C0C0C"/>
        </w:rPr>
        <w:t>Dependent variable: D(RGDP)</w:t>
      </w:r>
    </w:p>
    <w:tbl>
      <w:tblPr>
        <w:tblW w:w="834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7"/>
        <w:gridCol w:w="29"/>
        <w:gridCol w:w="1370"/>
        <w:gridCol w:w="1484"/>
        <w:gridCol w:w="14"/>
        <w:gridCol w:w="1510"/>
        <w:gridCol w:w="1238"/>
      </w:tblGrid>
      <w:tr w:rsidR="00967A45" w:rsidRPr="00032248" w14:paraId="591D5AA9" w14:textId="77777777" w:rsidTr="00A5548C">
        <w:trPr>
          <w:trHeight w:val="222"/>
        </w:trPr>
        <w:tc>
          <w:tcPr>
            <w:tcW w:w="2726" w:type="dxa"/>
            <w:gridSpan w:val="2"/>
            <w:vAlign w:val="bottom"/>
          </w:tcPr>
          <w:p w14:paraId="4E54E179" w14:textId="77777777" w:rsidR="00967A45" w:rsidRPr="00032248" w:rsidRDefault="00967A45" w:rsidP="00AE50F8">
            <w:pPr>
              <w:adjustRightInd w:val="0"/>
              <w:spacing w:after="120" w:line="276" w:lineRule="auto"/>
              <w:jc w:val="center"/>
              <w:rPr>
                <w:rFonts w:ascii="Arial" w:hAnsi="Arial" w:cs="Arial"/>
                <w:b/>
                <w:bCs/>
                <w:color w:val="000000"/>
              </w:rPr>
            </w:pPr>
            <w:r w:rsidRPr="00032248">
              <w:rPr>
                <w:rFonts w:ascii="Arial" w:hAnsi="Arial" w:cs="Arial"/>
                <w:b/>
                <w:bCs/>
                <w:color w:val="000000"/>
              </w:rPr>
              <w:t>Variables</w:t>
            </w:r>
          </w:p>
        </w:tc>
        <w:tc>
          <w:tcPr>
            <w:tcW w:w="1370" w:type="dxa"/>
            <w:vAlign w:val="bottom"/>
          </w:tcPr>
          <w:p w14:paraId="295ACC94" w14:textId="77777777" w:rsidR="00967A45" w:rsidRPr="00032248" w:rsidRDefault="00967A45" w:rsidP="00AE50F8">
            <w:pPr>
              <w:adjustRightInd w:val="0"/>
              <w:spacing w:after="120" w:line="276" w:lineRule="auto"/>
              <w:ind w:right="10"/>
              <w:jc w:val="center"/>
              <w:rPr>
                <w:rFonts w:ascii="Arial" w:hAnsi="Arial" w:cs="Arial"/>
                <w:b/>
                <w:bCs/>
                <w:color w:val="000000"/>
              </w:rPr>
            </w:pPr>
            <w:r w:rsidRPr="00032248">
              <w:rPr>
                <w:rFonts w:ascii="Arial" w:hAnsi="Arial" w:cs="Arial"/>
                <w:b/>
                <w:bCs/>
                <w:color w:val="000000"/>
              </w:rPr>
              <w:t>Coefficients</w:t>
            </w:r>
          </w:p>
        </w:tc>
        <w:tc>
          <w:tcPr>
            <w:tcW w:w="1498" w:type="dxa"/>
            <w:gridSpan w:val="2"/>
            <w:vAlign w:val="bottom"/>
          </w:tcPr>
          <w:p w14:paraId="1B6719A4" w14:textId="77777777" w:rsidR="00967A45" w:rsidRPr="00032248" w:rsidRDefault="00967A45" w:rsidP="00AE50F8">
            <w:pPr>
              <w:adjustRightInd w:val="0"/>
              <w:spacing w:after="120" w:line="276" w:lineRule="auto"/>
              <w:ind w:right="10"/>
              <w:jc w:val="center"/>
              <w:rPr>
                <w:rFonts w:ascii="Arial" w:hAnsi="Arial" w:cs="Arial"/>
                <w:b/>
                <w:bCs/>
                <w:color w:val="000000"/>
              </w:rPr>
            </w:pPr>
            <w:r w:rsidRPr="00032248">
              <w:rPr>
                <w:rFonts w:ascii="Arial" w:hAnsi="Arial" w:cs="Arial"/>
                <w:b/>
                <w:bCs/>
                <w:color w:val="000000"/>
              </w:rPr>
              <w:t>Std Error</w:t>
            </w:r>
          </w:p>
        </w:tc>
        <w:tc>
          <w:tcPr>
            <w:tcW w:w="1510" w:type="dxa"/>
            <w:vAlign w:val="bottom"/>
          </w:tcPr>
          <w:p w14:paraId="5D4F742E" w14:textId="77777777" w:rsidR="00967A45" w:rsidRPr="00032248" w:rsidRDefault="00967A45" w:rsidP="00AE50F8">
            <w:pPr>
              <w:adjustRightInd w:val="0"/>
              <w:spacing w:after="120" w:line="276" w:lineRule="auto"/>
              <w:ind w:right="10"/>
              <w:jc w:val="center"/>
              <w:rPr>
                <w:rFonts w:ascii="Arial" w:hAnsi="Arial" w:cs="Arial"/>
                <w:b/>
                <w:bCs/>
                <w:color w:val="000000"/>
              </w:rPr>
            </w:pPr>
            <w:r w:rsidRPr="00032248">
              <w:rPr>
                <w:rFonts w:ascii="Arial" w:hAnsi="Arial" w:cs="Arial"/>
                <w:b/>
                <w:bCs/>
                <w:color w:val="000000"/>
              </w:rPr>
              <w:t>t-stat</w:t>
            </w:r>
          </w:p>
        </w:tc>
        <w:tc>
          <w:tcPr>
            <w:tcW w:w="1238" w:type="dxa"/>
            <w:vAlign w:val="bottom"/>
          </w:tcPr>
          <w:p w14:paraId="4C28ED1D" w14:textId="77777777" w:rsidR="00967A45" w:rsidRPr="00032248" w:rsidRDefault="00967A45" w:rsidP="00AE50F8">
            <w:pPr>
              <w:adjustRightInd w:val="0"/>
              <w:spacing w:after="120" w:line="276" w:lineRule="auto"/>
              <w:ind w:right="10"/>
              <w:jc w:val="center"/>
              <w:rPr>
                <w:rFonts w:ascii="Arial" w:hAnsi="Arial" w:cs="Arial"/>
                <w:b/>
                <w:bCs/>
                <w:color w:val="000000"/>
              </w:rPr>
            </w:pPr>
            <w:r w:rsidRPr="00032248">
              <w:rPr>
                <w:rFonts w:ascii="Arial" w:hAnsi="Arial" w:cs="Arial"/>
                <w:b/>
                <w:bCs/>
                <w:color w:val="000000"/>
              </w:rPr>
              <w:t>Prob</w:t>
            </w:r>
          </w:p>
        </w:tc>
      </w:tr>
      <w:tr w:rsidR="00967A45" w:rsidRPr="00032248" w14:paraId="6A568421" w14:textId="77777777" w:rsidTr="00A5548C">
        <w:trPr>
          <w:trHeight w:val="222"/>
        </w:trPr>
        <w:tc>
          <w:tcPr>
            <w:tcW w:w="2726" w:type="dxa"/>
            <w:gridSpan w:val="2"/>
            <w:vAlign w:val="bottom"/>
          </w:tcPr>
          <w:p w14:paraId="562BD92A"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RGDP(</w:t>
            </w:r>
            <w:proofErr w:type="gramEnd"/>
            <w:r w:rsidRPr="00032248">
              <w:rPr>
                <w:rFonts w:ascii="Arial" w:hAnsi="Arial" w:cs="Arial"/>
                <w:color w:val="000000"/>
              </w:rPr>
              <w:t>-1))</w:t>
            </w:r>
          </w:p>
        </w:tc>
        <w:tc>
          <w:tcPr>
            <w:tcW w:w="1370" w:type="dxa"/>
            <w:vAlign w:val="bottom"/>
          </w:tcPr>
          <w:p w14:paraId="6B36FCF1"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0.142216</w:t>
            </w:r>
          </w:p>
        </w:tc>
        <w:tc>
          <w:tcPr>
            <w:tcW w:w="1498" w:type="dxa"/>
            <w:gridSpan w:val="2"/>
            <w:vAlign w:val="bottom"/>
          </w:tcPr>
          <w:p w14:paraId="37929DD7"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0.093630</w:t>
            </w:r>
          </w:p>
        </w:tc>
        <w:tc>
          <w:tcPr>
            <w:tcW w:w="1510" w:type="dxa"/>
            <w:vAlign w:val="bottom"/>
          </w:tcPr>
          <w:p w14:paraId="0EBE175A"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1.518914</w:t>
            </w:r>
          </w:p>
        </w:tc>
        <w:tc>
          <w:tcPr>
            <w:tcW w:w="1238" w:type="dxa"/>
            <w:vAlign w:val="bottom"/>
          </w:tcPr>
          <w:p w14:paraId="2D928DCC"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0.1570</w:t>
            </w:r>
          </w:p>
        </w:tc>
      </w:tr>
      <w:tr w:rsidR="00967A45" w:rsidRPr="00032248" w14:paraId="1199A41C" w14:textId="77777777" w:rsidTr="00A5548C">
        <w:trPr>
          <w:trHeight w:val="222"/>
        </w:trPr>
        <w:tc>
          <w:tcPr>
            <w:tcW w:w="2726" w:type="dxa"/>
            <w:gridSpan w:val="2"/>
            <w:vAlign w:val="bottom"/>
          </w:tcPr>
          <w:p w14:paraId="1417C899"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lastRenderedPageBreak/>
              <w:t>D(BD)</w:t>
            </w:r>
          </w:p>
        </w:tc>
        <w:tc>
          <w:tcPr>
            <w:tcW w:w="1370" w:type="dxa"/>
            <w:vAlign w:val="bottom"/>
          </w:tcPr>
          <w:p w14:paraId="6F774A8E"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18.502313</w:t>
            </w:r>
          </w:p>
        </w:tc>
        <w:tc>
          <w:tcPr>
            <w:tcW w:w="1498" w:type="dxa"/>
            <w:gridSpan w:val="2"/>
            <w:vAlign w:val="bottom"/>
          </w:tcPr>
          <w:p w14:paraId="4E741389"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9.154850</w:t>
            </w:r>
          </w:p>
        </w:tc>
        <w:tc>
          <w:tcPr>
            <w:tcW w:w="1510" w:type="dxa"/>
            <w:vAlign w:val="bottom"/>
          </w:tcPr>
          <w:p w14:paraId="561E429D"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2.220884</w:t>
            </w:r>
          </w:p>
        </w:tc>
        <w:tc>
          <w:tcPr>
            <w:tcW w:w="1238" w:type="dxa"/>
            <w:vAlign w:val="bottom"/>
          </w:tcPr>
          <w:p w14:paraId="61EE64B0"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0.0477</w:t>
            </w:r>
          </w:p>
        </w:tc>
      </w:tr>
      <w:tr w:rsidR="00967A45" w:rsidRPr="00032248" w14:paraId="298E3EB6" w14:textId="77777777" w:rsidTr="00A5548C">
        <w:trPr>
          <w:trHeight w:val="222"/>
        </w:trPr>
        <w:tc>
          <w:tcPr>
            <w:tcW w:w="2726" w:type="dxa"/>
            <w:gridSpan w:val="2"/>
            <w:vAlign w:val="bottom"/>
          </w:tcPr>
          <w:p w14:paraId="4E39766D"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D(TR)</w:t>
            </w:r>
          </w:p>
        </w:tc>
        <w:tc>
          <w:tcPr>
            <w:tcW w:w="1370" w:type="dxa"/>
            <w:vAlign w:val="bottom"/>
          </w:tcPr>
          <w:p w14:paraId="0D810C8A"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3.895012</w:t>
            </w:r>
          </w:p>
        </w:tc>
        <w:tc>
          <w:tcPr>
            <w:tcW w:w="1498" w:type="dxa"/>
            <w:gridSpan w:val="2"/>
            <w:vAlign w:val="bottom"/>
          </w:tcPr>
          <w:p w14:paraId="2ACAD4EA"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0.512380</w:t>
            </w:r>
          </w:p>
        </w:tc>
        <w:tc>
          <w:tcPr>
            <w:tcW w:w="1510" w:type="dxa"/>
            <w:vAlign w:val="bottom"/>
          </w:tcPr>
          <w:p w14:paraId="4256D320"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7.601797</w:t>
            </w:r>
          </w:p>
        </w:tc>
        <w:tc>
          <w:tcPr>
            <w:tcW w:w="1238" w:type="dxa"/>
            <w:vAlign w:val="bottom"/>
          </w:tcPr>
          <w:p w14:paraId="17EE3C5B"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0.0000</w:t>
            </w:r>
          </w:p>
        </w:tc>
      </w:tr>
      <w:tr w:rsidR="00967A45" w:rsidRPr="00032248" w14:paraId="1A6DD193" w14:textId="77777777" w:rsidTr="00A5548C">
        <w:trPr>
          <w:trHeight w:val="222"/>
        </w:trPr>
        <w:tc>
          <w:tcPr>
            <w:tcW w:w="2726" w:type="dxa"/>
            <w:gridSpan w:val="2"/>
            <w:vAlign w:val="bottom"/>
          </w:tcPr>
          <w:p w14:paraId="510882D0"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TR(</w:t>
            </w:r>
            <w:proofErr w:type="gramEnd"/>
            <w:r w:rsidRPr="00032248">
              <w:rPr>
                <w:rFonts w:ascii="Arial" w:hAnsi="Arial" w:cs="Arial"/>
                <w:color w:val="000000"/>
              </w:rPr>
              <w:t>-1))</w:t>
            </w:r>
          </w:p>
        </w:tc>
        <w:tc>
          <w:tcPr>
            <w:tcW w:w="1370" w:type="dxa"/>
            <w:vAlign w:val="bottom"/>
          </w:tcPr>
          <w:p w14:paraId="4E8F5654"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3.021367</w:t>
            </w:r>
          </w:p>
        </w:tc>
        <w:tc>
          <w:tcPr>
            <w:tcW w:w="1498" w:type="dxa"/>
            <w:gridSpan w:val="2"/>
            <w:vAlign w:val="bottom"/>
          </w:tcPr>
          <w:p w14:paraId="6BEFBC84"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0.515472</w:t>
            </w:r>
          </w:p>
        </w:tc>
        <w:tc>
          <w:tcPr>
            <w:tcW w:w="1510" w:type="dxa"/>
            <w:vAlign w:val="bottom"/>
          </w:tcPr>
          <w:p w14:paraId="671FF249"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5.861356</w:t>
            </w:r>
          </w:p>
        </w:tc>
        <w:tc>
          <w:tcPr>
            <w:tcW w:w="1238" w:type="dxa"/>
            <w:vAlign w:val="bottom"/>
          </w:tcPr>
          <w:p w14:paraId="4F9ECEBC"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0.0001</w:t>
            </w:r>
          </w:p>
        </w:tc>
      </w:tr>
      <w:tr w:rsidR="00967A45" w:rsidRPr="00032248" w14:paraId="399EFE31" w14:textId="77777777" w:rsidTr="00A5548C">
        <w:trPr>
          <w:trHeight w:val="222"/>
        </w:trPr>
        <w:tc>
          <w:tcPr>
            <w:tcW w:w="2726" w:type="dxa"/>
            <w:gridSpan w:val="2"/>
            <w:vAlign w:val="bottom"/>
          </w:tcPr>
          <w:p w14:paraId="020DAEA0"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TR(</w:t>
            </w:r>
            <w:proofErr w:type="gramEnd"/>
            <w:r w:rsidRPr="00032248">
              <w:rPr>
                <w:rFonts w:ascii="Arial" w:hAnsi="Arial" w:cs="Arial"/>
                <w:color w:val="000000"/>
              </w:rPr>
              <w:t>-2))</w:t>
            </w:r>
          </w:p>
        </w:tc>
        <w:tc>
          <w:tcPr>
            <w:tcW w:w="1370" w:type="dxa"/>
            <w:vAlign w:val="bottom"/>
          </w:tcPr>
          <w:p w14:paraId="61F0E8C5"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-2.266729</w:t>
            </w:r>
          </w:p>
        </w:tc>
        <w:tc>
          <w:tcPr>
            <w:tcW w:w="1498" w:type="dxa"/>
            <w:gridSpan w:val="2"/>
            <w:vAlign w:val="bottom"/>
          </w:tcPr>
          <w:p w14:paraId="721EB3B1"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0.777615</w:t>
            </w:r>
          </w:p>
        </w:tc>
        <w:tc>
          <w:tcPr>
            <w:tcW w:w="1510" w:type="dxa"/>
            <w:vAlign w:val="bottom"/>
          </w:tcPr>
          <w:p w14:paraId="1EE09440"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-2.914975</w:t>
            </w:r>
          </w:p>
        </w:tc>
        <w:tc>
          <w:tcPr>
            <w:tcW w:w="1238" w:type="dxa"/>
            <w:vAlign w:val="bottom"/>
          </w:tcPr>
          <w:p w14:paraId="28A413F9"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0.0141</w:t>
            </w:r>
          </w:p>
        </w:tc>
      </w:tr>
      <w:tr w:rsidR="00967A45" w:rsidRPr="00032248" w14:paraId="7D3A1147" w14:textId="77777777" w:rsidTr="00A5548C">
        <w:trPr>
          <w:trHeight w:val="222"/>
        </w:trPr>
        <w:tc>
          <w:tcPr>
            <w:tcW w:w="2726" w:type="dxa"/>
            <w:gridSpan w:val="2"/>
            <w:vAlign w:val="bottom"/>
          </w:tcPr>
          <w:p w14:paraId="238A6343"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D(INF)</w:t>
            </w:r>
          </w:p>
        </w:tc>
        <w:tc>
          <w:tcPr>
            <w:tcW w:w="1370" w:type="dxa"/>
            <w:vAlign w:val="bottom"/>
          </w:tcPr>
          <w:p w14:paraId="0F0EC36E"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0.019891</w:t>
            </w:r>
          </w:p>
        </w:tc>
        <w:tc>
          <w:tcPr>
            <w:tcW w:w="1498" w:type="dxa"/>
            <w:gridSpan w:val="2"/>
            <w:vAlign w:val="bottom"/>
          </w:tcPr>
          <w:p w14:paraId="446C0E61"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0.010619</w:t>
            </w:r>
          </w:p>
        </w:tc>
        <w:tc>
          <w:tcPr>
            <w:tcW w:w="1510" w:type="dxa"/>
            <w:vAlign w:val="bottom"/>
          </w:tcPr>
          <w:p w14:paraId="00707AA8"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-1.873090</w:t>
            </w:r>
          </w:p>
        </w:tc>
        <w:tc>
          <w:tcPr>
            <w:tcW w:w="1238" w:type="dxa"/>
            <w:vAlign w:val="bottom"/>
          </w:tcPr>
          <w:p w14:paraId="761E2338"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0.0879</w:t>
            </w:r>
          </w:p>
        </w:tc>
      </w:tr>
      <w:tr w:rsidR="00967A45" w:rsidRPr="00032248" w14:paraId="32A7BAB8" w14:textId="77777777" w:rsidTr="00A5548C">
        <w:trPr>
          <w:trHeight w:val="222"/>
        </w:trPr>
        <w:tc>
          <w:tcPr>
            <w:tcW w:w="2726" w:type="dxa"/>
            <w:gridSpan w:val="2"/>
            <w:vAlign w:val="bottom"/>
          </w:tcPr>
          <w:p w14:paraId="37B5D8CA"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INF(</w:t>
            </w:r>
            <w:proofErr w:type="gramEnd"/>
            <w:r w:rsidRPr="00032248">
              <w:rPr>
                <w:rFonts w:ascii="Arial" w:hAnsi="Arial" w:cs="Arial"/>
                <w:color w:val="000000"/>
              </w:rPr>
              <w:t>-1))</w:t>
            </w:r>
          </w:p>
        </w:tc>
        <w:tc>
          <w:tcPr>
            <w:tcW w:w="1370" w:type="dxa"/>
            <w:vAlign w:val="bottom"/>
          </w:tcPr>
          <w:p w14:paraId="564A8AEF"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0.009181</w:t>
            </w:r>
          </w:p>
        </w:tc>
        <w:tc>
          <w:tcPr>
            <w:tcW w:w="1498" w:type="dxa"/>
            <w:gridSpan w:val="2"/>
            <w:vAlign w:val="bottom"/>
          </w:tcPr>
          <w:p w14:paraId="04C0CC98"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0.009906</w:t>
            </w:r>
          </w:p>
        </w:tc>
        <w:tc>
          <w:tcPr>
            <w:tcW w:w="1510" w:type="dxa"/>
            <w:vAlign w:val="bottom"/>
          </w:tcPr>
          <w:p w14:paraId="7375878E"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0.926797</w:t>
            </w:r>
          </w:p>
        </w:tc>
        <w:tc>
          <w:tcPr>
            <w:tcW w:w="1238" w:type="dxa"/>
            <w:vAlign w:val="bottom"/>
          </w:tcPr>
          <w:p w14:paraId="7EDE5675"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0.3739</w:t>
            </w:r>
          </w:p>
        </w:tc>
      </w:tr>
      <w:tr w:rsidR="00967A45" w:rsidRPr="00032248" w14:paraId="431FAA1D" w14:textId="77777777" w:rsidTr="00A5548C">
        <w:trPr>
          <w:trHeight w:val="222"/>
        </w:trPr>
        <w:tc>
          <w:tcPr>
            <w:tcW w:w="2726" w:type="dxa"/>
            <w:gridSpan w:val="2"/>
            <w:vAlign w:val="bottom"/>
          </w:tcPr>
          <w:p w14:paraId="67B2F431" w14:textId="77777777" w:rsidR="00967A45" w:rsidRPr="00032248" w:rsidRDefault="00967A45"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INF(</w:t>
            </w:r>
            <w:proofErr w:type="gramEnd"/>
            <w:r w:rsidRPr="00032248">
              <w:rPr>
                <w:rFonts w:ascii="Arial" w:hAnsi="Arial" w:cs="Arial"/>
                <w:color w:val="000000"/>
              </w:rPr>
              <w:t>-2))</w:t>
            </w:r>
          </w:p>
        </w:tc>
        <w:tc>
          <w:tcPr>
            <w:tcW w:w="1370" w:type="dxa"/>
            <w:vAlign w:val="bottom"/>
          </w:tcPr>
          <w:p w14:paraId="574EE35A"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0.020922</w:t>
            </w:r>
          </w:p>
        </w:tc>
        <w:tc>
          <w:tcPr>
            <w:tcW w:w="1498" w:type="dxa"/>
            <w:gridSpan w:val="2"/>
            <w:vAlign w:val="bottom"/>
          </w:tcPr>
          <w:p w14:paraId="0874CE96"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0.010514</w:t>
            </w:r>
          </w:p>
        </w:tc>
        <w:tc>
          <w:tcPr>
            <w:tcW w:w="1510" w:type="dxa"/>
            <w:vAlign w:val="bottom"/>
          </w:tcPr>
          <w:p w14:paraId="042610A3"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1.989982</w:t>
            </w:r>
          </w:p>
        </w:tc>
        <w:tc>
          <w:tcPr>
            <w:tcW w:w="1238" w:type="dxa"/>
            <w:vAlign w:val="bottom"/>
          </w:tcPr>
          <w:p w14:paraId="4358DCE9" w14:textId="77777777" w:rsidR="00967A45" w:rsidRPr="00032248" w:rsidRDefault="00967A45"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0.0720</w:t>
            </w:r>
          </w:p>
        </w:tc>
      </w:tr>
      <w:tr w:rsidR="00DD26B8" w:rsidRPr="00032248" w14:paraId="1BD8373B" w14:textId="77777777" w:rsidTr="00A5548C">
        <w:trPr>
          <w:trHeight w:val="222"/>
        </w:trPr>
        <w:tc>
          <w:tcPr>
            <w:tcW w:w="2726" w:type="dxa"/>
            <w:gridSpan w:val="2"/>
            <w:vAlign w:val="bottom"/>
          </w:tcPr>
          <w:p w14:paraId="30CE01B6" w14:textId="77777777" w:rsidR="00DD26B8" w:rsidRPr="00032248" w:rsidRDefault="00DD26B8" w:rsidP="00DD26B8">
            <w:pPr>
              <w:adjustRightInd w:val="0"/>
              <w:spacing w:after="120" w:line="276" w:lineRule="auto"/>
              <w:jc w:val="center"/>
              <w:rPr>
                <w:rFonts w:ascii="Arial" w:hAnsi="Arial" w:cs="Arial"/>
                <w:color w:val="000000"/>
              </w:rPr>
            </w:pPr>
            <w:r w:rsidRPr="00032248">
              <w:rPr>
                <w:rFonts w:ascii="Arial" w:hAnsi="Arial" w:cs="Arial"/>
                <w:b/>
                <w:bCs/>
                <w:color w:val="000000"/>
              </w:rPr>
              <w:t>Variables</w:t>
            </w:r>
          </w:p>
        </w:tc>
        <w:tc>
          <w:tcPr>
            <w:tcW w:w="1370" w:type="dxa"/>
            <w:vAlign w:val="bottom"/>
          </w:tcPr>
          <w:p w14:paraId="6A248186" w14:textId="77777777" w:rsidR="00DD26B8" w:rsidRPr="00032248" w:rsidRDefault="00DD26B8" w:rsidP="00DD26B8">
            <w:pPr>
              <w:adjustRightInd w:val="0"/>
              <w:spacing w:after="120" w:line="276" w:lineRule="auto"/>
              <w:ind w:right="10"/>
              <w:jc w:val="center"/>
              <w:rPr>
                <w:rFonts w:ascii="Arial" w:hAnsi="Arial" w:cs="Arial"/>
                <w:color w:val="000000"/>
              </w:rPr>
            </w:pPr>
            <w:r w:rsidRPr="00032248">
              <w:rPr>
                <w:rFonts w:ascii="Arial" w:hAnsi="Arial" w:cs="Arial"/>
                <w:b/>
                <w:bCs/>
                <w:color w:val="000000"/>
              </w:rPr>
              <w:t>Coefficients</w:t>
            </w:r>
          </w:p>
        </w:tc>
        <w:tc>
          <w:tcPr>
            <w:tcW w:w="1498" w:type="dxa"/>
            <w:gridSpan w:val="2"/>
            <w:vAlign w:val="bottom"/>
          </w:tcPr>
          <w:p w14:paraId="1589ECCA" w14:textId="77777777" w:rsidR="00DD26B8" w:rsidRPr="00032248" w:rsidRDefault="00DD26B8" w:rsidP="00DD26B8">
            <w:pPr>
              <w:adjustRightInd w:val="0"/>
              <w:spacing w:after="120" w:line="276" w:lineRule="auto"/>
              <w:ind w:right="10"/>
              <w:jc w:val="center"/>
              <w:rPr>
                <w:rFonts w:ascii="Arial" w:hAnsi="Arial" w:cs="Arial"/>
                <w:color w:val="000000"/>
              </w:rPr>
            </w:pPr>
            <w:r w:rsidRPr="00032248">
              <w:rPr>
                <w:rFonts w:ascii="Arial" w:hAnsi="Arial" w:cs="Arial"/>
                <w:b/>
                <w:bCs/>
                <w:color w:val="000000"/>
              </w:rPr>
              <w:t>Std Error</w:t>
            </w:r>
          </w:p>
        </w:tc>
        <w:tc>
          <w:tcPr>
            <w:tcW w:w="1510" w:type="dxa"/>
            <w:vAlign w:val="bottom"/>
          </w:tcPr>
          <w:p w14:paraId="674DC591" w14:textId="77777777" w:rsidR="00DD26B8" w:rsidRPr="00032248" w:rsidRDefault="00DD26B8" w:rsidP="00DD26B8">
            <w:pPr>
              <w:adjustRightInd w:val="0"/>
              <w:spacing w:after="120" w:line="276" w:lineRule="auto"/>
              <w:ind w:right="10"/>
              <w:jc w:val="center"/>
              <w:rPr>
                <w:rFonts w:ascii="Arial" w:hAnsi="Arial" w:cs="Arial"/>
                <w:color w:val="000000"/>
              </w:rPr>
            </w:pPr>
            <w:r w:rsidRPr="00032248">
              <w:rPr>
                <w:rFonts w:ascii="Arial" w:hAnsi="Arial" w:cs="Arial"/>
                <w:b/>
                <w:bCs/>
                <w:color w:val="000000"/>
              </w:rPr>
              <w:t>t-stat</w:t>
            </w:r>
          </w:p>
        </w:tc>
        <w:tc>
          <w:tcPr>
            <w:tcW w:w="1238" w:type="dxa"/>
            <w:vAlign w:val="bottom"/>
          </w:tcPr>
          <w:p w14:paraId="2DA130C1" w14:textId="77777777" w:rsidR="00DD26B8" w:rsidRPr="00032248" w:rsidRDefault="00DD26B8" w:rsidP="00DD26B8">
            <w:pPr>
              <w:adjustRightInd w:val="0"/>
              <w:spacing w:after="120" w:line="276" w:lineRule="auto"/>
              <w:ind w:right="10"/>
              <w:jc w:val="center"/>
              <w:rPr>
                <w:rFonts w:ascii="Arial" w:hAnsi="Arial" w:cs="Arial"/>
                <w:color w:val="000000"/>
              </w:rPr>
            </w:pPr>
            <w:r w:rsidRPr="00032248">
              <w:rPr>
                <w:rFonts w:ascii="Arial" w:hAnsi="Arial" w:cs="Arial"/>
                <w:b/>
                <w:bCs/>
                <w:color w:val="000000"/>
              </w:rPr>
              <w:t>Prob</w:t>
            </w:r>
          </w:p>
        </w:tc>
      </w:tr>
      <w:tr w:rsidR="00DD26B8" w:rsidRPr="00032248" w14:paraId="33EB4FB3" w14:textId="77777777" w:rsidTr="00A5548C">
        <w:trPr>
          <w:trHeight w:val="222"/>
        </w:trPr>
        <w:tc>
          <w:tcPr>
            <w:tcW w:w="2726" w:type="dxa"/>
            <w:gridSpan w:val="2"/>
            <w:vAlign w:val="bottom"/>
          </w:tcPr>
          <w:p w14:paraId="50CB811D" w14:textId="77777777" w:rsidR="00DD26B8" w:rsidRPr="00032248" w:rsidRDefault="00DD26B8" w:rsidP="00AE50F8">
            <w:pPr>
              <w:adjustRightInd w:val="0"/>
              <w:spacing w:after="120" w:line="276" w:lineRule="auto"/>
              <w:jc w:val="center"/>
              <w:rPr>
                <w:rFonts w:ascii="Arial" w:hAnsi="Arial" w:cs="Arial"/>
                <w:color w:val="000000"/>
              </w:rPr>
            </w:pPr>
            <w:r w:rsidRPr="00032248">
              <w:rPr>
                <w:rFonts w:ascii="Arial" w:hAnsi="Arial" w:cs="Arial"/>
                <w:color w:val="000000"/>
              </w:rPr>
              <w:t>D(INTR)</w:t>
            </w:r>
          </w:p>
        </w:tc>
        <w:tc>
          <w:tcPr>
            <w:tcW w:w="1370" w:type="dxa"/>
            <w:vAlign w:val="bottom"/>
          </w:tcPr>
          <w:p w14:paraId="2A251598"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0.002420</w:t>
            </w:r>
          </w:p>
        </w:tc>
        <w:tc>
          <w:tcPr>
            <w:tcW w:w="1498" w:type="dxa"/>
            <w:gridSpan w:val="2"/>
            <w:vAlign w:val="bottom"/>
          </w:tcPr>
          <w:p w14:paraId="6BBA3CCF"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0.001514</w:t>
            </w:r>
          </w:p>
        </w:tc>
        <w:tc>
          <w:tcPr>
            <w:tcW w:w="1510" w:type="dxa"/>
            <w:vAlign w:val="bottom"/>
          </w:tcPr>
          <w:p w14:paraId="62BBD42C"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1.598617</w:t>
            </w:r>
          </w:p>
        </w:tc>
        <w:tc>
          <w:tcPr>
            <w:tcW w:w="1238" w:type="dxa"/>
            <w:vAlign w:val="bottom"/>
          </w:tcPr>
          <w:p w14:paraId="5AC7894E"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0.1382</w:t>
            </w:r>
          </w:p>
        </w:tc>
      </w:tr>
      <w:tr w:rsidR="00DD26B8" w:rsidRPr="00032248" w14:paraId="4A1494B9" w14:textId="77777777" w:rsidTr="00A5548C">
        <w:trPr>
          <w:trHeight w:val="222"/>
        </w:trPr>
        <w:tc>
          <w:tcPr>
            <w:tcW w:w="2726" w:type="dxa"/>
            <w:gridSpan w:val="2"/>
            <w:vAlign w:val="bottom"/>
          </w:tcPr>
          <w:p w14:paraId="655D621D" w14:textId="77777777" w:rsidR="00DD26B8" w:rsidRPr="00032248" w:rsidRDefault="00DD26B8"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INTR(</w:t>
            </w:r>
            <w:proofErr w:type="gramEnd"/>
            <w:r w:rsidRPr="00032248">
              <w:rPr>
                <w:rFonts w:ascii="Arial" w:hAnsi="Arial" w:cs="Arial"/>
                <w:color w:val="000000"/>
              </w:rPr>
              <w:t>-1))</w:t>
            </w:r>
          </w:p>
        </w:tc>
        <w:tc>
          <w:tcPr>
            <w:tcW w:w="1370" w:type="dxa"/>
            <w:vAlign w:val="bottom"/>
          </w:tcPr>
          <w:p w14:paraId="4A89D571"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-0.002250</w:t>
            </w:r>
          </w:p>
        </w:tc>
        <w:tc>
          <w:tcPr>
            <w:tcW w:w="1498" w:type="dxa"/>
            <w:gridSpan w:val="2"/>
            <w:vAlign w:val="bottom"/>
          </w:tcPr>
          <w:p w14:paraId="24CE20E7"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0.001846</w:t>
            </w:r>
          </w:p>
        </w:tc>
        <w:tc>
          <w:tcPr>
            <w:tcW w:w="1510" w:type="dxa"/>
            <w:vAlign w:val="bottom"/>
          </w:tcPr>
          <w:p w14:paraId="12D0F106"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1.218722</w:t>
            </w:r>
          </w:p>
        </w:tc>
        <w:tc>
          <w:tcPr>
            <w:tcW w:w="1238" w:type="dxa"/>
            <w:vAlign w:val="bottom"/>
          </w:tcPr>
          <w:p w14:paraId="74BB2202"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0.2484</w:t>
            </w:r>
          </w:p>
        </w:tc>
      </w:tr>
      <w:tr w:rsidR="00DD26B8" w:rsidRPr="00032248" w14:paraId="3C6C4FF5" w14:textId="77777777" w:rsidTr="00A5548C">
        <w:trPr>
          <w:trHeight w:val="222"/>
        </w:trPr>
        <w:tc>
          <w:tcPr>
            <w:tcW w:w="2726" w:type="dxa"/>
            <w:gridSpan w:val="2"/>
            <w:vAlign w:val="bottom"/>
          </w:tcPr>
          <w:p w14:paraId="129A4990" w14:textId="77777777" w:rsidR="00DD26B8" w:rsidRPr="00032248" w:rsidRDefault="00DD26B8"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INTR(</w:t>
            </w:r>
            <w:proofErr w:type="gramEnd"/>
            <w:r w:rsidRPr="00032248">
              <w:rPr>
                <w:rFonts w:ascii="Arial" w:hAnsi="Arial" w:cs="Arial"/>
                <w:color w:val="000000"/>
              </w:rPr>
              <w:t>-2))</w:t>
            </w:r>
          </w:p>
        </w:tc>
        <w:tc>
          <w:tcPr>
            <w:tcW w:w="1370" w:type="dxa"/>
            <w:vAlign w:val="bottom"/>
          </w:tcPr>
          <w:p w14:paraId="4404D04F"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-0.004020</w:t>
            </w:r>
          </w:p>
        </w:tc>
        <w:tc>
          <w:tcPr>
            <w:tcW w:w="1498" w:type="dxa"/>
            <w:gridSpan w:val="2"/>
            <w:vAlign w:val="bottom"/>
          </w:tcPr>
          <w:p w14:paraId="07B84CFB"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0.001639</w:t>
            </w:r>
          </w:p>
        </w:tc>
        <w:tc>
          <w:tcPr>
            <w:tcW w:w="1510" w:type="dxa"/>
            <w:vAlign w:val="bottom"/>
          </w:tcPr>
          <w:p w14:paraId="446DEA56"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-2.453514</w:t>
            </w:r>
          </w:p>
        </w:tc>
        <w:tc>
          <w:tcPr>
            <w:tcW w:w="1238" w:type="dxa"/>
            <w:vAlign w:val="bottom"/>
          </w:tcPr>
          <w:p w14:paraId="47C3C513"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0.0320</w:t>
            </w:r>
          </w:p>
        </w:tc>
      </w:tr>
      <w:tr w:rsidR="00DD26B8" w:rsidRPr="00032248" w14:paraId="01621EB9" w14:textId="77777777" w:rsidTr="00A5548C">
        <w:trPr>
          <w:trHeight w:val="222"/>
        </w:trPr>
        <w:tc>
          <w:tcPr>
            <w:tcW w:w="2726" w:type="dxa"/>
            <w:gridSpan w:val="2"/>
            <w:vAlign w:val="bottom"/>
          </w:tcPr>
          <w:p w14:paraId="22442C9E" w14:textId="77777777" w:rsidR="00DD26B8" w:rsidRPr="00032248" w:rsidRDefault="00DD26B8" w:rsidP="00AE50F8">
            <w:pPr>
              <w:adjustRightInd w:val="0"/>
              <w:spacing w:after="120" w:line="276" w:lineRule="auto"/>
              <w:jc w:val="center"/>
              <w:rPr>
                <w:rFonts w:ascii="Arial" w:hAnsi="Arial" w:cs="Arial"/>
                <w:color w:val="000000"/>
              </w:rPr>
            </w:pPr>
            <w:r w:rsidRPr="00032248">
              <w:rPr>
                <w:rFonts w:ascii="Arial" w:hAnsi="Arial" w:cs="Arial"/>
                <w:color w:val="000000"/>
              </w:rPr>
              <w:t>D(OPEN)</w:t>
            </w:r>
          </w:p>
        </w:tc>
        <w:tc>
          <w:tcPr>
            <w:tcW w:w="1370" w:type="dxa"/>
            <w:vAlign w:val="bottom"/>
          </w:tcPr>
          <w:p w14:paraId="2C706F3C"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-0.464599</w:t>
            </w:r>
          </w:p>
        </w:tc>
        <w:tc>
          <w:tcPr>
            <w:tcW w:w="1498" w:type="dxa"/>
            <w:gridSpan w:val="2"/>
            <w:vAlign w:val="bottom"/>
          </w:tcPr>
          <w:p w14:paraId="70680F5C"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0.086957</w:t>
            </w:r>
          </w:p>
        </w:tc>
        <w:tc>
          <w:tcPr>
            <w:tcW w:w="1510" w:type="dxa"/>
            <w:vAlign w:val="bottom"/>
          </w:tcPr>
          <w:p w14:paraId="63222FF6"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-5.342832</w:t>
            </w:r>
          </w:p>
        </w:tc>
        <w:tc>
          <w:tcPr>
            <w:tcW w:w="1238" w:type="dxa"/>
            <w:vAlign w:val="bottom"/>
          </w:tcPr>
          <w:p w14:paraId="3196CDCE"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0.0002</w:t>
            </w:r>
          </w:p>
        </w:tc>
      </w:tr>
      <w:tr w:rsidR="00DD26B8" w:rsidRPr="00032248" w14:paraId="0F8AD736" w14:textId="77777777" w:rsidTr="00A5548C">
        <w:trPr>
          <w:trHeight w:val="222"/>
        </w:trPr>
        <w:tc>
          <w:tcPr>
            <w:tcW w:w="2726" w:type="dxa"/>
            <w:gridSpan w:val="2"/>
            <w:vAlign w:val="bottom"/>
          </w:tcPr>
          <w:p w14:paraId="2C414C3E" w14:textId="77777777" w:rsidR="00DD26B8" w:rsidRPr="00032248" w:rsidRDefault="00DD26B8"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OPEN(</w:t>
            </w:r>
            <w:proofErr w:type="gramEnd"/>
            <w:r w:rsidRPr="00032248">
              <w:rPr>
                <w:rFonts w:ascii="Arial" w:hAnsi="Arial" w:cs="Arial"/>
                <w:color w:val="000000"/>
              </w:rPr>
              <w:t>-1))</w:t>
            </w:r>
          </w:p>
        </w:tc>
        <w:tc>
          <w:tcPr>
            <w:tcW w:w="1370" w:type="dxa"/>
            <w:vAlign w:val="bottom"/>
          </w:tcPr>
          <w:p w14:paraId="6016A05E"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0.045837</w:t>
            </w:r>
          </w:p>
        </w:tc>
        <w:tc>
          <w:tcPr>
            <w:tcW w:w="1498" w:type="dxa"/>
            <w:gridSpan w:val="2"/>
            <w:vAlign w:val="bottom"/>
          </w:tcPr>
          <w:p w14:paraId="5F13242E"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0.120761</w:t>
            </w:r>
          </w:p>
        </w:tc>
        <w:tc>
          <w:tcPr>
            <w:tcW w:w="1510" w:type="dxa"/>
            <w:vAlign w:val="bottom"/>
          </w:tcPr>
          <w:p w14:paraId="7C5FDBC3"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0.379569</w:t>
            </w:r>
          </w:p>
        </w:tc>
        <w:tc>
          <w:tcPr>
            <w:tcW w:w="1238" w:type="dxa"/>
            <w:vAlign w:val="bottom"/>
          </w:tcPr>
          <w:p w14:paraId="047ECCFE"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0.7115</w:t>
            </w:r>
          </w:p>
        </w:tc>
      </w:tr>
      <w:tr w:rsidR="00DD26B8" w:rsidRPr="00032248" w14:paraId="75B15062" w14:textId="77777777" w:rsidTr="00A5548C">
        <w:trPr>
          <w:trHeight w:val="222"/>
        </w:trPr>
        <w:tc>
          <w:tcPr>
            <w:tcW w:w="2726" w:type="dxa"/>
            <w:gridSpan w:val="2"/>
            <w:vAlign w:val="bottom"/>
          </w:tcPr>
          <w:p w14:paraId="5C6EE92A" w14:textId="77777777" w:rsidR="00DD26B8" w:rsidRPr="00032248" w:rsidRDefault="00DD26B8" w:rsidP="00AE50F8">
            <w:pPr>
              <w:adjustRightInd w:val="0"/>
              <w:spacing w:after="120" w:line="276" w:lineRule="auto"/>
              <w:jc w:val="center"/>
              <w:rPr>
                <w:rFonts w:ascii="Arial" w:hAnsi="Arial" w:cs="Arial"/>
                <w:color w:val="000000"/>
              </w:rPr>
            </w:pPr>
            <w:r w:rsidRPr="00032248">
              <w:rPr>
                <w:rFonts w:ascii="Arial" w:hAnsi="Arial" w:cs="Arial"/>
                <w:color w:val="000000"/>
              </w:rPr>
              <w:t>D(</w:t>
            </w:r>
            <w:proofErr w:type="gramStart"/>
            <w:r w:rsidRPr="00032248">
              <w:rPr>
                <w:rFonts w:ascii="Arial" w:hAnsi="Arial" w:cs="Arial"/>
                <w:color w:val="000000"/>
              </w:rPr>
              <w:t>OPEN(</w:t>
            </w:r>
            <w:proofErr w:type="gramEnd"/>
            <w:r w:rsidRPr="00032248">
              <w:rPr>
                <w:rFonts w:ascii="Arial" w:hAnsi="Arial" w:cs="Arial"/>
                <w:color w:val="000000"/>
              </w:rPr>
              <w:t>-2))</w:t>
            </w:r>
          </w:p>
        </w:tc>
        <w:tc>
          <w:tcPr>
            <w:tcW w:w="1370" w:type="dxa"/>
            <w:vAlign w:val="bottom"/>
          </w:tcPr>
          <w:p w14:paraId="25F3D317"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-0.609071</w:t>
            </w:r>
          </w:p>
        </w:tc>
        <w:tc>
          <w:tcPr>
            <w:tcW w:w="1498" w:type="dxa"/>
            <w:gridSpan w:val="2"/>
            <w:vAlign w:val="bottom"/>
          </w:tcPr>
          <w:p w14:paraId="15F5E33D"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0.107716</w:t>
            </w:r>
          </w:p>
        </w:tc>
        <w:tc>
          <w:tcPr>
            <w:tcW w:w="1510" w:type="dxa"/>
            <w:vAlign w:val="bottom"/>
          </w:tcPr>
          <w:p w14:paraId="151B5263"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-5.654404</w:t>
            </w:r>
          </w:p>
        </w:tc>
        <w:tc>
          <w:tcPr>
            <w:tcW w:w="1238" w:type="dxa"/>
            <w:vAlign w:val="bottom"/>
          </w:tcPr>
          <w:p w14:paraId="54344E6B"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0.0001</w:t>
            </w:r>
          </w:p>
        </w:tc>
      </w:tr>
      <w:tr w:rsidR="00DD26B8" w:rsidRPr="00032248" w14:paraId="21A53170" w14:textId="77777777" w:rsidTr="00A5548C">
        <w:trPr>
          <w:trHeight w:val="222"/>
        </w:trPr>
        <w:tc>
          <w:tcPr>
            <w:tcW w:w="2726" w:type="dxa"/>
            <w:gridSpan w:val="2"/>
            <w:vAlign w:val="bottom"/>
          </w:tcPr>
          <w:p w14:paraId="2E65C6EC" w14:textId="77777777" w:rsidR="00DD26B8" w:rsidRPr="00032248" w:rsidRDefault="00DD26B8" w:rsidP="00AE50F8">
            <w:pPr>
              <w:adjustRightInd w:val="0"/>
              <w:spacing w:after="120" w:line="276" w:lineRule="auto"/>
              <w:jc w:val="center"/>
              <w:rPr>
                <w:rFonts w:ascii="Arial" w:hAnsi="Arial" w:cs="Arial"/>
                <w:color w:val="000000"/>
              </w:rPr>
            </w:pPr>
            <w:proofErr w:type="spellStart"/>
            <w:proofErr w:type="gramStart"/>
            <w:r w:rsidRPr="00032248">
              <w:rPr>
                <w:rFonts w:ascii="Arial" w:hAnsi="Arial" w:cs="Arial"/>
                <w:color w:val="000000"/>
              </w:rPr>
              <w:t>CointEq</w:t>
            </w:r>
            <w:proofErr w:type="spellEnd"/>
            <w:r w:rsidRPr="00032248">
              <w:rPr>
                <w:rFonts w:ascii="Arial" w:hAnsi="Arial" w:cs="Arial"/>
                <w:color w:val="000000"/>
              </w:rPr>
              <w:t>(</w:t>
            </w:r>
            <w:proofErr w:type="gramEnd"/>
            <w:r w:rsidRPr="00032248">
              <w:rPr>
                <w:rFonts w:ascii="Arial" w:hAnsi="Arial" w:cs="Arial"/>
                <w:color w:val="000000"/>
              </w:rPr>
              <w:t>-1)</w:t>
            </w:r>
          </w:p>
        </w:tc>
        <w:tc>
          <w:tcPr>
            <w:tcW w:w="1370" w:type="dxa"/>
            <w:vAlign w:val="bottom"/>
          </w:tcPr>
          <w:p w14:paraId="118D2760"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-1.174933</w:t>
            </w:r>
          </w:p>
        </w:tc>
        <w:tc>
          <w:tcPr>
            <w:tcW w:w="1498" w:type="dxa"/>
            <w:gridSpan w:val="2"/>
            <w:vAlign w:val="bottom"/>
          </w:tcPr>
          <w:p w14:paraId="6F2C46F8"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0.201295</w:t>
            </w:r>
          </w:p>
        </w:tc>
        <w:tc>
          <w:tcPr>
            <w:tcW w:w="1510" w:type="dxa"/>
            <w:vAlign w:val="bottom"/>
          </w:tcPr>
          <w:p w14:paraId="10AB81AC"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-5.836884</w:t>
            </w:r>
          </w:p>
        </w:tc>
        <w:tc>
          <w:tcPr>
            <w:tcW w:w="1238" w:type="dxa"/>
            <w:vAlign w:val="bottom"/>
          </w:tcPr>
          <w:p w14:paraId="1E9A546A" w14:textId="77777777" w:rsidR="00DD26B8" w:rsidRPr="00032248" w:rsidRDefault="00DD26B8" w:rsidP="00AE50F8">
            <w:pPr>
              <w:adjustRightInd w:val="0"/>
              <w:spacing w:after="120" w:line="276" w:lineRule="auto"/>
              <w:ind w:right="10"/>
              <w:jc w:val="center"/>
              <w:rPr>
                <w:rFonts w:ascii="Arial" w:hAnsi="Arial" w:cs="Arial"/>
                <w:color w:val="000000"/>
              </w:rPr>
            </w:pPr>
            <w:r w:rsidRPr="00032248">
              <w:rPr>
                <w:rFonts w:ascii="Arial" w:hAnsi="Arial" w:cs="Arial"/>
                <w:color w:val="000000"/>
              </w:rPr>
              <w:t>0.0001</w:t>
            </w:r>
          </w:p>
        </w:tc>
      </w:tr>
      <w:tr w:rsidR="00DD26B8" w:rsidRPr="00032248" w14:paraId="3DB5ACFD" w14:textId="77777777" w:rsidTr="00A5548C">
        <w:tblPrEx>
          <w:tblLook w:val="01E0" w:firstRow="1" w:lastRow="1" w:firstColumn="1" w:lastColumn="1" w:noHBand="0" w:noVBand="0"/>
        </w:tblPrEx>
        <w:trPr>
          <w:gridAfter w:val="3"/>
          <w:wAfter w:w="2762" w:type="dxa"/>
          <w:trHeight w:val="291"/>
        </w:trPr>
        <w:tc>
          <w:tcPr>
            <w:tcW w:w="2697" w:type="dxa"/>
          </w:tcPr>
          <w:p w14:paraId="596661BD" w14:textId="77777777" w:rsidR="00DD26B8" w:rsidRPr="00032248" w:rsidRDefault="00DD26B8" w:rsidP="00AE50F8">
            <w:pPr>
              <w:pStyle w:val="TableParagraph"/>
              <w:spacing w:after="120" w:line="276" w:lineRule="auto"/>
              <w:ind w:left="-1"/>
              <w:rPr>
                <w:rFonts w:ascii="Arial" w:hAnsi="Arial" w:cs="Arial"/>
              </w:rPr>
            </w:pPr>
            <w:r w:rsidRPr="00032248">
              <w:rPr>
                <w:rFonts w:ascii="Arial" w:hAnsi="Arial" w:cs="Arial"/>
              </w:rPr>
              <w:t>R-</w:t>
            </w:r>
            <w:r w:rsidRPr="00032248">
              <w:rPr>
                <w:rFonts w:ascii="Arial" w:hAnsi="Arial" w:cs="Arial"/>
                <w:spacing w:val="-2"/>
              </w:rPr>
              <w:t>Squared</w:t>
            </w:r>
          </w:p>
        </w:tc>
        <w:tc>
          <w:tcPr>
            <w:tcW w:w="2883" w:type="dxa"/>
            <w:gridSpan w:val="3"/>
          </w:tcPr>
          <w:p w14:paraId="47C07783" w14:textId="77777777" w:rsidR="00DD26B8" w:rsidRPr="00032248" w:rsidRDefault="00DD26B8" w:rsidP="00AE50F8">
            <w:pPr>
              <w:pStyle w:val="TableParagraph"/>
              <w:spacing w:after="120" w:line="276" w:lineRule="auto"/>
              <w:ind w:right="127"/>
              <w:rPr>
                <w:rFonts w:ascii="Arial" w:hAnsi="Arial" w:cs="Arial"/>
              </w:rPr>
            </w:pPr>
            <w:r w:rsidRPr="00032248">
              <w:rPr>
                <w:rFonts w:ascii="Arial" w:hAnsi="Arial" w:cs="Arial"/>
                <w:spacing w:val="-2"/>
              </w:rPr>
              <w:t>0.981106</w:t>
            </w:r>
          </w:p>
        </w:tc>
      </w:tr>
      <w:tr w:rsidR="00DD26B8" w:rsidRPr="00032248" w14:paraId="665A4246" w14:textId="77777777" w:rsidTr="00A5548C">
        <w:tblPrEx>
          <w:tblLook w:val="01E0" w:firstRow="1" w:lastRow="1" w:firstColumn="1" w:lastColumn="1" w:noHBand="0" w:noVBand="0"/>
        </w:tblPrEx>
        <w:trPr>
          <w:gridAfter w:val="3"/>
          <w:wAfter w:w="2762" w:type="dxa"/>
          <w:trHeight w:val="299"/>
        </w:trPr>
        <w:tc>
          <w:tcPr>
            <w:tcW w:w="2697" w:type="dxa"/>
          </w:tcPr>
          <w:p w14:paraId="7DBA3BED" w14:textId="77777777" w:rsidR="00DD26B8" w:rsidRPr="00032248" w:rsidRDefault="00DD26B8" w:rsidP="00AE50F8">
            <w:pPr>
              <w:pStyle w:val="TableParagraph"/>
              <w:spacing w:after="120" w:line="276" w:lineRule="auto"/>
              <w:ind w:left="-1"/>
              <w:rPr>
                <w:rFonts w:ascii="Arial" w:hAnsi="Arial" w:cs="Arial"/>
              </w:rPr>
            </w:pPr>
            <w:r w:rsidRPr="00032248">
              <w:rPr>
                <w:rFonts w:ascii="Arial" w:hAnsi="Arial" w:cs="Arial"/>
              </w:rPr>
              <w:t>Adjusted</w:t>
            </w:r>
            <w:r w:rsidRPr="00032248">
              <w:rPr>
                <w:rFonts w:ascii="Arial" w:hAnsi="Arial" w:cs="Arial"/>
                <w:spacing w:val="5"/>
              </w:rPr>
              <w:t xml:space="preserve"> </w:t>
            </w:r>
            <w:r w:rsidRPr="00032248">
              <w:rPr>
                <w:rFonts w:ascii="Arial" w:hAnsi="Arial" w:cs="Arial"/>
              </w:rPr>
              <w:t>R-</w:t>
            </w:r>
            <w:r w:rsidRPr="00032248">
              <w:rPr>
                <w:rFonts w:ascii="Arial" w:hAnsi="Arial" w:cs="Arial"/>
                <w:spacing w:val="-2"/>
              </w:rPr>
              <w:t>Squared</w:t>
            </w:r>
          </w:p>
        </w:tc>
        <w:tc>
          <w:tcPr>
            <w:tcW w:w="2883" w:type="dxa"/>
            <w:gridSpan w:val="3"/>
          </w:tcPr>
          <w:p w14:paraId="6C99E104" w14:textId="77777777" w:rsidR="00DD26B8" w:rsidRPr="00032248" w:rsidRDefault="00DD26B8" w:rsidP="00AE50F8">
            <w:pPr>
              <w:pStyle w:val="TableParagraph"/>
              <w:spacing w:after="120" w:line="276" w:lineRule="auto"/>
              <w:ind w:right="129"/>
              <w:rPr>
                <w:rFonts w:ascii="Arial" w:hAnsi="Arial" w:cs="Arial"/>
              </w:rPr>
            </w:pPr>
            <w:r w:rsidRPr="00032248">
              <w:rPr>
                <w:rFonts w:ascii="Arial" w:hAnsi="Arial" w:cs="Arial"/>
                <w:spacing w:val="-2"/>
              </w:rPr>
              <w:t>0.934729</w:t>
            </w:r>
          </w:p>
        </w:tc>
      </w:tr>
      <w:tr w:rsidR="00DD26B8" w:rsidRPr="00032248" w14:paraId="234D5F9F" w14:textId="77777777" w:rsidTr="00A5548C">
        <w:tblPrEx>
          <w:tblLook w:val="01E0" w:firstRow="1" w:lastRow="1" w:firstColumn="1" w:lastColumn="1" w:noHBand="0" w:noVBand="0"/>
        </w:tblPrEx>
        <w:trPr>
          <w:gridAfter w:val="3"/>
          <w:wAfter w:w="2762" w:type="dxa"/>
          <w:trHeight w:val="294"/>
        </w:trPr>
        <w:tc>
          <w:tcPr>
            <w:tcW w:w="2697" w:type="dxa"/>
          </w:tcPr>
          <w:p w14:paraId="2FAD5FF5" w14:textId="77777777" w:rsidR="00DD26B8" w:rsidRPr="00032248" w:rsidRDefault="00DD26B8" w:rsidP="00AE50F8">
            <w:pPr>
              <w:pStyle w:val="TableParagraph"/>
              <w:spacing w:after="120" w:line="276" w:lineRule="auto"/>
              <w:ind w:left="-1"/>
              <w:rPr>
                <w:rFonts w:ascii="Arial" w:hAnsi="Arial" w:cs="Arial"/>
              </w:rPr>
            </w:pPr>
            <w:r w:rsidRPr="00032248">
              <w:rPr>
                <w:rFonts w:ascii="Arial" w:hAnsi="Arial" w:cs="Arial"/>
              </w:rPr>
              <w:t>F-</w:t>
            </w:r>
            <w:r w:rsidRPr="00032248">
              <w:rPr>
                <w:rFonts w:ascii="Arial" w:hAnsi="Arial" w:cs="Arial"/>
                <w:spacing w:val="-2"/>
              </w:rPr>
              <w:t>statistic</w:t>
            </w:r>
          </w:p>
        </w:tc>
        <w:tc>
          <w:tcPr>
            <w:tcW w:w="2883" w:type="dxa"/>
            <w:gridSpan w:val="3"/>
          </w:tcPr>
          <w:p w14:paraId="2946FC64" w14:textId="77777777" w:rsidR="00DD26B8" w:rsidRPr="00032248" w:rsidRDefault="00DD26B8" w:rsidP="00AE50F8">
            <w:pPr>
              <w:pStyle w:val="TableParagraph"/>
              <w:spacing w:after="120" w:line="276" w:lineRule="auto"/>
              <w:ind w:right="127"/>
              <w:rPr>
                <w:rFonts w:ascii="Arial" w:hAnsi="Arial" w:cs="Arial"/>
                <w:color w:val="ACB9CA" w:themeColor="text2" w:themeTint="66"/>
              </w:rPr>
            </w:pPr>
            <w:r w:rsidRPr="00032248">
              <w:rPr>
                <w:rFonts w:ascii="Arial" w:hAnsi="Arial" w:cs="Arial"/>
                <w:spacing w:val="-2"/>
              </w:rPr>
              <w:t>21.15503</w:t>
            </w:r>
          </w:p>
        </w:tc>
      </w:tr>
    </w:tbl>
    <w:p w14:paraId="6A5A21B0" w14:textId="77777777" w:rsidR="00967A45" w:rsidRPr="00032248" w:rsidRDefault="00DD26B8" w:rsidP="00967A45">
      <w:pPr>
        <w:tabs>
          <w:tab w:val="left" w:pos="3581"/>
          <w:tab w:val="left" w:pos="4964"/>
        </w:tabs>
        <w:spacing w:after="120" w:line="360" w:lineRule="auto"/>
        <w:jc w:val="both"/>
        <w:rPr>
          <w:rFonts w:ascii="Arial" w:hAnsi="Arial"/>
          <w:spacing w:val="-2"/>
        </w:rPr>
      </w:pPr>
      <w:r w:rsidRPr="00032248">
        <w:rPr>
          <w:rFonts w:ascii="Arial" w:hAnsi="Arial" w:cs="Arial"/>
        </w:rPr>
        <w:t xml:space="preserve">    </w:t>
      </w:r>
      <w:r w:rsidR="00967A45" w:rsidRPr="00032248">
        <w:rPr>
          <w:rFonts w:ascii="Arial" w:hAnsi="Arial"/>
        </w:rPr>
        <w:t>Prob.(F-</w:t>
      </w:r>
      <w:proofErr w:type="gramStart"/>
      <w:r w:rsidR="00967A45" w:rsidRPr="00032248">
        <w:rPr>
          <w:rFonts w:ascii="Arial" w:hAnsi="Arial"/>
          <w:spacing w:val="-2"/>
        </w:rPr>
        <w:t>statistic)</w:t>
      </w:r>
      <w:r w:rsidR="00967A45" w:rsidRPr="00032248">
        <w:rPr>
          <w:rFonts w:ascii="Arial" w:hAnsi="Arial"/>
        </w:rPr>
        <w:t xml:space="preserve">  </w:t>
      </w:r>
      <w:r w:rsidR="00967A45" w:rsidRPr="00032248">
        <w:rPr>
          <w:rFonts w:ascii="Arial" w:hAnsi="Arial"/>
          <w:spacing w:val="-2"/>
        </w:rPr>
        <w:t>0.000004</w:t>
      </w:r>
      <w:proofErr w:type="gramEnd"/>
      <w:r w:rsidR="00967A45" w:rsidRPr="00032248">
        <w:rPr>
          <w:rFonts w:ascii="Arial" w:hAnsi="Arial"/>
        </w:rPr>
        <w:t xml:space="preserve">     Durbin-Watson</w:t>
      </w:r>
      <w:r w:rsidR="00967A45" w:rsidRPr="00032248">
        <w:rPr>
          <w:rFonts w:ascii="Arial" w:hAnsi="Arial"/>
          <w:spacing w:val="5"/>
        </w:rPr>
        <w:t xml:space="preserve"> </w:t>
      </w:r>
      <w:r w:rsidR="00967A45" w:rsidRPr="00032248">
        <w:rPr>
          <w:rFonts w:ascii="Arial" w:hAnsi="Arial"/>
        </w:rPr>
        <w:t>stat.</w:t>
      </w:r>
      <w:r w:rsidR="00967A45" w:rsidRPr="00032248">
        <w:rPr>
          <w:rFonts w:ascii="Arial" w:hAnsi="Arial"/>
          <w:spacing w:val="36"/>
        </w:rPr>
        <w:t xml:space="preserve">  </w:t>
      </w:r>
      <w:r w:rsidR="00967A45" w:rsidRPr="00032248">
        <w:rPr>
          <w:rFonts w:ascii="Arial" w:hAnsi="Arial"/>
          <w:spacing w:val="-2"/>
        </w:rPr>
        <w:t>2.481731</w:t>
      </w:r>
    </w:p>
    <w:p w14:paraId="1ECB4F5B" w14:textId="77777777" w:rsidR="00967A45" w:rsidRPr="00032248" w:rsidRDefault="00A229DD" w:rsidP="00967A45">
      <w:pPr>
        <w:tabs>
          <w:tab w:val="left" w:pos="3581"/>
          <w:tab w:val="left" w:pos="4964"/>
        </w:tabs>
        <w:spacing w:after="120" w:line="360" w:lineRule="auto"/>
        <w:jc w:val="both"/>
        <w:rPr>
          <w:rFonts w:ascii="Arial" w:hAnsi="Arial"/>
          <w:i/>
        </w:rPr>
      </w:pPr>
      <w:r w:rsidRPr="00032248">
        <w:rPr>
          <w:rFonts w:ascii="Arial" w:hAnsi="Arial" w:cs="Arial"/>
        </w:rPr>
        <w:t xml:space="preserve">    </w:t>
      </w:r>
      <w:r w:rsidR="00967A45" w:rsidRPr="00032248">
        <w:rPr>
          <w:rFonts w:ascii="Arial" w:hAnsi="Arial"/>
          <w:i/>
        </w:rPr>
        <w:t>Source:</w:t>
      </w:r>
      <w:r w:rsidR="00967A45" w:rsidRPr="00032248">
        <w:rPr>
          <w:rFonts w:ascii="Arial" w:hAnsi="Arial"/>
          <w:i/>
          <w:spacing w:val="16"/>
        </w:rPr>
        <w:t xml:space="preserve"> </w:t>
      </w:r>
      <w:r w:rsidR="00967A45" w:rsidRPr="00032248">
        <w:rPr>
          <w:rFonts w:ascii="Arial" w:hAnsi="Arial"/>
          <w:i/>
        </w:rPr>
        <w:t>Researcher’s</w:t>
      </w:r>
      <w:r w:rsidR="00967A45" w:rsidRPr="00032248">
        <w:rPr>
          <w:rFonts w:ascii="Arial" w:hAnsi="Arial"/>
          <w:i/>
          <w:spacing w:val="14"/>
        </w:rPr>
        <w:t xml:space="preserve"> </w:t>
      </w:r>
      <w:r w:rsidR="00967A45" w:rsidRPr="00032248">
        <w:rPr>
          <w:rFonts w:ascii="Arial" w:hAnsi="Arial"/>
          <w:i/>
        </w:rPr>
        <w:t>computation</w:t>
      </w:r>
      <w:r w:rsidR="00967A45" w:rsidRPr="00032248">
        <w:rPr>
          <w:rFonts w:ascii="Arial" w:hAnsi="Arial"/>
          <w:i/>
          <w:spacing w:val="17"/>
        </w:rPr>
        <w:t xml:space="preserve"> </w:t>
      </w:r>
      <w:r w:rsidR="00967A45" w:rsidRPr="00032248">
        <w:rPr>
          <w:rFonts w:ascii="Arial" w:hAnsi="Arial"/>
          <w:i/>
        </w:rPr>
        <w:t>(2025),</w:t>
      </w:r>
      <w:r w:rsidR="00967A45" w:rsidRPr="00032248">
        <w:rPr>
          <w:rFonts w:ascii="Arial" w:hAnsi="Arial"/>
          <w:i/>
          <w:spacing w:val="17"/>
        </w:rPr>
        <w:t xml:space="preserve"> </w:t>
      </w:r>
      <w:r w:rsidR="00967A45" w:rsidRPr="00032248">
        <w:rPr>
          <w:rFonts w:ascii="Arial" w:hAnsi="Arial"/>
          <w:i/>
        </w:rPr>
        <w:t>using</w:t>
      </w:r>
      <w:r w:rsidR="00967A45" w:rsidRPr="00032248">
        <w:rPr>
          <w:rFonts w:ascii="Arial" w:hAnsi="Arial"/>
          <w:i/>
          <w:spacing w:val="17"/>
        </w:rPr>
        <w:t xml:space="preserve"> </w:t>
      </w:r>
      <w:r w:rsidR="00967A45" w:rsidRPr="00032248">
        <w:rPr>
          <w:rFonts w:ascii="Arial" w:hAnsi="Arial"/>
          <w:i/>
        </w:rPr>
        <w:t>E-Views</w:t>
      </w:r>
    </w:p>
    <w:p w14:paraId="78B0178B" w14:textId="77777777" w:rsidR="00B32196" w:rsidRPr="00032248" w:rsidRDefault="00B32196" w:rsidP="003C78BA">
      <w:pPr>
        <w:spacing w:line="360" w:lineRule="auto"/>
        <w:jc w:val="both"/>
        <w:rPr>
          <w:rFonts w:ascii="Arial" w:hAnsi="Arial" w:cs="Arial"/>
        </w:rPr>
      </w:pPr>
      <w:r w:rsidRPr="00032248">
        <w:t>The coefficient of the lagged dependent variable indicates a positive relationship between past and current economic growth, suggesting some degree of persistence in Nigeria’s growth dynamics. The budget deficit also exhibits a positive and statistically significant short-run effect on economic growth, implying that fiscal expansion can stimulate economic activity in the short run.</w:t>
      </w:r>
    </w:p>
    <w:p w14:paraId="16842643" w14:textId="77777777" w:rsidR="00B32196" w:rsidRPr="00032248" w:rsidRDefault="00B32196" w:rsidP="003C78BA">
      <w:pPr>
        <w:spacing w:line="360" w:lineRule="auto"/>
        <w:jc w:val="both"/>
        <w:rPr>
          <w:rFonts w:ascii="Arial" w:hAnsi="Arial" w:cs="Arial"/>
        </w:rPr>
      </w:pPr>
      <w:r w:rsidRPr="00032248">
        <w:rPr>
          <w:rFonts w:ascii="Arial" w:hAnsi="Arial" w:cs="Arial"/>
        </w:rPr>
        <w:t>Tax reforms maintain a positive and statistically significant influence on economic growth in the short run, both contemporaneously and at the first lag. This indicates that improvements in tax policy may generate immediate economic benefits, likely through enhanced revenue mobilisation and improved fiscal management. However, the negative coefficient at the second lag suggests that some adjustment effects may occur over time as the economy responds to policy changes.</w:t>
      </w:r>
    </w:p>
    <w:p w14:paraId="66BC8811" w14:textId="77777777" w:rsidR="00B32196" w:rsidRPr="00032248" w:rsidRDefault="00B32196" w:rsidP="003C78BA">
      <w:pPr>
        <w:spacing w:line="360" w:lineRule="auto"/>
        <w:jc w:val="both"/>
        <w:rPr>
          <w:rFonts w:ascii="Arial" w:hAnsi="Arial" w:cs="Arial"/>
        </w:rPr>
      </w:pPr>
      <w:r w:rsidRPr="00032248">
        <w:rPr>
          <w:rFonts w:ascii="Arial" w:hAnsi="Arial" w:cs="Arial"/>
        </w:rPr>
        <w:t xml:space="preserve">Inflation displays a generally positive relationship with economic growth in the short run, although the statistical significance of these effects varies across different lags. This suggests that </w:t>
      </w:r>
      <w:r w:rsidRPr="00032248">
        <w:rPr>
          <w:rFonts w:ascii="Arial" w:hAnsi="Arial" w:cs="Arial"/>
        </w:rPr>
        <w:lastRenderedPageBreak/>
        <w:t>moderate price increases may coincide with periods of increased economic activity, but the relationship is less robust compared with other variables.</w:t>
      </w:r>
    </w:p>
    <w:p w14:paraId="69BCE910" w14:textId="77777777" w:rsidR="00B32196" w:rsidRPr="00032248" w:rsidRDefault="00B32196" w:rsidP="003C78BA">
      <w:pPr>
        <w:spacing w:line="360" w:lineRule="auto"/>
        <w:jc w:val="both"/>
        <w:rPr>
          <w:rFonts w:ascii="Arial" w:hAnsi="Arial" w:cs="Arial"/>
        </w:rPr>
      </w:pPr>
      <w:r w:rsidRPr="00032248">
        <w:t>The interest rate exhibits a negative relationship with economic growth in the short run at certain lags, indicating that increases in borrowing costs may temporarily dampen investment and economic activity. This short-run negative effect contrasts with the positive long-run relationship observed earlier, highlighting the dynamic nature of monetary-policy transmission.</w:t>
      </w:r>
    </w:p>
    <w:p w14:paraId="0F45F271" w14:textId="77777777" w:rsidR="00B32196" w:rsidRPr="00032248" w:rsidRDefault="00B32196" w:rsidP="003C78BA">
      <w:pPr>
        <w:spacing w:line="360" w:lineRule="auto"/>
        <w:jc w:val="both"/>
        <w:rPr>
          <w:rFonts w:ascii="Arial" w:hAnsi="Arial" w:cs="Arial"/>
        </w:rPr>
      </w:pPr>
      <w:r w:rsidRPr="00032248">
        <w:rPr>
          <w:rFonts w:ascii="Arial" w:hAnsi="Arial" w:cs="Arial"/>
        </w:rPr>
        <w:t>Trade openness shows a negative and statistically significant short-run relationship with economic growth. This suggests that increased exposure to international trade may initially exert adjustment pressures on domestic industries, particularly in an economy where import dependence remains high.</w:t>
      </w:r>
    </w:p>
    <w:p w14:paraId="0972948C" w14:textId="77777777" w:rsidR="002C6E04" w:rsidRPr="00032248" w:rsidRDefault="00B32196" w:rsidP="009656C0">
      <w:pPr>
        <w:spacing w:line="360" w:lineRule="auto"/>
        <w:jc w:val="both"/>
        <w:rPr>
          <w:rFonts w:ascii="Arial" w:hAnsi="Arial" w:cs="Arial"/>
        </w:rPr>
      </w:pPr>
      <w:r w:rsidRPr="00032248">
        <w:t>The error-correction term is negative and statistically significant, confirming the presence of a stable long-run equilibrium relationship among the variables. The coefficient indicates the speed at which deviations from long-run equilibrium are corrected. The negative sign implies that any short-run disequilibrium in economic growth adjusts towards its long-run path over time. The statistical significance of the error-correction term further validates the robustness of the ARDL specification.</w:t>
      </w:r>
    </w:p>
    <w:p w14:paraId="0BB97AE1" w14:textId="77777777" w:rsidR="00B32196" w:rsidRPr="00032248" w:rsidRDefault="00B32196" w:rsidP="003C78BA">
      <w:pPr>
        <w:spacing w:line="360" w:lineRule="auto"/>
        <w:jc w:val="both"/>
        <w:rPr>
          <w:rFonts w:ascii="Arial" w:hAnsi="Arial" w:cs="Arial"/>
          <w:b/>
          <w:bCs/>
        </w:rPr>
      </w:pPr>
      <w:r w:rsidRPr="00032248">
        <w:rPr>
          <w:rFonts w:ascii="Arial" w:hAnsi="Arial" w:cs="Arial"/>
          <w:b/>
          <w:bCs/>
        </w:rPr>
        <w:t>4.4 Post-Estimation Diagnostic Tests</w:t>
      </w:r>
    </w:p>
    <w:p w14:paraId="65ABD02B" w14:textId="77777777" w:rsidR="00B32196" w:rsidRPr="00032248" w:rsidRDefault="00B32196" w:rsidP="003C78BA">
      <w:pPr>
        <w:spacing w:line="360" w:lineRule="auto"/>
        <w:jc w:val="both"/>
        <w:rPr>
          <w:rFonts w:ascii="Arial" w:hAnsi="Arial" w:cs="Arial"/>
          <w:b/>
          <w:bCs/>
        </w:rPr>
      </w:pPr>
      <w:r w:rsidRPr="00032248">
        <w:rPr>
          <w:rFonts w:ascii="Arial" w:hAnsi="Arial" w:cs="Arial"/>
          <w:b/>
          <w:bCs/>
        </w:rPr>
        <w:t>4.4.1 Ramsey RESET Test</w:t>
      </w:r>
    </w:p>
    <w:p w14:paraId="0B5DF7F0" w14:textId="77777777" w:rsidR="00B32196" w:rsidRPr="00032248" w:rsidRDefault="00B32196" w:rsidP="003C78BA">
      <w:pPr>
        <w:spacing w:line="360" w:lineRule="auto"/>
        <w:jc w:val="both"/>
        <w:rPr>
          <w:rFonts w:ascii="Arial" w:hAnsi="Arial" w:cs="Arial"/>
        </w:rPr>
      </w:pPr>
      <w:r w:rsidRPr="00032248">
        <w:rPr>
          <w:rFonts w:ascii="Arial" w:hAnsi="Arial" w:cs="Arial"/>
        </w:rPr>
        <w:t>The Ramsey RESET test was conducted to examine whether the estimated model suffers from functional form misspecification. The result indicates that the null hypothesis of correct model specification cannot be rejected. This implies that the functional form of the model is appropriate and that no important explanatory variables have been omitted. Consequently, the estimated ARDL model adequately captures the relationship between fiscal policy variables and economic growth.</w:t>
      </w:r>
    </w:p>
    <w:p w14:paraId="2EFD5E66" w14:textId="77777777" w:rsidR="00B32196" w:rsidRPr="00032248" w:rsidRDefault="00B32196" w:rsidP="003C78BA">
      <w:pPr>
        <w:spacing w:line="360" w:lineRule="auto"/>
        <w:jc w:val="both"/>
        <w:rPr>
          <w:rFonts w:ascii="Arial" w:hAnsi="Arial" w:cs="Arial"/>
          <w:b/>
          <w:bCs/>
        </w:rPr>
      </w:pPr>
      <w:r w:rsidRPr="00032248">
        <w:rPr>
          <w:rFonts w:ascii="Arial" w:hAnsi="Arial" w:cs="Arial"/>
          <w:b/>
          <w:bCs/>
        </w:rPr>
        <w:t>4.4.2 Recursive Estimates: CUSUM and CUSUM of Squares</w:t>
      </w:r>
    </w:p>
    <w:p w14:paraId="491B28F9" w14:textId="77777777" w:rsidR="00B32196" w:rsidRPr="00032248" w:rsidRDefault="00B32196" w:rsidP="003C78BA">
      <w:pPr>
        <w:spacing w:line="360" w:lineRule="auto"/>
        <w:jc w:val="both"/>
        <w:rPr>
          <w:rFonts w:ascii="Arial" w:hAnsi="Arial" w:cs="Arial"/>
        </w:rPr>
      </w:pPr>
      <w:r w:rsidRPr="00032248">
        <w:rPr>
          <w:rFonts w:ascii="Arial" w:hAnsi="Arial" w:cs="Arial"/>
        </w:rPr>
        <w:t>The stability of the estimated parameters was further assessed using the cumulative sum (CUSUM) and cumulative sum of squares (CUSUMSQ) tests. These tests evaluate whether the estimated coefficients remain stable throughout the sample period.</w:t>
      </w:r>
    </w:p>
    <w:p w14:paraId="31FFC1F5" w14:textId="77777777" w:rsidR="00B32196" w:rsidRPr="00032248" w:rsidRDefault="00B32196" w:rsidP="003C78BA">
      <w:pPr>
        <w:spacing w:line="360" w:lineRule="auto"/>
        <w:jc w:val="both"/>
        <w:rPr>
          <w:rFonts w:ascii="Arial" w:hAnsi="Arial" w:cs="Arial"/>
        </w:rPr>
      </w:pPr>
      <w:r w:rsidRPr="00032248">
        <w:rPr>
          <w:rFonts w:ascii="Arial" w:hAnsi="Arial" w:cs="Arial"/>
        </w:rPr>
        <w:t>The graphical results show that both the CUSUM and CUSUMSQ statistics remain within the critical bounds at the five per cent significance level. This indicates that the estimated parameters are stable and that no significant structural instability exists in the model over the study period. The stability of the coefficients suggests that the estimated relationships are reliable and suitable for policy interpretation.</w:t>
      </w:r>
    </w:p>
    <w:p w14:paraId="3BC0A441" w14:textId="77777777" w:rsidR="00B32196" w:rsidRPr="00032248" w:rsidRDefault="00B32196" w:rsidP="003C78BA">
      <w:pPr>
        <w:spacing w:line="360" w:lineRule="auto"/>
        <w:jc w:val="both"/>
        <w:rPr>
          <w:rFonts w:ascii="Arial" w:hAnsi="Arial" w:cs="Arial"/>
          <w:b/>
          <w:bCs/>
        </w:rPr>
      </w:pPr>
      <w:r w:rsidRPr="00032248">
        <w:rPr>
          <w:rFonts w:ascii="Arial" w:hAnsi="Arial" w:cs="Arial"/>
          <w:b/>
          <w:bCs/>
        </w:rPr>
        <w:t>4.5 Discussion of Findings</w:t>
      </w:r>
    </w:p>
    <w:p w14:paraId="686A19B1" w14:textId="77777777" w:rsidR="00B32196" w:rsidRPr="00032248" w:rsidRDefault="00B32196" w:rsidP="003C78BA">
      <w:pPr>
        <w:spacing w:line="360" w:lineRule="auto"/>
        <w:jc w:val="both"/>
        <w:rPr>
          <w:rFonts w:ascii="Arial" w:hAnsi="Arial" w:cs="Arial"/>
        </w:rPr>
      </w:pPr>
      <w:r w:rsidRPr="00032248">
        <w:rPr>
          <w:rFonts w:ascii="Arial" w:hAnsi="Arial" w:cs="Arial"/>
        </w:rPr>
        <w:lastRenderedPageBreak/>
        <w:t>The empirical results provide several important insights into the relationship between fiscal policy and economic performance in Nigeria.</w:t>
      </w:r>
    </w:p>
    <w:p w14:paraId="49689176" w14:textId="77777777" w:rsidR="00B32196" w:rsidRPr="00032248" w:rsidRDefault="00B32196" w:rsidP="003C78BA">
      <w:pPr>
        <w:spacing w:line="360" w:lineRule="auto"/>
        <w:jc w:val="both"/>
        <w:rPr>
          <w:rFonts w:ascii="Arial" w:hAnsi="Arial" w:cs="Arial"/>
        </w:rPr>
      </w:pPr>
      <w:r w:rsidRPr="00032248">
        <w:rPr>
          <w:rFonts w:ascii="Arial" w:hAnsi="Arial" w:cs="Arial"/>
        </w:rPr>
        <w:t>The most notable finding is the positive and statistically significant effect of tax reforms on economic growth in both the short run and the long run. This suggests that improvements in tax administration and revenue mobilisation contribute meaningfully to economic expansion. In the Nigerian context, where government revenue has historically relied heavily on oil exports, strengthening the tax system appears to play a crucial role in promoting fiscal sustainability and economic growth.</w:t>
      </w:r>
    </w:p>
    <w:p w14:paraId="4BA146DD" w14:textId="77777777" w:rsidR="00B32196" w:rsidRPr="00032248" w:rsidRDefault="00B32196" w:rsidP="003C78BA">
      <w:pPr>
        <w:spacing w:line="360" w:lineRule="auto"/>
        <w:jc w:val="both"/>
        <w:rPr>
          <w:rFonts w:ascii="Arial" w:hAnsi="Arial" w:cs="Arial"/>
        </w:rPr>
      </w:pPr>
      <w:r w:rsidRPr="00032248">
        <w:t>The budget deficit also exhibits a positive relationship with economic growth, supporting the Keynesian argument that expansionary fiscal policy can stimulate aggregate demand. However, the Nigerian experience indicates that such deficits often arise from increased public expenditure aimed at addressing infrastructure gaps and supporting economic development.</w:t>
      </w:r>
    </w:p>
    <w:p w14:paraId="052874D0" w14:textId="77777777" w:rsidR="00B32196" w:rsidRPr="00032248" w:rsidRDefault="00B32196" w:rsidP="003C78BA">
      <w:pPr>
        <w:spacing w:line="360" w:lineRule="auto"/>
        <w:jc w:val="both"/>
        <w:rPr>
          <w:rFonts w:ascii="Arial" w:hAnsi="Arial" w:cs="Arial"/>
        </w:rPr>
      </w:pPr>
      <w:r w:rsidRPr="00032248">
        <w:t>Inflation and the interest rate both demonstrate positive long-run relationships with economic growth, although their short-run effects are less consistent. This finding reflects the complex interaction between macroeconomic stabilisation policies and economic activity in Nigeria, where moderate inflation may accompany periods of growth, while excessive volatility can undermine stability.</w:t>
      </w:r>
    </w:p>
    <w:p w14:paraId="7C1611F2" w14:textId="77777777" w:rsidR="00B32196" w:rsidRPr="00032248" w:rsidRDefault="00B32196" w:rsidP="003C78BA">
      <w:pPr>
        <w:spacing w:line="360" w:lineRule="auto"/>
        <w:jc w:val="both"/>
        <w:rPr>
          <w:rFonts w:ascii="Arial" w:hAnsi="Arial" w:cs="Arial"/>
        </w:rPr>
      </w:pPr>
      <w:r w:rsidRPr="00032248">
        <w:rPr>
          <w:rFonts w:ascii="Arial" w:hAnsi="Arial" w:cs="Arial"/>
        </w:rPr>
        <w:t>Trade openness presents an interesting dynamic. While it contributes positively to economic growth in the long run, its short-run impact appears negative. This pattern may reflect the structural characteristics of Nigeria’s economy, where increased openness initially exposes domestic industries to external competition but may ultimately enhance efficiency and growth through increased trade integration.</w:t>
      </w:r>
    </w:p>
    <w:p w14:paraId="75BB6E91" w14:textId="77777777" w:rsidR="00B32196" w:rsidRPr="00032248" w:rsidRDefault="00B32196" w:rsidP="003C78BA">
      <w:pPr>
        <w:spacing w:line="360" w:lineRule="auto"/>
        <w:jc w:val="both"/>
        <w:rPr>
          <w:rFonts w:ascii="Arial" w:hAnsi="Arial" w:cs="Arial"/>
        </w:rPr>
      </w:pPr>
      <w:r w:rsidRPr="00032248">
        <w:rPr>
          <w:rFonts w:ascii="Arial" w:hAnsi="Arial" w:cs="Arial"/>
        </w:rPr>
        <w:t>Overall, the findings highlight the importance of fiscal policy reforms, macroeconomic stability and external sector integration in shaping Nigeria’s economic performance.</w:t>
      </w:r>
    </w:p>
    <w:p w14:paraId="328DA20B" w14:textId="77777777" w:rsidR="00B32196" w:rsidRPr="00032248" w:rsidRDefault="00B32196" w:rsidP="003C78BA">
      <w:pPr>
        <w:spacing w:line="360" w:lineRule="auto"/>
        <w:jc w:val="both"/>
        <w:rPr>
          <w:rFonts w:ascii="Arial" w:hAnsi="Arial" w:cs="Arial"/>
          <w:b/>
          <w:bCs/>
        </w:rPr>
      </w:pPr>
      <w:r w:rsidRPr="00032248">
        <w:t>4.6 Policy Implications of the Findings</w:t>
      </w:r>
    </w:p>
    <w:p w14:paraId="7E8E5317" w14:textId="77777777" w:rsidR="00B32196" w:rsidRPr="00032248" w:rsidRDefault="00B32196" w:rsidP="003C78BA">
      <w:pPr>
        <w:spacing w:line="360" w:lineRule="auto"/>
        <w:jc w:val="both"/>
        <w:rPr>
          <w:rFonts w:ascii="Arial" w:hAnsi="Arial" w:cs="Arial"/>
        </w:rPr>
      </w:pPr>
      <w:r w:rsidRPr="00032248">
        <w:rPr>
          <w:rFonts w:ascii="Arial" w:hAnsi="Arial" w:cs="Arial"/>
        </w:rPr>
        <w:t>The empirical results provide several policy insights regarding the relationship between fiscal policy, macroeconomic conditions and economic performance in Nigeria.</w:t>
      </w:r>
    </w:p>
    <w:p w14:paraId="3516840E" w14:textId="77777777" w:rsidR="00B32196" w:rsidRPr="00032248" w:rsidRDefault="00B32196" w:rsidP="003C78BA">
      <w:pPr>
        <w:spacing w:line="360" w:lineRule="auto"/>
        <w:jc w:val="both"/>
        <w:rPr>
          <w:rFonts w:ascii="Arial" w:hAnsi="Arial" w:cs="Arial"/>
        </w:rPr>
      </w:pPr>
      <w:r w:rsidRPr="00032248">
        <w:rPr>
          <w:rFonts w:ascii="Arial" w:hAnsi="Arial" w:cs="Arial"/>
        </w:rPr>
        <w:t>The positive and statistically significant long-run effect of tax reforms on economic growth suggests that improvements in tax administration and revenue mobilisation play an important role in enhancing economic performance. The findings indicate that reforms aimed at strengthening the efficiency of tax collection and broadening the tax base may contribute to sustainable economic growth by improving government revenue capacity and supporting productive public expenditure.</w:t>
      </w:r>
    </w:p>
    <w:p w14:paraId="3BD4D9BD" w14:textId="77777777" w:rsidR="00B32196" w:rsidRPr="00032248" w:rsidRDefault="00B32196" w:rsidP="003C78BA">
      <w:pPr>
        <w:spacing w:line="360" w:lineRule="auto"/>
        <w:jc w:val="both"/>
        <w:rPr>
          <w:rFonts w:ascii="Arial" w:hAnsi="Arial" w:cs="Arial"/>
        </w:rPr>
      </w:pPr>
      <w:r w:rsidRPr="00032248">
        <w:lastRenderedPageBreak/>
        <w:t>The positive association between the budget deficit and economic growth in both the short and long run suggests that fiscal expansion has historically coincided with periods of economic improvement. This implies that deficit-financed public expenditure may stimulate economic activity, particularly when such spending is directed towards infrastructure development and other productive investments. However, the magnitude of the estimated coefficient also indicates that fiscal policy must be managed carefully to ensure that deficits remain consistent with long-term macroeconomic stability.</w:t>
      </w:r>
    </w:p>
    <w:p w14:paraId="6FB1FA87" w14:textId="77777777" w:rsidR="00B32196" w:rsidRPr="00032248" w:rsidRDefault="00B32196" w:rsidP="003C78BA">
      <w:pPr>
        <w:spacing w:line="360" w:lineRule="auto"/>
        <w:jc w:val="both"/>
        <w:rPr>
          <w:rFonts w:ascii="Arial" w:hAnsi="Arial" w:cs="Arial"/>
        </w:rPr>
      </w:pPr>
      <w:r w:rsidRPr="00032248">
        <w:t>The results for inflation and the interest rate indicate that macroeconomic stability remains an important component of economic performance. While moderate levels of inflation appear to coincide with economic growth, excessive price volatility could undermine the effectiveness of fiscal and monetary policies. Similarly, the mixed short-run and long-run effects of interest rates suggest that financial-sector policies should balance the objectives of maintaining price stability and supporting investment activity.</w:t>
      </w:r>
    </w:p>
    <w:p w14:paraId="19E50934" w14:textId="77777777" w:rsidR="00B32196" w:rsidRPr="00032248" w:rsidRDefault="00B32196" w:rsidP="003C78BA">
      <w:pPr>
        <w:spacing w:line="360" w:lineRule="auto"/>
        <w:jc w:val="both"/>
        <w:rPr>
          <w:rFonts w:ascii="Arial" w:hAnsi="Arial" w:cs="Arial"/>
        </w:rPr>
      </w:pPr>
      <w:r w:rsidRPr="00032248">
        <w:rPr>
          <w:rFonts w:ascii="Arial" w:hAnsi="Arial" w:cs="Arial"/>
        </w:rPr>
        <w:t>The findings regarding trade openness reveal that while greater integration with international markets may support economic growth over the long term, short-run adjustment effects may arise as domestic industries respond to increased competition. This suggests that trade policies should be complemented by structural measures that enhance the competitiveness of domestic production sectors.</w:t>
      </w:r>
    </w:p>
    <w:p w14:paraId="029EC29F" w14:textId="77777777" w:rsidR="00562181" w:rsidRPr="00032248" w:rsidRDefault="00B32196" w:rsidP="00562181">
      <w:pPr>
        <w:spacing w:line="360" w:lineRule="auto"/>
        <w:jc w:val="both"/>
        <w:rPr>
          <w:rFonts w:ascii="Arial" w:hAnsi="Arial" w:cs="Arial"/>
        </w:rPr>
      </w:pPr>
      <w:r w:rsidRPr="00032248">
        <w:t>Taken together, the empirical evidence highlights the importance of coordinated fiscal, monetary, and trade policies in promoting sustainable economic growth in Nigeria. The results suggest that policy frameworks that combine effective tax reforms, responsible fiscal management, and macroeconomic stability are likely to support improved economic performance over time.</w:t>
      </w:r>
    </w:p>
    <w:p w14:paraId="1F9D001E" w14:textId="77777777" w:rsidR="00B32196" w:rsidRPr="00032248" w:rsidRDefault="00B32196" w:rsidP="003C78BA">
      <w:pPr>
        <w:spacing w:line="360" w:lineRule="auto"/>
        <w:jc w:val="both"/>
        <w:rPr>
          <w:rFonts w:ascii="Arial" w:hAnsi="Arial" w:cs="Arial"/>
        </w:rPr>
      </w:pPr>
    </w:p>
    <w:p w14:paraId="651A34C6" w14:textId="77777777" w:rsidR="000C4BA8" w:rsidRPr="00032248" w:rsidRDefault="00B32196" w:rsidP="00AE50F8">
      <w:pPr>
        <w:spacing w:line="360" w:lineRule="auto"/>
        <w:outlineLvl w:val="1"/>
        <w:rPr>
          <w:rFonts w:ascii="Arial" w:hAnsi="Arial"/>
          <w:b/>
          <w:lang w:val="en-US"/>
        </w:rPr>
      </w:pPr>
      <w:r w:rsidRPr="00032248">
        <w:rPr>
          <w:rFonts w:ascii="Arial" w:hAnsi="Arial" w:cs="Arial"/>
          <w:b/>
          <w:bCs/>
        </w:rPr>
        <w:t xml:space="preserve">5.1 </w:t>
      </w:r>
      <w:r w:rsidR="000C4BA8" w:rsidRPr="00032248">
        <w:rPr>
          <w:rFonts w:ascii="Arial" w:hAnsi="Arial"/>
          <w:b/>
          <w:lang w:val="en-US"/>
        </w:rPr>
        <w:t>Conclusion</w:t>
      </w:r>
    </w:p>
    <w:p w14:paraId="3967716A" w14:textId="77777777" w:rsidR="000C4BA8" w:rsidRPr="00032248" w:rsidRDefault="000C4BA8" w:rsidP="00AE50F8">
      <w:pPr>
        <w:spacing w:line="360" w:lineRule="auto"/>
        <w:jc w:val="both"/>
        <w:rPr>
          <w:rFonts w:ascii="Arial" w:hAnsi="Arial"/>
          <w:lang w:val="en-US"/>
        </w:rPr>
      </w:pPr>
      <w:r w:rsidRPr="00032248">
        <w:t xml:space="preserve">The study examined the dynamic associations of budget deficits and tax-revenue mobilisation with economic performance in Nigeria between 2000 and 2023. The reported bounds test indicated a long-run relationship among real GDP growth, the budget-deficit ratio, tax revenue relative to GDP, inflation, the interest rate, and trade openness. The estimated long-run coefficients for the budget-deficit and tax-revenue ratios were positive and statistically significant. Short-run estimates also showed positive coefficients for changes in these fiscal variables, although the effects of tax revenue varied across lags. Trade openness displayed a positive long-run coefficient but negative short-run coefficients, indicating different associations across time horizons. The negative and significant error-correction term suggested adjustment following short-run deviations from the estimated equilibrium. These findings imply that fiscal management and revenue mobilisation were associated with Nigeria’s economic performance during the </w:t>
      </w:r>
      <w:r w:rsidRPr="00032248">
        <w:lastRenderedPageBreak/>
        <w:t>period considered. Nevertheless, the estimates do not establish causality or demonstrate the effect of specific tax-reform measures. Policy interpretation should therefore remain cautious and should consider the composition, financing, and sustainability of deficits alongside the administrative and distributional characteristics of taxation.</w:t>
      </w:r>
    </w:p>
    <w:p w14:paraId="5076AF0C" w14:textId="77777777" w:rsidR="00E45CEA" w:rsidRPr="00032248" w:rsidRDefault="00E45CEA" w:rsidP="00E45CEA">
      <w:pPr>
        <w:spacing w:line="360" w:lineRule="auto"/>
        <w:jc w:val="both"/>
        <w:rPr>
          <w:rFonts w:ascii="Arial" w:eastAsia="Times New Roman" w:hAnsi="Arial" w:cs="Arial"/>
          <w:lang w:val="en-US"/>
        </w:rPr>
      </w:pPr>
    </w:p>
    <w:p w14:paraId="74263A65" w14:textId="77777777" w:rsidR="000C4BA8" w:rsidRPr="00032248" w:rsidRDefault="000C4BA8" w:rsidP="00AE50F8">
      <w:pPr>
        <w:spacing w:line="360" w:lineRule="auto"/>
        <w:jc w:val="both"/>
        <w:outlineLvl w:val="1"/>
        <w:rPr>
          <w:rFonts w:ascii="Arial" w:hAnsi="Arial"/>
          <w:b/>
          <w:lang w:val="en-US"/>
        </w:rPr>
      </w:pPr>
      <w:r w:rsidRPr="00032248">
        <w:rPr>
          <w:rFonts w:ascii="Arial" w:hAnsi="Arial"/>
          <w:b/>
          <w:lang w:val="en-US"/>
        </w:rPr>
        <w:t>Limitations</w:t>
      </w:r>
    </w:p>
    <w:p w14:paraId="5085BB51" w14:textId="32C0667C" w:rsidR="000C4BA8" w:rsidRPr="00032248" w:rsidRDefault="003D6A66" w:rsidP="00AE50F8">
      <w:pPr>
        <w:spacing w:line="360" w:lineRule="auto"/>
        <w:jc w:val="both"/>
      </w:pPr>
      <w:r w:rsidRPr="00032248">
        <w:t>This study uses annual data for 2000–2023, resulting in a limited sample for a multivariable dynamic model. Tax revenue relative to GDP is only a proxy for tax reform and does not capture legislative, administrative, or compliance changes directly. Data are drawn from several secondary sources whose definitions and transformations require confirmation. The reported coefficients therefore represent conditional associations rather than causal effects.</w:t>
      </w:r>
    </w:p>
    <w:p w14:paraId="2F610FA4" w14:textId="77777777" w:rsidR="000C4BA8" w:rsidRPr="00032248" w:rsidRDefault="000C4BA8" w:rsidP="009B316E">
      <w:pPr>
        <w:spacing w:line="360" w:lineRule="auto"/>
        <w:jc w:val="both"/>
        <w:rPr>
          <w:rFonts w:ascii="Arial" w:hAnsi="Arial"/>
          <w14:ligatures w14:val="standardContextual"/>
        </w:rPr>
      </w:pPr>
    </w:p>
    <w:p w14:paraId="39A1C78B" w14:textId="77777777" w:rsidR="00B32196" w:rsidRPr="00032248" w:rsidRDefault="00B32196" w:rsidP="00E45CEA">
      <w:pPr>
        <w:spacing w:line="360" w:lineRule="auto"/>
        <w:jc w:val="both"/>
        <w:rPr>
          <w:rFonts w:ascii="Arial" w:hAnsi="Arial" w:cs="Arial"/>
          <w:b/>
          <w:bCs/>
          <w:sz w:val="24"/>
          <w:szCs w:val="24"/>
        </w:rPr>
      </w:pPr>
      <w:r w:rsidRPr="00032248">
        <w:rPr>
          <w:b/>
          <w:bCs/>
          <w:sz w:val="24"/>
          <w:szCs w:val="24"/>
        </w:rPr>
        <w:t>5.2 Recommendations</w:t>
      </w:r>
    </w:p>
    <w:p w14:paraId="0E70E57C" w14:textId="77777777" w:rsidR="00B32196" w:rsidRPr="00032248" w:rsidRDefault="00B32196" w:rsidP="00E45CEA">
      <w:pPr>
        <w:spacing w:line="360" w:lineRule="auto"/>
        <w:jc w:val="both"/>
        <w:rPr>
          <w:rFonts w:ascii="Arial" w:hAnsi="Arial" w:cs="Arial"/>
        </w:rPr>
      </w:pPr>
      <w:r w:rsidRPr="00032248">
        <w:rPr>
          <w:rFonts w:ascii="Arial" w:hAnsi="Arial" w:cs="Arial"/>
        </w:rPr>
        <w:t>Based on the empirical findings of this study, several policy recommendations emerge regarding the management of fiscal policy and macroeconomic conditions in Nigeria. Given the positive long-run relationship identified between budget deficits and economic growth, fiscal authorities should ensure that deficit financing is directed towards productive investments that enhance economic capacity, particularly in infrastructure, human capital development, and key productive sectors. When fiscal deficits are utilised to finance growth-enhancing expenditures, they are more likely to generate sustainable improvements in economic performance rather than merely increasing macroeconomic imbalances.</w:t>
      </w:r>
    </w:p>
    <w:p w14:paraId="1C206C30" w14:textId="77777777" w:rsidR="00E45CEA" w:rsidRPr="00032248" w:rsidRDefault="00E45CEA" w:rsidP="00E45CEA">
      <w:pPr>
        <w:spacing w:line="360" w:lineRule="auto"/>
        <w:jc w:val="both"/>
        <w:rPr>
          <w:rFonts w:ascii="Arial" w:hAnsi="Arial" w:cs="Arial"/>
        </w:rPr>
      </w:pPr>
    </w:p>
    <w:p w14:paraId="22E33260" w14:textId="77777777" w:rsidR="00B32196" w:rsidRPr="00032248" w:rsidRDefault="00B32196" w:rsidP="00E45CEA">
      <w:pPr>
        <w:spacing w:line="360" w:lineRule="auto"/>
        <w:jc w:val="both"/>
        <w:rPr>
          <w:rFonts w:ascii="Arial" w:hAnsi="Arial" w:cs="Arial"/>
        </w:rPr>
      </w:pPr>
      <w:r w:rsidRPr="00032248">
        <w:rPr>
          <w:rFonts w:ascii="Arial" w:hAnsi="Arial" w:cs="Arial"/>
        </w:rPr>
        <w:t>The positive relationship between tax reforms and economic growth also underscores the importance of maintaining continuous reforms within the tax system. Policymakers should prioritise measures that improve tax administration, broaden the tax base, and strengthen institutional capacity for revenue collection. Such reforms can enhance government revenue mobilisation while minimising distortions within the economy, thereby supporting long-run economic growth.</w:t>
      </w:r>
    </w:p>
    <w:p w14:paraId="0110448D" w14:textId="77777777" w:rsidR="00E45CEA" w:rsidRPr="00032248" w:rsidRDefault="00E45CEA" w:rsidP="00E45CEA">
      <w:pPr>
        <w:spacing w:line="360" w:lineRule="auto"/>
        <w:jc w:val="both"/>
        <w:rPr>
          <w:rFonts w:ascii="Arial" w:hAnsi="Arial" w:cs="Arial"/>
        </w:rPr>
      </w:pPr>
    </w:p>
    <w:p w14:paraId="6822871F" w14:textId="77777777" w:rsidR="00B32196" w:rsidRPr="00032248" w:rsidRDefault="00B32196" w:rsidP="00E45CEA">
      <w:pPr>
        <w:spacing w:line="360" w:lineRule="auto"/>
        <w:jc w:val="both"/>
        <w:rPr>
          <w:rFonts w:ascii="Arial" w:hAnsi="Arial" w:cs="Arial"/>
        </w:rPr>
      </w:pPr>
      <w:r w:rsidRPr="00032248">
        <w:rPr>
          <w:rFonts w:ascii="Arial" w:hAnsi="Arial" w:cs="Arial"/>
        </w:rPr>
        <w:t xml:space="preserve">In the short run, the mixed effects observed for certain macroeconomic variables suggest the need for careful coordination between fiscal and monetary policies. Authorities should adopt policy frameworks that minimise macroeconomic instability during adjustment periods, particularly in relation to interest rate movements and inflation management. Strengthening policy </w:t>
      </w:r>
      <w:r w:rsidRPr="00032248">
        <w:rPr>
          <w:rFonts w:ascii="Arial" w:hAnsi="Arial" w:cs="Arial"/>
        </w:rPr>
        <w:lastRenderedPageBreak/>
        <w:t>coordination between fiscal and monetary institutions can help stabilise the macroeconomic environment and reduce adverse short-term fluctuations that may hinder economic activity.</w:t>
      </w:r>
    </w:p>
    <w:p w14:paraId="0FA6AF6B" w14:textId="77777777" w:rsidR="00E45CEA" w:rsidRPr="00032248" w:rsidRDefault="00E45CEA" w:rsidP="00E45CEA">
      <w:pPr>
        <w:spacing w:line="360" w:lineRule="auto"/>
        <w:jc w:val="both"/>
        <w:rPr>
          <w:rFonts w:ascii="Arial" w:hAnsi="Arial" w:cs="Arial"/>
        </w:rPr>
      </w:pPr>
    </w:p>
    <w:p w14:paraId="08A4642E" w14:textId="77777777" w:rsidR="00B32196" w:rsidRPr="00032248" w:rsidRDefault="00B32196" w:rsidP="00E45CEA">
      <w:pPr>
        <w:spacing w:line="360" w:lineRule="auto"/>
        <w:jc w:val="both"/>
        <w:rPr>
          <w:rFonts w:ascii="Arial" w:hAnsi="Arial" w:cs="Arial"/>
        </w:rPr>
      </w:pPr>
      <w:r w:rsidRPr="00032248">
        <w:rPr>
          <w:rFonts w:ascii="Arial" w:hAnsi="Arial" w:cs="Arial"/>
        </w:rPr>
        <w:t>Furthermore, the positive long-run effect of trade openness on economic growth highlights the importance of sustaining policies that encourage international trade and economic integration. However, such policies should be accompanied by measures that strengthen domestic productive capacity to ensure that the economy can effectively benefit from global market opportunities. By combining prudent fiscal management, effective tax reforms, and supportive macroeconomic policies, Nigeria can create a more stable and conducive environment for sustained economic growth and development.</w:t>
      </w:r>
    </w:p>
    <w:p w14:paraId="75B0CB85" w14:textId="77777777" w:rsidR="009B316E" w:rsidRPr="00032248" w:rsidRDefault="009B316E" w:rsidP="00E45CEA">
      <w:pPr>
        <w:spacing w:line="360" w:lineRule="auto"/>
        <w:jc w:val="both"/>
        <w:rPr>
          <w:rFonts w:ascii="Arial" w:hAnsi="Arial" w:cs="Arial"/>
        </w:rPr>
      </w:pPr>
    </w:p>
    <w:p w14:paraId="5EFE5A84" w14:textId="77777777" w:rsidR="009B316E" w:rsidRPr="00032248" w:rsidRDefault="009B316E" w:rsidP="009B316E">
      <w:pPr>
        <w:spacing w:line="360" w:lineRule="auto"/>
        <w:jc w:val="both"/>
        <w:rPr>
          <w:rFonts w:ascii="Arial" w:hAnsi="Arial"/>
          <w:b/>
        </w:rPr>
      </w:pPr>
      <w:r w:rsidRPr="00032248">
        <w:rPr>
          <w:rFonts w:ascii="Arial" w:hAnsi="Arial"/>
          <w:b/>
        </w:rPr>
        <w:t>Declaration of AI Use</w:t>
      </w:r>
    </w:p>
    <w:p w14:paraId="5EE35BBC" w14:textId="77777777" w:rsidR="009B316E" w:rsidRPr="00032248" w:rsidRDefault="009B316E" w:rsidP="009B316E">
      <w:pPr>
        <w:spacing w:line="360" w:lineRule="auto"/>
        <w:jc w:val="both"/>
        <w:rPr>
          <w:rFonts w:ascii="Arial" w:hAnsi="Arial"/>
        </w:rPr>
      </w:pPr>
    </w:p>
    <w:p w14:paraId="534316B5" w14:textId="77777777" w:rsidR="009B316E" w:rsidRPr="00032248" w:rsidRDefault="009B316E" w:rsidP="009B316E">
      <w:pPr>
        <w:spacing w:line="360" w:lineRule="auto"/>
        <w:jc w:val="both"/>
        <w:rPr>
          <w:rFonts w:ascii="Arial" w:hAnsi="Arial"/>
        </w:rPr>
      </w:pPr>
      <w:r w:rsidRPr="00032248">
        <w:rPr>
          <w:rFonts w:ascii="Arial" w:hAnsi="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97BD746" w14:textId="77777777" w:rsidR="009B316E" w:rsidRPr="00032248" w:rsidRDefault="009B316E" w:rsidP="00E45CEA">
      <w:pPr>
        <w:spacing w:line="360" w:lineRule="auto"/>
        <w:jc w:val="both"/>
        <w:rPr>
          <w:rFonts w:ascii="Arial" w:hAnsi="Arial" w:cs="Arial"/>
        </w:rPr>
      </w:pPr>
    </w:p>
    <w:p w14:paraId="25A3F70E" w14:textId="77777777" w:rsidR="00E45CEA" w:rsidRPr="00032248" w:rsidRDefault="00E45CEA" w:rsidP="00E45CEA">
      <w:pPr>
        <w:pStyle w:val="ReferHead"/>
        <w:spacing w:after="0" w:line="360" w:lineRule="auto"/>
        <w:jc w:val="both"/>
        <w:rPr>
          <w:rFonts w:ascii="Arial" w:hAnsi="Arial" w:cs="Arial"/>
          <w:bCs/>
          <w:szCs w:val="22"/>
        </w:rPr>
      </w:pPr>
    </w:p>
    <w:p w14:paraId="1E498C5C" w14:textId="77777777" w:rsidR="009656C0" w:rsidRPr="00032248" w:rsidRDefault="009656C0" w:rsidP="00AE50F8">
      <w:pPr>
        <w:pStyle w:val="ReferHead"/>
        <w:spacing w:after="0" w:line="360" w:lineRule="auto"/>
        <w:jc w:val="both"/>
        <w:rPr>
          <w:rFonts w:ascii="Arial" w:hAnsi="Arial" w:cs="Arial"/>
          <w:bCs/>
          <w:szCs w:val="22"/>
        </w:rPr>
      </w:pPr>
      <w:r w:rsidRPr="00032248">
        <w:rPr>
          <w:rFonts w:ascii="Arial" w:hAnsi="Arial" w:cs="Arial"/>
          <w:bCs/>
          <w:szCs w:val="22"/>
        </w:rPr>
        <w:t>Competing interests</w:t>
      </w:r>
    </w:p>
    <w:p w14:paraId="069A68B6" w14:textId="77777777" w:rsidR="009656C0" w:rsidRPr="00032248" w:rsidRDefault="009656C0" w:rsidP="00AE50F8">
      <w:pPr>
        <w:pStyle w:val="ReferHead"/>
        <w:spacing w:after="0" w:line="360" w:lineRule="auto"/>
        <w:jc w:val="both"/>
        <w:rPr>
          <w:rFonts w:ascii="Arial" w:hAnsi="Arial"/>
          <w:b w:val="0"/>
          <w:caps w:val="0"/>
        </w:rPr>
      </w:pPr>
      <w:r w:rsidRPr="00032248">
        <w:rPr>
          <w:rFonts w:ascii="Arial" w:hAnsi="Arial"/>
          <w:b w:val="0"/>
          <w:caps w:val="0"/>
        </w:rPr>
        <w:t>Authors have declared that no competing interests exist.</w:t>
      </w:r>
    </w:p>
    <w:p w14:paraId="6CAFC5F0" w14:textId="77777777" w:rsidR="0063216B" w:rsidRDefault="00B04BAF" w:rsidP="002C6E04">
      <w:pPr>
        <w:spacing w:before="100" w:beforeAutospacing="1" w:after="100" w:afterAutospacing="1" w:line="360" w:lineRule="auto"/>
        <w:jc w:val="center"/>
        <w:rPr>
          <w:rFonts w:ascii="Arial" w:eastAsia="Times New Roman" w:hAnsi="Arial" w:cs="Arial"/>
          <w:b/>
          <w:bCs/>
          <w:lang w:val="en-US" w:eastAsia="en-GB"/>
        </w:rPr>
      </w:pPr>
      <w:r w:rsidRPr="00032248">
        <w:rPr>
          <w:rFonts w:ascii="Arial" w:eastAsia="Times New Roman" w:hAnsi="Arial" w:cs="Arial"/>
          <w:b/>
          <w:bCs/>
          <w:lang w:val="en-US" w:eastAsia="en-GB"/>
        </w:rPr>
        <w:t>References</w:t>
      </w:r>
    </w:p>
    <w:p w14:paraId="2E93C777" w14:textId="77777777" w:rsidR="00E2027D" w:rsidRDefault="00E2027D" w:rsidP="002C6E04">
      <w:pPr>
        <w:spacing w:before="100" w:beforeAutospacing="1" w:after="100" w:afterAutospacing="1" w:line="360" w:lineRule="auto"/>
        <w:jc w:val="center"/>
        <w:rPr>
          <w:rFonts w:ascii="Arial" w:eastAsia="Times New Roman" w:hAnsi="Arial" w:cs="Arial"/>
          <w:b/>
          <w:bCs/>
          <w:lang w:val="en-US" w:eastAsia="en-GB"/>
        </w:rPr>
      </w:pPr>
    </w:p>
    <w:p w14:paraId="1008B486" w14:textId="4024DAC5"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Aero, O., &amp; Ogundipe, A. A. (2018). Fiscal deficit and economic growth in Nigeria: Ascertaining a feasible threshold. </w:t>
      </w:r>
      <w:r w:rsidRPr="00E2027D">
        <w:rPr>
          <w:rFonts w:ascii="Times New Roman" w:eastAsia="Times New Roman" w:hAnsi="Times New Roman" w:cs="Times New Roman"/>
          <w:i/>
          <w:iCs/>
          <w:sz w:val="24"/>
          <w:szCs w:val="24"/>
          <w:lang w:val="en-US"/>
        </w:rPr>
        <w:t>International Journal of Economics and Financial Issues, 8</w:t>
      </w:r>
      <w:r w:rsidRPr="00E2027D">
        <w:rPr>
          <w:rFonts w:ascii="Times New Roman" w:eastAsia="Times New Roman" w:hAnsi="Times New Roman" w:cs="Times New Roman"/>
          <w:sz w:val="24"/>
          <w:szCs w:val="24"/>
          <w:lang w:val="en-US"/>
        </w:rPr>
        <w:t xml:space="preserve">(3), 296–306. </w:t>
      </w:r>
      <w:hyperlink r:id="rId8" w:history="1">
        <w:r w:rsidRPr="00E2027D">
          <w:rPr>
            <w:rFonts w:ascii="Times New Roman" w:eastAsia="Times New Roman" w:hAnsi="Times New Roman" w:cs="Times New Roman"/>
            <w:color w:val="0000FF"/>
            <w:sz w:val="24"/>
            <w:szCs w:val="24"/>
            <w:u w:val="single"/>
            <w:lang w:val="en-US"/>
          </w:rPr>
          <w:t>https://econjournals.com/index.php/ijefi/article/view/4421</w:t>
        </w:r>
      </w:hyperlink>
    </w:p>
    <w:p w14:paraId="39022DBB"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lastRenderedPageBreak/>
        <w:t xml:space="preserve">Ayana, I. D., Demissie, W. M., &amp; Sore, A. G. (2023). Effect of government revenue on economic growth of sub-Saharan Africa: Does institutional quality matter? </w:t>
      </w:r>
      <w:r w:rsidRPr="00E2027D">
        <w:rPr>
          <w:rFonts w:ascii="Times New Roman" w:eastAsia="Times New Roman" w:hAnsi="Times New Roman" w:cs="Times New Roman"/>
          <w:i/>
          <w:iCs/>
          <w:sz w:val="24"/>
          <w:szCs w:val="24"/>
          <w:lang w:val="en-US"/>
        </w:rPr>
        <w:t>PLOS ONE, 18</w:t>
      </w:r>
      <w:r w:rsidRPr="00E2027D">
        <w:rPr>
          <w:rFonts w:ascii="Times New Roman" w:eastAsia="Times New Roman" w:hAnsi="Times New Roman" w:cs="Times New Roman"/>
          <w:sz w:val="24"/>
          <w:szCs w:val="24"/>
          <w:lang w:val="en-US"/>
        </w:rPr>
        <w:t xml:space="preserve">(11), e0293847. </w:t>
      </w:r>
      <w:hyperlink r:id="rId9" w:history="1">
        <w:r w:rsidRPr="00E2027D">
          <w:rPr>
            <w:rFonts w:ascii="Times New Roman" w:eastAsia="Times New Roman" w:hAnsi="Times New Roman" w:cs="Times New Roman"/>
            <w:color w:val="0000FF"/>
            <w:sz w:val="24"/>
            <w:szCs w:val="24"/>
            <w:u w:val="single"/>
            <w:lang w:val="en-US"/>
          </w:rPr>
          <w:t>https://doi.org/10.1371/journal.pone.0293847</w:t>
        </w:r>
      </w:hyperlink>
    </w:p>
    <w:p w14:paraId="23A1297D"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Barro, R. J. (1974). Are government bonds net wealth? </w:t>
      </w:r>
      <w:r w:rsidRPr="00E2027D">
        <w:rPr>
          <w:rFonts w:ascii="Times New Roman" w:eastAsia="Times New Roman" w:hAnsi="Times New Roman" w:cs="Times New Roman"/>
          <w:i/>
          <w:iCs/>
          <w:sz w:val="24"/>
          <w:szCs w:val="24"/>
          <w:lang w:val="en-US"/>
        </w:rPr>
        <w:t>Journal of Political Economy, 82</w:t>
      </w:r>
      <w:r w:rsidRPr="00E2027D">
        <w:rPr>
          <w:rFonts w:ascii="Times New Roman" w:eastAsia="Times New Roman" w:hAnsi="Times New Roman" w:cs="Times New Roman"/>
          <w:sz w:val="24"/>
          <w:szCs w:val="24"/>
          <w:lang w:val="en-US"/>
        </w:rPr>
        <w:t xml:space="preserve">(6), 1095–1117. </w:t>
      </w:r>
      <w:hyperlink r:id="rId10" w:history="1">
        <w:r w:rsidRPr="00E2027D">
          <w:rPr>
            <w:rFonts w:ascii="Times New Roman" w:eastAsia="Times New Roman" w:hAnsi="Times New Roman" w:cs="Times New Roman"/>
            <w:color w:val="0000FF"/>
            <w:sz w:val="24"/>
            <w:szCs w:val="24"/>
            <w:u w:val="single"/>
            <w:lang w:val="en-US"/>
          </w:rPr>
          <w:t>https://doi.org/10.1086/260266</w:t>
        </w:r>
      </w:hyperlink>
    </w:p>
    <w:p w14:paraId="78C16FFB"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Effiong, U., &amp; Okijie, S. (2021). Fiscal imbalance and macroeconomic instability in Nigeria: Implications for national development. </w:t>
      </w:r>
      <w:r w:rsidRPr="00E2027D">
        <w:rPr>
          <w:rFonts w:ascii="Times New Roman" w:eastAsia="Times New Roman" w:hAnsi="Times New Roman" w:cs="Times New Roman"/>
          <w:i/>
          <w:iCs/>
          <w:sz w:val="24"/>
          <w:szCs w:val="24"/>
          <w:lang w:val="en-US"/>
        </w:rPr>
        <w:t xml:space="preserve">Acta Universitatis </w:t>
      </w:r>
      <w:proofErr w:type="spellStart"/>
      <w:r w:rsidRPr="00E2027D">
        <w:rPr>
          <w:rFonts w:ascii="Times New Roman" w:eastAsia="Times New Roman" w:hAnsi="Times New Roman" w:cs="Times New Roman"/>
          <w:i/>
          <w:iCs/>
          <w:sz w:val="24"/>
          <w:szCs w:val="24"/>
          <w:lang w:val="en-US"/>
        </w:rPr>
        <w:t>Danubius</w:t>
      </w:r>
      <w:proofErr w:type="spellEnd"/>
      <w:r w:rsidRPr="00E2027D">
        <w:rPr>
          <w:rFonts w:ascii="Times New Roman" w:eastAsia="Times New Roman" w:hAnsi="Times New Roman" w:cs="Times New Roman"/>
          <w:i/>
          <w:iCs/>
          <w:sz w:val="24"/>
          <w:szCs w:val="24"/>
          <w:lang w:val="en-US"/>
        </w:rPr>
        <w:t xml:space="preserve">: </w:t>
      </w:r>
      <w:proofErr w:type="spellStart"/>
      <w:r w:rsidRPr="00E2027D">
        <w:rPr>
          <w:rFonts w:ascii="Times New Roman" w:eastAsia="Times New Roman" w:hAnsi="Times New Roman" w:cs="Times New Roman"/>
          <w:i/>
          <w:iCs/>
          <w:sz w:val="24"/>
          <w:szCs w:val="24"/>
          <w:lang w:val="en-US"/>
        </w:rPr>
        <w:t>Œconomica</w:t>
      </w:r>
      <w:proofErr w:type="spellEnd"/>
      <w:r w:rsidRPr="00E2027D">
        <w:rPr>
          <w:rFonts w:ascii="Times New Roman" w:eastAsia="Times New Roman" w:hAnsi="Times New Roman" w:cs="Times New Roman"/>
          <w:i/>
          <w:iCs/>
          <w:sz w:val="24"/>
          <w:szCs w:val="24"/>
          <w:lang w:val="en-US"/>
        </w:rPr>
        <w:t>, 17</w:t>
      </w:r>
      <w:r w:rsidRPr="00E2027D">
        <w:rPr>
          <w:rFonts w:ascii="Times New Roman" w:eastAsia="Times New Roman" w:hAnsi="Times New Roman" w:cs="Times New Roman"/>
          <w:sz w:val="24"/>
          <w:szCs w:val="24"/>
          <w:lang w:val="en-US"/>
        </w:rPr>
        <w:t xml:space="preserve">(3), 118–139. </w:t>
      </w:r>
      <w:hyperlink r:id="rId11" w:history="1">
        <w:r w:rsidRPr="00E2027D">
          <w:rPr>
            <w:rFonts w:ascii="Times New Roman" w:eastAsia="Times New Roman" w:hAnsi="Times New Roman" w:cs="Times New Roman"/>
            <w:color w:val="0000FF"/>
            <w:sz w:val="24"/>
            <w:szCs w:val="24"/>
            <w:u w:val="single"/>
            <w:lang w:val="en-US"/>
          </w:rPr>
          <w:t>https://dj.univ-danubius.ro/index.php/AUDOE/article/view/1020</w:t>
        </w:r>
      </w:hyperlink>
    </w:p>
    <w:p w14:paraId="2FF1ECA4"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Effiong, U. E. (2020). Interest rate and real sector output growth in Nigeria: Empirical evidence. </w:t>
      </w:r>
      <w:r w:rsidRPr="00E2027D">
        <w:rPr>
          <w:rFonts w:ascii="Times New Roman" w:eastAsia="Times New Roman" w:hAnsi="Times New Roman" w:cs="Times New Roman"/>
          <w:i/>
          <w:iCs/>
          <w:sz w:val="24"/>
          <w:szCs w:val="24"/>
          <w:lang w:val="en-US"/>
        </w:rPr>
        <w:t>East African Scholars Journal of Economics, Business and Management, 3</w:t>
      </w:r>
      <w:r w:rsidRPr="00E2027D">
        <w:rPr>
          <w:rFonts w:ascii="Times New Roman" w:eastAsia="Times New Roman" w:hAnsi="Times New Roman" w:cs="Times New Roman"/>
          <w:sz w:val="24"/>
          <w:szCs w:val="24"/>
          <w:lang w:val="en-US"/>
        </w:rPr>
        <w:t xml:space="preserve">(10), 781–788. </w:t>
      </w:r>
      <w:hyperlink r:id="rId12" w:history="1">
        <w:r w:rsidRPr="00E2027D">
          <w:rPr>
            <w:rFonts w:ascii="Times New Roman" w:eastAsia="Times New Roman" w:hAnsi="Times New Roman" w:cs="Times New Roman"/>
            <w:color w:val="0000FF"/>
            <w:sz w:val="24"/>
            <w:szCs w:val="24"/>
            <w:u w:val="single"/>
            <w:lang w:val="en-US"/>
          </w:rPr>
          <w:t>https://doi.org/10.36349/easjebm.2020.v03i10.003</w:t>
        </w:r>
      </w:hyperlink>
    </w:p>
    <w:p w14:paraId="6F101E2D"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Falade, O. E., </w:t>
      </w:r>
      <w:proofErr w:type="spellStart"/>
      <w:r w:rsidRPr="00E2027D">
        <w:rPr>
          <w:rFonts w:ascii="Times New Roman" w:eastAsia="Times New Roman" w:hAnsi="Times New Roman" w:cs="Times New Roman"/>
          <w:sz w:val="24"/>
          <w:szCs w:val="24"/>
          <w:lang w:val="en-US"/>
        </w:rPr>
        <w:t>Akinjeji</w:t>
      </w:r>
      <w:proofErr w:type="spellEnd"/>
      <w:r w:rsidRPr="00E2027D">
        <w:rPr>
          <w:rFonts w:ascii="Times New Roman" w:eastAsia="Times New Roman" w:hAnsi="Times New Roman" w:cs="Times New Roman"/>
          <w:sz w:val="24"/>
          <w:szCs w:val="24"/>
          <w:lang w:val="en-US"/>
        </w:rPr>
        <w:t xml:space="preserve">, A. F., &amp; </w:t>
      </w:r>
      <w:proofErr w:type="spellStart"/>
      <w:r w:rsidRPr="00E2027D">
        <w:rPr>
          <w:rFonts w:ascii="Times New Roman" w:eastAsia="Times New Roman" w:hAnsi="Times New Roman" w:cs="Times New Roman"/>
          <w:sz w:val="24"/>
          <w:szCs w:val="24"/>
          <w:lang w:val="en-US"/>
        </w:rPr>
        <w:t>Falmata</w:t>
      </w:r>
      <w:proofErr w:type="spellEnd"/>
      <w:r w:rsidRPr="00E2027D">
        <w:rPr>
          <w:rFonts w:ascii="Times New Roman" w:eastAsia="Times New Roman" w:hAnsi="Times New Roman" w:cs="Times New Roman"/>
          <w:sz w:val="24"/>
          <w:szCs w:val="24"/>
          <w:lang w:val="en-US"/>
        </w:rPr>
        <w:t xml:space="preserve">, A. (2024). Public debt and infrastructural development in Nigeria. </w:t>
      </w:r>
      <w:r w:rsidRPr="00E2027D">
        <w:rPr>
          <w:rFonts w:ascii="Times New Roman" w:eastAsia="Times New Roman" w:hAnsi="Times New Roman" w:cs="Times New Roman"/>
          <w:i/>
          <w:iCs/>
          <w:sz w:val="24"/>
          <w:szCs w:val="24"/>
          <w:lang w:val="en-US"/>
        </w:rPr>
        <w:t>Journal of Global Economics, Management and Business Research, 16</w:t>
      </w:r>
      <w:r w:rsidRPr="00E2027D">
        <w:rPr>
          <w:rFonts w:ascii="Times New Roman" w:eastAsia="Times New Roman" w:hAnsi="Times New Roman" w:cs="Times New Roman"/>
          <w:sz w:val="24"/>
          <w:szCs w:val="24"/>
          <w:lang w:val="en-US"/>
        </w:rPr>
        <w:t xml:space="preserve">(2), 11–20. </w:t>
      </w:r>
      <w:hyperlink r:id="rId13" w:history="1">
        <w:r w:rsidRPr="00E2027D">
          <w:rPr>
            <w:rFonts w:ascii="Times New Roman" w:eastAsia="Times New Roman" w:hAnsi="Times New Roman" w:cs="Times New Roman"/>
            <w:color w:val="0000FF"/>
            <w:sz w:val="24"/>
            <w:szCs w:val="24"/>
            <w:u w:val="single"/>
            <w:lang w:val="en-US"/>
          </w:rPr>
          <w:t>https://doi.org/10.56557/jgembr/2024/v16i28773</w:t>
        </w:r>
      </w:hyperlink>
    </w:p>
    <w:p w14:paraId="586292F1"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proofErr w:type="spellStart"/>
      <w:r w:rsidRPr="00E2027D">
        <w:rPr>
          <w:rFonts w:ascii="Times New Roman" w:eastAsia="Times New Roman" w:hAnsi="Times New Roman" w:cs="Times New Roman"/>
          <w:sz w:val="24"/>
          <w:szCs w:val="24"/>
          <w:lang w:val="en-US"/>
        </w:rPr>
        <w:t>Fashina</w:t>
      </w:r>
      <w:proofErr w:type="spellEnd"/>
      <w:r w:rsidRPr="00E2027D">
        <w:rPr>
          <w:rFonts w:ascii="Times New Roman" w:eastAsia="Times New Roman" w:hAnsi="Times New Roman" w:cs="Times New Roman"/>
          <w:sz w:val="24"/>
          <w:szCs w:val="24"/>
          <w:lang w:val="en-US"/>
        </w:rPr>
        <w:t xml:space="preserve">, O. A., </w:t>
      </w:r>
      <w:proofErr w:type="spellStart"/>
      <w:r w:rsidRPr="00E2027D">
        <w:rPr>
          <w:rFonts w:ascii="Times New Roman" w:eastAsia="Times New Roman" w:hAnsi="Times New Roman" w:cs="Times New Roman"/>
          <w:sz w:val="24"/>
          <w:szCs w:val="24"/>
          <w:lang w:val="en-US"/>
        </w:rPr>
        <w:t>Asaleye</w:t>
      </w:r>
      <w:proofErr w:type="spellEnd"/>
      <w:r w:rsidRPr="00E2027D">
        <w:rPr>
          <w:rFonts w:ascii="Times New Roman" w:eastAsia="Times New Roman" w:hAnsi="Times New Roman" w:cs="Times New Roman"/>
          <w:sz w:val="24"/>
          <w:szCs w:val="24"/>
          <w:lang w:val="en-US"/>
        </w:rPr>
        <w:t xml:space="preserve">, A. J., Ogunjobi, J. O., &amp; Lawal, A. I. (2018). Foreign aid, human capital and economic growth nexus: Evidence from Nigeria. </w:t>
      </w:r>
      <w:r w:rsidRPr="00E2027D">
        <w:rPr>
          <w:rFonts w:ascii="Times New Roman" w:eastAsia="Times New Roman" w:hAnsi="Times New Roman" w:cs="Times New Roman"/>
          <w:i/>
          <w:iCs/>
          <w:sz w:val="24"/>
          <w:szCs w:val="24"/>
          <w:lang w:val="en-US"/>
        </w:rPr>
        <w:t>Journal of International Studies, 11</w:t>
      </w:r>
      <w:r w:rsidRPr="00E2027D">
        <w:rPr>
          <w:rFonts w:ascii="Times New Roman" w:eastAsia="Times New Roman" w:hAnsi="Times New Roman" w:cs="Times New Roman"/>
          <w:sz w:val="24"/>
          <w:szCs w:val="24"/>
          <w:lang w:val="en-US"/>
        </w:rPr>
        <w:t xml:space="preserve">(2), 104–117. </w:t>
      </w:r>
      <w:hyperlink r:id="rId14" w:history="1">
        <w:r w:rsidRPr="00E2027D">
          <w:rPr>
            <w:rFonts w:ascii="Times New Roman" w:eastAsia="Times New Roman" w:hAnsi="Times New Roman" w:cs="Times New Roman"/>
            <w:color w:val="0000FF"/>
            <w:sz w:val="24"/>
            <w:szCs w:val="24"/>
            <w:u w:val="single"/>
            <w:lang w:val="en-US"/>
          </w:rPr>
          <w:t>https://doi.org/10.14254/2071-8330.2018/11-2/8</w:t>
        </w:r>
      </w:hyperlink>
    </w:p>
    <w:p w14:paraId="55D1FAB4"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International Monetary Fund. (2024). </w:t>
      </w:r>
      <w:r w:rsidRPr="00E2027D">
        <w:rPr>
          <w:rFonts w:ascii="Times New Roman" w:eastAsia="Times New Roman" w:hAnsi="Times New Roman" w:cs="Times New Roman"/>
          <w:i/>
          <w:iCs/>
          <w:sz w:val="24"/>
          <w:szCs w:val="24"/>
          <w:lang w:val="en-US"/>
        </w:rPr>
        <w:t>Nigeria: 2024 Article IV consultation—Press release; staff report; staff statement; and statement by the Executive Director for Nigeria</w:t>
      </w:r>
      <w:r w:rsidRPr="00E2027D">
        <w:rPr>
          <w:rFonts w:ascii="Times New Roman" w:eastAsia="Times New Roman" w:hAnsi="Times New Roman" w:cs="Times New Roman"/>
          <w:sz w:val="24"/>
          <w:szCs w:val="24"/>
          <w:lang w:val="en-US"/>
        </w:rPr>
        <w:t xml:space="preserve"> (IMF Country Report No. 24/102). </w:t>
      </w:r>
      <w:hyperlink r:id="rId15" w:history="1">
        <w:r w:rsidRPr="00E2027D">
          <w:rPr>
            <w:rFonts w:ascii="Times New Roman" w:eastAsia="Times New Roman" w:hAnsi="Times New Roman" w:cs="Times New Roman"/>
            <w:color w:val="0000FF"/>
            <w:sz w:val="24"/>
            <w:szCs w:val="24"/>
            <w:u w:val="single"/>
            <w:lang w:val="en-US"/>
          </w:rPr>
          <w:t>https://doi.org/10.5089/9798400275074.002</w:t>
        </w:r>
      </w:hyperlink>
    </w:p>
    <w:p w14:paraId="738BAD18" w14:textId="08DF44F3"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Jones, E., &amp; Ekwueme, D. C. (2016). Assessment of the impact of tax reforms on economic growth in Nigeria. </w:t>
      </w:r>
      <w:r w:rsidRPr="00E2027D">
        <w:rPr>
          <w:rFonts w:ascii="Times New Roman" w:eastAsia="Times New Roman" w:hAnsi="Times New Roman" w:cs="Times New Roman"/>
          <w:i/>
          <w:iCs/>
          <w:sz w:val="24"/>
          <w:szCs w:val="24"/>
          <w:lang w:val="en-US"/>
        </w:rPr>
        <w:t>Journal of Accounting and Financial Management, 2</w:t>
      </w:r>
      <w:r w:rsidRPr="00E2027D">
        <w:rPr>
          <w:rFonts w:ascii="Times New Roman" w:eastAsia="Times New Roman" w:hAnsi="Times New Roman" w:cs="Times New Roman"/>
          <w:sz w:val="24"/>
          <w:szCs w:val="24"/>
          <w:lang w:val="en-US"/>
        </w:rPr>
        <w:t xml:space="preserve">(2), 15–28. </w:t>
      </w:r>
    </w:p>
    <w:p w14:paraId="507C6C87" w14:textId="395B913B"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Keynes, J. M. (1936). </w:t>
      </w:r>
      <w:r w:rsidRPr="00E2027D">
        <w:rPr>
          <w:rFonts w:ascii="Times New Roman" w:eastAsia="Times New Roman" w:hAnsi="Times New Roman" w:cs="Times New Roman"/>
          <w:i/>
          <w:iCs/>
          <w:sz w:val="24"/>
          <w:szCs w:val="24"/>
          <w:lang w:val="en-US"/>
        </w:rPr>
        <w:t>The general theory of employment, interest and money</w:t>
      </w:r>
      <w:r w:rsidRPr="00E2027D">
        <w:rPr>
          <w:rFonts w:ascii="Times New Roman" w:eastAsia="Times New Roman" w:hAnsi="Times New Roman" w:cs="Times New Roman"/>
          <w:sz w:val="24"/>
          <w:szCs w:val="24"/>
          <w:lang w:val="en-US"/>
        </w:rPr>
        <w:t xml:space="preserve">. Macmillan. </w:t>
      </w:r>
    </w:p>
    <w:p w14:paraId="505C45CB"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Ndubuisi, C. J., Ezeokwelume, O. L., &amp; Maduka, R. O. (2020). Tax revenue, tax reform and government expenditure: The case of the Nigerian economy (1994–2017). </w:t>
      </w:r>
      <w:r w:rsidRPr="00E2027D">
        <w:rPr>
          <w:rFonts w:ascii="Times New Roman" w:eastAsia="Times New Roman" w:hAnsi="Times New Roman" w:cs="Times New Roman"/>
          <w:i/>
          <w:iCs/>
          <w:sz w:val="24"/>
          <w:szCs w:val="24"/>
          <w:lang w:val="en-US"/>
        </w:rPr>
        <w:t>Asian Journal of Economics, Business and Accounting, 18</w:t>
      </w:r>
      <w:r w:rsidRPr="00E2027D">
        <w:rPr>
          <w:rFonts w:ascii="Times New Roman" w:eastAsia="Times New Roman" w:hAnsi="Times New Roman" w:cs="Times New Roman"/>
          <w:sz w:val="24"/>
          <w:szCs w:val="24"/>
          <w:lang w:val="en-US"/>
        </w:rPr>
        <w:t xml:space="preserve">(3), 1–12. </w:t>
      </w:r>
      <w:hyperlink r:id="rId16" w:history="1">
        <w:r w:rsidRPr="00E2027D">
          <w:rPr>
            <w:rFonts w:ascii="Times New Roman" w:eastAsia="Times New Roman" w:hAnsi="Times New Roman" w:cs="Times New Roman"/>
            <w:color w:val="0000FF"/>
            <w:sz w:val="24"/>
            <w:szCs w:val="24"/>
            <w:u w:val="single"/>
            <w:lang w:val="en-US"/>
          </w:rPr>
          <w:t>https://doi.org/10.9734/ajeba/2020/v18i330283</w:t>
        </w:r>
      </w:hyperlink>
    </w:p>
    <w:p w14:paraId="17EFB081" w14:textId="1C0650EF"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Ogbonna, G. N., &amp; Appah, E. (2012). Impact of tax reforms and economic growth of Nigeria: A time series analysis. </w:t>
      </w:r>
      <w:r w:rsidRPr="00E2027D">
        <w:rPr>
          <w:rFonts w:ascii="Times New Roman" w:eastAsia="Times New Roman" w:hAnsi="Times New Roman" w:cs="Times New Roman"/>
          <w:i/>
          <w:iCs/>
          <w:sz w:val="24"/>
          <w:szCs w:val="24"/>
          <w:lang w:val="en-US"/>
        </w:rPr>
        <w:t>Current Research Journal of Social Sciences, 4</w:t>
      </w:r>
      <w:r w:rsidRPr="00E2027D">
        <w:rPr>
          <w:rFonts w:ascii="Times New Roman" w:eastAsia="Times New Roman" w:hAnsi="Times New Roman" w:cs="Times New Roman"/>
          <w:sz w:val="24"/>
          <w:szCs w:val="24"/>
          <w:lang w:val="en-US"/>
        </w:rPr>
        <w:t xml:space="preserve">(1), 62–68. </w:t>
      </w:r>
    </w:p>
    <w:p w14:paraId="61530214"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proofErr w:type="spellStart"/>
      <w:r w:rsidRPr="00E2027D">
        <w:rPr>
          <w:rFonts w:ascii="Times New Roman" w:eastAsia="Times New Roman" w:hAnsi="Times New Roman" w:cs="Times New Roman"/>
          <w:sz w:val="24"/>
          <w:szCs w:val="24"/>
          <w:lang w:val="en-US"/>
        </w:rPr>
        <w:t>Okafornta</w:t>
      </w:r>
      <w:proofErr w:type="spellEnd"/>
      <w:r w:rsidRPr="00E2027D">
        <w:rPr>
          <w:rFonts w:ascii="Times New Roman" w:eastAsia="Times New Roman" w:hAnsi="Times New Roman" w:cs="Times New Roman"/>
          <w:sz w:val="24"/>
          <w:szCs w:val="24"/>
          <w:lang w:val="en-US"/>
        </w:rPr>
        <w:t xml:space="preserve">, H. C. (2020). </w:t>
      </w:r>
      <w:r w:rsidRPr="00E2027D">
        <w:rPr>
          <w:rFonts w:ascii="Times New Roman" w:eastAsia="Times New Roman" w:hAnsi="Times New Roman" w:cs="Times New Roman"/>
          <w:i/>
          <w:iCs/>
          <w:sz w:val="24"/>
          <w:szCs w:val="24"/>
          <w:lang w:val="en-US"/>
        </w:rPr>
        <w:t>Impact of fiscal policy on economic growth in Nigeria</w:t>
      </w:r>
      <w:r w:rsidRPr="00E2027D">
        <w:rPr>
          <w:rFonts w:ascii="Times New Roman" w:eastAsia="Times New Roman" w:hAnsi="Times New Roman" w:cs="Times New Roman"/>
          <w:sz w:val="24"/>
          <w:szCs w:val="24"/>
          <w:lang w:val="en-US"/>
        </w:rPr>
        <w:t xml:space="preserve"> [Preprint]. ResearchGate. </w:t>
      </w:r>
      <w:hyperlink r:id="rId17" w:history="1">
        <w:r w:rsidRPr="00E2027D">
          <w:rPr>
            <w:rFonts w:ascii="Times New Roman" w:eastAsia="Times New Roman" w:hAnsi="Times New Roman" w:cs="Times New Roman"/>
            <w:color w:val="0000FF"/>
            <w:sz w:val="24"/>
            <w:szCs w:val="24"/>
            <w:u w:val="single"/>
            <w:lang w:val="en-US"/>
          </w:rPr>
          <w:t>https://doi.org/10.13140/RG.2.2.27467.75044</w:t>
        </w:r>
      </w:hyperlink>
    </w:p>
    <w:p w14:paraId="4883A277"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proofErr w:type="spellStart"/>
      <w:r w:rsidRPr="00E2027D">
        <w:rPr>
          <w:rFonts w:ascii="Times New Roman" w:eastAsia="Times New Roman" w:hAnsi="Times New Roman" w:cs="Times New Roman"/>
          <w:sz w:val="24"/>
          <w:szCs w:val="24"/>
          <w:lang w:val="en-US"/>
        </w:rPr>
        <w:t>Onakoya</w:t>
      </w:r>
      <w:proofErr w:type="spellEnd"/>
      <w:r w:rsidRPr="00E2027D">
        <w:rPr>
          <w:rFonts w:ascii="Times New Roman" w:eastAsia="Times New Roman" w:hAnsi="Times New Roman" w:cs="Times New Roman"/>
          <w:sz w:val="24"/>
          <w:szCs w:val="24"/>
          <w:lang w:val="en-US"/>
        </w:rPr>
        <w:t xml:space="preserve">, A. B., &amp; </w:t>
      </w:r>
      <w:proofErr w:type="spellStart"/>
      <w:r w:rsidRPr="00E2027D">
        <w:rPr>
          <w:rFonts w:ascii="Times New Roman" w:eastAsia="Times New Roman" w:hAnsi="Times New Roman" w:cs="Times New Roman"/>
          <w:sz w:val="24"/>
          <w:szCs w:val="24"/>
          <w:lang w:val="en-US"/>
        </w:rPr>
        <w:t>Afintinni</w:t>
      </w:r>
      <w:proofErr w:type="spellEnd"/>
      <w:r w:rsidRPr="00E2027D">
        <w:rPr>
          <w:rFonts w:ascii="Times New Roman" w:eastAsia="Times New Roman" w:hAnsi="Times New Roman" w:cs="Times New Roman"/>
          <w:sz w:val="24"/>
          <w:szCs w:val="24"/>
          <w:lang w:val="en-US"/>
        </w:rPr>
        <w:t xml:space="preserve">, O. I. (2016). Taxation and economic growth in Nigeria. </w:t>
      </w:r>
      <w:r w:rsidRPr="00E2027D">
        <w:rPr>
          <w:rFonts w:ascii="Times New Roman" w:eastAsia="Times New Roman" w:hAnsi="Times New Roman" w:cs="Times New Roman"/>
          <w:i/>
          <w:iCs/>
          <w:sz w:val="24"/>
          <w:szCs w:val="24"/>
          <w:lang w:val="en-US"/>
        </w:rPr>
        <w:t>Asian Journal of Economic Modelling, 4</w:t>
      </w:r>
      <w:r w:rsidRPr="00E2027D">
        <w:rPr>
          <w:rFonts w:ascii="Times New Roman" w:eastAsia="Times New Roman" w:hAnsi="Times New Roman" w:cs="Times New Roman"/>
          <w:sz w:val="24"/>
          <w:szCs w:val="24"/>
          <w:lang w:val="en-US"/>
        </w:rPr>
        <w:t xml:space="preserve">(4), 199–210. </w:t>
      </w:r>
      <w:hyperlink r:id="rId18" w:history="1">
        <w:r w:rsidRPr="00E2027D">
          <w:rPr>
            <w:rFonts w:ascii="Times New Roman" w:eastAsia="Times New Roman" w:hAnsi="Times New Roman" w:cs="Times New Roman"/>
            <w:color w:val="0000FF"/>
            <w:sz w:val="24"/>
            <w:szCs w:val="24"/>
            <w:u w:val="single"/>
            <w:lang w:val="en-US"/>
          </w:rPr>
          <w:t>https://doi.org/10.18488/journal.8/2016.4.4/8.4.199.210</w:t>
        </w:r>
      </w:hyperlink>
    </w:p>
    <w:p w14:paraId="7CFC89F7"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proofErr w:type="spellStart"/>
      <w:r w:rsidRPr="00E2027D">
        <w:rPr>
          <w:rFonts w:ascii="Times New Roman" w:eastAsia="Times New Roman" w:hAnsi="Times New Roman" w:cs="Times New Roman"/>
          <w:sz w:val="24"/>
          <w:szCs w:val="24"/>
          <w:lang w:val="en-US"/>
        </w:rPr>
        <w:lastRenderedPageBreak/>
        <w:t>Pesaran</w:t>
      </w:r>
      <w:proofErr w:type="spellEnd"/>
      <w:r w:rsidRPr="00E2027D">
        <w:rPr>
          <w:rFonts w:ascii="Times New Roman" w:eastAsia="Times New Roman" w:hAnsi="Times New Roman" w:cs="Times New Roman"/>
          <w:sz w:val="24"/>
          <w:szCs w:val="24"/>
          <w:lang w:val="en-US"/>
        </w:rPr>
        <w:t xml:space="preserve">, M. H., Shin, Y., &amp; Smith, R. J. (2001). Bounds testing approaches to the analysis of level relationships. </w:t>
      </w:r>
      <w:r w:rsidRPr="00E2027D">
        <w:rPr>
          <w:rFonts w:ascii="Times New Roman" w:eastAsia="Times New Roman" w:hAnsi="Times New Roman" w:cs="Times New Roman"/>
          <w:i/>
          <w:iCs/>
          <w:sz w:val="24"/>
          <w:szCs w:val="24"/>
          <w:lang w:val="en-US"/>
        </w:rPr>
        <w:t>Journal of Applied Econometrics, 16</w:t>
      </w:r>
      <w:r w:rsidRPr="00E2027D">
        <w:rPr>
          <w:rFonts w:ascii="Times New Roman" w:eastAsia="Times New Roman" w:hAnsi="Times New Roman" w:cs="Times New Roman"/>
          <w:sz w:val="24"/>
          <w:szCs w:val="24"/>
          <w:lang w:val="en-US"/>
        </w:rPr>
        <w:t xml:space="preserve">(3), 289–326. </w:t>
      </w:r>
      <w:hyperlink r:id="rId19" w:history="1">
        <w:r w:rsidRPr="00E2027D">
          <w:rPr>
            <w:rFonts w:ascii="Times New Roman" w:eastAsia="Times New Roman" w:hAnsi="Times New Roman" w:cs="Times New Roman"/>
            <w:color w:val="0000FF"/>
            <w:sz w:val="24"/>
            <w:szCs w:val="24"/>
            <w:u w:val="single"/>
            <w:lang w:val="en-US"/>
          </w:rPr>
          <w:t>https://doi.org/10.1002/jae.616</w:t>
        </w:r>
      </w:hyperlink>
    </w:p>
    <w:p w14:paraId="7F45C7A8"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Romer, P. M. (1986). Increasing returns and long-run growth. </w:t>
      </w:r>
      <w:r w:rsidRPr="00E2027D">
        <w:rPr>
          <w:rFonts w:ascii="Times New Roman" w:eastAsia="Times New Roman" w:hAnsi="Times New Roman" w:cs="Times New Roman"/>
          <w:i/>
          <w:iCs/>
          <w:sz w:val="24"/>
          <w:szCs w:val="24"/>
          <w:lang w:val="en-US"/>
        </w:rPr>
        <w:t>Journal of Political Economy, 94</w:t>
      </w:r>
      <w:r w:rsidRPr="00E2027D">
        <w:rPr>
          <w:rFonts w:ascii="Times New Roman" w:eastAsia="Times New Roman" w:hAnsi="Times New Roman" w:cs="Times New Roman"/>
          <w:sz w:val="24"/>
          <w:szCs w:val="24"/>
          <w:lang w:val="en-US"/>
        </w:rPr>
        <w:t xml:space="preserve">(5), 1002–1037. </w:t>
      </w:r>
      <w:hyperlink r:id="rId20" w:history="1">
        <w:r w:rsidRPr="00E2027D">
          <w:rPr>
            <w:rFonts w:ascii="Times New Roman" w:eastAsia="Times New Roman" w:hAnsi="Times New Roman" w:cs="Times New Roman"/>
            <w:color w:val="0000FF"/>
            <w:sz w:val="24"/>
            <w:szCs w:val="24"/>
            <w:u w:val="single"/>
            <w:lang w:val="en-US"/>
          </w:rPr>
          <w:t>https://doi.org/10.1086/261420</w:t>
        </w:r>
      </w:hyperlink>
    </w:p>
    <w:p w14:paraId="33096CD8"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Romer, P. M. (1990). Endogenous technological change. </w:t>
      </w:r>
      <w:r w:rsidRPr="00E2027D">
        <w:rPr>
          <w:rFonts w:ascii="Times New Roman" w:eastAsia="Times New Roman" w:hAnsi="Times New Roman" w:cs="Times New Roman"/>
          <w:i/>
          <w:iCs/>
          <w:sz w:val="24"/>
          <w:szCs w:val="24"/>
          <w:lang w:val="en-US"/>
        </w:rPr>
        <w:t>Journal of Political Economy, 98</w:t>
      </w:r>
      <w:r w:rsidRPr="00E2027D">
        <w:rPr>
          <w:rFonts w:ascii="Times New Roman" w:eastAsia="Times New Roman" w:hAnsi="Times New Roman" w:cs="Times New Roman"/>
          <w:sz w:val="24"/>
          <w:szCs w:val="24"/>
          <w:lang w:val="en-US"/>
        </w:rPr>
        <w:t xml:space="preserve">(5, Part 2), S71–S102. </w:t>
      </w:r>
      <w:hyperlink r:id="rId21" w:history="1">
        <w:r w:rsidRPr="00E2027D">
          <w:rPr>
            <w:rFonts w:ascii="Times New Roman" w:eastAsia="Times New Roman" w:hAnsi="Times New Roman" w:cs="Times New Roman"/>
            <w:color w:val="0000FF"/>
            <w:sz w:val="24"/>
            <w:szCs w:val="24"/>
            <w:u w:val="single"/>
            <w:lang w:val="en-US"/>
          </w:rPr>
          <w:t>https://doi.org/10.1086/261725</w:t>
        </w:r>
      </w:hyperlink>
    </w:p>
    <w:p w14:paraId="0BA17B34"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proofErr w:type="spellStart"/>
      <w:r w:rsidRPr="00E2027D">
        <w:rPr>
          <w:rFonts w:ascii="Times New Roman" w:eastAsia="Times New Roman" w:hAnsi="Times New Roman" w:cs="Times New Roman"/>
          <w:sz w:val="24"/>
          <w:szCs w:val="24"/>
          <w:lang w:val="en-US"/>
        </w:rPr>
        <w:t>Ukangwa</w:t>
      </w:r>
      <w:proofErr w:type="spellEnd"/>
      <w:r w:rsidRPr="00E2027D">
        <w:rPr>
          <w:rFonts w:ascii="Times New Roman" w:eastAsia="Times New Roman" w:hAnsi="Times New Roman" w:cs="Times New Roman"/>
          <w:sz w:val="24"/>
          <w:szCs w:val="24"/>
          <w:lang w:val="en-US"/>
        </w:rPr>
        <w:t xml:space="preserve">, J. U., </w:t>
      </w:r>
      <w:proofErr w:type="spellStart"/>
      <w:r w:rsidRPr="00E2027D">
        <w:rPr>
          <w:rFonts w:ascii="Times New Roman" w:eastAsia="Times New Roman" w:hAnsi="Times New Roman" w:cs="Times New Roman"/>
          <w:sz w:val="24"/>
          <w:szCs w:val="24"/>
          <w:lang w:val="en-US"/>
        </w:rPr>
        <w:t>Wolugbon</w:t>
      </w:r>
      <w:proofErr w:type="spellEnd"/>
      <w:r w:rsidRPr="00E2027D">
        <w:rPr>
          <w:rFonts w:ascii="Times New Roman" w:eastAsia="Times New Roman" w:hAnsi="Times New Roman" w:cs="Times New Roman"/>
          <w:sz w:val="24"/>
          <w:szCs w:val="24"/>
          <w:lang w:val="en-US"/>
        </w:rPr>
        <w:t xml:space="preserve">, D., </w:t>
      </w:r>
      <w:proofErr w:type="spellStart"/>
      <w:r w:rsidRPr="00E2027D">
        <w:rPr>
          <w:rFonts w:ascii="Times New Roman" w:eastAsia="Times New Roman" w:hAnsi="Times New Roman" w:cs="Times New Roman"/>
          <w:sz w:val="24"/>
          <w:szCs w:val="24"/>
          <w:lang w:val="en-US"/>
        </w:rPr>
        <w:t>Nwanosike</w:t>
      </w:r>
      <w:proofErr w:type="spellEnd"/>
      <w:r w:rsidRPr="00E2027D">
        <w:rPr>
          <w:rFonts w:ascii="Times New Roman" w:eastAsia="Times New Roman" w:hAnsi="Times New Roman" w:cs="Times New Roman"/>
          <w:sz w:val="24"/>
          <w:szCs w:val="24"/>
          <w:lang w:val="en-US"/>
        </w:rPr>
        <w:t xml:space="preserve">, D. U., </w:t>
      </w:r>
      <w:proofErr w:type="spellStart"/>
      <w:r w:rsidRPr="00E2027D">
        <w:rPr>
          <w:rFonts w:ascii="Times New Roman" w:eastAsia="Times New Roman" w:hAnsi="Times New Roman" w:cs="Times New Roman"/>
          <w:sz w:val="24"/>
          <w:szCs w:val="24"/>
          <w:lang w:val="en-US"/>
        </w:rPr>
        <w:t>Ekpendu</w:t>
      </w:r>
      <w:proofErr w:type="spellEnd"/>
      <w:r w:rsidRPr="00E2027D">
        <w:rPr>
          <w:rFonts w:ascii="Times New Roman" w:eastAsia="Times New Roman" w:hAnsi="Times New Roman" w:cs="Times New Roman"/>
          <w:sz w:val="24"/>
          <w:szCs w:val="24"/>
          <w:lang w:val="en-US"/>
        </w:rPr>
        <w:t xml:space="preserve">, J. E., Onwuka, I., &amp; Nzelu, C. A. (2023). The impact of fiscal policy on the economic growth of Nigeria. </w:t>
      </w:r>
      <w:r w:rsidRPr="00E2027D">
        <w:rPr>
          <w:rFonts w:ascii="Times New Roman" w:eastAsia="Times New Roman" w:hAnsi="Times New Roman" w:cs="Times New Roman"/>
          <w:i/>
          <w:iCs/>
          <w:sz w:val="24"/>
          <w:szCs w:val="24"/>
          <w:lang w:val="en-US"/>
        </w:rPr>
        <w:t>European Journal of Theoretical and Applied Sciences, 1</w:t>
      </w:r>
      <w:r w:rsidRPr="00E2027D">
        <w:rPr>
          <w:rFonts w:ascii="Times New Roman" w:eastAsia="Times New Roman" w:hAnsi="Times New Roman" w:cs="Times New Roman"/>
          <w:sz w:val="24"/>
          <w:szCs w:val="24"/>
          <w:lang w:val="en-US"/>
        </w:rPr>
        <w:t xml:space="preserve">(6), 741–750. </w:t>
      </w:r>
      <w:hyperlink r:id="rId22" w:history="1">
        <w:r w:rsidRPr="00E2027D">
          <w:rPr>
            <w:rFonts w:ascii="Times New Roman" w:eastAsia="Times New Roman" w:hAnsi="Times New Roman" w:cs="Times New Roman"/>
            <w:color w:val="0000FF"/>
            <w:sz w:val="24"/>
            <w:szCs w:val="24"/>
            <w:u w:val="single"/>
            <w:lang w:val="en-US"/>
          </w:rPr>
          <w:t>https://doi.org/10.59324/ejtas.2023.1(6).73</w:t>
        </w:r>
      </w:hyperlink>
    </w:p>
    <w:p w14:paraId="4D004079"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Umaru, A. D., </w:t>
      </w:r>
      <w:proofErr w:type="spellStart"/>
      <w:r w:rsidRPr="00E2027D">
        <w:rPr>
          <w:rFonts w:ascii="Times New Roman" w:eastAsia="Times New Roman" w:hAnsi="Times New Roman" w:cs="Times New Roman"/>
          <w:sz w:val="24"/>
          <w:szCs w:val="24"/>
          <w:lang w:val="en-US"/>
        </w:rPr>
        <w:t>Aliero</w:t>
      </w:r>
      <w:proofErr w:type="spellEnd"/>
      <w:r w:rsidRPr="00E2027D">
        <w:rPr>
          <w:rFonts w:ascii="Times New Roman" w:eastAsia="Times New Roman" w:hAnsi="Times New Roman" w:cs="Times New Roman"/>
          <w:sz w:val="24"/>
          <w:szCs w:val="24"/>
          <w:lang w:val="en-US"/>
        </w:rPr>
        <w:t xml:space="preserve">, H. M., &amp; Abubakar, M. (2021). Budget deficit and economic growth in Nigeria. </w:t>
      </w:r>
      <w:r w:rsidRPr="00E2027D">
        <w:rPr>
          <w:rFonts w:ascii="Times New Roman" w:eastAsia="Times New Roman" w:hAnsi="Times New Roman" w:cs="Times New Roman"/>
          <w:i/>
          <w:iCs/>
          <w:sz w:val="24"/>
          <w:szCs w:val="24"/>
          <w:lang w:val="en-US"/>
        </w:rPr>
        <w:t>CBN Economic and Financial Review, 59</w:t>
      </w:r>
      <w:r w:rsidRPr="00E2027D">
        <w:rPr>
          <w:rFonts w:ascii="Times New Roman" w:eastAsia="Times New Roman" w:hAnsi="Times New Roman" w:cs="Times New Roman"/>
          <w:sz w:val="24"/>
          <w:szCs w:val="24"/>
          <w:lang w:val="en-US"/>
        </w:rPr>
        <w:t xml:space="preserve">(2), 23–41. </w:t>
      </w:r>
      <w:hyperlink r:id="rId23" w:history="1">
        <w:r w:rsidRPr="00E2027D">
          <w:rPr>
            <w:rFonts w:ascii="Times New Roman" w:eastAsia="Times New Roman" w:hAnsi="Times New Roman" w:cs="Times New Roman"/>
            <w:color w:val="0000FF"/>
            <w:sz w:val="24"/>
            <w:szCs w:val="24"/>
            <w:u w:val="single"/>
            <w:lang w:val="en-US"/>
          </w:rPr>
          <w:t>https://doi.org/10.33429/1957-2968.2037</w:t>
        </w:r>
      </w:hyperlink>
    </w:p>
    <w:p w14:paraId="1DB63FD8"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World Bank. (2024). </w:t>
      </w:r>
      <w:r w:rsidRPr="00E2027D">
        <w:rPr>
          <w:rFonts w:ascii="Times New Roman" w:eastAsia="Times New Roman" w:hAnsi="Times New Roman" w:cs="Times New Roman"/>
          <w:i/>
          <w:iCs/>
          <w:sz w:val="24"/>
          <w:szCs w:val="24"/>
          <w:lang w:val="en-US"/>
        </w:rPr>
        <w:t>Nigeria development update—Staying the course: Progress amid pressing challenges</w:t>
      </w:r>
      <w:r w:rsidRPr="00E2027D">
        <w:rPr>
          <w:rFonts w:ascii="Times New Roman" w:eastAsia="Times New Roman" w:hAnsi="Times New Roman" w:cs="Times New Roman"/>
          <w:sz w:val="24"/>
          <w:szCs w:val="24"/>
          <w:lang w:val="en-US"/>
        </w:rPr>
        <w:t xml:space="preserve">. </w:t>
      </w:r>
      <w:hyperlink r:id="rId24" w:history="1">
        <w:r w:rsidRPr="00E2027D">
          <w:rPr>
            <w:rFonts w:ascii="Times New Roman" w:eastAsia="Times New Roman" w:hAnsi="Times New Roman" w:cs="Times New Roman"/>
            <w:color w:val="0000FF"/>
            <w:sz w:val="24"/>
            <w:szCs w:val="24"/>
            <w:u w:val="single"/>
            <w:lang w:val="en-US"/>
          </w:rPr>
          <w:t>https://openknowledge.worldbank.org/entities/publication/20a4e61d-45c8-44e1-b9c7-0155131778f0</w:t>
        </w:r>
      </w:hyperlink>
    </w:p>
    <w:p w14:paraId="73BC0BCB" w14:textId="77777777" w:rsidR="00E2027D" w:rsidRPr="00E2027D" w:rsidRDefault="00E2027D" w:rsidP="00E2027D">
      <w:pPr>
        <w:spacing w:before="100" w:beforeAutospacing="1" w:after="100" w:afterAutospacing="1"/>
        <w:rPr>
          <w:rFonts w:ascii="Times New Roman" w:eastAsia="Times New Roman" w:hAnsi="Times New Roman" w:cs="Times New Roman"/>
          <w:sz w:val="24"/>
          <w:szCs w:val="24"/>
          <w:lang w:val="en-US"/>
        </w:rPr>
      </w:pPr>
      <w:r w:rsidRPr="00E2027D">
        <w:rPr>
          <w:rFonts w:ascii="Times New Roman" w:eastAsia="Times New Roman" w:hAnsi="Times New Roman" w:cs="Times New Roman"/>
          <w:sz w:val="24"/>
          <w:szCs w:val="24"/>
          <w:lang w:val="en-US"/>
        </w:rPr>
        <w:t xml:space="preserve">Yusuf, A., &amp; Mohd, S. (2024). Investigating the asymmetric impact of public debt on economic growth in Nigeria. </w:t>
      </w:r>
      <w:r w:rsidRPr="00E2027D">
        <w:rPr>
          <w:rFonts w:ascii="Times New Roman" w:eastAsia="Times New Roman" w:hAnsi="Times New Roman" w:cs="Times New Roman"/>
          <w:i/>
          <w:iCs/>
          <w:sz w:val="24"/>
          <w:szCs w:val="24"/>
          <w:lang w:val="en-US"/>
        </w:rPr>
        <w:t>Journal of the Knowledge Economy, 15</w:t>
      </w:r>
      <w:r w:rsidRPr="00E2027D">
        <w:rPr>
          <w:rFonts w:ascii="Times New Roman" w:eastAsia="Times New Roman" w:hAnsi="Times New Roman" w:cs="Times New Roman"/>
          <w:sz w:val="24"/>
          <w:szCs w:val="24"/>
          <w:lang w:val="en-US"/>
        </w:rPr>
        <w:t xml:space="preserve">, 9452–9481. </w:t>
      </w:r>
      <w:hyperlink r:id="rId25" w:history="1">
        <w:r w:rsidRPr="00E2027D">
          <w:rPr>
            <w:rFonts w:ascii="Times New Roman" w:eastAsia="Times New Roman" w:hAnsi="Times New Roman" w:cs="Times New Roman"/>
            <w:color w:val="0000FF"/>
            <w:sz w:val="24"/>
            <w:szCs w:val="24"/>
            <w:u w:val="single"/>
            <w:lang w:val="en-US"/>
          </w:rPr>
          <w:t>https://doi.org/10.1007/s13132-023-01362-1</w:t>
        </w:r>
      </w:hyperlink>
    </w:p>
    <w:p w14:paraId="288E914C" w14:textId="77777777" w:rsidR="00E2027D" w:rsidRPr="00032248" w:rsidRDefault="00E2027D" w:rsidP="002C6E04">
      <w:pPr>
        <w:spacing w:before="100" w:beforeAutospacing="1" w:after="100" w:afterAutospacing="1" w:line="360" w:lineRule="auto"/>
        <w:jc w:val="center"/>
        <w:rPr>
          <w:rFonts w:ascii="Arial" w:eastAsia="Times New Roman" w:hAnsi="Arial" w:cs="Arial"/>
          <w:b/>
          <w:bCs/>
          <w:lang w:val="en-US" w:eastAsia="en-GB"/>
        </w:rPr>
      </w:pPr>
    </w:p>
    <w:sectPr w:rsidR="00E2027D" w:rsidRPr="00032248" w:rsidSect="007E3BD3">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A909" w14:textId="77777777" w:rsidR="00ED43C1" w:rsidRDefault="00ED43C1" w:rsidP="0077036A">
      <w:r>
        <w:separator/>
      </w:r>
    </w:p>
  </w:endnote>
  <w:endnote w:type="continuationSeparator" w:id="0">
    <w:p w14:paraId="672A19A5" w14:textId="77777777" w:rsidR="00ED43C1" w:rsidRDefault="00ED43C1" w:rsidP="0077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EB85" w14:textId="77777777" w:rsidR="0077036A" w:rsidRDefault="00770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40D2" w14:textId="77777777" w:rsidR="0077036A" w:rsidRDefault="007703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6DFD" w14:textId="77777777" w:rsidR="0077036A" w:rsidRDefault="00770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ECF7F" w14:textId="77777777" w:rsidR="00ED43C1" w:rsidRDefault="00ED43C1" w:rsidP="0077036A">
      <w:r>
        <w:separator/>
      </w:r>
    </w:p>
  </w:footnote>
  <w:footnote w:type="continuationSeparator" w:id="0">
    <w:p w14:paraId="1D8026D2" w14:textId="77777777" w:rsidR="00ED43C1" w:rsidRDefault="00ED43C1" w:rsidP="00770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3AB9" w14:textId="77777777" w:rsidR="007E3BD3" w:rsidRDefault="00000000" w:rsidP="00E445A8">
    <w:pPr>
      <w:pStyle w:val="Header"/>
      <w:framePr w:wrap="around" w:vAnchor="text" w:hAnchor="margin" w:xAlign="right" w:y="1"/>
      <w:rPr>
        <w:rStyle w:val="PageNumber"/>
      </w:rPr>
    </w:pPr>
    <w:r>
      <w:rPr>
        <w:noProof/>
      </w:rPr>
      <w:pict w14:anchorId="776E4F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4" o:spid="_x0000_s1029"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r w:rsidR="007E3BD3">
      <w:rPr>
        <w:rStyle w:val="PageNumber"/>
      </w:rPr>
      <w:fldChar w:fldCharType="begin"/>
    </w:r>
    <w:r w:rsidR="007E3BD3">
      <w:rPr>
        <w:rStyle w:val="PageNumber"/>
      </w:rPr>
      <w:instrText xml:space="preserve">PAGE  </w:instrText>
    </w:r>
    <w:r w:rsidR="007E3BD3">
      <w:rPr>
        <w:rStyle w:val="PageNumber"/>
      </w:rPr>
      <w:fldChar w:fldCharType="separate"/>
    </w:r>
    <w:r w:rsidR="003D6A66">
      <w:rPr>
        <w:rStyle w:val="PageNumber"/>
        <w:noProof/>
      </w:rPr>
      <w:t>2</w:t>
    </w:r>
    <w:r w:rsidR="007E3BD3">
      <w:rPr>
        <w:rStyle w:val="PageNumber"/>
      </w:rPr>
      <w:fldChar w:fldCharType="end"/>
    </w:r>
  </w:p>
  <w:p w14:paraId="32A1B1B6" w14:textId="77777777" w:rsidR="007E3BD3" w:rsidRDefault="007E3BD3" w:rsidP="007E3B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E6D2" w14:textId="77777777" w:rsidR="007E3BD3" w:rsidRDefault="00000000" w:rsidP="00E445A8">
    <w:pPr>
      <w:pStyle w:val="Header"/>
      <w:framePr w:wrap="around" w:vAnchor="text" w:hAnchor="margin" w:xAlign="right" w:y="1"/>
      <w:rPr>
        <w:rStyle w:val="PageNumber"/>
      </w:rPr>
    </w:pPr>
    <w:r>
      <w:rPr>
        <w:noProof/>
      </w:rPr>
      <w:pict w14:anchorId="22539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5" o:spid="_x0000_s1030"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r w:rsidR="007E3BD3">
      <w:rPr>
        <w:rStyle w:val="PageNumber"/>
      </w:rPr>
      <w:fldChar w:fldCharType="begin"/>
    </w:r>
    <w:r w:rsidR="007E3BD3">
      <w:rPr>
        <w:rStyle w:val="PageNumber"/>
      </w:rPr>
      <w:instrText xml:space="preserve">PAGE  </w:instrText>
    </w:r>
    <w:r w:rsidR="007E3BD3">
      <w:rPr>
        <w:rStyle w:val="PageNumber"/>
      </w:rPr>
      <w:fldChar w:fldCharType="separate"/>
    </w:r>
    <w:r w:rsidR="00DD0F50">
      <w:rPr>
        <w:rStyle w:val="PageNumber"/>
        <w:noProof/>
      </w:rPr>
      <w:t>28</w:t>
    </w:r>
    <w:r w:rsidR="007E3BD3">
      <w:rPr>
        <w:rStyle w:val="PageNumber"/>
      </w:rPr>
      <w:fldChar w:fldCharType="end"/>
    </w:r>
  </w:p>
  <w:p w14:paraId="628BC71A" w14:textId="77777777" w:rsidR="007E3BD3" w:rsidRDefault="007E3BD3" w:rsidP="007E3BD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44EC" w14:textId="77777777" w:rsidR="009A30BC" w:rsidRDefault="00000000">
    <w:pPr>
      <w:pStyle w:val="Header"/>
    </w:pPr>
    <w:r>
      <w:rPr>
        <w:noProof/>
      </w:rPr>
      <w:pict w14:anchorId="41E28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3" o:spid="_x0000_s1028"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2DA2"/>
    <w:multiLevelType w:val="multilevel"/>
    <w:tmpl w:val="92565D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D04B9"/>
    <w:multiLevelType w:val="multilevel"/>
    <w:tmpl w:val="CB5E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55E3"/>
    <w:multiLevelType w:val="multilevel"/>
    <w:tmpl w:val="60FC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269B7"/>
    <w:multiLevelType w:val="multilevel"/>
    <w:tmpl w:val="D06E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F383A"/>
    <w:multiLevelType w:val="hybridMultilevel"/>
    <w:tmpl w:val="6CB62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DB330C"/>
    <w:multiLevelType w:val="multilevel"/>
    <w:tmpl w:val="1008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D61"/>
    <w:multiLevelType w:val="hybridMultilevel"/>
    <w:tmpl w:val="FE28EA4C"/>
    <w:lvl w:ilvl="0" w:tplc="E500B8AC">
      <w:start w:val="1"/>
      <w:numFmt w:val="decimal"/>
      <w:lvlText w:val="%1."/>
      <w:lvlJc w:val="left"/>
      <w:pPr>
        <w:ind w:left="90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B60926"/>
    <w:multiLevelType w:val="hybridMultilevel"/>
    <w:tmpl w:val="715A2B46"/>
    <w:lvl w:ilvl="0" w:tplc="6448B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35132"/>
    <w:multiLevelType w:val="multilevel"/>
    <w:tmpl w:val="4832063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6313CB"/>
    <w:multiLevelType w:val="hybridMultilevel"/>
    <w:tmpl w:val="F244C0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984089">
    <w:abstractNumId w:val="9"/>
  </w:num>
  <w:num w:numId="2" w16cid:durableId="1133210358">
    <w:abstractNumId w:val="6"/>
  </w:num>
  <w:num w:numId="3" w16cid:durableId="1801261605">
    <w:abstractNumId w:val="4"/>
  </w:num>
  <w:num w:numId="4" w16cid:durableId="970478094">
    <w:abstractNumId w:val="5"/>
  </w:num>
  <w:num w:numId="5" w16cid:durableId="1339696362">
    <w:abstractNumId w:val="1"/>
  </w:num>
  <w:num w:numId="6" w16cid:durableId="2105567512">
    <w:abstractNumId w:val="2"/>
  </w:num>
  <w:num w:numId="7" w16cid:durableId="1858618762">
    <w:abstractNumId w:val="7"/>
  </w:num>
  <w:num w:numId="8" w16cid:durableId="1494375440">
    <w:abstractNumId w:val="8"/>
  </w:num>
  <w:num w:numId="9" w16cid:durableId="1770004497">
    <w:abstractNumId w:val="3"/>
  </w:num>
  <w:num w:numId="10" w16cid:durableId="108842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AwMrM0NTczszQxMjdT0lEKTi0uzszPAykwqgUAAUQ8GSwAAAA="/>
  </w:docVars>
  <w:rsids>
    <w:rsidRoot w:val="00885195"/>
    <w:rsid w:val="000265B6"/>
    <w:rsid w:val="00032248"/>
    <w:rsid w:val="000341E8"/>
    <w:rsid w:val="000375D8"/>
    <w:rsid w:val="00060F52"/>
    <w:rsid w:val="00071FA2"/>
    <w:rsid w:val="00084F14"/>
    <w:rsid w:val="00086826"/>
    <w:rsid w:val="000B2E8F"/>
    <w:rsid w:val="000C4BA8"/>
    <w:rsid w:val="000F383C"/>
    <w:rsid w:val="00132CA2"/>
    <w:rsid w:val="00133AD5"/>
    <w:rsid w:val="00144384"/>
    <w:rsid w:val="00151951"/>
    <w:rsid w:val="00174987"/>
    <w:rsid w:val="00177D80"/>
    <w:rsid w:val="0019602E"/>
    <w:rsid w:val="001E1665"/>
    <w:rsid w:val="001E3148"/>
    <w:rsid w:val="00234066"/>
    <w:rsid w:val="00241373"/>
    <w:rsid w:val="00272AEE"/>
    <w:rsid w:val="002B68F7"/>
    <w:rsid w:val="002C6E04"/>
    <w:rsid w:val="002E7AFD"/>
    <w:rsid w:val="00333217"/>
    <w:rsid w:val="003618A8"/>
    <w:rsid w:val="00362CA2"/>
    <w:rsid w:val="003B3BAB"/>
    <w:rsid w:val="003C78BA"/>
    <w:rsid w:val="003D6A66"/>
    <w:rsid w:val="00411E24"/>
    <w:rsid w:val="004140CE"/>
    <w:rsid w:val="00456F9A"/>
    <w:rsid w:val="00457788"/>
    <w:rsid w:val="004668C2"/>
    <w:rsid w:val="00476EC9"/>
    <w:rsid w:val="004C035A"/>
    <w:rsid w:val="004D6A77"/>
    <w:rsid w:val="004D7459"/>
    <w:rsid w:val="004E08FC"/>
    <w:rsid w:val="004E4753"/>
    <w:rsid w:val="004F626A"/>
    <w:rsid w:val="00537A88"/>
    <w:rsid w:val="005479AD"/>
    <w:rsid w:val="00562181"/>
    <w:rsid w:val="005C0390"/>
    <w:rsid w:val="00600278"/>
    <w:rsid w:val="00607BC8"/>
    <w:rsid w:val="0063216B"/>
    <w:rsid w:val="00635197"/>
    <w:rsid w:val="0064642B"/>
    <w:rsid w:val="00696024"/>
    <w:rsid w:val="006A1550"/>
    <w:rsid w:val="006D3DE5"/>
    <w:rsid w:val="006D4E09"/>
    <w:rsid w:val="0077036A"/>
    <w:rsid w:val="00770C6A"/>
    <w:rsid w:val="0078594F"/>
    <w:rsid w:val="00794D37"/>
    <w:rsid w:val="007A4A71"/>
    <w:rsid w:val="007A73CA"/>
    <w:rsid w:val="007E357C"/>
    <w:rsid w:val="007E3BD3"/>
    <w:rsid w:val="007E5515"/>
    <w:rsid w:val="0080703D"/>
    <w:rsid w:val="008169AB"/>
    <w:rsid w:val="008349E3"/>
    <w:rsid w:val="0083553F"/>
    <w:rsid w:val="00867096"/>
    <w:rsid w:val="00885195"/>
    <w:rsid w:val="009425EC"/>
    <w:rsid w:val="009521F9"/>
    <w:rsid w:val="00956DA0"/>
    <w:rsid w:val="009656C0"/>
    <w:rsid w:val="00967A45"/>
    <w:rsid w:val="009A30BC"/>
    <w:rsid w:val="009B316E"/>
    <w:rsid w:val="009C07C8"/>
    <w:rsid w:val="009D0ABA"/>
    <w:rsid w:val="00A02C68"/>
    <w:rsid w:val="00A0517A"/>
    <w:rsid w:val="00A229DD"/>
    <w:rsid w:val="00A76B3F"/>
    <w:rsid w:val="00AA38B1"/>
    <w:rsid w:val="00AB313E"/>
    <w:rsid w:val="00AC6FAA"/>
    <w:rsid w:val="00AC7E1C"/>
    <w:rsid w:val="00AD00A6"/>
    <w:rsid w:val="00AE50F8"/>
    <w:rsid w:val="00AE7AC0"/>
    <w:rsid w:val="00AF6B56"/>
    <w:rsid w:val="00B04BAF"/>
    <w:rsid w:val="00B242D5"/>
    <w:rsid w:val="00B32196"/>
    <w:rsid w:val="00B322A3"/>
    <w:rsid w:val="00B51C0D"/>
    <w:rsid w:val="00B60FC1"/>
    <w:rsid w:val="00B6529C"/>
    <w:rsid w:val="00B9110F"/>
    <w:rsid w:val="00BC300C"/>
    <w:rsid w:val="00BD06E7"/>
    <w:rsid w:val="00BD18FA"/>
    <w:rsid w:val="00BE2FA9"/>
    <w:rsid w:val="00C15821"/>
    <w:rsid w:val="00C6196C"/>
    <w:rsid w:val="00CA599B"/>
    <w:rsid w:val="00CA761F"/>
    <w:rsid w:val="00CC3E7D"/>
    <w:rsid w:val="00CF75AA"/>
    <w:rsid w:val="00D25350"/>
    <w:rsid w:val="00D864EF"/>
    <w:rsid w:val="00DA3401"/>
    <w:rsid w:val="00DC255C"/>
    <w:rsid w:val="00DD0F50"/>
    <w:rsid w:val="00DD26B8"/>
    <w:rsid w:val="00DD55E1"/>
    <w:rsid w:val="00DF599E"/>
    <w:rsid w:val="00E06BC4"/>
    <w:rsid w:val="00E15A1C"/>
    <w:rsid w:val="00E172C3"/>
    <w:rsid w:val="00E2027D"/>
    <w:rsid w:val="00E45CEA"/>
    <w:rsid w:val="00EA060D"/>
    <w:rsid w:val="00ED403B"/>
    <w:rsid w:val="00ED43C1"/>
    <w:rsid w:val="00EE132F"/>
    <w:rsid w:val="00F074D7"/>
    <w:rsid w:val="00F3440C"/>
    <w:rsid w:val="00FB2935"/>
    <w:rsid w:val="00FC51AA"/>
    <w:rsid w:val="00FD0D63"/>
    <w:rsid w:val="00FE28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862CC"/>
  <w15:chartTrackingRefBased/>
  <w15:docId w15:val="{A56D57AB-2ADD-4FC9-9EAD-EF03B5C5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3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036A"/>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7036A"/>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519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8519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7036A"/>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5195"/>
    <w:pPr>
      <w:ind w:left="720"/>
      <w:contextualSpacing/>
    </w:pPr>
    <w:rPr>
      <w:kern w:val="2"/>
      <w:lang w:val="en-US"/>
      <w14:ligatures w14:val="standardContextual"/>
    </w:rPr>
  </w:style>
  <w:style w:type="table" w:styleId="TableGrid">
    <w:name w:val="Table Grid"/>
    <w:basedOn w:val="TableNormal"/>
    <w:uiPriority w:val="39"/>
    <w:qFormat/>
    <w:rsid w:val="00537A88"/>
    <w:pPr>
      <w:widowControl w:val="0"/>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2AEE"/>
    <w:rPr>
      <w:b/>
      <w:bCs/>
    </w:rPr>
  </w:style>
  <w:style w:type="character" w:styleId="PlaceholderText">
    <w:name w:val="Placeholder Text"/>
    <w:basedOn w:val="DefaultParagraphFont"/>
    <w:uiPriority w:val="99"/>
    <w:semiHidden/>
    <w:rsid w:val="00AD00A6"/>
    <w:rPr>
      <w:color w:val="808080"/>
    </w:rPr>
  </w:style>
  <w:style w:type="paragraph" w:styleId="BodyText">
    <w:name w:val="Body Text"/>
    <w:basedOn w:val="Normal"/>
    <w:link w:val="BodyTextChar"/>
    <w:uiPriority w:val="1"/>
    <w:qFormat/>
    <w:rsid w:val="0077036A"/>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086826"/>
    <w:rPr>
      <w:rFonts w:ascii="Times New Roman" w:eastAsia="Times New Roman" w:hAnsi="Times New Roman" w:cs="Times New Roman"/>
      <w:lang w:val="en-US"/>
    </w:rPr>
  </w:style>
  <w:style w:type="paragraph" w:customStyle="1" w:styleId="TableParagraph">
    <w:name w:val="Table Paragraph"/>
    <w:basedOn w:val="Normal"/>
    <w:uiPriority w:val="1"/>
    <w:qFormat/>
    <w:rsid w:val="0077036A"/>
    <w:pPr>
      <w:widowControl w:val="0"/>
      <w:autoSpaceDE w:val="0"/>
      <w:autoSpaceDN w:val="0"/>
      <w:jc w:val="center"/>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63216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3216B"/>
    <w:rPr>
      <w:color w:val="0563C1" w:themeColor="hyperlink"/>
      <w:u w:val="single"/>
    </w:rPr>
  </w:style>
  <w:style w:type="character" w:customStyle="1" w:styleId="UnresolvedMention1">
    <w:name w:val="Unresolved Mention1"/>
    <w:basedOn w:val="DefaultParagraphFont"/>
    <w:uiPriority w:val="99"/>
    <w:semiHidden/>
    <w:unhideWhenUsed/>
    <w:rsid w:val="0063216B"/>
    <w:rPr>
      <w:color w:val="605E5C"/>
      <w:shd w:val="clear" w:color="auto" w:fill="E1DFDD"/>
    </w:rPr>
  </w:style>
  <w:style w:type="paragraph" w:styleId="Header">
    <w:name w:val="header"/>
    <w:basedOn w:val="Normal"/>
    <w:link w:val="HeaderChar"/>
    <w:uiPriority w:val="99"/>
    <w:unhideWhenUsed/>
    <w:rsid w:val="0077036A"/>
    <w:pPr>
      <w:tabs>
        <w:tab w:val="center" w:pos="4513"/>
        <w:tab w:val="right" w:pos="9026"/>
      </w:tabs>
    </w:pPr>
  </w:style>
  <w:style w:type="character" w:customStyle="1" w:styleId="HeaderChar">
    <w:name w:val="Header Char"/>
    <w:basedOn w:val="DefaultParagraphFont"/>
    <w:link w:val="Header"/>
    <w:uiPriority w:val="99"/>
    <w:rsid w:val="00EA060D"/>
  </w:style>
  <w:style w:type="paragraph" w:styleId="Footer">
    <w:name w:val="footer"/>
    <w:basedOn w:val="Normal"/>
    <w:link w:val="FooterChar"/>
    <w:uiPriority w:val="99"/>
    <w:unhideWhenUsed/>
    <w:rsid w:val="0077036A"/>
    <w:pPr>
      <w:tabs>
        <w:tab w:val="center" w:pos="4513"/>
        <w:tab w:val="right" w:pos="9026"/>
      </w:tabs>
    </w:pPr>
  </w:style>
  <w:style w:type="character" w:customStyle="1" w:styleId="FooterChar">
    <w:name w:val="Footer Char"/>
    <w:basedOn w:val="DefaultParagraphFont"/>
    <w:link w:val="Footer"/>
    <w:uiPriority w:val="99"/>
    <w:rsid w:val="00EA060D"/>
  </w:style>
  <w:style w:type="character" w:styleId="PageNumber">
    <w:name w:val="page number"/>
    <w:basedOn w:val="DefaultParagraphFont"/>
    <w:uiPriority w:val="99"/>
    <w:semiHidden/>
    <w:unhideWhenUsed/>
    <w:rsid w:val="007E3BD3"/>
  </w:style>
  <w:style w:type="paragraph" w:styleId="BalloonText">
    <w:name w:val="Balloon Text"/>
    <w:basedOn w:val="Normal"/>
    <w:link w:val="BalloonTextChar"/>
    <w:uiPriority w:val="99"/>
    <w:semiHidden/>
    <w:unhideWhenUsed/>
    <w:rsid w:val="007703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BD3"/>
    <w:rPr>
      <w:rFonts w:ascii="Segoe UI" w:hAnsi="Segoe UI" w:cs="Segoe UI"/>
      <w:sz w:val="18"/>
      <w:szCs w:val="18"/>
    </w:rPr>
  </w:style>
  <w:style w:type="paragraph" w:customStyle="1" w:styleId="ReferHead">
    <w:name w:val="Refer Head"/>
    <w:basedOn w:val="Normal"/>
    <w:rsid w:val="0077036A"/>
    <w:pPr>
      <w:keepNext/>
      <w:spacing w:after="240"/>
    </w:pPr>
    <w:rPr>
      <w:rFonts w:ascii="Helvetica" w:eastAsia="Times New Roman" w:hAnsi="Helvetica" w:cs="Times New Roman"/>
      <w:b/>
      <w:caps/>
      <w:szCs w:val="20"/>
      <w:lang w:val="en-US"/>
    </w:rPr>
  </w:style>
  <w:style w:type="character" w:customStyle="1" w:styleId="go">
    <w:name w:val="go"/>
    <w:basedOn w:val="DefaultParagraphFont"/>
    <w:rsid w:val="004E4753"/>
  </w:style>
  <w:style w:type="character" w:styleId="UnresolvedMention">
    <w:name w:val="Unresolved Mention"/>
    <w:basedOn w:val="DefaultParagraphFont"/>
    <w:uiPriority w:val="99"/>
    <w:semiHidden/>
    <w:unhideWhenUsed/>
    <w:rsid w:val="004E4753"/>
    <w:rPr>
      <w:color w:val="605E5C"/>
      <w:shd w:val="clear" w:color="auto" w:fill="E1DFDD"/>
    </w:rPr>
  </w:style>
  <w:style w:type="character" w:customStyle="1" w:styleId="gd">
    <w:name w:val="gd"/>
    <w:basedOn w:val="DefaultParagraphFont"/>
    <w:rsid w:val="004E4753"/>
  </w:style>
  <w:style w:type="paragraph" w:styleId="NoSpacing">
    <w:name w:val="No Spacing"/>
    <w:uiPriority w:val="1"/>
    <w:qFormat/>
    <w:rsid w:val="00456F9A"/>
  </w:style>
  <w:style w:type="paragraph" w:styleId="Revision">
    <w:name w:val="Revision"/>
    <w:hidden/>
    <w:uiPriority w:val="99"/>
    <w:semiHidden/>
    <w:rsid w:val="0077036A"/>
  </w:style>
  <w:style w:type="paragraph" w:customStyle="1" w:styleId="pdq2pgselectionanchorcontainer">
    <w:name w:val="pdq2pg_selectionanchorcontainer"/>
    <w:basedOn w:val="Normal"/>
    <w:rsid w:val="003D6A66"/>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980">
      <w:bodyDiv w:val="1"/>
      <w:marLeft w:val="0"/>
      <w:marRight w:val="0"/>
      <w:marTop w:val="0"/>
      <w:marBottom w:val="0"/>
      <w:divBdr>
        <w:top w:val="none" w:sz="0" w:space="0" w:color="auto"/>
        <w:left w:val="none" w:sz="0" w:space="0" w:color="auto"/>
        <w:bottom w:val="none" w:sz="0" w:space="0" w:color="auto"/>
        <w:right w:val="none" w:sz="0" w:space="0" w:color="auto"/>
      </w:divBdr>
    </w:div>
    <w:div w:id="1062948131">
      <w:bodyDiv w:val="1"/>
      <w:marLeft w:val="0"/>
      <w:marRight w:val="0"/>
      <w:marTop w:val="0"/>
      <w:marBottom w:val="0"/>
      <w:divBdr>
        <w:top w:val="none" w:sz="0" w:space="0" w:color="auto"/>
        <w:left w:val="none" w:sz="0" w:space="0" w:color="auto"/>
        <w:bottom w:val="none" w:sz="0" w:space="0" w:color="auto"/>
        <w:right w:val="none" w:sz="0" w:space="0" w:color="auto"/>
      </w:divBdr>
    </w:div>
    <w:div w:id="1218516264">
      <w:bodyDiv w:val="1"/>
      <w:marLeft w:val="0"/>
      <w:marRight w:val="0"/>
      <w:marTop w:val="0"/>
      <w:marBottom w:val="0"/>
      <w:divBdr>
        <w:top w:val="none" w:sz="0" w:space="0" w:color="auto"/>
        <w:left w:val="none" w:sz="0" w:space="0" w:color="auto"/>
        <w:bottom w:val="none" w:sz="0" w:space="0" w:color="auto"/>
        <w:right w:val="none" w:sz="0" w:space="0" w:color="auto"/>
      </w:divBdr>
    </w:div>
    <w:div w:id="1290435149">
      <w:bodyDiv w:val="1"/>
      <w:marLeft w:val="0"/>
      <w:marRight w:val="0"/>
      <w:marTop w:val="0"/>
      <w:marBottom w:val="0"/>
      <w:divBdr>
        <w:top w:val="none" w:sz="0" w:space="0" w:color="auto"/>
        <w:left w:val="none" w:sz="0" w:space="0" w:color="auto"/>
        <w:bottom w:val="none" w:sz="0" w:space="0" w:color="auto"/>
        <w:right w:val="none" w:sz="0" w:space="0" w:color="auto"/>
      </w:divBdr>
    </w:div>
    <w:div w:id="1417244462">
      <w:bodyDiv w:val="1"/>
      <w:marLeft w:val="0"/>
      <w:marRight w:val="0"/>
      <w:marTop w:val="0"/>
      <w:marBottom w:val="0"/>
      <w:divBdr>
        <w:top w:val="none" w:sz="0" w:space="0" w:color="auto"/>
        <w:left w:val="none" w:sz="0" w:space="0" w:color="auto"/>
        <w:bottom w:val="none" w:sz="0" w:space="0" w:color="auto"/>
        <w:right w:val="none" w:sz="0" w:space="0" w:color="auto"/>
      </w:divBdr>
    </w:div>
    <w:div w:id="1580560719">
      <w:bodyDiv w:val="1"/>
      <w:marLeft w:val="0"/>
      <w:marRight w:val="0"/>
      <w:marTop w:val="0"/>
      <w:marBottom w:val="0"/>
      <w:divBdr>
        <w:top w:val="none" w:sz="0" w:space="0" w:color="auto"/>
        <w:left w:val="none" w:sz="0" w:space="0" w:color="auto"/>
        <w:bottom w:val="none" w:sz="0" w:space="0" w:color="auto"/>
        <w:right w:val="none" w:sz="0" w:space="0" w:color="auto"/>
      </w:divBdr>
    </w:div>
    <w:div w:id="1747609276">
      <w:bodyDiv w:val="1"/>
      <w:marLeft w:val="0"/>
      <w:marRight w:val="0"/>
      <w:marTop w:val="0"/>
      <w:marBottom w:val="0"/>
      <w:divBdr>
        <w:top w:val="none" w:sz="0" w:space="0" w:color="auto"/>
        <w:left w:val="none" w:sz="0" w:space="0" w:color="auto"/>
        <w:bottom w:val="none" w:sz="0" w:space="0" w:color="auto"/>
        <w:right w:val="none" w:sz="0" w:space="0" w:color="auto"/>
      </w:divBdr>
    </w:div>
    <w:div w:id="1839735508">
      <w:bodyDiv w:val="1"/>
      <w:marLeft w:val="0"/>
      <w:marRight w:val="0"/>
      <w:marTop w:val="0"/>
      <w:marBottom w:val="0"/>
      <w:divBdr>
        <w:top w:val="none" w:sz="0" w:space="0" w:color="auto"/>
        <w:left w:val="none" w:sz="0" w:space="0" w:color="auto"/>
        <w:bottom w:val="none" w:sz="0" w:space="0" w:color="auto"/>
        <w:right w:val="none" w:sz="0" w:space="0" w:color="auto"/>
      </w:divBdr>
    </w:div>
    <w:div w:id="2046323913">
      <w:bodyDiv w:val="1"/>
      <w:marLeft w:val="0"/>
      <w:marRight w:val="0"/>
      <w:marTop w:val="0"/>
      <w:marBottom w:val="0"/>
      <w:divBdr>
        <w:top w:val="none" w:sz="0" w:space="0" w:color="auto"/>
        <w:left w:val="none" w:sz="0" w:space="0" w:color="auto"/>
        <w:bottom w:val="none" w:sz="0" w:space="0" w:color="auto"/>
        <w:right w:val="none" w:sz="0" w:space="0" w:color="auto"/>
      </w:divBdr>
    </w:div>
    <w:div w:id="214519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6557/jgembr/2024/v16i28773" TargetMode="External"/><Relationship Id="rId18" Type="http://schemas.openxmlformats.org/officeDocument/2006/relationships/hyperlink" Target="https://doi.org/10.18488/journal.8/2016.4.4/8.4.199.21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86/261725" TargetMode="External"/><Relationship Id="rId7" Type="http://schemas.openxmlformats.org/officeDocument/2006/relationships/endnotes" Target="endnotes.xml"/><Relationship Id="rId12" Type="http://schemas.openxmlformats.org/officeDocument/2006/relationships/hyperlink" Target="https://doi.org/10.36349/easjebm.2020.v03i10.003" TargetMode="External"/><Relationship Id="rId17" Type="http://schemas.openxmlformats.org/officeDocument/2006/relationships/hyperlink" Target="https://doi.org/10.13140/RG.2.2.27467.75044" TargetMode="External"/><Relationship Id="rId25" Type="http://schemas.openxmlformats.org/officeDocument/2006/relationships/hyperlink" Target="https://doi.org/10.1007/s13132-023-01362-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9734/ajeba/2020/v18i330283" TargetMode="External"/><Relationship Id="rId20" Type="http://schemas.openxmlformats.org/officeDocument/2006/relationships/hyperlink" Target="https://doi.org/10.1086/26142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j.univ-danubius.ro/index.php/AUDOE/article/view/1020" TargetMode="External"/><Relationship Id="rId24" Type="http://schemas.openxmlformats.org/officeDocument/2006/relationships/hyperlink" Target="https://openknowledge.worldbank.org/entities/publication/20a4e61d-45c8-44e1-b9c7-0155131778f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089/9798400275074.002" TargetMode="External"/><Relationship Id="rId23" Type="http://schemas.openxmlformats.org/officeDocument/2006/relationships/hyperlink" Target="https://doi.org/10.33429/1957-2968.2037" TargetMode="External"/><Relationship Id="rId28" Type="http://schemas.openxmlformats.org/officeDocument/2006/relationships/footer" Target="footer1.xml"/><Relationship Id="rId10" Type="http://schemas.openxmlformats.org/officeDocument/2006/relationships/hyperlink" Target="https://doi.org/10.1086/260266" TargetMode="External"/><Relationship Id="rId19" Type="http://schemas.openxmlformats.org/officeDocument/2006/relationships/hyperlink" Target="https://doi.org/10.1002/jae.616"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371/journal.pone.0293847" TargetMode="External"/><Relationship Id="rId14" Type="http://schemas.openxmlformats.org/officeDocument/2006/relationships/hyperlink" Target="https://doi.org/10.14254/2071-8330.2018/11-2/8" TargetMode="External"/><Relationship Id="rId22" Type="http://schemas.openxmlformats.org/officeDocument/2006/relationships/hyperlink" Target="https://doi.org/10.59324/ejtas.2023.1(6).73"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econjournals.com/index.php/ijefi/article/view/4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7F6C-5662-47BB-8FDE-78081FAB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9011</Words>
  <Characters>51365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uchebenson36@gmail.com</dc:creator>
  <cp:keywords/>
  <dc:description/>
  <cp:lastModifiedBy>SDI 1087</cp:lastModifiedBy>
  <cp:revision>10</cp:revision>
  <cp:lastPrinted>2026-03-26T08:29:00Z</cp:lastPrinted>
  <dcterms:created xsi:type="dcterms:W3CDTF">2026-07-12T21:18:00Z</dcterms:created>
  <dcterms:modified xsi:type="dcterms:W3CDTF">2026-07-22T10:53:00Z</dcterms:modified>
</cp:coreProperties>
</file>