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1983" w14:textId="77777777" w:rsidR="00873A5C" w:rsidRPr="00CC358D" w:rsidRDefault="00CC6658" w:rsidP="00640F84">
      <w:pPr>
        <w:pStyle w:val="Heading3"/>
        <w:rPr>
          <w:rFonts w:ascii="Times New Roman" w:eastAsia="Times New Roman" w:hAnsi="Times New Roman" w:cs="Times New Roman"/>
          <w:noProof/>
          <w:sz w:val="8"/>
        </w:rPr>
      </w:pPr>
      <w:r w:rsidRPr="00CC358D">
        <w:rPr>
          <w:rFonts w:ascii="Times New Roman" w:eastAsia="Times New Roman" w:hAnsi="Times New Roman" w:cs="Times New Roman"/>
          <w:noProof/>
        </w:rPr>
        <w:drawing>
          <wp:anchor distT="0" distB="0" distL="114300" distR="114300" simplePos="0" relativeHeight="251658240" behindDoc="1" locked="0" layoutInCell="1" allowOverlap="1" wp14:anchorId="1D9A2F36" wp14:editId="3F11F146">
            <wp:simplePos x="0" y="0"/>
            <wp:positionH relativeFrom="column">
              <wp:posOffset>13335</wp:posOffset>
            </wp:positionH>
            <wp:positionV relativeFrom="paragraph">
              <wp:posOffset>-264160</wp:posOffset>
            </wp:positionV>
            <wp:extent cx="780415" cy="1087755"/>
            <wp:effectExtent l="19050" t="0" r="635" b="0"/>
            <wp:wrapTight wrapText="bothSides">
              <wp:wrapPolygon edited="0">
                <wp:start x="-527" y="0"/>
                <wp:lineTo x="-527" y="21184"/>
                <wp:lineTo x="21618" y="21184"/>
                <wp:lineTo x="21618" y="0"/>
                <wp:lineTo x="-527" y="0"/>
              </wp:wrapPolygon>
            </wp:wrapTight>
            <wp:docPr id="4" name="Picture 4" descr="E:\Shyamalendu-2\Template\Update cover page--others\AJEFM-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hyamalendu-2\Template\Update cover page--others\AJEFM-A4-1.jpg"/>
                    <pic:cNvPicPr>
                      <a:picLocks noChangeAspect="1" noChangeArrowheads="1"/>
                    </pic:cNvPicPr>
                  </pic:nvPicPr>
                  <pic:blipFill>
                    <a:blip r:embed="rId8" cstate="print"/>
                    <a:srcRect/>
                    <a:stretch>
                      <a:fillRect/>
                    </a:stretch>
                  </pic:blipFill>
                  <pic:spPr bwMode="auto">
                    <a:xfrm>
                      <a:off x="0" y="0"/>
                      <a:ext cx="780415" cy="1087755"/>
                    </a:xfrm>
                    <a:prstGeom prst="rect">
                      <a:avLst/>
                    </a:prstGeom>
                    <a:noFill/>
                    <a:ln w="9525">
                      <a:noFill/>
                      <a:miter lim="800000"/>
                      <a:headEnd/>
                      <a:tailEnd/>
                    </a:ln>
                  </pic:spPr>
                </pic:pic>
              </a:graphicData>
            </a:graphic>
          </wp:anchor>
        </w:drawing>
      </w:r>
      <w:r w:rsidR="005F28A0" w:rsidRPr="00CC358D">
        <w:rPr>
          <w:rFonts w:ascii="Times New Roman" w:eastAsia="Times New Roman" w:hAnsi="Times New Roman" w:cs="Times New Roman"/>
          <w:noProof/>
          <w:lang w:eastAsia="zh-TW"/>
        </w:rPr>
        <w:t>Asian Journal of Economics, Finance and Management</w:t>
      </w:r>
    </w:p>
    <w:p w14:paraId="599D96B9" w14:textId="77777777" w:rsidR="001A4A55" w:rsidRPr="00CC358D" w:rsidRDefault="001A4A55" w:rsidP="00640F84">
      <w:pPr>
        <w:spacing w:after="0" w:line="240" w:lineRule="auto"/>
        <w:ind w:left="2160"/>
        <w:rPr>
          <w:rFonts w:ascii="Times New Roman" w:eastAsia="Times New Roman" w:hAnsi="Times New Roman" w:cs="Times New Roman"/>
          <w:b/>
          <w:i/>
          <w:noProof/>
          <w:sz w:val="24"/>
          <w:szCs w:val="16"/>
          <w:lang w:eastAsia="zh-TW"/>
        </w:rPr>
      </w:pPr>
    </w:p>
    <w:p w14:paraId="0DAC12C6" w14:textId="3714DD71" w:rsidR="00873A5C" w:rsidRPr="00CC358D" w:rsidRDefault="00CC6658" w:rsidP="00640F84">
      <w:pPr>
        <w:pStyle w:val="Heading4"/>
        <w:rPr>
          <w:rFonts w:ascii="Times New Roman" w:eastAsia="Times New Roman" w:hAnsi="Times New Roman" w:cs="Times New Roman"/>
        </w:rPr>
      </w:pPr>
      <w:r w:rsidRPr="00CC358D">
        <w:rPr>
          <w:rFonts w:ascii="Times New Roman" w:eastAsia="Times New Roman" w:hAnsi="Times New Roman" w:cs="Times New Roman"/>
        </w:rPr>
        <w:t>Volume XXX, Issue XX, Page XX-XX, 20YY</w:t>
      </w:r>
      <w:r w:rsidR="004E094F" w:rsidRPr="00CC358D">
        <w:rPr>
          <w:rFonts w:ascii="Times New Roman" w:eastAsia="Times New Roman" w:hAnsi="Times New Roman" w:cs="Times New Roman"/>
        </w:rPr>
        <w:t>;</w:t>
      </w:r>
      <w:r w:rsidR="00873A5C" w:rsidRPr="00CC358D">
        <w:rPr>
          <w:rFonts w:ascii="Times New Roman" w:eastAsia="Times New Roman" w:hAnsi="Times New Roman" w:cs="Times New Roman"/>
        </w:rPr>
        <w:t xml:space="preserve"> Article </w:t>
      </w:r>
      <w:proofErr w:type="gramStart"/>
      <w:r w:rsidR="00873A5C" w:rsidRPr="00CC358D">
        <w:rPr>
          <w:rFonts w:ascii="Times New Roman" w:eastAsia="Times New Roman" w:hAnsi="Times New Roman" w:cs="Times New Roman"/>
        </w:rPr>
        <w:t>no.</w:t>
      </w:r>
      <w:r w:rsidR="00D5576D" w:rsidRPr="00CC358D">
        <w:rPr>
          <w:rFonts w:ascii="Times New Roman" w:eastAsia="Times New Roman" w:hAnsi="Times New Roman" w:cs="Times New Roman"/>
        </w:rPr>
        <w:t>AJEFM</w:t>
      </w:r>
      <w:proofErr w:type="gramEnd"/>
      <w:r w:rsidR="00640F84" w:rsidRPr="00CC358D">
        <w:rPr>
          <w:rFonts w:ascii="Times New Roman" w:eastAsia="Times New Roman" w:hAnsi="Times New Roman" w:cs="Times New Roman"/>
        </w:rPr>
        <w:t>.2674</w:t>
      </w:r>
    </w:p>
    <w:p w14:paraId="1D58E80F" w14:textId="77777777" w:rsidR="00873A5C" w:rsidRPr="00CC358D" w:rsidRDefault="00873A5C" w:rsidP="00640F84">
      <w:pPr>
        <w:spacing w:after="0" w:line="240" w:lineRule="auto"/>
        <w:ind w:left="2160"/>
        <w:rPr>
          <w:rFonts w:ascii="Times New Roman" w:eastAsia="Times New Roman" w:hAnsi="Times New Roman" w:cs="Times New Roman"/>
          <w:b/>
          <w:i/>
          <w:sz w:val="18"/>
          <w:szCs w:val="20"/>
        </w:rPr>
      </w:pPr>
    </w:p>
    <w:p w14:paraId="76CB4EC7" w14:textId="77777777" w:rsidR="00AA0D41" w:rsidRPr="00CC358D" w:rsidRDefault="00AA0D41" w:rsidP="00640F84">
      <w:pPr>
        <w:spacing w:after="0" w:line="240" w:lineRule="auto"/>
        <w:jc w:val="center"/>
        <w:rPr>
          <w:rFonts w:ascii="Times New Roman" w:eastAsia="Times New Roman" w:hAnsi="Times New Roman" w:cs="Times New Roman"/>
          <w:b/>
          <w:i/>
          <w:sz w:val="14"/>
          <w:szCs w:val="20"/>
        </w:rPr>
      </w:pPr>
    </w:p>
    <w:p w14:paraId="709A257F" w14:textId="77777777" w:rsidR="001A4A55" w:rsidRPr="00CC358D" w:rsidRDefault="001A4A55" w:rsidP="00640F84">
      <w:pPr>
        <w:spacing w:after="0" w:line="240" w:lineRule="auto"/>
        <w:jc w:val="center"/>
        <w:rPr>
          <w:rFonts w:ascii="Times New Roman" w:eastAsia="Times New Roman" w:hAnsi="Times New Roman" w:cs="Times New Roman"/>
          <w:b/>
          <w:i/>
          <w:sz w:val="14"/>
          <w:szCs w:val="20"/>
        </w:rPr>
      </w:pPr>
    </w:p>
    <w:p w14:paraId="649D670E" w14:textId="77777777" w:rsidR="00873A5C" w:rsidRPr="00CC358D" w:rsidRDefault="00000000" w:rsidP="00640F84">
      <w:pPr>
        <w:spacing w:after="0" w:line="240" w:lineRule="auto"/>
        <w:jc w:val="center"/>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32"/>
          <w:szCs w:val="20"/>
        </w:rPr>
      </w:r>
      <w:r>
        <w:rPr>
          <w:rFonts w:ascii="Times New Roman" w:eastAsia="Times New Roman" w:hAnsi="Times New Roman" w:cs="Times New Roman"/>
          <w:b/>
          <w:bCs/>
          <w:noProof/>
          <w:kern w:val="28"/>
          <w:sz w:val="32"/>
          <w:szCs w:val="20"/>
        </w:rPr>
        <w:pict w14:anchorId="7E2589B9">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81" type="#_x0000_t34" style="width:450.7pt;height:.05pt;visibility:visible;mso-left-percent:-10001;mso-top-percent:-10001;mso-position-horizontal:absolute;mso-position-horizontal-relative:char;mso-position-vertical:absolute;mso-position-vertical-relative:line;mso-left-percent:-10001;mso-top-percent:-10001" adj="10799,-62100000,-2666" strokeweight="1.5pt">
            <o:lock v:ext="edit" aspectratio="t"/>
            <w10:anchorlock/>
          </v:shape>
        </w:pict>
      </w:r>
    </w:p>
    <w:p w14:paraId="05876FE9" w14:textId="77777777" w:rsidR="00E531CD" w:rsidRPr="00CC358D" w:rsidRDefault="00E531CD" w:rsidP="00640F84">
      <w:pPr>
        <w:spacing w:after="0" w:line="240" w:lineRule="auto"/>
        <w:jc w:val="right"/>
        <w:rPr>
          <w:rFonts w:ascii="Times New Roman" w:eastAsia="Times New Roman" w:hAnsi="Times New Roman" w:cs="Times New Roman"/>
          <w:b/>
          <w:bCs/>
          <w:iCs/>
          <w:kern w:val="28"/>
          <w:sz w:val="20"/>
          <w:szCs w:val="20"/>
        </w:rPr>
      </w:pPr>
    </w:p>
    <w:p w14:paraId="4EC96DA7" w14:textId="77777777" w:rsidR="00640F84" w:rsidRPr="00CC358D" w:rsidRDefault="00640F84" w:rsidP="00640F84">
      <w:pPr>
        <w:pStyle w:val="Heading1"/>
        <w:rPr>
          <w:rFonts w:ascii="Times New Roman" w:eastAsia="Times New Roman" w:hAnsi="Times New Roman" w:cs="Times New Roman"/>
          <w:kern w:val="28"/>
          <w:sz w:val="48"/>
          <w:szCs w:val="48"/>
        </w:rPr>
      </w:pPr>
      <w:bookmarkStart w:id="0" w:name="_Hlk232675235"/>
      <w:r w:rsidRPr="00CC358D">
        <w:rPr>
          <w:rFonts w:ascii="Times New Roman" w:eastAsia="Times New Roman" w:hAnsi="Times New Roman" w:cs="Times New Roman"/>
          <w:kern w:val="28"/>
          <w:sz w:val="48"/>
          <w:szCs w:val="48"/>
        </w:rPr>
        <w:t>Urban Population Growth, Energy Consumption and CO₂ Emissions in India: Evidence from the ARDL Bounds Testing Approach</w:t>
      </w:r>
    </w:p>
    <w:bookmarkEnd w:id="0"/>
    <w:p w14:paraId="344B8AB7" w14:textId="77777777" w:rsidR="003F47A0" w:rsidRPr="00CC358D" w:rsidRDefault="003F47A0" w:rsidP="00640F84">
      <w:pPr>
        <w:spacing w:after="0" w:line="240" w:lineRule="auto"/>
        <w:jc w:val="right"/>
        <w:rPr>
          <w:rFonts w:ascii="Times New Roman" w:eastAsia="Times New Roman" w:hAnsi="Times New Roman" w:cs="Times New Roman"/>
          <w:b/>
          <w:bCs/>
          <w:sz w:val="36"/>
          <w:szCs w:val="20"/>
        </w:rPr>
      </w:pPr>
    </w:p>
    <w:p w14:paraId="511569E4" w14:textId="77777777" w:rsidR="003F47A0" w:rsidRPr="00CC358D" w:rsidRDefault="003F47A0" w:rsidP="00640F84">
      <w:pPr>
        <w:spacing w:after="0" w:line="240" w:lineRule="auto"/>
        <w:jc w:val="right"/>
        <w:rPr>
          <w:rFonts w:ascii="Times New Roman" w:eastAsia="Times New Roman" w:hAnsi="Times New Roman" w:cs="Times New Roman"/>
          <w:b/>
          <w:bCs/>
          <w:sz w:val="32"/>
          <w:szCs w:val="32"/>
        </w:rPr>
      </w:pPr>
      <w:r w:rsidRPr="00CC358D">
        <w:rPr>
          <w:rFonts w:ascii="Times New Roman" w:eastAsia="Times New Roman" w:hAnsi="Times New Roman" w:cs="Times New Roman"/>
          <w:b/>
          <w:bCs/>
          <w:sz w:val="32"/>
          <w:szCs w:val="32"/>
        </w:rPr>
        <w:t>Authors’ Name……………………………………………………</w:t>
      </w:r>
    </w:p>
    <w:p w14:paraId="3D8C40BF" w14:textId="77777777" w:rsidR="003F47A0" w:rsidRPr="00CC358D" w:rsidRDefault="003F47A0" w:rsidP="00640F84">
      <w:pPr>
        <w:spacing w:after="0" w:line="240" w:lineRule="auto"/>
        <w:jc w:val="right"/>
        <w:rPr>
          <w:rFonts w:ascii="Times New Roman" w:eastAsia="Times New Roman" w:hAnsi="Times New Roman" w:cs="Times New Roman"/>
          <w:b/>
          <w:bCs/>
          <w:sz w:val="24"/>
          <w:szCs w:val="20"/>
        </w:rPr>
      </w:pPr>
    </w:p>
    <w:p w14:paraId="489CAEF6" w14:textId="77777777" w:rsidR="003F47A0" w:rsidRPr="00CC358D" w:rsidRDefault="003F47A0" w:rsidP="00640F84">
      <w:pPr>
        <w:spacing w:after="0" w:line="240" w:lineRule="auto"/>
        <w:jc w:val="right"/>
        <w:rPr>
          <w:rFonts w:ascii="Times New Roman" w:eastAsia="Times New Roman" w:hAnsi="Times New Roman" w:cs="Times New Roman"/>
          <w:bCs/>
          <w:i/>
          <w:sz w:val="20"/>
          <w:szCs w:val="20"/>
        </w:rPr>
      </w:pPr>
      <w:r w:rsidRPr="00CC358D">
        <w:rPr>
          <w:rFonts w:ascii="Times New Roman" w:eastAsia="Times New Roman" w:hAnsi="Times New Roman" w:cs="Times New Roman"/>
          <w:bCs/>
          <w:i/>
          <w:sz w:val="20"/>
          <w:szCs w:val="20"/>
        </w:rPr>
        <w:t>Affiliations……………………………………………………….………………</w:t>
      </w:r>
    </w:p>
    <w:p w14:paraId="3DF0E976" w14:textId="77777777" w:rsidR="00D851AD" w:rsidRPr="00CC358D" w:rsidRDefault="00D851AD" w:rsidP="00640F84">
      <w:pPr>
        <w:spacing w:after="0" w:line="240" w:lineRule="auto"/>
        <w:jc w:val="right"/>
        <w:rPr>
          <w:rFonts w:ascii="Times New Roman" w:eastAsia="Times New Roman" w:hAnsi="Times New Roman" w:cs="Times New Roman"/>
          <w:i/>
          <w:sz w:val="20"/>
          <w:szCs w:val="20"/>
        </w:rPr>
      </w:pPr>
    </w:p>
    <w:p w14:paraId="5E392264" w14:textId="6F19909F" w:rsidR="00A324F0" w:rsidRPr="00CC358D" w:rsidRDefault="00A324F0" w:rsidP="00640F84">
      <w:pPr>
        <w:spacing w:after="0" w:line="240" w:lineRule="auto"/>
        <w:jc w:val="right"/>
        <w:rPr>
          <w:rFonts w:ascii="Times New Roman" w:eastAsia="Times New Roman" w:hAnsi="Times New Roman" w:cs="Times New Roman"/>
          <w:b/>
          <w:i/>
          <w:color w:val="FF0000"/>
          <w:sz w:val="20"/>
          <w:szCs w:val="20"/>
        </w:rPr>
      </w:pPr>
      <w:r w:rsidRPr="00CC358D">
        <w:rPr>
          <w:rFonts w:ascii="Times New Roman" w:eastAsia="Times New Roman" w:hAnsi="Times New Roman" w:cs="Times New Roman"/>
          <w:b/>
          <w:i/>
          <w:sz w:val="20"/>
          <w:szCs w:val="20"/>
        </w:rPr>
        <w:t>Authors’ contributions</w:t>
      </w:r>
    </w:p>
    <w:p w14:paraId="50E93DF4" w14:textId="77777777" w:rsidR="00D851AD" w:rsidRPr="00CC358D" w:rsidRDefault="00D851AD" w:rsidP="00640F84">
      <w:pPr>
        <w:spacing w:after="0" w:line="240" w:lineRule="auto"/>
        <w:jc w:val="right"/>
        <w:rPr>
          <w:rFonts w:ascii="Times New Roman" w:eastAsia="Times New Roman" w:hAnsi="Times New Roman" w:cs="Times New Roman"/>
          <w:b/>
          <w:i/>
          <w:sz w:val="20"/>
          <w:szCs w:val="20"/>
        </w:rPr>
      </w:pPr>
    </w:p>
    <w:p w14:paraId="1EFA9B80" w14:textId="0421E854" w:rsidR="00CC4E5B" w:rsidRPr="00CC358D" w:rsidRDefault="00CC4E5B" w:rsidP="00640F84">
      <w:pPr>
        <w:spacing w:after="0" w:line="240" w:lineRule="auto"/>
        <w:jc w:val="right"/>
        <w:rPr>
          <w:rFonts w:ascii="Times New Roman" w:eastAsia="Times New Roman" w:hAnsi="Times New Roman" w:cs="Times New Roman"/>
          <w:i/>
          <w:sz w:val="20"/>
          <w:szCs w:val="20"/>
        </w:rPr>
      </w:pPr>
      <w:r w:rsidRPr="00CC358D">
        <w:rPr>
          <w:rFonts w:ascii="Times New Roman" w:hAnsi="Times New Roman" w:cs="Times New Roman"/>
          <w:i/>
          <w:sz w:val="20"/>
        </w:rPr>
        <w:t>This work was carried out in collaboration among all authors. All authors read and approved the final manuscript.</w:t>
      </w:r>
    </w:p>
    <w:p w14:paraId="0F2C3985" w14:textId="77777777" w:rsidR="00D851AD" w:rsidRPr="00CC358D" w:rsidRDefault="00D851AD" w:rsidP="00640F84">
      <w:pPr>
        <w:spacing w:after="0" w:line="240" w:lineRule="auto"/>
        <w:jc w:val="right"/>
        <w:rPr>
          <w:rFonts w:ascii="Times New Roman" w:eastAsia="Times New Roman" w:hAnsi="Times New Roman" w:cs="Times New Roman"/>
          <w:sz w:val="20"/>
          <w:szCs w:val="20"/>
        </w:rPr>
      </w:pPr>
    </w:p>
    <w:p w14:paraId="69746A5F" w14:textId="77777777" w:rsidR="0071669F" w:rsidRPr="00CC358D" w:rsidRDefault="0071669F" w:rsidP="00640F84">
      <w:pPr>
        <w:spacing w:after="0" w:line="240" w:lineRule="auto"/>
        <w:jc w:val="right"/>
        <w:rPr>
          <w:rFonts w:ascii="Times New Roman" w:hAnsi="Times New Roman" w:cs="Times New Roman"/>
          <w:b/>
          <w:i/>
          <w:sz w:val="20"/>
          <w:szCs w:val="20"/>
        </w:rPr>
      </w:pPr>
      <w:r w:rsidRPr="00CC358D">
        <w:rPr>
          <w:rFonts w:ascii="Times New Roman" w:hAnsi="Times New Roman" w:cs="Times New Roman"/>
          <w:b/>
          <w:i/>
          <w:sz w:val="20"/>
          <w:szCs w:val="20"/>
        </w:rPr>
        <w:t>Article Information</w:t>
      </w:r>
    </w:p>
    <w:p w14:paraId="3221B31A" w14:textId="77777777" w:rsidR="0071669F" w:rsidRPr="00CC358D" w:rsidRDefault="0071669F" w:rsidP="00640F84">
      <w:pPr>
        <w:spacing w:after="0" w:line="240" w:lineRule="auto"/>
        <w:jc w:val="right"/>
        <w:rPr>
          <w:rFonts w:ascii="Times New Roman" w:hAnsi="Times New Roman" w:cs="Times New Roman"/>
          <w:b/>
          <w:i/>
          <w:sz w:val="16"/>
          <w:szCs w:val="20"/>
        </w:rPr>
      </w:pPr>
    </w:p>
    <w:p w14:paraId="5BADAFCA" w14:textId="78A1F89A" w:rsidR="00D70291" w:rsidRPr="00CC358D" w:rsidRDefault="00D70291" w:rsidP="00640F84">
      <w:pPr>
        <w:spacing w:after="0" w:line="240" w:lineRule="auto"/>
        <w:jc w:val="right"/>
        <w:rPr>
          <w:rFonts w:ascii="Times New Roman" w:hAnsi="Times New Roman" w:cs="Times New Roman"/>
          <w:b/>
          <w:i/>
          <w:sz w:val="16"/>
          <w:szCs w:val="20"/>
        </w:rPr>
      </w:pPr>
      <w:r w:rsidRPr="00CC358D">
        <w:rPr>
          <w:rFonts w:ascii="Times New Roman" w:eastAsia="Times New Roman" w:hAnsi="Times New Roman" w:cs="Times New Roman"/>
          <w:sz w:val="16"/>
          <w:szCs w:val="16"/>
        </w:rPr>
        <w:t>DOI: 10.56557/AJEFM/202</w:t>
      </w:r>
      <w:r w:rsidR="003701E9" w:rsidRPr="00CC358D">
        <w:rPr>
          <w:rFonts w:ascii="Times New Roman" w:eastAsia="Times New Roman" w:hAnsi="Times New Roman" w:cs="Times New Roman"/>
          <w:sz w:val="16"/>
          <w:szCs w:val="16"/>
        </w:rPr>
        <w:t>6</w:t>
      </w:r>
      <w:r w:rsidRPr="00CC358D">
        <w:rPr>
          <w:rFonts w:ascii="Times New Roman" w:eastAsia="Times New Roman" w:hAnsi="Times New Roman" w:cs="Times New Roman"/>
          <w:sz w:val="16"/>
          <w:szCs w:val="16"/>
        </w:rPr>
        <w:t>/XXXX</w:t>
      </w:r>
    </w:p>
    <w:p w14:paraId="2ABC5A69" w14:textId="77777777" w:rsidR="00D70291" w:rsidRPr="00CC358D" w:rsidRDefault="00D70291" w:rsidP="00640F84">
      <w:pPr>
        <w:spacing w:after="0" w:line="240" w:lineRule="auto"/>
        <w:jc w:val="right"/>
        <w:rPr>
          <w:rFonts w:ascii="Times New Roman" w:hAnsi="Times New Roman" w:cs="Times New Roman"/>
          <w:b/>
          <w:i/>
          <w:sz w:val="16"/>
          <w:szCs w:val="20"/>
        </w:rPr>
      </w:pPr>
    </w:p>
    <w:p w14:paraId="51E0B832" w14:textId="77777777" w:rsidR="0071669F" w:rsidRPr="00CC358D" w:rsidRDefault="0071669F" w:rsidP="00640F84">
      <w:pPr>
        <w:spacing w:after="0" w:line="240" w:lineRule="auto"/>
        <w:jc w:val="right"/>
        <w:rPr>
          <w:rFonts w:ascii="Times New Roman" w:eastAsia="Times New Roman" w:hAnsi="Times New Roman" w:cs="Times New Roman"/>
          <w:b/>
          <w:sz w:val="16"/>
          <w:szCs w:val="16"/>
        </w:rPr>
      </w:pPr>
      <w:r w:rsidRPr="00CC358D">
        <w:rPr>
          <w:rFonts w:ascii="Times New Roman" w:eastAsia="Times New Roman" w:hAnsi="Times New Roman" w:cs="Times New Roman"/>
          <w:b/>
          <w:sz w:val="16"/>
          <w:szCs w:val="16"/>
        </w:rPr>
        <w:t>Open Peer Review History:</w:t>
      </w:r>
    </w:p>
    <w:p w14:paraId="35074881" w14:textId="77777777" w:rsidR="0071669F" w:rsidRPr="00CC358D" w:rsidRDefault="0071669F" w:rsidP="00640F84">
      <w:pPr>
        <w:spacing w:after="0" w:line="240" w:lineRule="auto"/>
        <w:jc w:val="right"/>
        <w:rPr>
          <w:rFonts w:ascii="Times New Roman" w:eastAsia="Times New Roman" w:hAnsi="Times New Roman" w:cs="Times New Roman"/>
          <w:sz w:val="16"/>
          <w:szCs w:val="16"/>
        </w:rPr>
      </w:pPr>
      <w:r w:rsidRPr="00CC358D">
        <w:rPr>
          <w:rFonts w:ascii="Times New Roman" w:eastAsia="Times New Roman" w:hAnsi="Times New Roman" w:cs="Times New Roman"/>
          <w:sz w:val="16"/>
          <w:szCs w:val="16"/>
        </w:rPr>
        <w:t xml:space="preserve">This journal follows the Advanced Open Peer Review policy. Identity of the Reviewers, Editor(s) and additional </w:t>
      </w:r>
      <w:proofErr w:type="gramStart"/>
      <w:r w:rsidRPr="00CC358D">
        <w:rPr>
          <w:rFonts w:ascii="Times New Roman" w:eastAsia="Times New Roman" w:hAnsi="Times New Roman" w:cs="Times New Roman"/>
          <w:sz w:val="16"/>
          <w:szCs w:val="16"/>
        </w:rPr>
        <w:t>Reviewers,  peer</w:t>
      </w:r>
      <w:proofErr w:type="gramEnd"/>
      <w:r w:rsidRPr="00CC358D">
        <w:rPr>
          <w:rFonts w:ascii="Times New Roman" w:eastAsia="Times New Roman" w:hAnsi="Times New Roman" w:cs="Times New Roman"/>
          <w:sz w:val="16"/>
          <w:szCs w:val="16"/>
        </w:rPr>
        <w:t xml:space="preserve"> review comments, different versions of the manuscript, comments of the editors, </w:t>
      </w:r>
      <w:proofErr w:type="spellStart"/>
      <w:r w:rsidRPr="00CC358D">
        <w:rPr>
          <w:rFonts w:ascii="Times New Roman" w:eastAsia="Times New Roman" w:hAnsi="Times New Roman" w:cs="Times New Roman"/>
          <w:sz w:val="16"/>
          <w:szCs w:val="16"/>
        </w:rPr>
        <w:t>etc</w:t>
      </w:r>
      <w:proofErr w:type="spellEnd"/>
      <w:r w:rsidRPr="00CC358D">
        <w:rPr>
          <w:rFonts w:ascii="Times New Roman" w:eastAsia="Times New Roman" w:hAnsi="Times New Roman" w:cs="Times New Roman"/>
          <w:sz w:val="16"/>
          <w:szCs w:val="16"/>
        </w:rPr>
        <w:t xml:space="preserve"> are available here:</w:t>
      </w:r>
    </w:p>
    <w:p w14:paraId="346D3F48" w14:textId="77777777" w:rsidR="0071669F" w:rsidRPr="00CC358D" w:rsidRDefault="0071669F" w:rsidP="00640F84">
      <w:pPr>
        <w:spacing w:after="0" w:line="240" w:lineRule="auto"/>
        <w:jc w:val="right"/>
        <w:rPr>
          <w:rFonts w:ascii="Times New Roman" w:eastAsia="Times New Roman" w:hAnsi="Times New Roman" w:cs="Times New Roman"/>
          <w:sz w:val="16"/>
          <w:szCs w:val="16"/>
        </w:rPr>
      </w:pPr>
    </w:p>
    <w:p w14:paraId="2EA769C0" w14:textId="77777777" w:rsidR="00D851AD" w:rsidRPr="00CC358D" w:rsidRDefault="00D851AD" w:rsidP="00640F84">
      <w:pPr>
        <w:keepNext/>
        <w:spacing w:after="0" w:line="240" w:lineRule="auto"/>
        <w:jc w:val="right"/>
        <w:rPr>
          <w:rFonts w:ascii="Times New Roman" w:eastAsia="Times New Roman" w:hAnsi="Times New Roman" w:cs="Times New Roman"/>
          <w:sz w:val="20"/>
          <w:szCs w:val="20"/>
        </w:rPr>
      </w:pPr>
    </w:p>
    <w:p w14:paraId="6790BAB2" w14:textId="77777777" w:rsidR="00BD060A" w:rsidRPr="00CC358D" w:rsidRDefault="00BD060A" w:rsidP="00640F84">
      <w:pPr>
        <w:spacing w:after="0" w:line="240" w:lineRule="auto"/>
        <w:jc w:val="right"/>
        <w:rPr>
          <w:rFonts w:ascii="Times New Roman" w:eastAsia="Times New Roman" w:hAnsi="Times New Roman" w:cs="Times New Roman"/>
          <w:bCs/>
          <w:iCs/>
          <w:sz w:val="20"/>
          <w:szCs w:val="20"/>
        </w:rPr>
      </w:pPr>
    </w:p>
    <w:p w14:paraId="36573799" w14:textId="2A3E829B" w:rsidR="00BD060A" w:rsidRPr="00CC358D" w:rsidRDefault="00000000" w:rsidP="00640F84">
      <w:pPr>
        <w:autoSpaceDE w:val="0"/>
        <w:autoSpaceDN w:val="0"/>
        <w:adjustRightInd w:val="0"/>
        <w:spacing w:after="0" w:line="240" w:lineRule="auto"/>
        <w:jc w:val="right"/>
        <w:rPr>
          <w:rFonts w:ascii="Times New Roman" w:eastAsia="Times New Roman" w:hAnsi="Times New Roman" w:cs="Times New Roman"/>
          <w:b/>
          <w:i/>
          <w:sz w:val="20"/>
          <w:szCs w:val="16"/>
        </w:rPr>
      </w:pPr>
      <w:r>
        <w:rPr>
          <w:rFonts w:ascii="Times New Roman" w:eastAsia="Times New Roman" w:hAnsi="Times New Roman" w:cs="Times New Roman"/>
          <w:b/>
          <w:i/>
          <w:noProof/>
          <w:sz w:val="20"/>
          <w:szCs w:val="20"/>
        </w:rPr>
        <w:pict w14:anchorId="012185FB">
          <v:rect id="_x0000_s2077" style="position:absolute;left:0;text-align:left;margin-left:.9pt;margin-top:2.25pt;width:137.6pt;height:18.65pt;z-index:251666432">
            <v:textbox style="mso-next-textbox:#_x0000_s2077" inset=",2.16pt,,2.16pt">
              <w:txbxContent>
                <w:p w14:paraId="5E51B2C3" w14:textId="77777777" w:rsidR="00682F1A" w:rsidRPr="0022086C" w:rsidRDefault="0024429D" w:rsidP="00682F1A">
                  <w:pPr>
                    <w:jc w:val="center"/>
                    <w:rPr>
                      <w:rFonts w:ascii="Times New Roman" w:hAnsi="Times New Roman" w:cs="Times New Roman"/>
                      <w:b/>
                      <w:i/>
                      <w:sz w:val="20"/>
                    </w:rPr>
                  </w:pPr>
                  <w:r w:rsidRPr="00CC358D">
                    <w:rPr>
                      <w:rFonts w:ascii="Times New Roman" w:hAnsi="Times New Roman" w:cs="Times New Roman"/>
                      <w:b/>
                      <w:i/>
                      <w:sz w:val="20"/>
                    </w:rPr>
                    <w:t>……………</w:t>
                  </w:r>
                  <w:r w:rsidR="0056093E" w:rsidRPr="00CC358D">
                    <w:rPr>
                      <w:rFonts w:ascii="Times New Roman" w:hAnsi="Times New Roman" w:cs="Times New Roman"/>
                      <w:b/>
                      <w:i/>
                      <w:sz w:val="20"/>
                    </w:rPr>
                    <w:t xml:space="preserve"> Article</w:t>
                  </w:r>
                </w:p>
              </w:txbxContent>
            </v:textbox>
          </v:rect>
        </w:pict>
      </w:r>
      <w:r w:rsidR="00BD060A" w:rsidRPr="00CC358D">
        <w:rPr>
          <w:rFonts w:ascii="Times New Roman" w:eastAsia="Times New Roman" w:hAnsi="Times New Roman" w:cs="Times New Roman"/>
          <w:b/>
          <w:i/>
          <w:sz w:val="20"/>
          <w:szCs w:val="16"/>
        </w:rPr>
        <w:t>Received</w:t>
      </w:r>
      <w:r w:rsidR="00CC6658" w:rsidRPr="00CC358D">
        <w:rPr>
          <w:rFonts w:ascii="Times New Roman" w:eastAsia="Times New Roman" w:hAnsi="Times New Roman" w:cs="Times New Roman"/>
          <w:b/>
          <w:i/>
          <w:sz w:val="20"/>
          <w:szCs w:val="16"/>
        </w:rPr>
        <w:t>:</w:t>
      </w:r>
      <w:r w:rsidR="00BD060A" w:rsidRPr="00CC358D">
        <w:rPr>
          <w:rFonts w:ascii="Times New Roman" w:eastAsia="Times New Roman" w:hAnsi="Times New Roman" w:cs="Times New Roman"/>
          <w:b/>
          <w:i/>
          <w:sz w:val="20"/>
          <w:szCs w:val="16"/>
        </w:rPr>
        <w:t xml:space="preserve"> </w:t>
      </w:r>
      <w:r w:rsidR="00CC6658" w:rsidRPr="00CC358D">
        <w:rPr>
          <w:rFonts w:ascii="Times New Roman" w:eastAsia="Times New Roman" w:hAnsi="Times New Roman" w:cs="Times New Roman"/>
          <w:b/>
          <w:i/>
          <w:sz w:val="20"/>
          <w:szCs w:val="16"/>
        </w:rPr>
        <w:t>DD/MM/20YY</w:t>
      </w:r>
    </w:p>
    <w:p w14:paraId="5EB2AFC8" w14:textId="619EF589" w:rsidR="00BD060A" w:rsidRPr="00CC358D" w:rsidRDefault="00BD060A" w:rsidP="00640F84">
      <w:pPr>
        <w:autoSpaceDE w:val="0"/>
        <w:autoSpaceDN w:val="0"/>
        <w:adjustRightInd w:val="0"/>
        <w:spacing w:after="0" w:line="240" w:lineRule="auto"/>
        <w:jc w:val="right"/>
        <w:rPr>
          <w:rFonts w:ascii="Times New Roman" w:eastAsia="Times New Roman" w:hAnsi="Times New Roman" w:cs="Times New Roman"/>
          <w:sz w:val="20"/>
          <w:szCs w:val="20"/>
        </w:rPr>
      </w:pPr>
      <w:r w:rsidRPr="00CC358D">
        <w:rPr>
          <w:rFonts w:ascii="Times New Roman" w:eastAsia="Times New Roman" w:hAnsi="Times New Roman" w:cs="Times New Roman"/>
          <w:b/>
          <w:i/>
          <w:sz w:val="20"/>
          <w:szCs w:val="16"/>
        </w:rPr>
        <w:t>Published</w:t>
      </w:r>
      <w:r w:rsidR="00CC6658" w:rsidRPr="00CC358D">
        <w:rPr>
          <w:rFonts w:ascii="Times New Roman" w:eastAsia="Times New Roman" w:hAnsi="Times New Roman" w:cs="Times New Roman"/>
          <w:b/>
          <w:i/>
          <w:sz w:val="20"/>
          <w:szCs w:val="16"/>
        </w:rPr>
        <w:t>:</w:t>
      </w:r>
      <w:r w:rsidRPr="00CC358D">
        <w:rPr>
          <w:rFonts w:ascii="Times New Roman" w:eastAsia="Times New Roman" w:hAnsi="Times New Roman" w:cs="Times New Roman"/>
          <w:b/>
          <w:i/>
          <w:sz w:val="20"/>
          <w:szCs w:val="16"/>
        </w:rPr>
        <w:t xml:space="preserve"> </w:t>
      </w:r>
      <w:r w:rsidR="00CC6658" w:rsidRPr="00CC358D">
        <w:rPr>
          <w:rFonts w:ascii="Times New Roman" w:eastAsia="Times New Roman" w:hAnsi="Times New Roman" w:cs="Times New Roman"/>
          <w:b/>
          <w:i/>
          <w:sz w:val="20"/>
          <w:szCs w:val="16"/>
        </w:rPr>
        <w:t>DD/MM/20YY</w:t>
      </w:r>
    </w:p>
    <w:p w14:paraId="080E8245" w14:textId="77777777" w:rsidR="00BD060A" w:rsidRPr="00CC358D" w:rsidRDefault="00000000" w:rsidP="00640F84">
      <w:pPr>
        <w:keepNext/>
        <w:spacing w:after="0" w:line="240" w:lineRule="auto"/>
        <w:rPr>
          <w:rFonts w:ascii="Times New Roman" w:eastAsia="Times New Roman" w:hAnsi="Times New Roman" w:cs="Times New Roman"/>
          <w:b/>
          <w:caps/>
          <w:sz w:val="24"/>
          <w:szCs w:val="20"/>
        </w:rPr>
      </w:pPr>
      <w:r>
        <w:rPr>
          <w:rFonts w:ascii="Times New Roman" w:eastAsia="Times New Roman" w:hAnsi="Times New Roman" w:cs="Times New Roman"/>
          <w:b/>
          <w:caps/>
          <w:sz w:val="24"/>
          <w:szCs w:val="20"/>
        </w:rPr>
      </w:r>
      <w:r>
        <w:rPr>
          <w:rFonts w:ascii="Times New Roman" w:eastAsia="Times New Roman" w:hAnsi="Times New Roman" w:cs="Times New Roman"/>
          <w:b/>
          <w:caps/>
          <w:sz w:val="24"/>
          <w:szCs w:val="20"/>
        </w:rPr>
        <w:pict w14:anchorId="52931946">
          <v:shapetype id="_x0000_t32" coordsize="21600,21600" o:spt="32" o:oned="t" path="m,l21600,21600e" filled="f">
            <v:path arrowok="t" fillok="f" o:connecttype="none"/>
            <o:lock v:ext="edit" shapetype="t"/>
          </v:shapetype>
          <v:shape id="_x0000_s2080" type="#_x0000_t32" style="width:450.7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2FA85926" w14:textId="77777777" w:rsidR="00BD060A" w:rsidRPr="00CC358D" w:rsidRDefault="00BD060A" w:rsidP="00640F84">
      <w:pPr>
        <w:keepNext/>
        <w:tabs>
          <w:tab w:val="left" w:pos="3870"/>
        </w:tabs>
        <w:spacing w:after="0" w:line="240" w:lineRule="auto"/>
        <w:rPr>
          <w:rFonts w:ascii="Times New Roman" w:eastAsia="Times New Roman" w:hAnsi="Times New Roman" w:cs="Times New Roman"/>
          <w:b/>
          <w:caps/>
          <w:sz w:val="20"/>
          <w:szCs w:val="20"/>
        </w:rPr>
      </w:pPr>
    </w:p>
    <w:p w14:paraId="6870D69A" w14:textId="6567B041" w:rsidR="00BD060A" w:rsidRPr="00CC358D" w:rsidRDefault="003701E9" w:rsidP="00640F84">
      <w:pPr>
        <w:pStyle w:val="Heading2"/>
        <w:rPr>
          <w:rFonts w:ascii="Times New Roman" w:eastAsia="Times New Roman" w:hAnsi="Times New Roman" w:cs="Times New Roman"/>
        </w:rPr>
      </w:pPr>
      <w:r w:rsidRPr="00CC358D">
        <w:rPr>
          <w:rFonts w:ascii="Times New Roman" w:eastAsia="Times New Roman" w:hAnsi="Times New Roman" w:cs="Times New Roman"/>
        </w:rPr>
        <w:t>Abstract</w:t>
      </w:r>
    </w:p>
    <w:p w14:paraId="4BE5BCF1" w14:textId="77777777" w:rsidR="00BD060A" w:rsidRPr="00CC358D" w:rsidRDefault="00BD060A" w:rsidP="00640F84">
      <w:pPr>
        <w:keepNext/>
        <w:spacing w:after="0" w:line="240" w:lineRule="auto"/>
        <w:rPr>
          <w:rFonts w:ascii="Times New Roman" w:eastAsia="Times New Roman" w:hAnsi="Times New Roman" w:cs="Times New Roman"/>
          <w:b/>
          <w:caps/>
          <w:sz w:val="20"/>
          <w:szCs w:val="20"/>
        </w:rPr>
      </w:pPr>
    </w:p>
    <w:tbl>
      <w:tblPr>
        <w:tblStyle w:val="TableGrid"/>
        <w:tblW w:w="4900" w:type="pct"/>
        <w:jc w:val="center"/>
        <w:tblLayout w:type="fixed"/>
        <w:tblLook w:val="04A0" w:firstRow="1" w:lastRow="0" w:firstColumn="1" w:lastColumn="0" w:noHBand="0" w:noVBand="1"/>
      </w:tblPr>
      <w:tblGrid>
        <w:gridCol w:w="9060"/>
      </w:tblGrid>
      <w:tr w:rsidR="00BD060A" w:rsidRPr="00CC358D" w14:paraId="3F2D29AF" w14:textId="77777777" w:rsidTr="00640F84">
        <w:trPr>
          <w:trHeight w:val="20"/>
          <w:jc w:val="center"/>
        </w:trPr>
        <w:tc>
          <w:tcPr>
            <w:tcW w:w="9018" w:type="dxa"/>
          </w:tcPr>
          <w:p w14:paraId="7F8D43FC" w14:textId="77777777" w:rsidR="003F47A0" w:rsidRPr="00CC358D" w:rsidRDefault="00640F84" w:rsidP="002603DF">
            <w:pPr>
              <w:jc w:val="both"/>
              <w:rPr>
                <w:rFonts w:ascii="Times New Roman" w:eastAsia="Calibri" w:hAnsi="Times New Roman" w:cs="Times New Roman"/>
                <w:sz w:val="20"/>
              </w:rPr>
            </w:pPr>
            <w:r w:rsidRPr="00CC358D">
              <w:rPr>
                <w:rFonts w:ascii="Times New Roman" w:eastAsia="Calibri" w:hAnsi="Times New Roman" w:cs="Times New Roman"/>
                <w:sz w:val="20"/>
              </w:rPr>
              <w:t xml:space="preserve">Rapid </w:t>
            </w:r>
            <w:proofErr w:type="spellStart"/>
            <w:r w:rsidRPr="00CC358D">
              <w:rPr>
                <w:rFonts w:ascii="Times New Roman" w:eastAsia="Calibri" w:hAnsi="Times New Roman" w:cs="Times New Roman"/>
                <w:sz w:val="20"/>
              </w:rPr>
              <w:t>urbanisation</w:t>
            </w:r>
            <w:proofErr w:type="spellEnd"/>
            <w:r w:rsidRPr="00CC358D">
              <w:rPr>
                <w:rFonts w:ascii="Times New Roman" w:eastAsia="Calibri" w:hAnsi="Times New Roman" w:cs="Times New Roman"/>
                <w:sz w:val="20"/>
              </w:rPr>
              <w:t xml:space="preserve"> has become a central feature of India’s economic transformation, but its environmental implications remain a policy concern. This study examines the long-run and short-run relationships among urban population growth, energy consumption, trade openness, and carbon dioxide (CO₂) emissions in India using annual data for 1974–2023 from the World Bank’s World Development Indicators. The stationarity properties of the variables are assessed with the Augmented Dickey–Fuller test. Because the variables exhibit a mixed order of integration, the Autoregressive Distributed Lag bounds-testing approach is applied. The results confirm a stable long-run equilibrium relationship among the variables. The estimated long-run coefficients indicate that urban population growth has the largest positive association with CO₂ emissions, followed by energy consumption, while trade openness has a smaller but statistically significant positive association. The negative and statistically significant error correction term indicates a rapid adjustment from short-run disequilibrium towards the long-run equilibrium. Diagnostic and stability tests support the adequacy </w:t>
            </w:r>
            <w:r w:rsidRPr="00CC358D">
              <w:rPr>
                <w:rFonts w:ascii="Times New Roman" w:eastAsia="Calibri" w:hAnsi="Times New Roman" w:cs="Times New Roman"/>
                <w:sz w:val="20"/>
              </w:rPr>
              <w:lastRenderedPageBreak/>
              <w:t>and parameter stability of the estimated model over the sample period. The findings suggest that India’s urban and environmental policies should place greater emphasis on sustainable urban planning, renewable-energy deployment, energy efficiency, cleaner production and transport systems, and environmentally responsible trade practices to reduce emissions while supporting long-term economic development.</w:t>
            </w:r>
          </w:p>
          <w:p w14:paraId="284376B1" w14:textId="330067C7" w:rsidR="00640F84" w:rsidRPr="00CC358D" w:rsidRDefault="00640F84" w:rsidP="00640F84">
            <w:pPr>
              <w:rPr>
                <w:rFonts w:ascii="Times New Roman" w:eastAsia="Calibri" w:hAnsi="Times New Roman" w:cs="Times New Roman"/>
                <w:sz w:val="20"/>
              </w:rPr>
            </w:pPr>
          </w:p>
        </w:tc>
      </w:tr>
    </w:tbl>
    <w:p w14:paraId="42A5000E" w14:textId="77777777" w:rsidR="00D851AD" w:rsidRPr="00CC358D" w:rsidRDefault="00D851AD" w:rsidP="00640F84">
      <w:pPr>
        <w:spacing w:after="0" w:line="240" w:lineRule="auto"/>
        <w:ind w:left="1080" w:hanging="1080"/>
        <w:jc w:val="both"/>
        <w:rPr>
          <w:rFonts w:ascii="Times New Roman" w:eastAsia="Times New Roman" w:hAnsi="Times New Roman" w:cs="Times New Roman"/>
          <w:i/>
          <w:sz w:val="20"/>
          <w:szCs w:val="20"/>
        </w:rPr>
      </w:pPr>
    </w:p>
    <w:p w14:paraId="4EFFFEFD" w14:textId="42FAEBB0" w:rsidR="00BD060A" w:rsidRPr="00CC358D" w:rsidRDefault="00BD060A" w:rsidP="00FF7268">
      <w:pPr>
        <w:spacing w:after="0" w:line="240" w:lineRule="auto"/>
        <w:ind w:left="900" w:hanging="900"/>
        <w:jc w:val="both"/>
        <w:rPr>
          <w:rFonts w:ascii="Times New Roman" w:eastAsia="Times New Roman" w:hAnsi="Times New Roman" w:cs="Times New Roman"/>
          <w:bCs/>
          <w:i/>
          <w:iCs/>
          <w:sz w:val="20"/>
          <w:szCs w:val="20"/>
        </w:rPr>
      </w:pPr>
      <w:r w:rsidRPr="00CC358D">
        <w:rPr>
          <w:rFonts w:ascii="Times New Roman" w:eastAsia="Times New Roman" w:hAnsi="Times New Roman" w:cs="Times New Roman"/>
          <w:i/>
          <w:sz w:val="20"/>
          <w:szCs w:val="20"/>
        </w:rPr>
        <w:t>Keywords:</w:t>
      </w:r>
      <w:r w:rsidR="00FF7268" w:rsidRPr="00CC358D">
        <w:rPr>
          <w:rFonts w:ascii="Times New Roman" w:eastAsia="Times New Roman" w:hAnsi="Times New Roman" w:cs="Times New Roman"/>
          <w:i/>
          <w:sz w:val="20"/>
          <w:szCs w:val="20"/>
        </w:rPr>
        <w:tab/>
      </w:r>
      <w:r w:rsidR="00640F84" w:rsidRPr="00CC358D">
        <w:rPr>
          <w:rFonts w:ascii="Times New Roman" w:eastAsia="Times New Roman" w:hAnsi="Times New Roman" w:cs="Times New Roman"/>
          <w:bCs/>
          <w:i/>
          <w:iCs/>
          <w:sz w:val="20"/>
          <w:szCs w:val="20"/>
        </w:rPr>
        <w:t>CO₂ emissions; urban population growth; energy consumption; trade openness; ARDL bounds testing; India.</w:t>
      </w:r>
    </w:p>
    <w:p w14:paraId="40D5B924" w14:textId="77777777" w:rsidR="00640F84" w:rsidRPr="00CC358D" w:rsidRDefault="00640F84" w:rsidP="00640F84">
      <w:pPr>
        <w:spacing w:after="0" w:line="240" w:lineRule="auto"/>
        <w:ind w:left="1080" w:hanging="1080"/>
        <w:jc w:val="both"/>
        <w:rPr>
          <w:rFonts w:ascii="Times New Roman" w:eastAsia="Times New Roman" w:hAnsi="Times New Roman" w:cs="Times New Roman"/>
          <w:bCs/>
          <w:i/>
          <w:iCs/>
          <w:sz w:val="20"/>
          <w:szCs w:val="20"/>
        </w:rPr>
      </w:pPr>
    </w:p>
    <w:p w14:paraId="7FA74228" w14:textId="77777777" w:rsidR="00640F84" w:rsidRPr="00CC358D" w:rsidRDefault="00640F84"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1. Introduction</w:t>
      </w:r>
    </w:p>
    <w:p w14:paraId="3D3F1BD4"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4EA1EE05" w14:textId="77777777" w:rsidR="00640F84" w:rsidRPr="00CC358D" w:rsidRDefault="00640F84" w:rsidP="00640F84">
      <w:pPr>
        <w:spacing w:after="0" w:line="240" w:lineRule="auto"/>
        <w:jc w:val="both"/>
        <w:rPr>
          <w:rFonts w:ascii="Times New Roman" w:eastAsia="Calibri" w:hAnsi="Times New Roman" w:cs="Times New Roman"/>
          <w:sz w:val="20"/>
          <w:szCs w:val="20"/>
        </w:rPr>
      </w:pPr>
      <w:bookmarkStart w:id="1" w:name="_Hlk232674414"/>
      <w:r w:rsidRPr="00CC358D">
        <w:rPr>
          <w:rFonts w:ascii="Times New Roman" w:eastAsia="Calibri" w:hAnsi="Times New Roman" w:cs="Times New Roman"/>
          <w:sz w:val="20"/>
          <w:szCs w:val="20"/>
        </w:rPr>
        <w:t>The rapid economic growth of the global economy has driven improvements in living standards, industrial productivity, and global trade. Over the last three decades, the global economy has grown considerably, with GDP nearly tripling from 38.49 trillion U.S. dollars in 1991 to approximately 117.2 trillion U.S. dollars in 2025. However, alongside these economic gains, structural transformations in population distribution have also reshaped the global development landscape.</w:t>
      </w:r>
    </w:p>
    <w:p w14:paraId="6E54C514"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35350877" w14:textId="77777777" w:rsidR="00640F84" w:rsidRPr="00CC358D" w:rsidRDefault="00640F84" w:rsidP="00640F84">
      <w:pPr>
        <w:spacing w:after="0" w:line="240" w:lineRule="auto"/>
        <w:jc w:val="both"/>
        <w:rPr>
          <w:rFonts w:ascii="Times New Roman" w:eastAsia="Calibri" w:hAnsi="Times New Roman" w:cs="Times New Roman"/>
          <w:sz w:val="20"/>
          <w:szCs w:val="20"/>
        </w:rPr>
      </w:pPr>
      <w:bookmarkStart w:id="2" w:name="_Hlk232674485"/>
      <w:bookmarkEnd w:id="1"/>
      <w:r w:rsidRPr="00CC358D">
        <w:rPr>
          <w:rFonts w:ascii="Times New Roman" w:eastAsia="Calibri" w:hAnsi="Times New Roman" w:cs="Times New Roman"/>
          <w:sz w:val="20"/>
          <w:szCs w:val="20"/>
        </w:rPr>
        <w:t xml:space="preserve">The rapid growth of the urban population is a defining feature of the global economy, driven by both natural population growth and rural-to-urban migration; this trend is expected to continue, with significant implications for economic development, infrastructure, and social dynamics. As of 2020, more than 56% of the world's population resided in urban areas, and the urban population is projected to increase by 2.5 billion by 2050, reaching 66% of the global population (Floater et al., 2014; </w:t>
      </w:r>
      <w:proofErr w:type="spellStart"/>
      <w:r w:rsidRPr="00CC358D">
        <w:rPr>
          <w:rFonts w:ascii="Times New Roman" w:eastAsia="Calibri" w:hAnsi="Times New Roman" w:cs="Times New Roman"/>
          <w:sz w:val="20"/>
          <w:szCs w:val="20"/>
        </w:rPr>
        <w:t>Hallegatte</w:t>
      </w:r>
      <w:proofErr w:type="spellEnd"/>
      <w:r w:rsidRPr="00CC358D">
        <w:rPr>
          <w:rFonts w:ascii="Times New Roman" w:eastAsia="Calibri" w:hAnsi="Times New Roman" w:cs="Times New Roman"/>
          <w:sz w:val="20"/>
          <w:szCs w:val="20"/>
        </w:rPr>
        <w:t xml:space="preserve"> &amp; Corfee-Morlot, 2011).</w:t>
      </w:r>
    </w:p>
    <w:p w14:paraId="1C17611B"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4E927E1E" w14:textId="4BCE4290"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Urban areas contribute more than 80 per cent of global GDP and function as engines of economic innovation, productivity, and development (</w:t>
      </w:r>
      <w:proofErr w:type="spellStart"/>
      <w:r w:rsidR="00BE1859" w:rsidRPr="00BE1859">
        <w:rPr>
          <w:rFonts w:ascii="Times New Roman" w:eastAsia="Calibri" w:hAnsi="Times New Roman" w:cs="Times New Roman"/>
          <w:sz w:val="20"/>
          <w:szCs w:val="20"/>
        </w:rPr>
        <w:t>Küfeoğlu</w:t>
      </w:r>
      <w:proofErr w:type="spellEnd"/>
      <w:r w:rsidRPr="00CC358D">
        <w:rPr>
          <w:rFonts w:ascii="Times New Roman" w:eastAsia="Calibri" w:hAnsi="Times New Roman" w:cs="Times New Roman"/>
          <w:sz w:val="20"/>
          <w:szCs w:val="20"/>
        </w:rPr>
        <w:t xml:space="preserve">, 2022; </w:t>
      </w:r>
      <w:proofErr w:type="spellStart"/>
      <w:r w:rsidRPr="00CC358D">
        <w:rPr>
          <w:rFonts w:ascii="Times New Roman" w:eastAsia="Calibri" w:hAnsi="Times New Roman" w:cs="Times New Roman"/>
          <w:sz w:val="20"/>
          <w:szCs w:val="20"/>
        </w:rPr>
        <w:t>Basole</w:t>
      </w:r>
      <w:proofErr w:type="spellEnd"/>
      <w:r w:rsidRPr="00CC358D">
        <w:rPr>
          <w:rFonts w:ascii="Times New Roman" w:eastAsia="Calibri" w:hAnsi="Times New Roman" w:cs="Times New Roman"/>
          <w:sz w:val="20"/>
          <w:szCs w:val="20"/>
        </w:rPr>
        <w:t xml:space="preserve"> &amp; Bhattacharya, 2017; Al-Jebouri et al., 2020). However, this demographic and spatial concentration of people and economic activity has also exacerbated environmental challenges, particularly climate change and global warming.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xml:space="preserve"> leads to increased greenhouse gas emissions because cities often rely on fossil fuels for energy, which directly contributes to climate change (Liu &amp; Chen, 2022). Furthermore, cities are considered more vulnerable to climate change because rapid urban population growth intensifies resource demand and environmental pressures (Wang &amp; Moriarty, 2018). Increased energy demand, transport expansion, construction activities, and lifestyle changes associated with urban living contribute to rising greenhouse gas (GHG) emissions, resource depletion, and ecological degradation (Seto et al., 2012). The environmental implications of urban population growth are particularly profound because of the interplay among land use, energy consumption, and waste generation. Urban expansion leads to the conversion of natural land into impervious surfaces, disrupting hydrological cycles and increasing surface temperatures. Thus, while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xml:space="preserve"> continues to drive global economic growth, it also significantly intensifies environmental pressures; policymakers worldwide therefore face the urgent task of designing and implementing effective strategies to mitigate global warming.</w:t>
      </w:r>
    </w:p>
    <w:p w14:paraId="7F458037"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64FD2A46"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India is also not immune to the challenges posed by climate change and global warming. As one of the fastest-growing economies, the country has witnessed rapid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Urban population growth in India has been accompanied by sprawling settlements, increased vehicular traffic, soaring energy demand, and haphazard land conversion, all of which strain local ecosystems and contribute to rising carbon footprints. Therefore, understanding and addressing the links between climate change and urban population growth in India are policy imperatives that require integrated approaches spanning urban planning, environmental governance, and climate resilience.</w:t>
      </w:r>
    </w:p>
    <w:p w14:paraId="534AE2B0"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5F4BB66A"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Recent evidence indicates that the environmental effects of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xml:space="preserve"> are mediated by urban form, energy intensity, industrial structure, and the composition of the energy mix rather than by population concentration alone (Haldar &amp; Sharma, 2022; Sikder et al., 2022; Azam et al., 2022; Luqman et al., 2023).</w:t>
      </w:r>
    </w:p>
    <w:p w14:paraId="1A854870"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76A1EB6D"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For India, recent studies further show that urban expansion is associated with land-use and land-cover change, rising energy demand, and locally amplified warming, whereas renewable-energy deployment and lower energy intensity may moderate the resulting environmental pressures (</w:t>
      </w:r>
      <w:proofErr w:type="spellStart"/>
      <w:r w:rsidRPr="00CC358D">
        <w:rPr>
          <w:rFonts w:ascii="Times New Roman" w:eastAsia="Calibri" w:hAnsi="Times New Roman" w:cs="Times New Roman"/>
          <w:sz w:val="20"/>
          <w:szCs w:val="20"/>
        </w:rPr>
        <w:t>Dhapate</w:t>
      </w:r>
      <w:proofErr w:type="spellEnd"/>
      <w:r w:rsidRPr="00CC358D">
        <w:rPr>
          <w:rFonts w:ascii="Times New Roman" w:eastAsia="Calibri" w:hAnsi="Times New Roman" w:cs="Times New Roman"/>
          <w:sz w:val="20"/>
          <w:szCs w:val="20"/>
        </w:rPr>
        <w:t xml:space="preserve"> &amp; Mule, 2025; Sethi &amp; Vinoj, 2024; Kumari et al., 2025; Nair &amp; Maiti, 2025).</w:t>
      </w:r>
    </w:p>
    <w:p w14:paraId="3CD1BC85"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lastRenderedPageBreak/>
        <w:t xml:space="preserve">Broader empirical evidence also demonstrates that the scale and direction of the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-emissions relationship vary across spatial contexts and depend on mechanisms such as energy intensity, industrial upgrading, green innovation, and regional spillovers (</w:t>
      </w:r>
      <w:proofErr w:type="spellStart"/>
      <w:r w:rsidRPr="00CC358D">
        <w:rPr>
          <w:rFonts w:ascii="Times New Roman" w:eastAsia="Calibri" w:hAnsi="Times New Roman" w:cs="Times New Roman"/>
          <w:sz w:val="20"/>
          <w:szCs w:val="20"/>
        </w:rPr>
        <w:t>Koilakou</w:t>
      </w:r>
      <w:proofErr w:type="spellEnd"/>
      <w:r w:rsidRPr="00CC358D">
        <w:rPr>
          <w:rFonts w:ascii="Times New Roman" w:eastAsia="Calibri" w:hAnsi="Times New Roman" w:cs="Times New Roman"/>
          <w:sz w:val="20"/>
          <w:szCs w:val="20"/>
        </w:rPr>
        <w:t xml:space="preserve"> et al., 2024; Xiang et al., 2024).</w:t>
      </w:r>
    </w:p>
    <w:p w14:paraId="47C4DC7F" w14:textId="77777777" w:rsidR="00640F84" w:rsidRPr="00CC358D" w:rsidRDefault="00640F84" w:rsidP="00640F84">
      <w:pPr>
        <w:spacing w:after="0" w:line="240" w:lineRule="auto"/>
        <w:jc w:val="both"/>
        <w:rPr>
          <w:rFonts w:ascii="Times New Roman" w:eastAsia="Calibri" w:hAnsi="Times New Roman" w:cs="Times New Roman"/>
          <w:sz w:val="18"/>
          <w:szCs w:val="18"/>
        </w:rPr>
      </w:pPr>
    </w:p>
    <w:p w14:paraId="553A00F9"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manuscript is </w:t>
      </w:r>
      <w:proofErr w:type="spellStart"/>
      <w:r w:rsidRPr="00CC358D">
        <w:rPr>
          <w:rFonts w:ascii="Times New Roman" w:eastAsia="Calibri" w:hAnsi="Times New Roman" w:cs="Times New Roman"/>
          <w:sz w:val="20"/>
          <w:szCs w:val="20"/>
        </w:rPr>
        <w:t>organised</w:t>
      </w:r>
      <w:proofErr w:type="spellEnd"/>
      <w:r w:rsidRPr="00CC358D">
        <w:rPr>
          <w:rFonts w:ascii="Times New Roman" w:eastAsia="Calibri" w:hAnsi="Times New Roman" w:cs="Times New Roman"/>
          <w:sz w:val="20"/>
          <w:szCs w:val="20"/>
        </w:rPr>
        <w:t xml:space="preserve"> into the following sections: Review of Empirical Literature, Data and Methodology, Empirical Findings, and Conclusion and Policy Implications.</w:t>
      </w:r>
    </w:p>
    <w:p w14:paraId="0540C076" w14:textId="77777777" w:rsidR="00640F84" w:rsidRPr="00CC358D" w:rsidRDefault="00640F84" w:rsidP="00640F84">
      <w:pPr>
        <w:spacing w:after="0" w:line="240" w:lineRule="auto"/>
        <w:jc w:val="both"/>
        <w:rPr>
          <w:rFonts w:ascii="Times New Roman" w:eastAsia="Calibri" w:hAnsi="Times New Roman" w:cs="Times New Roman"/>
          <w:sz w:val="18"/>
          <w:szCs w:val="18"/>
        </w:rPr>
      </w:pPr>
    </w:p>
    <w:p w14:paraId="2D443550"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Despite the expanding literature, evidence for India remains inconclusive regarding the joint long-run and short-run relationships among urban population growth, energy consumption, trade openness, and CO₂ emissions over an extended and updated sample period. A country-specific time-series assessment is therefore required to clarify these relationships within a unified empirical framework.</w:t>
      </w:r>
    </w:p>
    <w:p w14:paraId="2604131B" w14:textId="77777777" w:rsidR="00640F84" w:rsidRPr="00CC358D" w:rsidRDefault="00640F84" w:rsidP="00640F84">
      <w:pPr>
        <w:spacing w:after="0" w:line="240" w:lineRule="auto"/>
        <w:jc w:val="both"/>
        <w:rPr>
          <w:rFonts w:ascii="Times New Roman" w:eastAsia="Calibri" w:hAnsi="Times New Roman" w:cs="Times New Roman"/>
          <w:sz w:val="18"/>
          <w:szCs w:val="18"/>
        </w:rPr>
      </w:pPr>
    </w:p>
    <w:p w14:paraId="2CBE0446"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This study therefore investigates the long-run and short-run relationships among urban population growth, energy consumption, trade openness, and carbon dioxide (CO₂) emissions in India using the ARDL bounds-testing approach.</w:t>
      </w:r>
    </w:p>
    <w:p w14:paraId="79EB54B3" w14:textId="77777777" w:rsidR="00640F84" w:rsidRPr="00CC358D" w:rsidRDefault="00640F84" w:rsidP="00640F84">
      <w:pPr>
        <w:spacing w:after="0" w:line="240" w:lineRule="auto"/>
        <w:jc w:val="both"/>
        <w:rPr>
          <w:rFonts w:ascii="Times New Roman" w:eastAsia="Calibri" w:hAnsi="Times New Roman" w:cs="Times New Roman"/>
          <w:sz w:val="18"/>
          <w:szCs w:val="18"/>
        </w:rPr>
      </w:pPr>
    </w:p>
    <w:p w14:paraId="10B6AC7A" w14:textId="77777777" w:rsidR="00640F84" w:rsidRPr="00CC358D" w:rsidRDefault="00640F84" w:rsidP="00640F84">
      <w:pPr>
        <w:spacing w:after="0" w:line="240" w:lineRule="auto"/>
        <w:jc w:val="both"/>
        <w:rPr>
          <w:rFonts w:ascii="Times New Roman" w:eastAsia="Calibri" w:hAnsi="Times New Roman" w:cs="Times New Roman"/>
          <w:b/>
          <w:bCs/>
        </w:rPr>
      </w:pPr>
      <w:bookmarkStart w:id="3" w:name="_Hlk232674672"/>
      <w:bookmarkEnd w:id="2"/>
      <w:r w:rsidRPr="00CC358D">
        <w:rPr>
          <w:rFonts w:ascii="Times New Roman" w:eastAsia="Calibri" w:hAnsi="Times New Roman" w:cs="Times New Roman"/>
          <w:b/>
          <w:bCs/>
        </w:rPr>
        <w:t xml:space="preserve">2. Review of Empirical Literature </w:t>
      </w:r>
    </w:p>
    <w:p w14:paraId="4B1F60CF" w14:textId="77777777" w:rsidR="00640F84" w:rsidRPr="00CC358D" w:rsidRDefault="00640F84" w:rsidP="00640F84">
      <w:pPr>
        <w:spacing w:after="0" w:line="240" w:lineRule="auto"/>
        <w:jc w:val="both"/>
        <w:rPr>
          <w:rFonts w:ascii="Times New Roman" w:eastAsia="Calibri" w:hAnsi="Times New Roman" w:cs="Times New Roman"/>
          <w:b/>
          <w:bCs/>
          <w:sz w:val="18"/>
          <w:szCs w:val="18"/>
        </w:rPr>
      </w:pPr>
    </w:p>
    <w:p w14:paraId="4B037CE4"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The relationship between urbanisation and carbon emissions has received considerable attention in the environmental economics literature. Rapid urban expansion is recognised as a significant structural catalyst of environmental change, especially in developing nations, where urban growth frequently coincides with heightened industrial activity, infrastructure development, and energy demand. Nevertheless, empirical evidence on the environmental effects of urbanisation remains inconsistent, reflecting differences in economic structures, technological advancement, and policy contexts across countries.</w:t>
      </w:r>
    </w:p>
    <w:p w14:paraId="7AB8CC3E" w14:textId="77777777" w:rsidR="00640F84" w:rsidRPr="00CC358D" w:rsidRDefault="00640F84" w:rsidP="00640F84">
      <w:pPr>
        <w:spacing w:after="0" w:line="240" w:lineRule="auto"/>
        <w:jc w:val="both"/>
        <w:rPr>
          <w:rFonts w:ascii="Times New Roman" w:eastAsia="Calibri" w:hAnsi="Times New Roman" w:cs="Times New Roman"/>
          <w:sz w:val="18"/>
          <w:szCs w:val="18"/>
          <w:lang w:val="en-IN"/>
        </w:rPr>
      </w:pPr>
    </w:p>
    <w:p w14:paraId="5FDB15FC" w14:textId="6C0F0209"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A substantial body of empirical research indicates that urbanisation leads to higher carbon emissions, chiefly through increased energy consumption and intensified economic activity. Ngong et al. (2022) investigated the relationship between urbanisation and environmental degradation in CEMAC countries using cointegration methods and found that urban expansion significantly increases CO₂ emissions. Their findings also reveal feedback effects in which emissions influence urbanisation and economic variables. Similarly, Dutta and Hazarika (202</w:t>
      </w:r>
      <w:r w:rsidR="00BE1859">
        <w:rPr>
          <w:rFonts w:ascii="Times New Roman" w:eastAsia="Calibri" w:hAnsi="Times New Roman" w:cs="Times New Roman"/>
          <w:sz w:val="20"/>
          <w:szCs w:val="20"/>
          <w:lang w:val="en-IN"/>
        </w:rPr>
        <w:t>5</w:t>
      </w:r>
      <w:r w:rsidRPr="00CC358D">
        <w:rPr>
          <w:rFonts w:ascii="Times New Roman" w:eastAsia="Calibri" w:hAnsi="Times New Roman" w:cs="Times New Roman"/>
          <w:sz w:val="20"/>
          <w:szCs w:val="20"/>
          <w:lang w:val="en-IN"/>
        </w:rPr>
        <w:t>), analysing a panel of low- and lower-middle-income countries across multiple regions, reported that urbanisation is a key driver of CO₂ emissions, largely because of the rising energy demand associated with economic development and population concentration in urban areas. Evidence from Pakistan presented by Ahmad et al. (2022) also indicates that urban population growth and energy consumption significantly increase environmental degradation. Similarly, Akorede and Rafia (2020) found that urbanisation, energy consumption, economic growth, and CO₂ emissions are closely linked in Nigeria, suggesting that rapid urban expansion in developing economies contributes significantly to environmental degradation.</w:t>
      </w:r>
    </w:p>
    <w:p w14:paraId="40BACAD4" w14:textId="77777777" w:rsidR="00640F84" w:rsidRPr="00CC358D" w:rsidRDefault="00640F84" w:rsidP="00640F84">
      <w:pPr>
        <w:spacing w:after="0" w:line="240" w:lineRule="auto"/>
        <w:jc w:val="both"/>
        <w:rPr>
          <w:rFonts w:ascii="Times New Roman" w:eastAsia="Calibri" w:hAnsi="Times New Roman" w:cs="Times New Roman"/>
          <w:sz w:val="18"/>
          <w:szCs w:val="18"/>
          <w:lang w:val="en-IN"/>
        </w:rPr>
      </w:pPr>
    </w:p>
    <w:p w14:paraId="72E7589C" w14:textId="1435A374"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Other studies identify energy consumption as the principal mechanism through which urbanisation influences environmental quality. Khan et al. (2019) employed the ARDL bounds-testing methodology for Pakistan and found that both energy consumption and urbanisation significantly increase CO₂ emissions, thereby supporting the Environmental Kuznets Curve (EKC) hypothesis. Siddique et al. (20</w:t>
      </w:r>
      <w:r w:rsidR="00BE1859">
        <w:rPr>
          <w:rFonts w:ascii="Times New Roman" w:eastAsia="Calibri" w:hAnsi="Times New Roman" w:cs="Times New Roman"/>
          <w:sz w:val="20"/>
          <w:szCs w:val="20"/>
          <w:lang w:val="en-IN"/>
        </w:rPr>
        <w:t>16</w:t>
      </w:r>
      <w:r w:rsidRPr="00CC358D">
        <w:rPr>
          <w:rFonts w:ascii="Times New Roman" w:eastAsia="Calibri" w:hAnsi="Times New Roman" w:cs="Times New Roman"/>
          <w:sz w:val="20"/>
          <w:szCs w:val="20"/>
          <w:lang w:val="en-IN"/>
        </w:rPr>
        <w:t xml:space="preserve">) established a long-run relationship among urbanisation, energy consumption, and CO₂ emissions in South Asia, indicating that rising energy demand associated with economic growth intensifies environmental pressure. A more recent study by Awais et al. (2024) further supports the view that rising energy demand is a major source of environmental degradation, finding that economic growth and energy consumption are significant predictors of CO₂ emissions. Afridi et al. (2019) examined the SAARC region and confirmed that urbanisation and energy consumption positively influence emissions, whereas trade openness may partly alleviate environmental degradation. Shabani et al. (2022) also reported a significant relationship among energy use, urbanisation, and CO₂ emissions in ECO member countries, highlighting the environmental implications of rapid urban growth. According to Rahman (2020), energy consumption and population density significantly increase carbon emissions in India in both the long and short run. </w:t>
      </w:r>
      <w:proofErr w:type="spellStart"/>
      <w:r w:rsidRPr="00CC358D">
        <w:rPr>
          <w:rFonts w:ascii="Times New Roman" w:eastAsia="Calibri" w:hAnsi="Times New Roman" w:cs="Times New Roman"/>
          <w:sz w:val="20"/>
          <w:szCs w:val="20"/>
          <w:lang w:val="en-IN"/>
        </w:rPr>
        <w:t>Pachiyappan</w:t>
      </w:r>
      <w:proofErr w:type="spellEnd"/>
      <w:r w:rsidRPr="00CC358D">
        <w:rPr>
          <w:rFonts w:ascii="Times New Roman" w:eastAsia="Calibri" w:hAnsi="Times New Roman" w:cs="Times New Roman"/>
          <w:sz w:val="20"/>
          <w:szCs w:val="20"/>
          <w:lang w:val="en-IN"/>
        </w:rPr>
        <w:t xml:space="preserve"> et al. (2021) similarly found that energy consumption and population growth significantly increase CO₂ emissions in India using the ARDL and Vector Error Correction Model (VECM) approaches, demonstrating both long-run and short-run relationships.</w:t>
      </w:r>
    </w:p>
    <w:p w14:paraId="0B313142" w14:textId="77777777" w:rsidR="00640F84" w:rsidRPr="00CC358D" w:rsidRDefault="00640F84" w:rsidP="00640F84">
      <w:pPr>
        <w:spacing w:after="0" w:line="240" w:lineRule="auto"/>
        <w:jc w:val="both"/>
        <w:rPr>
          <w:rFonts w:ascii="Times New Roman" w:eastAsia="Calibri" w:hAnsi="Times New Roman" w:cs="Times New Roman"/>
          <w:sz w:val="18"/>
          <w:szCs w:val="18"/>
          <w:lang w:val="en-IN"/>
        </w:rPr>
      </w:pPr>
    </w:p>
    <w:p w14:paraId="303F4060"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 xml:space="preserve">Although numerous studies indicate a positive correlation between urbanisation and emissions, other research emphasises nonlinear or heterogeneous impacts. </w:t>
      </w:r>
      <w:proofErr w:type="spellStart"/>
      <w:r w:rsidRPr="00CC358D">
        <w:rPr>
          <w:rFonts w:ascii="Times New Roman" w:eastAsia="Calibri" w:hAnsi="Times New Roman" w:cs="Times New Roman"/>
          <w:sz w:val="20"/>
          <w:szCs w:val="20"/>
          <w:lang w:val="en-IN"/>
        </w:rPr>
        <w:t>Gierałtowska</w:t>
      </w:r>
      <w:proofErr w:type="spellEnd"/>
      <w:r w:rsidRPr="00CC358D">
        <w:rPr>
          <w:rFonts w:ascii="Times New Roman" w:eastAsia="Calibri" w:hAnsi="Times New Roman" w:cs="Times New Roman"/>
          <w:sz w:val="20"/>
          <w:szCs w:val="20"/>
          <w:lang w:val="en-IN"/>
        </w:rPr>
        <w:t xml:space="preserve"> et al. (2022), in their analysis of data from 163 nations, identified an inverted U-shaped correlation between urbanisation and CO₂ emissions. Their findings </w:t>
      </w:r>
      <w:r w:rsidRPr="00CC358D">
        <w:rPr>
          <w:rFonts w:ascii="Times New Roman" w:eastAsia="Calibri" w:hAnsi="Times New Roman" w:cs="Times New Roman"/>
          <w:sz w:val="20"/>
          <w:szCs w:val="20"/>
          <w:lang w:val="en-IN"/>
        </w:rPr>
        <w:lastRenderedPageBreak/>
        <w:t>indicate that emissions first rise with urban expansion but subsequently decrease as urbanisation attains a specific threshold, demonstrating advancements in efficiency, technological innovation, and environmental regulation. Xu et al. (2024) describe analogous findings, having analysed eight of the most populous nations and established a nonlinear relationship that aligns with the Environmental Kuznets Curve concept. The findings suggest that the environmental consequences of urbanisation may differ depending on the stages of economic development.</w:t>
      </w:r>
    </w:p>
    <w:p w14:paraId="76DCE40F" w14:textId="77777777" w:rsidR="00640F84" w:rsidRPr="00CC358D" w:rsidRDefault="00640F84" w:rsidP="00640F84">
      <w:pPr>
        <w:spacing w:after="0" w:line="240" w:lineRule="auto"/>
        <w:jc w:val="both"/>
        <w:rPr>
          <w:rFonts w:ascii="Times New Roman" w:eastAsia="Calibri" w:hAnsi="Times New Roman" w:cs="Times New Roman"/>
          <w:sz w:val="16"/>
          <w:szCs w:val="16"/>
          <w:lang w:val="en-IN"/>
        </w:rPr>
      </w:pPr>
    </w:p>
    <w:p w14:paraId="05956557"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 xml:space="preserve">Alongside demographic effects, numerous studies emphasise the importance of economic and structural factors in shaping the urbanisation-emissions relationship. Farhani and Ozturk (2015) examined the determinants of carbon emissions in Tunisia and found that financial development and economic growth significantly increase emissions. Dogan and </w:t>
      </w:r>
      <w:proofErr w:type="spellStart"/>
      <w:r w:rsidRPr="00CC358D">
        <w:rPr>
          <w:rFonts w:ascii="Times New Roman" w:eastAsia="Calibri" w:hAnsi="Times New Roman" w:cs="Times New Roman"/>
          <w:sz w:val="20"/>
          <w:szCs w:val="20"/>
          <w:lang w:val="en-IN"/>
        </w:rPr>
        <w:t>Türkekul</w:t>
      </w:r>
      <w:proofErr w:type="spellEnd"/>
      <w:r w:rsidRPr="00CC358D">
        <w:rPr>
          <w:rFonts w:ascii="Times New Roman" w:eastAsia="Calibri" w:hAnsi="Times New Roman" w:cs="Times New Roman"/>
          <w:sz w:val="20"/>
          <w:szCs w:val="20"/>
          <w:lang w:val="en-IN"/>
        </w:rPr>
        <w:t xml:space="preserve"> (2016) reported similar findings for the United States, demonstrating that energy use and urbanisation contribute to environmental degradation, whereas financial development does not have a significant effect. Evidence from the Visegrad countries, presented by </w:t>
      </w:r>
      <w:proofErr w:type="spellStart"/>
      <w:r w:rsidRPr="00CC358D">
        <w:rPr>
          <w:rFonts w:ascii="Times New Roman" w:eastAsia="Calibri" w:hAnsi="Times New Roman" w:cs="Times New Roman"/>
          <w:sz w:val="20"/>
          <w:szCs w:val="20"/>
          <w:lang w:val="en-IN"/>
        </w:rPr>
        <w:t>Myszczyszyn</w:t>
      </w:r>
      <w:proofErr w:type="spellEnd"/>
      <w:r w:rsidRPr="00CC358D">
        <w:rPr>
          <w:rFonts w:ascii="Times New Roman" w:eastAsia="Calibri" w:hAnsi="Times New Roman" w:cs="Times New Roman"/>
          <w:sz w:val="20"/>
          <w:szCs w:val="20"/>
          <w:lang w:val="en-IN"/>
        </w:rPr>
        <w:t xml:space="preserve"> and </w:t>
      </w:r>
      <w:proofErr w:type="spellStart"/>
      <w:r w:rsidRPr="00CC358D">
        <w:rPr>
          <w:rFonts w:ascii="Times New Roman" w:eastAsia="Calibri" w:hAnsi="Times New Roman" w:cs="Times New Roman"/>
          <w:sz w:val="20"/>
          <w:szCs w:val="20"/>
          <w:lang w:val="en-IN"/>
        </w:rPr>
        <w:t>Supron</w:t>
      </w:r>
      <w:proofErr w:type="spellEnd"/>
      <w:r w:rsidRPr="00CC358D">
        <w:rPr>
          <w:rFonts w:ascii="Times New Roman" w:eastAsia="Calibri" w:hAnsi="Times New Roman" w:cs="Times New Roman"/>
          <w:sz w:val="20"/>
          <w:szCs w:val="20"/>
          <w:lang w:val="en-IN"/>
        </w:rPr>
        <w:t xml:space="preserve"> (2022), confirms that urbanisation affects emissions both directly and indirectly through increased energy demand.</w:t>
      </w:r>
    </w:p>
    <w:p w14:paraId="3614C7B1" w14:textId="77777777" w:rsidR="00640F84" w:rsidRPr="00CC358D" w:rsidRDefault="00640F84" w:rsidP="00640F84">
      <w:pPr>
        <w:spacing w:after="0" w:line="240" w:lineRule="auto"/>
        <w:jc w:val="both"/>
        <w:rPr>
          <w:rFonts w:ascii="Times New Roman" w:eastAsia="Calibri" w:hAnsi="Times New Roman" w:cs="Times New Roman"/>
          <w:sz w:val="16"/>
          <w:szCs w:val="16"/>
          <w:lang w:val="en-IN"/>
        </w:rPr>
      </w:pPr>
    </w:p>
    <w:p w14:paraId="4F5D7280"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 xml:space="preserve">Regional analyses indicate substantial variation in the relationship between urbanisation and environmental outcomes. Zhai and Kong (2024) examined county-level data from Jiangsu Province, China, and found that both population and economic urbanisation significantly increase CO₂ emissions, although their effects vary across locations. Conversely, Ma and Ogata (2024) found that urbanisation may reduce emissions across a large sample of OECD and non-OECD countries, suggesting that advanced urban systems may achieve environmental improvements through technological progress and better governance. According to </w:t>
      </w:r>
      <w:proofErr w:type="spellStart"/>
      <w:r w:rsidRPr="00CC358D">
        <w:rPr>
          <w:rFonts w:ascii="Times New Roman" w:eastAsia="Calibri" w:hAnsi="Times New Roman" w:cs="Times New Roman"/>
          <w:sz w:val="20"/>
          <w:szCs w:val="20"/>
          <w:lang w:val="en-IN"/>
        </w:rPr>
        <w:t>Kongkuah</w:t>
      </w:r>
      <w:proofErr w:type="spellEnd"/>
      <w:r w:rsidRPr="00CC358D">
        <w:rPr>
          <w:rFonts w:ascii="Times New Roman" w:eastAsia="Calibri" w:hAnsi="Times New Roman" w:cs="Times New Roman"/>
          <w:sz w:val="20"/>
          <w:szCs w:val="20"/>
          <w:lang w:val="en-IN"/>
        </w:rPr>
        <w:t xml:space="preserve"> et al. (2022), urbanisation may eventually help to reduce emissions through improved efficiency and structural change, even though economic growth and energy use increase emissions in China.</w:t>
      </w:r>
    </w:p>
    <w:p w14:paraId="171D72C7" w14:textId="77777777" w:rsidR="00640F84" w:rsidRPr="00CC358D" w:rsidRDefault="00640F84" w:rsidP="00640F84">
      <w:pPr>
        <w:spacing w:after="0" w:line="240" w:lineRule="auto"/>
        <w:jc w:val="both"/>
        <w:rPr>
          <w:rFonts w:ascii="Times New Roman" w:eastAsia="Calibri" w:hAnsi="Times New Roman" w:cs="Times New Roman"/>
          <w:sz w:val="16"/>
          <w:szCs w:val="16"/>
          <w:lang w:val="en-IN"/>
        </w:rPr>
      </w:pPr>
    </w:p>
    <w:p w14:paraId="4EFE85AC"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Several studies have investigated the broader determinants of emissions by incorporating trade, economic growth, and technological factors. Using the ARDL approach, Nadeem et al. (2020) also demonstrated the usefulness of time-series econometric methods for examining the long-run determinants of environmental degradation in developing countries. Jan (2020) found that, although trade openness generally reduces environmental pressure, economic development, energy consumption, and urban population growth increase CO₂ emissions in Belt and Road Initiative countries. Szymczyk et al. (2021) reported similar results for OECD countries, showing that economic growth, energy consumption, and urban population growth positively affect emissions, whereas financial development reduces environmental degradation. Osman (2024) showed that urbanisation, energy use, and trade liberalisation significantly increase emissions in Saudi Arabia, especially in the long run.</w:t>
      </w:r>
    </w:p>
    <w:p w14:paraId="3D9CE7F8" w14:textId="77777777" w:rsidR="00640F84" w:rsidRPr="00CC358D" w:rsidRDefault="00640F84" w:rsidP="00640F84">
      <w:pPr>
        <w:spacing w:after="0" w:line="240" w:lineRule="auto"/>
        <w:jc w:val="both"/>
        <w:rPr>
          <w:rFonts w:ascii="Times New Roman" w:eastAsia="Calibri" w:hAnsi="Times New Roman" w:cs="Times New Roman"/>
          <w:sz w:val="16"/>
          <w:szCs w:val="16"/>
          <w:lang w:val="en-IN"/>
        </w:rPr>
      </w:pPr>
    </w:p>
    <w:p w14:paraId="155AE3EA"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Despite the substantial empirical literature, the relationship between urban population growth and environmental degradation remains unclear. Some studies report significant positive effects, whereas others identify nonlinear or even negative associations depending on the level of economic development and institutional quality. These divergent findings underscore the need for country-specific assessments that account for the structural characteristics of individual economies. In India, rapid urbanisation combined with a substantial dependence on fossil-fuel-based energy may create distinct environmental dynamics that require further examination.</w:t>
      </w:r>
    </w:p>
    <w:p w14:paraId="75C9D82E" w14:textId="77777777" w:rsidR="00640F84" w:rsidRPr="00CC358D" w:rsidRDefault="00640F84" w:rsidP="00640F84">
      <w:pPr>
        <w:spacing w:after="0" w:line="240" w:lineRule="auto"/>
        <w:jc w:val="both"/>
        <w:rPr>
          <w:rFonts w:ascii="Times New Roman" w:eastAsia="Calibri" w:hAnsi="Times New Roman" w:cs="Times New Roman"/>
          <w:sz w:val="16"/>
          <w:szCs w:val="16"/>
          <w:lang w:val="en-IN"/>
        </w:rPr>
      </w:pPr>
    </w:p>
    <w:p w14:paraId="5AE645F9"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Despite the growing body of research on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xml:space="preserve"> and environmental degradation, empirical evidence for India on the long-run relationship among urban population growth, energy consumption, trade openness, and CO₂ emissions remains inconclusive. Previous studies report conflicting results because of differences in sample periods, model specifications, and econometric methods. Therefore, this study uses the Autoregressive Distributed Lag (ARDL) bounds-testing method to investigate the long-run and short-run relationships among urban population growth, energy consumption, trade openness, and CO₂ emissions in India. Based on the theoretical and empirical literature, the study postulates that urban population growth and energy use are positively associated with CO₂ emissions, while trade openness has a statistically significant relationship with emissions. Using annual time-series data for 1974–2023, this study provides updated empirical evidence and policy insights for environmentally sustainable urban development in India.</w:t>
      </w:r>
    </w:p>
    <w:p w14:paraId="0937DC98" w14:textId="77777777" w:rsidR="00640F84" w:rsidRPr="00CC358D" w:rsidRDefault="00640F84" w:rsidP="00640F84">
      <w:pPr>
        <w:spacing w:after="0" w:line="240" w:lineRule="auto"/>
        <w:jc w:val="both"/>
        <w:rPr>
          <w:rFonts w:ascii="Times New Roman" w:eastAsia="Calibri" w:hAnsi="Times New Roman" w:cs="Times New Roman"/>
          <w:sz w:val="14"/>
          <w:szCs w:val="14"/>
        </w:rPr>
      </w:pPr>
    </w:p>
    <w:p w14:paraId="4F17439D" w14:textId="25C4C444" w:rsidR="00640F84" w:rsidRPr="00CC358D" w:rsidRDefault="00640F84"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3. Data and Methodology</w:t>
      </w:r>
    </w:p>
    <w:p w14:paraId="5A23A430" w14:textId="77777777" w:rsidR="00640F84" w:rsidRPr="00CC358D" w:rsidRDefault="00640F84" w:rsidP="00640F84">
      <w:pPr>
        <w:spacing w:after="0" w:line="240" w:lineRule="auto"/>
        <w:jc w:val="both"/>
        <w:rPr>
          <w:rFonts w:ascii="Times New Roman" w:eastAsia="Calibri" w:hAnsi="Times New Roman" w:cs="Times New Roman"/>
          <w:b/>
          <w:bCs/>
          <w:sz w:val="14"/>
          <w:szCs w:val="14"/>
        </w:rPr>
      </w:pPr>
    </w:p>
    <w:p w14:paraId="4A89B5ED" w14:textId="428617A2" w:rsidR="00640F84" w:rsidRPr="00CC358D" w:rsidRDefault="00640F84"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3.1 Data</w:t>
      </w:r>
    </w:p>
    <w:p w14:paraId="39FB71FD" w14:textId="77777777" w:rsidR="00FF7268" w:rsidRPr="00CC358D" w:rsidRDefault="00FF7268" w:rsidP="00640F84">
      <w:pPr>
        <w:spacing w:after="0" w:line="240" w:lineRule="auto"/>
        <w:jc w:val="both"/>
        <w:rPr>
          <w:rFonts w:ascii="Times New Roman" w:eastAsia="Calibri" w:hAnsi="Times New Roman" w:cs="Times New Roman"/>
          <w:sz w:val="14"/>
          <w:szCs w:val="14"/>
        </w:rPr>
      </w:pPr>
    </w:p>
    <w:p w14:paraId="20152169" w14:textId="2088C50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This study uses annual time-series data for India for 1974–2023, sourced from the World Bank's World Development Indicators (WDI) database. Carbon dioxide (CO₂) emissions (metric </w:t>
      </w:r>
      <w:proofErr w:type="spellStart"/>
      <w:r w:rsidRPr="00CC358D">
        <w:rPr>
          <w:rFonts w:ascii="Times New Roman" w:eastAsia="Calibri" w:hAnsi="Times New Roman" w:cs="Times New Roman"/>
          <w:sz w:val="20"/>
          <w:szCs w:val="20"/>
        </w:rPr>
        <w:t>tonnes</w:t>
      </w:r>
      <w:proofErr w:type="spellEnd"/>
      <w:r w:rsidRPr="00CC358D">
        <w:rPr>
          <w:rFonts w:ascii="Times New Roman" w:eastAsia="Calibri" w:hAnsi="Times New Roman" w:cs="Times New Roman"/>
          <w:sz w:val="20"/>
          <w:szCs w:val="20"/>
        </w:rPr>
        <w:t xml:space="preserve"> per capita), denoted </w:t>
      </w:r>
      <w:r w:rsidRPr="00CC358D">
        <w:rPr>
          <w:rFonts w:ascii="Times New Roman" w:eastAsia="Calibri" w:hAnsi="Times New Roman" w:cs="Times New Roman"/>
          <w:sz w:val="20"/>
          <w:szCs w:val="20"/>
        </w:rPr>
        <w:lastRenderedPageBreak/>
        <w:t xml:space="preserve">by LNCO2, serve as the principal indicator of environmental degradation resulting from energy production and consumption and are therefore specified as the dependent variable. The explanatory variables include urban population (LNUPOP), which serves as a proxy for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xml:space="preserve"> and reflects the concentration of people in urban areas and its implications for energy consumption, transportation, and infrastructure development. Energy consumption (LNENUSE), measured in kilograms of oil equivalent per capita, reflects energy use in the residential, industrial, and transport sectors. Finally, trade openness (LNTRADE), measured as trade as a percentage of GDP, represents the extent of economic integration with global markets and its potential influence on carbon emissions through production, transportation, and technology diffusion. To improve comparability and reduce heteroscedasticity, all variables are transformed into natural logarithms, allowing the estimated coefficients to be interpreted as elasticities.</w:t>
      </w:r>
    </w:p>
    <w:p w14:paraId="5DA1473B"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65AF8A97" w14:textId="5C7EA476" w:rsidR="00640F84" w:rsidRPr="00CC358D" w:rsidRDefault="00640F84"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3.2 Methodology</w:t>
      </w:r>
    </w:p>
    <w:p w14:paraId="39754DA7" w14:textId="77777777" w:rsidR="00640F84" w:rsidRPr="00CC358D" w:rsidRDefault="00640F84" w:rsidP="00640F84">
      <w:pPr>
        <w:spacing w:after="0" w:line="240" w:lineRule="auto"/>
        <w:jc w:val="both"/>
        <w:rPr>
          <w:rFonts w:ascii="Times New Roman" w:eastAsia="Calibri" w:hAnsi="Times New Roman" w:cs="Times New Roman"/>
          <w:b/>
          <w:bCs/>
          <w:sz w:val="20"/>
          <w:szCs w:val="20"/>
        </w:rPr>
      </w:pPr>
    </w:p>
    <w:p w14:paraId="1A64ADB5"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This study examines the dynamic relationships among the selected variables using a systematic econometric methodology. The integration order of the variables is first determined by the Augmented Dickey–Fuller (ADF) test. To use the ARDL bounds testing method, it is essential to ensure that no variable is integrated of order two [</w:t>
      </w: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2)]. The Akaike Information Criterion (AIC) is used to ascertain the optimal lag length, ensuring appropriate model selection.</w:t>
      </w:r>
    </w:p>
    <w:p w14:paraId="2368ACFB"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01C0E3D1"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Autoregressive Distributed Lag (ARDL) bounds-testing methodology developed by </w:t>
      </w:r>
      <w:proofErr w:type="spellStart"/>
      <w:r w:rsidRPr="00CC358D">
        <w:rPr>
          <w:rFonts w:ascii="Times New Roman" w:eastAsia="Calibri" w:hAnsi="Times New Roman" w:cs="Times New Roman"/>
          <w:sz w:val="20"/>
          <w:szCs w:val="20"/>
        </w:rPr>
        <w:t>Pesaran</w:t>
      </w:r>
      <w:proofErr w:type="spellEnd"/>
      <w:r w:rsidRPr="00CC358D">
        <w:rPr>
          <w:rFonts w:ascii="Times New Roman" w:eastAsia="Calibri" w:hAnsi="Times New Roman" w:cs="Times New Roman"/>
          <w:sz w:val="20"/>
          <w:szCs w:val="20"/>
        </w:rPr>
        <w:t xml:space="preserve"> et al. (2001) is used to examine long-run cointegration when the order of integration is confirmed as either </w:t>
      </w: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 xml:space="preserve">0) or </w:t>
      </w: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1). The ARDL model is particularly suitable in this context because of its flexibility in accommodating mixed orders of integration and its robustness in small samples. The optimal lag structure is determined using the AIC to identify the appropriate dynamic lags in the model. The general long-run ARDL model is expressed as follows:</w:t>
      </w:r>
    </w:p>
    <w:p w14:paraId="7C1F6D50" w14:textId="77777777" w:rsidR="00640F84" w:rsidRPr="00CC358D" w:rsidRDefault="00640F84" w:rsidP="00640F84">
      <w:pPr>
        <w:spacing w:after="0" w:line="240" w:lineRule="auto"/>
        <w:jc w:val="both"/>
        <w:rPr>
          <w:rFonts w:ascii="Times New Roman" w:eastAsia="Calibri" w:hAnsi="Times New Roman" w:cs="Times New Roman"/>
          <w:sz w:val="20"/>
          <w:szCs w:val="20"/>
        </w:rPr>
      </w:pPr>
    </w:p>
    <w:p w14:paraId="5FF0791A" w14:textId="77777777" w:rsidR="00640F84" w:rsidRPr="00CC358D" w:rsidRDefault="00640F84" w:rsidP="00640F84">
      <w:pPr>
        <w:spacing w:after="0" w:line="240" w:lineRule="auto"/>
        <w:jc w:val="both"/>
        <w:rPr>
          <w:rFonts w:ascii="Times New Roman" w:eastAsia="Calibri" w:hAnsi="Times New Roman" w:cs="Times New Roman"/>
          <w:sz w:val="20"/>
          <w:szCs w:val="20"/>
          <w:lang w:val="en-GB"/>
        </w:rPr>
      </w:pPr>
      <m:oMathPara>
        <m:oMathParaPr>
          <m:jc m:val="left"/>
        </m:oMathParaPr>
        <m:oMath>
          <m:r>
            <w:rPr>
              <w:rFonts w:ascii="Cambria Math" w:eastAsia="Calibri" w:hAnsi="Cambria Math" w:cs="Times New Roman"/>
              <w:sz w:val="20"/>
              <w:szCs w:val="20"/>
              <w:lang w:val="en-GB"/>
            </w:rPr>
            <m:t>Yt=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α</m:t>
              </m:r>
            </m:e>
            <m:sub>
              <m:r>
                <w:rPr>
                  <w:rFonts w:ascii="Cambria Math" w:eastAsia="Calibri" w:hAnsi="Cambria Math" w:cs="Times New Roman"/>
                  <w:sz w:val="20"/>
                  <w:szCs w:val="20"/>
                  <w:lang w:val="en-GB"/>
                </w:rPr>
                <m:t>0</m:t>
              </m:r>
            </m:sub>
          </m:sSub>
          <m:r>
            <w:rPr>
              <w:rFonts w:ascii="Cambria Math" w:eastAsia="Calibri" w:hAnsi="Cambria Math" w:cs="Times New Roman"/>
              <w:sz w:val="20"/>
              <w:szCs w:val="20"/>
              <w:lang w:val="en-GB"/>
            </w:rPr>
            <m:t>+</m:t>
          </m:r>
          <m:nary>
            <m:naryPr>
              <m:chr m:val="∑"/>
              <m:limLoc m:val="undOvr"/>
              <m:ctrlPr>
                <w:rPr>
                  <w:rFonts w:ascii="Cambria Math" w:eastAsia="Calibri" w:hAnsi="Cambria Math" w:cs="Times New Roman"/>
                  <w:i/>
                  <w:sz w:val="20"/>
                  <w:szCs w:val="20"/>
                  <w:lang w:val="en-GB"/>
                </w:rPr>
              </m:ctrlPr>
            </m:naryPr>
            <m:sub>
              <m:r>
                <w:rPr>
                  <w:rFonts w:ascii="Cambria Math" w:eastAsia="Calibri" w:hAnsi="Cambria Math" w:cs="Times New Roman"/>
                  <w:sz w:val="20"/>
                  <w:szCs w:val="20"/>
                  <w:lang w:val="en-GB"/>
                </w:rPr>
                <m:t>i=1</m:t>
              </m:r>
            </m:sub>
            <m:sup>
              <m:r>
                <w:rPr>
                  <w:rFonts w:ascii="Cambria Math" w:eastAsia="Calibri" w:hAnsi="Cambria Math" w:cs="Times New Roman"/>
                  <w:sz w:val="20"/>
                  <w:szCs w:val="20"/>
                  <w:lang w:val="en-GB"/>
                </w:rPr>
                <m:t>p</m:t>
              </m:r>
            </m:sup>
            <m:e>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β</m:t>
                  </m:r>
                </m:e>
                <m:sub>
                  <m:r>
                    <w:rPr>
                      <w:rFonts w:ascii="Cambria Math" w:eastAsia="Calibri" w:hAnsi="Cambria Math" w:cs="Times New Roman"/>
                      <w:sz w:val="20"/>
                      <w:szCs w:val="20"/>
                      <w:lang w:val="en-GB"/>
                    </w:rPr>
                    <m:t>i</m:t>
                  </m:r>
                </m:sub>
              </m:sSub>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Y</m:t>
                  </m:r>
                </m:e>
                <m:sub>
                  <m:r>
                    <w:rPr>
                      <w:rFonts w:ascii="Cambria Math" w:eastAsia="Calibri" w:hAnsi="Cambria Math" w:cs="Times New Roman"/>
                      <w:sz w:val="20"/>
                      <w:szCs w:val="20"/>
                      <w:lang w:val="en-GB"/>
                    </w:rPr>
                    <m:t>t-i</m:t>
                  </m:r>
                </m:sub>
              </m:sSub>
            </m:e>
          </m:nary>
          <m:r>
            <w:rPr>
              <w:rFonts w:ascii="Cambria Math" w:eastAsia="Calibri" w:hAnsi="Cambria Math" w:cs="Times New Roman"/>
              <w:sz w:val="20"/>
              <w:szCs w:val="20"/>
              <w:lang w:val="en-GB"/>
            </w:rPr>
            <m:t>+</m:t>
          </m:r>
          <m:nary>
            <m:naryPr>
              <m:chr m:val="∑"/>
              <m:limLoc m:val="undOvr"/>
              <m:ctrlPr>
                <w:rPr>
                  <w:rFonts w:ascii="Cambria Math" w:eastAsia="Calibri" w:hAnsi="Cambria Math" w:cs="Times New Roman"/>
                  <w:i/>
                  <w:sz w:val="20"/>
                  <w:szCs w:val="20"/>
                  <w:lang w:val="en-GB"/>
                </w:rPr>
              </m:ctrlPr>
            </m:naryPr>
            <m:sub>
              <m:r>
                <w:rPr>
                  <w:rFonts w:ascii="Cambria Math" w:eastAsia="Calibri" w:hAnsi="Cambria Math" w:cs="Times New Roman"/>
                  <w:sz w:val="20"/>
                  <w:szCs w:val="20"/>
                  <w:lang w:val="en-GB"/>
                </w:rPr>
                <m:t>j=1</m:t>
              </m:r>
            </m:sub>
            <m:sup>
              <m:r>
                <w:rPr>
                  <w:rFonts w:ascii="Cambria Math" w:eastAsia="Calibri" w:hAnsi="Cambria Math" w:cs="Times New Roman"/>
                  <w:sz w:val="20"/>
                  <w:szCs w:val="20"/>
                  <w:lang w:val="en-GB"/>
                </w:rPr>
                <m:t>q1</m:t>
              </m:r>
            </m:sup>
            <m:e>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δ</m:t>
                  </m:r>
                </m:e>
                <m:sub>
                  <m:r>
                    <w:rPr>
                      <w:rFonts w:ascii="Cambria Math" w:eastAsia="Calibri" w:hAnsi="Cambria Math" w:cs="Times New Roman"/>
                      <w:sz w:val="20"/>
                      <w:szCs w:val="20"/>
                      <w:lang w:val="en-GB"/>
                    </w:rPr>
                    <m:t>1i</m:t>
                  </m:r>
                </m:sub>
              </m:sSub>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X</m:t>
                  </m:r>
                </m:e>
                <m:sub>
                  <m:r>
                    <w:rPr>
                      <w:rFonts w:ascii="Cambria Math" w:eastAsia="Calibri" w:hAnsi="Cambria Math" w:cs="Times New Roman"/>
                      <w:sz w:val="20"/>
                      <w:szCs w:val="20"/>
                      <w:lang w:val="en-GB"/>
                    </w:rPr>
                    <m:t>1, t-j</m:t>
                  </m:r>
                </m:sub>
              </m:sSub>
            </m:e>
          </m:nary>
          <m:r>
            <w:rPr>
              <w:rFonts w:ascii="Cambria Math" w:eastAsia="Calibri" w:hAnsi="Cambria Math" w:cs="Times New Roman"/>
              <w:sz w:val="20"/>
              <w:szCs w:val="20"/>
              <w:lang w:val="en-GB"/>
            </w:rPr>
            <m:t>+</m:t>
          </m:r>
          <m:nary>
            <m:naryPr>
              <m:chr m:val="∑"/>
              <m:limLoc m:val="undOvr"/>
              <m:ctrlPr>
                <w:rPr>
                  <w:rFonts w:ascii="Cambria Math" w:eastAsia="Calibri" w:hAnsi="Cambria Math" w:cs="Times New Roman"/>
                  <w:i/>
                  <w:sz w:val="20"/>
                  <w:szCs w:val="20"/>
                  <w:lang w:val="en-GB"/>
                </w:rPr>
              </m:ctrlPr>
            </m:naryPr>
            <m:sub>
              <m:r>
                <w:rPr>
                  <w:rFonts w:ascii="Cambria Math" w:eastAsia="Calibri" w:hAnsi="Cambria Math" w:cs="Times New Roman"/>
                  <w:sz w:val="20"/>
                  <w:szCs w:val="20"/>
                  <w:lang w:val="en-GB"/>
                </w:rPr>
                <m:t>j=1</m:t>
              </m:r>
            </m:sub>
            <m:sup>
              <m:r>
                <w:rPr>
                  <w:rFonts w:ascii="Cambria Math" w:eastAsia="Calibri" w:hAnsi="Cambria Math" w:cs="Times New Roman"/>
                  <w:sz w:val="20"/>
                  <w:szCs w:val="20"/>
                  <w:lang w:val="en-GB"/>
                </w:rPr>
                <m:t>q2</m:t>
              </m:r>
            </m:sup>
            <m:e>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δ</m:t>
                  </m:r>
                </m:e>
                <m:sub>
                  <m:r>
                    <w:rPr>
                      <w:rFonts w:ascii="Cambria Math" w:eastAsia="Calibri" w:hAnsi="Cambria Math" w:cs="Times New Roman"/>
                      <w:sz w:val="20"/>
                      <w:szCs w:val="20"/>
                      <w:lang w:val="en-GB"/>
                    </w:rPr>
                    <m:t>2i</m:t>
                  </m:r>
                </m:sub>
              </m:sSub>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X</m:t>
                  </m:r>
                </m:e>
                <m:sub>
                  <m:r>
                    <w:rPr>
                      <w:rFonts w:ascii="Cambria Math" w:eastAsia="Calibri" w:hAnsi="Cambria Math" w:cs="Times New Roman"/>
                      <w:sz w:val="20"/>
                      <w:szCs w:val="20"/>
                      <w:lang w:val="en-GB"/>
                    </w:rPr>
                    <m:t>2,t-j</m:t>
                  </m:r>
                </m:sub>
              </m:sSub>
            </m:e>
          </m:nary>
          <m:r>
            <w:rPr>
              <w:rFonts w:ascii="Cambria Math" w:eastAsia="Calibri" w:hAnsi="Cambria Math" w:cs="Times New Roman"/>
              <w:sz w:val="20"/>
              <w:szCs w:val="20"/>
              <w:lang w:val="en-GB"/>
            </w:rPr>
            <m:t>+....+</m:t>
          </m:r>
          <m:nary>
            <m:naryPr>
              <m:chr m:val="∑"/>
              <m:limLoc m:val="undOvr"/>
              <m:ctrlPr>
                <w:rPr>
                  <w:rFonts w:ascii="Cambria Math" w:eastAsia="Calibri" w:hAnsi="Cambria Math" w:cs="Times New Roman"/>
                  <w:i/>
                  <w:sz w:val="20"/>
                  <w:szCs w:val="20"/>
                  <w:lang w:val="en-GB"/>
                </w:rPr>
              </m:ctrlPr>
            </m:naryPr>
            <m:sub>
              <m:r>
                <w:rPr>
                  <w:rFonts w:ascii="Cambria Math" w:eastAsia="Calibri" w:hAnsi="Cambria Math" w:cs="Times New Roman"/>
                  <w:sz w:val="20"/>
                  <w:szCs w:val="20"/>
                  <w:lang w:val="en-GB"/>
                </w:rPr>
                <m:t>j=1</m:t>
              </m:r>
            </m:sub>
            <m:sup>
              <m:r>
                <w:rPr>
                  <w:rFonts w:ascii="Cambria Math" w:eastAsia="Calibri" w:hAnsi="Cambria Math" w:cs="Times New Roman"/>
                  <w:sz w:val="20"/>
                  <w:szCs w:val="20"/>
                  <w:lang w:val="en-GB"/>
                </w:rPr>
                <m:t>qn</m:t>
              </m:r>
            </m:sup>
            <m:e>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δ</m:t>
                  </m:r>
                </m:e>
                <m:sub>
                  <m:r>
                    <w:rPr>
                      <w:rFonts w:ascii="Cambria Math" w:eastAsia="Calibri" w:hAnsi="Cambria Math" w:cs="Times New Roman"/>
                      <w:sz w:val="20"/>
                      <w:szCs w:val="20"/>
                      <w:lang w:val="en-GB"/>
                    </w:rPr>
                    <m:t>nj</m:t>
                  </m:r>
                </m:sub>
              </m:sSub>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X</m:t>
                  </m:r>
                </m:e>
                <m:sub>
                  <m:r>
                    <w:rPr>
                      <w:rFonts w:ascii="Cambria Math" w:eastAsia="Calibri" w:hAnsi="Cambria Math" w:cs="Times New Roman"/>
                      <w:sz w:val="20"/>
                      <w:szCs w:val="20"/>
                      <w:lang w:val="en-GB"/>
                    </w:rPr>
                    <m:t>n,t-j</m:t>
                  </m:r>
                </m:sub>
              </m:sSub>
            </m:e>
          </m:nary>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μ</m:t>
              </m:r>
            </m:e>
            <m:sub>
              <m:r>
                <w:rPr>
                  <w:rFonts w:ascii="Cambria Math" w:eastAsia="Calibri" w:hAnsi="Cambria Math" w:cs="Times New Roman"/>
                  <w:sz w:val="20"/>
                  <w:szCs w:val="20"/>
                  <w:lang w:val="en-GB"/>
                </w:rPr>
                <m:t>t</m:t>
              </m:r>
            </m:sub>
          </m:sSub>
        </m:oMath>
      </m:oMathPara>
    </w:p>
    <w:p w14:paraId="2406CA2E"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2762D2C9" w14:textId="5CB19750"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 xml:space="preserve">Where </w:t>
      </w:r>
      <m:oMath>
        <m:r>
          <w:rPr>
            <w:rFonts w:ascii="Cambria Math" w:eastAsia="Calibri" w:hAnsi="Cambria Math" w:cs="Times New Roman"/>
            <w:sz w:val="20"/>
            <w:szCs w:val="20"/>
            <w:lang w:val="en-GB"/>
          </w:rPr>
          <m:t>Yt</m:t>
        </m:r>
      </m:oMath>
      <w:r w:rsidRPr="00CC358D">
        <w:rPr>
          <w:rFonts w:ascii="Times New Roman" w:eastAsia="Calibri" w:hAnsi="Times New Roman" w:cs="Times New Roman"/>
          <w:sz w:val="20"/>
          <w:szCs w:val="20"/>
          <w:lang w:val="en-IN"/>
        </w:rPr>
        <w:t xml:space="preserve"> is the dependent variable, </w:t>
      </w:r>
      <m:oMath>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X</m:t>
            </m:r>
          </m:e>
          <m:sub>
            <m:r>
              <w:rPr>
                <w:rFonts w:ascii="Cambria Math" w:eastAsia="Calibri" w:hAnsi="Cambria Math" w:cs="Times New Roman"/>
                <w:sz w:val="20"/>
                <w:szCs w:val="20"/>
                <w:lang w:val="en-GB"/>
              </w:rPr>
              <m:t xml:space="preserve">1, t, </m:t>
            </m:r>
          </m:sub>
        </m:sSub>
        <m:r>
          <w:rPr>
            <w:rFonts w:ascii="Cambria Math" w:eastAsia="Calibri" w:hAnsi="Cambria Math" w:cs="Times New Roman"/>
            <w:sz w:val="20"/>
            <w:szCs w:val="20"/>
            <w:lang w:val="en-GB"/>
          </w:rPr>
          <m:t xml:space="preserve"> </m:t>
        </m:r>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X</m:t>
            </m:r>
          </m:e>
          <m:sub>
            <m:r>
              <w:rPr>
                <w:rFonts w:ascii="Cambria Math" w:eastAsia="Calibri" w:hAnsi="Cambria Math" w:cs="Times New Roman"/>
                <w:sz w:val="20"/>
                <w:szCs w:val="20"/>
                <w:lang w:val="en-GB"/>
              </w:rPr>
              <m:t>2, t</m:t>
            </m:r>
          </m:sub>
        </m:sSub>
        <m:r>
          <w:rPr>
            <w:rFonts w:ascii="Cambria Math" w:eastAsia="Calibri" w:hAnsi="Cambria Math" w:cs="Times New Roman"/>
            <w:sz w:val="20"/>
            <w:szCs w:val="20"/>
            <w:lang w:val="en-GB"/>
          </w:rPr>
          <m:t>,.......,</m:t>
        </m:r>
        <m:sSub>
          <m:sSubPr>
            <m:ctrlPr>
              <w:rPr>
                <w:rFonts w:ascii="Cambria Math" w:eastAsia="Calibri" w:hAnsi="Cambria Math" w:cs="Times New Roman"/>
                <w:i/>
                <w:sz w:val="20"/>
                <w:szCs w:val="20"/>
                <w:lang w:val="en-GB"/>
              </w:rPr>
            </m:ctrlPr>
          </m:sSubPr>
          <m:e>
            <m:r>
              <m:rPr>
                <m:sty m:val="p"/>
              </m:rPr>
              <w:rPr>
                <w:rFonts w:ascii="Cambria Math" w:eastAsia="Calibri" w:hAnsi="Cambria Math" w:cs="Times New Roman"/>
                <w:sz w:val="20"/>
                <w:szCs w:val="20"/>
                <w:lang w:val="en-GB"/>
              </w:rPr>
              <m:t>X</m:t>
            </m:r>
          </m:e>
          <m:sub>
            <m:r>
              <w:rPr>
                <w:rFonts w:ascii="Cambria Math" w:eastAsia="Calibri" w:hAnsi="Cambria Math" w:cs="Times New Roman"/>
                <w:sz w:val="20"/>
                <w:szCs w:val="20"/>
                <w:lang w:val="en-GB"/>
              </w:rPr>
              <m:t xml:space="preserve">n, t </m:t>
            </m:r>
          </m:sub>
        </m:sSub>
      </m:oMath>
      <w:r w:rsidRPr="00CC358D">
        <w:rPr>
          <w:rFonts w:ascii="Times New Roman" w:eastAsia="Times New Roman" w:hAnsi="Times New Roman" w:cs="Times New Roman"/>
          <w:sz w:val="20"/>
          <w:szCs w:val="20"/>
          <w:lang w:val="en-GB"/>
        </w:rPr>
        <w:t xml:space="preserve"> </w:t>
      </w:r>
      <w:r w:rsidRPr="00CC358D">
        <w:rPr>
          <w:rFonts w:ascii="Times New Roman" w:eastAsia="Calibri" w:hAnsi="Times New Roman" w:cs="Times New Roman"/>
          <w:sz w:val="20"/>
          <w:szCs w:val="20"/>
          <w:lang w:val="en-IN"/>
        </w:rPr>
        <w:t xml:space="preserve">represent the explanatory variables, p and </w:t>
      </w:r>
      <w:proofErr w:type="spellStart"/>
      <w:r w:rsidRPr="00CC358D">
        <w:rPr>
          <w:rFonts w:ascii="Times New Roman" w:eastAsia="Calibri" w:hAnsi="Times New Roman" w:cs="Times New Roman"/>
          <w:sz w:val="20"/>
          <w:szCs w:val="20"/>
          <w:lang w:val="en-IN"/>
        </w:rPr>
        <w:t>q</w:t>
      </w:r>
      <w:r w:rsidRPr="00CC358D">
        <w:rPr>
          <w:rFonts w:ascii="Times New Roman" w:eastAsia="Calibri" w:hAnsi="Times New Roman" w:cs="Times New Roman"/>
          <w:sz w:val="20"/>
          <w:szCs w:val="20"/>
          <w:vertAlign w:val="subscript"/>
          <w:lang w:val="en-IN"/>
        </w:rPr>
        <w:t>j</w:t>
      </w:r>
      <w:proofErr w:type="spellEnd"/>
      <w:r w:rsidRPr="00CC358D">
        <w:rPr>
          <w:rFonts w:ascii="Times New Roman" w:eastAsia="Calibri" w:hAnsi="Times New Roman" w:cs="Times New Roman"/>
          <w:sz w:val="20"/>
          <w:szCs w:val="20"/>
          <w:lang w:val="en-IN"/>
        </w:rPr>
        <w:t xml:space="preserve"> ​denote the lag lengths, and </w:t>
      </w:r>
      <m:oMath>
        <m:sSub>
          <m:sSubPr>
            <m:ctrlPr>
              <w:rPr>
                <w:rFonts w:ascii="Cambria Math" w:eastAsia="Calibri" w:hAnsi="Cambria Math" w:cs="Times New Roman"/>
                <w:i/>
                <w:sz w:val="20"/>
                <w:szCs w:val="20"/>
                <w:lang w:val="en-GB"/>
              </w:rPr>
            </m:ctrlPr>
          </m:sSubPr>
          <m:e>
            <m:r>
              <w:rPr>
                <w:rFonts w:ascii="Cambria Math" w:eastAsia="Calibri" w:hAnsi="Cambria Math" w:cs="Times New Roman"/>
                <w:sz w:val="20"/>
                <w:szCs w:val="20"/>
                <w:lang w:val="en-GB"/>
              </w:rPr>
              <m:t>μ</m:t>
            </m:r>
          </m:e>
          <m:sub>
            <m:r>
              <w:rPr>
                <w:rFonts w:ascii="Cambria Math" w:eastAsia="Calibri" w:hAnsi="Cambria Math" w:cs="Times New Roman"/>
                <w:sz w:val="20"/>
                <w:szCs w:val="20"/>
                <w:lang w:val="en-GB"/>
              </w:rPr>
              <m:t>t</m:t>
            </m:r>
          </m:sub>
        </m:sSub>
      </m:oMath>
      <w:r w:rsidRPr="00CC358D">
        <w:rPr>
          <w:rFonts w:ascii="Times New Roman" w:eastAsia="Calibri" w:hAnsi="Times New Roman" w:cs="Times New Roman"/>
          <w:sz w:val="20"/>
          <w:szCs w:val="20"/>
          <w:lang w:val="en-IN"/>
        </w:rPr>
        <w:t xml:space="preserve"> is the error term. </w:t>
      </w:r>
    </w:p>
    <w:p w14:paraId="5FE4CAD1"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153D2890"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 xml:space="preserve">The F-statistic obtained from the ARDL bounds test is compared with the critical values proposed by </w:t>
      </w:r>
      <w:proofErr w:type="spellStart"/>
      <w:r w:rsidRPr="00CC358D">
        <w:rPr>
          <w:rFonts w:ascii="Times New Roman" w:eastAsia="Calibri" w:hAnsi="Times New Roman" w:cs="Times New Roman"/>
          <w:sz w:val="20"/>
          <w:szCs w:val="20"/>
          <w:lang w:val="en-IN"/>
        </w:rPr>
        <w:t>Pesaran</w:t>
      </w:r>
      <w:proofErr w:type="spellEnd"/>
      <w:r w:rsidRPr="00CC358D">
        <w:rPr>
          <w:rFonts w:ascii="Times New Roman" w:eastAsia="Calibri" w:hAnsi="Times New Roman" w:cs="Times New Roman"/>
          <w:sz w:val="20"/>
          <w:szCs w:val="20"/>
          <w:lang w:val="en-IN"/>
        </w:rPr>
        <w:t xml:space="preserve"> et al. (2001). The null hypothesis of no long-run relationship is rejected if the calculated F-statistic exceeds the upper critical bound, indicating cointegration among the variables. The unrestricted error-correction representation of the estimated ARDL model is specified in the following equation.</w:t>
      </w:r>
    </w:p>
    <w:p w14:paraId="775010D7"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6649D0FC" w14:textId="77777777" w:rsidR="00640F84" w:rsidRPr="00CC358D" w:rsidRDefault="00640F84" w:rsidP="00640F84">
      <w:pPr>
        <w:spacing w:after="0" w:line="240" w:lineRule="auto"/>
        <w:jc w:val="both"/>
        <w:rPr>
          <w:rFonts w:ascii="Times New Roman" w:eastAsia="Times New Roman" w:hAnsi="Times New Roman" w:cs="Times New Roman"/>
          <w:sz w:val="20"/>
          <w:szCs w:val="20"/>
          <w:lang w:val="en-IN"/>
        </w:rPr>
      </w:pPr>
      <m:oMathPara>
        <m:oMathParaPr>
          <m:jc m:val="left"/>
        </m:oMathParaPr>
        <m:oMath>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LNCO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2</m:t>
              </m:r>
            </m:e>
            <m:sub>
              <m:r>
                <w:rPr>
                  <w:rFonts w:ascii="Cambria Math" w:eastAsia="Calibri" w:hAnsi="Cambria Math" w:cs="Times New Roman"/>
                  <w:sz w:val="20"/>
                  <w:szCs w:val="20"/>
                  <w:lang w:val="en-IN"/>
                </w:rPr>
                <m:t xml:space="preserve">t </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α</m:t>
              </m:r>
              <m:ctrlPr>
                <w:rPr>
                  <w:rFonts w:ascii="Cambria Math" w:eastAsia="Calibri" w:hAnsi="Cambria Math" w:cs="Times New Roman"/>
                  <w:sz w:val="20"/>
                  <w:szCs w:val="20"/>
                  <w:lang w:val="en-IN"/>
                </w:rPr>
              </m:ctrlPr>
            </m:e>
            <m:sub>
              <m:r>
                <w:rPr>
                  <w:rFonts w:ascii="Cambria Math" w:eastAsia="Calibri" w:hAnsi="Cambria Math" w:cs="Times New Roman"/>
                  <w:sz w:val="20"/>
                  <w:szCs w:val="20"/>
                  <w:lang w:val="en-IN"/>
                </w:rPr>
                <m:t>0</m:t>
              </m:r>
            </m:sub>
          </m:sSub>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1i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LNCO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2</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2i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LNUPO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P</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3i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LNENUS</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E</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4i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LNTRAD</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E</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λ</m:t>
              </m:r>
            </m:e>
            <m:sub>
              <m:r>
                <w:rPr>
                  <w:rFonts w:ascii="Cambria Math" w:eastAsia="Calibri" w:hAnsi="Cambria Math" w:cs="Times New Roman"/>
                  <w:sz w:val="20"/>
                  <w:szCs w:val="20"/>
                  <w:lang w:val="en-IN"/>
                </w:rPr>
                <m:t>1</m:t>
              </m:r>
            </m:sub>
          </m:sSub>
          <m:r>
            <w:rPr>
              <w:rFonts w:ascii="Cambria Math" w:eastAsia="Calibri" w:hAnsi="Cambria Math" w:cs="Times New Roman"/>
              <w:sz w:val="20"/>
              <w:szCs w:val="20"/>
              <w:lang w:val="en-IN"/>
            </w:rPr>
            <m:t>LNCO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2</m:t>
              </m:r>
            </m:e>
            <m:sub>
              <m:r>
                <w:rPr>
                  <w:rFonts w:ascii="Cambria Math" w:eastAsia="Calibri" w:hAnsi="Cambria Math" w:cs="Times New Roman"/>
                  <w:sz w:val="20"/>
                  <w:szCs w:val="20"/>
                  <w:lang w:val="en-IN"/>
                </w:rPr>
                <m:t>t-1</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λ</m:t>
              </m:r>
            </m:e>
            <m:sub>
              <m:r>
                <w:rPr>
                  <w:rFonts w:ascii="Cambria Math" w:eastAsia="Calibri" w:hAnsi="Cambria Math" w:cs="Times New Roman"/>
                  <w:sz w:val="20"/>
                  <w:szCs w:val="20"/>
                  <w:lang w:val="en-IN"/>
                </w:rPr>
                <m:t>2</m:t>
              </m:r>
            </m:sub>
          </m:sSub>
          <m:r>
            <w:rPr>
              <w:rFonts w:ascii="Cambria Math" w:eastAsia="Calibri" w:hAnsi="Cambria Math" w:cs="Times New Roman"/>
              <w:sz w:val="20"/>
              <w:szCs w:val="20"/>
              <w:lang w:val="en-IN"/>
            </w:rPr>
            <m:t>LNUPO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P</m:t>
              </m:r>
            </m:e>
            <m:sub>
              <m:r>
                <w:rPr>
                  <w:rFonts w:ascii="Cambria Math" w:eastAsia="Calibri" w:hAnsi="Cambria Math" w:cs="Times New Roman"/>
                  <w:sz w:val="20"/>
                  <w:szCs w:val="20"/>
                  <w:lang w:val="en-IN"/>
                </w:rPr>
                <m:t>t-1</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λ</m:t>
              </m:r>
            </m:e>
            <m:sub>
              <m:r>
                <w:rPr>
                  <w:rFonts w:ascii="Cambria Math" w:eastAsia="Calibri" w:hAnsi="Cambria Math" w:cs="Times New Roman"/>
                  <w:sz w:val="20"/>
                  <w:szCs w:val="20"/>
                  <w:lang w:val="en-IN"/>
                </w:rPr>
                <m:t>3</m:t>
              </m:r>
            </m:sub>
          </m:sSub>
          <m:r>
            <w:rPr>
              <w:rFonts w:ascii="Cambria Math" w:eastAsia="Calibri" w:hAnsi="Cambria Math" w:cs="Times New Roman"/>
              <w:sz w:val="20"/>
              <w:szCs w:val="20"/>
              <w:lang w:val="en-IN"/>
            </w:rPr>
            <m:t>LNENUS</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E</m:t>
              </m:r>
            </m:e>
            <m:sub>
              <m:r>
                <w:rPr>
                  <w:rFonts w:ascii="Cambria Math" w:eastAsia="Calibri" w:hAnsi="Cambria Math" w:cs="Times New Roman"/>
                  <w:sz w:val="20"/>
                  <w:szCs w:val="20"/>
                  <w:lang w:val="en-IN"/>
                </w:rPr>
                <m:t>t-1</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λ</m:t>
              </m:r>
            </m:e>
            <m:sub>
              <m:r>
                <w:rPr>
                  <w:rFonts w:ascii="Cambria Math" w:eastAsia="Calibri" w:hAnsi="Cambria Math" w:cs="Times New Roman"/>
                  <w:sz w:val="20"/>
                  <w:szCs w:val="20"/>
                  <w:lang w:val="en-IN"/>
                </w:rPr>
                <m:t>4</m:t>
              </m:r>
            </m:sub>
          </m:sSub>
          <m:r>
            <w:rPr>
              <w:rFonts w:ascii="Cambria Math" w:eastAsia="Calibri" w:hAnsi="Cambria Math" w:cs="Times New Roman"/>
              <w:sz w:val="20"/>
              <w:szCs w:val="20"/>
              <w:lang w:val="en-IN"/>
            </w:rPr>
            <m:t>LNTRAD</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E</m:t>
              </m:r>
            </m:e>
            <m:sub>
              <m:r>
                <w:rPr>
                  <w:rFonts w:ascii="Cambria Math" w:eastAsia="Calibri" w:hAnsi="Cambria Math" w:cs="Times New Roman"/>
                  <w:sz w:val="20"/>
                  <w:szCs w:val="20"/>
                  <w:lang w:val="en-IN"/>
                </w:rPr>
                <m:t>t-1</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m:rPr>
                  <m:sty m:val="p"/>
                </m:rPr>
                <w:rPr>
                  <w:rFonts w:ascii="Cambria Math" w:eastAsia="Calibri" w:hAnsi="Cambria Math" w:cs="Times New Roman"/>
                  <w:sz w:val="20"/>
                  <w:szCs w:val="20"/>
                  <w:lang w:val="en-IN"/>
                </w:rPr>
                <m:t>μ</m:t>
              </m:r>
            </m:e>
            <m:sub>
              <m:r>
                <w:rPr>
                  <w:rFonts w:ascii="Cambria Math" w:eastAsia="Calibri" w:hAnsi="Cambria Math" w:cs="Times New Roman"/>
                  <w:sz w:val="20"/>
                  <w:szCs w:val="20"/>
                  <w:lang w:val="en-IN"/>
                </w:rPr>
                <m:t>t</m:t>
              </m:r>
            </m:sub>
          </m:sSub>
        </m:oMath>
      </m:oMathPara>
    </w:p>
    <w:p w14:paraId="684C49FF" w14:textId="77777777" w:rsidR="00640F84" w:rsidRPr="00CC358D" w:rsidRDefault="00640F84" w:rsidP="00640F84">
      <w:pPr>
        <w:spacing w:after="0" w:line="240" w:lineRule="auto"/>
        <w:jc w:val="both"/>
        <w:rPr>
          <w:rFonts w:ascii="Times New Roman" w:eastAsia="Times New Roman" w:hAnsi="Times New Roman" w:cs="Times New Roman"/>
          <w:sz w:val="20"/>
          <w:szCs w:val="20"/>
          <w:lang w:val="en-IN"/>
        </w:rPr>
      </w:pPr>
    </w:p>
    <w:p w14:paraId="38E347FC" w14:textId="55A2F98C" w:rsidR="00640F84" w:rsidRPr="00CC358D" w:rsidRDefault="00640F84" w:rsidP="00640F84">
      <w:pPr>
        <w:spacing w:after="0" w:line="240" w:lineRule="auto"/>
        <w:jc w:val="both"/>
        <w:rPr>
          <w:rFonts w:ascii="Times New Roman" w:eastAsia="Times New Roman" w:hAnsi="Times New Roman" w:cs="Times New Roman"/>
          <w:sz w:val="20"/>
          <w:szCs w:val="20"/>
          <w:lang w:val="en-IN"/>
        </w:rPr>
      </w:pPr>
      <w:r w:rsidRPr="00CC358D">
        <w:rPr>
          <w:rFonts w:ascii="Times New Roman" w:eastAsia="Times New Roman" w:hAnsi="Times New Roman" w:cs="Times New Roman"/>
          <w:sz w:val="20"/>
          <w:szCs w:val="20"/>
          <w:lang w:val="en-IN"/>
        </w:rPr>
        <w:t xml:space="preserve">The symbol Δ represents the first-difference operator, which captures short-run changes in the corresponding variables. The symbol α0 denotes the constant term. The coefficients associated with the lagged level variables, denoted by λ, represent the long-run parameters, whereas β denotes the short-run dynamic coefficients. Finally, the stochastic error term, </w:t>
      </w:r>
      <w:proofErr w:type="spellStart"/>
      <w:r w:rsidRPr="00CC358D">
        <w:rPr>
          <w:rFonts w:ascii="Times New Roman" w:eastAsia="Times New Roman" w:hAnsi="Times New Roman" w:cs="Times New Roman"/>
          <w:sz w:val="20"/>
          <w:szCs w:val="20"/>
          <w:lang w:val="en-IN"/>
        </w:rPr>
        <w:t>μt</w:t>
      </w:r>
      <w:proofErr w:type="spellEnd"/>
      <w:r w:rsidRPr="00CC358D">
        <w:rPr>
          <w:rFonts w:ascii="Times New Roman" w:eastAsia="Times New Roman" w:hAnsi="Times New Roman" w:cs="Times New Roman"/>
          <w:sz w:val="20"/>
          <w:szCs w:val="20"/>
          <w:lang w:val="en-IN"/>
        </w:rPr>
        <w:t>, is assumed to be white noise with a mean of zero and constant variance.</w:t>
      </w:r>
    </w:p>
    <w:p w14:paraId="40CA38FB" w14:textId="77777777" w:rsidR="00640F84" w:rsidRPr="00CC358D" w:rsidRDefault="00640F84" w:rsidP="00640F84">
      <w:pPr>
        <w:spacing w:after="0" w:line="240" w:lineRule="auto"/>
        <w:jc w:val="both"/>
        <w:rPr>
          <w:rFonts w:ascii="Times New Roman" w:eastAsia="Times New Roman" w:hAnsi="Times New Roman" w:cs="Times New Roman"/>
          <w:sz w:val="20"/>
          <w:szCs w:val="20"/>
          <w:lang w:val="en-IN"/>
        </w:rPr>
      </w:pPr>
    </w:p>
    <w:p w14:paraId="024D72BB" w14:textId="77777777" w:rsidR="00640F84" w:rsidRPr="00CC358D" w:rsidRDefault="00640F84" w:rsidP="00640F84">
      <w:pPr>
        <w:spacing w:after="0" w:line="240" w:lineRule="auto"/>
        <w:jc w:val="both"/>
        <w:rPr>
          <w:rFonts w:ascii="Times New Roman" w:eastAsia="Times New Roman" w:hAnsi="Times New Roman" w:cs="Times New Roman"/>
          <w:sz w:val="20"/>
          <w:szCs w:val="20"/>
        </w:rPr>
      </w:pPr>
      <w:r w:rsidRPr="00CC358D">
        <w:rPr>
          <w:rFonts w:ascii="Times New Roman" w:eastAsia="Times New Roman" w:hAnsi="Times New Roman" w:cs="Times New Roman"/>
          <w:sz w:val="20"/>
          <w:szCs w:val="20"/>
          <w:lang w:val="en-IN"/>
        </w:rPr>
        <w:t>The prefix LN signifies the conversion of all variables into natural logarithms, allowing the coefficients obtained to be interpreted as elasticities</w:t>
      </w:r>
      <w:r w:rsidRPr="00CC358D">
        <w:rPr>
          <w:rFonts w:ascii="Times New Roman" w:eastAsia="Times New Roman" w:hAnsi="Times New Roman" w:cs="Times New Roman"/>
          <w:sz w:val="20"/>
          <w:szCs w:val="20"/>
        </w:rPr>
        <w:t>.</w:t>
      </w:r>
    </w:p>
    <w:p w14:paraId="6AA6DC4F" w14:textId="77777777" w:rsidR="00640F84" w:rsidRPr="00CC358D" w:rsidRDefault="00640F84" w:rsidP="00640F84">
      <w:pPr>
        <w:spacing w:after="0" w:line="240" w:lineRule="auto"/>
        <w:jc w:val="both"/>
        <w:rPr>
          <w:rFonts w:ascii="Times New Roman" w:eastAsia="Times New Roman" w:hAnsi="Times New Roman" w:cs="Times New Roman"/>
          <w:sz w:val="20"/>
          <w:szCs w:val="20"/>
        </w:rPr>
      </w:pPr>
    </w:p>
    <w:p w14:paraId="70371DC9" w14:textId="77777777" w:rsidR="00640F84" w:rsidRPr="00CC358D" w:rsidRDefault="00640F84" w:rsidP="00640F84">
      <w:pPr>
        <w:spacing w:after="0" w:line="240" w:lineRule="auto"/>
        <w:jc w:val="both"/>
        <w:rPr>
          <w:rFonts w:ascii="Times New Roman" w:eastAsia="Times New Roman" w:hAnsi="Times New Roman" w:cs="Times New Roman"/>
          <w:sz w:val="20"/>
          <w:szCs w:val="20"/>
          <w:lang w:val="en-IN"/>
        </w:rPr>
      </w:pPr>
      <m:oMathPara>
        <m:oMathParaPr>
          <m:jc m:val="left"/>
        </m:oMathParaPr>
        <m:oMath>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LNCO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2</m:t>
              </m:r>
            </m:e>
            <m:sub>
              <m:r>
                <w:rPr>
                  <w:rFonts w:ascii="Cambria Math" w:eastAsia="Calibri" w:hAnsi="Cambria Math" w:cs="Times New Roman"/>
                  <w:sz w:val="20"/>
                  <w:szCs w:val="20"/>
                  <w:lang w:val="en-IN"/>
                </w:rPr>
                <m:t>t</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α</m:t>
              </m:r>
            </m:e>
            <m:sub>
              <m:r>
                <w:rPr>
                  <w:rFonts w:ascii="Cambria Math" w:eastAsia="Calibri" w:hAnsi="Cambria Math" w:cs="Times New Roman"/>
                  <w:sz w:val="20"/>
                  <w:szCs w:val="20"/>
                  <w:lang w:val="en-IN"/>
                </w:rPr>
                <m:t>0</m:t>
              </m:r>
            </m:sub>
          </m:sSub>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1i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LNCO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2</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2i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LNUPO</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P</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3i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LNENUS</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E</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m:t>
          </m:r>
          <m:nary>
            <m:naryPr>
              <m:chr m:val="∑"/>
              <m:ctrlPr>
                <w:rPr>
                  <w:rFonts w:ascii="Cambria Math" w:eastAsia="Calibri" w:hAnsi="Cambria Math" w:cs="Times New Roman"/>
                  <w:sz w:val="20"/>
                  <w:szCs w:val="20"/>
                  <w:lang w:val="en-IN"/>
                </w:rPr>
              </m:ctrlPr>
            </m:naryPr>
            <m:sub>
              <m:r>
                <w:rPr>
                  <w:rFonts w:ascii="Cambria Math" w:eastAsia="Calibri" w:hAnsi="Cambria Math" w:cs="Times New Roman"/>
                  <w:sz w:val="20"/>
                  <w:szCs w:val="20"/>
                  <w:lang w:val="en-IN"/>
                </w:rPr>
                <m:t>i=1</m:t>
              </m:r>
              <m:ctrlPr>
                <w:rPr>
                  <w:rFonts w:ascii="Cambria Math" w:eastAsia="Calibri" w:hAnsi="Cambria Math" w:cs="Times New Roman"/>
                  <w:i/>
                  <w:sz w:val="20"/>
                  <w:szCs w:val="20"/>
                  <w:lang w:val="en-IN"/>
                </w:rPr>
              </m:ctrlPr>
            </m:sub>
            <m:sup>
              <m:r>
                <w:rPr>
                  <w:rFonts w:ascii="Cambria Math" w:eastAsia="Calibri" w:hAnsi="Cambria Math" w:cs="Times New Roman"/>
                  <w:sz w:val="20"/>
                  <w:szCs w:val="20"/>
                  <w:lang w:val="en-IN"/>
                </w:rPr>
                <m:t>p</m:t>
              </m:r>
              <m:ctrlPr>
                <w:rPr>
                  <w:rFonts w:ascii="Cambria Math" w:eastAsia="Calibri" w:hAnsi="Cambria Math" w:cs="Times New Roman"/>
                  <w:i/>
                  <w:sz w:val="20"/>
                  <w:szCs w:val="20"/>
                  <w:lang w:val="en-IN"/>
                </w:rPr>
              </m:ctrlPr>
            </m:sup>
            <m:e>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β</m:t>
                  </m:r>
                </m:e>
                <m:sub>
                  <m:r>
                    <w:rPr>
                      <w:rFonts w:ascii="Cambria Math" w:eastAsia="Calibri" w:hAnsi="Cambria Math" w:cs="Times New Roman"/>
                      <w:sz w:val="20"/>
                      <w:szCs w:val="20"/>
                      <w:lang w:val="en-IN"/>
                    </w:rPr>
                    <m:t>4i</m:t>
                  </m:r>
                </m:sub>
              </m:sSub>
              <m:r>
                <m:rPr>
                  <m:sty m:val="p"/>
                </m:rPr>
                <w:rPr>
                  <w:rFonts w:ascii="Cambria Math" w:eastAsia="Calibri" w:hAnsi="Cambria Math" w:cs="Times New Roman"/>
                  <w:sz w:val="20"/>
                  <w:szCs w:val="20"/>
                  <w:lang w:val="en-IN"/>
                </w:rPr>
                <m:t>Δ</m:t>
              </m:r>
              <m:r>
                <w:rPr>
                  <w:rFonts w:ascii="Cambria Math" w:eastAsia="Calibri" w:hAnsi="Cambria Math" w:cs="Times New Roman"/>
                  <w:sz w:val="20"/>
                  <w:szCs w:val="20"/>
                  <w:lang w:val="en-IN"/>
                </w:rPr>
                <m:t>LNTRAD</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E</m:t>
                  </m:r>
                </m:e>
                <m:sub>
                  <m:r>
                    <w:rPr>
                      <w:rFonts w:ascii="Cambria Math" w:eastAsia="Calibri" w:hAnsi="Cambria Math" w:cs="Times New Roman"/>
                      <w:sz w:val="20"/>
                      <w:szCs w:val="20"/>
                      <w:lang w:val="en-IN"/>
                    </w:rPr>
                    <m:t>t-i</m:t>
                  </m:r>
                </m:sub>
              </m:sSub>
              <m:ctrlPr>
                <w:rPr>
                  <w:rFonts w:ascii="Cambria Math" w:eastAsia="Calibri" w:hAnsi="Cambria Math" w:cs="Times New Roman"/>
                  <w:i/>
                  <w:sz w:val="20"/>
                  <w:szCs w:val="20"/>
                  <w:lang w:val="en-IN"/>
                </w:rPr>
              </m:ctrlPr>
            </m:e>
          </m:nary>
          <m:r>
            <w:rPr>
              <w:rFonts w:ascii="Cambria Math" w:eastAsia="Calibri" w:hAnsi="Cambria Math" w:cs="Times New Roman"/>
              <w:sz w:val="20"/>
              <w:szCs w:val="20"/>
              <w:lang w:val="en-IN"/>
            </w:rPr>
            <m:t>+δEC</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M</m:t>
              </m:r>
            </m:e>
            <m:sub>
              <m:r>
                <w:rPr>
                  <w:rFonts w:ascii="Cambria Math" w:eastAsia="Calibri" w:hAnsi="Cambria Math" w:cs="Times New Roman"/>
                  <w:sz w:val="20"/>
                  <w:szCs w:val="20"/>
                  <w:lang w:val="en-IN"/>
                </w:rPr>
                <m:t>t-1</m:t>
              </m:r>
            </m:sub>
          </m:sSub>
          <m:r>
            <w:rPr>
              <w:rFonts w:ascii="Cambria Math" w:eastAsia="Calibri" w:hAnsi="Cambria Math" w:cs="Times New Roman"/>
              <w:sz w:val="20"/>
              <w:szCs w:val="20"/>
              <w:lang w:val="en-IN"/>
            </w:rPr>
            <m:t>+</m:t>
          </m:r>
          <m:sSub>
            <m:sSubPr>
              <m:ctrlPr>
                <w:rPr>
                  <w:rFonts w:ascii="Cambria Math" w:eastAsia="Calibri" w:hAnsi="Cambria Math" w:cs="Times New Roman"/>
                  <w:i/>
                  <w:sz w:val="20"/>
                  <w:szCs w:val="20"/>
                  <w:lang w:val="en-IN"/>
                </w:rPr>
              </m:ctrlPr>
            </m:sSubPr>
            <m:e>
              <m:r>
                <w:rPr>
                  <w:rFonts w:ascii="Cambria Math" w:eastAsia="Calibri" w:hAnsi="Cambria Math" w:cs="Times New Roman"/>
                  <w:sz w:val="20"/>
                  <w:szCs w:val="20"/>
                  <w:lang w:val="en-IN"/>
                </w:rPr>
                <m:t>μ</m:t>
              </m:r>
            </m:e>
            <m:sub>
              <m:r>
                <w:rPr>
                  <w:rFonts w:ascii="Cambria Math" w:eastAsia="Calibri" w:hAnsi="Cambria Math" w:cs="Times New Roman"/>
                  <w:sz w:val="20"/>
                  <w:szCs w:val="20"/>
                  <w:lang w:val="en-IN"/>
                </w:rPr>
                <m:t>t</m:t>
              </m:r>
            </m:sub>
          </m:sSub>
        </m:oMath>
      </m:oMathPara>
    </w:p>
    <w:p w14:paraId="7BB8DAB0" w14:textId="77777777" w:rsidR="00FF7268" w:rsidRPr="00CC358D" w:rsidRDefault="00FF7268" w:rsidP="00640F84">
      <w:pPr>
        <w:spacing w:after="0" w:line="240" w:lineRule="auto"/>
        <w:jc w:val="both"/>
        <w:rPr>
          <w:rFonts w:ascii="Times New Roman" w:eastAsia="Calibri" w:hAnsi="Times New Roman" w:cs="Times New Roman"/>
          <w:sz w:val="20"/>
          <w:szCs w:val="20"/>
          <w:lang w:val="en-IN"/>
        </w:rPr>
      </w:pPr>
    </w:p>
    <w:p w14:paraId="0D7EAE86" w14:textId="7E50C595"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 xml:space="preserve">The Error Correction Model (ECM) is used to estimate short-run dynamics after cointegration has been confirmed. The coefficient of the error correction term measures the speed at which short-run deviations </w:t>
      </w:r>
      <w:r w:rsidRPr="00CC358D">
        <w:rPr>
          <w:rFonts w:ascii="Times New Roman" w:eastAsia="Calibri" w:hAnsi="Times New Roman" w:cs="Times New Roman"/>
          <w:sz w:val="20"/>
          <w:szCs w:val="20"/>
          <w:lang w:val="en-IN"/>
        </w:rPr>
        <w:lastRenderedPageBreak/>
        <w:t>converge towards the long-run equilibrium. A negative and statistically significant error correction coefficient confirms a stable long-run relationship.</w:t>
      </w:r>
    </w:p>
    <w:p w14:paraId="3179AB58"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4FF9F085"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Finally, the Cumulative Sum (CUSUM) and Cumulative Sum of Squares (CUSUMSQ) tests are used to verify whether the estimated coefficients remain stable over the sample period. These diagnostic tools help to identify structural breaks or parameter instability by plotting the recursive residuals against the 5% significance bounds. If the plots remain within the critical bounds, the model coefficients are considered stable and the estimated relationships reliable.</w:t>
      </w:r>
    </w:p>
    <w:p w14:paraId="11E2BD31"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428CEDBE"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A set of diagnostic tests is conducted to assess the adequacy of the estimated ARDL model. The Breusch–Godfrey LM test is used to detect serial correlation in the residuals, the Breusch–Pagan–Godfrey test is applied to examine potential heteroscedasticity, and the Jarque–Bera test is used to assess the normality of the residual distribution.</w:t>
      </w:r>
    </w:p>
    <w:p w14:paraId="61F7D247"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33895A2E" w14:textId="63712A75" w:rsidR="00640F84" w:rsidRPr="00CC358D" w:rsidRDefault="00640F84"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4. Empirical Findings</w:t>
      </w:r>
    </w:p>
    <w:p w14:paraId="0160266E" w14:textId="77777777" w:rsidR="00640F84" w:rsidRPr="00CC358D" w:rsidRDefault="00640F84" w:rsidP="00640F84">
      <w:pPr>
        <w:spacing w:after="0" w:line="240" w:lineRule="auto"/>
        <w:jc w:val="both"/>
        <w:rPr>
          <w:rFonts w:ascii="Times New Roman" w:eastAsia="Calibri" w:hAnsi="Times New Roman" w:cs="Times New Roman"/>
          <w:b/>
          <w:bCs/>
        </w:rPr>
      </w:pPr>
    </w:p>
    <w:p w14:paraId="37556D7B" w14:textId="5BE2EA2B" w:rsidR="00640F84" w:rsidRPr="00CC358D" w:rsidRDefault="00640F84"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4.1 Descriptive Analysis</w:t>
      </w:r>
    </w:p>
    <w:p w14:paraId="6BD4FF28"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604A40FD"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Table 1 presents the descriptive statistics of the variables used in the study. All variables are expressed in natural logarithms to improve comparability and reduce heteroscedasticity. The results indicate moderate variation across the variables, with no evidence of extreme dispersion that could adversely affect the subsequent econometric analysis.</w:t>
      </w:r>
    </w:p>
    <w:p w14:paraId="4A33876A" w14:textId="77777777" w:rsidR="000234B6" w:rsidRPr="00CC358D" w:rsidRDefault="000234B6" w:rsidP="00640F84">
      <w:pPr>
        <w:spacing w:after="0" w:line="240" w:lineRule="auto"/>
        <w:jc w:val="both"/>
        <w:rPr>
          <w:rFonts w:ascii="Times New Roman" w:eastAsia="Calibri" w:hAnsi="Times New Roman" w:cs="Times New Roman"/>
          <w:sz w:val="20"/>
          <w:szCs w:val="20"/>
        </w:rPr>
      </w:pPr>
    </w:p>
    <w:p w14:paraId="38B6117A" w14:textId="77777777" w:rsidR="000234B6" w:rsidRPr="00CC358D" w:rsidRDefault="000234B6" w:rsidP="000234B6">
      <w:pPr>
        <w:spacing w:after="0" w:line="240" w:lineRule="auto"/>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Table 1. Descriptive Analysis of the Variables</w:t>
      </w:r>
    </w:p>
    <w:p w14:paraId="3BC9518F" w14:textId="77777777" w:rsidR="000234B6" w:rsidRPr="00CC358D" w:rsidRDefault="000234B6" w:rsidP="000234B6">
      <w:pPr>
        <w:spacing w:after="0" w:line="240" w:lineRule="auto"/>
        <w:jc w:val="center"/>
        <w:rPr>
          <w:rFonts w:ascii="Times New Roman" w:eastAsia="Calibri" w:hAnsi="Times New Roman" w:cs="Times New Roman"/>
          <w:sz w:val="20"/>
          <w:szCs w:val="20"/>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1812"/>
        <w:gridCol w:w="1812"/>
        <w:gridCol w:w="1813"/>
        <w:gridCol w:w="1813"/>
      </w:tblGrid>
      <w:tr w:rsidR="000234B6" w:rsidRPr="00CC358D" w14:paraId="41B21831" w14:textId="77777777" w:rsidTr="00B068A4">
        <w:trPr>
          <w:trHeight w:val="20"/>
          <w:jc w:val="center"/>
        </w:trPr>
        <w:tc>
          <w:tcPr>
            <w:tcW w:w="1802" w:type="dxa"/>
            <w:tcBorders>
              <w:bottom w:val="single" w:sz="4" w:space="0" w:color="auto"/>
            </w:tcBorders>
          </w:tcPr>
          <w:p w14:paraId="354AA56E" w14:textId="77777777" w:rsidR="000234B6" w:rsidRPr="00CC358D" w:rsidRDefault="000234B6" w:rsidP="00B068A4">
            <w:pPr>
              <w:rPr>
                <w:rFonts w:ascii="Times New Roman" w:eastAsia="Calibri" w:hAnsi="Times New Roman" w:cs="Times New Roman"/>
                <w:b/>
                <w:bCs/>
                <w:sz w:val="20"/>
                <w:szCs w:val="20"/>
              </w:rPr>
            </w:pPr>
          </w:p>
        </w:tc>
        <w:tc>
          <w:tcPr>
            <w:tcW w:w="1803" w:type="dxa"/>
            <w:tcBorders>
              <w:bottom w:val="single" w:sz="4" w:space="0" w:color="auto"/>
            </w:tcBorders>
          </w:tcPr>
          <w:p w14:paraId="0BB93592"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LNCO2</w:t>
            </w:r>
          </w:p>
        </w:tc>
        <w:tc>
          <w:tcPr>
            <w:tcW w:w="1803" w:type="dxa"/>
            <w:tcBorders>
              <w:bottom w:val="single" w:sz="4" w:space="0" w:color="auto"/>
            </w:tcBorders>
          </w:tcPr>
          <w:p w14:paraId="5B48D5E3"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LNENUSE</w:t>
            </w:r>
          </w:p>
        </w:tc>
        <w:tc>
          <w:tcPr>
            <w:tcW w:w="1804" w:type="dxa"/>
            <w:tcBorders>
              <w:bottom w:val="single" w:sz="4" w:space="0" w:color="auto"/>
            </w:tcBorders>
          </w:tcPr>
          <w:p w14:paraId="144259FB"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LNTRADE</w:t>
            </w:r>
          </w:p>
        </w:tc>
        <w:tc>
          <w:tcPr>
            <w:tcW w:w="1804" w:type="dxa"/>
            <w:tcBorders>
              <w:bottom w:val="single" w:sz="4" w:space="0" w:color="auto"/>
            </w:tcBorders>
          </w:tcPr>
          <w:p w14:paraId="5082B6F8"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LNUPOP</w:t>
            </w:r>
          </w:p>
        </w:tc>
      </w:tr>
      <w:tr w:rsidR="000234B6" w:rsidRPr="00CC358D" w14:paraId="666BF481" w14:textId="77777777" w:rsidTr="00B068A4">
        <w:trPr>
          <w:trHeight w:val="20"/>
          <w:jc w:val="center"/>
        </w:trPr>
        <w:tc>
          <w:tcPr>
            <w:tcW w:w="1802" w:type="dxa"/>
            <w:tcBorders>
              <w:top w:val="single" w:sz="4" w:space="0" w:color="auto"/>
              <w:bottom w:val="nil"/>
            </w:tcBorders>
          </w:tcPr>
          <w:p w14:paraId="6856F04E"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Mean</w:t>
            </w:r>
          </w:p>
        </w:tc>
        <w:tc>
          <w:tcPr>
            <w:tcW w:w="1803" w:type="dxa"/>
            <w:tcBorders>
              <w:top w:val="single" w:sz="4" w:space="0" w:color="auto"/>
              <w:bottom w:val="nil"/>
            </w:tcBorders>
          </w:tcPr>
          <w:p w14:paraId="6A4DDEB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6.795639</w:t>
            </w:r>
          </w:p>
        </w:tc>
        <w:tc>
          <w:tcPr>
            <w:tcW w:w="1803" w:type="dxa"/>
            <w:tcBorders>
              <w:top w:val="single" w:sz="4" w:space="0" w:color="auto"/>
              <w:bottom w:val="nil"/>
            </w:tcBorders>
          </w:tcPr>
          <w:p w14:paraId="4866E2E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5.949379</w:t>
            </w:r>
          </w:p>
        </w:tc>
        <w:tc>
          <w:tcPr>
            <w:tcW w:w="1804" w:type="dxa"/>
            <w:tcBorders>
              <w:top w:val="single" w:sz="4" w:space="0" w:color="auto"/>
              <w:bottom w:val="nil"/>
            </w:tcBorders>
          </w:tcPr>
          <w:p w14:paraId="2E1BCDD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3.245520</w:t>
            </w:r>
          </w:p>
        </w:tc>
        <w:tc>
          <w:tcPr>
            <w:tcW w:w="1804" w:type="dxa"/>
            <w:tcBorders>
              <w:top w:val="single" w:sz="4" w:space="0" w:color="auto"/>
              <w:bottom w:val="nil"/>
            </w:tcBorders>
          </w:tcPr>
          <w:p w14:paraId="7BB4E96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19.44436</w:t>
            </w:r>
          </w:p>
        </w:tc>
      </w:tr>
      <w:tr w:rsidR="000234B6" w:rsidRPr="00CC358D" w14:paraId="763D4C45" w14:textId="77777777" w:rsidTr="00B068A4">
        <w:trPr>
          <w:trHeight w:val="20"/>
          <w:jc w:val="center"/>
        </w:trPr>
        <w:tc>
          <w:tcPr>
            <w:tcW w:w="1802" w:type="dxa"/>
            <w:tcBorders>
              <w:top w:val="nil"/>
            </w:tcBorders>
          </w:tcPr>
          <w:p w14:paraId="568FE71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Median</w:t>
            </w:r>
          </w:p>
        </w:tc>
        <w:tc>
          <w:tcPr>
            <w:tcW w:w="1803" w:type="dxa"/>
            <w:tcBorders>
              <w:top w:val="nil"/>
            </w:tcBorders>
          </w:tcPr>
          <w:p w14:paraId="69A0F1E2"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6.835860</w:t>
            </w:r>
          </w:p>
        </w:tc>
        <w:tc>
          <w:tcPr>
            <w:tcW w:w="1803" w:type="dxa"/>
            <w:tcBorders>
              <w:top w:val="nil"/>
            </w:tcBorders>
          </w:tcPr>
          <w:p w14:paraId="5E6C6276"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5.921515</w:t>
            </w:r>
          </w:p>
        </w:tc>
        <w:tc>
          <w:tcPr>
            <w:tcW w:w="1804" w:type="dxa"/>
            <w:tcBorders>
              <w:top w:val="nil"/>
            </w:tcBorders>
          </w:tcPr>
          <w:p w14:paraId="7F0A304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3.211472</w:t>
            </w:r>
          </w:p>
        </w:tc>
        <w:tc>
          <w:tcPr>
            <w:tcW w:w="1804" w:type="dxa"/>
            <w:tcBorders>
              <w:top w:val="nil"/>
            </w:tcBorders>
          </w:tcPr>
          <w:p w14:paraId="44EA940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19.46808</w:t>
            </w:r>
          </w:p>
        </w:tc>
      </w:tr>
      <w:tr w:rsidR="000234B6" w:rsidRPr="00CC358D" w14:paraId="1EA5388F" w14:textId="77777777" w:rsidTr="00B068A4">
        <w:trPr>
          <w:trHeight w:val="20"/>
          <w:jc w:val="center"/>
        </w:trPr>
        <w:tc>
          <w:tcPr>
            <w:tcW w:w="1802" w:type="dxa"/>
          </w:tcPr>
          <w:p w14:paraId="28A3E5B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Maximum</w:t>
            </w:r>
          </w:p>
        </w:tc>
        <w:tc>
          <w:tcPr>
            <w:tcW w:w="1803" w:type="dxa"/>
          </w:tcPr>
          <w:p w14:paraId="32B0274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7.991315</w:t>
            </w:r>
          </w:p>
        </w:tc>
        <w:tc>
          <w:tcPr>
            <w:tcW w:w="1803" w:type="dxa"/>
          </w:tcPr>
          <w:p w14:paraId="2AE0609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6.443308</w:t>
            </w:r>
          </w:p>
        </w:tc>
        <w:tc>
          <w:tcPr>
            <w:tcW w:w="1804" w:type="dxa"/>
          </w:tcPr>
          <w:p w14:paraId="7CE60306"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4.021661</w:t>
            </w:r>
          </w:p>
        </w:tc>
        <w:tc>
          <w:tcPr>
            <w:tcW w:w="1804" w:type="dxa"/>
          </w:tcPr>
          <w:p w14:paraId="1F0F07A6"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20.07498</w:t>
            </w:r>
          </w:p>
        </w:tc>
      </w:tr>
      <w:tr w:rsidR="000234B6" w:rsidRPr="00CC358D" w14:paraId="14BFBF10" w14:textId="77777777" w:rsidTr="00B068A4">
        <w:trPr>
          <w:trHeight w:val="20"/>
          <w:jc w:val="center"/>
        </w:trPr>
        <w:tc>
          <w:tcPr>
            <w:tcW w:w="1802" w:type="dxa"/>
          </w:tcPr>
          <w:p w14:paraId="437783D7"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Minimum</w:t>
            </w:r>
          </w:p>
        </w:tc>
        <w:tc>
          <w:tcPr>
            <w:tcW w:w="1803" w:type="dxa"/>
          </w:tcPr>
          <w:p w14:paraId="5B09AA4B"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5.470761</w:t>
            </w:r>
          </w:p>
        </w:tc>
        <w:tc>
          <w:tcPr>
            <w:tcW w:w="1803" w:type="dxa"/>
          </w:tcPr>
          <w:p w14:paraId="1CD6DB43"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5.627930</w:t>
            </w:r>
          </w:p>
        </w:tc>
        <w:tc>
          <w:tcPr>
            <w:tcW w:w="1804" w:type="dxa"/>
          </w:tcPr>
          <w:p w14:paraId="79A64EE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2.503014</w:t>
            </w:r>
          </w:p>
        </w:tc>
        <w:tc>
          <w:tcPr>
            <w:tcW w:w="1804" w:type="dxa"/>
          </w:tcPr>
          <w:p w14:paraId="7C2E3BF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18.68615</w:t>
            </w:r>
          </w:p>
        </w:tc>
      </w:tr>
      <w:tr w:rsidR="000234B6" w:rsidRPr="00CC358D" w14:paraId="2CD3516C" w14:textId="77777777" w:rsidTr="00B068A4">
        <w:trPr>
          <w:trHeight w:val="20"/>
          <w:jc w:val="center"/>
        </w:trPr>
        <w:tc>
          <w:tcPr>
            <w:tcW w:w="1802" w:type="dxa"/>
          </w:tcPr>
          <w:p w14:paraId="1B11892E"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Std. Dev.</w:t>
            </w:r>
          </w:p>
        </w:tc>
        <w:tc>
          <w:tcPr>
            <w:tcW w:w="1803" w:type="dxa"/>
          </w:tcPr>
          <w:p w14:paraId="0AC85E50"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0.776124</w:t>
            </w:r>
          </w:p>
        </w:tc>
        <w:tc>
          <w:tcPr>
            <w:tcW w:w="1803" w:type="dxa"/>
          </w:tcPr>
          <w:p w14:paraId="43D6EA2B"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0.236877</w:t>
            </w:r>
          </w:p>
        </w:tc>
        <w:tc>
          <w:tcPr>
            <w:tcW w:w="1804" w:type="dxa"/>
          </w:tcPr>
          <w:p w14:paraId="26E25BE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0.538403</w:t>
            </w:r>
          </w:p>
        </w:tc>
        <w:tc>
          <w:tcPr>
            <w:tcW w:w="1804" w:type="dxa"/>
          </w:tcPr>
          <w:p w14:paraId="54ED409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0.408220</w:t>
            </w:r>
          </w:p>
        </w:tc>
      </w:tr>
      <w:tr w:rsidR="000234B6" w:rsidRPr="00CC358D" w14:paraId="69C84A9D" w14:textId="77777777" w:rsidTr="00B068A4">
        <w:trPr>
          <w:trHeight w:val="20"/>
          <w:jc w:val="center"/>
        </w:trPr>
        <w:tc>
          <w:tcPr>
            <w:tcW w:w="1802" w:type="dxa"/>
          </w:tcPr>
          <w:p w14:paraId="41E7660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Skewness</w:t>
            </w:r>
          </w:p>
        </w:tc>
        <w:tc>
          <w:tcPr>
            <w:tcW w:w="1803" w:type="dxa"/>
          </w:tcPr>
          <w:p w14:paraId="6542643F"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-0.124898</w:t>
            </w:r>
          </w:p>
        </w:tc>
        <w:tc>
          <w:tcPr>
            <w:tcW w:w="1803" w:type="dxa"/>
          </w:tcPr>
          <w:p w14:paraId="3F0CC431"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0.466698</w:t>
            </w:r>
          </w:p>
        </w:tc>
        <w:tc>
          <w:tcPr>
            <w:tcW w:w="1804" w:type="dxa"/>
          </w:tcPr>
          <w:p w14:paraId="67CF569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-0.007195</w:t>
            </w:r>
          </w:p>
        </w:tc>
        <w:tc>
          <w:tcPr>
            <w:tcW w:w="1804" w:type="dxa"/>
          </w:tcPr>
          <w:p w14:paraId="1839503F"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-0.184864</w:t>
            </w:r>
          </w:p>
        </w:tc>
      </w:tr>
      <w:tr w:rsidR="000234B6" w:rsidRPr="00CC358D" w14:paraId="464FA334" w14:textId="77777777" w:rsidTr="00B068A4">
        <w:trPr>
          <w:trHeight w:val="20"/>
          <w:jc w:val="center"/>
        </w:trPr>
        <w:tc>
          <w:tcPr>
            <w:tcW w:w="1802" w:type="dxa"/>
          </w:tcPr>
          <w:p w14:paraId="43E35F0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Kurtosis</w:t>
            </w:r>
          </w:p>
        </w:tc>
        <w:tc>
          <w:tcPr>
            <w:tcW w:w="1803" w:type="dxa"/>
          </w:tcPr>
          <w:p w14:paraId="04C22C6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1.776074</w:t>
            </w:r>
          </w:p>
        </w:tc>
        <w:tc>
          <w:tcPr>
            <w:tcW w:w="1803" w:type="dxa"/>
          </w:tcPr>
          <w:p w14:paraId="282EF5A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2.224552</w:t>
            </w:r>
          </w:p>
        </w:tc>
        <w:tc>
          <w:tcPr>
            <w:tcW w:w="1804" w:type="dxa"/>
          </w:tcPr>
          <w:p w14:paraId="2C925638"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1.421411</w:t>
            </w:r>
          </w:p>
        </w:tc>
        <w:tc>
          <w:tcPr>
            <w:tcW w:w="1804" w:type="dxa"/>
          </w:tcPr>
          <w:p w14:paraId="05025A52"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1.866097</w:t>
            </w:r>
          </w:p>
        </w:tc>
      </w:tr>
      <w:tr w:rsidR="000234B6" w:rsidRPr="00CC358D" w14:paraId="1E498D05" w14:textId="77777777" w:rsidTr="00B068A4">
        <w:trPr>
          <w:trHeight w:val="20"/>
          <w:jc w:val="center"/>
        </w:trPr>
        <w:tc>
          <w:tcPr>
            <w:tcW w:w="1802" w:type="dxa"/>
          </w:tcPr>
          <w:p w14:paraId="7834CA31"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Jarque-Bera</w:t>
            </w:r>
          </w:p>
        </w:tc>
        <w:tc>
          <w:tcPr>
            <w:tcW w:w="1803" w:type="dxa"/>
          </w:tcPr>
          <w:p w14:paraId="1C3DC4DF"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3.250816</w:t>
            </w:r>
          </w:p>
        </w:tc>
        <w:tc>
          <w:tcPr>
            <w:tcW w:w="1803" w:type="dxa"/>
          </w:tcPr>
          <w:p w14:paraId="08B6574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2.515599</w:t>
            </w:r>
          </w:p>
        </w:tc>
        <w:tc>
          <w:tcPr>
            <w:tcW w:w="1804" w:type="dxa"/>
          </w:tcPr>
          <w:p w14:paraId="563F4ECE"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5.088140</w:t>
            </w:r>
          </w:p>
        </w:tc>
        <w:tc>
          <w:tcPr>
            <w:tcW w:w="1804" w:type="dxa"/>
          </w:tcPr>
          <w:p w14:paraId="55BF130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2.904139</w:t>
            </w:r>
          </w:p>
        </w:tc>
      </w:tr>
      <w:tr w:rsidR="000234B6" w:rsidRPr="00CC358D" w14:paraId="6530F223" w14:textId="77777777" w:rsidTr="00B068A4">
        <w:trPr>
          <w:trHeight w:val="20"/>
          <w:jc w:val="center"/>
        </w:trPr>
        <w:tc>
          <w:tcPr>
            <w:tcW w:w="1802" w:type="dxa"/>
          </w:tcPr>
          <w:p w14:paraId="06B3C95E"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Probability</w:t>
            </w:r>
          </w:p>
        </w:tc>
        <w:tc>
          <w:tcPr>
            <w:tcW w:w="1803" w:type="dxa"/>
          </w:tcPr>
          <w:p w14:paraId="3A40D8B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0.196831</w:t>
            </w:r>
          </w:p>
        </w:tc>
        <w:tc>
          <w:tcPr>
            <w:tcW w:w="1803" w:type="dxa"/>
          </w:tcPr>
          <w:p w14:paraId="64C7B056"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0.284279</w:t>
            </w:r>
          </w:p>
        </w:tc>
        <w:tc>
          <w:tcPr>
            <w:tcW w:w="1804" w:type="dxa"/>
          </w:tcPr>
          <w:p w14:paraId="5BC4BFB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0.078546</w:t>
            </w:r>
          </w:p>
        </w:tc>
        <w:tc>
          <w:tcPr>
            <w:tcW w:w="1804" w:type="dxa"/>
          </w:tcPr>
          <w:p w14:paraId="25FC901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0.234085</w:t>
            </w:r>
          </w:p>
        </w:tc>
      </w:tr>
      <w:tr w:rsidR="000234B6" w:rsidRPr="00CC358D" w14:paraId="006DDA4B" w14:textId="77777777" w:rsidTr="00B068A4">
        <w:trPr>
          <w:trHeight w:val="20"/>
          <w:jc w:val="center"/>
        </w:trPr>
        <w:tc>
          <w:tcPr>
            <w:tcW w:w="1802" w:type="dxa"/>
          </w:tcPr>
          <w:p w14:paraId="21C60780"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Sum</w:t>
            </w:r>
          </w:p>
        </w:tc>
        <w:tc>
          <w:tcPr>
            <w:tcW w:w="1803" w:type="dxa"/>
          </w:tcPr>
          <w:p w14:paraId="451A8AB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339.7820</w:t>
            </w:r>
          </w:p>
        </w:tc>
        <w:tc>
          <w:tcPr>
            <w:tcW w:w="1803" w:type="dxa"/>
          </w:tcPr>
          <w:p w14:paraId="2648B127"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243.9246</w:t>
            </w:r>
          </w:p>
        </w:tc>
        <w:tc>
          <w:tcPr>
            <w:tcW w:w="1804" w:type="dxa"/>
          </w:tcPr>
          <w:p w14:paraId="4DC0E5C1"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159.0305</w:t>
            </w:r>
          </w:p>
        </w:tc>
        <w:tc>
          <w:tcPr>
            <w:tcW w:w="1804" w:type="dxa"/>
          </w:tcPr>
          <w:p w14:paraId="7C3B0CF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952.7737</w:t>
            </w:r>
          </w:p>
        </w:tc>
      </w:tr>
      <w:tr w:rsidR="000234B6" w:rsidRPr="00CC358D" w14:paraId="393E69F0" w14:textId="77777777" w:rsidTr="00B068A4">
        <w:trPr>
          <w:trHeight w:val="20"/>
          <w:jc w:val="center"/>
        </w:trPr>
        <w:tc>
          <w:tcPr>
            <w:tcW w:w="1802" w:type="dxa"/>
          </w:tcPr>
          <w:p w14:paraId="115C324F"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Sum Sq. Dev.</w:t>
            </w:r>
          </w:p>
        </w:tc>
        <w:tc>
          <w:tcPr>
            <w:tcW w:w="1803" w:type="dxa"/>
          </w:tcPr>
          <w:p w14:paraId="1902C9F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29.51606</w:t>
            </w:r>
          </w:p>
        </w:tc>
        <w:tc>
          <w:tcPr>
            <w:tcW w:w="1803" w:type="dxa"/>
          </w:tcPr>
          <w:p w14:paraId="1B0B79E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2.244428</w:t>
            </w:r>
          </w:p>
        </w:tc>
        <w:tc>
          <w:tcPr>
            <w:tcW w:w="1804" w:type="dxa"/>
          </w:tcPr>
          <w:p w14:paraId="224FD78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13.91414</w:t>
            </w:r>
          </w:p>
        </w:tc>
        <w:tc>
          <w:tcPr>
            <w:tcW w:w="1804" w:type="dxa"/>
          </w:tcPr>
          <w:p w14:paraId="6C0C91B3"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 7.998902</w:t>
            </w:r>
          </w:p>
        </w:tc>
      </w:tr>
    </w:tbl>
    <w:p w14:paraId="2A72FF9E" w14:textId="77777777" w:rsidR="000234B6" w:rsidRPr="00CC358D" w:rsidRDefault="000234B6" w:rsidP="000234B6">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w:t>
      </w:r>
    </w:p>
    <w:p w14:paraId="0B27A2A4"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6B7EA5F1" w14:textId="010701DD"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Fig</w:t>
      </w:r>
      <w:r w:rsidR="000234B6" w:rsidRPr="00CC358D">
        <w:rPr>
          <w:rFonts w:ascii="Times New Roman" w:eastAsia="Calibri" w:hAnsi="Times New Roman" w:cs="Times New Roman"/>
          <w:sz w:val="20"/>
          <w:szCs w:val="20"/>
        </w:rPr>
        <w:t>.</w:t>
      </w:r>
      <w:r w:rsidRPr="00CC358D">
        <w:rPr>
          <w:rFonts w:ascii="Times New Roman" w:eastAsia="Calibri" w:hAnsi="Times New Roman" w:cs="Times New Roman"/>
          <w:sz w:val="20"/>
          <w:szCs w:val="20"/>
        </w:rPr>
        <w:t xml:space="preserve"> 1 illustrates the trends in the study variables over the sample period. Carbon dioxide emissions, urban population, and energy use exhibit a steady upward trend, reflecting India's rapid </w:t>
      </w:r>
      <w:proofErr w:type="spellStart"/>
      <w:r w:rsidRPr="00CC358D">
        <w:rPr>
          <w:rFonts w:ascii="Times New Roman" w:eastAsia="Calibri" w:hAnsi="Times New Roman" w:cs="Times New Roman"/>
          <w:sz w:val="20"/>
          <w:szCs w:val="20"/>
        </w:rPr>
        <w:t>urbanisation</w:t>
      </w:r>
      <w:proofErr w:type="spellEnd"/>
      <w:r w:rsidRPr="00CC358D">
        <w:rPr>
          <w:rFonts w:ascii="Times New Roman" w:eastAsia="Calibri" w:hAnsi="Times New Roman" w:cs="Times New Roman"/>
          <w:sz w:val="20"/>
          <w:szCs w:val="20"/>
        </w:rPr>
        <w:t xml:space="preserve"> and increasing energy demand. Trade openness also displays an overall increasing trend, although with noticeable fluctuations over time.</w:t>
      </w:r>
    </w:p>
    <w:p w14:paraId="6254CDD6" w14:textId="77777777" w:rsidR="001E593B" w:rsidRPr="00CC358D" w:rsidRDefault="001E593B" w:rsidP="00640F84">
      <w:pPr>
        <w:spacing w:after="0" w:line="240" w:lineRule="auto"/>
        <w:jc w:val="both"/>
        <w:rPr>
          <w:rFonts w:ascii="Times New Roman" w:eastAsia="Calibri" w:hAnsi="Times New Roman" w:cs="Times New Roman"/>
        </w:rPr>
      </w:pPr>
    </w:p>
    <w:p w14:paraId="74B10DDA" w14:textId="54493E2B" w:rsidR="00640F84" w:rsidRPr="00CC358D" w:rsidRDefault="001E593B"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 xml:space="preserve">4.2 </w:t>
      </w:r>
      <w:r w:rsidR="00640F84" w:rsidRPr="00CC358D">
        <w:rPr>
          <w:rFonts w:ascii="Times New Roman" w:eastAsia="Calibri" w:hAnsi="Times New Roman" w:cs="Times New Roman"/>
          <w:b/>
          <w:bCs/>
        </w:rPr>
        <w:t>Unit Root Test</w:t>
      </w:r>
    </w:p>
    <w:p w14:paraId="309E9611"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5C0A6E9C"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The Augmented Dickey–Fuller (ADF) unit-root test indicates a mixed order of integration among the variables. LNCO2, LNENUSE, and LNTRADE are non-stationary at level but become stationary after first differencing, indicating that they are integrated of order one [</w:t>
      </w: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1)]. Conversely, LNUPOP is stationary at level, indicating that it is integrated of order zero [</w:t>
      </w: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0)]. As none of the variables is integrated of order two [</w:t>
      </w: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2)], the ARDL bounds-testing methodology is appropriate for examining the long-run relationship among the variables.</w:t>
      </w:r>
    </w:p>
    <w:p w14:paraId="642DBD92"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17423AEE" w14:textId="2E39CAAB" w:rsidR="00640F84" w:rsidRPr="00CC358D" w:rsidRDefault="001E593B"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 xml:space="preserve">4.3 </w:t>
      </w:r>
      <w:r w:rsidR="00640F84" w:rsidRPr="00CC358D">
        <w:rPr>
          <w:rFonts w:ascii="Times New Roman" w:eastAsia="Calibri" w:hAnsi="Times New Roman" w:cs="Times New Roman"/>
          <w:b/>
          <w:bCs/>
        </w:rPr>
        <w:t xml:space="preserve">ARDL Bound Test and Long </w:t>
      </w:r>
      <w:r w:rsidRPr="00CC358D">
        <w:rPr>
          <w:rFonts w:ascii="Times New Roman" w:eastAsia="Calibri" w:hAnsi="Times New Roman" w:cs="Times New Roman"/>
          <w:b/>
          <w:bCs/>
        </w:rPr>
        <w:t>Run Coefficients</w:t>
      </w:r>
    </w:p>
    <w:p w14:paraId="11DF921D" w14:textId="77777777" w:rsidR="001E593B" w:rsidRPr="00CC358D" w:rsidRDefault="001E593B" w:rsidP="00640F84">
      <w:pPr>
        <w:spacing w:after="0" w:line="240" w:lineRule="auto"/>
        <w:jc w:val="both"/>
        <w:rPr>
          <w:rFonts w:ascii="Times New Roman" w:eastAsia="Calibri" w:hAnsi="Times New Roman" w:cs="Times New Roman"/>
          <w:b/>
          <w:bCs/>
          <w:sz w:val="20"/>
          <w:szCs w:val="20"/>
        </w:rPr>
      </w:pPr>
    </w:p>
    <w:p w14:paraId="62DB7149"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Augmented Dickey–Fuller test confirms that the variables have mixed orders of integration and that none is integrated of order two. The stationarity results therefore satisfy the precondition for applying the ARDL model. </w:t>
      </w:r>
      <w:r w:rsidRPr="00CC358D">
        <w:rPr>
          <w:rFonts w:ascii="Times New Roman" w:eastAsia="Calibri" w:hAnsi="Times New Roman" w:cs="Times New Roman"/>
          <w:sz w:val="20"/>
          <w:szCs w:val="20"/>
        </w:rPr>
        <w:lastRenderedPageBreak/>
        <w:t>The ARDL bounds test determines whether a long-run equilibrium relationship exists by comparing the calculated F-statistic with the relevant lower and upper critical bounds. The null hypothesis of no long-run relationship is rejected when the F-statistic exceeds the upper critical bound, indicating cointegration among the variables. When the F-statistic falls below the lower critical bound, the null hypothesis cannot be rejected. If the F-statistic lies between the two bounds, the result is inconclusive and further evidence is required to establish cointegration.</w:t>
      </w:r>
    </w:p>
    <w:p w14:paraId="60ED2172" w14:textId="77777777" w:rsidR="000234B6" w:rsidRPr="00CC358D" w:rsidRDefault="000234B6" w:rsidP="00640F84">
      <w:pPr>
        <w:spacing w:after="0" w:line="240" w:lineRule="auto"/>
        <w:jc w:val="both"/>
        <w:rPr>
          <w:rFonts w:ascii="Times New Roman" w:eastAsia="Calibri" w:hAnsi="Times New Roman" w:cs="Times New Roman"/>
          <w:sz w:val="20"/>
          <w:szCs w:val="20"/>
        </w:rPr>
      </w:pPr>
    </w:p>
    <w:p w14:paraId="563C1EC8" w14:textId="77777777" w:rsidR="000234B6" w:rsidRPr="00CC358D" w:rsidRDefault="000234B6" w:rsidP="000234B6">
      <w:pPr>
        <w:spacing w:after="0" w:line="240" w:lineRule="auto"/>
        <w:jc w:val="center"/>
        <w:rPr>
          <w:rFonts w:ascii="Times New Roman" w:eastAsia="Calibri" w:hAnsi="Times New Roman" w:cs="Times New Roman"/>
          <w:sz w:val="20"/>
          <w:szCs w:val="20"/>
        </w:rPr>
      </w:pPr>
      <w:r w:rsidRPr="00CC358D">
        <w:rPr>
          <w:rFonts w:ascii="Times New Roman" w:eastAsia="Calibri" w:hAnsi="Times New Roman" w:cs="Times New Roman"/>
          <w:noProof/>
          <w:sz w:val="20"/>
          <w:szCs w:val="20"/>
        </w:rPr>
        <w:drawing>
          <wp:inline distT="0" distB="0" distL="0" distR="0" wp14:anchorId="6B18EC42" wp14:editId="65043035">
            <wp:extent cx="5559425" cy="3350361"/>
            <wp:effectExtent l="0" t="0" r="0" b="0"/>
            <wp:docPr id="1502329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9632" cy="3356512"/>
                    </a:xfrm>
                    <a:prstGeom prst="rect">
                      <a:avLst/>
                    </a:prstGeom>
                    <a:noFill/>
                    <a:ln>
                      <a:noFill/>
                    </a:ln>
                  </pic:spPr>
                </pic:pic>
              </a:graphicData>
            </a:graphic>
          </wp:inline>
        </w:drawing>
      </w:r>
    </w:p>
    <w:p w14:paraId="5B75D441" w14:textId="77777777" w:rsidR="000234B6" w:rsidRPr="00CC358D" w:rsidRDefault="000234B6" w:rsidP="000234B6">
      <w:pPr>
        <w:spacing w:after="0" w:line="240" w:lineRule="auto"/>
        <w:jc w:val="center"/>
        <w:rPr>
          <w:rFonts w:ascii="Times New Roman" w:eastAsia="Calibri" w:hAnsi="Times New Roman" w:cs="Times New Roman"/>
          <w:sz w:val="20"/>
          <w:szCs w:val="20"/>
        </w:rPr>
      </w:pPr>
    </w:p>
    <w:p w14:paraId="525CB1DB" w14:textId="77777777" w:rsidR="000234B6" w:rsidRPr="00CC358D" w:rsidRDefault="000234B6" w:rsidP="000234B6">
      <w:pPr>
        <w:spacing w:after="0" w:line="240" w:lineRule="auto"/>
        <w:jc w:val="center"/>
        <w:rPr>
          <w:rFonts w:ascii="Times New Roman" w:eastAsia="Calibri" w:hAnsi="Times New Roman" w:cs="Times New Roman"/>
          <w:b/>
          <w:sz w:val="20"/>
          <w:szCs w:val="20"/>
        </w:rPr>
      </w:pPr>
      <w:r w:rsidRPr="00CC358D">
        <w:rPr>
          <w:rFonts w:ascii="Times New Roman" w:eastAsia="Calibri" w:hAnsi="Times New Roman" w:cs="Times New Roman"/>
          <w:b/>
          <w:sz w:val="20"/>
          <w:szCs w:val="20"/>
        </w:rPr>
        <w:t xml:space="preserve">Fig. 1.  Line Graph of the Variables </w:t>
      </w:r>
    </w:p>
    <w:p w14:paraId="491FFC25" w14:textId="77777777" w:rsidR="000234B6" w:rsidRPr="00CC358D" w:rsidRDefault="000234B6" w:rsidP="000234B6">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w:t>
      </w:r>
    </w:p>
    <w:p w14:paraId="28378544" w14:textId="77777777" w:rsidR="000234B6" w:rsidRPr="00CC358D" w:rsidRDefault="000234B6" w:rsidP="00640F84">
      <w:pPr>
        <w:spacing w:after="0" w:line="240" w:lineRule="auto"/>
        <w:jc w:val="both"/>
        <w:rPr>
          <w:rFonts w:ascii="Times New Roman" w:eastAsia="Calibri" w:hAnsi="Times New Roman" w:cs="Times New Roman"/>
          <w:sz w:val="16"/>
          <w:szCs w:val="16"/>
        </w:rPr>
      </w:pPr>
    </w:p>
    <w:p w14:paraId="3DA6D5AE" w14:textId="77777777" w:rsidR="000234B6" w:rsidRPr="00CC358D" w:rsidRDefault="000234B6" w:rsidP="000234B6">
      <w:pPr>
        <w:spacing w:after="0" w:line="240" w:lineRule="auto"/>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Table 2. Augmented Dickey Fuller Test</w:t>
      </w:r>
    </w:p>
    <w:p w14:paraId="44603746" w14:textId="77777777" w:rsidR="000234B6" w:rsidRPr="00CC358D" w:rsidRDefault="000234B6" w:rsidP="000234B6">
      <w:pPr>
        <w:spacing w:after="0" w:line="240" w:lineRule="auto"/>
        <w:jc w:val="center"/>
        <w:rPr>
          <w:rFonts w:ascii="Times New Roman" w:eastAsia="Calibri" w:hAnsi="Times New Roman" w:cs="Times New Roman"/>
          <w:sz w:val="20"/>
          <w:szCs w:val="20"/>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2078"/>
        <w:gridCol w:w="1265"/>
        <w:gridCol w:w="90"/>
        <w:gridCol w:w="2078"/>
        <w:gridCol w:w="996"/>
        <w:gridCol w:w="1290"/>
      </w:tblGrid>
      <w:tr w:rsidR="000234B6" w:rsidRPr="00CC358D" w14:paraId="1515A8BE" w14:textId="77777777" w:rsidTr="000234B6">
        <w:trPr>
          <w:trHeight w:val="20"/>
          <w:jc w:val="center"/>
        </w:trPr>
        <w:tc>
          <w:tcPr>
            <w:tcW w:w="1265" w:type="dxa"/>
            <w:tcBorders>
              <w:bottom w:val="single" w:sz="4" w:space="0" w:color="auto"/>
            </w:tcBorders>
          </w:tcPr>
          <w:p w14:paraId="3A3541B6" w14:textId="77777777" w:rsidR="000234B6" w:rsidRPr="00CC358D" w:rsidRDefault="000234B6" w:rsidP="00B068A4">
            <w:pPr>
              <w:rPr>
                <w:rFonts w:ascii="Times New Roman" w:eastAsia="Calibri" w:hAnsi="Times New Roman" w:cs="Times New Roman"/>
                <w:b/>
                <w:sz w:val="20"/>
                <w:szCs w:val="20"/>
              </w:rPr>
            </w:pPr>
            <w:r w:rsidRPr="00CC358D">
              <w:rPr>
                <w:rFonts w:ascii="Times New Roman" w:eastAsia="Calibri" w:hAnsi="Times New Roman" w:cs="Times New Roman"/>
                <w:b/>
                <w:sz w:val="20"/>
                <w:szCs w:val="20"/>
              </w:rPr>
              <w:t>Variable</w:t>
            </w:r>
          </w:p>
        </w:tc>
        <w:tc>
          <w:tcPr>
            <w:tcW w:w="2087" w:type="dxa"/>
            <w:tcBorders>
              <w:bottom w:val="single" w:sz="4" w:space="0" w:color="auto"/>
            </w:tcBorders>
          </w:tcPr>
          <w:p w14:paraId="2826AF52" w14:textId="77777777" w:rsidR="000234B6" w:rsidRPr="00CC358D" w:rsidRDefault="000234B6" w:rsidP="00B068A4">
            <w:pPr>
              <w:rPr>
                <w:rFonts w:ascii="Times New Roman" w:eastAsia="Calibri" w:hAnsi="Times New Roman" w:cs="Times New Roman"/>
                <w:b/>
                <w:sz w:val="20"/>
                <w:szCs w:val="20"/>
              </w:rPr>
            </w:pPr>
            <w:r w:rsidRPr="00CC358D">
              <w:rPr>
                <w:rFonts w:ascii="Times New Roman" w:eastAsia="Calibri" w:hAnsi="Times New Roman" w:cs="Times New Roman"/>
                <w:b/>
                <w:sz w:val="20"/>
                <w:szCs w:val="20"/>
              </w:rPr>
              <w:t>At Level (Intercept) t-statistic</w:t>
            </w:r>
          </w:p>
        </w:tc>
        <w:tc>
          <w:tcPr>
            <w:tcW w:w="1270" w:type="dxa"/>
            <w:tcBorders>
              <w:bottom w:val="single" w:sz="4" w:space="0" w:color="auto"/>
            </w:tcBorders>
          </w:tcPr>
          <w:p w14:paraId="6F20AC36" w14:textId="77777777" w:rsidR="000234B6" w:rsidRPr="00CC358D" w:rsidRDefault="000234B6" w:rsidP="00B068A4">
            <w:pPr>
              <w:rPr>
                <w:rFonts w:ascii="Times New Roman" w:eastAsia="Calibri" w:hAnsi="Times New Roman" w:cs="Times New Roman"/>
                <w:b/>
                <w:sz w:val="20"/>
                <w:szCs w:val="20"/>
              </w:rPr>
            </w:pPr>
            <w:r w:rsidRPr="00CC358D">
              <w:rPr>
                <w:rFonts w:ascii="Times New Roman" w:eastAsia="Calibri" w:hAnsi="Times New Roman" w:cs="Times New Roman"/>
                <w:b/>
                <w:sz w:val="20"/>
                <w:szCs w:val="20"/>
              </w:rPr>
              <w:t>p-value</w:t>
            </w:r>
          </w:p>
        </w:tc>
        <w:tc>
          <w:tcPr>
            <w:tcW w:w="2178" w:type="dxa"/>
            <w:gridSpan w:val="2"/>
            <w:tcBorders>
              <w:bottom w:val="single" w:sz="4" w:space="0" w:color="auto"/>
            </w:tcBorders>
          </w:tcPr>
          <w:p w14:paraId="537B8223" w14:textId="77777777" w:rsidR="000234B6" w:rsidRPr="00CC358D" w:rsidRDefault="000234B6" w:rsidP="00B068A4">
            <w:pPr>
              <w:rPr>
                <w:rFonts w:ascii="Times New Roman" w:eastAsia="Calibri" w:hAnsi="Times New Roman" w:cs="Times New Roman"/>
                <w:b/>
                <w:sz w:val="20"/>
                <w:szCs w:val="20"/>
              </w:rPr>
            </w:pPr>
            <w:r w:rsidRPr="00CC358D">
              <w:rPr>
                <w:rFonts w:ascii="Times New Roman" w:eastAsia="Calibri" w:hAnsi="Times New Roman" w:cs="Times New Roman"/>
                <w:b/>
                <w:sz w:val="20"/>
                <w:szCs w:val="20"/>
              </w:rPr>
              <w:t>At First Difference (Intercept) t-statistic</w:t>
            </w:r>
          </w:p>
        </w:tc>
        <w:tc>
          <w:tcPr>
            <w:tcW w:w="998" w:type="dxa"/>
            <w:tcBorders>
              <w:bottom w:val="single" w:sz="4" w:space="0" w:color="auto"/>
            </w:tcBorders>
          </w:tcPr>
          <w:p w14:paraId="443C4F8F" w14:textId="77777777" w:rsidR="000234B6" w:rsidRPr="00CC358D" w:rsidRDefault="000234B6" w:rsidP="00B068A4">
            <w:pPr>
              <w:rPr>
                <w:rFonts w:ascii="Times New Roman" w:eastAsia="Calibri" w:hAnsi="Times New Roman" w:cs="Times New Roman"/>
                <w:b/>
                <w:sz w:val="20"/>
                <w:szCs w:val="20"/>
              </w:rPr>
            </w:pPr>
            <w:r w:rsidRPr="00CC358D">
              <w:rPr>
                <w:rFonts w:ascii="Times New Roman" w:eastAsia="Calibri" w:hAnsi="Times New Roman" w:cs="Times New Roman"/>
                <w:b/>
                <w:sz w:val="20"/>
                <w:szCs w:val="20"/>
              </w:rPr>
              <w:t>p-value</w:t>
            </w:r>
          </w:p>
        </w:tc>
        <w:tc>
          <w:tcPr>
            <w:tcW w:w="1291" w:type="dxa"/>
            <w:tcBorders>
              <w:bottom w:val="single" w:sz="4" w:space="0" w:color="auto"/>
            </w:tcBorders>
          </w:tcPr>
          <w:p w14:paraId="58C4E86E" w14:textId="77777777" w:rsidR="000234B6" w:rsidRPr="00CC358D" w:rsidRDefault="000234B6" w:rsidP="00B068A4">
            <w:pPr>
              <w:rPr>
                <w:rFonts w:ascii="Times New Roman" w:eastAsia="Calibri" w:hAnsi="Times New Roman" w:cs="Times New Roman"/>
                <w:b/>
                <w:sz w:val="20"/>
                <w:szCs w:val="20"/>
              </w:rPr>
            </w:pPr>
            <w:r w:rsidRPr="00CC358D">
              <w:rPr>
                <w:rFonts w:ascii="Times New Roman" w:eastAsia="Calibri" w:hAnsi="Times New Roman" w:cs="Times New Roman"/>
                <w:b/>
                <w:sz w:val="20"/>
                <w:szCs w:val="20"/>
              </w:rPr>
              <w:t>Order of Integration</w:t>
            </w:r>
          </w:p>
        </w:tc>
      </w:tr>
      <w:tr w:rsidR="000234B6" w:rsidRPr="00CC358D" w14:paraId="54C62891" w14:textId="77777777" w:rsidTr="000234B6">
        <w:trPr>
          <w:trHeight w:val="20"/>
          <w:jc w:val="center"/>
        </w:trPr>
        <w:tc>
          <w:tcPr>
            <w:tcW w:w="1265" w:type="dxa"/>
            <w:tcBorders>
              <w:top w:val="single" w:sz="4" w:space="0" w:color="auto"/>
              <w:bottom w:val="nil"/>
            </w:tcBorders>
          </w:tcPr>
          <w:p w14:paraId="7AF74042"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LNCO₂</w:t>
            </w:r>
          </w:p>
        </w:tc>
        <w:tc>
          <w:tcPr>
            <w:tcW w:w="2087" w:type="dxa"/>
            <w:tcBorders>
              <w:top w:val="single" w:sz="4" w:space="0" w:color="auto"/>
              <w:bottom w:val="nil"/>
            </w:tcBorders>
          </w:tcPr>
          <w:p w14:paraId="7A692FD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-1.0951</w:t>
            </w:r>
          </w:p>
        </w:tc>
        <w:tc>
          <w:tcPr>
            <w:tcW w:w="1361" w:type="dxa"/>
            <w:gridSpan w:val="2"/>
            <w:tcBorders>
              <w:top w:val="single" w:sz="4" w:space="0" w:color="auto"/>
              <w:bottom w:val="nil"/>
            </w:tcBorders>
          </w:tcPr>
          <w:p w14:paraId="305E364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0.7106</w:t>
            </w:r>
          </w:p>
        </w:tc>
        <w:tc>
          <w:tcPr>
            <w:tcW w:w="2087" w:type="dxa"/>
            <w:tcBorders>
              <w:top w:val="single" w:sz="4" w:space="0" w:color="auto"/>
              <w:bottom w:val="nil"/>
            </w:tcBorders>
          </w:tcPr>
          <w:p w14:paraId="295551E2"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-6.1263***</w:t>
            </w:r>
          </w:p>
        </w:tc>
        <w:tc>
          <w:tcPr>
            <w:tcW w:w="998" w:type="dxa"/>
            <w:tcBorders>
              <w:top w:val="single" w:sz="4" w:space="0" w:color="auto"/>
              <w:bottom w:val="nil"/>
            </w:tcBorders>
          </w:tcPr>
          <w:p w14:paraId="493309E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c>
          <w:tcPr>
            <w:tcW w:w="1291" w:type="dxa"/>
            <w:tcBorders>
              <w:top w:val="single" w:sz="4" w:space="0" w:color="auto"/>
              <w:bottom w:val="nil"/>
            </w:tcBorders>
          </w:tcPr>
          <w:p w14:paraId="460F51E9" w14:textId="77777777" w:rsidR="000234B6" w:rsidRPr="00CC358D" w:rsidRDefault="000234B6" w:rsidP="00B068A4">
            <w:pPr>
              <w:rPr>
                <w:rFonts w:ascii="Times New Roman" w:eastAsia="Calibri" w:hAnsi="Times New Roman" w:cs="Times New Roman"/>
                <w:sz w:val="20"/>
                <w:szCs w:val="20"/>
              </w:rPr>
            </w:pP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1)</w:t>
            </w:r>
          </w:p>
        </w:tc>
      </w:tr>
      <w:tr w:rsidR="000234B6" w:rsidRPr="00CC358D" w14:paraId="2D2E1EBB" w14:textId="77777777" w:rsidTr="000234B6">
        <w:trPr>
          <w:trHeight w:val="20"/>
          <w:jc w:val="center"/>
        </w:trPr>
        <w:tc>
          <w:tcPr>
            <w:tcW w:w="1265" w:type="dxa"/>
            <w:tcBorders>
              <w:top w:val="nil"/>
            </w:tcBorders>
          </w:tcPr>
          <w:p w14:paraId="510F231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LNENUSE</w:t>
            </w:r>
          </w:p>
        </w:tc>
        <w:tc>
          <w:tcPr>
            <w:tcW w:w="2087" w:type="dxa"/>
            <w:tcBorders>
              <w:top w:val="nil"/>
            </w:tcBorders>
          </w:tcPr>
          <w:p w14:paraId="4CC2BA3E"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3.2082</w:t>
            </w:r>
          </w:p>
        </w:tc>
        <w:tc>
          <w:tcPr>
            <w:tcW w:w="1361" w:type="dxa"/>
            <w:gridSpan w:val="2"/>
            <w:tcBorders>
              <w:top w:val="nil"/>
            </w:tcBorders>
          </w:tcPr>
          <w:p w14:paraId="656FCAE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1.0000</w:t>
            </w:r>
          </w:p>
        </w:tc>
        <w:tc>
          <w:tcPr>
            <w:tcW w:w="2087" w:type="dxa"/>
            <w:tcBorders>
              <w:top w:val="nil"/>
            </w:tcBorders>
          </w:tcPr>
          <w:p w14:paraId="0CC77C06"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-4.6768***</w:t>
            </w:r>
          </w:p>
        </w:tc>
        <w:tc>
          <w:tcPr>
            <w:tcW w:w="998" w:type="dxa"/>
            <w:tcBorders>
              <w:top w:val="nil"/>
            </w:tcBorders>
          </w:tcPr>
          <w:p w14:paraId="5BEDBAEF"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0.0005</w:t>
            </w:r>
          </w:p>
        </w:tc>
        <w:tc>
          <w:tcPr>
            <w:tcW w:w="1291" w:type="dxa"/>
            <w:tcBorders>
              <w:top w:val="nil"/>
            </w:tcBorders>
          </w:tcPr>
          <w:p w14:paraId="4A294AF9" w14:textId="77777777" w:rsidR="000234B6" w:rsidRPr="00CC358D" w:rsidRDefault="000234B6" w:rsidP="00B068A4">
            <w:pPr>
              <w:rPr>
                <w:rFonts w:ascii="Times New Roman" w:eastAsia="Calibri" w:hAnsi="Times New Roman" w:cs="Times New Roman"/>
                <w:sz w:val="20"/>
                <w:szCs w:val="20"/>
              </w:rPr>
            </w:pP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1)</w:t>
            </w:r>
          </w:p>
        </w:tc>
      </w:tr>
      <w:tr w:rsidR="000234B6" w:rsidRPr="00CC358D" w14:paraId="3E2B6F21" w14:textId="77777777" w:rsidTr="000234B6">
        <w:trPr>
          <w:trHeight w:val="20"/>
          <w:jc w:val="center"/>
        </w:trPr>
        <w:tc>
          <w:tcPr>
            <w:tcW w:w="1265" w:type="dxa"/>
          </w:tcPr>
          <w:p w14:paraId="5D5DB177"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LNTRADE</w:t>
            </w:r>
          </w:p>
        </w:tc>
        <w:tc>
          <w:tcPr>
            <w:tcW w:w="2087" w:type="dxa"/>
          </w:tcPr>
          <w:p w14:paraId="6E6E11A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-0.8669</w:t>
            </w:r>
          </w:p>
        </w:tc>
        <w:tc>
          <w:tcPr>
            <w:tcW w:w="1361" w:type="dxa"/>
            <w:gridSpan w:val="2"/>
          </w:tcPr>
          <w:p w14:paraId="0FA7EAF8"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0.7902</w:t>
            </w:r>
          </w:p>
        </w:tc>
        <w:tc>
          <w:tcPr>
            <w:tcW w:w="2087" w:type="dxa"/>
          </w:tcPr>
          <w:p w14:paraId="37EDE1AB"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-5.7759***</w:t>
            </w:r>
          </w:p>
        </w:tc>
        <w:tc>
          <w:tcPr>
            <w:tcW w:w="998" w:type="dxa"/>
          </w:tcPr>
          <w:p w14:paraId="3BF73217"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c>
          <w:tcPr>
            <w:tcW w:w="1291" w:type="dxa"/>
          </w:tcPr>
          <w:p w14:paraId="15497573" w14:textId="77777777" w:rsidR="000234B6" w:rsidRPr="00CC358D" w:rsidRDefault="000234B6" w:rsidP="00B068A4">
            <w:pPr>
              <w:rPr>
                <w:rFonts w:ascii="Times New Roman" w:eastAsia="Calibri" w:hAnsi="Times New Roman" w:cs="Times New Roman"/>
                <w:sz w:val="20"/>
                <w:szCs w:val="20"/>
              </w:rPr>
            </w:pP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1)</w:t>
            </w:r>
          </w:p>
        </w:tc>
      </w:tr>
      <w:tr w:rsidR="000234B6" w:rsidRPr="00CC358D" w14:paraId="7EB94FE3" w14:textId="77777777" w:rsidTr="000234B6">
        <w:trPr>
          <w:trHeight w:val="20"/>
          <w:jc w:val="center"/>
        </w:trPr>
        <w:tc>
          <w:tcPr>
            <w:tcW w:w="1265" w:type="dxa"/>
          </w:tcPr>
          <w:p w14:paraId="2353213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LNUPOP</w:t>
            </w:r>
          </w:p>
        </w:tc>
        <w:tc>
          <w:tcPr>
            <w:tcW w:w="2087" w:type="dxa"/>
          </w:tcPr>
          <w:p w14:paraId="472E788D"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-2.6995**</w:t>
            </w:r>
          </w:p>
        </w:tc>
        <w:tc>
          <w:tcPr>
            <w:tcW w:w="1361" w:type="dxa"/>
            <w:gridSpan w:val="2"/>
          </w:tcPr>
          <w:p w14:paraId="5CD381D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0.0292</w:t>
            </w:r>
          </w:p>
        </w:tc>
        <w:tc>
          <w:tcPr>
            <w:tcW w:w="2087" w:type="dxa"/>
          </w:tcPr>
          <w:p w14:paraId="39287C3B"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w:t>
            </w:r>
          </w:p>
        </w:tc>
        <w:tc>
          <w:tcPr>
            <w:tcW w:w="998" w:type="dxa"/>
          </w:tcPr>
          <w:p w14:paraId="6132B19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w:t>
            </w:r>
          </w:p>
        </w:tc>
        <w:tc>
          <w:tcPr>
            <w:tcW w:w="1291" w:type="dxa"/>
          </w:tcPr>
          <w:p w14:paraId="70D38C46" w14:textId="77777777" w:rsidR="000234B6" w:rsidRPr="00CC358D" w:rsidRDefault="000234B6" w:rsidP="00B068A4">
            <w:pPr>
              <w:rPr>
                <w:rFonts w:ascii="Times New Roman" w:eastAsia="Calibri" w:hAnsi="Times New Roman" w:cs="Times New Roman"/>
                <w:sz w:val="20"/>
                <w:szCs w:val="20"/>
              </w:rPr>
            </w:pPr>
            <w:proofErr w:type="gramStart"/>
            <w:r w:rsidRPr="00CC358D">
              <w:rPr>
                <w:rFonts w:ascii="Times New Roman" w:eastAsia="Calibri" w:hAnsi="Times New Roman" w:cs="Times New Roman"/>
                <w:sz w:val="20"/>
                <w:szCs w:val="20"/>
              </w:rPr>
              <w:t>I(</w:t>
            </w:r>
            <w:proofErr w:type="gramEnd"/>
            <w:r w:rsidRPr="00CC358D">
              <w:rPr>
                <w:rFonts w:ascii="Times New Roman" w:eastAsia="Calibri" w:hAnsi="Times New Roman" w:cs="Times New Roman"/>
                <w:sz w:val="20"/>
                <w:szCs w:val="20"/>
              </w:rPr>
              <w:t>0)</w:t>
            </w:r>
          </w:p>
        </w:tc>
      </w:tr>
    </w:tbl>
    <w:p w14:paraId="263ABE6A" w14:textId="77777777" w:rsidR="000234B6" w:rsidRPr="00CC358D" w:rsidRDefault="000234B6" w:rsidP="000234B6">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Author’s Calculations (Note: *** corresponds 1% and ** of 5% level of significance)</w:t>
      </w:r>
    </w:p>
    <w:p w14:paraId="36A7A13B" w14:textId="77777777" w:rsidR="000234B6" w:rsidRPr="00CC358D" w:rsidRDefault="000234B6" w:rsidP="000234B6">
      <w:pPr>
        <w:spacing w:after="0" w:line="240" w:lineRule="auto"/>
        <w:jc w:val="both"/>
        <w:rPr>
          <w:rFonts w:ascii="Times New Roman" w:eastAsia="Calibri" w:hAnsi="Times New Roman" w:cs="Times New Roman"/>
          <w:sz w:val="16"/>
          <w:szCs w:val="16"/>
        </w:rPr>
      </w:pPr>
    </w:p>
    <w:p w14:paraId="1795D989"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The requirement for using the ARDL bounds testing method is satisfied by the mixed order of integration verified by the ADF test.</w:t>
      </w:r>
    </w:p>
    <w:p w14:paraId="6170E20F" w14:textId="77777777" w:rsidR="001E593B" w:rsidRPr="00CC358D" w:rsidRDefault="001E593B" w:rsidP="00640F84">
      <w:pPr>
        <w:spacing w:after="0" w:line="240" w:lineRule="auto"/>
        <w:jc w:val="both"/>
        <w:rPr>
          <w:rFonts w:ascii="Times New Roman" w:eastAsia="Calibri" w:hAnsi="Times New Roman" w:cs="Times New Roman"/>
          <w:sz w:val="16"/>
          <w:szCs w:val="16"/>
        </w:rPr>
      </w:pPr>
    </w:p>
    <w:p w14:paraId="6AC71257" w14:textId="77777777" w:rsidR="00640F84" w:rsidRPr="00CC358D" w:rsidRDefault="00640F84" w:rsidP="001E593B">
      <w:pPr>
        <w:spacing w:after="0" w:line="240" w:lineRule="auto"/>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Table 3. ARDL Bound Test</w:t>
      </w:r>
    </w:p>
    <w:p w14:paraId="2391B1E2" w14:textId="77777777" w:rsidR="001E593B" w:rsidRPr="00CC358D" w:rsidRDefault="001E593B" w:rsidP="001E593B">
      <w:pPr>
        <w:spacing w:after="0" w:line="240" w:lineRule="auto"/>
        <w:jc w:val="center"/>
        <w:rPr>
          <w:rFonts w:ascii="Times New Roman" w:eastAsia="Calibri" w:hAnsi="Times New Roman" w:cs="Times New Roman"/>
          <w:b/>
          <w:bCs/>
          <w:sz w:val="16"/>
          <w:szCs w:val="16"/>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812"/>
        <w:gridCol w:w="1812"/>
        <w:gridCol w:w="1812"/>
        <w:gridCol w:w="1813"/>
      </w:tblGrid>
      <w:tr w:rsidR="00640F84" w:rsidRPr="00CC358D" w14:paraId="0CD3666E" w14:textId="77777777" w:rsidTr="000234B6">
        <w:trPr>
          <w:trHeight w:val="20"/>
          <w:jc w:val="center"/>
        </w:trPr>
        <w:tc>
          <w:tcPr>
            <w:tcW w:w="9016" w:type="dxa"/>
            <w:gridSpan w:val="5"/>
            <w:tcBorders>
              <w:top w:val="single" w:sz="4" w:space="0" w:color="auto"/>
              <w:bottom w:val="single" w:sz="4" w:space="0" w:color="auto"/>
            </w:tcBorders>
          </w:tcPr>
          <w:p w14:paraId="72178EEF" w14:textId="77777777" w:rsidR="00640F84" w:rsidRPr="00CC358D" w:rsidRDefault="00640F84" w:rsidP="000234B6">
            <w:pPr>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ARDL Bound Test</w:t>
            </w:r>
          </w:p>
        </w:tc>
      </w:tr>
      <w:tr w:rsidR="00640F84" w:rsidRPr="00CC358D" w14:paraId="3A91099A" w14:textId="77777777" w:rsidTr="000234B6">
        <w:trPr>
          <w:trHeight w:val="20"/>
          <w:jc w:val="center"/>
        </w:trPr>
        <w:tc>
          <w:tcPr>
            <w:tcW w:w="1803" w:type="dxa"/>
            <w:tcBorders>
              <w:top w:val="single" w:sz="4" w:space="0" w:color="auto"/>
              <w:bottom w:val="single" w:sz="4" w:space="0" w:color="auto"/>
            </w:tcBorders>
          </w:tcPr>
          <w:p w14:paraId="250D4A54"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F-statistics</w:t>
            </w:r>
          </w:p>
        </w:tc>
        <w:tc>
          <w:tcPr>
            <w:tcW w:w="1803" w:type="dxa"/>
            <w:tcBorders>
              <w:top w:val="single" w:sz="4" w:space="0" w:color="auto"/>
              <w:bottom w:val="single" w:sz="4" w:space="0" w:color="auto"/>
            </w:tcBorders>
          </w:tcPr>
          <w:p w14:paraId="09E92D1E"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39.521034</w:t>
            </w:r>
          </w:p>
        </w:tc>
        <w:tc>
          <w:tcPr>
            <w:tcW w:w="1803" w:type="dxa"/>
            <w:tcBorders>
              <w:top w:val="single" w:sz="4" w:space="0" w:color="auto"/>
              <w:bottom w:val="single" w:sz="4" w:space="0" w:color="auto"/>
            </w:tcBorders>
          </w:tcPr>
          <w:p w14:paraId="51749F01"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10%</w:t>
            </w:r>
          </w:p>
        </w:tc>
        <w:tc>
          <w:tcPr>
            <w:tcW w:w="1803" w:type="dxa"/>
            <w:tcBorders>
              <w:top w:val="single" w:sz="4" w:space="0" w:color="auto"/>
              <w:bottom w:val="single" w:sz="4" w:space="0" w:color="auto"/>
            </w:tcBorders>
          </w:tcPr>
          <w:p w14:paraId="0204D1AB"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5%</w:t>
            </w:r>
          </w:p>
        </w:tc>
        <w:tc>
          <w:tcPr>
            <w:tcW w:w="1804" w:type="dxa"/>
            <w:tcBorders>
              <w:top w:val="single" w:sz="4" w:space="0" w:color="auto"/>
              <w:bottom w:val="single" w:sz="4" w:space="0" w:color="auto"/>
            </w:tcBorders>
          </w:tcPr>
          <w:p w14:paraId="0DEC3A9B"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1%</w:t>
            </w:r>
          </w:p>
        </w:tc>
      </w:tr>
      <w:tr w:rsidR="00640F84" w:rsidRPr="00CC358D" w14:paraId="117FC342" w14:textId="77777777" w:rsidTr="000234B6">
        <w:trPr>
          <w:trHeight w:val="20"/>
          <w:jc w:val="center"/>
        </w:trPr>
        <w:tc>
          <w:tcPr>
            <w:tcW w:w="1803" w:type="dxa"/>
            <w:tcBorders>
              <w:top w:val="single" w:sz="4" w:space="0" w:color="auto"/>
              <w:bottom w:val="nil"/>
            </w:tcBorders>
          </w:tcPr>
          <w:p w14:paraId="692A39C0"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Critical Values</w:t>
            </w:r>
          </w:p>
        </w:tc>
        <w:tc>
          <w:tcPr>
            <w:tcW w:w="1803" w:type="dxa"/>
            <w:tcBorders>
              <w:top w:val="single" w:sz="4" w:space="0" w:color="auto"/>
              <w:bottom w:val="nil"/>
            </w:tcBorders>
          </w:tcPr>
          <w:p w14:paraId="13F66EAB"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Lower Bound</w:t>
            </w:r>
          </w:p>
        </w:tc>
        <w:tc>
          <w:tcPr>
            <w:tcW w:w="1803" w:type="dxa"/>
            <w:tcBorders>
              <w:top w:val="single" w:sz="4" w:space="0" w:color="auto"/>
              <w:bottom w:val="nil"/>
            </w:tcBorders>
          </w:tcPr>
          <w:p w14:paraId="70004985"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2.37</w:t>
            </w:r>
          </w:p>
        </w:tc>
        <w:tc>
          <w:tcPr>
            <w:tcW w:w="1803" w:type="dxa"/>
            <w:tcBorders>
              <w:top w:val="single" w:sz="4" w:space="0" w:color="auto"/>
              <w:bottom w:val="nil"/>
            </w:tcBorders>
          </w:tcPr>
          <w:p w14:paraId="56116462"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2.79</w:t>
            </w:r>
          </w:p>
        </w:tc>
        <w:tc>
          <w:tcPr>
            <w:tcW w:w="1804" w:type="dxa"/>
            <w:tcBorders>
              <w:top w:val="single" w:sz="4" w:space="0" w:color="auto"/>
              <w:bottom w:val="nil"/>
            </w:tcBorders>
          </w:tcPr>
          <w:p w14:paraId="7444E12F"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3.65</w:t>
            </w:r>
          </w:p>
        </w:tc>
      </w:tr>
      <w:tr w:rsidR="00640F84" w:rsidRPr="00CC358D" w14:paraId="25149D50" w14:textId="77777777" w:rsidTr="000234B6">
        <w:trPr>
          <w:trHeight w:val="20"/>
          <w:jc w:val="center"/>
        </w:trPr>
        <w:tc>
          <w:tcPr>
            <w:tcW w:w="1803" w:type="dxa"/>
            <w:tcBorders>
              <w:top w:val="nil"/>
            </w:tcBorders>
          </w:tcPr>
          <w:p w14:paraId="6D728621" w14:textId="77777777" w:rsidR="00640F84" w:rsidRPr="00CC358D" w:rsidRDefault="00640F84" w:rsidP="00640F84">
            <w:pPr>
              <w:rPr>
                <w:rFonts w:ascii="Times New Roman" w:eastAsia="Calibri" w:hAnsi="Times New Roman" w:cs="Times New Roman"/>
                <w:sz w:val="20"/>
                <w:szCs w:val="20"/>
              </w:rPr>
            </w:pPr>
          </w:p>
        </w:tc>
        <w:tc>
          <w:tcPr>
            <w:tcW w:w="1803" w:type="dxa"/>
            <w:tcBorders>
              <w:top w:val="nil"/>
            </w:tcBorders>
          </w:tcPr>
          <w:p w14:paraId="5D9080F2"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Upper Bound</w:t>
            </w:r>
          </w:p>
        </w:tc>
        <w:tc>
          <w:tcPr>
            <w:tcW w:w="1803" w:type="dxa"/>
            <w:tcBorders>
              <w:top w:val="nil"/>
            </w:tcBorders>
          </w:tcPr>
          <w:p w14:paraId="0BAF9F8E"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3.02</w:t>
            </w:r>
          </w:p>
        </w:tc>
        <w:tc>
          <w:tcPr>
            <w:tcW w:w="1803" w:type="dxa"/>
            <w:tcBorders>
              <w:top w:val="nil"/>
            </w:tcBorders>
          </w:tcPr>
          <w:p w14:paraId="6B88C3AE"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3.67</w:t>
            </w:r>
          </w:p>
        </w:tc>
        <w:tc>
          <w:tcPr>
            <w:tcW w:w="1804" w:type="dxa"/>
            <w:tcBorders>
              <w:top w:val="nil"/>
            </w:tcBorders>
          </w:tcPr>
          <w:p w14:paraId="78C7D3C8"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4.66</w:t>
            </w:r>
          </w:p>
        </w:tc>
      </w:tr>
    </w:tbl>
    <w:p w14:paraId="22E3D111" w14:textId="77777777" w:rsidR="00640F84" w:rsidRPr="00CC358D" w:rsidRDefault="00640F84" w:rsidP="001E593B">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w:t>
      </w:r>
    </w:p>
    <w:p w14:paraId="1D566473" w14:textId="77777777" w:rsidR="000234B6" w:rsidRPr="00CC358D" w:rsidRDefault="000234B6" w:rsidP="00640F84">
      <w:pPr>
        <w:spacing w:after="0" w:line="240" w:lineRule="auto"/>
        <w:jc w:val="both"/>
        <w:rPr>
          <w:rFonts w:ascii="Times New Roman" w:eastAsia="Calibri" w:hAnsi="Times New Roman" w:cs="Times New Roman"/>
          <w:sz w:val="20"/>
          <w:szCs w:val="20"/>
        </w:rPr>
      </w:pPr>
    </w:p>
    <w:p w14:paraId="18D84C33" w14:textId="1D03295C"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The computed F-statistic (39.521034) substantially exceeds the upper critical bounds at the 10%, 5%, and 1% significance levels. The findings therefore indicate that the null hypothesis of no long-run relationship is unequivocally rejected, supporting cointegration among the variables within the bounds-testing framework.</w:t>
      </w:r>
    </w:p>
    <w:p w14:paraId="6CD8CE48" w14:textId="61F8AC3C" w:rsidR="00640F84" w:rsidRPr="00CC358D" w:rsidRDefault="00640F84" w:rsidP="00640F84">
      <w:pPr>
        <w:spacing w:after="0" w:line="240" w:lineRule="auto"/>
        <w:jc w:val="both"/>
        <w:rPr>
          <w:rFonts w:ascii="Times New Roman" w:eastAsia="Calibri" w:hAnsi="Times New Roman" w:cs="Times New Roman"/>
          <w:sz w:val="20"/>
          <w:szCs w:val="20"/>
          <w:lang w:val="en-IN"/>
        </w:rPr>
      </w:pPr>
      <w:bookmarkStart w:id="4" w:name="_Toc183050132"/>
      <w:r w:rsidRPr="00CC358D">
        <w:rPr>
          <w:rFonts w:ascii="Times New Roman" w:eastAsia="Calibri" w:hAnsi="Times New Roman" w:cs="Times New Roman"/>
          <w:sz w:val="20"/>
          <w:szCs w:val="20"/>
          <w:lang w:val="en-IN"/>
        </w:rPr>
        <w:lastRenderedPageBreak/>
        <w:t xml:space="preserve">Table 4 presents the estimated long-run coefficients from the ARDL model. The findings indicate that urban population growth is the principal factor associated with environmental degradation in India. The coefficient of urban population (LNUPOP) is positive and statistically significant (1.175019), indicating that a 1% increase in the urban population is associated with an approximately 1.17% increase in CO₂ emissions in the long run. This result is consistent with previous research reporting a strong positive relationship between urbanisation and carbon emissions (Abbasi et al., 2020; Franco et al., 2017; </w:t>
      </w:r>
      <w:proofErr w:type="spellStart"/>
      <w:r w:rsidRPr="00CC358D">
        <w:rPr>
          <w:rFonts w:ascii="Times New Roman" w:eastAsia="Calibri" w:hAnsi="Times New Roman" w:cs="Times New Roman"/>
          <w:sz w:val="20"/>
          <w:szCs w:val="20"/>
          <w:lang w:val="en-IN"/>
        </w:rPr>
        <w:t>Itoo</w:t>
      </w:r>
      <w:proofErr w:type="spellEnd"/>
      <w:r w:rsidRPr="00CC358D">
        <w:rPr>
          <w:rFonts w:ascii="Times New Roman" w:eastAsia="Calibri" w:hAnsi="Times New Roman" w:cs="Times New Roman"/>
          <w:sz w:val="20"/>
          <w:szCs w:val="20"/>
          <w:lang w:val="en-IN"/>
        </w:rPr>
        <w:t xml:space="preserve"> &amp; Ali, 202</w:t>
      </w:r>
      <w:r w:rsidR="00BE1859">
        <w:rPr>
          <w:rFonts w:ascii="Times New Roman" w:eastAsia="Calibri" w:hAnsi="Times New Roman" w:cs="Times New Roman"/>
          <w:sz w:val="20"/>
          <w:szCs w:val="20"/>
          <w:lang w:val="en-IN"/>
        </w:rPr>
        <w:t>3</w:t>
      </w:r>
      <w:r w:rsidRPr="00CC358D">
        <w:rPr>
          <w:rFonts w:ascii="Times New Roman" w:eastAsia="Calibri" w:hAnsi="Times New Roman" w:cs="Times New Roman"/>
          <w:sz w:val="20"/>
          <w:szCs w:val="20"/>
          <w:lang w:val="en-IN"/>
        </w:rPr>
        <w:t xml:space="preserve">). Accelerated urbanisation increases demand for housing, infrastructure, and transport services, thereby raising energy consumption and emissions. Urban expansion significantly increases energy consumption in both the residential and transport sectors. A substantial share of this demand arises from household electricity use and cooking fuels such as liquefied petroleum gas (LPG), coal, dung cake, and </w:t>
      </w:r>
      <w:proofErr w:type="spellStart"/>
      <w:r w:rsidRPr="00CC358D">
        <w:rPr>
          <w:rFonts w:ascii="Times New Roman" w:eastAsia="Calibri" w:hAnsi="Times New Roman" w:cs="Times New Roman"/>
          <w:sz w:val="20"/>
          <w:szCs w:val="20"/>
          <w:lang w:val="en-IN"/>
        </w:rPr>
        <w:t>gobar</w:t>
      </w:r>
      <w:proofErr w:type="spellEnd"/>
      <w:r w:rsidRPr="00CC358D">
        <w:rPr>
          <w:rFonts w:ascii="Times New Roman" w:eastAsia="Calibri" w:hAnsi="Times New Roman" w:cs="Times New Roman"/>
          <w:sz w:val="20"/>
          <w:szCs w:val="20"/>
          <w:lang w:val="en-IN"/>
        </w:rPr>
        <w:t xml:space="preserve"> gas. In addition, growing reliance on private transport further intensifies fossil-fuel consumption, particularly in rapidly expanding urban areas where energy-efficient transport systems are still developing (Ahmad et al., 2015).</w:t>
      </w:r>
    </w:p>
    <w:p w14:paraId="4BC9DBCF" w14:textId="77777777" w:rsidR="000234B6" w:rsidRPr="00CC358D" w:rsidRDefault="000234B6" w:rsidP="00640F84">
      <w:pPr>
        <w:spacing w:after="0" w:line="240" w:lineRule="auto"/>
        <w:jc w:val="both"/>
        <w:rPr>
          <w:rFonts w:ascii="Times New Roman" w:eastAsia="Calibri" w:hAnsi="Times New Roman" w:cs="Times New Roman"/>
          <w:sz w:val="20"/>
          <w:szCs w:val="20"/>
          <w:lang w:val="en-IN"/>
        </w:rPr>
      </w:pPr>
    </w:p>
    <w:p w14:paraId="4F10A5C9" w14:textId="5CB94D27" w:rsidR="000234B6" w:rsidRPr="00CC358D" w:rsidRDefault="000234B6" w:rsidP="000234B6">
      <w:pPr>
        <w:spacing w:after="0" w:line="240" w:lineRule="auto"/>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Table 4. Long-run estimates</w:t>
      </w:r>
    </w:p>
    <w:p w14:paraId="4CB4F805" w14:textId="77777777" w:rsidR="000234B6" w:rsidRPr="00CC358D" w:rsidRDefault="000234B6" w:rsidP="000234B6">
      <w:pPr>
        <w:spacing w:after="0" w:line="240" w:lineRule="auto"/>
        <w:jc w:val="center"/>
        <w:rPr>
          <w:rFonts w:ascii="Times New Roman" w:eastAsia="Calibri" w:hAnsi="Times New Roman" w:cs="Times New Roman"/>
          <w:sz w:val="20"/>
          <w:szCs w:val="20"/>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5"/>
        <w:gridCol w:w="2265"/>
      </w:tblGrid>
      <w:tr w:rsidR="000234B6" w:rsidRPr="00CC358D" w14:paraId="7F9D6AFE" w14:textId="77777777" w:rsidTr="000234B6">
        <w:trPr>
          <w:trHeight w:val="20"/>
          <w:jc w:val="center"/>
        </w:trPr>
        <w:tc>
          <w:tcPr>
            <w:tcW w:w="2254" w:type="dxa"/>
            <w:tcBorders>
              <w:bottom w:val="single" w:sz="4" w:space="0" w:color="auto"/>
            </w:tcBorders>
          </w:tcPr>
          <w:p w14:paraId="559BB626"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Variables</w:t>
            </w:r>
          </w:p>
        </w:tc>
        <w:tc>
          <w:tcPr>
            <w:tcW w:w="2254" w:type="dxa"/>
            <w:tcBorders>
              <w:bottom w:val="single" w:sz="4" w:space="0" w:color="auto"/>
            </w:tcBorders>
          </w:tcPr>
          <w:p w14:paraId="51A7C3F1"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Coefficient</w:t>
            </w:r>
          </w:p>
        </w:tc>
        <w:tc>
          <w:tcPr>
            <w:tcW w:w="2254" w:type="dxa"/>
            <w:tcBorders>
              <w:bottom w:val="single" w:sz="4" w:space="0" w:color="auto"/>
            </w:tcBorders>
          </w:tcPr>
          <w:p w14:paraId="2C14E339"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t-stat</w:t>
            </w:r>
          </w:p>
        </w:tc>
        <w:tc>
          <w:tcPr>
            <w:tcW w:w="2254" w:type="dxa"/>
            <w:tcBorders>
              <w:bottom w:val="single" w:sz="4" w:space="0" w:color="auto"/>
            </w:tcBorders>
          </w:tcPr>
          <w:p w14:paraId="385DC00C" w14:textId="77777777" w:rsidR="000234B6" w:rsidRPr="00CC358D" w:rsidRDefault="000234B6"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p-value</w:t>
            </w:r>
          </w:p>
        </w:tc>
      </w:tr>
      <w:tr w:rsidR="000234B6" w:rsidRPr="00CC358D" w14:paraId="22F460A4" w14:textId="77777777" w:rsidTr="000234B6">
        <w:trPr>
          <w:trHeight w:val="20"/>
          <w:jc w:val="center"/>
        </w:trPr>
        <w:tc>
          <w:tcPr>
            <w:tcW w:w="2254" w:type="dxa"/>
            <w:tcBorders>
              <w:top w:val="single" w:sz="4" w:space="0" w:color="auto"/>
              <w:bottom w:val="nil"/>
            </w:tcBorders>
          </w:tcPr>
          <w:p w14:paraId="551E7BE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LNUPOP</w:t>
            </w:r>
          </w:p>
        </w:tc>
        <w:tc>
          <w:tcPr>
            <w:tcW w:w="2254" w:type="dxa"/>
            <w:tcBorders>
              <w:top w:val="single" w:sz="4" w:space="0" w:color="auto"/>
              <w:bottom w:val="nil"/>
            </w:tcBorders>
          </w:tcPr>
          <w:p w14:paraId="0D84EB13"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1.175019</w:t>
            </w:r>
          </w:p>
        </w:tc>
        <w:tc>
          <w:tcPr>
            <w:tcW w:w="2254" w:type="dxa"/>
            <w:tcBorders>
              <w:top w:val="single" w:sz="4" w:space="0" w:color="auto"/>
              <w:bottom w:val="nil"/>
            </w:tcBorders>
          </w:tcPr>
          <w:p w14:paraId="3F3ADF51"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18.91374</w:t>
            </w:r>
          </w:p>
        </w:tc>
        <w:tc>
          <w:tcPr>
            <w:tcW w:w="2254" w:type="dxa"/>
            <w:tcBorders>
              <w:top w:val="single" w:sz="4" w:space="0" w:color="auto"/>
              <w:bottom w:val="nil"/>
            </w:tcBorders>
          </w:tcPr>
          <w:p w14:paraId="5095EEBB"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r>
      <w:tr w:rsidR="000234B6" w:rsidRPr="00CC358D" w14:paraId="3D0F8A9D" w14:textId="77777777" w:rsidTr="000234B6">
        <w:trPr>
          <w:trHeight w:val="20"/>
          <w:jc w:val="center"/>
        </w:trPr>
        <w:tc>
          <w:tcPr>
            <w:tcW w:w="2254" w:type="dxa"/>
            <w:tcBorders>
              <w:top w:val="nil"/>
            </w:tcBorders>
          </w:tcPr>
          <w:p w14:paraId="142C2BD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LNENUSE</w:t>
            </w:r>
          </w:p>
        </w:tc>
        <w:tc>
          <w:tcPr>
            <w:tcW w:w="2254" w:type="dxa"/>
            <w:tcBorders>
              <w:top w:val="nil"/>
            </w:tcBorders>
          </w:tcPr>
          <w:p w14:paraId="7D9B0D7A"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1.022993</w:t>
            </w:r>
          </w:p>
        </w:tc>
        <w:tc>
          <w:tcPr>
            <w:tcW w:w="2254" w:type="dxa"/>
            <w:tcBorders>
              <w:top w:val="nil"/>
            </w:tcBorders>
          </w:tcPr>
          <w:p w14:paraId="406105DE"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20.35678</w:t>
            </w:r>
          </w:p>
        </w:tc>
        <w:tc>
          <w:tcPr>
            <w:tcW w:w="2254" w:type="dxa"/>
            <w:tcBorders>
              <w:top w:val="nil"/>
            </w:tcBorders>
          </w:tcPr>
          <w:p w14:paraId="652AFBEC"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r>
      <w:tr w:rsidR="000234B6" w:rsidRPr="00CC358D" w14:paraId="46FF9518" w14:textId="77777777" w:rsidTr="000234B6">
        <w:trPr>
          <w:trHeight w:val="20"/>
          <w:jc w:val="center"/>
        </w:trPr>
        <w:tc>
          <w:tcPr>
            <w:tcW w:w="2254" w:type="dxa"/>
          </w:tcPr>
          <w:p w14:paraId="184588DF"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LNTRADE</w:t>
            </w:r>
          </w:p>
        </w:tc>
        <w:tc>
          <w:tcPr>
            <w:tcW w:w="2254" w:type="dxa"/>
          </w:tcPr>
          <w:p w14:paraId="3EA092B4"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0.098939</w:t>
            </w:r>
          </w:p>
        </w:tc>
        <w:tc>
          <w:tcPr>
            <w:tcW w:w="2254" w:type="dxa"/>
          </w:tcPr>
          <w:p w14:paraId="3128C601"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5.291736</w:t>
            </w:r>
          </w:p>
        </w:tc>
        <w:tc>
          <w:tcPr>
            <w:tcW w:w="2254" w:type="dxa"/>
          </w:tcPr>
          <w:p w14:paraId="0440DA33"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r>
      <w:tr w:rsidR="000234B6" w:rsidRPr="00CC358D" w14:paraId="2A142216" w14:textId="77777777" w:rsidTr="000234B6">
        <w:trPr>
          <w:trHeight w:val="20"/>
          <w:jc w:val="center"/>
        </w:trPr>
        <w:tc>
          <w:tcPr>
            <w:tcW w:w="2254" w:type="dxa"/>
          </w:tcPr>
          <w:p w14:paraId="560786E5"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C</w:t>
            </w:r>
          </w:p>
        </w:tc>
        <w:tc>
          <w:tcPr>
            <w:tcW w:w="2254" w:type="dxa"/>
          </w:tcPr>
          <w:p w14:paraId="79CEDC79"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-21.48911</w:t>
            </w:r>
          </w:p>
        </w:tc>
        <w:tc>
          <w:tcPr>
            <w:tcW w:w="2254" w:type="dxa"/>
          </w:tcPr>
          <w:p w14:paraId="0FED13A2"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-19.80720</w:t>
            </w:r>
          </w:p>
        </w:tc>
        <w:tc>
          <w:tcPr>
            <w:tcW w:w="2254" w:type="dxa"/>
          </w:tcPr>
          <w:p w14:paraId="1516E321" w14:textId="77777777" w:rsidR="000234B6" w:rsidRPr="00CC358D" w:rsidRDefault="000234B6"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r>
    </w:tbl>
    <w:p w14:paraId="616C6933" w14:textId="77777777" w:rsidR="000234B6" w:rsidRPr="00CC358D" w:rsidRDefault="000234B6" w:rsidP="000234B6">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w:t>
      </w:r>
    </w:p>
    <w:p w14:paraId="46D625BF" w14:textId="77777777" w:rsidR="000234B6" w:rsidRPr="00CC358D" w:rsidRDefault="000234B6" w:rsidP="00640F84">
      <w:pPr>
        <w:spacing w:after="0" w:line="240" w:lineRule="auto"/>
        <w:jc w:val="both"/>
        <w:rPr>
          <w:rFonts w:ascii="Times New Roman" w:eastAsia="Calibri" w:hAnsi="Times New Roman" w:cs="Times New Roman"/>
          <w:sz w:val="20"/>
          <w:szCs w:val="20"/>
          <w:lang w:val="en-IN"/>
        </w:rPr>
      </w:pPr>
    </w:p>
    <w:p w14:paraId="546E96C4" w14:textId="04F8407B"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The coefficient of energy use (LNENUSE) is also positive and statistically significant. The findings show that, holding all other variables constant, a 1% increase in energy consumption is associated with an approximately 1.02% increase in CO₂ emissions. This indicates that energy use remains a significant contributor to emissions in India. The positive relationship between energy use and emissions can largely be explained by the structure of energy consumption across major economic sectors. The energy sector is the largest source of emissions because of the dominance of coal in electricity generation and the use of natural gas in power production (Philip &amp; Kuriakose, 202</w:t>
      </w:r>
      <w:r w:rsidR="00BE1859">
        <w:rPr>
          <w:rFonts w:ascii="Times New Roman" w:eastAsia="Calibri" w:hAnsi="Times New Roman" w:cs="Times New Roman"/>
          <w:sz w:val="20"/>
          <w:szCs w:val="20"/>
          <w:lang w:val="en-IN"/>
        </w:rPr>
        <w:t>4</w:t>
      </w:r>
      <w:r w:rsidRPr="00CC358D">
        <w:rPr>
          <w:rFonts w:ascii="Times New Roman" w:eastAsia="Calibri" w:hAnsi="Times New Roman" w:cs="Times New Roman"/>
          <w:sz w:val="20"/>
          <w:szCs w:val="20"/>
          <w:lang w:val="en-IN"/>
        </w:rPr>
        <w:t xml:space="preserve">; </w:t>
      </w:r>
      <w:proofErr w:type="spellStart"/>
      <w:r w:rsidRPr="00CC358D">
        <w:rPr>
          <w:rFonts w:ascii="Times New Roman" w:eastAsia="Calibri" w:hAnsi="Times New Roman" w:cs="Times New Roman"/>
          <w:sz w:val="20"/>
          <w:szCs w:val="20"/>
          <w:lang w:val="en-IN"/>
        </w:rPr>
        <w:t>Jóźwik</w:t>
      </w:r>
      <w:proofErr w:type="spellEnd"/>
      <w:r w:rsidRPr="00CC358D">
        <w:rPr>
          <w:rFonts w:ascii="Times New Roman" w:eastAsia="Calibri" w:hAnsi="Times New Roman" w:cs="Times New Roman"/>
          <w:sz w:val="20"/>
          <w:szCs w:val="20"/>
          <w:lang w:val="en-IN"/>
        </w:rPr>
        <w:t xml:space="preserve"> et al., 2025; Mukhopadhyay &amp; Chakraborty, 200</w:t>
      </w:r>
      <w:r w:rsidR="00BE1859">
        <w:rPr>
          <w:rFonts w:ascii="Times New Roman" w:eastAsia="Calibri" w:hAnsi="Times New Roman" w:cs="Times New Roman"/>
          <w:sz w:val="20"/>
          <w:szCs w:val="20"/>
          <w:lang w:val="en-IN"/>
        </w:rPr>
        <w:t>2</w:t>
      </w:r>
      <w:r w:rsidRPr="00CC358D">
        <w:rPr>
          <w:rFonts w:ascii="Times New Roman" w:eastAsia="Calibri" w:hAnsi="Times New Roman" w:cs="Times New Roman"/>
          <w:sz w:val="20"/>
          <w:szCs w:val="20"/>
          <w:lang w:val="en-IN"/>
        </w:rPr>
        <w:t>). The manufacturing sector also contributes substantially to emissions because industrial production processes require considerable energy inputs derived mainly from coal, petroleum, and natural gas (Sahu &amp; Mehta, 201</w:t>
      </w:r>
      <w:r w:rsidR="00BE1859">
        <w:rPr>
          <w:rFonts w:ascii="Times New Roman" w:eastAsia="Calibri" w:hAnsi="Times New Roman" w:cs="Times New Roman"/>
          <w:sz w:val="20"/>
          <w:szCs w:val="20"/>
          <w:lang w:val="en-IN"/>
        </w:rPr>
        <w:t>8</w:t>
      </w:r>
      <w:r w:rsidRPr="00CC358D">
        <w:rPr>
          <w:rFonts w:ascii="Times New Roman" w:eastAsia="Calibri" w:hAnsi="Times New Roman" w:cs="Times New Roman"/>
          <w:sz w:val="20"/>
          <w:szCs w:val="20"/>
          <w:lang w:val="en-IN"/>
        </w:rPr>
        <w:t>). Furthermore, rapid economic expansion, industrial development, and road-infrastructure growth have increased transport demand, thereby intensifying fuel consumption and carbon emissions.</w:t>
      </w:r>
    </w:p>
    <w:p w14:paraId="6F463D06"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319ACBB9"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Finally, with an estimated elasticity of approximately 0.09, the coefficient of trade openness (LNTRADE) is positive and statistically significant. This indicates that a 1% increase in trade openness, measured as trade as a percentage of GDP, is associated with a 0.09% increase in CO₂ emissions. The positive relationship suggests that increased production, transportation, and energy consumption associated with international trade flows may lead to higher emissions.</w:t>
      </w:r>
    </w:p>
    <w:p w14:paraId="78EE3D9D" w14:textId="77777777" w:rsidR="00ED211D" w:rsidRPr="00CC358D" w:rsidRDefault="00ED211D" w:rsidP="00640F84">
      <w:pPr>
        <w:spacing w:after="0" w:line="240" w:lineRule="auto"/>
        <w:jc w:val="both"/>
        <w:rPr>
          <w:rFonts w:ascii="Times New Roman" w:eastAsia="Calibri" w:hAnsi="Times New Roman" w:cs="Times New Roman"/>
          <w:sz w:val="20"/>
          <w:szCs w:val="20"/>
          <w:lang w:val="en-IN"/>
        </w:rPr>
      </w:pPr>
    </w:p>
    <w:p w14:paraId="1A864EFA" w14:textId="6AA4D0C0"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Overall, the empirical results are consistent with earlier research showing that energy consumption and urbanisation are major factors associated with carbon emissions in emerging economies. Rahman (2020), Khan et al. (2019), and Ahmad et al. (2022) support the positive relationship between urban population growth and emissions. Similarly, the substantial effect of energy use is consistent with the findings of Siddique et al. (20</w:t>
      </w:r>
      <w:r w:rsidR="00BE1859">
        <w:rPr>
          <w:rFonts w:ascii="Times New Roman" w:eastAsia="Calibri" w:hAnsi="Times New Roman" w:cs="Times New Roman"/>
          <w:sz w:val="20"/>
          <w:szCs w:val="20"/>
          <w:lang w:val="en-IN"/>
        </w:rPr>
        <w:t>16</w:t>
      </w:r>
      <w:r w:rsidRPr="00CC358D">
        <w:rPr>
          <w:rFonts w:ascii="Times New Roman" w:eastAsia="Calibri" w:hAnsi="Times New Roman" w:cs="Times New Roman"/>
          <w:sz w:val="20"/>
          <w:szCs w:val="20"/>
          <w:lang w:val="en-IN"/>
        </w:rPr>
        <w:t>) and Afridi et al. (2019). According to Osman (2024), expanding trade activity may increase emissions unless it is supported by cleaner technologies and stronger environmental regulation. This finding is also consistent with the positive coefficient of trade openness.</w:t>
      </w:r>
    </w:p>
    <w:p w14:paraId="3C276C97"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2D908D56" w14:textId="0DF838E5" w:rsidR="00640F84" w:rsidRPr="00CC358D" w:rsidRDefault="001E593B"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 xml:space="preserve">4.4 </w:t>
      </w:r>
      <w:r w:rsidR="00640F84" w:rsidRPr="00CC358D">
        <w:rPr>
          <w:rFonts w:ascii="Times New Roman" w:eastAsia="Calibri" w:hAnsi="Times New Roman" w:cs="Times New Roman"/>
          <w:b/>
          <w:bCs/>
        </w:rPr>
        <w:t>Error Correction Term</w:t>
      </w:r>
      <w:bookmarkEnd w:id="4"/>
    </w:p>
    <w:p w14:paraId="23442E72"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00F499ED"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error correction term (ECT) coefficient, denoted as </w:t>
      </w:r>
      <w:proofErr w:type="spellStart"/>
      <w:proofErr w:type="gramStart"/>
      <w:r w:rsidRPr="00CC358D">
        <w:rPr>
          <w:rFonts w:ascii="Times New Roman" w:eastAsia="Calibri" w:hAnsi="Times New Roman" w:cs="Times New Roman"/>
          <w:sz w:val="20"/>
          <w:szCs w:val="20"/>
        </w:rPr>
        <w:t>CointEq</w:t>
      </w:r>
      <w:proofErr w:type="spellEnd"/>
      <w:r w:rsidRPr="00CC358D">
        <w:rPr>
          <w:rFonts w:ascii="Times New Roman" w:eastAsia="Calibri" w:hAnsi="Times New Roman" w:cs="Times New Roman"/>
          <w:sz w:val="20"/>
          <w:szCs w:val="20"/>
        </w:rPr>
        <w:t>(</w:t>
      </w:r>
      <w:proofErr w:type="gramEnd"/>
      <w:r w:rsidRPr="00CC358D">
        <w:rPr>
          <w:rFonts w:ascii="Times New Roman" w:eastAsia="Calibri" w:hAnsi="Times New Roman" w:cs="Times New Roman"/>
          <w:sz w:val="20"/>
          <w:szCs w:val="20"/>
        </w:rPr>
        <w:t xml:space="preserve">-1), measures the speed of adjustment towards the long-run equilibrium after a short-run deviation. </w:t>
      </w:r>
      <w:bookmarkStart w:id="5" w:name="_Toc183050133"/>
      <w:r w:rsidRPr="00CC358D">
        <w:rPr>
          <w:rFonts w:ascii="Times New Roman" w:eastAsia="Calibri" w:hAnsi="Times New Roman" w:cs="Times New Roman"/>
          <w:sz w:val="20"/>
          <w:szCs w:val="20"/>
        </w:rPr>
        <w:t>This negative sign indicates that any short-run disequilibrium in CO₂ emissions is gradually corrected over time. The estimated speed of adjustment suggests that approximately 99.46% of deviations from the long-run equilibrium level of CO₂ emissions are eliminated within the following period, indicating a rapid convergence of the system back to its long-run path.</w:t>
      </w:r>
    </w:p>
    <w:p w14:paraId="382ABE9E"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707278AA" w14:textId="77777777" w:rsidR="00ED211D" w:rsidRPr="00CC358D" w:rsidRDefault="00ED211D" w:rsidP="00640F84">
      <w:pPr>
        <w:spacing w:after="0" w:line="240" w:lineRule="auto"/>
        <w:jc w:val="both"/>
        <w:rPr>
          <w:rFonts w:ascii="Times New Roman" w:eastAsia="Calibri" w:hAnsi="Times New Roman" w:cs="Times New Roman"/>
          <w:sz w:val="20"/>
          <w:szCs w:val="20"/>
        </w:rPr>
      </w:pPr>
    </w:p>
    <w:p w14:paraId="7B25F2AC" w14:textId="77777777" w:rsidR="00ED211D" w:rsidRPr="00CC358D" w:rsidRDefault="00ED211D" w:rsidP="00ED211D">
      <w:pPr>
        <w:spacing w:after="0" w:line="240" w:lineRule="auto"/>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lastRenderedPageBreak/>
        <w:t>Table 5. Error Correction Term (ECT)</w:t>
      </w:r>
    </w:p>
    <w:p w14:paraId="79DB9988" w14:textId="77777777" w:rsidR="00ED211D" w:rsidRPr="00CC358D" w:rsidRDefault="00ED211D" w:rsidP="00ED211D">
      <w:pPr>
        <w:spacing w:after="0" w:line="240" w:lineRule="auto"/>
        <w:jc w:val="center"/>
        <w:rPr>
          <w:rFonts w:ascii="Times New Roman" w:eastAsia="Calibri" w:hAnsi="Times New Roman" w:cs="Times New Roman"/>
          <w:sz w:val="20"/>
          <w:szCs w:val="20"/>
        </w:rPr>
      </w:pPr>
    </w:p>
    <w:tbl>
      <w:tblPr>
        <w:tblStyle w:val="TableGrid"/>
        <w:tblW w:w="49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265"/>
        <w:gridCol w:w="2265"/>
        <w:gridCol w:w="2265"/>
        <w:gridCol w:w="2265"/>
      </w:tblGrid>
      <w:tr w:rsidR="00ED211D" w:rsidRPr="00CC358D" w14:paraId="66856EAE" w14:textId="77777777" w:rsidTr="00ED211D">
        <w:trPr>
          <w:trHeight w:val="20"/>
          <w:jc w:val="center"/>
        </w:trPr>
        <w:tc>
          <w:tcPr>
            <w:tcW w:w="2254" w:type="dxa"/>
          </w:tcPr>
          <w:p w14:paraId="789DE9B8" w14:textId="77777777" w:rsidR="00ED211D" w:rsidRPr="00CC358D" w:rsidRDefault="00ED211D"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Variables</w:t>
            </w:r>
          </w:p>
        </w:tc>
        <w:tc>
          <w:tcPr>
            <w:tcW w:w="2254" w:type="dxa"/>
          </w:tcPr>
          <w:p w14:paraId="5D1C26A9" w14:textId="77777777" w:rsidR="00ED211D" w:rsidRPr="00CC358D" w:rsidRDefault="00ED211D"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Coefficient</w:t>
            </w:r>
          </w:p>
        </w:tc>
        <w:tc>
          <w:tcPr>
            <w:tcW w:w="2254" w:type="dxa"/>
          </w:tcPr>
          <w:p w14:paraId="1C04141D" w14:textId="77777777" w:rsidR="00ED211D" w:rsidRPr="00CC358D" w:rsidRDefault="00ED211D"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t-stat</w:t>
            </w:r>
          </w:p>
        </w:tc>
        <w:tc>
          <w:tcPr>
            <w:tcW w:w="2254" w:type="dxa"/>
          </w:tcPr>
          <w:p w14:paraId="63845388" w14:textId="77777777" w:rsidR="00ED211D" w:rsidRPr="00CC358D" w:rsidRDefault="00ED211D" w:rsidP="00B068A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p-value</w:t>
            </w:r>
          </w:p>
        </w:tc>
      </w:tr>
      <w:tr w:rsidR="00ED211D" w:rsidRPr="00CC358D" w14:paraId="731F8FCC" w14:textId="77777777" w:rsidTr="00ED211D">
        <w:trPr>
          <w:trHeight w:val="20"/>
          <w:jc w:val="center"/>
        </w:trPr>
        <w:tc>
          <w:tcPr>
            <w:tcW w:w="2254" w:type="dxa"/>
          </w:tcPr>
          <w:p w14:paraId="27F40718" w14:textId="77777777" w:rsidR="00ED211D" w:rsidRPr="00CC358D" w:rsidRDefault="00ED211D" w:rsidP="00B068A4">
            <w:pPr>
              <w:rPr>
                <w:rFonts w:ascii="Times New Roman" w:eastAsia="Calibri" w:hAnsi="Times New Roman" w:cs="Times New Roman"/>
                <w:sz w:val="20"/>
                <w:szCs w:val="20"/>
              </w:rPr>
            </w:pPr>
            <w:proofErr w:type="spellStart"/>
            <w:proofErr w:type="gramStart"/>
            <w:r w:rsidRPr="00CC358D">
              <w:rPr>
                <w:rFonts w:ascii="Times New Roman" w:eastAsia="Calibri" w:hAnsi="Times New Roman" w:cs="Times New Roman"/>
                <w:sz w:val="20"/>
                <w:szCs w:val="20"/>
              </w:rPr>
              <w:t>CointEq</w:t>
            </w:r>
            <w:proofErr w:type="spellEnd"/>
            <w:r w:rsidRPr="00CC358D">
              <w:rPr>
                <w:rFonts w:ascii="Times New Roman" w:eastAsia="Calibri" w:hAnsi="Times New Roman" w:cs="Times New Roman"/>
                <w:sz w:val="20"/>
                <w:szCs w:val="20"/>
              </w:rPr>
              <w:t>(</w:t>
            </w:r>
            <w:proofErr w:type="gramEnd"/>
            <w:r w:rsidRPr="00CC358D">
              <w:rPr>
                <w:rFonts w:ascii="Times New Roman" w:eastAsia="Calibri" w:hAnsi="Times New Roman" w:cs="Times New Roman"/>
                <w:sz w:val="20"/>
                <w:szCs w:val="20"/>
              </w:rPr>
              <w:t>-</w:t>
            </w:r>
            <w:proofErr w:type="gramStart"/>
            <w:r w:rsidRPr="00CC358D">
              <w:rPr>
                <w:rFonts w:ascii="Times New Roman" w:eastAsia="Calibri" w:hAnsi="Times New Roman" w:cs="Times New Roman"/>
                <w:sz w:val="20"/>
                <w:szCs w:val="20"/>
              </w:rPr>
              <w:t>1)*</w:t>
            </w:r>
            <w:proofErr w:type="gramEnd"/>
          </w:p>
        </w:tc>
        <w:tc>
          <w:tcPr>
            <w:tcW w:w="2254" w:type="dxa"/>
          </w:tcPr>
          <w:p w14:paraId="57C0DD30" w14:textId="77777777" w:rsidR="00ED211D" w:rsidRPr="00CC358D" w:rsidRDefault="00ED211D"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-0.994573</w:t>
            </w:r>
          </w:p>
        </w:tc>
        <w:tc>
          <w:tcPr>
            <w:tcW w:w="2254" w:type="dxa"/>
          </w:tcPr>
          <w:p w14:paraId="1CF2607E" w14:textId="77777777" w:rsidR="00ED211D" w:rsidRPr="00CC358D" w:rsidRDefault="00ED211D"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-6.825039</w:t>
            </w:r>
          </w:p>
        </w:tc>
        <w:tc>
          <w:tcPr>
            <w:tcW w:w="2254" w:type="dxa"/>
          </w:tcPr>
          <w:p w14:paraId="196C8463" w14:textId="77777777" w:rsidR="00ED211D" w:rsidRPr="00CC358D" w:rsidRDefault="00ED211D" w:rsidP="00B068A4">
            <w:pPr>
              <w:rPr>
                <w:rFonts w:ascii="Times New Roman" w:eastAsia="Calibri" w:hAnsi="Times New Roman" w:cs="Times New Roman"/>
                <w:sz w:val="20"/>
                <w:szCs w:val="20"/>
              </w:rPr>
            </w:pPr>
            <w:r w:rsidRPr="00CC358D">
              <w:rPr>
                <w:rFonts w:ascii="Times New Roman" w:eastAsia="Calibri" w:hAnsi="Times New Roman" w:cs="Times New Roman"/>
                <w:sz w:val="20"/>
                <w:szCs w:val="20"/>
              </w:rPr>
              <w:t>0.0000</w:t>
            </w:r>
          </w:p>
        </w:tc>
      </w:tr>
    </w:tbl>
    <w:p w14:paraId="1CDC6A0A" w14:textId="77777777" w:rsidR="00ED211D" w:rsidRPr="00CC358D" w:rsidRDefault="00ED211D" w:rsidP="00ED211D">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w:t>
      </w:r>
    </w:p>
    <w:p w14:paraId="00C27154" w14:textId="77777777" w:rsidR="00ED211D" w:rsidRPr="00CC358D" w:rsidRDefault="00ED211D" w:rsidP="00640F84">
      <w:pPr>
        <w:spacing w:after="0" w:line="240" w:lineRule="auto"/>
        <w:jc w:val="both"/>
        <w:rPr>
          <w:rFonts w:ascii="Times New Roman" w:eastAsia="Calibri" w:hAnsi="Times New Roman" w:cs="Times New Roman"/>
          <w:sz w:val="20"/>
          <w:szCs w:val="20"/>
        </w:rPr>
      </w:pPr>
    </w:p>
    <w:p w14:paraId="42C1C229" w14:textId="4A08537B" w:rsidR="00640F84" w:rsidRPr="00CC358D" w:rsidRDefault="001E593B"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 xml:space="preserve">4.5 </w:t>
      </w:r>
      <w:r w:rsidR="00640F84" w:rsidRPr="00CC358D">
        <w:rPr>
          <w:rFonts w:ascii="Times New Roman" w:eastAsia="Calibri" w:hAnsi="Times New Roman" w:cs="Times New Roman"/>
          <w:b/>
          <w:bCs/>
        </w:rPr>
        <w:t>CUSUM and CUSUM Square</w:t>
      </w:r>
      <w:bookmarkEnd w:id="5"/>
    </w:p>
    <w:p w14:paraId="4EE67B90" w14:textId="77777777" w:rsidR="001E593B" w:rsidRPr="00CC358D" w:rsidRDefault="001E593B" w:rsidP="00640F84">
      <w:pPr>
        <w:spacing w:after="0" w:line="240" w:lineRule="auto"/>
        <w:jc w:val="both"/>
        <w:rPr>
          <w:rFonts w:ascii="Times New Roman" w:eastAsia="Calibri" w:hAnsi="Times New Roman" w:cs="Times New Roman"/>
          <w:b/>
          <w:bCs/>
          <w:sz w:val="20"/>
          <w:szCs w:val="20"/>
        </w:rPr>
      </w:pPr>
    </w:p>
    <w:p w14:paraId="1E42670E"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Finally, to examine the stability of the estimated parameters, the CUSUM and CUSUMSQ tests are applied. These diagnostic procedures evaluate whether the model’s coefficients remain stable throughout the sample period. The graphical results show that the cumulative sums remain within the 5% critical boundaries, indicating that the estimated parameters do not exhibit structural instability over time. This outcome confirms the overall stability and reliability of the model specification.</w:t>
      </w:r>
    </w:p>
    <w:p w14:paraId="767BE600" w14:textId="77777777" w:rsidR="001E593B" w:rsidRPr="00CC358D" w:rsidRDefault="001E593B" w:rsidP="00640F84">
      <w:pPr>
        <w:spacing w:after="0" w:line="240" w:lineRule="auto"/>
        <w:jc w:val="both"/>
        <w:rPr>
          <w:rFonts w:ascii="Times New Roman" w:eastAsia="Calibri" w:hAnsi="Times New Roman" w:cs="Times New Roman"/>
          <w:sz w:val="20"/>
          <w:szCs w:val="20"/>
        </w:rPr>
      </w:pPr>
    </w:p>
    <w:bookmarkStart w:id="6" w:name="_Toc183050134"/>
    <w:p w14:paraId="74783FF3" w14:textId="53E03A46" w:rsidR="00640F84" w:rsidRPr="00CC358D" w:rsidRDefault="00ED211D" w:rsidP="001E593B">
      <w:pPr>
        <w:spacing w:after="0" w:line="240" w:lineRule="auto"/>
        <w:jc w:val="center"/>
        <w:rPr>
          <w:rFonts w:ascii="Times New Roman" w:eastAsia="Calibri" w:hAnsi="Times New Roman" w:cs="Times New Roman"/>
          <w:sz w:val="20"/>
          <w:szCs w:val="20"/>
        </w:rPr>
      </w:pPr>
      <w:r w:rsidRPr="00CC358D">
        <w:rPr>
          <w:rFonts w:ascii="Times New Roman" w:eastAsia="Calibri" w:hAnsi="Times New Roman" w:cs="Times New Roman"/>
          <w:sz w:val="20"/>
          <w:szCs w:val="20"/>
        </w:rPr>
        <w:object w:dxaOrig="7231" w:dyaOrig="5100" w14:anchorId="50CB9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8.45pt;height:140.55pt" o:ole="">
            <v:imagedata r:id="rId10" o:title=""/>
          </v:shape>
          <o:OLEObject Type="Embed" ProgID="EViews.Workfile.2" ShapeID="_x0000_i1027" DrawAspect="Content" ObjectID="_1845637034" r:id="rId11"/>
        </w:object>
      </w:r>
      <w:r w:rsidR="00640F84" w:rsidRPr="00CC358D">
        <w:rPr>
          <w:rFonts w:ascii="Times New Roman" w:eastAsia="Calibri" w:hAnsi="Times New Roman" w:cs="Times New Roman"/>
          <w:sz w:val="20"/>
          <w:szCs w:val="20"/>
        </w:rPr>
        <w:object w:dxaOrig="7270" w:dyaOrig="5100" w14:anchorId="2E54A0BD">
          <v:shape id="_x0000_i1028" type="#_x0000_t75" style="width:201pt;height:142.85pt" o:ole="">
            <v:imagedata r:id="rId12" o:title=""/>
          </v:shape>
          <o:OLEObject Type="Embed" ProgID="EViews.Workfile.2" ShapeID="_x0000_i1028" DrawAspect="Content" ObjectID="_1845637035" r:id="rId13"/>
        </w:object>
      </w:r>
    </w:p>
    <w:p w14:paraId="7B4BAEA5" w14:textId="77777777" w:rsidR="001E593B" w:rsidRPr="00CC358D" w:rsidRDefault="001E593B" w:rsidP="001E593B">
      <w:pPr>
        <w:spacing w:after="0" w:line="240" w:lineRule="auto"/>
        <w:jc w:val="center"/>
        <w:rPr>
          <w:rFonts w:ascii="Times New Roman" w:eastAsia="Calibri" w:hAnsi="Times New Roman" w:cs="Times New Roman"/>
          <w:sz w:val="20"/>
          <w:szCs w:val="20"/>
        </w:rPr>
      </w:pPr>
    </w:p>
    <w:p w14:paraId="1424DBB5" w14:textId="3114059D" w:rsidR="00ED211D" w:rsidRPr="00CC358D" w:rsidRDefault="00ED211D" w:rsidP="001E593B">
      <w:pPr>
        <w:spacing w:after="0" w:line="240" w:lineRule="auto"/>
        <w:jc w:val="center"/>
        <w:rPr>
          <w:rFonts w:ascii="Times New Roman" w:eastAsia="Calibri" w:hAnsi="Times New Roman" w:cs="Times New Roman"/>
          <w:b/>
          <w:bCs/>
          <w:color w:val="EE0000"/>
          <w:sz w:val="20"/>
          <w:szCs w:val="20"/>
        </w:rPr>
      </w:pPr>
      <w:r w:rsidRPr="00CC358D">
        <w:rPr>
          <w:rFonts w:ascii="Times New Roman" w:eastAsia="Calibri" w:hAnsi="Times New Roman" w:cs="Times New Roman"/>
          <w:b/>
          <w:bCs/>
          <w:color w:val="EE0000"/>
          <w:sz w:val="20"/>
          <w:szCs w:val="20"/>
          <w:highlight w:val="yellow"/>
        </w:rPr>
        <w:t xml:space="preserve">Fig. 2. </w:t>
      </w:r>
      <w:r w:rsidR="00E67B2B" w:rsidRPr="00E67B2B">
        <w:rPr>
          <w:rFonts w:ascii="Times New Roman" w:eastAsia="Calibri" w:hAnsi="Times New Roman" w:cs="Times New Roman"/>
          <w:b/>
          <w:bCs/>
          <w:sz w:val="20"/>
          <w:szCs w:val="20"/>
        </w:rPr>
        <w:t>CUSUM and CUSUMSQ tests showing the stability of the estimated coefficients</w:t>
      </w:r>
    </w:p>
    <w:p w14:paraId="443A5280" w14:textId="650D78DB" w:rsidR="00640F84" w:rsidRPr="00CC358D" w:rsidRDefault="00640F84" w:rsidP="001E593B">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w:t>
      </w:r>
    </w:p>
    <w:p w14:paraId="7539C5C6" w14:textId="77777777" w:rsidR="001E593B" w:rsidRPr="00CC358D" w:rsidRDefault="001E593B" w:rsidP="00640F84">
      <w:pPr>
        <w:spacing w:after="0" w:line="240" w:lineRule="auto"/>
        <w:jc w:val="both"/>
        <w:rPr>
          <w:rFonts w:ascii="Times New Roman" w:eastAsia="Calibri" w:hAnsi="Times New Roman" w:cs="Times New Roman"/>
          <w:b/>
          <w:bCs/>
          <w:sz w:val="20"/>
          <w:szCs w:val="20"/>
        </w:rPr>
      </w:pPr>
    </w:p>
    <w:p w14:paraId="0C7BD0D8" w14:textId="7DAB828C" w:rsidR="00640F84" w:rsidRPr="00CC358D" w:rsidRDefault="001E593B"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 xml:space="preserve">4.6 </w:t>
      </w:r>
      <w:r w:rsidR="00640F84" w:rsidRPr="00CC358D">
        <w:rPr>
          <w:rFonts w:ascii="Times New Roman" w:eastAsia="Calibri" w:hAnsi="Times New Roman" w:cs="Times New Roman"/>
          <w:b/>
          <w:bCs/>
        </w:rPr>
        <w:t>Residual Diagnostic</w:t>
      </w:r>
      <w:bookmarkEnd w:id="6"/>
    </w:p>
    <w:p w14:paraId="0EEBC84C"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0507A7DE"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To evaluate the adequacy and reliability of the estimated ARDL model, several post-estimation diagnostic tests are conducted. These tests assess whether the underlying assumptions of the classical regression framework are satisfied. The Jarque–Bera test determines whether the residuals follow a normal distribution, the Breusch–Pagan–Godfrey test assesses heteroscedasticity, and the Breusch–Godfrey LM test detects serial correlation in the residuals. The diagnostic results indicate that the proposed model satisfies the statistical assumptions required for reliable inference. The residuals exhibit constant variance, follow a normal distribution, and show no serial correlation. These findings suggest that the estimated coefficients are statistically robust and that the ARDL specification is well behaved.</w:t>
      </w:r>
    </w:p>
    <w:p w14:paraId="75239D96"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11BFA85F" w14:textId="77777777" w:rsidR="00640F84" w:rsidRPr="00CC358D" w:rsidRDefault="00640F84" w:rsidP="001E593B">
      <w:pPr>
        <w:spacing w:after="0" w:line="240" w:lineRule="auto"/>
        <w:jc w:val="cente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 xml:space="preserve">Table 6. Test for Normality, Autocorrelation and </w:t>
      </w:r>
      <w:proofErr w:type="spellStart"/>
      <w:r w:rsidRPr="00CC358D">
        <w:rPr>
          <w:rFonts w:ascii="Times New Roman" w:eastAsia="Calibri" w:hAnsi="Times New Roman" w:cs="Times New Roman"/>
          <w:b/>
          <w:bCs/>
          <w:sz w:val="20"/>
          <w:szCs w:val="20"/>
        </w:rPr>
        <w:t>Heteroscadaticity</w:t>
      </w:r>
      <w:proofErr w:type="spellEnd"/>
    </w:p>
    <w:p w14:paraId="22E08B96" w14:textId="77777777" w:rsidR="001E593B" w:rsidRPr="00CC358D" w:rsidRDefault="001E593B" w:rsidP="001E593B">
      <w:pPr>
        <w:spacing w:after="0" w:line="240" w:lineRule="auto"/>
        <w:jc w:val="center"/>
        <w:rPr>
          <w:rFonts w:ascii="Times New Roman" w:eastAsia="Calibri" w:hAnsi="Times New Roman" w:cs="Times New Roman"/>
          <w:sz w:val="20"/>
          <w:szCs w:val="20"/>
        </w:rPr>
      </w:pPr>
    </w:p>
    <w:tbl>
      <w:tblPr>
        <w:tblStyle w:val="TableGrid"/>
        <w:tblW w:w="49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8"/>
        <w:gridCol w:w="3606"/>
        <w:gridCol w:w="3166"/>
      </w:tblGrid>
      <w:tr w:rsidR="00640F84" w:rsidRPr="00CC358D" w14:paraId="7C654B1D" w14:textId="77777777" w:rsidTr="00556490">
        <w:trPr>
          <w:trHeight w:val="20"/>
          <w:jc w:val="center"/>
        </w:trPr>
        <w:tc>
          <w:tcPr>
            <w:tcW w:w="2254" w:type="dxa"/>
            <w:tcBorders>
              <w:bottom w:val="single" w:sz="4" w:space="0" w:color="auto"/>
            </w:tcBorders>
          </w:tcPr>
          <w:p w14:paraId="00AB0B40"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Tests</w:t>
            </w:r>
          </w:p>
        </w:tc>
        <w:tc>
          <w:tcPr>
            <w:tcW w:w="3553" w:type="dxa"/>
            <w:tcBorders>
              <w:bottom w:val="single" w:sz="4" w:space="0" w:color="auto"/>
            </w:tcBorders>
          </w:tcPr>
          <w:p w14:paraId="3CDB3559"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f-stat</w:t>
            </w:r>
          </w:p>
        </w:tc>
        <w:tc>
          <w:tcPr>
            <w:tcW w:w="3119" w:type="dxa"/>
            <w:tcBorders>
              <w:bottom w:val="single" w:sz="4" w:space="0" w:color="auto"/>
            </w:tcBorders>
          </w:tcPr>
          <w:p w14:paraId="409A596C" w14:textId="77777777" w:rsidR="00640F84" w:rsidRPr="00CC358D" w:rsidRDefault="00640F84" w:rsidP="00640F84">
            <w:pPr>
              <w:rPr>
                <w:rFonts w:ascii="Times New Roman" w:eastAsia="Calibri" w:hAnsi="Times New Roman" w:cs="Times New Roman"/>
                <w:b/>
                <w:bCs/>
                <w:sz w:val="20"/>
                <w:szCs w:val="20"/>
              </w:rPr>
            </w:pPr>
            <w:r w:rsidRPr="00CC358D">
              <w:rPr>
                <w:rFonts w:ascii="Times New Roman" w:eastAsia="Calibri" w:hAnsi="Times New Roman" w:cs="Times New Roman"/>
                <w:b/>
                <w:bCs/>
                <w:sz w:val="20"/>
                <w:szCs w:val="20"/>
              </w:rPr>
              <w:t>p-value</w:t>
            </w:r>
          </w:p>
        </w:tc>
      </w:tr>
      <w:tr w:rsidR="00640F84" w:rsidRPr="00CC358D" w14:paraId="6D2152BE" w14:textId="77777777" w:rsidTr="00556490">
        <w:trPr>
          <w:trHeight w:val="20"/>
          <w:jc w:val="center"/>
        </w:trPr>
        <w:tc>
          <w:tcPr>
            <w:tcW w:w="2254" w:type="dxa"/>
            <w:tcBorders>
              <w:top w:val="single" w:sz="4" w:space="0" w:color="auto"/>
              <w:bottom w:val="nil"/>
            </w:tcBorders>
          </w:tcPr>
          <w:p w14:paraId="54FF914B"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Normality</w:t>
            </w:r>
          </w:p>
        </w:tc>
        <w:tc>
          <w:tcPr>
            <w:tcW w:w="3553" w:type="dxa"/>
            <w:tcBorders>
              <w:top w:val="single" w:sz="4" w:space="0" w:color="auto"/>
              <w:bottom w:val="nil"/>
            </w:tcBorders>
          </w:tcPr>
          <w:p w14:paraId="6B75CA87" w14:textId="77777777" w:rsidR="00640F84" w:rsidRPr="00CC358D" w:rsidRDefault="00640F84" w:rsidP="00640F84">
            <w:pPr>
              <w:rPr>
                <w:rFonts w:ascii="Times New Roman" w:eastAsia="Calibri" w:hAnsi="Times New Roman" w:cs="Times New Roman"/>
                <w:sz w:val="20"/>
                <w:szCs w:val="20"/>
              </w:rPr>
            </w:pPr>
          </w:p>
        </w:tc>
        <w:tc>
          <w:tcPr>
            <w:tcW w:w="3119" w:type="dxa"/>
            <w:tcBorders>
              <w:top w:val="single" w:sz="4" w:space="0" w:color="auto"/>
              <w:bottom w:val="nil"/>
            </w:tcBorders>
          </w:tcPr>
          <w:p w14:paraId="20E7868B"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0.9977</w:t>
            </w:r>
          </w:p>
        </w:tc>
      </w:tr>
      <w:tr w:rsidR="00640F84" w:rsidRPr="00CC358D" w14:paraId="76986F75" w14:textId="77777777" w:rsidTr="00556490">
        <w:trPr>
          <w:trHeight w:val="20"/>
          <w:jc w:val="center"/>
        </w:trPr>
        <w:tc>
          <w:tcPr>
            <w:tcW w:w="2254" w:type="dxa"/>
            <w:tcBorders>
              <w:top w:val="nil"/>
            </w:tcBorders>
          </w:tcPr>
          <w:p w14:paraId="32703178"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Autocorrelation</w:t>
            </w:r>
          </w:p>
        </w:tc>
        <w:tc>
          <w:tcPr>
            <w:tcW w:w="3553" w:type="dxa"/>
            <w:tcBorders>
              <w:top w:val="nil"/>
            </w:tcBorders>
          </w:tcPr>
          <w:p w14:paraId="1526988C"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1.507660</w:t>
            </w:r>
          </w:p>
        </w:tc>
        <w:tc>
          <w:tcPr>
            <w:tcW w:w="3119" w:type="dxa"/>
            <w:tcBorders>
              <w:top w:val="nil"/>
            </w:tcBorders>
          </w:tcPr>
          <w:p w14:paraId="04B6DF12"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0.2434</w:t>
            </w:r>
          </w:p>
        </w:tc>
      </w:tr>
      <w:tr w:rsidR="00640F84" w:rsidRPr="00CC358D" w14:paraId="018B00DA" w14:textId="77777777" w:rsidTr="00556490">
        <w:trPr>
          <w:trHeight w:val="20"/>
          <w:jc w:val="center"/>
        </w:trPr>
        <w:tc>
          <w:tcPr>
            <w:tcW w:w="2254" w:type="dxa"/>
          </w:tcPr>
          <w:p w14:paraId="50F8C501" w14:textId="77777777" w:rsidR="00640F84" w:rsidRPr="00CC358D" w:rsidRDefault="00640F84" w:rsidP="00640F84">
            <w:pPr>
              <w:rPr>
                <w:rFonts w:ascii="Times New Roman" w:eastAsia="Calibri" w:hAnsi="Times New Roman" w:cs="Times New Roman"/>
                <w:sz w:val="20"/>
                <w:szCs w:val="20"/>
              </w:rPr>
            </w:pPr>
            <w:proofErr w:type="spellStart"/>
            <w:r w:rsidRPr="00CC358D">
              <w:rPr>
                <w:rFonts w:ascii="Times New Roman" w:eastAsia="Calibri" w:hAnsi="Times New Roman" w:cs="Times New Roman"/>
                <w:sz w:val="20"/>
                <w:szCs w:val="20"/>
              </w:rPr>
              <w:t>Heteroscadasticity</w:t>
            </w:r>
            <w:proofErr w:type="spellEnd"/>
          </w:p>
        </w:tc>
        <w:tc>
          <w:tcPr>
            <w:tcW w:w="3553" w:type="dxa"/>
          </w:tcPr>
          <w:p w14:paraId="72AA879C"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0.454104</w:t>
            </w:r>
          </w:p>
        </w:tc>
        <w:tc>
          <w:tcPr>
            <w:tcW w:w="3119" w:type="dxa"/>
          </w:tcPr>
          <w:p w14:paraId="13215A1F" w14:textId="77777777" w:rsidR="00640F84" w:rsidRPr="00CC358D" w:rsidRDefault="00640F84" w:rsidP="00640F84">
            <w:pPr>
              <w:rPr>
                <w:rFonts w:ascii="Times New Roman" w:eastAsia="Calibri" w:hAnsi="Times New Roman" w:cs="Times New Roman"/>
                <w:sz w:val="20"/>
                <w:szCs w:val="20"/>
              </w:rPr>
            </w:pPr>
            <w:r w:rsidRPr="00CC358D">
              <w:rPr>
                <w:rFonts w:ascii="Times New Roman" w:eastAsia="Calibri" w:hAnsi="Times New Roman" w:cs="Times New Roman"/>
                <w:sz w:val="20"/>
                <w:szCs w:val="20"/>
              </w:rPr>
              <w:t>0.9223</w:t>
            </w:r>
          </w:p>
        </w:tc>
      </w:tr>
    </w:tbl>
    <w:p w14:paraId="4CAC5767" w14:textId="77777777" w:rsidR="00640F84" w:rsidRPr="00CC358D" w:rsidRDefault="00640F84" w:rsidP="001E593B">
      <w:pPr>
        <w:spacing w:after="0" w:line="240" w:lineRule="auto"/>
        <w:jc w:val="center"/>
        <w:rPr>
          <w:rFonts w:ascii="Times New Roman" w:eastAsia="Calibri" w:hAnsi="Times New Roman" w:cs="Times New Roman"/>
          <w:i/>
          <w:iCs/>
          <w:sz w:val="18"/>
          <w:szCs w:val="18"/>
        </w:rPr>
      </w:pPr>
      <w:r w:rsidRPr="00CC358D">
        <w:rPr>
          <w:rFonts w:ascii="Times New Roman" w:eastAsia="Calibri" w:hAnsi="Times New Roman" w:cs="Times New Roman"/>
          <w:i/>
          <w:iCs/>
          <w:sz w:val="18"/>
          <w:szCs w:val="18"/>
        </w:rPr>
        <w:t>Source: Author’s Calculations</w:t>
      </w:r>
    </w:p>
    <w:p w14:paraId="0D9EF740" w14:textId="77777777" w:rsidR="001E593B" w:rsidRPr="00CC358D" w:rsidRDefault="001E593B" w:rsidP="00640F84">
      <w:pPr>
        <w:spacing w:after="0" w:line="240" w:lineRule="auto"/>
        <w:jc w:val="both"/>
        <w:rPr>
          <w:rFonts w:ascii="Times New Roman" w:eastAsia="Calibri" w:hAnsi="Times New Roman" w:cs="Times New Roman"/>
          <w:sz w:val="16"/>
          <w:szCs w:val="16"/>
        </w:rPr>
      </w:pPr>
    </w:p>
    <w:p w14:paraId="0AA1EAB5"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residual diagnostic results indicate that the estimated model satisfies the essential statistical assumptions required for valid inference. Specifically, the residuals are normally distributed, free from serial correlation, and </w:t>
      </w:r>
      <w:proofErr w:type="spellStart"/>
      <w:r w:rsidRPr="00CC358D">
        <w:rPr>
          <w:rFonts w:ascii="Times New Roman" w:eastAsia="Calibri" w:hAnsi="Times New Roman" w:cs="Times New Roman"/>
          <w:sz w:val="20"/>
          <w:szCs w:val="20"/>
        </w:rPr>
        <w:t>characterised</w:t>
      </w:r>
      <w:proofErr w:type="spellEnd"/>
      <w:r w:rsidRPr="00CC358D">
        <w:rPr>
          <w:rFonts w:ascii="Times New Roman" w:eastAsia="Calibri" w:hAnsi="Times New Roman" w:cs="Times New Roman"/>
          <w:sz w:val="20"/>
          <w:szCs w:val="20"/>
        </w:rPr>
        <w:t xml:space="preserve"> by constant variance, indicating the absence of heteroscedasticity.</w:t>
      </w:r>
    </w:p>
    <w:p w14:paraId="1B9E9D42" w14:textId="77777777" w:rsidR="001E593B" w:rsidRPr="00CC358D" w:rsidRDefault="001E593B" w:rsidP="00640F84">
      <w:pPr>
        <w:spacing w:after="0" w:line="240" w:lineRule="auto"/>
        <w:jc w:val="both"/>
        <w:rPr>
          <w:rFonts w:ascii="Times New Roman" w:eastAsia="Calibri" w:hAnsi="Times New Roman" w:cs="Times New Roman"/>
          <w:sz w:val="16"/>
          <w:szCs w:val="16"/>
        </w:rPr>
      </w:pPr>
    </w:p>
    <w:p w14:paraId="00B5C9FF" w14:textId="25CB6396" w:rsidR="00640F84" w:rsidRPr="00CC358D" w:rsidRDefault="001E593B" w:rsidP="00640F84">
      <w:pPr>
        <w:spacing w:after="0" w:line="240" w:lineRule="auto"/>
        <w:jc w:val="both"/>
        <w:rPr>
          <w:rFonts w:ascii="Times New Roman" w:eastAsia="Calibri" w:hAnsi="Times New Roman" w:cs="Times New Roman"/>
          <w:b/>
        </w:rPr>
      </w:pPr>
      <w:r w:rsidRPr="00CC358D">
        <w:rPr>
          <w:rFonts w:ascii="Times New Roman" w:eastAsia="Calibri" w:hAnsi="Times New Roman" w:cs="Times New Roman"/>
          <w:b/>
        </w:rPr>
        <w:t xml:space="preserve">5. </w:t>
      </w:r>
      <w:r w:rsidR="00640F84" w:rsidRPr="00CC358D">
        <w:rPr>
          <w:rFonts w:ascii="Times New Roman" w:eastAsia="Calibri" w:hAnsi="Times New Roman" w:cs="Times New Roman"/>
          <w:b/>
        </w:rPr>
        <w:t>Limitation of the Study</w:t>
      </w:r>
    </w:p>
    <w:p w14:paraId="3AB6423A" w14:textId="77777777" w:rsidR="001E593B" w:rsidRPr="00CC358D" w:rsidRDefault="001E593B" w:rsidP="00640F84">
      <w:pPr>
        <w:spacing w:after="0" w:line="240" w:lineRule="auto"/>
        <w:jc w:val="both"/>
        <w:rPr>
          <w:rFonts w:ascii="Times New Roman" w:eastAsia="Calibri" w:hAnsi="Times New Roman" w:cs="Times New Roman"/>
          <w:b/>
          <w:sz w:val="16"/>
          <w:szCs w:val="16"/>
        </w:rPr>
      </w:pPr>
    </w:p>
    <w:p w14:paraId="5912DD81"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study is limited to India, and its findings may not be directly </w:t>
      </w:r>
      <w:proofErr w:type="spellStart"/>
      <w:r w:rsidRPr="00CC358D">
        <w:rPr>
          <w:rFonts w:ascii="Times New Roman" w:eastAsia="Calibri" w:hAnsi="Times New Roman" w:cs="Times New Roman"/>
          <w:sz w:val="20"/>
          <w:szCs w:val="20"/>
        </w:rPr>
        <w:t>generalisable</w:t>
      </w:r>
      <w:proofErr w:type="spellEnd"/>
      <w:r w:rsidRPr="00CC358D">
        <w:rPr>
          <w:rFonts w:ascii="Times New Roman" w:eastAsia="Calibri" w:hAnsi="Times New Roman" w:cs="Times New Roman"/>
          <w:sz w:val="20"/>
          <w:szCs w:val="20"/>
        </w:rPr>
        <w:t xml:space="preserve"> to countries with different demographic, economic, and energy structures. The model focuses on urban population growth, energy </w:t>
      </w:r>
      <w:r w:rsidRPr="00CC358D">
        <w:rPr>
          <w:rFonts w:ascii="Times New Roman" w:eastAsia="Calibri" w:hAnsi="Times New Roman" w:cs="Times New Roman"/>
          <w:sz w:val="20"/>
          <w:szCs w:val="20"/>
        </w:rPr>
        <w:lastRenderedPageBreak/>
        <w:t>consumption, and trade openness, while other potentially relevant factors, including renewable-energy adoption, technological innovation, institutional quality, and environmental policy, are not explicitly included because of data and model constraints. Although the ARDL approach captures short-run and long-run relationships, future research could examine nonlinearities, structural breaks, and asymmetric effects.</w:t>
      </w:r>
    </w:p>
    <w:p w14:paraId="64D60894"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43C87B9A" w14:textId="77B20B8F" w:rsidR="00640F84" w:rsidRPr="00CC358D" w:rsidRDefault="001E593B" w:rsidP="00640F84">
      <w:pPr>
        <w:spacing w:after="0" w:line="240" w:lineRule="auto"/>
        <w:jc w:val="both"/>
        <w:rPr>
          <w:rFonts w:ascii="Times New Roman" w:eastAsia="Calibri" w:hAnsi="Times New Roman" w:cs="Times New Roman"/>
          <w:b/>
          <w:bCs/>
        </w:rPr>
      </w:pPr>
      <w:r w:rsidRPr="00CC358D">
        <w:rPr>
          <w:rFonts w:ascii="Times New Roman" w:eastAsia="Calibri" w:hAnsi="Times New Roman" w:cs="Times New Roman"/>
          <w:b/>
          <w:bCs/>
        </w:rPr>
        <w:t xml:space="preserve">6. </w:t>
      </w:r>
      <w:r w:rsidR="00640F84" w:rsidRPr="00CC358D">
        <w:rPr>
          <w:rFonts w:ascii="Times New Roman" w:eastAsia="Calibri" w:hAnsi="Times New Roman" w:cs="Times New Roman"/>
          <w:b/>
          <w:bCs/>
        </w:rPr>
        <w:t>Conclusion and Policy Implications</w:t>
      </w:r>
    </w:p>
    <w:p w14:paraId="5462A1E2" w14:textId="77777777" w:rsidR="001E593B" w:rsidRPr="00CC358D" w:rsidRDefault="001E593B" w:rsidP="00640F84">
      <w:pPr>
        <w:spacing w:after="0" w:line="240" w:lineRule="auto"/>
        <w:jc w:val="both"/>
        <w:rPr>
          <w:rFonts w:ascii="Times New Roman" w:eastAsia="Calibri" w:hAnsi="Times New Roman" w:cs="Times New Roman"/>
          <w:b/>
          <w:bCs/>
          <w:sz w:val="20"/>
          <w:szCs w:val="20"/>
        </w:rPr>
      </w:pPr>
    </w:p>
    <w:p w14:paraId="7D3A8ACC"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bookmarkStart w:id="7" w:name="_Hlk232755622"/>
      <w:r w:rsidRPr="00CC358D">
        <w:rPr>
          <w:rFonts w:ascii="Times New Roman" w:eastAsia="Calibri" w:hAnsi="Times New Roman" w:cs="Times New Roman"/>
          <w:sz w:val="20"/>
          <w:szCs w:val="20"/>
          <w:lang w:val="en-IN"/>
        </w:rPr>
        <w:t>Using annual data for 1974–2023, this study applies the Autoregressive Distributed Lag (ARDL) bounds-testing framework to examine the long-run relationship among urban population growth, energy consumption, trade openness, and carbon dioxide (CO₂) emissions in India. The empirical evidence confirms a stable long-run equilibrium relationship among the selected variables. According to the estimated long-run coefficients, urban population growth is the principal factor associated with carbon emissions. The findings show that a 1% increase in the urban population is associated with an approximately 1.17% increase in CO₂ emissions, indicating that rapid urban expansion increases demand for housing, public services, transport infrastructure, and energy.</w:t>
      </w:r>
    </w:p>
    <w:p w14:paraId="33BB6F89"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49EBBBBB"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The analysis further demonstrates that energy consumption is a significant contributor to environmental degradation. Specifically, a 1% rise in energy use increases CO₂ emissions by approximately 1.02%, reflecting India's continued dependence on fossil-fuel-based energy sources to support economic and industrial activities. Trade openness also exhibits a positive and statistically significant association with carbon emissions, although its estimated effect is comparatively smaller, with a 1% increase in trade raising emissions by about 0.09%. This finding implies that expanding trade activities may increase environmental pressures when production and transportation continue to rely on carbon-intensive technologies.</w:t>
      </w:r>
    </w:p>
    <w:p w14:paraId="3977457A"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738DC614"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The estimated error correction term is negative and highly significant, indicating that short-run deviations from the long-run equilibrium are corrected rapidly. Furthermore, the diagnostic and stability tests support the robustness of the estimated relationships by confirming that the ARDL model satisfies the required econometric assumptions and remains stable throughout the sample period.</w:t>
      </w:r>
    </w:p>
    <w:p w14:paraId="3977FAED"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20F4E29B"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Overall, the findings indicate that urbanisation, rising energy demand, and increasing trade integration jointly contribute to environmental degradation in India, with urban population growth exerting the strongest long-run influence. These results highlight the importance of incorporating environmental considerations into urban development and economic planning.</w:t>
      </w:r>
    </w:p>
    <w:p w14:paraId="5EBB255F"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6DA6192A"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From a policy perspective, the results highlight several important considerations. First, accelerating the transition to renewable energy and reducing dependence on fossil fuels should remain central to India's climate strategy. Second, to accommodate urban growth while minimising environmental effects, urban-development policies should promote compact city design, efficient public transport networks, energy-efficient buildings, and green infrastructure. Third, reducing emissions without compromising economic progress requires greater industrial energy efficiency and wider adoption of cleaner manufacturing methods. Finally, stronger environmental regulation and market-based instruments, such as carbon pricing and emissions-trading schemes, may encourage producers and consumers to adopt more sustainable practices and support India's transition to low-carbon growth.</w:t>
      </w:r>
    </w:p>
    <w:p w14:paraId="222B1A34"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p w14:paraId="18205DB1"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r w:rsidRPr="00CC358D">
        <w:rPr>
          <w:rFonts w:ascii="Times New Roman" w:eastAsia="Calibri" w:hAnsi="Times New Roman" w:cs="Times New Roman"/>
          <w:sz w:val="20"/>
          <w:szCs w:val="20"/>
          <w:lang w:val="en-IN"/>
        </w:rPr>
        <w:t>In summary, achieving sustainable urban and economic development in India requires an integrated policy approach that combines clean energy adoption, sustainable urban planning, technological advancement, and effective environmental governance. Such coordinated efforts will be essential for reducing carbon emissions while ensuring long-term economic growth and environmental sustainability.</w:t>
      </w:r>
    </w:p>
    <w:p w14:paraId="2CB7057A" w14:textId="77777777" w:rsidR="00640F84" w:rsidRPr="00CC358D" w:rsidRDefault="00640F84" w:rsidP="00640F84">
      <w:pPr>
        <w:spacing w:after="0" w:line="240" w:lineRule="auto"/>
        <w:jc w:val="both"/>
        <w:rPr>
          <w:rFonts w:ascii="Times New Roman" w:eastAsia="Calibri" w:hAnsi="Times New Roman" w:cs="Times New Roman"/>
          <w:b/>
          <w:sz w:val="20"/>
          <w:szCs w:val="20"/>
        </w:rPr>
      </w:pPr>
    </w:p>
    <w:p w14:paraId="0459D950" w14:textId="77777777" w:rsidR="00640F84" w:rsidRPr="00CC358D" w:rsidRDefault="00640F84" w:rsidP="00640F84">
      <w:pPr>
        <w:spacing w:after="0" w:line="240" w:lineRule="auto"/>
        <w:jc w:val="both"/>
        <w:rPr>
          <w:rFonts w:ascii="Times New Roman" w:eastAsia="Calibri" w:hAnsi="Times New Roman" w:cs="Times New Roman"/>
          <w:b/>
        </w:rPr>
      </w:pPr>
      <w:r w:rsidRPr="00CC358D">
        <w:rPr>
          <w:rFonts w:ascii="Times New Roman" w:eastAsia="Calibri" w:hAnsi="Times New Roman" w:cs="Times New Roman"/>
          <w:b/>
        </w:rPr>
        <w:t>Declaration of AI Use</w:t>
      </w:r>
    </w:p>
    <w:p w14:paraId="08DCB13A" w14:textId="77777777" w:rsidR="001E593B" w:rsidRPr="00CC358D" w:rsidRDefault="001E593B" w:rsidP="00640F84">
      <w:pPr>
        <w:spacing w:after="0" w:line="240" w:lineRule="auto"/>
        <w:jc w:val="both"/>
        <w:rPr>
          <w:rFonts w:ascii="Times New Roman" w:eastAsia="Calibri" w:hAnsi="Times New Roman" w:cs="Times New Roman"/>
          <w:b/>
          <w:sz w:val="20"/>
          <w:szCs w:val="20"/>
        </w:rPr>
      </w:pPr>
    </w:p>
    <w:bookmarkEnd w:id="7"/>
    <w:p w14:paraId="05F28A30" w14:textId="77777777" w:rsidR="00640F84" w:rsidRPr="00CC358D" w:rsidRDefault="00640F84" w:rsidP="00640F84">
      <w:pPr>
        <w:spacing w:after="0" w:line="240" w:lineRule="auto"/>
        <w:jc w:val="both"/>
        <w:rPr>
          <w:rFonts w:ascii="Times New Roman" w:eastAsia="Calibri" w:hAnsi="Times New Roman" w:cs="Times New Roman"/>
          <w:sz w:val="20"/>
          <w:szCs w:val="20"/>
        </w:rPr>
      </w:pPr>
      <w:r w:rsidRPr="00CC358D">
        <w:rPr>
          <w:rFonts w:ascii="Times New Roman" w:eastAsia="Calibri" w:hAnsi="Times New Roman" w:cs="Times New Roman"/>
          <w:sz w:val="20"/>
          <w:szCs w:val="20"/>
        </w:rPr>
        <w:t xml:space="preserve">The authors confirm that this manuscript is the result of their independent scholarly work, including the conception of the study, research design, data collection and analysis, interpretation of findings, and preparation of the final manuscript. Artificial intelligence-based writing tools, including ChatGPT, Grammarly and </w:t>
      </w:r>
      <w:proofErr w:type="spellStart"/>
      <w:r w:rsidRPr="00CC358D">
        <w:rPr>
          <w:rFonts w:ascii="Times New Roman" w:eastAsia="Calibri" w:hAnsi="Times New Roman" w:cs="Times New Roman"/>
          <w:sz w:val="20"/>
          <w:szCs w:val="20"/>
        </w:rPr>
        <w:t>Quillbot</w:t>
      </w:r>
      <w:proofErr w:type="spellEnd"/>
      <w:r w:rsidRPr="00CC358D">
        <w:rPr>
          <w:rFonts w:ascii="Times New Roman" w:eastAsia="Calibri" w:hAnsi="Times New Roman" w:cs="Times New Roman"/>
          <w:sz w:val="20"/>
          <w:szCs w:val="20"/>
        </w:rPr>
        <w:t xml:space="preserve"> were used solely to support language editing, grammar correction, and reference formatting during manuscript preparation. These tools did not contribute to the scientific content, data analysis, interpretation of results, or intellectual decision-making, and they were not involved as authors or co-authors. All AI-assisted suggestions </w:t>
      </w:r>
      <w:r w:rsidRPr="00CC358D">
        <w:rPr>
          <w:rFonts w:ascii="Times New Roman" w:eastAsia="Calibri" w:hAnsi="Times New Roman" w:cs="Times New Roman"/>
          <w:sz w:val="20"/>
          <w:szCs w:val="20"/>
        </w:rPr>
        <w:lastRenderedPageBreak/>
        <w:t>were critically assessed, revised where necessary, and verified by the authors before incorporation into the manuscript. The authors assume full responsibility for the originality, accuracy, integrity, and scholarly content of the work presented.</w:t>
      </w:r>
    </w:p>
    <w:p w14:paraId="0D1DFC56" w14:textId="77777777" w:rsidR="001E593B" w:rsidRPr="00CC358D" w:rsidRDefault="001E593B" w:rsidP="00640F84">
      <w:pPr>
        <w:spacing w:after="0" w:line="240" w:lineRule="auto"/>
        <w:jc w:val="both"/>
        <w:rPr>
          <w:rFonts w:ascii="Times New Roman" w:eastAsia="Calibri" w:hAnsi="Times New Roman" w:cs="Times New Roman"/>
          <w:sz w:val="20"/>
          <w:szCs w:val="20"/>
        </w:rPr>
      </w:pPr>
    </w:p>
    <w:p w14:paraId="460BC879" w14:textId="77777777" w:rsidR="001E593B" w:rsidRPr="00CC358D" w:rsidRDefault="001E593B" w:rsidP="001E593B">
      <w:pPr>
        <w:pStyle w:val="ReferHead"/>
        <w:spacing w:after="0"/>
        <w:jc w:val="both"/>
        <w:rPr>
          <w:rFonts w:ascii="Times New Roman" w:hAnsi="Times New Roman"/>
          <w:bCs/>
        </w:rPr>
      </w:pPr>
      <w:r w:rsidRPr="00CC358D">
        <w:rPr>
          <w:rFonts w:ascii="Times New Roman" w:hAnsi="Times New Roman"/>
          <w:bCs/>
          <w:caps w:val="0"/>
        </w:rPr>
        <w:t>Competing Interests</w:t>
      </w:r>
    </w:p>
    <w:p w14:paraId="4D16A66B" w14:textId="77777777" w:rsidR="001E593B" w:rsidRPr="00CC358D" w:rsidRDefault="001E593B" w:rsidP="001E593B">
      <w:pPr>
        <w:pStyle w:val="ReferHead"/>
        <w:spacing w:after="0"/>
        <w:rPr>
          <w:rFonts w:ascii="Times New Roman" w:hAnsi="Times New Roman"/>
        </w:rPr>
      </w:pPr>
    </w:p>
    <w:p w14:paraId="78FB3640" w14:textId="77777777" w:rsidR="001E593B" w:rsidRPr="00CC358D" w:rsidRDefault="001E593B" w:rsidP="001E593B">
      <w:pPr>
        <w:pStyle w:val="ReferHead"/>
        <w:spacing w:after="0"/>
        <w:jc w:val="both"/>
        <w:rPr>
          <w:rFonts w:ascii="Times New Roman" w:hAnsi="Times New Roman"/>
          <w:b w:val="0"/>
          <w:caps w:val="0"/>
          <w:sz w:val="20"/>
        </w:rPr>
      </w:pPr>
      <w:r w:rsidRPr="00CC358D">
        <w:rPr>
          <w:rFonts w:ascii="Times New Roman" w:hAnsi="Times New Roman"/>
          <w:b w:val="0"/>
          <w:caps w:val="0"/>
          <w:sz w:val="20"/>
        </w:rPr>
        <w:t>Authors have declared that no competing interests exist.</w:t>
      </w:r>
    </w:p>
    <w:p w14:paraId="16D9ED73" w14:textId="77777777" w:rsidR="00640F84" w:rsidRPr="00CC358D" w:rsidRDefault="00640F84" w:rsidP="00640F84">
      <w:pPr>
        <w:spacing w:after="0" w:line="240" w:lineRule="auto"/>
        <w:jc w:val="both"/>
        <w:rPr>
          <w:rFonts w:ascii="Times New Roman" w:eastAsia="Calibri" w:hAnsi="Times New Roman" w:cs="Times New Roman"/>
          <w:sz w:val="20"/>
          <w:szCs w:val="20"/>
          <w:lang w:val="en-IN"/>
        </w:rPr>
      </w:pPr>
    </w:p>
    <w:p w14:paraId="417713DE" w14:textId="77777777" w:rsidR="00640F84" w:rsidRPr="00CC358D" w:rsidRDefault="00640F84" w:rsidP="00640F84">
      <w:pPr>
        <w:spacing w:after="0" w:line="240" w:lineRule="auto"/>
        <w:jc w:val="both"/>
        <w:rPr>
          <w:rFonts w:ascii="Times New Roman" w:eastAsia="Calibri" w:hAnsi="Times New Roman" w:cs="Times New Roman"/>
          <w:b/>
          <w:bCs/>
          <w:sz w:val="20"/>
          <w:szCs w:val="20"/>
        </w:rPr>
      </w:pPr>
      <w:r w:rsidRPr="00CC358D">
        <w:rPr>
          <w:rFonts w:ascii="Times New Roman" w:eastAsia="Calibri" w:hAnsi="Times New Roman" w:cs="Times New Roman"/>
          <w:b/>
          <w:bCs/>
        </w:rPr>
        <w:t>References</w:t>
      </w:r>
    </w:p>
    <w:p w14:paraId="0C28C5AF" w14:textId="77777777" w:rsidR="001E593B" w:rsidRPr="00CC358D" w:rsidRDefault="001E593B" w:rsidP="00640F84">
      <w:pPr>
        <w:spacing w:after="0" w:line="240" w:lineRule="auto"/>
        <w:jc w:val="both"/>
        <w:rPr>
          <w:rFonts w:ascii="Times New Roman" w:eastAsia="Calibri" w:hAnsi="Times New Roman" w:cs="Times New Roman"/>
          <w:sz w:val="20"/>
          <w:szCs w:val="20"/>
          <w:lang w:val="en-IN"/>
        </w:rPr>
      </w:pPr>
    </w:p>
    <w:bookmarkEnd w:id="3"/>
    <w:p w14:paraId="34B5E48A"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Abbasi</w:t>
      </w:r>
      <w:proofErr w:type="gramEnd"/>
      <w:r w:rsidRPr="003B5944">
        <w:rPr>
          <w:rFonts w:ascii="Times New Roman" w:eastAsia="Times New Roman" w:hAnsi="Times New Roman" w:cs="Times New Roman"/>
          <w:sz w:val="24"/>
          <w:szCs w:val="24"/>
        </w:rPr>
        <w:t xml:space="preserve">, M. A., Parveen, S., Khan, S., &amp; Kamal, M. A. (2020). Urbanization and energy consumption effects on carbon dioxide emissions: Evidence from Asian-8 countries using panel data analysis. </w:t>
      </w:r>
      <w:r w:rsidRPr="003B5944">
        <w:rPr>
          <w:rFonts w:ascii="Times New Roman" w:eastAsia="Times New Roman" w:hAnsi="Times New Roman" w:cs="Times New Roman"/>
          <w:i/>
          <w:iCs/>
          <w:sz w:val="24"/>
          <w:szCs w:val="24"/>
        </w:rPr>
        <w:t>Environmental Science and Pollution Research, 27</w:t>
      </w:r>
      <w:r w:rsidRPr="003B5944">
        <w:rPr>
          <w:rFonts w:ascii="Times New Roman" w:eastAsia="Times New Roman" w:hAnsi="Times New Roman" w:cs="Times New Roman"/>
          <w:sz w:val="24"/>
          <w:szCs w:val="24"/>
        </w:rPr>
        <w:t xml:space="preserve">(15), 18029–18043. </w:t>
      </w:r>
      <w:hyperlink r:id="rId14" w:tgtFrame="_new" w:history="1">
        <w:r w:rsidRPr="003B5944">
          <w:rPr>
            <w:rFonts w:ascii="Times New Roman" w:eastAsia="Times New Roman" w:hAnsi="Times New Roman" w:cs="Times New Roman"/>
            <w:color w:val="0000FF"/>
            <w:sz w:val="24"/>
            <w:szCs w:val="24"/>
            <w:u w:val="single"/>
          </w:rPr>
          <w:t>https://doi.org/10.1007/s11356-020-08262-w</w:t>
        </w:r>
      </w:hyperlink>
      <w:r w:rsidRPr="003B5944">
        <w:rPr>
          <w:rFonts w:ascii="Times New Roman" w:eastAsia="Times New Roman" w:hAnsi="Times New Roman" w:cs="Times New Roman"/>
          <w:sz w:val="24"/>
          <w:szCs w:val="24"/>
        </w:rPr>
        <w:t xml:space="preserve"> </w:t>
      </w:r>
    </w:p>
    <w:p w14:paraId="410D5813"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Afridi</w:t>
      </w:r>
      <w:proofErr w:type="gramEnd"/>
      <w:r w:rsidRPr="003B5944">
        <w:rPr>
          <w:rFonts w:ascii="Times New Roman" w:eastAsia="Times New Roman" w:hAnsi="Times New Roman" w:cs="Times New Roman"/>
          <w:sz w:val="24"/>
          <w:szCs w:val="24"/>
        </w:rPr>
        <w:t xml:space="preserve">, M. A., </w:t>
      </w:r>
      <w:proofErr w:type="spellStart"/>
      <w:r w:rsidRPr="003B5944">
        <w:rPr>
          <w:rFonts w:ascii="Times New Roman" w:eastAsia="Times New Roman" w:hAnsi="Times New Roman" w:cs="Times New Roman"/>
          <w:sz w:val="24"/>
          <w:szCs w:val="24"/>
        </w:rPr>
        <w:t>Kehelwalatenna</w:t>
      </w:r>
      <w:proofErr w:type="spellEnd"/>
      <w:r w:rsidRPr="003B5944">
        <w:rPr>
          <w:rFonts w:ascii="Times New Roman" w:eastAsia="Times New Roman" w:hAnsi="Times New Roman" w:cs="Times New Roman"/>
          <w:sz w:val="24"/>
          <w:szCs w:val="24"/>
        </w:rPr>
        <w:t xml:space="preserve">, S., Naseem, I., &amp; Tahir, M. (2019). Per capita income, trade openness, urbanization, energy consumption, and CO2 emissions: An empirical study on the SAARC region. </w:t>
      </w:r>
      <w:r w:rsidRPr="003B5944">
        <w:rPr>
          <w:rFonts w:ascii="Times New Roman" w:eastAsia="Times New Roman" w:hAnsi="Times New Roman" w:cs="Times New Roman"/>
          <w:i/>
          <w:iCs/>
          <w:sz w:val="24"/>
          <w:szCs w:val="24"/>
        </w:rPr>
        <w:t>Environmental Science and Pollution Research, 26</w:t>
      </w:r>
      <w:r w:rsidRPr="003B5944">
        <w:rPr>
          <w:rFonts w:ascii="Times New Roman" w:eastAsia="Times New Roman" w:hAnsi="Times New Roman" w:cs="Times New Roman"/>
          <w:sz w:val="24"/>
          <w:szCs w:val="24"/>
        </w:rPr>
        <w:t xml:space="preserve">(29), 29978–29990. </w:t>
      </w:r>
      <w:hyperlink r:id="rId15" w:tgtFrame="_new" w:history="1">
        <w:r w:rsidRPr="003B5944">
          <w:rPr>
            <w:rFonts w:ascii="Times New Roman" w:eastAsia="Times New Roman" w:hAnsi="Times New Roman" w:cs="Times New Roman"/>
            <w:color w:val="0000FF"/>
            <w:sz w:val="24"/>
            <w:szCs w:val="24"/>
            <w:u w:val="single"/>
          </w:rPr>
          <w:t>https://doi.org/10.1007/s11356-019-06154-2</w:t>
        </w:r>
      </w:hyperlink>
      <w:r w:rsidRPr="003B5944">
        <w:rPr>
          <w:rFonts w:ascii="Times New Roman" w:eastAsia="Times New Roman" w:hAnsi="Times New Roman" w:cs="Times New Roman"/>
          <w:sz w:val="24"/>
          <w:szCs w:val="24"/>
        </w:rPr>
        <w:t xml:space="preserve"> </w:t>
      </w:r>
    </w:p>
    <w:p w14:paraId="37F8B7DB"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Ahmad</w:t>
      </w:r>
      <w:proofErr w:type="gramEnd"/>
      <w:r w:rsidRPr="003B5944">
        <w:rPr>
          <w:rFonts w:ascii="Times New Roman" w:eastAsia="Times New Roman" w:hAnsi="Times New Roman" w:cs="Times New Roman"/>
          <w:sz w:val="24"/>
          <w:szCs w:val="24"/>
        </w:rPr>
        <w:t xml:space="preserve">, S., Baiocchi, G., &amp; </w:t>
      </w:r>
      <w:proofErr w:type="spellStart"/>
      <w:r w:rsidRPr="003B5944">
        <w:rPr>
          <w:rFonts w:ascii="Times New Roman" w:eastAsia="Times New Roman" w:hAnsi="Times New Roman" w:cs="Times New Roman"/>
          <w:sz w:val="24"/>
          <w:szCs w:val="24"/>
        </w:rPr>
        <w:t>Creutzig</w:t>
      </w:r>
      <w:proofErr w:type="spellEnd"/>
      <w:r w:rsidRPr="003B5944">
        <w:rPr>
          <w:rFonts w:ascii="Times New Roman" w:eastAsia="Times New Roman" w:hAnsi="Times New Roman" w:cs="Times New Roman"/>
          <w:sz w:val="24"/>
          <w:szCs w:val="24"/>
        </w:rPr>
        <w:t xml:space="preserve">, F. (2015). CO2 emissions from direct energy use of urban households in India. </w:t>
      </w:r>
      <w:r w:rsidRPr="003B5944">
        <w:rPr>
          <w:rFonts w:ascii="Times New Roman" w:eastAsia="Times New Roman" w:hAnsi="Times New Roman" w:cs="Times New Roman"/>
          <w:i/>
          <w:iCs/>
          <w:sz w:val="24"/>
          <w:szCs w:val="24"/>
        </w:rPr>
        <w:t>Environmental Science &amp; Technology, 49</w:t>
      </w:r>
      <w:r w:rsidRPr="003B5944">
        <w:rPr>
          <w:rFonts w:ascii="Times New Roman" w:eastAsia="Times New Roman" w:hAnsi="Times New Roman" w:cs="Times New Roman"/>
          <w:sz w:val="24"/>
          <w:szCs w:val="24"/>
        </w:rPr>
        <w:t xml:space="preserve">(19), 11312–11320. </w:t>
      </w:r>
      <w:hyperlink r:id="rId16" w:tgtFrame="_new" w:history="1">
        <w:r w:rsidRPr="003B5944">
          <w:rPr>
            <w:rFonts w:ascii="Times New Roman" w:eastAsia="Times New Roman" w:hAnsi="Times New Roman" w:cs="Times New Roman"/>
            <w:color w:val="0000FF"/>
            <w:sz w:val="24"/>
            <w:szCs w:val="24"/>
            <w:u w:val="single"/>
          </w:rPr>
          <w:t>https://doi.org/10.1021/es505814g</w:t>
        </w:r>
      </w:hyperlink>
      <w:r w:rsidRPr="003B5944">
        <w:rPr>
          <w:rFonts w:ascii="Times New Roman" w:eastAsia="Times New Roman" w:hAnsi="Times New Roman" w:cs="Times New Roman"/>
          <w:sz w:val="24"/>
          <w:szCs w:val="24"/>
        </w:rPr>
        <w:t xml:space="preserve"> </w:t>
      </w:r>
    </w:p>
    <w:p w14:paraId="5BB21610"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Ahmad</w:t>
      </w:r>
      <w:proofErr w:type="gramEnd"/>
      <w:r w:rsidRPr="003B5944">
        <w:rPr>
          <w:rFonts w:ascii="Times New Roman" w:eastAsia="Times New Roman" w:hAnsi="Times New Roman" w:cs="Times New Roman"/>
          <w:sz w:val="24"/>
          <w:szCs w:val="24"/>
        </w:rPr>
        <w:t xml:space="preserve">, T. I., Bhatti, M. A., Urooj, K., &amp; Javed, H. (2022). Urban population growth, per capita energy use, and CO2 emissions: Evidence from the world’s fifth-most populous country. </w:t>
      </w:r>
      <w:proofErr w:type="spellStart"/>
      <w:r w:rsidRPr="003B5944">
        <w:rPr>
          <w:rFonts w:ascii="Times New Roman" w:eastAsia="Times New Roman" w:hAnsi="Times New Roman" w:cs="Times New Roman"/>
          <w:i/>
          <w:iCs/>
          <w:sz w:val="24"/>
          <w:szCs w:val="24"/>
        </w:rPr>
        <w:t>iRASD</w:t>
      </w:r>
      <w:proofErr w:type="spellEnd"/>
      <w:r w:rsidRPr="003B5944">
        <w:rPr>
          <w:rFonts w:ascii="Times New Roman" w:eastAsia="Times New Roman" w:hAnsi="Times New Roman" w:cs="Times New Roman"/>
          <w:i/>
          <w:iCs/>
          <w:sz w:val="24"/>
          <w:szCs w:val="24"/>
        </w:rPr>
        <w:t xml:space="preserve"> Journal of Energy &amp; Environment, 3</w:t>
      </w:r>
      <w:r w:rsidRPr="003B5944">
        <w:rPr>
          <w:rFonts w:ascii="Times New Roman" w:eastAsia="Times New Roman" w:hAnsi="Times New Roman" w:cs="Times New Roman"/>
          <w:sz w:val="24"/>
          <w:szCs w:val="24"/>
        </w:rPr>
        <w:t xml:space="preserve">(2), 97–110. </w:t>
      </w:r>
      <w:hyperlink r:id="rId17" w:tgtFrame="_new" w:history="1">
        <w:r w:rsidRPr="003B5944">
          <w:rPr>
            <w:rFonts w:ascii="Times New Roman" w:eastAsia="Times New Roman" w:hAnsi="Times New Roman" w:cs="Times New Roman"/>
            <w:color w:val="0000FF"/>
            <w:sz w:val="24"/>
            <w:szCs w:val="24"/>
            <w:u w:val="single"/>
          </w:rPr>
          <w:t>https://doi.org/10.52131/jee.2022.0302.0029</w:t>
        </w:r>
      </w:hyperlink>
      <w:r w:rsidRPr="003B5944">
        <w:rPr>
          <w:rFonts w:ascii="Times New Roman" w:eastAsia="Times New Roman" w:hAnsi="Times New Roman" w:cs="Times New Roman"/>
          <w:sz w:val="24"/>
          <w:szCs w:val="24"/>
        </w:rPr>
        <w:t xml:space="preserve"> </w:t>
      </w:r>
    </w:p>
    <w:p w14:paraId="5A0544EB"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Akorede</w:t>
      </w:r>
      <w:proofErr w:type="gramEnd"/>
      <w:r w:rsidRPr="003B5944">
        <w:rPr>
          <w:rFonts w:ascii="Times New Roman" w:eastAsia="Times New Roman" w:hAnsi="Times New Roman" w:cs="Times New Roman"/>
          <w:sz w:val="24"/>
          <w:szCs w:val="24"/>
        </w:rPr>
        <w:t xml:space="preserve">, Y. F., &amp; Afroz, R. (2020). The relationship between urbanization, CO2 emissions, economic growth, and energy consumption in Nigeria. </w:t>
      </w:r>
      <w:r w:rsidRPr="003B5944">
        <w:rPr>
          <w:rFonts w:ascii="Times New Roman" w:eastAsia="Times New Roman" w:hAnsi="Times New Roman" w:cs="Times New Roman"/>
          <w:i/>
          <w:iCs/>
          <w:sz w:val="24"/>
          <w:szCs w:val="24"/>
        </w:rPr>
        <w:t>International Journal of Energy Economics and Policy, 10</w:t>
      </w:r>
      <w:r w:rsidRPr="003B5944">
        <w:rPr>
          <w:rFonts w:ascii="Times New Roman" w:eastAsia="Times New Roman" w:hAnsi="Times New Roman" w:cs="Times New Roman"/>
          <w:sz w:val="24"/>
          <w:szCs w:val="24"/>
        </w:rPr>
        <w:t xml:space="preserve">(6), 491–501. </w:t>
      </w:r>
      <w:hyperlink r:id="rId18" w:tgtFrame="_new" w:history="1">
        <w:r w:rsidRPr="003B5944">
          <w:rPr>
            <w:rFonts w:ascii="Times New Roman" w:eastAsia="Times New Roman" w:hAnsi="Times New Roman" w:cs="Times New Roman"/>
            <w:color w:val="0000FF"/>
            <w:sz w:val="24"/>
            <w:szCs w:val="24"/>
            <w:u w:val="single"/>
          </w:rPr>
          <w:t>https://doi.org/10.32479/ijeep.9355</w:t>
        </w:r>
      </w:hyperlink>
      <w:r w:rsidRPr="003B5944">
        <w:rPr>
          <w:rFonts w:ascii="Times New Roman" w:eastAsia="Times New Roman" w:hAnsi="Times New Roman" w:cs="Times New Roman"/>
          <w:sz w:val="24"/>
          <w:szCs w:val="24"/>
        </w:rPr>
        <w:t xml:space="preserve"> </w:t>
      </w:r>
    </w:p>
    <w:p w14:paraId="1731D4CC"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Al</w:t>
      </w:r>
      <w:proofErr w:type="gramEnd"/>
      <w:r w:rsidRPr="003B5944">
        <w:rPr>
          <w:rFonts w:ascii="Times New Roman" w:eastAsia="Times New Roman" w:hAnsi="Times New Roman" w:cs="Times New Roman"/>
          <w:sz w:val="24"/>
          <w:szCs w:val="24"/>
        </w:rPr>
        <w:t xml:space="preserve">-Jebouri, M., Oran, A. F., &amp; Al-Assaf, G. (2020). The impact of urban concentration on economic growth: An empirical investigation for a sample of countries. </w:t>
      </w:r>
      <w:r w:rsidRPr="003B5944">
        <w:rPr>
          <w:rFonts w:ascii="Times New Roman" w:eastAsia="Times New Roman" w:hAnsi="Times New Roman" w:cs="Times New Roman"/>
          <w:i/>
          <w:iCs/>
          <w:sz w:val="24"/>
          <w:szCs w:val="24"/>
        </w:rPr>
        <w:t>International Journal of Economics and Financial Issues, 10</w:t>
      </w:r>
      <w:r w:rsidRPr="003B5944">
        <w:rPr>
          <w:rFonts w:ascii="Times New Roman" w:eastAsia="Times New Roman" w:hAnsi="Times New Roman" w:cs="Times New Roman"/>
          <w:sz w:val="24"/>
          <w:szCs w:val="24"/>
        </w:rPr>
        <w:t xml:space="preserve">(4), 116–124. </w:t>
      </w:r>
      <w:hyperlink r:id="rId19" w:tgtFrame="_new" w:history="1">
        <w:r w:rsidRPr="003B5944">
          <w:rPr>
            <w:rFonts w:ascii="Times New Roman" w:eastAsia="Times New Roman" w:hAnsi="Times New Roman" w:cs="Times New Roman"/>
            <w:color w:val="0000FF"/>
            <w:sz w:val="24"/>
            <w:szCs w:val="24"/>
            <w:u w:val="single"/>
          </w:rPr>
          <w:t>https://doi.org/10.32479/ijefi.10012</w:t>
        </w:r>
      </w:hyperlink>
      <w:r w:rsidRPr="003B5944">
        <w:rPr>
          <w:rFonts w:ascii="Times New Roman" w:eastAsia="Times New Roman" w:hAnsi="Times New Roman" w:cs="Times New Roman"/>
          <w:sz w:val="24"/>
          <w:szCs w:val="24"/>
        </w:rPr>
        <w:t xml:space="preserve"> </w:t>
      </w:r>
    </w:p>
    <w:p w14:paraId="6DBD5F63"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Awais</w:t>
      </w:r>
      <w:proofErr w:type="gramEnd"/>
      <w:r w:rsidRPr="003B5944">
        <w:rPr>
          <w:rFonts w:ascii="Times New Roman" w:eastAsia="Times New Roman" w:hAnsi="Times New Roman" w:cs="Times New Roman"/>
          <w:sz w:val="24"/>
          <w:szCs w:val="24"/>
        </w:rPr>
        <w:t xml:space="preserve">, M., Akram, S., &amp; Safdar, H. (2024). Exploring the relationship between CO2 emission, economic growth, and energy consumption at aggregate level: A panel data analysis. </w:t>
      </w:r>
      <w:r w:rsidRPr="003B5944">
        <w:rPr>
          <w:rFonts w:ascii="Times New Roman" w:eastAsia="Times New Roman" w:hAnsi="Times New Roman" w:cs="Times New Roman"/>
          <w:i/>
          <w:iCs/>
          <w:sz w:val="24"/>
          <w:szCs w:val="24"/>
        </w:rPr>
        <w:t>Journal of Economic Impact, 6</w:t>
      </w:r>
      <w:r w:rsidRPr="003B5944">
        <w:rPr>
          <w:rFonts w:ascii="Times New Roman" w:eastAsia="Times New Roman" w:hAnsi="Times New Roman" w:cs="Times New Roman"/>
          <w:sz w:val="24"/>
          <w:szCs w:val="24"/>
        </w:rPr>
        <w:t xml:space="preserve">(3), 218–225. </w:t>
      </w:r>
      <w:hyperlink r:id="rId20" w:tgtFrame="_new" w:history="1">
        <w:r w:rsidRPr="003B5944">
          <w:rPr>
            <w:rFonts w:ascii="Times New Roman" w:eastAsia="Times New Roman" w:hAnsi="Times New Roman" w:cs="Times New Roman"/>
            <w:color w:val="0000FF"/>
            <w:sz w:val="24"/>
            <w:szCs w:val="24"/>
            <w:u w:val="single"/>
          </w:rPr>
          <w:t>https://doi.org/10.52223/econimpact.2024.6305</w:t>
        </w:r>
      </w:hyperlink>
      <w:r w:rsidRPr="003B5944">
        <w:rPr>
          <w:rFonts w:ascii="Times New Roman" w:eastAsia="Times New Roman" w:hAnsi="Times New Roman" w:cs="Times New Roman"/>
          <w:sz w:val="24"/>
          <w:szCs w:val="24"/>
        </w:rPr>
        <w:t xml:space="preserve"> </w:t>
      </w:r>
    </w:p>
    <w:p w14:paraId="15014B88"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Azam</w:t>
      </w:r>
      <w:proofErr w:type="gramEnd"/>
      <w:r w:rsidRPr="003B5944">
        <w:rPr>
          <w:rFonts w:ascii="Times New Roman" w:eastAsia="Times New Roman" w:hAnsi="Times New Roman" w:cs="Times New Roman"/>
          <w:sz w:val="24"/>
          <w:szCs w:val="24"/>
        </w:rPr>
        <w:t xml:space="preserve">, M., Uddin, I., Khan, S., &amp; Tariq, M. (2022). Are globalization, urbanization, and energy consumption cause carbon emissions in the SAARC region? New evidence from the CS-ARDL approach. </w:t>
      </w:r>
      <w:r w:rsidRPr="003B5944">
        <w:rPr>
          <w:rFonts w:ascii="Times New Roman" w:eastAsia="Times New Roman" w:hAnsi="Times New Roman" w:cs="Times New Roman"/>
          <w:i/>
          <w:iCs/>
          <w:sz w:val="24"/>
          <w:szCs w:val="24"/>
        </w:rPr>
        <w:t>Environmental Science and Pollution Research, 29</w:t>
      </w:r>
      <w:r w:rsidRPr="003B5944">
        <w:rPr>
          <w:rFonts w:ascii="Times New Roman" w:eastAsia="Times New Roman" w:hAnsi="Times New Roman" w:cs="Times New Roman"/>
          <w:sz w:val="24"/>
          <w:szCs w:val="24"/>
        </w:rPr>
        <w:t xml:space="preserve">, 87746–87763. </w:t>
      </w:r>
      <w:hyperlink r:id="rId21" w:tgtFrame="_new" w:history="1">
        <w:r w:rsidRPr="003B5944">
          <w:rPr>
            <w:rFonts w:ascii="Times New Roman" w:eastAsia="Times New Roman" w:hAnsi="Times New Roman" w:cs="Times New Roman"/>
            <w:color w:val="0000FF"/>
            <w:sz w:val="24"/>
            <w:szCs w:val="24"/>
            <w:u w:val="single"/>
          </w:rPr>
          <w:t>https://doi.org/10.1007/s11356-022-21835-1</w:t>
        </w:r>
      </w:hyperlink>
      <w:r w:rsidRPr="003B5944">
        <w:rPr>
          <w:rFonts w:ascii="Times New Roman" w:eastAsia="Times New Roman" w:hAnsi="Times New Roman" w:cs="Times New Roman"/>
          <w:sz w:val="24"/>
          <w:szCs w:val="24"/>
        </w:rPr>
        <w:t xml:space="preserve"> </w:t>
      </w:r>
    </w:p>
    <w:p w14:paraId="4AC0E668" w14:textId="25F8124A"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Basole</w:t>
      </w:r>
      <w:proofErr w:type="spellEnd"/>
      <w:proofErr w:type="gramEnd"/>
      <w:r w:rsidRPr="003B5944">
        <w:rPr>
          <w:rFonts w:ascii="Times New Roman" w:eastAsia="Times New Roman" w:hAnsi="Times New Roman" w:cs="Times New Roman"/>
          <w:sz w:val="24"/>
          <w:szCs w:val="24"/>
        </w:rPr>
        <w:t xml:space="preserve">, A., &amp; Bhattacharya, R. (2017). Editorial introduction: Urban management in developing economies—Challenges for public policy. </w:t>
      </w:r>
      <w:r w:rsidRPr="003B5944">
        <w:rPr>
          <w:rFonts w:ascii="Times New Roman" w:eastAsia="Times New Roman" w:hAnsi="Times New Roman" w:cs="Times New Roman"/>
          <w:i/>
          <w:iCs/>
          <w:sz w:val="24"/>
          <w:szCs w:val="24"/>
        </w:rPr>
        <w:t>Decision, 44</w:t>
      </w:r>
      <w:r w:rsidRPr="003B5944">
        <w:rPr>
          <w:rFonts w:ascii="Times New Roman" w:eastAsia="Times New Roman" w:hAnsi="Times New Roman" w:cs="Times New Roman"/>
          <w:sz w:val="24"/>
          <w:szCs w:val="24"/>
        </w:rPr>
        <w:t>(2), 85–89. https://doi.org/10.1007/s40622-017-0160-x</w:t>
      </w:r>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Dhapate</w:t>
      </w:r>
      <w:proofErr w:type="spellEnd"/>
      <w:r w:rsidRPr="003B5944">
        <w:rPr>
          <w:rFonts w:ascii="Times New Roman" w:eastAsia="Times New Roman" w:hAnsi="Times New Roman" w:cs="Times New Roman"/>
          <w:sz w:val="24"/>
          <w:szCs w:val="24"/>
        </w:rPr>
        <w:t xml:space="preserve">, H., &amp; Mule, M. B. (2025). Characterizing </w:t>
      </w:r>
      <w:proofErr w:type="spellStart"/>
      <w:r w:rsidRPr="003B5944">
        <w:rPr>
          <w:rFonts w:ascii="Times New Roman" w:eastAsia="Times New Roman" w:hAnsi="Times New Roman" w:cs="Times New Roman"/>
          <w:sz w:val="24"/>
          <w:szCs w:val="24"/>
        </w:rPr>
        <w:t>spatio</w:t>
      </w:r>
      <w:proofErr w:type="spellEnd"/>
      <w:r w:rsidRPr="003B5944">
        <w:rPr>
          <w:rFonts w:ascii="Times New Roman" w:eastAsia="Times New Roman" w:hAnsi="Times New Roman" w:cs="Times New Roman"/>
          <w:sz w:val="24"/>
          <w:szCs w:val="24"/>
        </w:rPr>
        <w:t xml:space="preserve">-temporal dynamics of land use and land cover in the urban environment of Chhatrapati </w:t>
      </w:r>
      <w:proofErr w:type="spellStart"/>
      <w:r w:rsidRPr="003B5944">
        <w:rPr>
          <w:rFonts w:ascii="Times New Roman" w:eastAsia="Times New Roman" w:hAnsi="Times New Roman" w:cs="Times New Roman"/>
          <w:sz w:val="24"/>
          <w:szCs w:val="24"/>
        </w:rPr>
        <w:t>Sambhajinagar</w:t>
      </w:r>
      <w:proofErr w:type="spellEnd"/>
      <w:r w:rsidRPr="003B5944">
        <w:rPr>
          <w:rFonts w:ascii="Times New Roman" w:eastAsia="Times New Roman" w:hAnsi="Times New Roman" w:cs="Times New Roman"/>
          <w:sz w:val="24"/>
          <w:szCs w:val="24"/>
        </w:rPr>
        <w:t xml:space="preserve">, Maharashtra, India. </w:t>
      </w:r>
      <w:r w:rsidRPr="003B5944">
        <w:rPr>
          <w:rFonts w:ascii="Times New Roman" w:eastAsia="Times New Roman" w:hAnsi="Times New Roman" w:cs="Times New Roman"/>
          <w:i/>
          <w:iCs/>
          <w:sz w:val="24"/>
          <w:szCs w:val="24"/>
        </w:rPr>
        <w:t>Journal of Global Ecology and Environment, 21</w:t>
      </w:r>
      <w:r w:rsidRPr="003B5944">
        <w:rPr>
          <w:rFonts w:ascii="Times New Roman" w:eastAsia="Times New Roman" w:hAnsi="Times New Roman" w:cs="Times New Roman"/>
          <w:sz w:val="24"/>
          <w:szCs w:val="24"/>
        </w:rPr>
        <w:t xml:space="preserve">(3), 60–70. </w:t>
      </w:r>
      <w:hyperlink r:id="rId22" w:tgtFrame="_new" w:history="1">
        <w:r w:rsidRPr="003B5944">
          <w:rPr>
            <w:rFonts w:ascii="Times New Roman" w:eastAsia="Times New Roman" w:hAnsi="Times New Roman" w:cs="Times New Roman"/>
            <w:color w:val="0000FF"/>
            <w:sz w:val="24"/>
            <w:szCs w:val="24"/>
            <w:u w:val="single"/>
          </w:rPr>
          <w:t>https://doi.org/10.56557/jogee/2025/v21i39363</w:t>
        </w:r>
      </w:hyperlink>
      <w:r w:rsidRPr="003B5944">
        <w:rPr>
          <w:rFonts w:ascii="Times New Roman" w:eastAsia="Times New Roman" w:hAnsi="Times New Roman" w:cs="Times New Roman"/>
          <w:sz w:val="24"/>
          <w:szCs w:val="24"/>
        </w:rPr>
        <w:t xml:space="preserve"> </w:t>
      </w:r>
    </w:p>
    <w:p w14:paraId="6553F66D"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Dogan</w:t>
      </w:r>
      <w:proofErr w:type="gramEnd"/>
      <w:r w:rsidRPr="003B5944">
        <w:rPr>
          <w:rFonts w:ascii="Times New Roman" w:eastAsia="Times New Roman" w:hAnsi="Times New Roman" w:cs="Times New Roman"/>
          <w:sz w:val="24"/>
          <w:szCs w:val="24"/>
        </w:rPr>
        <w:t xml:space="preserve">, E., &amp; </w:t>
      </w:r>
      <w:proofErr w:type="spellStart"/>
      <w:r w:rsidRPr="003B5944">
        <w:rPr>
          <w:rFonts w:ascii="Times New Roman" w:eastAsia="Times New Roman" w:hAnsi="Times New Roman" w:cs="Times New Roman"/>
          <w:sz w:val="24"/>
          <w:szCs w:val="24"/>
        </w:rPr>
        <w:t>Türkekul</w:t>
      </w:r>
      <w:proofErr w:type="spellEnd"/>
      <w:r w:rsidRPr="003B5944">
        <w:rPr>
          <w:rFonts w:ascii="Times New Roman" w:eastAsia="Times New Roman" w:hAnsi="Times New Roman" w:cs="Times New Roman"/>
          <w:sz w:val="24"/>
          <w:szCs w:val="24"/>
        </w:rPr>
        <w:t xml:space="preserve">, B. (2016). CO2 emissions, real output, energy consumption, trade, urbanization, and financial development: Testing the EKC hypothesis for the USA. </w:t>
      </w:r>
      <w:r w:rsidRPr="003B5944">
        <w:rPr>
          <w:rFonts w:ascii="Times New Roman" w:eastAsia="Times New Roman" w:hAnsi="Times New Roman" w:cs="Times New Roman"/>
          <w:i/>
          <w:iCs/>
          <w:sz w:val="24"/>
          <w:szCs w:val="24"/>
        </w:rPr>
        <w:lastRenderedPageBreak/>
        <w:t>Environmental Science and Pollution Research, 23</w:t>
      </w:r>
      <w:r w:rsidRPr="003B5944">
        <w:rPr>
          <w:rFonts w:ascii="Times New Roman" w:eastAsia="Times New Roman" w:hAnsi="Times New Roman" w:cs="Times New Roman"/>
          <w:sz w:val="24"/>
          <w:szCs w:val="24"/>
        </w:rPr>
        <w:t xml:space="preserve">(2), 1203–1213. </w:t>
      </w:r>
      <w:hyperlink r:id="rId23" w:tgtFrame="_new" w:history="1">
        <w:r w:rsidRPr="003B5944">
          <w:rPr>
            <w:rFonts w:ascii="Times New Roman" w:eastAsia="Times New Roman" w:hAnsi="Times New Roman" w:cs="Times New Roman"/>
            <w:color w:val="0000FF"/>
            <w:sz w:val="24"/>
            <w:szCs w:val="24"/>
            <w:u w:val="single"/>
          </w:rPr>
          <w:t>https://doi.org/10.1007/s11356-015-5323-8</w:t>
        </w:r>
      </w:hyperlink>
      <w:r w:rsidRPr="003B5944">
        <w:rPr>
          <w:rFonts w:ascii="Times New Roman" w:eastAsia="Times New Roman" w:hAnsi="Times New Roman" w:cs="Times New Roman"/>
          <w:sz w:val="24"/>
          <w:szCs w:val="24"/>
        </w:rPr>
        <w:t xml:space="preserve"> </w:t>
      </w:r>
    </w:p>
    <w:p w14:paraId="613E5C35" w14:textId="77FC5B16"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Dutta</w:t>
      </w:r>
      <w:proofErr w:type="gramEnd"/>
      <w:r w:rsidRPr="003B5944">
        <w:rPr>
          <w:rFonts w:ascii="Times New Roman" w:eastAsia="Times New Roman" w:hAnsi="Times New Roman" w:cs="Times New Roman"/>
          <w:sz w:val="24"/>
          <w:szCs w:val="24"/>
        </w:rPr>
        <w:t xml:space="preserve">, U. P., &amp; Hazarika, N. (2025). Urbanization and carbon emissions: Panel evidence from 68 low-income and lower-middle-income countries. </w:t>
      </w:r>
      <w:r w:rsidRPr="003B5944">
        <w:rPr>
          <w:rFonts w:ascii="Times New Roman" w:eastAsia="Times New Roman" w:hAnsi="Times New Roman" w:cs="Times New Roman"/>
          <w:i/>
          <w:iCs/>
          <w:sz w:val="24"/>
          <w:szCs w:val="24"/>
        </w:rPr>
        <w:t>Journal of Urban Affairs, 47</w:t>
      </w:r>
      <w:r w:rsidRPr="003B5944">
        <w:rPr>
          <w:rFonts w:ascii="Times New Roman" w:eastAsia="Times New Roman" w:hAnsi="Times New Roman" w:cs="Times New Roman"/>
          <w:sz w:val="24"/>
          <w:szCs w:val="24"/>
        </w:rPr>
        <w:t xml:space="preserve">(1), 269–288. </w:t>
      </w:r>
      <w:hyperlink r:id="rId24" w:tgtFrame="_new" w:history="1">
        <w:r w:rsidRPr="003B5944">
          <w:rPr>
            <w:rFonts w:ascii="Times New Roman" w:eastAsia="Times New Roman" w:hAnsi="Times New Roman" w:cs="Times New Roman"/>
            <w:color w:val="0000FF"/>
            <w:sz w:val="24"/>
            <w:szCs w:val="24"/>
            <w:u w:val="single"/>
          </w:rPr>
          <w:t>https://doi.org/10.1080/07352166.2023.2174871</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Farhani, S., &amp; Ozturk, I. (2015). Causal relationship between CO2 emissions, real GDP, energy consumption, financial development, trade openness, and urbanization in Tunisia. </w:t>
      </w:r>
      <w:r w:rsidRPr="003B5944">
        <w:rPr>
          <w:rFonts w:ascii="Times New Roman" w:eastAsia="Times New Roman" w:hAnsi="Times New Roman" w:cs="Times New Roman"/>
          <w:i/>
          <w:iCs/>
          <w:sz w:val="24"/>
          <w:szCs w:val="24"/>
        </w:rPr>
        <w:t>Environmental Science and Pollution Research, 22</w:t>
      </w:r>
      <w:r w:rsidRPr="003B5944">
        <w:rPr>
          <w:rFonts w:ascii="Times New Roman" w:eastAsia="Times New Roman" w:hAnsi="Times New Roman" w:cs="Times New Roman"/>
          <w:sz w:val="24"/>
          <w:szCs w:val="24"/>
        </w:rPr>
        <w:t xml:space="preserve">(20), 15663–15676. https://doi.org/10.1007/s11356-015-4767-1 </w:t>
      </w:r>
    </w:p>
    <w:p w14:paraId="3064543E"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Floater</w:t>
      </w:r>
      <w:proofErr w:type="gramEnd"/>
      <w:r w:rsidRPr="003B5944">
        <w:rPr>
          <w:rFonts w:ascii="Times New Roman" w:eastAsia="Times New Roman" w:hAnsi="Times New Roman" w:cs="Times New Roman"/>
          <w:sz w:val="24"/>
          <w:szCs w:val="24"/>
        </w:rPr>
        <w:t xml:space="preserve">, G., Rode, P., Robert, A., Kennedy, C., Hoornweg, D., </w:t>
      </w:r>
      <w:proofErr w:type="spellStart"/>
      <w:r w:rsidRPr="003B5944">
        <w:rPr>
          <w:rFonts w:ascii="Times New Roman" w:eastAsia="Times New Roman" w:hAnsi="Times New Roman" w:cs="Times New Roman"/>
          <w:sz w:val="24"/>
          <w:szCs w:val="24"/>
        </w:rPr>
        <w:t>Slavcheva</w:t>
      </w:r>
      <w:proofErr w:type="spellEnd"/>
      <w:r w:rsidRPr="003B5944">
        <w:rPr>
          <w:rFonts w:ascii="Times New Roman" w:eastAsia="Times New Roman" w:hAnsi="Times New Roman" w:cs="Times New Roman"/>
          <w:sz w:val="24"/>
          <w:szCs w:val="24"/>
        </w:rPr>
        <w:t xml:space="preserve">, R., &amp; Godfrey, N. (2014). </w:t>
      </w:r>
      <w:r w:rsidRPr="003B5944">
        <w:rPr>
          <w:rFonts w:ascii="Times New Roman" w:eastAsia="Times New Roman" w:hAnsi="Times New Roman" w:cs="Times New Roman"/>
          <w:i/>
          <w:iCs/>
          <w:sz w:val="24"/>
          <w:szCs w:val="24"/>
        </w:rPr>
        <w:t>Cities and the new climate economy: The transformative role of global urban growth</w:t>
      </w:r>
      <w:r w:rsidRPr="003B5944">
        <w:rPr>
          <w:rFonts w:ascii="Times New Roman" w:eastAsia="Times New Roman" w:hAnsi="Times New Roman" w:cs="Times New Roman"/>
          <w:sz w:val="24"/>
          <w:szCs w:val="24"/>
        </w:rPr>
        <w:t xml:space="preserve"> (NCE Cities Paper 01). LSE Cities, London School of Economics and Political Science. </w:t>
      </w:r>
      <w:hyperlink r:id="rId25" w:tgtFrame="_new" w:history="1">
        <w:r w:rsidRPr="003B5944">
          <w:rPr>
            <w:rFonts w:ascii="Times New Roman" w:eastAsia="Times New Roman" w:hAnsi="Times New Roman" w:cs="Times New Roman"/>
            <w:color w:val="0000FF"/>
            <w:sz w:val="24"/>
            <w:szCs w:val="24"/>
            <w:u w:val="single"/>
          </w:rPr>
          <w:t>https://eprints.lse.ac.uk/60775/</w:t>
        </w:r>
      </w:hyperlink>
      <w:r w:rsidRPr="003B5944">
        <w:rPr>
          <w:rFonts w:ascii="Times New Roman" w:eastAsia="Times New Roman" w:hAnsi="Times New Roman" w:cs="Times New Roman"/>
          <w:sz w:val="24"/>
          <w:szCs w:val="24"/>
        </w:rPr>
        <w:t xml:space="preserve"> </w:t>
      </w:r>
    </w:p>
    <w:p w14:paraId="14009316"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Franco</w:t>
      </w:r>
      <w:proofErr w:type="gramEnd"/>
      <w:r w:rsidRPr="003B5944">
        <w:rPr>
          <w:rFonts w:ascii="Times New Roman" w:eastAsia="Times New Roman" w:hAnsi="Times New Roman" w:cs="Times New Roman"/>
          <w:sz w:val="24"/>
          <w:szCs w:val="24"/>
        </w:rPr>
        <w:t xml:space="preserve">, S., Mandla, V. R., &amp; Rao, K. R. M. (2017). Urbanization, energy consumption and emissions in the Indian context: A review. </w:t>
      </w:r>
      <w:r w:rsidRPr="003B5944">
        <w:rPr>
          <w:rFonts w:ascii="Times New Roman" w:eastAsia="Times New Roman" w:hAnsi="Times New Roman" w:cs="Times New Roman"/>
          <w:i/>
          <w:iCs/>
          <w:sz w:val="24"/>
          <w:szCs w:val="24"/>
        </w:rPr>
        <w:t>Renewable and Sustainable Energy Reviews, 71</w:t>
      </w:r>
      <w:r w:rsidRPr="003B5944">
        <w:rPr>
          <w:rFonts w:ascii="Times New Roman" w:eastAsia="Times New Roman" w:hAnsi="Times New Roman" w:cs="Times New Roman"/>
          <w:sz w:val="24"/>
          <w:szCs w:val="24"/>
        </w:rPr>
        <w:t xml:space="preserve">, 898–907. </w:t>
      </w:r>
      <w:hyperlink r:id="rId26" w:tgtFrame="_new" w:history="1">
        <w:r w:rsidRPr="003B5944">
          <w:rPr>
            <w:rFonts w:ascii="Times New Roman" w:eastAsia="Times New Roman" w:hAnsi="Times New Roman" w:cs="Times New Roman"/>
            <w:color w:val="0000FF"/>
            <w:sz w:val="24"/>
            <w:szCs w:val="24"/>
            <w:u w:val="single"/>
          </w:rPr>
          <w:t>https://doi.org/10.1016/j.rser.2016.12.117</w:t>
        </w:r>
      </w:hyperlink>
      <w:r w:rsidRPr="003B5944">
        <w:rPr>
          <w:rFonts w:ascii="Times New Roman" w:eastAsia="Times New Roman" w:hAnsi="Times New Roman" w:cs="Times New Roman"/>
          <w:sz w:val="24"/>
          <w:szCs w:val="24"/>
        </w:rPr>
        <w:t xml:space="preserve"> </w:t>
      </w:r>
    </w:p>
    <w:p w14:paraId="75176E2F"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Gierałtowska</w:t>
      </w:r>
      <w:proofErr w:type="spellEnd"/>
      <w:proofErr w:type="gramEnd"/>
      <w:r w:rsidRPr="003B5944">
        <w:rPr>
          <w:rFonts w:ascii="Times New Roman" w:eastAsia="Times New Roman" w:hAnsi="Times New Roman" w:cs="Times New Roman"/>
          <w:sz w:val="24"/>
          <w:szCs w:val="24"/>
        </w:rPr>
        <w:t xml:space="preserve">, U., </w:t>
      </w:r>
      <w:proofErr w:type="spellStart"/>
      <w:r w:rsidRPr="003B5944">
        <w:rPr>
          <w:rFonts w:ascii="Times New Roman" w:eastAsia="Times New Roman" w:hAnsi="Times New Roman" w:cs="Times New Roman"/>
          <w:sz w:val="24"/>
          <w:szCs w:val="24"/>
        </w:rPr>
        <w:t>Asyngier</w:t>
      </w:r>
      <w:proofErr w:type="spellEnd"/>
      <w:r w:rsidRPr="003B5944">
        <w:rPr>
          <w:rFonts w:ascii="Times New Roman" w:eastAsia="Times New Roman" w:hAnsi="Times New Roman" w:cs="Times New Roman"/>
          <w:sz w:val="24"/>
          <w:szCs w:val="24"/>
        </w:rPr>
        <w:t xml:space="preserve">, R., </w:t>
      </w:r>
      <w:proofErr w:type="spellStart"/>
      <w:r w:rsidRPr="003B5944">
        <w:rPr>
          <w:rFonts w:ascii="Times New Roman" w:eastAsia="Times New Roman" w:hAnsi="Times New Roman" w:cs="Times New Roman"/>
          <w:sz w:val="24"/>
          <w:szCs w:val="24"/>
        </w:rPr>
        <w:t>Nakonieczny</w:t>
      </w:r>
      <w:proofErr w:type="spellEnd"/>
      <w:r w:rsidRPr="003B5944">
        <w:rPr>
          <w:rFonts w:ascii="Times New Roman" w:eastAsia="Times New Roman" w:hAnsi="Times New Roman" w:cs="Times New Roman"/>
          <w:sz w:val="24"/>
          <w:szCs w:val="24"/>
        </w:rPr>
        <w:t xml:space="preserve">, J., &amp; </w:t>
      </w:r>
      <w:proofErr w:type="spellStart"/>
      <w:r w:rsidRPr="003B5944">
        <w:rPr>
          <w:rFonts w:ascii="Times New Roman" w:eastAsia="Times New Roman" w:hAnsi="Times New Roman" w:cs="Times New Roman"/>
          <w:sz w:val="24"/>
          <w:szCs w:val="24"/>
        </w:rPr>
        <w:t>Salahodjaev</w:t>
      </w:r>
      <w:proofErr w:type="spellEnd"/>
      <w:r w:rsidRPr="003B5944">
        <w:rPr>
          <w:rFonts w:ascii="Times New Roman" w:eastAsia="Times New Roman" w:hAnsi="Times New Roman" w:cs="Times New Roman"/>
          <w:sz w:val="24"/>
          <w:szCs w:val="24"/>
        </w:rPr>
        <w:t xml:space="preserve">, R. (2022). Renewable energy, urbanization, and CO2 emissions: A global test. </w:t>
      </w:r>
      <w:r w:rsidRPr="003B5944">
        <w:rPr>
          <w:rFonts w:ascii="Times New Roman" w:eastAsia="Times New Roman" w:hAnsi="Times New Roman" w:cs="Times New Roman"/>
          <w:i/>
          <w:iCs/>
          <w:sz w:val="24"/>
          <w:szCs w:val="24"/>
        </w:rPr>
        <w:t>Energies, 15</w:t>
      </w:r>
      <w:r w:rsidRPr="003B5944">
        <w:rPr>
          <w:rFonts w:ascii="Times New Roman" w:eastAsia="Times New Roman" w:hAnsi="Times New Roman" w:cs="Times New Roman"/>
          <w:sz w:val="24"/>
          <w:szCs w:val="24"/>
        </w:rPr>
        <w:t xml:space="preserve">(9), 3390. </w:t>
      </w:r>
      <w:hyperlink r:id="rId27" w:tgtFrame="_new" w:history="1">
        <w:r w:rsidRPr="003B5944">
          <w:rPr>
            <w:rFonts w:ascii="Times New Roman" w:eastAsia="Times New Roman" w:hAnsi="Times New Roman" w:cs="Times New Roman"/>
            <w:color w:val="0000FF"/>
            <w:sz w:val="24"/>
            <w:szCs w:val="24"/>
            <w:u w:val="single"/>
          </w:rPr>
          <w:t>https://doi.org/10.3390/en15093390</w:t>
        </w:r>
      </w:hyperlink>
      <w:r w:rsidRPr="003B5944">
        <w:rPr>
          <w:rFonts w:ascii="Times New Roman" w:eastAsia="Times New Roman" w:hAnsi="Times New Roman" w:cs="Times New Roman"/>
          <w:sz w:val="24"/>
          <w:szCs w:val="24"/>
        </w:rPr>
        <w:t xml:space="preserve"> </w:t>
      </w:r>
    </w:p>
    <w:p w14:paraId="1EEAEDF3"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Haldar</w:t>
      </w:r>
      <w:proofErr w:type="gramEnd"/>
      <w:r w:rsidRPr="003B5944">
        <w:rPr>
          <w:rFonts w:ascii="Times New Roman" w:eastAsia="Times New Roman" w:hAnsi="Times New Roman" w:cs="Times New Roman"/>
          <w:sz w:val="24"/>
          <w:szCs w:val="24"/>
        </w:rPr>
        <w:t xml:space="preserve">, S., &amp; Sharma, G. (2022). Impact of urbanization on per capita energy use and emissions in India. </w:t>
      </w:r>
      <w:r w:rsidRPr="003B5944">
        <w:rPr>
          <w:rFonts w:ascii="Times New Roman" w:eastAsia="Times New Roman" w:hAnsi="Times New Roman" w:cs="Times New Roman"/>
          <w:i/>
          <w:iCs/>
          <w:sz w:val="24"/>
          <w:szCs w:val="24"/>
        </w:rPr>
        <w:t>International Journal of Energy Sector Management, 16</w:t>
      </w:r>
      <w:r w:rsidRPr="003B5944">
        <w:rPr>
          <w:rFonts w:ascii="Times New Roman" w:eastAsia="Times New Roman" w:hAnsi="Times New Roman" w:cs="Times New Roman"/>
          <w:sz w:val="24"/>
          <w:szCs w:val="24"/>
        </w:rPr>
        <w:t xml:space="preserve">(1), 191–207. </w:t>
      </w:r>
      <w:hyperlink r:id="rId28" w:tgtFrame="_new" w:history="1">
        <w:r w:rsidRPr="003B5944">
          <w:rPr>
            <w:rFonts w:ascii="Times New Roman" w:eastAsia="Times New Roman" w:hAnsi="Times New Roman" w:cs="Times New Roman"/>
            <w:color w:val="0000FF"/>
            <w:sz w:val="24"/>
            <w:szCs w:val="24"/>
            <w:u w:val="single"/>
          </w:rPr>
          <w:t>https://doi.org/10.1108/ijesm-01-2021-0010</w:t>
        </w:r>
      </w:hyperlink>
      <w:r w:rsidRPr="003B5944">
        <w:rPr>
          <w:rFonts w:ascii="Times New Roman" w:eastAsia="Times New Roman" w:hAnsi="Times New Roman" w:cs="Times New Roman"/>
          <w:sz w:val="24"/>
          <w:szCs w:val="24"/>
        </w:rPr>
        <w:t xml:space="preserve"> </w:t>
      </w:r>
    </w:p>
    <w:p w14:paraId="35B733E8"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Hallegatte</w:t>
      </w:r>
      <w:proofErr w:type="spellEnd"/>
      <w:proofErr w:type="gramEnd"/>
      <w:r w:rsidRPr="003B5944">
        <w:rPr>
          <w:rFonts w:ascii="Times New Roman" w:eastAsia="Times New Roman" w:hAnsi="Times New Roman" w:cs="Times New Roman"/>
          <w:sz w:val="24"/>
          <w:szCs w:val="24"/>
        </w:rPr>
        <w:t xml:space="preserve">, S., &amp; Corfee-Morlot, J. (2011). Understanding climate change impacts, vulnerability and adaptation at city scale: An introduction. </w:t>
      </w:r>
      <w:r w:rsidRPr="003B5944">
        <w:rPr>
          <w:rFonts w:ascii="Times New Roman" w:eastAsia="Times New Roman" w:hAnsi="Times New Roman" w:cs="Times New Roman"/>
          <w:i/>
          <w:iCs/>
          <w:sz w:val="24"/>
          <w:szCs w:val="24"/>
        </w:rPr>
        <w:t>Climatic Change, 104</w:t>
      </w:r>
      <w:r w:rsidRPr="003B5944">
        <w:rPr>
          <w:rFonts w:ascii="Times New Roman" w:eastAsia="Times New Roman" w:hAnsi="Times New Roman" w:cs="Times New Roman"/>
          <w:sz w:val="24"/>
          <w:szCs w:val="24"/>
        </w:rPr>
        <w:t xml:space="preserve">(1), 1–12. https://doi.org/10.1007/s10584-010-9981-8 </w:t>
      </w:r>
    </w:p>
    <w:p w14:paraId="06A64F91" w14:textId="095E6D30"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Itoo</w:t>
      </w:r>
      <w:proofErr w:type="spellEnd"/>
      <w:proofErr w:type="gramEnd"/>
      <w:r w:rsidRPr="003B5944">
        <w:rPr>
          <w:rFonts w:ascii="Times New Roman" w:eastAsia="Times New Roman" w:hAnsi="Times New Roman" w:cs="Times New Roman"/>
          <w:sz w:val="24"/>
          <w:szCs w:val="24"/>
        </w:rPr>
        <w:t xml:space="preserve">, H. H., &amp; Ali, N. (2023). Analyzing the causal nexus between CO2 emissions and its determinants in India: Evidence from the ARDL and EKC approaches. </w:t>
      </w:r>
      <w:r w:rsidRPr="003B5944">
        <w:rPr>
          <w:rFonts w:ascii="Times New Roman" w:eastAsia="Times New Roman" w:hAnsi="Times New Roman" w:cs="Times New Roman"/>
          <w:i/>
          <w:iCs/>
          <w:sz w:val="24"/>
          <w:szCs w:val="24"/>
        </w:rPr>
        <w:t>Management of Environmental Quality: An International Journal, 34</w:t>
      </w:r>
      <w:r w:rsidRPr="003B5944">
        <w:rPr>
          <w:rFonts w:ascii="Times New Roman" w:eastAsia="Times New Roman" w:hAnsi="Times New Roman" w:cs="Times New Roman"/>
          <w:sz w:val="24"/>
          <w:szCs w:val="24"/>
        </w:rPr>
        <w:t xml:space="preserve">(1), 192–213. </w:t>
      </w:r>
      <w:hyperlink r:id="rId29" w:tgtFrame="_new" w:history="1">
        <w:r w:rsidRPr="003B5944">
          <w:rPr>
            <w:rFonts w:ascii="Times New Roman" w:eastAsia="Times New Roman" w:hAnsi="Times New Roman" w:cs="Times New Roman"/>
            <w:color w:val="0000FF"/>
            <w:sz w:val="24"/>
            <w:szCs w:val="24"/>
            <w:u w:val="single"/>
          </w:rPr>
          <w:t>https://doi.org/10.1108/meq-01-2022-0014</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Jan, N. (2020). The linkage between trade openness, energy consumption, GDP, urban population, and carbon dioxide emission: Evidence from BRI countries. </w:t>
      </w:r>
      <w:r w:rsidRPr="003B5944">
        <w:rPr>
          <w:rFonts w:ascii="Times New Roman" w:eastAsia="Times New Roman" w:hAnsi="Times New Roman" w:cs="Times New Roman"/>
          <w:i/>
          <w:iCs/>
          <w:sz w:val="24"/>
          <w:szCs w:val="24"/>
        </w:rPr>
        <w:t>Saudi Journal of Economics and Finance, 4</w:t>
      </w:r>
      <w:r w:rsidRPr="003B5944">
        <w:rPr>
          <w:rFonts w:ascii="Times New Roman" w:eastAsia="Times New Roman" w:hAnsi="Times New Roman" w:cs="Times New Roman"/>
          <w:sz w:val="24"/>
          <w:szCs w:val="24"/>
        </w:rPr>
        <w:t xml:space="preserve">(4), 149–161. </w:t>
      </w:r>
      <w:hyperlink r:id="rId30" w:tgtFrame="_new" w:history="1">
        <w:r w:rsidRPr="003B5944">
          <w:rPr>
            <w:rFonts w:ascii="Times New Roman" w:eastAsia="Times New Roman" w:hAnsi="Times New Roman" w:cs="Times New Roman"/>
            <w:color w:val="0000FF"/>
            <w:sz w:val="24"/>
            <w:szCs w:val="24"/>
            <w:u w:val="single"/>
          </w:rPr>
          <w:t>https://doi.org/10.36348/sjef.2020.v04i04.003</w:t>
        </w:r>
      </w:hyperlink>
      <w:r w:rsidRPr="003B5944">
        <w:rPr>
          <w:rFonts w:ascii="Times New Roman" w:eastAsia="Times New Roman" w:hAnsi="Times New Roman" w:cs="Times New Roman"/>
          <w:sz w:val="24"/>
          <w:szCs w:val="24"/>
        </w:rPr>
        <w:t xml:space="preserve"> </w:t>
      </w:r>
    </w:p>
    <w:p w14:paraId="35472DAA"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Jóźwik</w:t>
      </w:r>
      <w:proofErr w:type="gramEnd"/>
      <w:r w:rsidRPr="003B5944">
        <w:rPr>
          <w:rFonts w:ascii="Times New Roman" w:eastAsia="Times New Roman" w:hAnsi="Times New Roman" w:cs="Times New Roman"/>
          <w:sz w:val="24"/>
          <w:szCs w:val="24"/>
        </w:rPr>
        <w:t xml:space="preserve">, B., Panda, S. P., Dash, A. K., Sahu, P. K., &amp; Szwed, R. (2025). Revisiting the nexus between energy consumption, economic growth, and CO2 emissions in India and China: Insights from the long short-term memory model. </w:t>
      </w:r>
      <w:r w:rsidRPr="003B5944">
        <w:rPr>
          <w:rFonts w:ascii="Times New Roman" w:eastAsia="Times New Roman" w:hAnsi="Times New Roman" w:cs="Times New Roman"/>
          <w:i/>
          <w:iCs/>
          <w:sz w:val="24"/>
          <w:szCs w:val="24"/>
        </w:rPr>
        <w:t>Energies, 18</w:t>
      </w:r>
      <w:r w:rsidRPr="003B5944">
        <w:rPr>
          <w:rFonts w:ascii="Times New Roman" w:eastAsia="Times New Roman" w:hAnsi="Times New Roman" w:cs="Times New Roman"/>
          <w:sz w:val="24"/>
          <w:szCs w:val="24"/>
        </w:rPr>
        <w:t xml:space="preserve">(15), 4167. </w:t>
      </w:r>
      <w:hyperlink r:id="rId31" w:tgtFrame="_new" w:history="1">
        <w:r w:rsidRPr="003B5944">
          <w:rPr>
            <w:rFonts w:ascii="Times New Roman" w:eastAsia="Times New Roman" w:hAnsi="Times New Roman" w:cs="Times New Roman"/>
            <w:color w:val="0000FF"/>
            <w:sz w:val="24"/>
            <w:szCs w:val="24"/>
            <w:u w:val="single"/>
          </w:rPr>
          <w:t>https://doi.org/10.3390/en18154167</w:t>
        </w:r>
      </w:hyperlink>
      <w:r w:rsidRPr="003B5944">
        <w:rPr>
          <w:rFonts w:ascii="Times New Roman" w:eastAsia="Times New Roman" w:hAnsi="Times New Roman" w:cs="Times New Roman"/>
          <w:sz w:val="24"/>
          <w:szCs w:val="24"/>
        </w:rPr>
        <w:t xml:space="preserve"> </w:t>
      </w:r>
    </w:p>
    <w:p w14:paraId="06AFB13F"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Khan</w:t>
      </w:r>
      <w:proofErr w:type="gramEnd"/>
      <w:r w:rsidRPr="003B5944">
        <w:rPr>
          <w:rFonts w:ascii="Times New Roman" w:eastAsia="Times New Roman" w:hAnsi="Times New Roman" w:cs="Times New Roman"/>
          <w:sz w:val="24"/>
          <w:szCs w:val="24"/>
        </w:rPr>
        <w:t xml:space="preserve">, I., Khan, N., Yaqub, A., &amp; Sabir, M. (2019). An empirical investigation of the determinants of CO2 emissions: Evidence from Pakistan. </w:t>
      </w:r>
      <w:r w:rsidRPr="003B5944">
        <w:rPr>
          <w:rFonts w:ascii="Times New Roman" w:eastAsia="Times New Roman" w:hAnsi="Times New Roman" w:cs="Times New Roman"/>
          <w:i/>
          <w:iCs/>
          <w:sz w:val="24"/>
          <w:szCs w:val="24"/>
        </w:rPr>
        <w:t>Environmental Science and Pollution Research, 26</w:t>
      </w:r>
      <w:r w:rsidRPr="003B5944">
        <w:rPr>
          <w:rFonts w:ascii="Times New Roman" w:eastAsia="Times New Roman" w:hAnsi="Times New Roman" w:cs="Times New Roman"/>
          <w:sz w:val="24"/>
          <w:szCs w:val="24"/>
        </w:rPr>
        <w:t xml:space="preserve">(9), 9099–9112. </w:t>
      </w:r>
      <w:hyperlink r:id="rId32" w:tgtFrame="_new" w:history="1">
        <w:r w:rsidRPr="003B5944">
          <w:rPr>
            <w:rFonts w:ascii="Times New Roman" w:eastAsia="Times New Roman" w:hAnsi="Times New Roman" w:cs="Times New Roman"/>
            <w:color w:val="0000FF"/>
            <w:sz w:val="24"/>
            <w:szCs w:val="24"/>
            <w:u w:val="single"/>
          </w:rPr>
          <w:t>https://doi.org/10.1007/s11356-019-04342-8</w:t>
        </w:r>
      </w:hyperlink>
      <w:r w:rsidRPr="003B5944">
        <w:rPr>
          <w:rFonts w:ascii="Times New Roman" w:eastAsia="Times New Roman" w:hAnsi="Times New Roman" w:cs="Times New Roman"/>
          <w:sz w:val="24"/>
          <w:szCs w:val="24"/>
        </w:rPr>
        <w:t xml:space="preserve"> </w:t>
      </w:r>
    </w:p>
    <w:p w14:paraId="1D2F733D"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Koilakou</w:t>
      </w:r>
      <w:proofErr w:type="spellEnd"/>
      <w:proofErr w:type="gramEnd"/>
      <w:r w:rsidRPr="003B5944">
        <w:rPr>
          <w:rFonts w:ascii="Times New Roman" w:eastAsia="Times New Roman" w:hAnsi="Times New Roman" w:cs="Times New Roman"/>
          <w:sz w:val="24"/>
          <w:szCs w:val="24"/>
        </w:rPr>
        <w:t xml:space="preserve">, E., Hatzigeorgiou, E., &amp; </w:t>
      </w:r>
      <w:proofErr w:type="spellStart"/>
      <w:r w:rsidRPr="003B5944">
        <w:rPr>
          <w:rFonts w:ascii="Times New Roman" w:eastAsia="Times New Roman" w:hAnsi="Times New Roman" w:cs="Times New Roman"/>
          <w:sz w:val="24"/>
          <w:szCs w:val="24"/>
        </w:rPr>
        <w:t>Bithas</w:t>
      </w:r>
      <w:proofErr w:type="spellEnd"/>
      <w:r w:rsidRPr="003B5944">
        <w:rPr>
          <w:rFonts w:ascii="Times New Roman" w:eastAsia="Times New Roman" w:hAnsi="Times New Roman" w:cs="Times New Roman"/>
          <w:sz w:val="24"/>
          <w:szCs w:val="24"/>
        </w:rPr>
        <w:t xml:space="preserve">, K. (2024). Social and economic driving forces of recent CO2 emissions in three major BRICS economies. </w:t>
      </w:r>
      <w:r w:rsidRPr="003B5944">
        <w:rPr>
          <w:rFonts w:ascii="Times New Roman" w:eastAsia="Times New Roman" w:hAnsi="Times New Roman" w:cs="Times New Roman"/>
          <w:i/>
          <w:iCs/>
          <w:sz w:val="24"/>
          <w:szCs w:val="24"/>
        </w:rPr>
        <w:t>Scientific Reports, 14</w:t>
      </w:r>
      <w:r w:rsidRPr="003B5944">
        <w:rPr>
          <w:rFonts w:ascii="Times New Roman" w:eastAsia="Times New Roman" w:hAnsi="Times New Roman" w:cs="Times New Roman"/>
          <w:sz w:val="24"/>
          <w:szCs w:val="24"/>
        </w:rPr>
        <w:t xml:space="preserve">, 8047. </w:t>
      </w:r>
      <w:hyperlink r:id="rId33" w:tgtFrame="_new" w:history="1">
        <w:r w:rsidRPr="003B5944">
          <w:rPr>
            <w:rFonts w:ascii="Times New Roman" w:eastAsia="Times New Roman" w:hAnsi="Times New Roman" w:cs="Times New Roman"/>
            <w:color w:val="0000FF"/>
            <w:sz w:val="24"/>
            <w:szCs w:val="24"/>
            <w:u w:val="single"/>
          </w:rPr>
          <w:t>https://doi.org/10.1038/s41598-024-58827-9</w:t>
        </w:r>
      </w:hyperlink>
      <w:r w:rsidRPr="003B5944">
        <w:rPr>
          <w:rFonts w:ascii="Times New Roman" w:eastAsia="Times New Roman" w:hAnsi="Times New Roman" w:cs="Times New Roman"/>
          <w:sz w:val="24"/>
          <w:szCs w:val="24"/>
        </w:rPr>
        <w:t xml:space="preserve"> </w:t>
      </w:r>
    </w:p>
    <w:p w14:paraId="4064AB39"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Kongkuah</w:t>
      </w:r>
      <w:proofErr w:type="spellEnd"/>
      <w:proofErr w:type="gramEnd"/>
      <w:r w:rsidRPr="003B5944">
        <w:rPr>
          <w:rFonts w:ascii="Times New Roman" w:eastAsia="Times New Roman" w:hAnsi="Times New Roman" w:cs="Times New Roman"/>
          <w:sz w:val="24"/>
          <w:szCs w:val="24"/>
        </w:rPr>
        <w:t xml:space="preserve">, M., Yao, H., &amp; </w:t>
      </w:r>
      <w:proofErr w:type="spellStart"/>
      <w:r w:rsidRPr="003B5944">
        <w:rPr>
          <w:rFonts w:ascii="Times New Roman" w:eastAsia="Times New Roman" w:hAnsi="Times New Roman" w:cs="Times New Roman"/>
          <w:sz w:val="24"/>
          <w:szCs w:val="24"/>
        </w:rPr>
        <w:t>Yilanci</w:t>
      </w:r>
      <w:proofErr w:type="spellEnd"/>
      <w:r w:rsidRPr="003B5944">
        <w:rPr>
          <w:rFonts w:ascii="Times New Roman" w:eastAsia="Times New Roman" w:hAnsi="Times New Roman" w:cs="Times New Roman"/>
          <w:sz w:val="24"/>
          <w:szCs w:val="24"/>
        </w:rPr>
        <w:t xml:space="preserve">, V. (2022). The relationship between energy consumption, economic growth, and CO2 emissions in China: The role of </w:t>
      </w:r>
      <w:proofErr w:type="spellStart"/>
      <w:r w:rsidRPr="003B5944">
        <w:rPr>
          <w:rFonts w:ascii="Times New Roman" w:eastAsia="Times New Roman" w:hAnsi="Times New Roman" w:cs="Times New Roman"/>
          <w:sz w:val="24"/>
          <w:szCs w:val="24"/>
        </w:rPr>
        <w:t>urbanisation</w:t>
      </w:r>
      <w:proofErr w:type="spellEnd"/>
      <w:r w:rsidRPr="003B5944">
        <w:rPr>
          <w:rFonts w:ascii="Times New Roman" w:eastAsia="Times New Roman" w:hAnsi="Times New Roman" w:cs="Times New Roman"/>
          <w:sz w:val="24"/>
          <w:szCs w:val="24"/>
        </w:rPr>
        <w:t xml:space="preserve"> and international trade. </w:t>
      </w:r>
      <w:r w:rsidRPr="003B5944">
        <w:rPr>
          <w:rFonts w:ascii="Times New Roman" w:eastAsia="Times New Roman" w:hAnsi="Times New Roman" w:cs="Times New Roman"/>
          <w:i/>
          <w:iCs/>
          <w:sz w:val="24"/>
          <w:szCs w:val="24"/>
        </w:rPr>
        <w:t>Environment, Development and Sustainability, 24</w:t>
      </w:r>
      <w:r w:rsidRPr="003B5944">
        <w:rPr>
          <w:rFonts w:ascii="Times New Roman" w:eastAsia="Times New Roman" w:hAnsi="Times New Roman" w:cs="Times New Roman"/>
          <w:sz w:val="24"/>
          <w:szCs w:val="24"/>
        </w:rPr>
        <w:t xml:space="preserve">, 4684–4708. https://doi.org/10.1007/s10668-021-01628-1 </w:t>
      </w:r>
    </w:p>
    <w:p w14:paraId="71098F28"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lastRenderedPageBreak/>
        <w:t></w:t>
      </w:r>
      <w:r w:rsidRPr="003B5944">
        <w:rPr>
          <w:rFonts w:ascii="Times New Roman" w:eastAsia="Times New Roman" w:hAnsi="Times New Roman" w:cs="Times New Roman"/>
          <w:sz w:val="24"/>
          <w:szCs w:val="24"/>
        </w:rPr>
        <w:t xml:space="preserve">  Kumari</w:t>
      </w:r>
      <w:proofErr w:type="gramEnd"/>
      <w:r w:rsidRPr="003B5944">
        <w:rPr>
          <w:rFonts w:ascii="Times New Roman" w:eastAsia="Times New Roman" w:hAnsi="Times New Roman" w:cs="Times New Roman"/>
          <w:sz w:val="24"/>
          <w:szCs w:val="24"/>
        </w:rPr>
        <w:t xml:space="preserve">, D., Shashwat, S., Verma, P. K., &amp; Giri, A. K. (2025). Examining the nexus between carbon dioxide emissions, economic growth, fossil fuel energy use, urbanization and renewable energy towards achieving environmental sustainability in India. </w:t>
      </w:r>
      <w:r w:rsidRPr="003B5944">
        <w:rPr>
          <w:rFonts w:ascii="Times New Roman" w:eastAsia="Times New Roman" w:hAnsi="Times New Roman" w:cs="Times New Roman"/>
          <w:i/>
          <w:iCs/>
          <w:sz w:val="24"/>
          <w:szCs w:val="24"/>
        </w:rPr>
        <w:t>International Journal of Energy Sector Management, 19</w:t>
      </w:r>
      <w:r w:rsidRPr="003B5944">
        <w:rPr>
          <w:rFonts w:ascii="Times New Roman" w:eastAsia="Times New Roman" w:hAnsi="Times New Roman" w:cs="Times New Roman"/>
          <w:sz w:val="24"/>
          <w:szCs w:val="24"/>
        </w:rPr>
        <w:t xml:space="preserve">(3), 731–746. </w:t>
      </w:r>
      <w:hyperlink r:id="rId34" w:tgtFrame="_new" w:history="1">
        <w:r w:rsidRPr="003B5944">
          <w:rPr>
            <w:rFonts w:ascii="Times New Roman" w:eastAsia="Times New Roman" w:hAnsi="Times New Roman" w:cs="Times New Roman"/>
            <w:color w:val="0000FF"/>
            <w:sz w:val="24"/>
            <w:szCs w:val="24"/>
            <w:u w:val="single"/>
          </w:rPr>
          <w:t>https://doi.org/10.1108/ijesm-05-2024-0007</w:t>
        </w:r>
      </w:hyperlink>
      <w:r w:rsidRPr="003B5944">
        <w:rPr>
          <w:rFonts w:ascii="Times New Roman" w:eastAsia="Times New Roman" w:hAnsi="Times New Roman" w:cs="Times New Roman"/>
          <w:sz w:val="24"/>
          <w:szCs w:val="24"/>
        </w:rPr>
        <w:t xml:space="preserve"> </w:t>
      </w:r>
    </w:p>
    <w:p w14:paraId="16C5EF7D"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Liu</w:t>
      </w:r>
      <w:proofErr w:type="gramEnd"/>
      <w:r w:rsidRPr="003B5944">
        <w:rPr>
          <w:rFonts w:ascii="Times New Roman" w:eastAsia="Times New Roman" w:hAnsi="Times New Roman" w:cs="Times New Roman"/>
          <w:sz w:val="24"/>
          <w:szCs w:val="24"/>
        </w:rPr>
        <w:t xml:space="preserve">, Y., &amp; Chen, J. (2022). Mapping global population changes. In P. Shi (Ed.), </w:t>
      </w:r>
      <w:r w:rsidRPr="003B5944">
        <w:rPr>
          <w:rFonts w:ascii="Times New Roman" w:eastAsia="Times New Roman" w:hAnsi="Times New Roman" w:cs="Times New Roman"/>
          <w:i/>
          <w:iCs/>
          <w:sz w:val="24"/>
          <w:szCs w:val="24"/>
        </w:rPr>
        <w:t>Atlas of global change risk of population and economic systems</w:t>
      </w:r>
      <w:r w:rsidRPr="003B5944">
        <w:rPr>
          <w:rFonts w:ascii="Times New Roman" w:eastAsia="Times New Roman" w:hAnsi="Times New Roman" w:cs="Times New Roman"/>
          <w:sz w:val="24"/>
          <w:szCs w:val="24"/>
        </w:rPr>
        <w:t xml:space="preserve"> (pp. 87–94). Springer. </w:t>
      </w:r>
      <w:hyperlink r:id="rId35" w:tgtFrame="_new" w:history="1">
        <w:r w:rsidRPr="003B5944">
          <w:rPr>
            <w:rFonts w:ascii="Times New Roman" w:eastAsia="Times New Roman" w:hAnsi="Times New Roman" w:cs="Times New Roman"/>
            <w:color w:val="0000FF"/>
            <w:sz w:val="24"/>
            <w:szCs w:val="24"/>
            <w:u w:val="single"/>
          </w:rPr>
          <w:t>https://doi.org/10.1007/978-981-16-6691-9_5</w:t>
        </w:r>
      </w:hyperlink>
      <w:r w:rsidRPr="003B5944">
        <w:rPr>
          <w:rFonts w:ascii="Times New Roman" w:eastAsia="Times New Roman" w:hAnsi="Times New Roman" w:cs="Times New Roman"/>
          <w:sz w:val="24"/>
          <w:szCs w:val="24"/>
        </w:rPr>
        <w:t xml:space="preserve"> </w:t>
      </w:r>
    </w:p>
    <w:p w14:paraId="42814EEC"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Luqman</w:t>
      </w:r>
      <w:proofErr w:type="gramEnd"/>
      <w:r w:rsidRPr="003B5944">
        <w:rPr>
          <w:rFonts w:ascii="Times New Roman" w:eastAsia="Times New Roman" w:hAnsi="Times New Roman" w:cs="Times New Roman"/>
          <w:sz w:val="24"/>
          <w:szCs w:val="24"/>
        </w:rPr>
        <w:t xml:space="preserve">, M., Rayner, P. J., &amp; Gurney, K. R. (2023). On the impact of </w:t>
      </w:r>
      <w:proofErr w:type="spellStart"/>
      <w:r w:rsidRPr="003B5944">
        <w:rPr>
          <w:rFonts w:ascii="Times New Roman" w:eastAsia="Times New Roman" w:hAnsi="Times New Roman" w:cs="Times New Roman"/>
          <w:sz w:val="24"/>
          <w:szCs w:val="24"/>
        </w:rPr>
        <w:t>urbanisation</w:t>
      </w:r>
      <w:proofErr w:type="spellEnd"/>
      <w:r w:rsidRPr="003B5944">
        <w:rPr>
          <w:rFonts w:ascii="Times New Roman" w:eastAsia="Times New Roman" w:hAnsi="Times New Roman" w:cs="Times New Roman"/>
          <w:sz w:val="24"/>
          <w:szCs w:val="24"/>
        </w:rPr>
        <w:t xml:space="preserve"> on CO2 emissions. </w:t>
      </w:r>
      <w:proofErr w:type="spellStart"/>
      <w:r w:rsidRPr="003B5944">
        <w:rPr>
          <w:rFonts w:ascii="Times New Roman" w:eastAsia="Times New Roman" w:hAnsi="Times New Roman" w:cs="Times New Roman"/>
          <w:i/>
          <w:iCs/>
          <w:sz w:val="24"/>
          <w:szCs w:val="24"/>
        </w:rPr>
        <w:t>npj</w:t>
      </w:r>
      <w:proofErr w:type="spellEnd"/>
      <w:r w:rsidRPr="003B5944">
        <w:rPr>
          <w:rFonts w:ascii="Times New Roman" w:eastAsia="Times New Roman" w:hAnsi="Times New Roman" w:cs="Times New Roman"/>
          <w:i/>
          <w:iCs/>
          <w:sz w:val="24"/>
          <w:szCs w:val="24"/>
        </w:rPr>
        <w:t xml:space="preserve"> Urban Sustainability, 3</w:t>
      </w:r>
      <w:r w:rsidRPr="003B5944">
        <w:rPr>
          <w:rFonts w:ascii="Times New Roman" w:eastAsia="Times New Roman" w:hAnsi="Times New Roman" w:cs="Times New Roman"/>
          <w:sz w:val="24"/>
          <w:szCs w:val="24"/>
        </w:rPr>
        <w:t xml:space="preserve">, 6. </w:t>
      </w:r>
      <w:hyperlink r:id="rId36" w:tgtFrame="_new" w:history="1">
        <w:r w:rsidRPr="003B5944">
          <w:rPr>
            <w:rFonts w:ascii="Times New Roman" w:eastAsia="Times New Roman" w:hAnsi="Times New Roman" w:cs="Times New Roman"/>
            <w:color w:val="0000FF"/>
            <w:sz w:val="24"/>
            <w:szCs w:val="24"/>
            <w:u w:val="single"/>
          </w:rPr>
          <w:t>https://doi.org/10.1038/s42949-023-00084-2</w:t>
        </w:r>
      </w:hyperlink>
      <w:r w:rsidRPr="003B5944">
        <w:rPr>
          <w:rFonts w:ascii="Times New Roman" w:eastAsia="Times New Roman" w:hAnsi="Times New Roman" w:cs="Times New Roman"/>
          <w:sz w:val="24"/>
          <w:szCs w:val="24"/>
        </w:rPr>
        <w:t xml:space="preserve"> </w:t>
      </w:r>
    </w:p>
    <w:p w14:paraId="75BD9CA2"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Ma</w:t>
      </w:r>
      <w:proofErr w:type="gramEnd"/>
      <w:r w:rsidRPr="003B5944">
        <w:rPr>
          <w:rFonts w:ascii="Times New Roman" w:eastAsia="Times New Roman" w:hAnsi="Times New Roman" w:cs="Times New Roman"/>
          <w:sz w:val="24"/>
          <w:szCs w:val="24"/>
        </w:rPr>
        <w:t xml:space="preserve">, B., &amp; Ogata, S. (2024). Impact of urbanization on carbon dioxide emissions—Evidence from 136 countries and regions. </w:t>
      </w:r>
      <w:r w:rsidRPr="003B5944">
        <w:rPr>
          <w:rFonts w:ascii="Times New Roman" w:eastAsia="Times New Roman" w:hAnsi="Times New Roman" w:cs="Times New Roman"/>
          <w:i/>
          <w:iCs/>
          <w:sz w:val="24"/>
          <w:szCs w:val="24"/>
        </w:rPr>
        <w:t>Sustainability, 16</w:t>
      </w:r>
      <w:r w:rsidRPr="003B5944">
        <w:rPr>
          <w:rFonts w:ascii="Times New Roman" w:eastAsia="Times New Roman" w:hAnsi="Times New Roman" w:cs="Times New Roman"/>
          <w:sz w:val="24"/>
          <w:szCs w:val="24"/>
        </w:rPr>
        <w:t xml:space="preserve">(18), 7878. </w:t>
      </w:r>
      <w:hyperlink r:id="rId37" w:tgtFrame="_new" w:history="1">
        <w:r w:rsidRPr="003B5944">
          <w:rPr>
            <w:rFonts w:ascii="Times New Roman" w:eastAsia="Times New Roman" w:hAnsi="Times New Roman" w:cs="Times New Roman"/>
            <w:color w:val="0000FF"/>
            <w:sz w:val="24"/>
            <w:szCs w:val="24"/>
            <w:u w:val="single"/>
          </w:rPr>
          <w:t>https://doi.org/10.3390/su16187878</w:t>
        </w:r>
      </w:hyperlink>
      <w:r w:rsidRPr="003B5944">
        <w:rPr>
          <w:rFonts w:ascii="Times New Roman" w:eastAsia="Times New Roman" w:hAnsi="Times New Roman" w:cs="Times New Roman"/>
          <w:sz w:val="24"/>
          <w:szCs w:val="24"/>
        </w:rPr>
        <w:t xml:space="preserve"> </w:t>
      </w:r>
    </w:p>
    <w:p w14:paraId="4E246064" w14:textId="010BE26B"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Mukhopadhyay</w:t>
      </w:r>
      <w:proofErr w:type="gramEnd"/>
      <w:r w:rsidRPr="003B5944">
        <w:rPr>
          <w:rFonts w:ascii="Times New Roman" w:eastAsia="Times New Roman" w:hAnsi="Times New Roman" w:cs="Times New Roman"/>
          <w:sz w:val="24"/>
          <w:szCs w:val="24"/>
        </w:rPr>
        <w:t xml:space="preserve">, K., &amp; Chakraborty, D. (2002). Economic reforms, energy consumption changes and CO2 emissions in India: A quantitative analysis. </w:t>
      </w:r>
      <w:r w:rsidRPr="003B5944">
        <w:rPr>
          <w:rFonts w:ascii="Times New Roman" w:eastAsia="Times New Roman" w:hAnsi="Times New Roman" w:cs="Times New Roman"/>
          <w:i/>
          <w:iCs/>
          <w:sz w:val="24"/>
          <w:szCs w:val="24"/>
        </w:rPr>
        <w:t>Asia-Pacific Development Journal, 9</w:t>
      </w:r>
      <w:r w:rsidRPr="003B5944">
        <w:rPr>
          <w:rFonts w:ascii="Times New Roman" w:eastAsia="Times New Roman" w:hAnsi="Times New Roman" w:cs="Times New Roman"/>
          <w:sz w:val="24"/>
          <w:szCs w:val="24"/>
        </w:rPr>
        <w:t xml:space="preserve">(2), 107–129. </w:t>
      </w:r>
      <w:hyperlink r:id="rId38" w:tgtFrame="_new" w:history="1">
        <w:r w:rsidRPr="003B5944">
          <w:rPr>
            <w:rFonts w:ascii="Times New Roman" w:eastAsia="Times New Roman" w:hAnsi="Times New Roman" w:cs="Times New Roman"/>
            <w:color w:val="0000FF"/>
            <w:sz w:val="24"/>
            <w:szCs w:val="24"/>
            <w:u w:val="single"/>
          </w:rPr>
          <w:t>https://doi.org/10.18356/0b0e8cfc-en</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Myszczyszyn</w:t>
      </w:r>
      <w:proofErr w:type="spellEnd"/>
      <w:r w:rsidRPr="003B5944">
        <w:rPr>
          <w:rFonts w:ascii="Times New Roman" w:eastAsia="Times New Roman" w:hAnsi="Times New Roman" w:cs="Times New Roman"/>
          <w:sz w:val="24"/>
          <w:szCs w:val="24"/>
        </w:rPr>
        <w:t xml:space="preserve">, J., &amp; </w:t>
      </w:r>
      <w:proofErr w:type="spellStart"/>
      <w:r w:rsidRPr="003B5944">
        <w:rPr>
          <w:rFonts w:ascii="Times New Roman" w:eastAsia="Times New Roman" w:hAnsi="Times New Roman" w:cs="Times New Roman"/>
          <w:sz w:val="24"/>
          <w:szCs w:val="24"/>
        </w:rPr>
        <w:t>Suproń</w:t>
      </w:r>
      <w:proofErr w:type="spellEnd"/>
      <w:r w:rsidRPr="003B5944">
        <w:rPr>
          <w:rFonts w:ascii="Times New Roman" w:eastAsia="Times New Roman" w:hAnsi="Times New Roman" w:cs="Times New Roman"/>
          <w:sz w:val="24"/>
          <w:szCs w:val="24"/>
        </w:rPr>
        <w:t xml:space="preserve">, B. (2022). Relationship among economic growth, energy consumption, CO2 emission, and urbanization: An econometric perspective analysis. </w:t>
      </w:r>
      <w:r w:rsidRPr="003B5944">
        <w:rPr>
          <w:rFonts w:ascii="Times New Roman" w:eastAsia="Times New Roman" w:hAnsi="Times New Roman" w:cs="Times New Roman"/>
          <w:i/>
          <w:iCs/>
          <w:sz w:val="24"/>
          <w:szCs w:val="24"/>
        </w:rPr>
        <w:t>Energies, 15</w:t>
      </w:r>
      <w:r w:rsidRPr="003B5944">
        <w:rPr>
          <w:rFonts w:ascii="Times New Roman" w:eastAsia="Times New Roman" w:hAnsi="Times New Roman" w:cs="Times New Roman"/>
          <w:sz w:val="24"/>
          <w:szCs w:val="24"/>
        </w:rPr>
        <w:t xml:space="preserve">(24), 9647. </w:t>
      </w:r>
      <w:hyperlink r:id="rId39" w:tgtFrame="_new" w:history="1">
        <w:r w:rsidRPr="003B5944">
          <w:rPr>
            <w:rFonts w:ascii="Times New Roman" w:eastAsia="Times New Roman" w:hAnsi="Times New Roman" w:cs="Times New Roman"/>
            <w:color w:val="0000FF"/>
            <w:sz w:val="24"/>
            <w:szCs w:val="24"/>
            <w:u w:val="single"/>
          </w:rPr>
          <w:t>https://doi.org/10.3390/en15249647</w:t>
        </w:r>
      </w:hyperlink>
      <w:r w:rsidRPr="003B5944">
        <w:rPr>
          <w:rFonts w:ascii="Times New Roman" w:eastAsia="Times New Roman" w:hAnsi="Times New Roman" w:cs="Times New Roman"/>
          <w:sz w:val="24"/>
          <w:szCs w:val="24"/>
        </w:rPr>
        <w:t xml:space="preserve"> </w:t>
      </w:r>
    </w:p>
    <w:p w14:paraId="6492B019"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Nadeem</w:t>
      </w:r>
      <w:proofErr w:type="gramEnd"/>
      <w:r w:rsidRPr="003B5944">
        <w:rPr>
          <w:rFonts w:ascii="Times New Roman" w:eastAsia="Times New Roman" w:hAnsi="Times New Roman" w:cs="Times New Roman"/>
          <w:sz w:val="24"/>
          <w:szCs w:val="24"/>
        </w:rPr>
        <w:t xml:space="preserve">, A. M., Ali, T., Khan, M. T., &amp; Guo, Z. (2020). Relationship between inward FDI and environmental degradation for Pakistan: An exploration of the pollution haven hypothesis through the ARDL approach. </w:t>
      </w:r>
      <w:r w:rsidRPr="003B5944">
        <w:rPr>
          <w:rFonts w:ascii="Times New Roman" w:eastAsia="Times New Roman" w:hAnsi="Times New Roman" w:cs="Times New Roman"/>
          <w:i/>
          <w:iCs/>
          <w:sz w:val="24"/>
          <w:szCs w:val="24"/>
        </w:rPr>
        <w:t>Environmental Science and Pollution Research, 27</w:t>
      </w:r>
      <w:r w:rsidRPr="003B5944">
        <w:rPr>
          <w:rFonts w:ascii="Times New Roman" w:eastAsia="Times New Roman" w:hAnsi="Times New Roman" w:cs="Times New Roman"/>
          <w:sz w:val="24"/>
          <w:szCs w:val="24"/>
        </w:rPr>
        <w:t xml:space="preserve">, 15407–15425. https://doi.org/10.1007/s11356-020-08083-x </w:t>
      </w:r>
    </w:p>
    <w:p w14:paraId="6A7A8BC4"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Nair</w:t>
      </w:r>
      <w:proofErr w:type="gramEnd"/>
      <w:r w:rsidRPr="003B5944">
        <w:rPr>
          <w:rFonts w:ascii="Times New Roman" w:eastAsia="Times New Roman" w:hAnsi="Times New Roman" w:cs="Times New Roman"/>
          <w:sz w:val="24"/>
          <w:szCs w:val="24"/>
        </w:rPr>
        <w:t xml:space="preserve">, A., &amp; Maiti, S. (2025). Revisiting environmental Kuznets curve (EKC) and renewable energy consumption in India. </w:t>
      </w:r>
      <w:r w:rsidRPr="003B5944">
        <w:rPr>
          <w:rFonts w:ascii="Times New Roman" w:eastAsia="Times New Roman" w:hAnsi="Times New Roman" w:cs="Times New Roman"/>
          <w:i/>
          <w:iCs/>
          <w:sz w:val="24"/>
          <w:szCs w:val="24"/>
        </w:rPr>
        <w:t>Asian Journal of Economics, Business and Accounting, 25</w:t>
      </w:r>
      <w:r w:rsidRPr="003B5944">
        <w:rPr>
          <w:rFonts w:ascii="Times New Roman" w:eastAsia="Times New Roman" w:hAnsi="Times New Roman" w:cs="Times New Roman"/>
          <w:sz w:val="24"/>
          <w:szCs w:val="24"/>
        </w:rPr>
        <w:t xml:space="preserve">(1), 387–396. </w:t>
      </w:r>
      <w:hyperlink r:id="rId40" w:tgtFrame="_new" w:history="1">
        <w:r w:rsidRPr="003B5944">
          <w:rPr>
            <w:rFonts w:ascii="Times New Roman" w:eastAsia="Times New Roman" w:hAnsi="Times New Roman" w:cs="Times New Roman"/>
            <w:color w:val="0000FF"/>
            <w:sz w:val="24"/>
            <w:szCs w:val="24"/>
            <w:u w:val="single"/>
          </w:rPr>
          <w:t>https://doi.org/10.9734/ajeba/2025/v25i11658</w:t>
        </w:r>
      </w:hyperlink>
      <w:r w:rsidRPr="003B5944">
        <w:rPr>
          <w:rFonts w:ascii="Times New Roman" w:eastAsia="Times New Roman" w:hAnsi="Times New Roman" w:cs="Times New Roman"/>
          <w:sz w:val="24"/>
          <w:szCs w:val="24"/>
        </w:rPr>
        <w:t xml:space="preserve"> </w:t>
      </w:r>
    </w:p>
    <w:p w14:paraId="7A50D27D"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Ngong</w:t>
      </w:r>
      <w:proofErr w:type="gramEnd"/>
      <w:r w:rsidRPr="003B5944">
        <w:rPr>
          <w:rFonts w:ascii="Times New Roman" w:eastAsia="Times New Roman" w:hAnsi="Times New Roman" w:cs="Times New Roman"/>
          <w:sz w:val="24"/>
          <w:szCs w:val="24"/>
        </w:rPr>
        <w:t xml:space="preserve">, C. A., Bih, D., </w:t>
      </w:r>
      <w:proofErr w:type="spellStart"/>
      <w:r w:rsidRPr="003B5944">
        <w:rPr>
          <w:rFonts w:ascii="Times New Roman" w:eastAsia="Times New Roman" w:hAnsi="Times New Roman" w:cs="Times New Roman"/>
          <w:sz w:val="24"/>
          <w:szCs w:val="24"/>
        </w:rPr>
        <w:t>Onyejiaku</w:t>
      </w:r>
      <w:proofErr w:type="spellEnd"/>
      <w:r w:rsidRPr="003B5944">
        <w:rPr>
          <w:rFonts w:ascii="Times New Roman" w:eastAsia="Times New Roman" w:hAnsi="Times New Roman" w:cs="Times New Roman"/>
          <w:sz w:val="24"/>
          <w:szCs w:val="24"/>
        </w:rPr>
        <w:t xml:space="preserve">, C. C., &amp; Onwumere, J. U. J. (2022). Urbanization and carbon dioxide (CO2) emission nexus in the CEMAC countries. </w:t>
      </w:r>
      <w:r w:rsidRPr="003B5944">
        <w:rPr>
          <w:rFonts w:ascii="Times New Roman" w:eastAsia="Times New Roman" w:hAnsi="Times New Roman" w:cs="Times New Roman"/>
          <w:i/>
          <w:iCs/>
          <w:sz w:val="24"/>
          <w:szCs w:val="24"/>
        </w:rPr>
        <w:t>Management of Environmental Quality: An International Journal, 33</w:t>
      </w:r>
      <w:r w:rsidRPr="003B5944">
        <w:rPr>
          <w:rFonts w:ascii="Times New Roman" w:eastAsia="Times New Roman" w:hAnsi="Times New Roman" w:cs="Times New Roman"/>
          <w:sz w:val="24"/>
          <w:szCs w:val="24"/>
        </w:rPr>
        <w:t xml:space="preserve">(3), 657–673. </w:t>
      </w:r>
      <w:hyperlink r:id="rId41" w:tgtFrame="_new" w:history="1">
        <w:r w:rsidRPr="003B5944">
          <w:rPr>
            <w:rFonts w:ascii="Times New Roman" w:eastAsia="Times New Roman" w:hAnsi="Times New Roman" w:cs="Times New Roman"/>
            <w:color w:val="0000FF"/>
            <w:sz w:val="24"/>
            <w:szCs w:val="24"/>
            <w:u w:val="single"/>
          </w:rPr>
          <w:t>https://doi.org/10.1108/meq-04-2021-0070</w:t>
        </w:r>
      </w:hyperlink>
      <w:r w:rsidRPr="003B5944">
        <w:rPr>
          <w:rFonts w:ascii="Times New Roman" w:eastAsia="Times New Roman" w:hAnsi="Times New Roman" w:cs="Times New Roman"/>
          <w:sz w:val="24"/>
          <w:szCs w:val="24"/>
        </w:rPr>
        <w:t xml:space="preserve"> </w:t>
      </w:r>
    </w:p>
    <w:p w14:paraId="09A80205"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Osman</w:t>
      </w:r>
      <w:proofErr w:type="gramEnd"/>
      <w:r w:rsidRPr="003B5944">
        <w:rPr>
          <w:rFonts w:ascii="Times New Roman" w:eastAsia="Times New Roman" w:hAnsi="Times New Roman" w:cs="Times New Roman"/>
          <w:sz w:val="24"/>
          <w:szCs w:val="24"/>
        </w:rPr>
        <w:t xml:space="preserve">, Y. (2024). Analyze the impact of energy consumption, economic development, trade liberalization, and urbanization on CO2 emissions in Saudi Arabia. </w:t>
      </w:r>
      <w:r w:rsidRPr="003B5944">
        <w:rPr>
          <w:rFonts w:ascii="Times New Roman" w:eastAsia="Times New Roman" w:hAnsi="Times New Roman" w:cs="Times New Roman"/>
          <w:i/>
          <w:iCs/>
          <w:sz w:val="24"/>
          <w:szCs w:val="24"/>
        </w:rPr>
        <w:t>Uncertain Supply Chain Management, 12</w:t>
      </w:r>
      <w:r w:rsidRPr="003B5944">
        <w:rPr>
          <w:rFonts w:ascii="Times New Roman" w:eastAsia="Times New Roman" w:hAnsi="Times New Roman" w:cs="Times New Roman"/>
          <w:sz w:val="24"/>
          <w:szCs w:val="24"/>
        </w:rPr>
        <w:t xml:space="preserve">(3), 1823–1832. </w:t>
      </w:r>
      <w:hyperlink r:id="rId42" w:tgtFrame="_new" w:history="1">
        <w:r w:rsidRPr="003B5944">
          <w:rPr>
            <w:rFonts w:ascii="Times New Roman" w:eastAsia="Times New Roman" w:hAnsi="Times New Roman" w:cs="Times New Roman"/>
            <w:color w:val="0000FF"/>
            <w:sz w:val="24"/>
            <w:szCs w:val="24"/>
            <w:u w:val="single"/>
          </w:rPr>
          <w:t>https://doi.org/10.5267/j.uscm.2024.2.020</w:t>
        </w:r>
      </w:hyperlink>
      <w:r w:rsidRPr="003B5944">
        <w:rPr>
          <w:rFonts w:ascii="Times New Roman" w:eastAsia="Times New Roman" w:hAnsi="Times New Roman" w:cs="Times New Roman"/>
          <w:sz w:val="24"/>
          <w:szCs w:val="24"/>
        </w:rPr>
        <w:t xml:space="preserve"> </w:t>
      </w:r>
    </w:p>
    <w:p w14:paraId="0D622FFE"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Pachiyappan</w:t>
      </w:r>
      <w:proofErr w:type="spellEnd"/>
      <w:proofErr w:type="gramEnd"/>
      <w:r w:rsidRPr="003B5944">
        <w:rPr>
          <w:rFonts w:ascii="Times New Roman" w:eastAsia="Times New Roman" w:hAnsi="Times New Roman" w:cs="Times New Roman"/>
          <w:sz w:val="24"/>
          <w:szCs w:val="24"/>
        </w:rPr>
        <w:t xml:space="preserve">, D., Ansari, Y., Alam, M. S., </w:t>
      </w:r>
      <w:proofErr w:type="spellStart"/>
      <w:r w:rsidRPr="003B5944">
        <w:rPr>
          <w:rFonts w:ascii="Times New Roman" w:eastAsia="Times New Roman" w:hAnsi="Times New Roman" w:cs="Times New Roman"/>
          <w:sz w:val="24"/>
          <w:szCs w:val="24"/>
        </w:rPr>
        <w:t>Thoudam</w:t>
      </w:r>
      <w:proofErr w:type="spellEnd"/>
      <w:r w:rsidRPr="003B5944">
        <w:rPr>
          <w:rFonts w:ascii="Times New Roman" w:eastAsia="Times New Roman" w:hAnsi="Times New Roman" w:cs="Times New Roman"/>
          <w:sz w:val="24"/>
          <w:szCs w:val="24"/>
        </w:rPr>
        <w:t xml:space="preserve">, P., Alagirisamy, K., &amp; Manigandan, P. (2021). Short- and long-run causal effects of CO2 emissions, energy use, GDP, and population growth: Evidence from India using the ARDL and VECM approaches. </w:t>
      </w:r>
      <w:r w:rsidRPr="003B5944">
        <w:rPr>
          <w:rFonts w:ascii="Times New Roman" w:eastAsia="Times New Roman" w:hAnsi="Times New Roman" w:cs="Times New Roman"/>
          <w:i/>
          <w:iCs/>
          <w:sz w:val="24"/>
          <w:szCs w:val="24"/>
        </w:rPr>
        <w:t>Energies, 14</w:t>
      </w:r>
      <w:r w:rsidRPr="003B5944">
        <w:rPr>
          <w:rFonts w:ascii="Times New Roman" w:eastAsia="Times New Roman" w:hAnsi="Times New Roman" w:cs="Times New Roman"/>
          <w:sz w:val="24"/>
          <w:szCs w:val="24"/>
        </w:rPr>
        <w:t xml:space="preserve">(24), 8333. </w:t>
      </w:r>
      <w:hyperlink r:id="rId43" w:tgtFrame="_new" w:history="1">
        <w:r w:rsidRPr="003B5944">
          <w:rPr>
            <w:rFonts w:ascii="Times New Roman" w:eastAsia="Times New Roman" w:hAnsi="Times New Roman" w:cs="Times New Roman"/>
            <w:color w:val="0000FF"/>
            <w:sz w:val="24"/>
            <w:szCs w:val="24"/>
            <w:u w:val="single"/>
          </w:rPr>
          <w:t>https://doi.org/10.3390/en14248333</w:t>
        </w:r>
      </w:hyperlink>
      <w:r w:rsidRPr="003B5944">
        <w:rPr>
          <w:rFonts w:ascii="Times New Roman" w:eastAsia="Times New Roman" w:hAnsi="Times New Roman" w:cs="Times New Roman"/>
          <w:sz w:val="24"/>
          <w:szCs w:val="24"/>
        </w:rPr>
        <w:t xml:space="preserve"> </w:t>
      </w:r>
    </w:p>
    <w:p w14:paraId="0AD7E344"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Pesaran</w:t>
      </w:r>
      <w:proofErr w:type="spellEnd"/>
      <w:proofErr w:type="gramEnd"/>
      <w:r w:rsidRPr="003B5944">
        <w:rPr>
          <w:rFonts w:ascii="Times New Roman" w:eastAsia="Times New Roman" w:hAnsi="Times New Roman" w:cs="Times New Roman"/>
          <w:sz w:val="24"/>
          <w:szCs w:val="24"/>
        </w:rPr>
        <w:t xml:space="preserve">, M. H., Shin, Y., &amp; Smith, R. J. (2001). Bounds testing approaches to the analysis of level relationships. </w:t>
      </w:r>
      <w:r w:rsidRPr="003B5944">
        <w:rPr>
          <w:rFonts w:ascii="Times New Roman" w:eastAsia="Times New Roman" w:hAnsi="Times New Roman" w:cs="Times New Roman"/>
          <w:i/>
          <w:iCs/>
          <w:sz w:val="24"/>
          <w:szCs w:val="24"/>
        </w:rPr>
        <w:t>Journal of Applied Econometrics, 16</w:t>
      </w:r>
      <w:r w:rsidRPr="003B5944">
        <w:rPr>
          <w:rFonts w:ascii="Times New Roman" w:eastAsia="Times New Roman" w:hAnsi="Times New Roman" w:cs="Times New Roman"/>
          <w:sz w:val="24"/>
          <w:szCs w:val="24"/>
        </w:rPr>
        <w:t xml:space="preserve">(3), 289–326. </w:t>
      </w:r>
      <w:hyperlink r:id="rId44" w:tgtFrame="_new" w:history="1">
        <w:r w:rsidRPr="003B5944">
          <w:rPr>
            <w:rFonts w:ascii="Times New Roman" w:eastAsia="Times New Roman" w:hAnsi="Times New Roman" w:cs="Times New Roman"/>
            <w:color w:val="0000FF"/>
            <w:sz w:val="24"/>
            <w:szCs w:val="24"/>
            <w:u w:val="single"/>
          </w:rPr>
          <w:t>https://doi.org/10.1002/jae.616</w:t>
        </w:r>
      </w:hyperlink>
      <w:r w:rsidRPr="003B5944">
        <w:rPr>
          <w:rFonts w:ascii="Times New Roman" w:eastAsia="Times New Roman" w:hAnsi="Times New Roman" w:cs="Times New Roman"/>
          <w:sz w:val="24"/>
          <w:szCs w:val="24"/>
        </w:rPr>
        <w:t xml:space="preserve"> </w:t>
      </w:r>
    </w:p>
    <w:p w14:paraId="1C06FD5E" w14:textId="2ACE0C0B"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Philip</w:t>
      </w:r>
      <w:proofErr w:type="gramEnd"/>
      <w:r w:rsidRPr="003B5944">
        <w:rPr>
          <w:rFonts w:ascii="Times New Roman" w:eastAsia="Times New Roman" w:hAnsi="Times New Roman" w:cs="Times New Roman"/>
          <w:sz w:val="24"/>
          <w:szCs w:val="24"/>
        </w:rPr>
        <w:t xml:space="preserve">, A., &amp; Kuriakose, N. E. (2024). Trends and drivers of greenhouse gas emissions in India: A decadal analysis (2010–2020). </w:t>
      </w:r>
      <w:r w:rsidRPr="003B5944">
        <w:rPr>
          <w:rFonts w:ascii="Times New Roman" w:eastAsia="Times New Roman" w:hAnsi="Times New Roman" w:cs="Times New Roman"/>
          <w:i/>
          <w:iCs/>
          <w:sz w:val="24"/>
          <w:szCs w:val="24"/>
        </w:rPr>
        <w:t>Current World Environment, 19</w:t>
      </w:r>
      <w:r w:rsidRPr="003B5944">
        <w:rPr>
          <w:rFonts w:ascii="Times New Roman" w:eastAsia="Times New Roman" w:hAnsi="Times New Roman" w:cs="Times New Roman"/>
          <w:sz w:val="24"/>
          <w:szCs w:val="24"/>
        </w:rPr>
        <w:t xml:space="preserve">(3), 1355–1364. </w:t>
      </w:r>
      <w:hyperlink r:id="rId45" w:tgtFrame="_new" w:history="1">
        <w:r w:rsidRPr="003B5944">
          <w:rPr>
            <w:rFonts w:ascii="Times New Roman" w:eastAsia="Times New Roman" w:hAnsi="Times New Roman" w:cs="Times New Roman"/>
            <w:color w:val="0000FF"/>
            <w:sz w:val="24"/>
            <w:szCs w:val="24"/>
            <w:u w:val="single"/>
          </w:rPr>
          <w:t>https://doi.org/10.12944/cwe.19.3.26</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Rahman, M. M. (2020). Exploring the effects of economic growth, population density, and international trade on energy consumption and environmental quality in India. </w:t>
      </w:r>
      <w:r w:rsidRPr="003B5944">
        <w:rPr>
          <w:rFonts w:ascii="Times New Roman" w:eastAsia="Times New Roman" w:hAnsi="Times New Roman" w:cs="Times New Roman"/>
          <w:i/>
          <w:iCs/>
          <w:sz w:val="24"/>
          <w:szCs w:val="24"/>
        </w:rPr>
        <w:t>International Journal of Energy Sector Management, 14</w:t>
      </w:r>
      <w:r w:rsidRPr="003B5944">
        <w:rPr>
          <w:rFonts w:ascii="Times New Roman" w:eastAsia="Times New Roman" w:hAnsi="Times New Roman" w:cs="Times New Roman"/>
          <w:sz w:val="24"/>
          <w:szCs w:val="24"/>
        </w:rPr>
        <w:t xml:space="preserve">(6), 1177–1203. </w:t>
      </w:r>
      <w:hyperlink r:id="rId46" w:tgtFrame="_new" w:history="1">
        <w:r w:rsidRPr="003B5944">
          <w:rPr>
            <w:rFonts w:ascii="Times New Roman" w:eastAsia="Times New Roman" w:hAnsi="Times New Roman" w:cs="Times New Roman"/>
            <w:color w:val="0000FF"/>
            <w:sz w:val="24"/>
            <w:szCs w:val="24"/>
            <w:u w:val="single"/>
          </w:rPr>
          <w:t>https://doi.org/10.1108/ijesm-11-2019-0014</w:t>
        </w:r>
      </w:hyperlink>
      <w:r w:rsidRPr="003B5944">
        <w:rPr>
          <w:rFonts w:ascii="Times New Roman" w:eastAsia="Times New Roman" w:hAnsi="Times New Roman" w:cs="Times New Roman"/>
          <w:sz w:val="24"/>
          <w:szCs w:val="24"/>
        </w:rPr>
        <w:t xml:space="preserve"> </w:t>
      </w:r>
    </w:p>
    <w:p w14:paraId="5CDE6012" w14:textId="2E7E9AD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lastRenderedPageBreak/>
        <w:t></w:t>
      </w:r>
      <w:r w:rsidRPr="003B5944">
        <w:rPr>
          <w:rFonts w:ascii="Times New Roman" w:eastAsia="Times New Roman" w:hAnsi="Times New Roman" w:cs="Times New Roman"/>
          <w:sz w:val="24"/>
          <w:szCs w:val="24"/>
        </w:rPr>
        <w:t xml:space="preserve">  Sahu</w:t>
      </w:r>
      <w:proofErr w:type="gramEnd"/>
      <w:r w:rsidRPr="003B5944">
        <w:rPr>
          <w:rFonts w:ascii="Times New Roman" w:eastAsia="Times New Roman" w:hAnsi="Times New Roman" w:cs="Times New Roman"/>
          <w:sz w:val="24"/>
          <w:szCs w:val="24"/>
        </w:rPr>
        <w:t xml:space="preserve">, S. K., &amp; Mehta, D. (2018). Determinants of energy and CO2 emission intensities: A study of manufacturing firms in India. </w:t>
      </w:r>
      <w:r w:rsidRPr="003B5944">
        <w:rPr>
          <w:rFonts w:ascii="Times New Roman" w:eastAsia="Times New Roman" w:hAnsi="Times New Roman" w:cs="Times New Roman"/>
          <w:i/>
          <w:iCs/>
          <w:sz w:val="24"/>
          <w:szCs w:val="24"/>
        </w:rPr>
        <w:t>The Singapore Economic Review, 63</w:t>
      </w:r>
      <w:r w:rsidRPr="003B5944">
        <w:rPr>
          <w:rFonts w:ascii="Times New Roman" w:eastAsia="Times New Roman" w:hAnsi="Times New Roman" w:cs="Times New Roman"/>
          <w:sz w:val="24"/>
          <w:szCs w:val="24"/>
        </w:rPr>
        <w:t xml:space="preserve">(2), 389–407. </w:t>
      </w:r>
      <w:hyperlink r:id="rId47" w:tgtFrame="_new" w:history="1">
        <w:r w:rsidRPr="003B5944">
          <w:rPr>
            <w:rFonts w:ascii="Times New Roman" w:eastAsia="Times New Roman" w:hAnsi="Times New Roman" w:cs="Times New Roman"/>
            <w:color w:val="0000FF"/>
            <w:sz w:val="24"/>
            <w:szCs w:val="24"/>
            <w:u w:val="single"/>
          </w:rPr>
          <w:t>https://doi.org/10.1142/s0217590817400173</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Sethi, S. S., &amp; Vinoj, V. (2024). Urbanization and regional climate change-linked warming of Indian cities. </w:t>
      </w:r>
      <w:r w:rsidRPr="003B5944">
        <w:rPr>
          <w:rFonts w:ascii="Times New Roman" w:eastAsia="Times New Roman" w:hAnsi="Times New Roman" w:cs="Times New Roman"/>
          <w:i/>
          <w:iCs/>
          <w:sz w:val="24"/>
          <w:szCs w:val="24"/>
        </w:rPr>
        <w:t>Nature Cities, 1</w:t>
      </w:r>
      <w:r w:rsidRPr="003B5944">
        <w:rPr>
          <w:rFonts w:ascii="Times New Roman" w:eastAsia="Times New Roman" w:hAnsi="Times New Roman" w:cs="Times New Roman"/>
          <w:sz w:val="24"/>
          <w:szCs w:val="24"/>
        </w:rPr>
        <w:t xml:space="preserve">(6), 402–405. </w:t>
      </w:r>
      <w:hyperlink r:id="rId48" w:tgtFrame="_new" w:history="1">
        <w:r w:rsidRPr="003B5944">
          <w:rPr>
            <w:rFonts w:ascii="Times New Roman" w:eastAsia="Times New Roman" w:hAnsi="Times New Roman" w:cs="Times New Roman"/>
            <w:color w:val="0000FF"/>
            <w:sz w:val="24"/>
            <w:szCs w:val="24"/>
            <w:u w:val="single"/>
          </w:rPr>
          <w:t>https://doi.org/10.1038/s44284-024-00074-0</w:t>
        </w:r>
      </w:hyperlink>
      <w:r w:rsidRPr="003B5944">
        <w:rPr>
          <w:rFonts w:ascii="Times New Roman" w:eastAsia="Times New Roman" w:hAnsi="Times New Roman" w:cs="Times New Roman"/>
          <w:sz w:val="24"/>
          <w:szCs w:val="24"/>
        </w:rPr>
        <w:t xml:space="preserve"> </w:t>
      </w:r>
    </w:p>
    <w:p w14:paraId="5A186A21"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Seto</w:t>
      </w:r>
      <w:proofErr w:type="gramEnd"/>
      <w:r w:rsidRPr="003B5944">
        <w:rPr>
          <w:rFonts w:ascii="Times New Roman" w:eastAsia="Times New Roman" w:hAnsi="Times New Roman" w:cs="Times New Roman"/>
          <w:sz w:val="24"/>
          <w:szCs w:val="24"/>
        </w:rPr>
        <w:t xml:space="preserve">, K. C., </w:t>
      </w:r>
      <w:proofErr w:type="spellStart"/>
      <w:r w:rsidRPr="003B5944">
        <w:rPr>
          <w:rFonts w:ascii="Times New Roman" w:eastAsia="Times New Roman" w:hAnsi="Times New Roman" w:cs="Times New Roman"/>
          <w:sz w:val="24"/>
          <w:szCs w:val="24"/>
        </w:rPr>
        <w:t>Güneralp</w:t>
      </w:r>
      <w:proofErr w:type="spellEnd"/>
      <w:r w:rsidRPr="003B5944">
        <w:rPr>
          <w:rFonts w:ascii="Times New Roman" w:eastAsia="Times New Roman" w:hAnsi="Times New Roman" w:cs="Times New Roman"/>
          <w:sz w:val="24"/>
          <w:szCs w:val="24"/>
        </w:rPr>
        <w:t xml:space="preserve">, B., &amp; Hutyra, L. R. (2012). Global forecasts of urban expansion to 2030 and direct impacts on biodiversity and carbon pools. </w:t>
      </w:r>
      <w:r w:rsidRPr="003B5944">
        <w:rPr>
          <w:rFonts w:ascii="Times New Roman" w:eastAsia="Times New Roman" w:hAnsi="Times New Roman" w:cs="Times New Roman"/>
          <w:i/>
          <w:iCs/>
          <w:sz w:val="24"/>
          <w:szCs w:val="24"/>
        </w:rPr>
        <w:t>Proceedings of the National Academy of Sciences of the United States of America, 109</w:t>
      </w:r>
      <w:r w:rsidRPr="003B5944">
        <w:rPr>
          <w:rFonts w:ascii="Times New Roman" w:eastAsia="Times New Roman" w:hAnsi="Times New Roman" w:cs="Times New Roman"/>
          <w:sz w:val="24"/>
          <w:szCs w:val="24"/>
        </w:rPr>
        <w:t xml:space="preserve">(40), 16083–16088. </w:t>
      </w:r>
      <w:hyperlink r:id="rId49" w:tgtFrame="_new" w:history="1">
        <w:r w:rsidRPr="003B5944">
          <w:rPr>
            <w:rFonts w:ascii="Times New Roman" w:eastAsia="Times New Roman" w:hAnsi="Times New Roman" w:cs="Times New Roman"/>
            <w:color w:val="0000FF"/>
            <w:sz w:val="24"/>
            <w:szCs w:val="24"/>
            <w:u w:val="single"/>
          </w:rPr>
          <w:t>https://doi.org/10.1073/pnas.1211658109</w:t>
        </w:r>
      </w:hyperlink>
      <w:r w:rsidRPr="003B5944">
        <w:rPr>
          <w:rFonts w:ascii="Times New Roman" w:eastAsia="Times New Roman" w:hAnsi="Times New Roman" w:cs="Times New Roman"/>
          <w:sz w:val="24"/>
          <w:szCs w:val="24"/>
        </w:rPr>
        <w:t xml:space="preserve"> </w:t>
      </w:r>
    </w:p>
    <w:p w14:paraId="75AC5AC9"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Shabani</w:t>
      </w:r>
      <w:proofErr w:type="gramEnd"/>
      <w:r w:rsidRPr="003B5944">
        <w:rPr>
          <w:rFonts w:ascii="Times New Roman" w:eastAsia="Times New Roman" w:hAnsi="Times New Roman" w:cs="Times New Roman"/>
          <w:sz w:val="24"/>
          <w:szCs w:val="24"/>
        </w:rPr>
        <w:t xml:space="preserve">, E., Hayati, B., </w:t>
      </w:r>
      <w:proofErr w:type="spellStart"/>
      <w:r w:rsidRPr="003B5944">
        <w:rPr>
          <w:rFonts w:ascii="Times New Roman" w:eastAsia="Times New Roman" w:hAnsi="Times New Roman" w:cs="Times New Roman"/>
          <w:sz w:val="24"/>
          <w:szCs w:val="24"/>
        </w:rPr>
        <w:t>Pishbahar</w:t>
      </w:r>
      <w:proofErr w:type="spellEnd"/>
      <w:r w:rsidRPr="003B5944">
        <w:rPr>
          <w:rFonts w:ascii="Times New Roman" w:eastAsia="Times New Roman" w:hAnsi="Times New Roman" w:cs="Times New Roman"/>
          <w:sz w:val="24"/>
          <w:szCs w:val="24"/>
        </w:rPr>
        <w:t xml:space="preserve">, E., Ghorbani, M. A., &amp; </w:t>
      </w:r>
      <w:proofErr w:type="spellStart"/>
      <w:r w:rsidRPr="003B5944">
        <w:rPr>
          <w:rFonts w:ascii="Times New Roman" w:eastAsia="Times New Roman" w:hAnsi="Times New Roman" w:cs="Times New Roman"/>
          <w:sz w:val="24"/>
          <w:szCs w:val="24"/>
        </w:rPr>
        <w:t>Ghahremanzadeh</w:t>
      </w:r>
      <w:proofErr w:type="spellEnd"/>
      <w:r w:rsidRPr="003B5944">
        <w:rPr>
          <w:rFonts w:ascii="Times New Roman" w:eastAsia="Times New Roman" w:hAnsi="Times New Roman" w:cs="Times New Roman"/>
          <w:sz w:val="24"/>
          <w:szCs w:val="24"/>
        </w:rPr>
        <w:t xml:space="preserve">, M. (2022). The relationship between CO2 emission, economic growth, energy consumption, and urbanization in the ECO member countries. </w:t>
      </w:r>
      <w:r w:rsidRPr="003B5944">
        <w:rPr>
          <w:rFonts w:ascii="Times New Roman" w:eastAsia="Times New Roman" w:hAnsi="Times New Roman" w:cs="Times New Roman"/>
          <w:i/>
          <w:iCs/>
          <w:sz w:val="24"/>
          <w:szCs w:val="24"/>
        </w:rPr>
        <w:t>International Journal of Environmental Science and Technology, 19</w:t>
      </w:r>
      <w:r w:rsidRPr="003B5944">
        <w:rPr>
          <w:rFonts w:ascii="Times New Roman" w:eastAsia="Times New Roman" w:hAnsi="Times New Roman" w:cs="Times New Roman"/>
          <w:sz w:val="24"/>
          <w:szCs w:val="24"/>
        </w:rPr>
        <w:t xml:space="preserve">(3), 1861–1876. </w:t>
      </w:r>
      <w:hyperlink r:id="rId50" w:tgtFrame="_new" w:history="1">
        <w:r w:rsidRPr="003B5944">
          <w:rPr>
            <w:rFonts w:ascii="Times New Roman" w:eastAsia="Times New Roman" w:hAnsi="Times New Roman" w:cs="Times New Roman"/>
            <w:color w:val="0000FF"/>
            <w:sz w:val="24"/>
            <w:szCs w:val="24"/>
            <w:u w:val="single"/>
          </w:rPr>
          <w:t>https://doi.org/10.1007/s13762-021-03319-w</w:t>
        </w:r>
      </w:hyperlink>
      <w:r w:rsidRPr="003B5944">
        <w:rPr>
          <w:rFonts w:ascii="Times New Roman" w:eastAsia="Times New Roman" w:hAnsi="Times New Roman" w:cs="Times New Roman"/>
          <w:sz w:val="24"/>
          <w:szCs w:val="24"/>
        </w:rPr>
        <w:t xml:space="preserve"> </w:t>
      </w:r>
    </w:p>
    <w:p w14:paraId="2A54BB7D" w14:textId="429FFD46"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Siddique</w:t>
      </w:r>
      <w:proofErr w:type="gramEnd"/>
      <w:r w:rsidRPr="003B5944">
        <w:rPr>
          <w:rFonts w:ascii="Times New Roman" w:eastAsia="Times New Roman" w:hAnsi="Times New Roman" w:cs="Times New Roman"/>
          <w:sz w:val="24"/>
          <w:szCs w:val="24"/>
        </w:rPr>
        <w:t xml:space="preserve">, H. M. A., Majeed, M. T., &amp; Ahmad, H. K. (2016). The impact of urbanization and energy consumption on CO2 emissions in South Asia. </w:t>
      </w:r>
      <w:r w:rsidRPr="003B5944">
        <w:rPr>
          <w:rFonts w:ascii="Times New Roman" w:eastAsia="Times New Roman" w:hAnsi="Times New Roman" w:cs="Times New Roman"/>
          <w:i/>
          <w:iCs/>
          <w:sz w:val="24"/>
          <w:szCs w:val="24"/>
        </w:rPr>
        <w:t>South Asian Studies, 31</w:t>
      </w:r>
      <w:r w:rsidRPr="003B5944">
        <w:rPr>
          <w:rFonts w:ascii="Times New Roman" w:eastAsia="Times New Roman" w:hAnsi="Times New Roman" w:cs="Times New Roman"/>
          <w:sz w:val="24"/>
          <w:szCs w:val="24"/>
        </w:rPr>
        <w:t xml:space="preserve">(2), 745–757. </w:t>
      </w:r>
      <w:hyperlink r:id="rId51" w:tgtFrame="_new" w:history="1">
        <w:r w:rsidRPr="003B5944">
          <w:rPr>
            <w:rFonts w:ascii="Times New Roman" w:eastAsia="Times New Roman" w:hAnsi="Times New Roman" w:cs="Times New Roman"/>
            <w:color w:val="0000FF"/>
            <w:sz w:val="24"/>
            <w:szCs w:val="24"/>
            <w:u w:val="single"/>
          </w:rPr>
          <w:t>https://sasj.pu.edu.pk/9/article/view/1091</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Sikder, M., Wang, C., Yao, X., Huai, X., Wu, L., Yeboah, F. K., Wood, J., Zhao, Y., &amp; Dou, X. (2022). The integrated impact of GDP growth, industrialization, energy use, and urbanization on CO2 emissions in developing countries: Evidence from the panel ARDL approach. </w:t>
      </w:r>
      <w:r w:rsidRPr="003B5944">
        <w:rPr>
          <w:rFonts w:ascii="Times New Roman" w:eastAsia="Times New Roman" w:hAnsi="Times New Roman" w:cs="Times New Roman"/>
          <w:i/>
          <w:iCs/>
          <w:sz w:val="24"/>
          <w:szCs w:val="24"/>
        </w:rPr>
        <w:t>Science of the Total Environment, 837</w:t>
      </w:r>
      <w:r w:rsidRPr="003B5944">
        <w:rPr>
          <w:rFonts w:ascii="Times New Roman" w:eastAsia="Times New Roman" w:hAnsi="Times New Roman" w:cs="Times New Roman"/>
          <w:sz w:val="24"/>
          <w:szCs w:val="24"/>
        </w:rPr>
        <w:t xml:space="preserve">, 155795. </w:t>
      </w:r>
      <w:hyperlink r:id="rId52" w:tgtFrame="_new" w:history="1">
        <w:r w:rsidRPr="003B5944">
          <w:rPr>
            <w:rFonts w:ascii="Times New Roman" w:eastAsia="Times New Roman" w:hAnsi="Times New Roman" w:cs="Times New Roman"/>
            <w:color w:val="0000FF"/>
            <w:sz w:val="24"/>
            <w:szCs w:val="24"/>
            <w:u w:val="single"/>
          </w:rPr>
          <w:t>https://doi.org/10.1016/j.scitotenv.2022.155795</w:t>
        </w:r>
      </w:hyperlink>
      <w:r w:rsidRPr="003B5944">
        <w:rPr>
          <w:rFonts w:ascii="Times New Roman" w:eastAsia="Times New Roman" w:hAnsi="Times New Roman" w:cs="Times New Roman"/>
          <w:sz w:val="24"/>
          <w:szCs w:val="24"/>
        </w:rPr>
        <w:t xml:space="preserve"> </w:t>
      </w:r>
    </w:p>
    <w:p w14:paraId="0FA973C5"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Szymczyk</w:t>
      </w:r>
      <w:proofErr w:type="gramEnd"/>
      <w:r w:rsidRPr="003B5944">
        <w:rPr>
          <w:rFonts w:ascii="Times New Roman" w:eastAsia="Times New Roman" w:hAnsi="Times New Roman" w:cs="Times New Roman"/>
          <w:sz w:val="24"/>
          <w:szCs w:val="24"/>
        </w:rPr>
        <w:t xml:space="preserve">, K., Şahin, D., </w:t>
      </w:r>
      <w:proofErr w:type="spellStart"/>
      <w:r w:rsidRPr="003B5944">
        <w:rPr>
          <w:rFonts w:ascii="Times New Roman" w:eastAsia="Times New Roman" w:hAnsi="Times New Roman" w:cs="Times New Roman"/>
          <w:sz w:val="24"/>
          <w:szCs w:val="24"/>
        </w:rPr>
        <w:t>Bağcı</w:t>
      </w:r>
      <w:proofErr w:type="spellEnd"/>
      <w:r w:rsidRPr="003B5944">
        <w:rPr>
          <w:rFonts w:ascii="Times New Roman" w:eastAsia="Times New Roman" w:hAnsi="Times New Roman" w:cs="Times New Roman"/>
          <w:sz w:val="24"/>
          <w:szCs w:val="24"/>
        </w:rPr>
        <w:t xml:space="preserve">, H., &amp; </w:t>
      </w:r>
      <w:proofErr w:type="spellStart"/>
      <w:r w:rsidRPr="003B5944">
        <w:rPr>
          <w:rFonts w:ascii="Times New Roman" w:eastAsia="Times New Roman" w:hAnsi="Times New Roman" w:cs="Times New Roman"/>
          <w:sz w:val="24"/>
          <w:szCs w:val="24"/>
        </w:rPr>
        <w:t>Kaygın</w:t>
      </w:r>
      <w:proofErr w:type="spellEnd"/>
      <w:r w:rsidRPr="003B5944">
        <w:rPr>
          <w:rFonts w:ascii="Times New Roman" w:eastAsia="Times New Roman" w:hAnsi="Times New Roman" w:cs="Times New Roman"/>
          <w:sz w:val="24"/>
          <w:szCs w:val="24"/>
        </w:rPr>
        <w:t xml:space="preserve">, C. Y. (2021). The effect of energy usage, economic growth, and financial development on CO2 emission management: An analysis of OECD countries with a high environmental performance index. </w:t>
      </w:r>
      <w:r w:rsidRPr="003B5944">
        <w:rPr>
          <w:rFonts w:ascii="Times New Roman" w:eastAsia="Times New Roman" w:hAnsi="Times New Roman" w:cs="Times New Roman"/>
          <w:i/>
          <w:iCs/>
          <w:sz w:val="24"/>
          <w:szCs w:val="24"/>
        </w:rPr>
        <w:t>Energies, 14</w:t>
      </w:r>
      <w:r w:rsidRPr="003B5944">
        <w:rPr>
          <w:rFonts w:ascii="Times New Roman" w:eastAsia="Times New Roman" w:hAnsi="Times New Roman" w:cs="Times New Roman"/>
          <w:sz w:val="24"/>
          <w:szCs w:val="24"/>
        </w:rPr>
        <w:t xml:space="preserve">(15), 4671. </w:t>
      </w:r>
      <w:hyperlink r:id="rId53" w:tgtFrame="_new" w:history="1">
        <w:r w:rsidRPr="003B5944">
          <w:rPr>
            <w:rFonts w:ascii="Times New Roman" w:eastAsia="Times New Roman" w:hAnsi="Times New Roman" w:cs="Times New Roman"/>
            <w:color w:val="0000FF"/>
            <w:sz w:val="24"/>
            <w:szCs w:val="24"/>
            <w:u w:val="single"/>
          </w:rPr>
          <w:t>https://doi.org/10.3390/en14154671</w:t>
        </w:r>
      </w:hyperlink>
      <w:r w:rsidRPr="003B5944">
        <w:rPr>
          <w:rFonts w:ascii="Times New Roman" w:eastAsia="Times New Roman" w:hAnsi="Times New Roman" w:cs="Times New Roman"/>
          <w:sz w:val="24"/>
          <w:szCs w:val="24"/>
        </w:rPr>
        <w:t xml:space="preserve"> </w:t>
      </w:r>
    </w:p>
    <w:p w14:paraId="72CAF95F"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Wang</w:t>
      </w:r>
      <w:proofErr w:type="gramEnd"/>
      <w:r w:rsidRPr="003B5944">
        <w:rPr>
          <w:rFonts w:ascii="Times New Roman" w:eastAsia="Times New Roman" w:hAnsi="Times New Roman" w:cs="Times New Roman"/>
          <w:sz w:val="24"/>
          <w:szCs w:val="24"/>
        </w:rPr>
        <w:t xml:space="preserve">, S. J., &amp; Moriarty, P. (2018). The urgent need for advancing urban sustainability. In </w:t>
      </w:r>
      <w:r w:rsidRPr="003B5944">
        <w:rPr>
          <w:rFonts w:ascii="Times New Roman" w:eastAsia="Times New Roman" w:hAnsi="Times New Roman" w:cs="Times New Roman"/>
          <w:i/>
          <w:iCs/>
          <w:sz w:val="24"/>
          <w:szCs w:val="24"/>
        </w:rPr>
        <w:t>Big data for urban sustainability</w:t>
      </w:r>
      <w:r w:rsidRPr="003B5944">
        <w:rPr>
          <w:rFonts w:ascii="Times New Roman" w:eastAsia="Times New Roman" w:hAnsi="Times New Roman" w:cs="Times New Roman"/>
          <w:sz w:val="24"/>
          <w:szCs w:val="24"/>
        </w:rPr>
        <w:t xml:space="preserve"> (pp. 1–21). Springer. </w:t>
      </w:r>
      <w:hyperlink r:id="rId54" w:tgtFrame="_new" w:history="1">
        <w:r w:rsidRPr="003B5944">
          <w:rPr>
            <w:rFonts w:ascii="Times New Roman" w:eastAsia="Times New Roman" w:hAnsi="Times New Roman" w:cs="Times New Roman"/>
            <w:color w:val="0000FF"/>
            <w:sz w:val="24"/>
            <w:szCs w:val="24"/>
            <w:u w:val="single"/>
          </w:rPr>
          <w:t>https://doi.org/10.1007/978-3-319-73610-5_1</w:t>
        </w:r>
      </w:hyperlink>
      <w:r w:rsidRPr="003B5944">
        <w:rPr>
          <w:rFonts w:ascii="Times New Roman" w:eastAsia="Times New Roman" w:hAnsi="Times New Roman" w:cs="Times New Roman"/>
          <w:sz w:val="24"/>
          <w:szCs w:val="24"/>
        </w:rPr>
        <w:t xml:space="preserve"> </w:t>
      </w:r>
    </w:p>
    <w:p w14:paraId="6FCDA32D" w14:textId="77777777"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Xiang</w:t>
      </w:r>
      <w:proofErr w:type="gramEnd"/>
      <w:r w:rsidRPr="003B5944">
        <w:rPr>
          <w:rFonts w:ascii="Times New Roman" w:eastAsia="Times New Roman" w:hAnsi="Times New Roman" w:cs="Times New Roman"/>
          <w:sz w:val="24"/>
          <w:szCs w:val="24"/>
        </w:rPr>
        <w:t xml:space="preserve">, W., Lan, Y., Gan, L., &amp; Li, J. (2024). How does new urbanization affect urban carbon emissions? Evidence based on spatial spillover effects and mechanism tests. </w:t>
      </w:r>
      <w:r w:rsidRPr="003B5944">
        <w:rPr>
          <w:rFonts w:ascii="Times New Roman" w:eastAsia="Times New Roman" w:hAnsi="Times New Roman" w:cs="Times New Roman"/>
          <w:i/>
          <w:iCs/>
          <w:sz w:val="24"/>
          <w:szCs w:val="24"/>
        </w:rPr>
        <w:t>Urban Climate, 56</w:t>
      </w:r>
      <w:r w:rsidRPr="003B5944">
        <w:rPr>
          <w:rFonts w:ascii="Times New Roman" w:eastAsia="Times New Roman" w:hAnsi="Times New Roman" w:cs="Times New Roman"/>
          <w:sz w:val="24"/>
          <w:szCs w:val="24"/>
        </w:rPr>
        <w:t xml:space="preserve">, 102060. </w:t>
      </w:r>
      <w:hyperlink r:id="rId55" w:tgtFrame="_new" w:history="1">
        <w:r w:rsidRPr="003B5944">
          <w:rPr>
            <w:rFonts w:ascii="Times New Roman" w:eastAsia="Times New Roman" w:hAnsi="Times New Roman" w:cs="Times New Roman"/>
            <w:color w:val="0000FF"/>
            <w:sz w:val="24"/>
            <w:szCs w:val="24"/>
            <w:u w:val="single"/>
          </w:rPr>
          <w:t>https://doi.org/10.1016/j.uclim.2024.102060</w:t>
        </w:r>
      </w:hyperlink>
      <w:r w:rsidRPr="003B5944">
        <w:rPr>
          <w:rFonts w:ascii="Times New Roman" w:eastAsia="Times New Roman" w:hAnsi="Times New Roman" w:cs="Times New Roman"/>
          <w:sz w:val="24"/>
          <w:szCs w:val="24"/>
        </w:rPr>
        <w:t xml:space="preserve"> </w:t>
      </w:r>
    </w:p>
    <w:p w14:paraId="13B8D1B8" w14:textId="1B949D5A" w:rsidR="003B5944" w:rsidRPr="003B5944" w:rsidRDefault="003B5944" w:rsidP="003B5944">
      <w:pPr>
        <w:spacing w:after="0" w:line="240" w:lineRule="auto"/>
        <w:rPr>
          <w:rFonts w:ascii="Times New Roman" w:eastAsia="Times New Roman" w:hAnsi="Times New Roman" w:cs="Times New Roman"/>
          <w:sz w:val="24"/>
          <w:szCs w:val="24"/>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w:t>
      </w:r>
      <w:proofErr w:type="spellStart"/>
      <w:r w:rsidRPr="003B5944">
        <w:rPr>
          <w:rFonts w:ascii="Times New Roman" w:eastAsia="Times New Roman" w:hAnsi="Times New Roman" w:cs="Times New Roman"/>
          <w:sz w:val="24"/>
          <w:szCs w:val="24"/>
        </w:rPr>
        <w:t>Küfeoğlu</w:t>
      </w:r>
      <w:proofErr w:type="spellEnd"/>
      <w:proofErr w:type="gramEnd"/>
      <w:r w:rsidRPr="003B5944">
        <w:rPr>
          <w:rFonts w:ascii="Times New Roman" w:eastAsia="Times New Roman" w:hAnsi="Times New Roman" w:cs="Times New Roman"/>
          <w:sz w:val="24"/>
          <w:szCs w:val="24"/>
        </w:rPr>
        <w:t xml:space="preserve">, S. (2022). SDG-11: Sustainable cities and communities. In </w:t>
      </w:r>
      <w:r w:rsidRPr="003B5944">
        <w:rPr>
          <w:rFonts w:ascii="Times New Roman" w:eastAsia="Times New Roman" w:hAnsi="Times New Roman" w:cs="Times New Roman"/>
          <w:i/>
          <w:iCs/>
          <w:sz w:val="24"/>
          <w:szCs w:val="24"/>
        </w:rPr>
        <w:t>Emerging technologies: Value creation for sustainable development</w:t>
      </w:r>
      <w:r w:rsidRPr="003B5944">
        <w:rPr>
          <w:rFonts w:ascii="Times New Roman" w:eastAsia="Times New Roman" w:hAnsi="Times New Roman" w:cs="Times New Roman"/>
          <w:sz w:val="24"/>
          <w:szCs w:val="24"/>
        </w:rPr>
        <w:t xml:space="preserve"> (pp. 385–408). Springer. </w:t>
      </w:r>
      <w:hyperlink r:id="rId56" w:tgtFrame="_new" w:history="1">
        <w:r w:rsidRPr="003B5944">
          <w:rPr>
            <w:rFonts w:ascii="Times New Roman" w:eastAsia="Times New Roman" w:hAnsi="Times New Roman" w:cs="Times New Roman"/>
            <w:color w:val="0000FF"/>
            <w:sz w:val="24"/>
            <w:szCs w:val="24"/>
            <w:u w:val="single"/>
          </w:rPr>
          <w:t>https://doi.org/10.1007/978-3-031-07127-0_13</w:t>
        </w:r>
      </w:hyperlink>
      <w:r w:rsidRPr="003B5944">
        <w:rPr>
          <w:rFonts w:ascii="Times New Roman" w:eastAsia="Times New Roman" w:hAnsi="Times New Roman" w:cs="Times New Roman"/>
          <w:sz w:val="24"/>
          <w:szCs w:val="24"/>
        </w:rPr>
        <w:br/>
      </w:r>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Xu, X., Zeng, L., Li, S., Liu, Y., &amp; Zhang, T. (2024). Dynamic nonlinear CO2 emission effects of urbanization routes in the eight most populous countries. </w:t>
      </w:r>
      <w:r w:rsidRPr="003B5944">
        <w:rPr>
          <w:rFonts w:ascii="Times New Roman" w:eastAsia="Times New Roman" w:hAnsi="Times New Roman" w:cs="Times New Roman"/>
          <w:i/>
          <w:iCs/>
          <w:sz w:val="24"/>
          <w:szCs w:val="24"/>
        </w:rPr>
        <w:t>PLOS ONE, 19</w:t>
      </w:r>
      <w:r w:rsidRPr="003B5944">
        <w:rPr>
          <w:rFonts w:ascii="Times New Roman" w:eastAsia="Times New Roman" w:hAnsi="Times New Roman" w:cs="Times New Roman"/>
          <w:sz w:val="24"/>
          <w:szCs w:val="24"/>
        </w:rPr>
        <w:t xml:space="preserve">(2), e0296997. </w:t>
      </w:r>
      <w:hyperlink r:id="rId57" w:tgtFrame="_new" w:history="1">
        <w:r w:rsidRPr="003B5944">
          <w:rPr>
            <w:rFonts w:ascii="Times New Roman" w:eastAsia="Times New Roman" w:hAnsi="Times New Roman" w:cs="Times New Roman"/>
            <w:color w:val="0000FF"/>
            <w:sz w:val="24"/>
            <w:szCs w:val="24"/>
            <w:u w:val="single"/>
          </w:rPr>
          <w:t>https://doi.org/10.1371/journal.pone.0296997</w:t>
        </w:r>
      </w:hyperlink>
      <w:r w:rsidRPr="003B5944">
        <w:rPr>
          <w:rFonts w:ascii="Times New Roman" w:eastAsia="Times New Roman" w:hAnsi="Times New Roman" w:cs="Times New Roman"/>
          <w:sz w:val="24"/>
          <w:szCs w:val="24"/>
        </w:rPr>
        <w:t xml:space="preserve"> </w:t>
      </w:r>
    </w:p>
    <w:p w14:paraId="62E51625" w14:textId="34522E9A" w:rsidR="00D851AD" w:rsidRPr="00CC358D" w:rsidRDefault="003B5944" w:rsidP="003B5944">
      <w:pPr>
        <w:keepNext/>
        <w:spacing w:after="0" w:line="240" w:lineRule="auto"/>
        <w:jc w:val="both"/>
        <w:rPr>
          <w:rFonts w:ascii="Times New Roman" w:eastAsia="Times New Roman" w:hAnsi="Times New Roman" w:cs="Times New Roman"/>
          <w:b/>
          <w:szCs w:val="20"/>
        </w:rPr>
      </w:pPr>
      <w:proofErr w:type="gramStart"/>
      <w:r w:rsidRPr="003B5944">
        <w:rPr>
          <w:rFonts w:ascii="Times New Roman" w:eastAsia="Times New Roman" w:hAnsi="Symbol" w:cs="Times New Roman"/>
          <w:sz w:val="24"/>
          <w:szCs w:val="24"/>
        </w:rPr>
        <w:t></w:t>
      </w:r>
      <w:r w:rsidRPr="003B5944">
        <w:rPr>
          <w:rFonts w:ascii="Times New Roman" w:eastAsia="Times New Roman" w:hAnsi="Times New Roman" w:cs="Times New Roman"/>
          <w:sz w:val="24"/>
          <w:szCs w:val="24"/>
        </w:rPr>
        <w:t xml:space="preserve">  Zhai</w:t>
      </w:r>
      <w:proofErr w:type="gramEnd"/>
      <w:r w:rsidRPr="003B5944">
        <w:rPr>
          <w:rFonts w:ascii="Times New Roman" w:eastAsia="Times New Roman" w:hAnsi="Times New Roman" w:cs="Times New Roman"/>
          <w:sz w:val="24"/>
          <w:szCs w:val="24"/>
        </w:rPr>
        <w:t xml:space="preserve">, J., &amp; Kong, F. (2024). The impact of multi-dimensional urbanization on CO2 emissions: Empirical evidence from Jiangsu, China, at the county level. </w:t>
      </w:r>
      <w:r w:rsidRPr="003B5944">
        <w:rPr>
          <w:rFonts w:ascii="Times New Roman" w:eastAsia="Times New Roman" w:hAnsi="Times New Roman" w:cs="Times New Roman"/>
          <w:i/>
          <w:iCs/>
          <w:sz w:val="24"/>
          <w:szCs w:val="24"/>
        </w:rPr>
        <w:t>Sustainability, 16</w:t>
      </w:r>
      <w:r w:rsidRPr="003B5944">
        <w:rPr>
          <w:rFonts w:ascii="Times New Roman" w:eastAsia="Times New Roman" w:hAnsi="Times New Roman" w:cs="Times New Roman"/>
          <w:sz w:val="24"/>
          <w:szCs w:val="24"/>
        </w:rPr>
        <w:t xml:space="preserve">(7), 3005. </w:t>
      </w:r>
      <w:hyperlink r:id="rId58" w:tgtFrame="_new" w:history="1">
        <w:r w:rsidRPr="003B5944">
          <w:rPr>
            <w:rFonts w:ascii="Times New Roman" w:eastAsia="Times New Roman" w:hAnsi="Times New Roman" w:cs="Times New Roman"/>
            <w:color w:val="0000FF"/>
            <w:sz w:val="24"/>
            <w:szCs w:val="24"/>
            <w:u w:val="single"/>
          </w:rPr>
          <w:t>https://doi.org/10.3390/su16073005</w:t>
        </w:r>
      </w:hyperlink>
    </w:p>
    <w:p w14:paraId="098F780A" w14:textId="73F92FCF" w:rsidR="00D851AD" w:rsidRPr="00CC358D" w:rsidRDefault="003547A4" w:rsidP="00640F84">
      <w:pPr>
        <w:keepNext/>
        <w:spacing w:after="0" w:line="240" w:lineRule="auto"/>
        <w:jc w:val="both"/>
        <w:rPr>
          <w:rFonts w:ascii="Times New Roman" w:eastAsia="Times New Roman" w:hAnsi="Times New Roman" w:cs="Times New Roman"/>
          <w:b/>
          <w:sz w:val="15"/>
          <w:szCs w:val="15"/>
        </w:rPr>
      </w:pPr>
      <w:r w:rsidRPr="00CC358D">
        <w:rPr>
          <w:rFonts w:ascii="Times New Roman" w:eastAsia="Calibri" w:hAnsi="Times New Roman" w:cs="Times New Roman"/>
          <w:b/>
          <w:bCs/>
          <w:kern w:val="2"/>
          <w:sz w:val="15"/>
          <w:szCs w:val="15"/>
          <w:lang w:val="en-GB"/>
        </w:rPr>
        <w:t xml:space="preserve">Disclaimer/Publisher’s Note: </w:t>
      </w:r>
      <w:r w:rsidRPr="00CC358D">
        <w:rPr>
          <w:rFonts w:ascii="Times New Roman" w:eastAsia="Calibri" w:hAnsi="Times New Roman" w:cs="Times New Roman"/>
          <w:kern w:val="2"/>
          <w:sz w:val="15"/>
          <w:szCs w:val="15"/>
          <w:lang w:val="en-GB"/>
        </w:rPr>
        <w:t>The statements, opinions and data contained in all publications are solely those of the individual author(s) and contributor(s) and not of the publisher and/or the editor(s). This publisher and/or the editor(s) disclaim responsibility for any injury to people or property resulting from any ideas, methods, instructions or products referred to in the content.</w:t>
      </w:r>
    </w:p>
    <w:p w14:paraId="5FFCCF01" w14:textId="77777777" w:rsidR="00D851AD" w:rsidRPr="00CC358D" w:rsidRDefault="00D851AD" w:rsidP="00640F84">
      <w:pPr>
        <w:keepNext/>
        <w:spacing w:after="0" w:line="240" w:lineRule="auto"/>
        <w:jc w:val="both"/>
        <w:rPr>
          <w:rFonts w:ascii="Times New Roman" w:eastAsia="Times New Roman" w:hAnsi="Times New Roman" w:cs="Times New Roman"/>
          <w:b/>
          <w:szCs w:val="20"/>
        </w:rPr>
        <w:sectPr w:rsidR="00D851AD" w:rsidRPr="00CC358D" w:rsidSect="00640F84">
          <w:headerReference w:type="default" r:id="rId59"/>
          <w:footerReference w:type="default" r:id="rId60"/>
          <w:footerReference w:type="first" r:id="rId61"/>
          <w:pgSz w:w="11909" w:h="16834" w:code="9"/>
          <w:pgMar w:top="1440" w:right="1440" w:bottom="1440" w:left="1440" w:header="720" w:footer="864" w:gutter="0"/>
          <w:pgNumType w:start="1"/>
          <w:cols w:space="720"/>
          <w:titlePg/>
          <w:docGrid w:linePitch="360"/>
        </w:sectPr>
      </w:pPr>
    </w:p>
    <w:p w14:paraId="009E3C1F" w14:textId="2F6E35EE" w:rsidR="00947238" w:rsidRPr="00CC358D" w:rsidRDefault="00947238" w:rsidP="00640F84">
      <w:pPr>
        <w:spacing w:after="0" w:line="240" w:lineRule="auto"/>
        <w:rPr>
          <w:rFonts w:ascii="Times New Roman" w:eastAsia="Times New Roman" w:hAnsi="Times New Roman" w:cs="Times New Roman"/>
          <w:sz w:val="16"/>
          <w:szCs w:val="16"/>
        </w:rPr>
      </w:pPr>
      <w:r w:rsidRPr="00CC358D">
        <w:rPr>
          <w:rFonts w:ascii="Times New Roman" w:eastAsia="Times New Roman" w:hAnsi="Times New Roman" w:cs="Times New Roman"/>
          <w:sz w:val="16"/>
          <w:szCs w:val="16"/>
        </w:rPr>
        <w:t>____________________________________________________________________________________________</w:t>
      </w:r>
      <w:r w:rsidR="0094422C" w:rsidRPr="00CC358D">
        <w:rPr>
          <w:rFonts w:ascii="Times New Roman" w:eastAsia="Times New Roman" w:hAnsi="Times New Roman" w:cs="Times New Roman"/>
          <w:sz w:val="16"/>
          <w:szCs w:val="16"/>
        </w:rPr>
        <w:t>_________</w:t>
      </w:r>
      <w:r w:rsidR="0022086C" w:rsidRPr="00CC358D">
        <w:rPr>
          <w:rFonts w:ascii="Times New Roman" w:eastAsia="Times New Roman" w:hAnsi="Times New Roman" w:cs="Times New Roman"/>
          <w:sz w:val="16"/>
          <w:szCs w:val="16"/>
        </w:rPr>
        <w:t>___________</w:t>
      </w:r>
    </w:p>
    <w:p w14:paraId="5175342C" w14:textId="21C069B7" w:rsidR="00947238" w:rsidRPr="0022086C" w:rsidRDefault="0071669F" w:rsidP="00640F84">
      <w:pPr>
        <w:spacing w:after="0" w:line="240" w:lineRule="auto"/>
        <w:jc w:val="both"/>
        <w:rPr>
          <w:rFonts w:ascii="Times New Roman" w:hAnsi="Times New Roman" w:cs="Times New Roman"/>
          <w:sz w:val="16"/>
          <w:szCs w:val="16"/>
        </w:rPr>
      </w:pPr>
      <w:r w:rsidRPr="00CC358D">
        <w:rPr>
          <w:rFonts w:ascii="Times New Roman" w:eastAsia="Times New Roman" w:hAnsi="Times New Roman" w:cs="Times New Roman"/>
          <w:i/>
          <w:sz w:val="16"/>
          <w:szCs w:val="18"/>
        </w:rPr>
        <w:t>© Copyright (202</w:t>
      </w:r>
      <w:r w:rsidR="003701E9" w:rsidRPr="00CC358D">
        <w:rPr>
          <w:rFonts w:ascii="Times New Roman" w:eastAsia="Times New Roman" w:hAnsi="Times New Roman" w:cs="Times New Roman"/>
          <w:i/>
          <w:sz w:val="16"/>
          <w:szCs w:val="18"/>
        </w:rPr>
        <w:t>6</w:t>
      </w:r>
      <w:r w:rsidRPr="00CC358D">
        <w:rPr>
          <w:rFonts w:ascii="Times New Roman" w:eastAsia="Times New Roman" w:hAnsi="Times New Roman" w:cs="Times New Roman"/>
          <w:i/>
          <w:sz w:val="16"/>
          <w:szCs w:val="18"/>
        </w:rPr>
        <w:t>): Author(s). The licensee is the journal publisher. This is an Open Access article distributed under the terms of the Creative Commons Attribution License (</w:t>
      </w:r>
      <w:r w:rsidRPr="00CC358D">
        <w:rPr>
          <w:rFonts w:ascii="Times New Roman" w:eastAsia="Times New Roman" w:hAnsi="Times New Roman" w:cs="Times New Roman"/>
          <w:i/>
          <w:color w:val="0000FF"/>
          <w:sz w:val="16"/>
          <w:szCs w:val="18"/>
        </w:rPr>
        <w:t>http://creativecommons.org/licenses/by/4.0</w:t>
      </w:r>
      <w:r w:rsidRPr="00CC358D">
        <w:rPr>
          <w:rFonts w:ascii="Times New Roman" w:eastAsia="Times New Roman" w:hAnsi="Times New Roman" w:cs="Times New Roman"/>
          <w:i/>
          <w:sz w:val="16"/>
          <w:szCs w:val="18"/>
        </w:rPr>
        <w:t>), which permits unrestricted use, distribution, and reproduction in any medium, provided the original work is properly cited.</w:t>
      </w:r>
      <w:r w:rsidR="00947238" w:rsidRPr="0022086C">
        <w:rPr>
          <w:rFonts w:ascii="Times New Roman" w:hAnsi="Times New Roman" w:cs="Times New Roman"/>
          <w:sz w:val="16"/>
          <w:szCs w:val="16"/>
        </w:rPr>
        <w:tab/>
      </w:r>
    </w:p>
    <w:p w14:paraId="185F5DB2" w14:textId="77777777" w:rsidR="00CD3A89" w:rsidRPr="0022086C" w:rsidRDefault="00CD3A89" w:rsidP="00640F84">
      <w:pPr>
        <w:spacing w:after="0" w:line="240" w:lineRule="auto"/>
        <w:ind w:left="540" w:hanging="540"/>
        <w:jc w:val="center"/>
        <w:rPr>
          <w:rFonts w:ascii="Times New Roman" w:hAnsi="Times New Roman" w:cs="Times New Roman"/>
        </w:rPr>
      </w:pPr>
    </w:p>
    <w:sectPr w:rsidR="00CD3A89" w:rsidRPr="0022086C" w:rsidSect="00640F84">
      <w:type w:val="continuous"/>
      <w:pgSz w:w="11909" w:h="16834" w:code="9"/>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D5B1" w14:textId="77777777" w:rsidR="008F5B14" w:rsidRDefault="008F5B14" w:rsidP="00CD3A89">
      <w:pPr>
        <w:spacing w:after="0" w:line="240" w:lineRule="auto"/>
      </w:pPr>
      <w:r>
        <w:separator/>
      </w:r>
    </w:p>
  </w:endnote>
  <w:endnote w:type="continuationSeparator" w:id="0">
    <w:p w14:paraId="177F9921" w14:textId="77777777" w:rsidR="008F5B14" w:rsidRDefault="008F5B14" w:rsidP="00CD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593113"/>
      <w:docPartObj>
        <w:docPartGallery w:val="Page Numbers (Bottom of Page)"/>
        <w:docPartUnique/>
      </w:docPartObj>
    </w:sdtPr>
    <w:sdtContent>
      <w:p w14:paraId="44E72465" w14:textId="77777777" w:rsidR="00F6450F" w:rsidRPr="0022086C" w:rsidRDefault="00F6450F">
        <w:pPr>
          <w:pStyle w:val="Footer"/>
          <w:jc w:val="center"/>
          <w:rPr>
            <w:rFonts w:ascii="Times New Roman" w:hAnsi="Times New Roman" w:cs="Times New Roman"/>
            <w:sz w:val="28"/>
          </w:rPr>
        </w:pPr>
      </w:p>
      <w:p w14:paraId="726C0A75" w14:textId="77777777" w:rsidR="00263AE4" w:rsidRPr="0022086C" w:rsidRDefault="00F846A9">
        <w:pPr>
          <w:pStyle w:val="Footer"/>
          <w:jc w:val="center"/>
          <w:rPr>
            <w:rFonts w:ascii="Times New Roman" w:hAnsi="Times New Roman" w:cs="Times New Roman"/>
            <w:sz w:val="20"/>
          </w:rPr>
        </w:pPr>
        <w:r w:rsidRPr="0022086C">
          <w:rPr>
            <w:rFonts w:ascii="Times New Roman" w:hAnsi="Times New Roman" w:cs="Times New Roman"/>
            <w:sz w:val="20"/>
          </w:rPr>
          <w:fldChar w:fldCharType="begin"/>
        </w:r>
        <w:r w:rsidR="00A22248" w:rsidRPr="0022086C">
          <w:rPr>
            <w:rFonts w:ascii="Times New Roman" w:hAnsi="Times New Roman" w:cs="Times New Roman"/>
            <w:sz w:val="20"/>
          </w:rPr>
          <w:instrText xml:space="preserve"> PAGE   \* MERGEFORMAT </w:instrText>
        </w:r>
        <w:r w:rsidRPr="0022086C">
          <w:rPr>
            <w:rFonts w:ascii="Times New Roman" w:hAnsi="Times New Roman" w:cs="Times New Roman"/>
            <w:sz w:val="20"/>
          </w:rPr>
          <w:fldChar w:fldCharType="separate"/>
        </w:r>
        <w:r w:rsidR="00CC6658" w:rsidRPr="0022086C">
          <w:rPr>
            <w:rFonts w:ascii="Times New Roman" w:hAnsi="Times New Roman" w:cs="Times New Roman"/>
            <w:noProof/>
            <w:sz w:val="20"/>
          </w:rPr>
          <w:t>2</w:t>
        </w:r>
        <w:r w:rsidRPr="0022086C">
          <w:rPr>
            <w:rFonts w:ascii="Times New Roman" w:hAnsi="Times New Roman" w:cs="Times New Roman"/>
            <w:sz w:val="20"/>
          </w:rPr>
          <w:fldChar w:fldCharType="end"/>
        </w:r>
      </w:p>
      <w:p w14:paraId="35DA2D8E" w14:textId="77777777" w:rsidR="00485F13" w:rsidRPr="0022086C" w:rsidRDefault="00000000">
        <w:pPr>
          <w:pStyle w:val="Footer"/>
          <w:jc w:val="center"/>
          <w:rPr>
            <w:rFonts w:ascii="Times New Roman" w:hAnsi="Times New Roman" w:cs="Times New Roman"/>
            <w:sz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4DB3" w14:textId="4AEDE782" w:rsidR="00E72385" w:rsidRPr="0022086C" w:rsidRDefault="00E72385" w:rsidP="00E72385">
    <w:pPr>
      <w:tabs>
        <w:tab w:val="center" w:pos="4320"/>
        <w:tab w:val="right" w:pos="8640"/>
      </w:tabs>
      <w:spacing w:after="0" w:line="240" w:lineRule="auto"/>
      <w:rPr>
        <w:rFonts w:ascii="Times New Roman" w:eastAsia="Times New Roman" w:hAnsi="Times New Roman" w:cs="Times New Roman"/>
        <w:sz w:val="16"/>
        <w:szCs w:val="20"/>
      </w:rPr>
    </w:pPr>
    <w:r w:rsidRPr="0022086C">
      <w:rPr>
        <w:rFonts w:ascii="Times New Roman" w:eastAsia="Times New Roman" w:hAnsi="Times New Roman" w:cs="Times New Roman"/>
        <w:sz w:val="16"/>
        <w:szCs w:val="20"/>
      </w:rPr>
      <w:t>____________________________________________</w:t>
    </w:r>
    <w:r w:rsidRPr="0022086C">
      <w:rPr>
        <w:rFonts w:ascii="Times New Roman" w:eastAsia="Times New Roman" w:hAnsi="Times New Roman" w:cs="Times New Roman"/>
        <w:sz w:val="16"/>
        <w:szCs w:val="20"/>
      </w:rPr>
      <w:softHyphen/>
    </w:r>
    <w:r w:rsidRPr="0022086C">
      <w:rPr>
        <w:rFonts w:ascii="Times New Roman" w:eastAsia="Times New Roman" w:hAnsi="Times New Roman" w:cs="Times New Roman"/>
        <w:sz w:val="16"/>
        <w:szCs w:val="20"/>
      </w:rPr>
      <w:softHyphen/>
    </w:r>
    <w:r w:rsidRPr="0022086C">
      <w:rPr>
        <w:rFonts w:ascii="Times New Roman" w:eastAsia="Times New Roman" w:hAnsi="Times New Roman" w:cs="Times New Roman"/>
        <w:sz w:val="16"/>
        <w:szCs w:val="20"/>
      </w:rPr>
      <w:softHyphen/>
    </w:r>
    <w:r w:rsidRPr="0022086C">
      <w:rPr>
        <w:rFonts w:ascii="Times New Roman" w:eastAsia="Times New Roman" w:hAnsi="Times New Roman" w:cs="Times New Roman"/>
        <w:sz w:val="16"/>
        <w:szCs w:val="20"/>
      </w:rPr>
      <w:softHyphen/>
    </w:r>
    <w:r w:rsidRPr="0022086C">
      <w:rPr>
        <w:rFonts w:ascii="Times New Roman" w:eastAsia="Times New Roman" w:hAnsi="Times New Roman" w:cs="Times New Roman"/>
        <w:sz w:val="16"/>
        <w:szCs w:val="20"/>
      </w:rPr>
      <w:softHyphen/>
      <w:t>_________________________________________________________</w:t>
    </w:r>
    <w:r w:rsidR="0022086C">
      <w:rPr>
        <w:rFonts w:ascii="Times New Roman" w:eastAsia="Times New Roman" w:hAnsi="Times New Roman" w:cs="Times New Roman"/>
        <w:sz w:val="16"/>
        <w:szCs w:val="20"/>
      </w:rPr>
      <w:t>___________</w:t>
    </w:r>
  </w:p>
  <w:p w14:paraId="6F96CABA" w14:textId="77777777" w:rsidR="00E72385" w:rsidRPr="0022086C" w:rsidRDefault="00E72385" w:rsidP="00E72385">
    <w:pPr>
      <w:spacing w:after="0" w:line="240" w:lineRule="auto"/>
      <w:jc w:val="both"/>
      <w:rPr>
        <w:rFonts w:ascii="Times New Roman" w:eastAsia="Times New Roman" w:hAnsi="Times New Roman" w:cs="Times New Roman"/>
        <w:i/>
        <w:sz w:val="16"/>
        <w:szCs w:val="20"/>
      </w:rPr>
    </w:pPr>
  </w:p>
  <w:p w14:paraId="06EC47C5" w14:textId="77777777" w:rsidR="00E72385" w:rsidRPr="0022086C" w:rsidRDefault="00E72385" w:rsidP="00E72385">
    <w:pPr>
      <w:spacing w:after="0" w:line="240" w:lineRule="auto"/>
      <w:jc w:val="both"/>
      <w:rPr>
        <w:rFonts w:ascii="Times New Roman" w:eastAsia="Times New Roman" w:hAnsi="Times New Roman" w:cs="Times New Roman"/>
        <w:i/>
        <w:sz w:val="16"/>
        <w:szCs w:val="20"/>
      </w:rPr>
    </w:pPr>
    <w:r w:rsidRPr="0022086C">
      <w:rPr>
        <w:rFonts w:ascii="Times New Roman" w:eastAsia="Times New Roman" w:hAnsi="Times New Roman" w:cs="Times New Roman"/>
        <w:i/>
        <w:sz w:val="16"/>
        <w:szCs w:val="20"/>
      </w:rPr>
      <w:t>*Corresponding author: Email: ………………………….;</w:t>
    </w:r>
  </w:p>
  <w:p w14:paraId="318A1055" w14:textId="77777777" w:rsidR="00CC6658" w:rsidRPr="0022086C" w:rsidRDefault="00CC6658" w:rsidP="00E72385">
    <w:pPr>
      <w:spacing w:after="0" w:line="240" w:lineRule="auto"/>
      <w:jc w:val="both"/>
      <w:rPr>
        <w:rFonts w:ascii="Times New Roman" w:eastAsia="Times New Roman" w:hAnsi="Times New Roman" w:cs="Times New Roman"/>
        <w:i/>
        <w:sz w:val="16"/>
        <w:szCs w:val="20"/>
      </w:rPr>
    </w:pPr>
  </w:p>
  <w:p w14:paraId="0E1FDAEA" w14:textId="77777777" w:rsidR="00C2375C" w:rsidRPr="0022086C" w:rsidRDefault="00C2375C" w:rsidP="00C2375C">
    <w:pPr>
      <w:tabs>
        <w:tab w:val="center" w:pos="4680"/>
        <w:tab w:val="right" w:pos="9360"/>
      </w:tabs>
      <w:spacing w:after="0" w:line="240" w:lineRule="auto"/>
      <w:jc w:val="both"/>
      <w:rPr>
        <w:rFonts w:ascii="Times New Roman" w:eastAsia="Times New Roman" w:hAnsi="Times New Roman" w:cs="Times New Roman"/>
        <w:b/>
        <w:bCs/>
        <w:i/>
        <w:sz w:val="16"/>
      </w:rPr>
    </w:pPr>
    <w:r w:rsidRPr="0022086C">
      <w:rPr>
        <w:rFonts w:ascii="Times New Roman" w:eastAsia="Times New Roman" w:hAnsi="Times New Roman" w:cs="Times New Roman"/>
        <w:b/>
        <w:bCs/>
        <w:i/>
        <w:sz w:val="16"/>
      </w:rPr>
      <w:t>Cite as:</w:t>
    </w:r>
  </w:p>
  <w:p w14:paraId="771E0637" w14:textId="77777777" w:rsidR="00C2375C" w:rsidRPr="0022086C" w:rsidRDefault="00C2375C" w:rsidP="00C2375C">
    <w:pPr>
      <w:tabs>
        <w:tab w:val="center" w:pos="4680"/>
        <w:tab w:val="right" w:pos="9360"/>
      </w:tabs>
      <w:spacing w:after="0" w:line="240" w:lineRule="auto"/>
      <w:jc w:val="both"/>
      <w:rPr>
        <w:rFonts w:ascii="Times New Roman" w:eastAsia="Times New Roman" w:hAnsi="Times New Roman" w:cs="Times New Roman"/>
        <w:i/>
        <w:sz w:val="16"/>
      </w:rPr>
    </w:pPr>
  </w:p>
  <w:p w14:paraId="2310881A" w14:textId="77777777" w:rsidR="003547A4" w:rsidRPr="0022086C" w:rsidRDefault="003547A4" w:rsidP="00C2375C">
    <w:pPr>
      <w:tabs>
        <w:tab w:val="center" w:pos="4680"/>
        <w:tab w:val="right" w:pos="9360"/>
      </w:tabs>
      <w:spacing w:after="0" w:line="240" w:lineRule="auto"/>
      <w:jc w:val="both"/>
      <w:rPr>
        <w:rFonts w:ascii="Times New Roman" w:eastAsia="Times New Roman" w:hAnsi="Times New Roman" w:cs="Times New Roman"/>
        <w:i/>
        <w:sz w:val="16"/>
      </w:rPr>
    </w:pPr>
  </w:p>
  <w:p w14:paraId="55E1698F" w14:textId="77777777" w:rsidR="00C2375C" w:rsidRPr="0022086C" w:rsidRDefault="00C2375C" w:rsidP="00C2375C">
    <w:pPr>
      <w:tabs>
        <w:tab w:val="center" w:pos="4680"/>
        <w:tab w:val="right" w:pos="9360"/>
      </w:tabs>
      <w:spacing w:after="0" w:line="240" w:lineRule="auto"/>
      <w:jc w:val="both"/>
      <w:rPr>
        <w:rFonts w:ascii="Times New Roman" w:eastAsia="Times New Roman" w:hAnsi="Times New Roman" w:cs="Times New Roman"/>
        <w:i/>
        <w:sz w:val="16"/>
      </w:rPr>
    </w:pPr>
  </w:p>
  <w:p w14:paraId="007EAE95" w14:textId="77777777" w:rsidR="00CD3A89" w:rsidRPr="0022086C" w:rsidRDefault="00CD3A89">
    <w:pPr>
      <w:pStyle w:val="Footer"/>
      <w:rPr>
        <w:rFonts w:ascii="Times New Roman" w:hAnsi="Times New Roman" w:cs="Times New Roman"/>
        <w:sz w:val="20"/>
      </w:rPr>
    </w:pPr>
  </w:p>
  <w:p w14:paraId="16FC4912" w14:textId="77777777" w:rsidR="00490A64" w:rsidRPr="0022086C" w:rsidRDefault="00490A64">
    <w:pPr>
      <w:pStyle w:val="Foo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7881F" w14:textId="77777777" w:rsidR="008F5B14" w:rsidRDefault="008F5B14" w:rsidP="00CD3A89">
      <w:pPr>
        <w:spacing w:after="0" w:line="240" w:lineRule="auto"/>
      </w:pPr>
      <w:r>
        <w:separator/>
      </w:r>
    </w:p>
  </w:footnote>
  <w:footnote w:type="continuationSeparator" w:id="0">
    <w:p w14:paraId="6B830AE5" w14:textId="77777777" w:rsidR="008F5B14" w:rsidRDefault="008F5B14" w:rsidP="00CD3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238B" w14:textId="77777777" w:rsidR="00171FBC" w:rsidRPr="00CC358D"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rPr>
    </w:pPr>
  </w:p>
  <w:p w14:paraId="0CD882A3" w14:textId="77777777" w:rsidR="00171FBC" w:rsidRPr="00CC358D"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rPr>
    </w:pPr>
  </w:p>
  <w:p w14:paraId="69185358" w14:textId="77777777" w:rsidR="00171FBC" w:rsidRPr="00CC358D"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rPr>
    </w:pPr>
  </w:p>
  <w:p w14:paraId="654256A5" w14:textId="77777777" w:rsidR="00171FBC" w:rsidRPr="00CC358D" w:rsidRDefault="00171FBC" w:rsidP="00171FBC">
    <w:pPr>
      <w:tabs>
        <w:tab w:val="center" w:pos="4320"/>
        <w:tab w:val="right" w:pos="8640"/>
      </w:tabs>
      <w:spacing w:after="0" w:line="240" w:lineRule="auto"/>
      <w:jc w:val="right"/>
      <w:rPr>
        <w:rFonts w:ascii="Times New Roman" w:eastAsia="Times New Roman" w:hAnsi="Times New Roman" w:cs="Times New Roman"/>
        <w:i/>
        <w:sz w:val="16"/>
        <w:szCs w:val="20"/>
      </w:rPr>
    </w:pPr>
  </w:p>
  <w:p w14:paraId="3D02E590" w14:textId="5C9DA996" w:rsidR="00171FBC" w:rsidRPr="0022086C" w:rsidRDefault="00974577" w:rsidP="00171FBC">
    <w:pPr>
      <w:tabs>
        <w:tab w:val="center" w:pos="4320"/>
        <w:tab w:val="right" w:pos="8640"/>
      </w:tabs>
      <w:spacing w:after="0" w:line="240" w:lineRule="auto"/>
      <w:jc w:val="right"/>
      <w:rPr>
        <w:rFonts w:ascii="Times New Roman" w:eastAsia="Times New Roman" w:hAnsi="Times New Roman" w:cs="Times New Roman"/>
        <w:i/>
        <w:sz w:val="16"/>
        <w:szCs w:val="20"/>
      </w:rPr>
    </w:pPr>
    <w:r w:rsidRPr="00CC358D">
      <w:rPr>
        <w:rFonts w:ascii="Times New Roman" w:eastAsia="Times New Roman" w:hAnsi="Times New Roman" w:cs="Times New Roman"/>
        <w:i/>
        <w:sz w:val="16"/>
        <w:szCs w:val="20"/>
      </w:rPr>
      <w:t xml:space="preserve">Author name; </w:t>
    </w:r>
    <w:r w:rsidR="00CC6658" w:rsidRPr="00CC358D">
      <w:rPr>
        <w:rFonts w:ascii="Times New Roman" w:eastAsia="Times New Roman" w:hAnsi="Times New Roman" w:cs="Times New Roman"/>
        <w:i/>
        <w:sz w:val="16"/>
        <w:szCs w:val="20"/>
      </w:rPr>
      <w:t>Asian J. Econ. Fin. Manage., vol. xx, no. xx, pp. xx-xx, 20YY</w:t>
    </w:r>
    <w:r w:rsidR="00D851AD" w:rsidRPr="00CC358D">
      <w:rPr>
        <w:rFonts w:ascii="Times New Roman" w:eastAsia="Times New Roman" w:hAnsi="Times New Roman" w:cs="Times New Roman"/>
        <w:i/>
        <w:sz w:val="16"/>
        <w:szCs w:val="20"/>
      </w:rPr>
      <w:t xml:space="preserve">; Article </w:t>
    </w:r>
    <w:proofErr w:type="gramStart"/>
    <w:r w:rsidR="00D851AD" w:rsidRPr="00CC358D">
      <w:rPr>
        <w:rFonts w:ascii="Times New Roman" w:eastAsia="Times New Roman" w:hAnsi="Times New Roman" w:cs="Times New Roman"/>
        <w:i/>
        <w:sz w:val="16"/>
        <w:szCs w:val="20"/>
      </w:rPr>
      <w:t>no.</w:t>
    </w:r>
    <w:r w:rsidR="00D5576D" w:rsidRPr="00CC358D">
      <w:rPr>
        <w:rFonts w:ascii="Times New Roman" w:eastAsia="Times New Roman" w:hAnsi="Times New Roman" w:cs="Times New Roman"/>
        <w:i/>
        <w:sz w:val="16"/>
        <w:szCs w:val="20"/>
      </w:rPr>
      <w:t>AJEFM</w:t>
    </w:r>
    <w:proofErr w:type="gramEnd"/>
    <w:r w:rsidR="00640F84" w:rsidRPr="00CC358D">
      <w:rPr>
        <w:rFonts w:ascii="Times New Roman" w:eastAsia="Times New Roman" w:hAnsi="Times New Roman" w:cs="Times New Roman"/>
        <w:i/>
        <w:sz w:val="16"/>
        <w:szCs w:val="20"/>
      </w:rPr>
      <w:t>.2674</w:t>
    </w:r>
  </w:p>
  <w:p w14:paraId="332D9530" w14:textId="77777777" w:rsidR="00974577" w:rsidRPr="0022086C" w:rsidRDefault="00974577" w:rsidP="00171FBC">
    <w:pPr>
      <w:tabs>
        <w:tab w:val="center" w:pos="4320"/>
        <w:tab w:val="right" w:pos="8640"/>
      </w:tabs>
      <w:spacing w:after="0" w:line="240" w:lineRule="auto"/>
      <w:jc w:val="right"/>
      <w:rPr>
        <w:rFonts w:ascii="Times New Roman" w:eastAsia="Times New Roman" w:hAnsi="Times New Roman" w:cs="Times New Roman"/>
        <w:i/>
        <w:sz w:val="16"/>
        <w:szCs w:val="20"/>
      </w:rPr>
    </w:pPr>
  </w:p>
  <w:p w14:paraId="76C11E0A" w14:textId="77777777" w:rsidR="00171FBC" w:rsidRPr="0022086C" w:rsidRDefault="00171FBC" w:rsidP="00171FBC">
    <w:pPr>
      <w:tabs>
        <w:tab w:val="center" w:pos="4320"/>
        <w:tab w:val="right" w:pos="8640"/>
      </w:tabs>
      <w:spacing w:after="0" w:line="240" w:lineRule="auto"/>
      <w:jc w:val="right"/>
      <w:rPr>
        <w:rFonts w:ascii="Times New Roman" w:hAnsi="Times New Roman" w:cs="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F382C"/>
    <w:multiLevelType w:val="hybridMultilevel"/>
    <w:tmpl w:val="5048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14A8"/>
    <w:multiLevelType w:val="hybridMultilevel"/>
    <w:tmpl w:val="26E0C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4D5085"/>
    <w:multiLevelType w:val="hybridMultilevel"/>
    <w:tmpl w:val="8230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629815">
    <w:abstractNumId w:val="2"/>
  </w:num>
  <w:num w:numId="2" w16cid:durableId="1378891286">
    <w:abstractNumId w:val="1"/>
  </w:num>
  <w:num w:numId="3" w16cid:durableId="102290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82"/>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3266"/>
    <w:rsid w:val="000140EA"/>
    <w:rsid w:val="000226DD"/>
    <w:rsid w:val="000234B6"/>
    <w:rsid w:val="000328E4"/>
    <w:rsid w:val="00035EC0"/>
    <w:rsid w:val="000372DB"/>
    <w:rsid w:val="000408D1"/>
    <w:rsid w:val="00041716"/>
    <w:rsid w:val="00044C39"/>
    <w:rsid w:val="00050C37"/>
    <w:rsid w:val="000A2031"/>
    <w:rsid w:val="000B2863"/>
    <w:rsid w:val="000B3230"/>
    <w:rsid w:val="000B4275"/>
    <w:rsid w:val="000C2408"/>
    <w:rsid w:val="000D4F0D"/>
    <w:rsid w:val="001004BF"/>
    <w:rsid w:val="00100B40"/>
    <w:rsid w:val="0010611F"/>
    <w:rsid w:val="00117484"/>
    <w:rsid w:val="00124A37"/>
    <w:rsid w:val="0013012E"/>
    <w:rsid w:val="00135D9E"/>
    <w:rsid w:val="0014561B"/>
    <w:rsid w:val="001458EB"/>
    <w:rsid w:val="00150CE4"/>
    <w:rsid w:val="00171FBC"/>
    <w:rsid w:val="00190C2D"/>
    <w:rsid w:val="001A4A55"/>
    <w:rsid w:val="001A69A3"/>
    <w:rsid w:val="001B111C"/>
    <w:rsid w:val="001D00F5"/>
    <w:rsid w:val="001E593B"/>
    <w:rsid w:val="00205B59"/>
    <w:rsid w:val="00213FF1"/>
    <w:rsid w:val="0022086C"/>
    <w:rsid w:val="00220A21"/>
    <w:rsid w:val="0023656F"/>
    <w:rsid w:val="002367E7"/>
    <w:rsid w:val="0024429D"/>
    <w:rsid w:val="00250135"/>
    <w:rsid w:val="002573C9"/>
    <w:rsid w:val="002603DF"/>
    <w:rsid w:val="00260707"/>
    <w:rsid w:val="00263AE4"/>
    <w:rsid w:val="0028555D"/>
    <w:rsid w:val="0028695F"/>
    <w:rsid w:val="002906C0"/>
    <w:rsid w:val="00297CC0"/>
    <w:rsid w:val="002A041A"/>
    <w:rsid w:val="002A078A"/>
    <w:rsid w:val="002A635B"/>
    <w:rsid w:val="002B02E7"/>
    <w:rsid w:val="002B2D32"/>
    <w:rsid w:val="002B5909"/>
    <w:rsid w:val="002C0D05"/>
    <w:rsid w:val="002C7DF4"/>
    <w:rsid w:val="002D4F26"/>
    <w:rsid w:val="002D6E70"/>
    <w:rsid w:val="002D7B75"/>
    <w:rsid w:val="002F0549"/>
    <w:rsid w:val="0031517D"/>
    <w:rsid w:val="00332601"/>
    <w:rsid w:val="003349BB"/>
    <w:rsid w:val="00335947"/>
    <w:rsid w:val="00337CF5"/>
    <w:rsid w:val="003547A4"/>
    <w:rsid w:val="00364C3D"/>
    <w:rsid w:val="003701E9"/>
    <w:rsid w:val="00370C0D"/>
    <w:rsid w:val="00376494"/>
    <w:rsid w:val="00380ACB"/>
    <w:rsid w:val="003811AC"/>
    <w:rsid w:val="003B2B85"/>
    <w:rsid w:val="003B4704"/>
    <w:rsid w:val="003B5944"/>
    <w:rsid w:val="003D0DD7"/>
    <w:rsid w:val="003D63F5"/>
    <w:rsid w:val="003D6AF7"/>
    <w:rsid w:val="003F47A0"/>
    <w:rsid w:val="003F798A"/>
    <w:rsid w:val="00400222"/>
    <w:rsid w:val="0041150C"/>
    <w:rsid w:val="00412764"/>
    <w:rsid w:val="00414C8C"/>
    <w:rsid w:val="00424421"/>
    <w:rsid w:val="00425820"/>
    <w:rsid w:val="0043035E"/>
    <w:rsid w:val="00440F2D"/>
    <w:rsid w:val="00454377"/>
    <w:rsid w:val="00455B14"/>
    <w:rsid w:val="004573F9"/>
    <w:rsid w:val="004743E7"/>
    <w:rsid w:val="00485F13"/>
    <w:rsid w:val="0048681C"/>
    <w:rsid w:val="00490A64"/>
    <w:rsid w:val="004A39CA"/>
    <w:rsid w:val="004B60EC"/>
    <w:rsid w:val="004C5D40"/>
    <w:rsid w:val="004D1E7C"/>
    <w:rsid w:val="004D6091"/>
    <w:rsid w:val="004E094F"/>
    <w:rsid w:val="004E2BC3"/>
    <w:rsid w:val="004F2706"/>
    <w:rsid w:val="0051528E"/>
    <w:rsid w:val="005219E5"/>
    <w:rsid w:val="00523538"/>
    <w:rsid w:val="005271CF"/>
    <w:rsid w:val="00527592"/>
    <w:rsid w:val="00527A63"/>
    <w:rsid w:val="00536BCB"/>
    <w:rsid w:val="00556490"/>
    <w:rsid w:val="0056093E"/>
    <w:rsid w:val="00562C90"/>
    <w:rsid w:val="00563498"/>
    <w:rsid w:val="005722FD"/>
    <w:rsid w:val="005734C1"/>
    <w:rsid w:val="00577093"/>
    <w:rsid w:val="0058198B"/>
    <w:rsid w:val="005A1751"/>
    <w:rsid w:val="005A47AB"/>
    <w:rsid w:val="005C26C6"/>
    <w:rsid w:val="005C63EE"/>
    <w:rsid w:val="005D480A"/>
    <w:rsid w:val="005D5F0D"/>
    <w:rsid w:val="005F28A0"/>
    <w:rsid w:val="00604FB0"/>
    <w:rsid w:val="00633636"/>
    <w:rsid w:val="00640F84"/>
    <w:rsid w:val="00647361"/>
    <w:rsid w:val="006642C2"/>
    <w:rsid w:val="00676569"/>
    <w:rsid w:val="00682F1A"/>
    <w:rsid w:val="006853A4"/>
    <w:rsid w:val="0068719D"/>
    <w:rsid w:val="006A2F45"/>
    <w:rsid w:val="006A3FCB"/>
    <w:rsid w:val="006B60F9"/>
    <w:rsid w:val="006C667C"/>
    <w:rsid w:val="006C7C39"/>
    <w:rsid w:val="006D658B"/>
    <w:rsid w:val="00703125"/>
    <w:rsid w:val="0070463A"/>
    <w:rsid w:val="0071669F"/>
    <w:rsid w:val="00721737"/>
    <w:rsid w:val="007240A8"/>
    <w:rsid w:val="007323FC"/>
    <w:rsid w:val="00745764"/>
    <w:rsid w:val="00747D62"/>
    <w:rsid w:val="00753EA9"/>
    <w:rsid w:val="007622EE"/>
    <w:rsid w:val="0076390D"/>
    <w:rsid w:val="00770486"/>
    <w:rsid w:val="007775D5"/>
    <w:rsid w:val="00785993"/>
    <w:rsid w:val="00796183"/>
    <w:rsid w:val="007B380F"/>
    <w:rsid w:val="007B63EC"/>
    <w:rsid w:val="007C49C7"/>
    <w:rsid w:val="007C628F"/>
    <w:rsid w:val="007E02F8"/>
    <w:rsid w:val="007E4345"/>
    <w:rsid w:val="007F504C"/>
    <w:rsid w:val="00807D0B"/>
    <w:rsid w:val="00807ED0"/>
    <w:rsid w:val="00812548"/>
    <w:rsid w:val="008155A1"/>
    <w:rsid w:val="00843678"/>
    <w:rsid w:val="00853DC1"/>
    <w:rsid w:val="00873867"/>
    <w:rsid w:val="00873A5C"/>
    <w:rsid w:val="008776D1"/>
    <w:rsid w:val="00884567"/>
    <w:rsid w:val="008A29C3"/>
    <w:rsid w:val="008C3188"/>
    <w:rsid w:val="008C3497"/>
    <w:rsid w:val="008C4735"/>
    <w:rsid w:val="008D72FE"/>
    <w:rsid w:val="008F5B14"/>
    <w:rsid w:val="008F67E8"/>
    <w:rsid w:val="00906FFF"/>
    <w:rsid w:val="009431AE"/>
    <w:rsid w:val="0094422C"/>
    <w:rsid w:val="00945900"/>
    <w:rsid w:val="00947238"/>
    <w:rsid w:val="00951D84"/>
    <w:rsid w:val="00953210"/>
    <w:rsid w:val="00962251"/>
    <w:rsid w:val="00974577"/>
    <w:rsid w:val="00977617"/>
    <w:rsid w:val="0098174A"/>
    <w:rsid w:val="00982102"/>
    <w:rsid w:val="00982184"/>
    <w:rsid w:val="009843C5"/>
    <w:rsid w:val="00984737"/>
    <w:rsid w:val="009B0B88"/>
    <w:rsid w:val="009D5065"/>
    <w:rsid w:val="009E1EFB"/>
    <w:rsid w:val="009F3496"/>
    <w:rsid w:val="00A0172A"/>
    <w:rsid w:val="00A0275B"/>
    <w:rsid w:val="00A13690"/>
    <w:rsid w:val="00A21828"/>
    <w:rsid w:val="00A22248"/>
    <w:rsid w:val="00A30A6F"/>
    <w:rsid w:val="00A324F0"/>
    <w:rsid w:val="00A47DF3"/>
    <w:rsid w:val="00A5393A"/>
    <w:rsid w:val="00A5640A"/>
    <w:rsid w:val="00A61B2E"/>
    <w:rsid w:val="00A6662D"/>
    <w:rsid w:val="00A706F7"/>
    <w:rsid w:val="00A77B88"/>
    <w:rsid w:val="00A85CC8"/>
    <w:rsid w:val="00A86E57"/>
    <w:rsid w:val="00A90597"/>
    <w:rsid w:val="00A90792"/>
    <w:rsid w:val="00A90DA5"/>
    <w:rsid w:val="00AA0D41"/>
    <w:rsid w:val="00AB7D38"/>
    <w:rsid w:val="00AC1B4C"/>
    <w:rsid w:val="00AC3409"/>
    <w:rsid w:val="00AD2C4E"/>
    <w:rsid w:val="00AE1C1D"/>
    <w:rsid w:val="00AF47AA"/>
    <w:rsid w:val="00B04F76"/>
    <w:rsid w:val="00B15404"/>
    <w:rsid w:val="00B168F5"/>
    <w:rsid w:val="00B414F6"/>
    <w:rsid w:val="00B46BE4"/>
    <w:rsid w:val="00B557B8"/>
    <w:rsid w:val="00B62C3C"/>
    <w:rsid w:val="00B635EC"/>
    <w:rsid w:val="00B71196"/>
    <w:rsid w:val="00B74031"/>
    <w:rsid w:val="00B75F26"/>
    <w:rsid w:val="00B7605E"/>
    <w:rsid w:val="00B8786D"/>
    <w:rsid w:val="00B950C8"/>
    <w:rsid w:val="00B976CC"/>
    <w:rsid w:val="00BA1088"/>
    <w:rsid w:val="00BB5B87"/>
    <w:rsid w:val="00BC1F51"/>
    <w:rsid w:val="00BC7F49"/>
    <w:rsid w:val="00BD060A"/>
    <w:rsid w:val="00BD2EBD"/>
    <w:rsid w:val="00BE1859"/>
    <w:rsid w:val="00BE24F6"/>
    <w:rsid w:val="00C11417"/>
    <w:rsid w:val="00C13266"/>
    <w:rsid w:val="00C14909"/>
    <w:rsid w:val="00C2375C"/>
    <w:rsid w:val="00C32323"/>
    <w:rsid w:val="00C333AF"/>
    <w:rsid w:val="00C47C47"/>
    <w:rsid w:val="00C56D42"/>
    <w:rsid w:val="00C60FE2"/>
    <w:rsid w:val="00C82B34"/>
    <w:rsid w:val="00C972F4"/>
    <w:rsid w:val="00CB0A4D"/>
    <w:rsid w:val="00CB479A"/>
    <w:rsid w:val="00CB60C5"/>
    <w:rsid w:val="00CC358D"/>
    <w:rsid w:val="00CC49B3"/>
    <w:rsid w:val="00CC4E5B"/>
    <w:rsid w:val="00CC6658"/>
    <w:rsid w:val="00CD3A89"/>
    <w:rsid w:val="00CD4AFC"/>
    <w:rsid w:val="00CD5E65"/>
    <w:rsid w:val="00CE3E7D"/>
    <w:rsid w:val="00CF722D"/>
    <w:rsid w:val="00D01927"/>
    <w:rsid w:val="00D117BE"/>
    <w:rsid w:val="00D20C8C"/>
    <w:rsid w:val="00D210BB"/>
    <w:rsid w:val="00D41627"/>
    <w:rsid w:val="00D41AA9"/>
    <w:rsid w:val="00D45F92"/>
    <w:rsid w:val="00D51808"/>
    <w:rsid w:val="00D5576D"/>
    <w:rsid w:val="00D61E1D"/>
    <w:rsid w:val="00D67469"/>
    <w:rsid w:val="00D70291"/>
    <w:rsid w:val="00D7086D"/>
    <w:rsid w:val="00D720CF"/>
    <w:rsid w:val="00D73018"/>
    <w:rsid w:val="00D74DC5"/>
    <w:rsid w:val="00D76E4A"/>
    <w:rsid w:val="00D851AD"/>
    <w:rsid w:val="00D931D5"/>
    <w:rsid w:val="00D94458"/>
    <w:rsid w:val="00DA0200"/>
    <w:rsid w:val="00DB4F4C"/>
    <w:rsid w:val="00DD35A0"/>
    <w:rsid w:val="00DE4471"/>
    <w:rsid w:val="00DE5E5F"/>
    <w:rsid w:val="00E00EC7"/>
    <w:rsid w:val="00E07215"/>
    <w:rsid w:val="00E214BA"/>
    <w:rsid w:val="00E2233D"/>
    <w:rsid w:val="00E37A3F"/>
    <w:rsid w:val="00E448E0"/>
    <w:rsid w:val="00E46D35"/>
    <w:rsid w:val="00E51A67"/>
    <w:rsid w:val="00E52B9C"/>
    <w:rsid w:val="00E531CD"/>
    <w:rsid w:val="00E67B2B"/>
    <w:rsid w:val="00E702F4"/>
    <w:rsid w:val="00E7093B"/>
    <w:rsid w:val="00E72385"/>
    <w:rsid w:val="00E73D8F"/>
    <w:rsid w:val="00E743C6"/>
    <w:rsid w:val="00E8718E"/>
    <w:rsid w:val="00E9601D"/>
    <w:rsid w:val="00EB1005"/>
    <w:rsid w:val="00EB740E"/>
    <w:rsid w:val="00EB7881"/>
    <w:rsid w:val="00EC09B7"/>
    <w:rsid w:val="00ED211D"/>
    <w:rsid w:val="00ED402E"/>
    <w:rsid w:val="00ED56A4"/>
    <w:rsid w:val="00ED6468"/>
    <w:rsid w:val="00EE7372"/>
    <w:rsid w:val="00EF3322"/>
    <w:rsid w:val="00EF53C8"/>
    <w:rsid w:val="00F0322C"/>
    <w:rsid w:val="00F16107"/>
    <w:rsid w:val="00F25D96"/>
    <w:rsid w:val="00F37F0A"/>
    <w:rsid w:val="00F55591"/>
    <w:rsid w:val="00F62C79"/>
    <w:rsid w:val="00F6450F"/>
    <w:rsid w:val="00F656D4"/>
    <w:rsid w:val="00F846A9"/>
    <w:rsid w:val="00FA6E5A"/>
    <w:rsid w:val="00FB57ED"/>
    <w:rsid w:val="00FE419C"/>
    <w:rsid w:val="00FE48FE"/>
    <w:rsid w:val="00FE7607"/>
    <w:rsid w:val="00FF1869"/>
    <w:rsid w:val="00FF5AC2"/>
    <w:rsid w:val="00FF7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rules v:ext="edit">
        <o:r id="V:Rule1" type="connector" idref="#_x0000_s2081"/>
        <o:r id="V:Rule2" type="connector" idref="#_x0000_s2080"/>
      </o:rules>
    </o:shapelayout>
  </w:shapeDefaults>
  <w:decimalSymbol w:val="."/>
  <w:listSeparator w:val=","/>
  <w14:docId w14:val="5E9B44F3"/>
  <w15:docId w15:val="{7D041AAA-4B51-4245-877A-42E4E01E5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35E"/>
  </w:style>
  <w:style w:type="paragraph" w:styleId="Heading1">
    <w:name w:val="heading 1"/>
    <w:basedOn w:val="Normal"/>
    <w:next w:val="Normal"/>
    <w:link w:val="Heading1Char"/>
    <w:uiPriority w:val="9"/>
    <w:qFormat/>
    <w:rsid w:val="0024429D"/>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24429D"/>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70463A"/>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70463A"/>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A89"/>
  </w:style>
  <w:style w:type="paragraph" w:styleId="Footer">
    <w:name w:val="footer"/>
    <w:basedOn w:val="Normal"/>
    <w:link w:val="FooterChar"/>
    <w:uiPriority w:val="99"/>
    <w:unhideWhenUsed/>
    <w:rsid w:val="00CD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A89"/>
  </w:style>
  <w:style w:type="paragraph" w:customStyle="1" w:styleId="ReferHead">
    <w:name w:val="Refer Head"/>
    <w:basedOn w:val="Normal"/>
    <w:rsid w:val="00BB5B87"/>
    <w:pPr>
      <w:keepNext/>
      <w:spacing w:after="240" w:line="240" w:lineRule="auto"/>
    </w:pPr>
    <w:rPr>
      <w:rFonts w:ascii="Helvetica" w:eastAsia="Times New Roman" w:hAnsi="Helvetica" w:cs="Times New Roman"/>
      <w:b/>
      <w:caps/>
      <w:szCs w:val="20"/>
    </w:rPr>
  </w:style>
  <w:style w:type="character" w:styleId="Hyperlink">
    <w:name w:val="Hyperlink"/>
    <w:basedOn w:val="DefaultParagraphFont"/>
    <w:uiPriority w:val="99"/>
    <w:unhideWhenUsed/>
    <w:rsid w:val="0098174A"/>
    <w:rPr>
      <w:color w:val="0000FF" w:themeColor="hyperlink"/>
      <w:u w:val="single"/>
    </w:rPr>
  </w:style>
  <w:style w:type="paragraph" w:styleId="BalloonText">
    <w:name w:val="Balloon Text"/>
    <w:basedOn w:val="Normal"/>
    <w:link w:val="BalloonTextChar"/>
    <w:uiPriority w:val="99"/>
    <w:semiHidden/>
    <w:unhideWhenUsed/>
    <w:rsid w:val="00EB7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40E"/>
    <w:rPr>
      <w:rFonts w:ascii="Tahoma" w:hAnsi="Tahoma" w:cs="Tahoma"/>
      <w:sz w:val="16"/>
      <w:szCs w:val="16"/>
    </w:rPr>
  </w:style>
  <w:style w:type="character" w:customStyle="1" w:styleId="Heading1Char">
    <w:name w:val="Heading 1 Char"/>
    <w:basedOn w:val="DefaultParagraphFont"/>
    <w:link w:val="Heading1"/>
    <w:uiPriority w:val="9"/>
    <w:rsid w:val="0024429D"/>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24429D"/>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70463A"/>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70463A"/>
    <w:rPr>
      <w:rFonts w:ascii="Arial" w:eastAsiaTheme="majorEastAsia" w:hAnsi="Arial" w:cstheme="majorBidi"/>
      <w:b/>
      <w:bCs/>
      <w:i/>
      <w:iCs/>
      <w:sz w:val="20"/>
    </w:rPr>
  </w:style>
  <w:style w:type="table" w:customStyle="1" w:styleId="TableGridLight1">
    <w:name w:val="Table Grid Light1"/>
    <w:basedOn w:val="TableNormal"/>
    <w:next w:val="TableGridLight"/>
    <w:uiPriority w:val="40"/>
    <w:rsid w:val="00640F84"/>
    <w:pPr>
      <w:spacing w:after="0" w:line="240" w:lineRule="auto"/>
    </w:pPr>
    <w:rPr>
      <w:rFonts w:eastAsia="Calibri"/>
      <w:kern w:val="2"/>
      <w:lang w:val="en-I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39"/>
    <w:rsid w:val="00640F84"/>
    <w:pPr>
      <w:spacing w:after="0" w:line="240" w:lineRule="auto"/>
    </w:pPr>
    <w:rPr>
      <w:rFonts w:eastAsia="Calibri"/>
      <w:kern w:val="2"/>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40F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64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F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911257">
      <w:bodyDiv w:val="1"/>
      <w:marLeft w:val="0"/>
      <w:marRight w:val="0"/>
      <w:marTop w:val="0"/>
      <w:marBottom w:val="0"/>
      <w:divBdr>
        <w:top w:val="none" w:sz="0" w:space="0" w:color="auto"/>
        <w:left w:val="none" w:sz="0" w:space="0" w:color="auto"/>
        <w:bottom w:val="none" w:sz="0" w:space="0" w:color="auto"/>
        <w:right w:val="none" w:sz="0" w:space="0" w:color="auto"/>
      </w:divBdr>
    </w:div>
    <w:div w:id="967781458">
      <w:bodyDiv w:val="1"/>
      <w:marLeft w:val="0"/>
      <w:marRight w:val="0"/>
      <w:marTop w:val="0"/>
      <w:marBottom w:val="0"/>
      <w:divBdr>
        <w:top w:val="none" w:sz="0" w:space="0" w:color="auto"/>
        <w:left w:val="none" w:sz="0" w:space="0" w:color="auto"/>
        <w:bottom w:val="none" w:sz="0" w:space="0" w:color="auto"/>
        <w:right w:val="none" w:sz="0" w:space="0" w:color="auto"/>
      </w:divBdr>
    </w:div>
    <w:div w:id="1278680793">
      <w:bodyDiv w:val="1"/>
      <w:marLeft w:val="0"/>
      <w:marRight w:val="0"/>
      <w:marTop w:val="0"/>
      <w:marBottom w:val="0"/>
      <w:divBdr>
        <w:top w:val="none" w:sz="0" w:space="0" w:color="auto"/>
        <w:left w:val="none" w:sz="0" w:space="0" w:color="auto"/>
        <w:bottom w:val="none" w:sz="0" w:space="0" w:color="auto"/>
        <w:right w:val="none" w:sz="0" w:space="0" w:color="auto"/>
      </w:divBdr>
    </w:div>
    <w:div w:id="1282494891">
      <w:bodyDiv w:val="1"/>
      <w:marLeft w:val="0"/>
      <w:marRight w:val="0"/>
      <w:marTop w:val="0"/>
      <w:marBottom w:val="0"/>
      <w:divBdr>
        <w:top w:val="none" w:sz="0" w:space="0" w:color="auto"/>
        <w:left w:val="none" w:sz="0" w:space="0" w:color="auto"/>
        <w:bottom w:val="none" w:sz="0" w:space="0" w:color="auto"/>
        <w:right w:val="none" w:sz="0" w:space="0" w:color="auto"/>
      </w:divBdr>
    </w:div>
    <w:div w:id="1376007136">
      <w:bodyDiv w:val="1"/>
      <w:marLeft w:val="0"/>
      <w:marRight w:val="0"/>
      <w:marTop w:val="0"/>
      <w:marBottom w:val="0"/>
      <w:divBdr>
        <w:top w:val="none" w:sz="0" w:space="0" w:color="auto"/>
        <w:left w:val="none" w:sz="0" w:space="0" w:color="auto"/>
        <w:bottom w:val="none" w:sz="0" w:space="0" w:color="auto"/>
        <w:right w:val="none" w:sz="0" w:space="0" w:color="auto"/>
      </w:divBdr>
    </w:div>
    <w:div w:id="20290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hyperlink" Target="https://doi.org/10.32479/ijeep.9355" TargetMode="External"/><Relationship Id="rId26" Type="http://schemas.openxmlformats.org/officeDocument/2006/relationships/hyperlink" Target="https://doi.org/10.1016/j.rser.2016.12.117" TargetMode="External"/><Relationship Id="rId39" Type="http://schemas.openxmlformats.org/officeDocument/2006/relationships/hyperlink" Target="https://doi.org/10.3390/en15249647" TargetMode="External"/><Relationship Id="rId21" Type="http://schemas.openxmlformats.org/officeDocument/2006/relationships/hyperlink" Target="https://doi.org/10.1007/s11356-022-21835-1" TargetMode="External"/><Relationship Id="rId34" Type="http://schemas.openxmlformats.org/officeDocument/2006/relationships/hyperlink" Target="https://doi.org/10.1108/ijesm-05-2024-0007" TargetMode="External"/><Relationship Id="rId42" Type="http://schemas.openxmlformats.org/officeDocument/2006/relationships/hyperlink" Target="https://doi.org/10.5267/j.uscm.2024.2.020" TargetMode="External"/><Relationship Id="rId47" Type="http://schemas.openxmlformats.org/officeDocument/2006/relationships/hyperlink" Target="https://doi.org/10.1142/s0217590817400173" TargetMode="External"/><Relationship Id="rId50" Type="http://schemas.openxmlformats.org/officeDocument/2006/relationships/hyperlink" Target="https://doi.org/10.1007/s13762-021-03319-w" TargetMode="External"/><Relationship Id="rId55" Type="http://schemas.openxmlformats.org/officeDocument/2006/relationships/hyperlink" Target="https://doi.org/10.1016/j.uclim.2024.102060"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21/es505814g" TargetMode="External"/><Relationship Id="rId29" Type="http://schemas.openxmlformats.org/officeDocument/2006/relationships/hyperlink" Target="https://doi.org/10.1108/meq-01-2022-0014" TargetMode="External"/><Relationship Id="rId11" Type="http://schemas.openxmlformats.org/officeDocument/2006/relationships/oleObject" Target="embeddings/oleObject1.bin"/><Relationship Id="rId24" Type="http://schemas.openxmlformats.org/officeDocument/2006/relationships/hyperlink" Target="https://doi.org/10.1080/07352166.2023.2174871" TargetMode="External"/><Relationship Id="rId32" Type="http://schemas.openxmlformats.org/officeDocument/2006/relationships/hyperlink" Target="https://doi.org/10.1007/s11356-019-04342-8" TargetMode="External"/><Relationship Id="rId37" Type="http://schemas.openxmlformats.org/officeDocument/2006/relationships/hyperlink" Target="https://doi.org/10.3390/su16187878" TargetMode="External"/><Relationship Id="rId40" Type="http://schemas.openxmlformats.org/officeDocument/2006/relationships/hyperlink" Target="https://doi.org/10.9734/ajeba/2025/v25i11658" TargetMode="External"/><Relationship Id="rId45" Type="http://schemas.openxmlformats.org/officeDocument/2006/relationships/hyperlink" Target="https://doi.org/10.12944/cwe.19.3.26" TargetMode="External"/><Relationship Id="rId53" Type="http://schemas.openxmlformats.org/officeDocument/2006/relationships/hyperlink" Target="https://doi.org/10.3390/en14154671" TargetMode="External"/><Relationship Id="rId58" Type="http://schemas.openxmlformats.org/officeDocument/2006/relationships/hyperlink" Target="https://doi.org/10.3390/su16073005"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doi.org/10.32479/ijefi.10012" TargetMode="External"/><Relationship Id="rId14" Type="http://schemas.openxmlformats.org/officeDocument/2006/relationships/hyperlink" Target="https://doi.org/10.1007/s11356-020-08262-w" TargetMode="External"/><Relationship Id="rId22" Type="http://schemas.openxmlformats.org/officeDocument/2006/relationships/hyperlink" Target="https://doi.org/10.56557/jogee/2025/v21i39363" TargetMode="External"/><Relationship Id="rId27" Type="http://schemas.openxmlformats.org/officeDocument/2006/relationships/hyperlink" Target="https://doi.org/10.3390/en15093390" TargetMode="External"/><Relationship Id="rId30" Type="http://schemas.openxmlformats.org/officeDocument/2006/relationships/hyperlink" Target="https://doi.org/10.36348/sjef.2020.v04i04.003" TargetMode="External"/><Relationship Id="rId35" Type="http://schemas.openxmlformats.org/officeDocument/2006/relationships/hyperlink" Target="https://doi.org/10.1007/978-981-16-6691-9_5" TargetMode="External"/><Relationship Id="rId43" Type="http://schemas.openxmlformats.org/officeDocument/2006/relationships/hyperlink" Target="https://doi.org/10.3390/en14248333" TargetMode="External"/><Relationship Id="rId48" Type="http://schemas.openxmlformats.org/officeDocument/2006/relationships/hyperlink" Target="https://doi.org/10.1038/s44284-024-00074-0" TargetMode="External"/><Relationship Id="rId56" Type="http://schemas.openxmlformats.org/officeDocument/2006/relationships/hyperlink" Target="https://doi.org/10.1007/978-3-031-07127-0_13" TargetMode="External"/><Relationship Id="rId8" Type="http://schemas.openxmlformats.org/officeDocument/2006/relationships/image" Target="media/image1.jpeg"/><Relationship Id="rId51" Type="http://schemas.openxmlformats.org/officeDocument/2006/relationships/hyperlink" Target="https://sasj.pu.edu.pk/9/article/view/1091"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hyperlink" Target="https://doi.org/10.52131/jee.2022.0302.0029?utm_source=chatgpt.com" TargetMode="External"/><Relationship Id="rId25" Type="http://schemas.openxmlformats.org/officeDocument/2006/relationships/hyperlink" Target="https://eprints.lse.ac.uk/60775/" TargetMode="External"/><Relationship Id="rId33" Type="http://schemas.openxmlformats.org/officeDocument/2006/relationships/hyperlink" Target="https://doi.org/10.1038/s41598-024-58827-9" TargetMode="External"/><Relationship Id="rId38" Type="http://schemas.openxmlformats.org/officeDocument/2006/relationships/hyperlink" Target="https://doi.org/10.18356/0b0e8cfc-en" TargetMode="External"/><Relationship Id="rId46" Type="http://schemas.openxmlformats.org/officeDocument/2006/relationships/hyperlink" Target="https://doi.org/10.1108/ijesm-11-2019-0014" TargetMode="External"/><Relationship Id="rId59" Type="http://schemas.openxmlformats.org/officeDocument/2006/relationships/header" Target="header1.xml"/><Relationship Id="rId20" Type="http://schemas.openxmlformats.org/officeDocument/2006/relationships/hyperlink" Target="https://doi.org/10.52223/econimpact.2024.6305" TargetMode="External"/><Relationship Id="rId41" Type="http://schemas.openxmlformats.org/officeDocument/2006/relationships/hyperlink" Target="https://doi.org/10.1108/meq-04-2021-0070" TargetMode="External"/><Relationship Id="rId54" Type="http://schemas.openxmlformats.org/officeDocument/2006/relationships/hyperlink" Target="https://doi.org/10.1007/978-3-319-73610-5_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1356-019-06154-2" TargetMode="External"/><Relationship Id="rId23" Type="http://schemas.openxmlformats.org/officeDocument/2006/relationships/hyperlink" Target="https://doi.org/10.1007/s11356-015-5323-8" TargetMode="External"/><Relationship Id="rId28" Type="http://schemas.openxmlformats.org/officeDocument/2006/relationships/hyperlink" Target="https://doi.org/10.1108/ijesm-01-2021-0010" TargetMode="External"/><Relationship Id="rId36" Type="http://schemas.openxmlformats.org/officeDocument/2006/relationships/hyperlink" Target="https://doi.org/10.1038/s42949-023-00084-2" TargetMode="External"/><Relationship Id="rId49" Type="http://schemas.openxmlformats.org/officeDocument/2006/relationships/hyperlink" Target="https://doi.org/10.1073/pnas.1211658109" TargetMode="External"/><Relationship Id="rId57" Type="http://schemas.openxmlformats.org/officeDocument/2006/relationships/hyperlink" Target="https://doi.org/10.1371/journal.pone.0296997" TargetMode="External"/><Relationship Id="rId10" Type="http://schemas.openxmlformats.org/officeDocument/2006/relationships/image" Target="media/image3.emf"/><Relationship Id="rId31" Type="http://schemas.openxmlformats.org/officeDocument/2006/relationships/hyperlink" Target="https://doi.org/10.3390/en18154167" TargetMode="External"/><Relationship Id="rId44" Type="http://schemas.openxmlformats.org/officeDocument/2006/relationships/hyperlink" Target="https://doi.org/10.1002/jae.616" TargetMode="External"/><Relationship Id="rId52" Type="http://schemas.openxmlformats.org/officeDocument/2006/relationships/hyperlink" Target="https://doi.org/10.1016/j.scitotenv.2022.155795"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6F689-3A7C-4A24-B83E-AC476BFB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8039</Words>
  <Characters>45826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SDI CPU 1117</cp:lastModifiedBy>
  <cp:revision>198</cp:revision>
  <dcterms:created xsi:type="dcterms:W3CDTF">2014-09-20T11:25:00Z</dcterms:created>
  <dcterms:modified xsi:type="dcterms:W3CDTF">2026-07-15T10:40:00Z</dcterms:modified>
</cp:coreProperties>
</file>