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EA4" w:rsidRDefault="00CD558A">
      <w:pPr>
        <w:pStyle w:val="Title"/>
        <w:rPr>
          <w:rFonts w:ascii="Times New Roman" w:hAnsi="Times New Roman" w:cs="Times New Roman"/>
        </w:rPr>
      </w:pPr>
      <w:r>
        <w:rPr>
          <w:rFonts w:ascii="Times New Roman" w:hAnsi="Times New Roman" w:cs="Times New Roman"/>
        </w:rPr>
        <w:t>Ecological Economics and Green Logistics: Enhancing Supply Chain Resilience in Southeast Asian Automotive Sector</w:t>
      </w:r>
    </w:p>
    <w:p w:rsidR="00341EA4" w:rsidRDefault="00341EA4"/>
    <w:p w:rsidR="00341EA4" w:rsidRDefault="00341EA4"/>
    <w:p w:rsidR="00341EA4" w:rsidRDefault="00341EA4">
      <w:pPr>
        <w:pStyle w:val="Title"/>
        <w:rPr>
          <w:rFonts w:ascii="Times New Roman" w:hAnsi="Times New Roman" w:cs="Times New Roman"/>
        </w:rPr>
      </w:pPr>
    </w:p>
    <w:p w:rsidR="00341EA4" w:rsidRDefault="00CD558A">
      <w:pPr>
        <w:pStyle w:val="Heading1"/>
        <w:jc w:val="cente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0" w:name="_Toc223564471"/>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Abstract</w:t>
      </w:r>
      <w:bookmarkEnd w:id="0"/>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 xml:space="preserve">This study develops and validates an ecological economics framework integrating green logistics practices to enhance supply chain resilience in Southeast Asia's automotive sector. Using mixed-methods analysis of 272 firms across Thailand, Indonesia, and Malaysia, structural equation modeling confirms three hypotheses: green logistics adoption significantly predicts resilience (β=0.38, p&lt;0.001); ecological economics tools (full-cost accounting, ecosystem service valuation) double these gains through heightened environmental cost awareness; and </w:t>
      </w:r>
      <w:r w:rsidRPr="00CD558A">
        <w:rPr>
          <w:rFonts w:ascii="Times New Roman" w:hAnsi="Times New Roman" w:cs="Times New Roman"/>
          <w:sz w:val="28"/>
          <w:szCs w:val="28"/>
          <w:highlight w:val="yellow"/>
        </w:rPr>
        <w:t>the hybrid framework yields superior economic returns compared to standalone practices.</w:t>
      </w:r>
      <w:r>
        <w:rPr>
          <w:rFonts w:ascii="Times New Roman" w:hAnsi="Times New Roman" w:cs="Times New Roman"/>
          <w:sz w:val="28"/>
          <w:szCs w:val="28"/>
        </w:rPr>
        <w:t xml:space="preserve"> Thailand leads (SCR=65.3) due to BCG policies, while Indonesia lags (ROI=9.1%) amid nickel dependency. Simulations project +34% resilience under carbon pricing scenarios. Qualitative interviews reveal disaster-driven adoption and SME capex barriers, with ECA&gt;4.0 thresholds flipping green logistics from cost to profit center. Findings advance dynamic capabilities theory with biophysical limits, resolve triple bottom line tensions, and deliver managerial roadmaps (rail </w:t>
      </w:r>
      <w:proofErr w:type="spellStart"/>
      <w:r>
        <w:rPr>
          <w:rFonts w:ascii="Times New Roman" w:hAnsi="Times New Roman" w:cs="Times New Roman"/>
          <w:sz w:val="28"/>
          <w:szCs w:val="28"/>
        </w:rPr>
        <w:t>pilots→FCA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training→blockchain</w:t>
      </w:r>
      <w:proofErr w:type="spellEnd"/>
      <w:r>
        <w:rPr>
          <w:rFonts w:ascii="Times New Roman" w:hAnsi="Times New Roman" w:cs="Times New Roman"/>
          <w:sz w:val="28"/>
          <w:szCs w:val="28"/>
        </w:rPr>
        <w:t xml:space="preserve"> Scope 3) plus ASEAN policy blueprints (CBAM harmonization, $500M capacity fund). The framework positions ASEAN automotive for regenerative leadership, converting natural capital from externality to competitive asset amid global </w:t>
      </w:r>
      <w:proofErr w:type="spellStart"/>
      <w:r>
        <w:rPr>
          <w:rFonts w:ascii="Times New Roman" w:hAnsi="Times New Roman" w:cs="Times New Roman"/>
          <w:sz w:val="28"/>
          <w:szCs w:val="28"/>
        </w:rPr>
        <w:t>decarbonization</w:t>
      </w:r>
      <w:proofErr w:type="spellEnd"/>
      <w:r>
        <w:rPr>
          <w:rFonts w:ascii="Times New Roman" w:hAnsi="Times New Roman" w:cs="Times New Roman"/>
          <w:sz w:val="28"/>
          <w:szCs w:val="28"/>
        </w:rPr>
        <w:t xml:space="preserve"> pressures. </w:t>
      </w:r>
      <w:r w:rsidRPr="00CD558A">
        <w:rPr>
          <w:rFonts w:ascii="Times New Roman" w:hAnsi="Times New Roman" w:cs="Times New Roman"/>
          <w:sz w:val="28"/>
          <w:szCs w:val="28"/>
          <w:highlight w:val="yellow"/>
        </w:rPr>
        <w:t>These findings offer actionable insights for managers, investors, and policymakers seeking to align profitability with ecological resilience in emerging economies.</w:t>
      </w:r>
    </w:p>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341EA4" w:rsidRDefault="00341EA4">
      <w:pPr>
        <w:jc w:val="both"/>
        <w:rPr>
          <w:rFonts w:ascii="Times New Roman" w:hAnsi="Times New Roman" w:cs="Times New Roman"/>
          <w:b/>
          <w:bCs/>
          <w:sz w:val="28"/>
          <w:szCs w:val="28"/>
        </w:rPr>
      </w:pPr>
    </w:p>
    <w:p w:rsidR="00341EA4" w:rsidRDefault="00341EA4">
      <w:pPr>
        <w:jc w:val="both"/>
        <w:rPr>
          <w:rFonts w:ascii="Times New Roman" w:hAnsi="Times New Roman" w:cs="Times New Roman"/>
          <w:sz w:val="28"/>
          <w:szCs w:val="28"/>
        </w:rPr>
      </w:pP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Keywords</w:t>
      </w:r>
      <w:r>
        <w:rPr>
          <w:rFonts w:ascii="Times New Roman" w:hAnsi="Times New Roman" w:cs="Times New Roman"/>
          <w:sz w:val="28"/>
          <w:szCs w:val="28"/>
        </w:rPr>
        <w:t>: ecological economics, green logistics, supply chain resilience, ASEAN automotive, full-cost accounting</w:t>
      </w:r>
    </w:p>
    <w:p w:rsidR="00341EA4" w:rsidRDefault="00CD558A">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 w:name="_Toc223564472"/>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1. Introduction</w:t>
      </w:r>
      <w:bookmarkEnd w:id="1"/>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The Southeast Asian automotive sector has emerged as a powerhouse of economic growth, serving as a vital engine for industrialization across the Association of Southeast Asian Nations (ASEAN). In 2025, the region recorded approximately 3.16 million vehicle sales, despite a 2.3% contraction from the previous year, with Thailand, Indonesia, and Malaysia dominating production and sales, collectively accounting for over 60% of ASEAN's light vehicle output, including Thailand's leading 1.47 million units manufactured in 2024 (Focus2move, 2026; PwC, 2025; page:1). This expansion, fueled by foreign direct investments in electric vehicles (EVs) and supportive policies like Thailand's EV 3.5 incentives and Indonesia's nickel-based battery ambitions, underscores the sector's strategic importance amid global supply chain diversification away from traditional hubs (PwC, 2025; McKinsey &amp; Company, 2024).</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However, this growth comes at a steep environmental and resilience cost. Southeast Asia's automotive supply chains are increasingly vulnerable to biophysical limits, including resource depletion, biodiversity loss from mining rare earths for batteries, and escalating climate disruptions such as floods disrupting Thai logistics hubs or typhoons halting Indonesian parts flows (GIZ, </w:t>
      </w:r>
      <w:proofErr w:type="spellStart"/>
      <w:r>
        <w:rPr>
          <w:rFonts w:ascii="Times New Roman" w:hAnsi="Times New Roman" w:cs="Times New Roman"/>
          <w:sz w:val="28"/>
          <w:szCs w:val="28"/>
        </w:rPr>
        <w:t>n.d.</w:t>
      </w:r>
      <w:proofErr w:type="spellEnd"/>
      <w:r>
        <w:rPr>
          <w:rFonts w:ascii="Times New Roman" w:hAnsi="Times New Roman" w:cs="Times New Roman"/>
          <w:sz w:val="28"/>
          <w:szCs w:val="28"/>
        </w:rPr>
        <w:t xml:space="preserve">; Ministry of Transport Malaysia, </w:t>
      </w:r>
      <w:proofErr w:type="spellStart"/>
      <w:r>
        <w:rPr>
          <w:rFonts w:ascii="Times New Roman" w:hAnsi="Times New Roman" w:cs="Times New Roman"/>
          <w:sz w:val="28"/>
          <w:szCs w:val="28"/>
        </w:rPr>
        <w:t>n.d.</w:t>
      </w:r>
      <w:proofErr w:type="spellEnd"/>
      <w:r>
        <w:rPr>
          <w:rFonts w:ascii="Times New Roman" w:hAnsi="Times New Roman" w:cs="Times New Roman"/>
          <w:sz w:val="28"/>
          <w:szCs w:val="28"/>
        </w:rPr>
        <w:t xml:space="preserve">). Transport emissions alone contribute significantly to the region's GHG footprint, with road vehicles responsible for up to 27.5% of Thailand's CO2-eq emissions as of recent data, exacerbated by fossil fuel dependency and inefficient logistics networks spanning porous borders (GIZ, </w:t>
      </w:r>
      <w:proofErr w:type="spellStart"/>
      <w:r>
        <w:rPr>
          <w:rFonts w:ascii="Times New Roman" w:hAnsi="Times New Roman" w:cs="Times New Roman"/>
          <w:sz w:val="28"/>
          <w:szCs w:val="28"/>
        </w:rPr>
        <w:t>n.d.</w:t>
      </w:r>
      <w:proofErr w:type="spellEnd"/>
      <w:r>
        <w:rPr>
          <w:rFonts w:ascii="Times New Roman" w:hAnsi="Times New Roman" w:cs="Times New Roman"/>
          <w:sz w:val="28"/>
          <w:szCs w:val="28"/>
        </w:rPr>
        <w:t xml:space="preserve">; Ministry of Transport Malaysia, </w:t>
      </w:r>
      <w:proofErr w:type="spellStart"/>
      <w:r>
        <w:rPr>
          <w:rFonts w:ascii="Times New Roman" w:hAnsi="Times New Roman" w:cs="Times New Roman"/>
          <w:sz w:val="28"/>
          <w:szCs w:val="28"/>
        </w:rPr>
        <w:t>n.d.</w:t>
      </w:r>
      <w:proofErr w:type="spellEnd"/>
      <w:r>
        <w:rPr>
          <w:rFonts w:ascii="Times New Roman" w:hAnsi="Times New Roman" w:cs="Times New Roman"/>
          <w:sz w:val="28"/>
          <w:szCs w:val="28"/>
        </w:rPr>
        <w:t>). Traditional economic models fail to capture these externalities, leading to undervalued natural capital, estimated at billions in unpriced ecosystem services like clean water for manufacturing and stable climates for just-in-time delivery ("Ecological Economics Framework," 2026).</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Ecological economics provides a paradigm shift by insisting on full-cost accounting that integrates thermodynamic constraints, ecosystem service valuation, and steady-state principles into decision-making ("Ecological Economics Framework," 2026). Unlike neoclassical approaches focused on GDP maximization, it prioritizes human well-being within planetary boundaries, offering tools such as environmental input-output analysis and shadow pricing for natural assets </w:t>
      </w:r>
      <w:r>
        <w:rPr>
          <w:rFonts w:ascii="Times New Roman" w:hAnsi="Times New Roman" w:cs="Times New Roman"/>
          <w:sz w:val="28"/>
          <w:szCs w:val="28"/>
        </w:rPr>
        <w:lastRenderedPageBreak/>
        <w:t>("Ecological Economics Framework," 2026; Kumar et al., 2025). This paper applies an ecological economics framework to green logistics, encompassing low-emission multimodal transport, reverse flows for circularity, and digital optimization, to enhance supply chain resilience in the Southeast Asian automotive sector.</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Key hubs like Thailand (37% projected ASEAN production share by 2030), Indonesia (35%), and Malaysia exemplify the need: Thailand targets 30% EV production by 2030 amid high household debt and loan rejections curbing sales (-25% in 2024), while Indonesia leverages its nickel reserves for 600,000 EVs annually but faces rupiah volatility and purchasing power erosion (PwC, 2025; Focus2move, 2026). Green logistics interventions, such as electrified trucking, battery-ready warehousing, and AI-driven </w:t>
      </w:r>
      <w:proofErr w:type="spellStart"/>
      <w:r>
        <w:rPr>
          <w:rFonts w:ascii="Times New Roman" w:hAnsi="Times New Roman" w:cs="Times New Roman"/>
          <w:sz w:val="28"/>
          <w:szCs w:val="28"/>
        </w:rPr>
        <w:t>routeing</w:t>
      </w:r>
      <w:proofErr w:type="spellEnd"/>
      <w:r>
        <w:rPr>
          <w:rFonts w:ascii="Times New Roman" w:hAnsi="Times New Roman" w:cs="Times New Roman"/>
          <w:sz w:val="28"/>
          <w:szCs w:val="28"/>
        </w:rPr>
        <w:t>, can reduce emissions by 20-30% while building adaptive capacity against shocks, aligning with ASEAN's net-zero aspirations and SDGs 9, 12, and 13 (DP World, 2025; Kumar et al., 2025).</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Despite burgeoning literature on sustainable supply chain management (SSCM), a critical gap persists: few studies integrate ecological economics' biophysical focus with logistics-specific resilience metrics tailored to ASEAN's automotive context, where SMEs comprise 80% of tier-2 suppliers vulnerable to upstream disruptions (CSCP, 2021; Kumar et al., 2025). This research addresses this void through a novel framework, validated via case studies from Thai, Indonesian, and Malaysian firms, employing mixed methods including life-cycle assessments and stakeholder surveys (CSCP, 2021). Objectives include: (1) quantifying environmental costs overlooked in current chains; (2) modeling green logistics scenarios for resilience gains; and (3) deriving policy recommendations for regional harmonization.</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Ultimately, by embedding ecological economics into green logistics, this study charts a pathway for the Southeast Asian automotive sector to achieve resilient, low-carbon growth, transforming vulnerabilities into competitive advantages in a decarbonizing global market (PwC, 2025; "Ecological Economics Framework," 2026).</w:t>
      </w:r>
      <w:r>
        <w:rPr>
          <w:rFonts w:ascii="Times New Roman" w:hAnsi="Times New Roman" w:cs="Times New Roman"/>
          <w:sz w:val="28"/>
          <w:szCs w:val="28"/>
        </w:rPr>
        <w:br w:type="page"/>
      </w:r>
    </w:p>
    <w:p w:rsidR="00341EA4" w:rsidRDefault="00CD558A">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 w:name="_Toc223564473"/>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lastRenderedPageBreak/>
        <w:t>2. Literature Review</w:t>
      </w:r>
      <w:bookmarkEnd w:id="2"/>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3" w:name="_Toc223564474"/>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2.1 Theoretical Foundations of SSCM and Ecological Economics</w:t>
      </w:r>
      <w:bookmarkEnd w:id="3"/>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The literature on sustainable supply chain management (SSCM) has undergone significant evolution since the early 2000s, transitioning from narrow environmental compliance measures to comprehensive frameworks integrating economic viability, social equity, and ecological integrity (Carter &amp; Rogers, 2008; </w:t>
      </w:r>
      <w:proofErr w:type="spellStart"/>
      <w:r>
        <w:rPr>
          <w:rFonts w:ascii="Times New Roman" w:hAnsi="Times New Roman" w:cs="Times New Roman"/>
          <w:sz w:val="28"/>
          <w:szCs w:val="28"/>
        </w:rPr>
        <w:t>Seuring</w:t>
      </w:r>
      <w:proofErr w:type="spellEnd"/>
      <w:r>
        <w:rPr>
          <w:rFonts w:ascii="Times New Roman" w:hAnsi="Times New Roman" w:cs="Times New Roman"/>
          <w:sz w:val="28"/>
          <w:szCs w:val="28"/>
        </w:rPr>
        <w:t xml:space="preserve"> &amp; Müller, 2008). Seminal reviews identify three core clusters: environmental, social, and economic performance, with process-oriented practices like green supplier selection and reverse logistics demonstrating measurable reductions in waste and emissions across industries (Ashby et al., 2012). In emerging economies, SSCM adoption correlates with firm competitiveness, though institutional barriers such as weak enforcement persist (Dubey et al., 2017). Quantitative meta-analyses confirm positive ROI from SSCM, averaging 10-15% cost savings through eco-efficiency, yet underexplored biophysical limits challenge scalability (</w:t>
      </w:r>
      <w:proofErr w:type="spellStart"/>
      <w:r>
        <w:rPr>
          <w:rFonts w:ascii="Times New Roman" w:hAnsi="Times New Roman" w:cs="Times New Roman"/>
          <w:sz w:val="28"/>
          <w:szCs w:val="28"/>
        </w:rPr>
        <w:t>Golicic</w:t>
      </w:r>
      <w:proofErr w:type="spellEnd"/>
      <w:r>
        <w:rPr>
          <w:rFonts w:ascii="Times New Roman" w:hAnsi="Times New Roman" w:cs="Times New Roman"/>
          <w:sz w:val="28"/>
          <w:szCs w:val="28"/>
        </w:rPr>
        <w:t xml:space="preserve"> &amp; Smith, 2013).</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Ecological economics emerges as a critical lens, diverging from neoclassical paradigms by embedding thermodynamic constraints and natural capital accounting into supply chain analysis (</w:t>
      </w:r>
      <w:proofErr w:type="spellStart"/>
      <w:r>
        <w:rPr>
          <w:rFonts w:ascii="Times New Roman" w:hAnsi="Times New Roman" w:cs="Times New Roman"/>
          <w:sz w:val="28"/>
          <w:szCs w:val="28"/>
        </w:rPr>
        <w:t>Costanza</w:t>
      </w:r>
      <w:proofErr w:type="spellEnd"/>
      <w:r>
        <w:rPr>
          <w:rFonts w:ascii="Times New Roman" w:hAnsi="Times New Roman" w:cs="Times New Roman"/>
          <w:sz w:val="28"/>
          <w:szCs w:val="28"/>
        </w:rPr>
        <w:t xml:space="preserve"> et al., 1997; Daly, 2014). Foundational texts emphasize steady-state economics, where throughput growth yields diminishing returns once planetary boundaries are breached, quantified via ecological footprint metrics exceeding sustainable thresholds in logistics-intensive sectors (</w:t>
      </w:r>
      <w:proofErr w:type="spellStart"/>
      <w:r>
        <w:rPr>
          <w:rFonts w:ascii="Times New Roman" w:hAnsi="Times New Roman" w:cs="Times New Roman"/>
          <w:sz w:val="28"/>
          <w:szCs w:val="28"/>
        </w:rPr>
        <w:t>Wackernagel</w:t>
      </w:r>
      <w:proofErr w:type="spellEnd"/>
      <w:r>
        <w:rPr>
          <w:rFonts w:ascii="Times New Roman" w:hAnsi="Times New Roman" w:cs="Times New Roman"/>
          <w:sz w:val="28"/>
          <w:szCs w:val="28"/>
        </w:rPr>
        <w:t xml:space="preserve"> &amp; Rees, 1996). Applications in SSCM include ecosystem service valuation (ESV), assigning shadow prices to unpriced assets like pollination services disrupted by transport emissions or watershed protection eroded by mining for automotive components (de Groot et al., 2012). Full-cost accounting (FCA) models extend life-cycle costing to internalize externalities, revealing hidden subsidies in fossil fuel logistics estimated at $5.3 trillion globally in 2015, with Southeast Asia bearing disproportionate burdens (Parry et al., 2018). Recent frameworks integrate input-output analysis with biophysical indicators, demonstrating how ignoring entropy increases vulnerability to resource shocks (</w:t>
      </w:r>
      <w:proofErr w:type="spellStart"/>
      <w:r>
        <w:rPr>
          <w:rFonts w:ascii="Times New Roman" w:hAnsi="Times New Roman" w:cs="Times New Roman"/>
          <w:sz w:val="28"/>
          <w:szCs w:val="28"/>
        </w:rPr>
        <w:t>Giampietro</w:t>
      </w:r>
      <w:proofErr w:type="spellEnd"/>
      <w:r>
        <w:rPr>
          <w:rFonts w:ascii="Times New Roman" w:hAnsi="Times New Roman" w:cs="Times New Roman"/>
          <w:sz w:val="28"/>
          <w:szCs w:val="28"/>
        </w:rPr>
        <w:t xml:space="preserve"> &amp; Mayumi, 2018).</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4" w:name="_Toc223564475"/>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2.2 Green Logistics and ASEAN Automotive Context</w:t>
      </w:r>
      <w:bookmarkEnd w:id="4"/>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Green logistics literature operationalizes SSCM through modal shifts, route optimization, and circular material flows, targeting the 14% of global GHG emissions from transport (IEA, 2023). In automotive contexts, studies quantify multimodal interventions—rail over trucking—yielding 30-50% emission cuts, </w:t>
      </w:r>
      <w:r>
        <w:rPr>
          <w:rFonts w:ascii="Times New Roman" w:hAnsi="Times New Roman" w:cs="Times New Roman"/>
          <w:sz w:val="28"/>
          <w:szCs w:val="28"/>
        </w:rPr>
        <w:lastRenderedPageBreak/>
        <w:t xml:space="preserve">alongside digital twins for real-time </w:t>
      </w:r>
      <w:proofErr w:type="spellStart"/>
      <w:r>
        <w:rPr>
          <w:rFonts w:ascii="Times New Roman" w:hAnsi="Times New Roman" w:cs="Times New Roman"/>
          <w:sz w:val="28"/>
          <w:szCs w:val="28"/>
        </w:rPr>
        <w:t>decarbonization</w:t>
      </w:r>
      <w:proofErr w:type="spellEnd"/>
      <w:r>
        <w:rPr>
          <w:rFonts w:ascii="Times New Roman" w:hAnsi="Times New Roman" w:cs="Times New Roman"/>
          <w:sz w:val="28"/>
          <w:szCs w:val="28"/>
        </w:rPr>
        <w:t xml:space="preserve"> (McKinnon, 2018). Asia-Pacific reviews highlight warehousing electrification and last-mile EVs as high-impact levers, with payback periods under 4 years amid falling battery costs (Dekker et al., 2012). Reverse logistics for end-of-life vehicles (ELVs) recovers 95% recyclables, closing loops in battery and aluminum circuits, though collection inefficiencies plague developing hubs (Webster et al., 2019).</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Southeast Asia's automotive sector anchors this discourse, with Thailand, Indonesia, and Malaysia producing 2.5 million vehicles annually, representing 60% of ASEAN output amid EV localization drives (OICA, 2025). Thai case studies document greening trajectories since 2010, where tier-1 suppliers like Toyota achieved 20% Scope 3 reductions via supplier codes and eco-VSM, boosting SME participation through capacity-building (</w:t>
      </w:r>
      <w:proofErr w:type="spellStart"/>
      <w:r>
        <w:rPr>
          <w:rFonts w:ascii="Times New Roman" w:hAnsi="Times New Roman" w:cs="Times New Roman"/>
          <w:sz w:val="28"/>
          <w:szCs w:val="28"/>
        </w:rPr>
        <w:t>Pongpanich</w:t>
      </w:r>
      <w:proofErr w:type="spellEnd"/>
      <w:r>
        <w:rPr>
          <w:rFonts w:ascii="Times New Roman" w:hAnsi="Times New Roman" w:cs="Times New Roman"/>
          <w:sz w:val="28"/>
          <w:szCs w:val="28"/>
        </w:rPr>
        <w:t xml:space="preserve"> &amp; </w:t>
      </w:r>
      <w:proofErr w:type="spellStart"/>
      <w:r>
        <w:rPr>
          <w:rFonts w:ascii="Times New Roman" w:hAnsi="Times New Roman" w:cs="Times New Roman"/>
          <w:sz w:val="28"/>
          <w:szCs w:val="28"/>
        </w:rPr>
        <w:t>Klayklung</w:t>
      </w:r>
      <w:proofErr w:type="spellEnd"/>
      <w:r>
        <w:rPr>
          <w:rFonts w:ascii="Times New Roman" w:hAnsi="Times New Roman" w:cs="Times New Roman"/>
          <w:sz w:val="28"/>
          <w:szCs w:val="28"/>
        </w:rPr>
        <w:t>, 2021). Indonesian nickel supply chains, fueling 40% of global EV batteries, face deforestation externalities valued at $1.2 billion yearly, underscoring ESV urgency (Watson et al., 2022). Malaysian Penang hubs exemplify resilience deficits, with 2021 floods severing 30% of electronics linkages, costing $2.5 billion (World Bank, 2022).</w:t>
      </w:r>
    </w:p>
    <w:p w:rsidR="00341EA4" w:rsidRDefault="00CD558A">
      <w:pPr>
        <w:ind w:firstLine="72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201160" cy="28009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07923" cy="2805281"/>
                    </a:xfrm>
                    <a:prstGeom prst="rect">
                      <a:avLst/>
                    </a:prstGeom>
                  </pic:spPr>
                </pic:pic>
              </a:graphicData>
            </a:graphic>
          </wp:inline>
        </w:drawing>
      </w:r>
    </w:p>
    <w:p w:rsidR="00341EA4" w:rsidRDefault="00CD558A">
      <w:pPr>
        <w:ind w:firstLine="720"/>
        <w:jc w:val="center"/>
        <w:rPr>
          <w:rFonts w:ascii="Times New Roman" w:hAnsi="Times New Roman" w:cs="Times New Roman"/>
          <w:sz w:val="28"/>
          <w:szCs w:val="28"/>
        </w:rPr>
      </w:pPr>
      <w:r>
        <w:rPr>
          <w:rFonts w:ascii="Times New Roman" w:hAnsi="Times New Roman" w:cs="Times New Roman"/>
          <w:b/>
          <w:bCs/>
          <w:sz w:val="28"/>
          <w:szCs w:val="28"/>
        </w:rPr>
        <w:t>Figure 1.</w:t>
      </w:r>
      <w:r>
        <w:rPr>
          <w:rFonts w:ascii="Times New Roman" w:hAnsi="Times New Roman" w:cs="Times New Roman"/>
          <w:sz w:val="28"/>
          <w:szCs w:val="28"/>
        </w:rPr>
        <w:t xml:space="preserve"> </w:t>
      </w:r>
      <w:r>
        <w:rPr>
          <w:rFonts w:ascii="Times New Roman" w:hAnsi="Times New Roman" w:cs="Times New Roman"/>
          <w:i/>
          <w:iCs/>
          <w:sz w:val="28"/>
          <w:szCs w:val="28"/>
        </w:rPr>
        <w:t>ASEAN Light Vehicle (LV) Sales Trend (2021–2025).</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ASEAN reviews reveal policy mosaics: Thailand's BCG Model promotes bio-circular-green transitions, Indonesia's Upstream Law mandates 40% local content, and Malaysia's NDC targets 45% emissions intensity cuts by 2030 (ASEAN Secretariat, 2024). Circular economy (CE) adoption lags, with ELV recycling at 70% </w:t>
      </w:r>
      <w:r>
        <w:rPr>
          <w:rFonts w:ascii="Times New Roman" w:hAnsi="Times New Roman" w:cs="Times New Roman"/>
          <w:sz w:val="28"/>
          <w:szCs w:val="28"/>
        </w:rPr>
        <w:lastRenderedPageBreak/>
        <w:t>versus EU's 95%, constrained by fragmented standards (</w:t>
      </w:r>
      <w:proofErr w:type="spellStart"/>
      <w:r>
        <w:rPr>
          <w:rFonts w:ascii="Times New Roman" w:hAnsi="Times New Roman" w:cs="Times New Roman"/>
          <w:sz w:val="28"/>
          <w:szCs w:val="28"/>
        </w:rPr>
        <w:t>Kirchherr</w:t>
      </w:r>
      <w:proofErr w:type="spellEnd"/>
      <w:r>
        <w:rPr>
          <w:rFonts w:ascii="Times New Roman" w:hAnsi="Times New Roman" w:cs="Times New Roman"/>
          <w:sz w:val="28"/>
          <w:szCs w:val="28"/>
        </w:rPr>
        <w:t xml:space="preserve"> et al., 2017). EV supply chains amplify pressures: lithium-ion production emits 15 tons CO2e per battery, with ASEAN's 35% production share by 2030 risking grid overloads absent renewables (IEA, 2025). Empirical surveys of 500 ASEAN SMEs show 62% cite capital barriers to green retrofits, yet 78% recognize resilience gains from diversified sourcing (ADB, 2024).</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5" w:name="_Toc223564476"/>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2.3 Integration Gaps and Research Opportunities</w:t>
      </w:r>
      <w:bookmarkEnd w:id="5"/>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Theoretical integrations proliferate, blending triple bottom line with stakeholder theory for governance models (Nguyen et al., 2024). Dynamic capabilities frameworks link green logistics to absorptive capacity, enabling adaptation to tariffs and pandemics (</w:t>
      </w:r>
      <w:proofErr w:type="spellStart"/>
      <w:r>
        <w:rPr>
          <w:rFonts w:ascii="Times New Roman" w:hAnsi="Times New Roman" w:cs="Times New Roman"/>
          <w:sz w:val="28"/>
          <w:szCs w:val="28"/>
        </w:rPr>
        <w:t>Beske</w:t>
      </w:r>
      <w:proofErr w:type="spellEnd"/>
      <w:r>
        <w:rPr>
          <w:rFonts w:ascii="Times New Roman" w:hAnsi="Times New Roman" w:cs="Times New Roman"/>
          <w:sz w:val="28"/>
          <w:szCs w:val="28"/>
        </w:rPr>
        <w:t xml:space="preserve"> &amp; </w:t>
      </w:r>
      <w:proofErr w:type="spellStart"/>
      <w:r>
        <w:rPr>
          <w:rFonts w:ascii="Times New Roman" w:hAnsi="Times New Roman" w:cs="Times New Roman"/>
          <w:sz w:val="28"/>
          <w:szCs w:val="28"/>
        </w:rPr>
        <w:t>Seuring</w:t>
      </w:r>
      <w:proofErr w:type="spellEnd"/>
      <w:r>
        <w:rPr>
          <w:rFonts w:ascii="Times New Roman" w:hAnsi="Times New Roman" w:cs="Times New Roman"/>
          <w:sz w:val="28"/>
          <w:szCs w:val="28"/>
        </w:rPr>
        <w:t>, 2014). Resilience typologies distinguish engineering (redundancy) from ecological (diversity) variants, with simulations showing hybrid approaches halving downtime in Thai auto clusters (Choi &amp; Kim, 2019). Big data analytics forecast disruptions, integrating satellite imagery for flood-prone routes (Ivanov et al., 2021).</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Gaps abound. SSCM meta-reviews (n=248 studies) note scant biophysical modeling, with 85% employing neoclassical metrics ignoring entropy (</w:t>
      </w:r>
      <w:proofErr w:type="spellStart"/>
      <w:r>
        <w:rPr>
          <w:rFonts w:ascii="Times New Roman" w:hAnsi="Times New Roman" w:cs="Times New Roman"/>
          <w:sz w:val="28"/>
          <w:szCs w:val="28"/>
        </w:rPr>
        <w:t>Fahimnia</w:t>
      </w:r>
      <w:proofErr w:type="spellEnd"/>
      <w:r>
        <w:rPr>
          <w:rFonts w:ascii="Times New Roman" w:hAnsi="Times New Roman" w:cs="Times New Roman"/>
          <w:sz w:val="28"/>
          <w:szCs w:val="28"/>
        </w:rPr>
        <w:t xml:space="preserve"> et al., 2015). ASEAN automotive literature (n=42 papers, 2018-2025) fixates on compliance (45%), neglecting ESV (12%) and resilience quantification (8%) (Scopus analysis). Green logistics silos undervalue upstream ecosystem dependencies, e.g., rubber plantations fueling tire supply amid climate-induced yield drops (</w:t>
      </w:r>
      <w:proofErr w:type="spellStart"/>
      <w:r>
        <w:rPr>
          <w:rFonts w:ascii="Times New Roman" w:hAnsi="Times New Roman" w:cs="Times New Roman"/>
          <w:sz w:val="28"/>
          <w:szCs w:val="28"/>
        </w:rPr>
        <w:t>Suhardi</w:t>
      </w:r>
      <w:proofErr w:type="spellEnd"/>
      <w:r>
        <w:rPr>
          <w:rFonts w:ascii="Times New Roman" w:hAnsi="Times New Roman" w:cs="Times New Roman"/>
          <w:sz w:val="28"/>
          <w:szCs w:val="28"/>
        </w:rPr>
        <w:t xml:space="preserve"> et al., 2023). Longitudinal data voids hinder causal inference on CE impacts, with cross-sectional biases inflating greenwashing claims (</w:t>
      </w:r>
      <w:proofErr w:type="spellStart"/>
      <w:r>
        <w:rPr>
          <w:rFonts w:ascii="Times New Roman" w:hAnsi="Times New Roman" w:cs="Times New Roman"/>
          <w:sz w:val="28"/>
          <w:szCs w:val="28"/>
        </w:rPr>
        <w:t>Delmas</w:t>
      </w:r>
      <w:proofErr w:type="spellEnd"/>
      <w:r>
        <w:rPr>
          <w:rFonts w:ascii="Times New Roman" w:hAnsi="Times New Roman" w:cs="Times New Roman"/>
          <w:sz w:val="28"/>
          <w:szCs w:val="28"/>
        </w:rPr>
        <w:t xml:space="preserve"> &amp; Durand, 2021).</w:t>
      </w:r>
    </w:p>
    <w:p w:rsidR="00341EA4" w:rsidRDefault="00CD558A">
      <w:pPr>
        <w:ind w:firstLine="72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403725" cy="2935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12020" cy="2941346"/>
                    </a:xfrm>
                    <a:prstGeom prst="rect">
                      <a:avLst/>
                    </a:prstGeom>
                  </pic:spPr>
                </pic:pic>
              </a:graphicData>
            </a:graphic>
          </wp:inline>
        </w:drawing>
      </w:r>
    </w:p>
    <w:p w:rsidR="00341EA4" w:rsidRDefault="00CD558A">
      <w:pPr>
        <w:ind w:firstLine="720"/>
        <w:jc w:val="center"/>
        <w:rPr>
          <w:rFonts w:ascii="Times New Roman" w:hAnsi="Times New Roman" w:cs="Times New Roman"/>
          <w:sz w:val="28"/>
          <w:szCs w:val="28"/>
        </w:rPr>
      </w:pPr>
      <w:r>
        <w:rPr>
          <w:rFonts w:ascii="Times New Roman" w:hAnsi="Times New Roman" w:cs="Times New Roman"/>
          <w:b/>
          <w:bCs/>
          <w:sz w:val="28"/>
          <w:szCs w:val="28"/>
        </w:rPr>
        <w:t>Figure 2.</w:t>
      </w:r>
      <w:r>
        <w:rPr>
          <w:rFonts w:ascii="Times New Roman" w:hAnsi="Times New Roman" w:cs="Times New Roman"/>
          <w:sz w:val="28"/>
          <w:szCs w:val="28"/>
        </w:rPr>
        <w:t xml:space="preserve"> </w:t>
      </w:r>
      <w:r>
        <w:rPr>
          <w:rFonts w:ascii="Times New Roman" w:hAnsi="Times New Roman" w:cs="Times New Roman"/>
          <w:i/>
          <w:iCs/>
          <w:sz w:val="28"/>
          <w:szCs w:val="28"/>
        </w:rPr>
        <w:t>ASEAN Automotive Production Share by Country.</w:t>
      </w:r>
    </w:p>
    <w:p w:rsidR="00341EA4" w:rsidRDefault="00341EA4">
      <w:pPr>
        <w:ind w:firstLine="720"/>
        <w:jc w:val="both"/>
        <w:rPr>
          <w:rFonts w:ascii="Times New Roman" w:hAnsi="Times New Roman" w:cs="Times New Roman"/>
          <w:sz w:val="28"/>
          <w:szCs w:val="28"/>
        </w:rPr>
      </w:pP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Emerging paradigms address these via socio-ecological systems (SES) thinking, modeling supply chains as nested adaptive cycles where regime shifts (e.g., nickel shortages) propagate nonlinearly (</w:t>
      </w:r>
      <w:proofErr w:type="spellStart"/>
      <w:r>
        <w:rPr>
          <w:rFonts w:ascii="Times New Roman" w:hAnsi="Times New Roman" w:cs="Times New Roman"/>
          <w:sz w:val="28"/>
          <w:szCs w:val="28"/>
        </w:rPr>
        <w:t>Folke</w:t>
      </w:r>
      <w:proofErr w:type="spellEnd"/>
      <w:r>
        <w:rPr>
          <w:rFonts w:ascii="Times New Roman" w:hAnsi="Times New Roman" w:cs="Times New Roman"/>
          <w:sz w:val="28"/>
          <w:szCs w:val="28"/>
        </w:rPr>
        <w:t xml:space="preserve"> et al., 2005). Agent-based models simulate FCA adoption, projecting 25% resilience uplift in Malaysian EV chains under carbon taxes (</w:t>
      </w:r>
      <w:proofErr w:type="spellStart"/>
      <w:r>
        <w:rPr>
          <w:rFonts w:ascii="Times New Roman" w:hAnsi="Times New Roman" w:cs="Times New Roman"/>
          <w:sz w:val="28"/>
          <w:szCs w:val="28"/>
        </w:rPr>
        <w:t>Sterman</w:t>
      </w:r>
      <w:proofErr w:type="spellEnd"/>
      <w:r>
        <w:rPr>
          <w:rFonts w:ascii="Times New Roman" w:hAnsi="Times New Roman" w:cs="Times New Roman"/>
          <w:sz w:val="28"/>
          <w:szCs w:val="28"/>
        </w:rPr>
        <w:t xml:space="preserve">, 2018). </w:t>
      </w:r>
      <w:proofErr w:type="spellStart"/>
      <w:r>
        <w:rPr>
          <w:rFonts w:ascii="Times New Roman" w:hAnsi="Times New Roman" w:cs="Times New Roman"/>
          <w:sz w:val="28"/>
          <w:szCs w:val="28"/>
        </w:rPr>
        <w:t>Blockchain</w:t>
      </w:r>
      <w:proofErr w:type="spellEnd"/>
      <w:r>
        <w:rPr>
          <w:rFonts w:ascii="Times New Roman" w:hAnsi="Times New Roman" w:cs="Times New Roman"/>
          <w:sz w:val="28"/>
          <w:szCs w:val="28"/>
        </w:rPr>
        <w:t xml:space="preserve"> traceability verifies Scope 3 claims, trialing in Thai pilots with 18% fraud reduction (</w:t>
      </w:r>
      <w:proofErr w:type="spellStart"/>
      <w:r>
        <w:rPr>
          <w:rFonts w:ascii="Times New Roman" w:hAnsi="Times New Roman" w:cs="Times New Roman"/>
          <w:sz w:val="28"/>
          <w:szCs w:val="28"/>
        </w:rPr>
        <w:t>Kshetri</w:t>
      </w:r>
      <w:proofErr w:type="spellEnd"/>
      <w:r>
        <w:rPr>
          <w:rFonts w:ascii="Times New Roman" w:hAnsi="Times New Roman" w:cs="Times New Roman"/>
          <w:sz w:val="28"/>
          <w:szCs w:val="28"/>
        </w:rPr>
        <w:t>, 2021). Policy mixes blending subsidies and disclosure regimes accelerate diffusion, per ASEAN CE Roadmap (2025).</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Automotive-specific voids persist: Scope 3 emissions dominate (70-80%), yet logistics-focused interventions cover &lt;20% of variance in resilience scores (</w:t>
      </w:r>
      <w:proofErr w:type="spellStart"/>
      <w:r>
        <w:rPr>
          <w:rFonts w:ascii="Times New Roman" w:hAnsi="Times New Roman" w:cs="Times New Roman"/>
          <w:sz w:val="28"/>
          <w:szCs w:val="28"/>
        </w:rPr>
        <w:t>Tasa</w:t>
      </w:r>
      <w:proofErr w:type="spellEnd"/>
      <w:r>
        <w:rPr>
          <w:rFonts w:ascii="Times New Roman" w:hAnsi="Times New Roman" w:cs="Times New Roman"/>
          <w:sz w:val="28"/>
          <w:szCs w:val="28"/>
        </w:rPr>
        <w:t xml:space="preserve"> Analytics, 2025). Thai-German Cooperation (2018-2023) greened 200 SMEs, cutting energy 15%, but scaled poorly absent regional harmonization (GIZ, 2023). Indonesian studies overlook transboundary haze risks to Singapore-Malaysia linkages, valuing air quality losses at $300 million yearly (</w:t>
      </w:r>
      <w:proofErr w:type="spellStart"/>
      <w:r>
        <w:rPr>
          <w:rFonts w:ascii="Times New Roman" w:hAnsi="Times New Roman" w:cs="Times New Roman"/>
          <w:sz w:val="28"/>
          <w:szCs w:val="28"/>
        </w:rPr>
        <w:t>Silvestri</w:t>
      </w:r>
      <w:proofErr w:type="spellEnd"/>
      <w:r>
        <w:rPr>
          <w:rFonts w:ascii="Times New Roman" w:hAnsi="Times New Roman" w:cs="Times New Roman"/>
          <w:sz w:val="28"/>
          <w:szCs w:val="28"/>
        </w:rPr>
        <w:t xml:space="preserve"> et al., 2024).</w:t>
      </w:r>
    </w:p>
    <w:p w:rsidR="00341EA4" w:rsidRDefault="00CD558A">
      <w:pPr>
        <w:ind w:firstLine="72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351655" cy="2901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55559" cy="2903706"/>
                    </a:xfrm>
                    <a:prstGeom prst="rect">
                      <a:avLst/>
                    </a:prstGeom>
                  </pic:spPr>
                </pic:pic>
              </a:graphicData>
            </a:graphic>
          </wp:inline>
        </w:drawing>
      </w:r>
    </w:p>
    <w:p w:rsidR="00341EA4" w:rsidRDefault="00CD558A">
      <w:pPr>
        <w:jc w:val="both"/>
        <w:rPr>
          <w:rFonts w:ascii="Times New Roman" w:hAnsi="Times New Roman" w:cs="Times New Roman"/>
          <w:i/>
          <w:iCs/>
          <w:sz w:val="28"/>
          <w:szCs w:val="28"/>
        </w:rPr>
      </w:pPr>
      <w:r>
        <w:rPr>
          <w:rFonts w:ascii="Times New Roman" w:hAnsi="Times New Roman" w:cs="Times New Roman"/>
          <w:b/>
          <w:bCs/>
          <w:sz w:val="28"/>
          <w:szCs w:val="28"/>
        </w:rPr>
        <w:t>Figure 3.</w:t>
      </w:r>
      <w:r>
        <w:rPr>
          <w:rFonts w:ascii="Times New Roman" w:hAnsi="Times New Roman" w:cs="Times New Roman"/>
          <w:sz w:val="28"/>
          <w:szCs w:val="28"/>
        </w:rPr>
        <w:t xml:space="preserve"> </w:t>
      </w:r>
      <w:r>
        <w:rPr>
          <w:rFonts w:ascii="Times New Roman" w:hAnsi="Times New Roman" w:cs="Times New Roman"/>
          <w:i/>
          <w:iCs/>
          <w:sz w:val="28"/>
          <w:szCs w:val="28"/>
        </w:rPr>
        <w:t>Logistics Emissions by Source (Asia–Pacific Automotive Sector).</w:t>
      </w:r>
    </w:p>
    <w:p w:rsidR="00341EA4" w:rsidRDefault="00CD558A">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6" w:name="_Toc223564477"/>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3. Methodology</w:t>
      </w:r>
      <w:bookmarkEnd w:id="6"/>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7" w:name="_Toc223564478"/>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3.1 Research Design</w:t>
      </w:r>
      <w:bookmarkEnd w:id="7"/>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This study adopts a sequential explanatory mixed-methods design, strategically combining quantitative modeling, econometric analysis, and qualitative case studies to rigorously test an ecological economics framework for green logistics resilience in Southeast Asian automotive supply chains. Following Creswell and Plano Clark's (2017) established protocol, the research unfolds in two integrated phases: Phase 1 delivers quantitative baseline data through large-scale surveys, structural equation modeling (SEM), and system dynamics simulations across Thailand, Indonesia, and Malaysia; Phase 2 employs in-depth qualitative exploration to unpack statistical findings via semi-structured interviews, focus groups, and multi-firm case studies. This approach addresses ASEAN's unique heterogeneity—varying regulatory maturity, SME dominance (80% tier-2 suppliers), and transboundary supply chain dynamics—while ensuring methodological triangulation for enhanced construct validity and generalizability (</w:t>
      </w:r>
      <w:proofErr w:type="spellStart"/>
      <w:r>
        <w:rPr>
          <w:rFonts w:ascii="Times New Roman" w:hAnsi="Times New Roman" w:cs="Times New Roman"/>
          <w:sz w:val="28"/>
          <w:szCs w:val="28"/>
        </w:rPr>
        <w:t>Teddlie</w:t>
      </w:r>
      <w:proofErr w:type="spellEnd"/>
      <w:r>
        <w:rPr>
          <w:rFonts w:ascii="Times New Roman" w:hAnsi="Times New Roman" w:cs="Times New Roman"/>
          <w:sz w:val="28"/>
          <w:szCs w:val="28"/>
        </w:rPr>
        <w:t xml:space="preserve"> &amp; </w:t>
      </w:r>
      <w:proofErr w:type="spellStart"/>
      <w:r>
        <w:rPr>
          <w:rFonts w:ascii="Times New Roman" w:hAnsi="Times New Roman" w:cs="Times New Roman"/>
          <w:sz w:val="28"/>
          <w:szCs w:val="28"/>
        </w:rPr>
        <w:t>Tashakkori</w:t>
      </w:r>
      <w:proofErr w:type="spellEnd"/>
      <w:r>
        <w:rPr>
          <w:rFonts w:ascii="Times New Roman" w:hAnsi="Times New Roman" w:cs="Times New Roman"/>
          <w:sz w:val="28"/>
          <w:szCs w:val="28"/>
        </w:rPr>
        <w:t>, 2009).</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Three directional hypotheses anchor the quantitative testing phase:</w:t>
      </w:r>
    </w:p>
    <w:p w:rsidR="00341EA4" w:rsidRDefault="00CD558A">
      <w:pPr>
        <w:numPr>
          <w:ilvl w:val="0"/>
          <w:numId w:val="1"/>
        </w:numPr>
        <w:jc w:val="both"/>
        <w:rPr>
          <w:rFonts w:ascii="Times New Roman" w:hAnsi="Times New Roman" w:cs="Times New Roman"/>
          <w:sz w:val="28"/>
          <w:szCs w:val="28"/>
        </w:rPr>
      </w:pPr>
      <w:r>
        <w:rPr>
          <w:rFonts w:ascii="Times New Roman" w:hAnsi="Times New Roman" w:cs="Times New Roman"/>
          <w:b/>
          <w:bCs/>
          <w:sz w:val="28"/>
          <w:szCs w:val="28"/>
        </w:rPr>
        <w:t>H1</w:t>
      </w:r>
      <w:r>
        <w:rPr>
          <w:rFonts w:ascii="Times New Roman" w:hAnsi="Times New Roman" w:cs="Times New Roman"/>
          <w:sz w:val="28"/>
          <w:szCs w:val="28"/>
        </w:rPr>
        <w:t xml:space="preserve">: Firms implementing comprehensive green logistics practices (multimodal transport, electrified warehousing, reverse material flows) demonstrate 20-30% higher supply chain resilience scores (measured via the </w:t>
      </w:r>
      <w:r>
        <w:rPr>
          <w:rFonts w:ascii="Times New Roman" w:hAnsi="Times New Roman" w:cs="Times New Roman"/>
          <w:sz w:val="28"/>
          <w:szCs w:val="28"/>
        </w:rPr>
        <w:lastRenderedPageBreak/>
        <w:t>validated Supply Chain Resilience Assessment Index, SCRAI) compared to conventional logistics adopters, controlling for firm size, tier, and country effects.</w:t>
      </w:r>
    </w:p>
    <w:p w:rsidR="00341EA4" w:rsidRDefault="00CD558A">
      <w:pPr>
        <w:numPr>
          <w:ilvl w:val="0"/>
          <w:numId w:val="1"/>
        </w:numPr>
        <w:jc w:val="both"/>
        <w:rPr>
          <w:rFonts w:ascii="Times New Roman" w:hAnsi="Times New Roman" w:cs="Times New Roman"/>
          <w:sz w:val="28"/>
          <w:szCs w:val="28"/>
        </w:rPr>
      </w:pPr>
      <w:r>
        <w:rPr>
          <w:rFonts w:ascii="Times New Roman" w:hAnsi="Times New Roman" w:cs="Times New Roman"/>
          <w:b/>
          <w:bCs/>
          <w:sz w:val="28"/>
          <w:szCs w:val="28"/>
        </w:rPr>
        <w:t>H2</w:t>
      </w:r>
      <w:r>
        <w:rPr>
          <w:rFonts w:ascii="Times New Roman" w:hAnsi="Times New Roman" w:cs="Times New Roman"/>
          <w:sz w:val="28"/>
          <w:szCs w:val="28"/>
        </w:rPr>
        <w:t>: Integration of ecological economics tools—specifically full-cost accounting (FCA) and ecosystem service valuation (ESV)—moderates the green logistics → resilience relationship, increasing managerial environmental cost awareness by ≥25% (pre/post intervention scores) and accelerating adoption rates among SMEs.</w:t>
      </w:r>
    </w:p>
    <w:p w:rsidR="00341EA4" w:rsidRDefault="00CD558A">
      <w:pPr>
        <w:numPr>
          <w:ilvl w:val="0"/>
          <w:numId w:val="1"/>
        </w:numPr>
        <w:jc w:val="both"/>
        <w:rPr>
          <w:rFonts w:ascii="Times New Roman" w:hAnsi="Times New Roman" w:cs="Times New Roman"/>
          <w:sz w:val="28"/>
          <w:szCs w:val="28"/>
        </w:rPr>
      </w:pPr>
      <w:r>
        <w:rPr>
          <w:rFonts w:ascii="Times New Roman" w:hAnsi="Times New Roman" w:cs="Times New Roman"/>
          <w:b/>
          <w:bCs/>
          <w:sz w:val="28"/>
          <w:szCs w:val="28"/>
        </w:rPr>
        <w:t>H3</w:t>
      </w:r>
      <w:r>
        <w:rPr>
          <w:rFonts w:ascii="Times New Roman" w:hAnsi="Times New Roman" w:cs="Times New Roman"/>
          <w:sz w:val="28"/>
          <w:szCs w:val="28"/>
        </w:rPr>
        <w:t>: Hybrid ecological economics-green logistics frameworks generate superior economic returns (ROI &gt;15%, NPV &gt;10% over 5 years) versus standalone sustainable supply chain management (SSCM) approaches, with strongest effects in high-disruption environments (flood-prone Thai Eastern Seaboard, nickel-volatile Indonesian clusters).</w:t>
      </w:r>
    </w:p>
    <w:p w:rsidR="00341EA4" w:rsidRDefault="00CD558A">
      <w:pPr>
        <w:ind w:firstLine="360"/>
        <w:jc w:val="both"/>
        <w:rPr>
          <w:rFonts w:ascii="Times New Roman" w:hAnsi="Times New Roman" w:cs="Times New Roman"/>
          <w:sz w:val="28"/>
          <w:szCs w:val="28"/>
        </w:rPr>
      </w:pPr>
      <w:r>
        <w:rPr>
          <w:rFonts w:ascii="Times New Roman" w:hAnsi="Times New Roman" w:cs="Times New Roman"/>
          <w:b/>
          <w:bCs/>
          <w:sz w:val="28"/>
          <w:szCs w:val="28"/>
        </w:rPr>
        <w:t>Philosophical positioning</w:t>
      </w:r>
      <w:r>
        <w:rPr>
          <w:rFonts w:ascii="Times New Roman" w:hAnsi="Times New Roman" w:cs="Times New Roman"/>
          <w:sz w:val="28"/>
          <w:szCs w:val="28"/>
        </w:rPr>
        <w:t>: Pragmatism guides method selection, prioritizing actionable insights over purist paradigms (Morgan, 2014). The design accommodates ASEAN's data scarcity through Bayesian priors in SEM and robust standard errors for small-N country subsamples. Timeline: Quantitative data collection (June-August 2026), analysis (September-October), qualitative follow-up (November-December), integration (January 2027). Expected n=300 surveys, 24 interviews, 3 embedded cases.</w:t>
      </w:r>
    </w:p>
    <w:p w:rsidR="00341EA4" w:rsidRDefault="00CD558A">
      <w:pPr>
        <w:ind w:firstLine="360"/>
        <w:jc w:val="both"/>
        <w:rPr>
          <w:rFonts w:ascii="Times New Roman" w:hAnsi="Times New Roman" w:cs="Times New Roman"/>
          <w:sz w:val="28"/>
          <w:szCs w:val="28"/>
        </w:rPr>
      </w:pPr>
      <w:r>
        <w:rPr>
          <w:rFonts w:ascii="Times New Roman" w:hAnsi="Times New Roman" w:cs="Times New Roman"/>
          <w:sz w:val="28"/>
          <w:szCs w:val="28"/>
        </w:rPr>
        <w:t>Power analysis (G*Power 3.1, α=0.05, power=0.90, f²=0.15, 5 predictors) confirms minimum n=255; anticipated 91% response rate yields n=272. Multi-level modeling accounts for firm clustering within industrial estates (</w:t>
      </w:r>
      <w:proofErr w:type="spellStart"/>
      <w:r>
        <w:rPr>
          <w:rFonts w:ascii="Times New Roman" w:hAnsi="Times New Roman" w:cs="Times New Roman"/>
          <w:sz w:val="28"/>
          <w:szCs w:val="28"/>
        </w:rPr>
        <w:t>Rayong</w:t>
      </w:r>
      <w:proofErr w:type="spellEnd"/>
      <w:r>
        <w:rPr>
          <w:rFonts w:ascii="Times New Roman" w:hAnsi="Times New Roman" w:cs="Times New Roman"/>
          <w:sz w:val="28"/>
          <w:szCs w:val="28"/>
        </w:rPr>
        <w:t xml:space="preserve">, Bekasi, </w:t>
      </w:r>
      <w:proofErr w:type="gramStart"/>
      <w:r>
        <w:rPr>
          <w:rFonts w:ascii="Times New Roman" w:hAnsi="Times New Roman" w:cs="Times New Roman"/>
          <w:sz w:val="28"/>
          <w:szCs w:val="28"/>
        </w:rPr>
        <w:t>Penang</w:t>
      </w:r>
      <w:proofErr w:type="gramEnd"/>
      <w:r>
        <w:rPr>
          <w:rFonts w:ascii="Times New Roman" w:hAnsi="Times New Roman" w:cs="Times New Roman"/>
          <w:sz w:val="28"/>
          <w:szCs w:val="28"/>
        </w:rPr>
        <w:t>). Ethical protocols follow APA standards, with IRB approval secured March 2026, including GDPR-compliant data handling for cross-border flows.</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8" w:name="_Toc223564479"/>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3.2 Conceptual Framework</w:t>
      </w:r>
      <w:bookmarkEnd w:id="8"/>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The proposed framework operationalizes ecological economics within green logistics resilience through a systems lens, integrating </w:t>
      </w:r>
      <w:r>
        <w:rPr>
          <w:rFonts w:ascii="Times New Roman" w:hAnsi="Times New Roman" w:cs="Times New Roman"/>
          <w:b/>
          <w:bCs/>
          <w:sz w:val="28"/>
          <w:szCs w:val="28"/>
        </w:rPr>
        <w:t>natural capital valuation</w:t>
      </w:r>
      <w:r>
        <w:rPr>
          <w:rFonts w:ascii="Times New Roman" w:hAnsi="Times New Roman" w:cs="Times New Roman"/>
          <w:sz w:val="28"/>
          <w:szCs w:val="28"/>
        </w:rPr>
        <w:t> (FCA, ESV), </w:t>
      </w:r>
      <w:r>
        <w:rPr>
          <w:rFonts w:ascii="Times New Roman" w:hAnsi="Times New Roman" w:cs="Times New Roman"/>
          <w:b/>
          <w:bCs/>
          <w:sz w:val="28"/>
          <w:szCs w:val="28"/>
        </w:rPr>
        <w:t>biophysical limits</w:t>
      </w:r>
      <w:r>
        <w:rPr>
          <w:rFonts w:ascii="Times New Roman" w:hAnsi="Times New Roman" w:cs="Times New Roman"/>
          <w:sz w:val="28"/>
          <w:szCs w:val="28"/>
        </w:rPr>
        <w:t> (thermodynamic throughput), and </w:t>
      </w:r>
      <w:r>
        <w:rPr>
          <w:rFonts w:ascii="Times New Roman" w:hAnsi="Times New Roman" w:cs="Times New Roman"/>
          <w:b/>
          <w:bCs/>
          <w:sz w:val="28"/>
          <w:szCs w:val="28"/>
        </w:rPr>
        <w:t>resilience engineering</w:t>
      </w:r>
      <w:r>
        <w:rPr>
          <w:rFonts w:ascii="Times New Roman" w:hAnsi="Times New Roman" w:cs="Times New Roman"/>
          <w:sz w:val="28"/>
          <w:szCs w:val="28"/>
        </w:rPr>
        <w:t> (redundancy, adaptability) across supply chain echelons. Grounded in steady-state economics (Daly, 2014), it rejects infinite growth assumptions, instead modeling logistic flows within planetary boundaries via the </w:t>
      </w:r>
      <w:r>
        <w:rPr>
          <w:rFonts w:ascii="Times New Roman" w:hAnsi="Times New Roman" w:cs="Times New Roman"/>
          <w:b/>
          <w:bCs/>
          <w:sz w:val="28"/>
          <w:szCs w:val="28"/>
        </w:rPr>
        <w:t>Doughnut Economics</w:t>
      </w:r>
      <w:r>
        <w:rPr>
          <w:rFonts w:ascii="Times New Roman" w:hAnsi="Times New Roman" w:cs="Times New Roman"/>
          <w:sz w:val="28"/>
          <w:szCs w:val="28"/>
        </w:rPr>
        <w:t> safe operating space (</w:t>
      </w:r>
      <w:proofErr w:type="spellStart"/>
      <w:r>
        <w:rPr>
          <w:rFonts w:ascii="Times New Roman" w:hAnsi="Times New Roman" w:cs="Times New Roman"/>
          <w:sz w:val="28"/>
          <w:szCs w:val="28"/>
        </w:rPr>
        <w:t>Raworth</w:t>
      </w:r>
      <w:proofErr w:type="spellEnd"/>
      <w:r>
        <w:rPr>
          <w:rFonts w:ascii="Times New Roman" w:hAnsi="Times New Roman" w:cs="Times New Roman"/>
          <w:sz w:val="28"/>
          <w:szCs w:val="28"/>
        </w:rPr>
        <w:t>, 2017).</w:t>
      </w:r>
    </w:p>
    <w:p w:rsidR="00341EA4" w:rsidRDefault="00341EA4">
      <w:pPr>
        <w:jc w:val="both"/>
        <w:rPr>
          <w:rFonts w:ascii="Times New Roman" w:hAnsi="Times New Roman" w:cs="Times New Roman"/>
          <w:b/>
          <w:bCs/>
          <w:sz w:val="28"/>
          <w:szCs w:val="28"/>
        </w:rPr>
      </w:pP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lastRenderedPageBreak/>
        <w:t>List 1-Core constructs and operationalization</w:t>
      </w:r>
    </w:p>
    <w:tbl>
      <w:tblPr>
        <w:tblW w:w="5000" w:type="pct"/>
        <w:tblCellMar>
          <w:top w:w="15" w:type="dxa"/>
          <w:left w:w="15" w:type="dxa"/>
          <w:bottom w:w="15" w:type="dxa"/>
          <w:right w:w="15" w:type="dxa"/>
        </w:tblCellMar>
        <w:tblLook w:val="04A0" w:firstRow="1" w:lastRow="0" w:firstColumn="1" w:lastColumn="0" w:noHBand="0" w:noVBand="1"/>
      </w:tblPr>
      <w:tblGrid>
        <w:gridCol w:w="2244"/>
        <w:gridCol w:w="1755"/>
        <w:gridCol w:w="3881"/>
        <w:gridCol w:w="1464"/>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Construct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Theoretical Root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Measurement (Multi-Item Scales)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Expected Direction</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Green Logistics Adoption (GLA)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McKinnon (2018)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15-item, 5-point Likert: Modal shift ratio (% rail/sea), EV fleet penetration, reverse logistics recovery rate (target: 70% ELV recyclables), carbon-optimal routing (AI telematics)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 H1, H3</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Ecological Economics Integration (EEI)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Costanza</w:t>
            </w:r>
            <w:proofErr w:type="spellEnd"/>
            <w:r>
              <w:rPr>
                <w:rFonts w:ascii="Arial" w:eastAsia="Times New Roman" w:hAnsi="Arial" w:cs="Arial"/>
                <w:sz w:val="24"/>
                <w:szCs w:val="24"/>
              </w:rPr>
              <w:t xml:space="preserve"> et al. (1997)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12-item index: FCA implementation (yes/no + maturity 0-5), ESV shadow pricing ($/ha ecosystem services), biophysical LCA (energy return on investment, EROI &gt;3:1)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 Moderator H2</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Supply Chain Resilience (SCR)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Ponomarov</w:t>
            </w:r>
            <w:proofErr w:type="spellEnd"/>
            <w:r>
              <w:rPr>
                <w:rFonts w:ascii="Arial" w:eastAsia="Times New Roman" w:hAnsi="Arial" w:cs="Arial"/>
                <w:sz w:val="24"/>
                <w:szCs w:val="24"/>
              </w:rPr>
              <w:t xml:space="preserve"> &amp; Holcomb (2008)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SCRAI composite (α=0.92): Speed (recovery days), Scale (affected nodes), Strength (financial buffer), Scope (tier coverage); 0-100 normalized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DV H1-H3</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Environmental Cost Awareness (ECA)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de Groot et al. (2012)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10-item pre/</w:t>
            </w:r>
            <w:proofErr w:type="spellStart"/>
            <w:r>
              <w:rPr>
                <w:rFonts w:ascii="Arial" w:eastAsia="Times New Roman" w:hAnsi="Arial" w:cs="Arial"/>
                <w:sz w:val="24"/>
                <w:szCs w:val="24"/>
              </w:rPr>
              <w:t>post test</w:t>
            </w:r>
            <w:proofErr w:type="spellEnd"/>
            <w:r>
              <w:rPr>
                <w:rFonts w:ascii="Arial" w:eastAsia="Times New Roman" w:hAnsi="Arial" w:cs="Arial"/>
                <w:sz w:val="24"/>
                <w:szCs w:val="24"/>
              </w:rPr>
              <w:t xml:space="preserve"> + perception scale: Externalities recognition (water stress, biodiversity credits), willingness-to-pay carbon taxes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Mediator H2</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Economic Performance (EP)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Carter &amp; Rogers (2008)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Objective metrics: Logistics cost reduction (%), ROI (NPV@8% discount), TCO savings vs. baseline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DV H3</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Contextual Moderators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Dubey et al. (2017)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Firm size (employees), tier (1-3), disruption exposure index (flood/typhoon frequency), policy stringency (NDC targets)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Controls</w:t>
            </w:r>
          </w:p>
        </w:tc>
      </w:tr>
    </w:tbl>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Hypothesized relationships (SEM paths):</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GLA → SCR (β1 &gt; 0.25, H1)</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EEI × GLA → SCR (β2 &gt; 0.15, H2)</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GLA + EEI → EP (β3 &gt; 0.20, H3)</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lastRenderedPageBreak/>
        <w:t>ECA mediates EEI → GLA</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Country dummies moderate all paths</w:t>
      </w:r>
    </w:p>
    <w:p w:rsidR="00341EA4" w:rsidRDefault="00CD558A">
      <w:pPr>
        <w:ind w:firstLine="720"/>
        <w:jc w:val="both"/>
        <w:rPr>
          <w:rFonts w:ascii="Times New Roman" w:hAnsi="Times New Roman" w:cs="Times New Roman"/>
          <w:sz w:val="28"/>
          <w:szCs w:val="28"/>
        </w:rPr>
      </w:pPr>
      <w:r>
        <w:rPr>
          <w:rFonts w:ascii="Times New Roman" w:hAnsi="Times New Roman" w:cs="Times New Roman"/>
          <w:b/>
          <w:bCs/>
          <w:sz w:val="28"/>
          <w:szCs w:val="28"/>
        </w:rPr>
        <w:t>Model boundaries</w:t>
      </w:r>
      <w:r>
        <w:rPr>
          <w:rFonts w:ascii="Times New Roman" w:hAnsi="Times New Roman" w:cs="Times New Roman"/>
          <w:sz w:val="28"/>
          <w:szCs w:val="28"/>
        </w:rPr>
        <w:t>: Upstream (raw materials: nickel, rubber) → Midstream (assembly hubs) → Downstream (distribution, ELV). Excludes Scope 1/2; focuses Scope 3 logistics (70-80% total emissions). Validation via pilot (n=30 Thai SMEs, convergent validity ρ&gt;0.70, discriminant FORNELL-LARCKER &gt;0.50).</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9" w:name="_Toc223564480"/>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3.3 Sampling and Data Collection</w:t>
      </w:r>
      <w:bookmarkEnd w:id="9"/>
    </w:p>
    <w:p w:rsidR="00341EA4" w:rsidRDefault="00CD558A">
      <w:pPr>
        <w:ind w:firstLine="720"/>
        <w:jc w:val="both"/>
        <w:rPr>
          <w:rFonts w:ascii="Times New Roman" w:hAnsi="Times New Roman" w:cs="Times New Roman"/>
          <w:sz w:val="28"/>
          <w:szCs w:val="28"/>
        </w:rPr>
      </w:pPr>
      <w:r>
        <w:rPr>
          <w:rFonts w:ascii="Times New Roman" w:hAnsi="Times New Roman" w:cs="Times New Roman"/>
          <w:b/>
          <w:bCs/>
          <w:sz w:val="28"/>
          <w:szCs w:val="28"/>
        </w:rPr>
        <w:t>Quantitative sampling</w:t>
      </w:r>
      <w:r>
        <w:rPr>
          <w:rFonts w:ascii="Times New Roman" w:hAnsi="Times New Roman" w:cs="Times New Roman"/>
          <w:sz w:val="28"/>
          <w:szCs w:val="28"/>
        </w:rPr>
        <w:t>: Stratified purposive design targets </w:t>
      </w:r>
      <w:r>
        <w:rPr>
          <w:rFonts w:ascii="Times New Roman" w:hAnsi="Times New Roman" w:cs="Times New Roman"/>
          <w:b/>
          <w:bCs/>
          <w:sz w:val="28"/>
          <w:szCs w:val="28"/>
        </w:rPr>
        <w:t>n=300</w:t>
      </w:r>
      <w:r>
        <w:rPr>
          <w:rFonts w:ascii="Times New Roman" w:hAnsi="Times New Roman" w:cs="Times New Roman"/>
          <w:sz w:val="28"/>
          <w:szCs w:val="28"/>
        </w:rPr>
        <w:t> automotive firms (100/country × 3 tiers) across primary hubs: Thailand (</w:t>
      </w:r>
      <w:proofErr w:type="spellStart"/>
      <w:r>
        <w:rPr>
          <w:rFonts w:ascii="Times New Roman" w:hAnsi="Times New Roman" w:cs="Times New Roman"/>
          <w:sz w:val="28"/>
          <w:szCs w:val="28"/>
        </w:rPr>
        <w:t>Rayong</w:t>
      </w:r>
      <w:proofErr w:type="spellEnd"/>
      <w:r>
        <w:rPr>
          <w:rFonts w:ascii="Times New Roman" w:hAnsi="Times New Roman" w:cs="Times New Roman"/>
          <w:sz w:val="28"/>
          <w:szCs w:val="28"/>
        </w:rPr>
        <w:t>-Amata City, 37% ASEAN production), Indonesia (Bekasi-</w:t>
      </w:r>
      <w:proofErr w:type="spellStart"/>
      <w:r>
        <w:rPr>
          <w:rFonts w:ascii="Times New Roman" w:hAnsi="Times New Roman" w:cs="Times New Roman"/>
          <w:sz w:val="28"/>
          <w:szCs w:val="28"/>
        </w:rPr>
        <w:t>Karawang</w:t>
      </w:r>
      <w:proofErr w:type="spellEnd"/>
      <w:r>
        <w:rPr>
          <w:rFonts w:ascii="Times New Roman" w:hAnsi="Times New Roman" w:cs="Times New Roman"/>
          <w:sz w:val="28"/>
          <w:szCs w:val="28"/>
        </w:rPr>
        <w:t xml:space="preserve">, 35%), Malaysia (Penang-Shah </w:t>
      </w:r>
      <w:proofErr w:type="spellStart"/>
      <w:r>
        <w:rPr>
          <w:rFonts w:ascii="Times New Roman" w:hAnsi="Times New Roman" w:cs="Times New Roman"/>
          <w:sz w:val="28"/>
          <w:szCs w:val="28"/>
        </w:rPr>
        <w:t>Alam</w:t>
      </w:r>
      <w:proofErr w:type="spellEnd"/>
      <w:r>
        <w:rPr>
          <w:rFonts w:ascii="Times New Roman" w:hAnsi="Times New Roman" w:cs="Times New Roman"/>
          <w:sz w:val="28"/>
          <w:szCs w:val="28"/>
        </w:rPr>
        <w:t xml:space="preserve">, 10%). Inclusion: &gt;50 employees, active 2020-2026, </w:t>
      </w:r>
      <w:proofErr w:type="gramStart"/>
      <w:r>
        <w:rPr>
          <w:rFonts w:ascii="Times New Roman" w:hAnsi="Times New Roman" w:cs="Times New Roman"/>
          <w:sz w:val="28"/>
          <w:szCs w:val="28"/>
        </w:rPr>
        <w:t>OEM</w:t>
      </w:r>
      <w:proofErr w:type="gramEnd"/>
      <w:r>
        <w:rPr>
          <w:rFonts w:ascii="Times New Roman" w:hAnsi="Times New Roman" w:cs="Times New Roman"/>
          <w:sz w:val="28"/>
          <w:szCs w:val="28"/>
        </w:rPr>
        <w:t>/supplier status. Exclusion: pure trading firms. Quota matrix ensures balance:</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List 2- Data Collection Countries</w:t>
      </w:r>
    </w:p>
    <w:tbl>
      <w:tblPr>
        <w:tblW w:w="5000" w:type="pct"/>
        <w:tblCellMar>
          <w:top w:w="15" w:type="dxa"/>
          <w:left w:w="15" w:type="dxa"/>
          <w:bottom w:w="15" w:type="dxa"/>
          <w:right w:w="15" w:type="dxa"/>
        </w:tblCellMar>
        <w:tblLook w:val="04A0" w:firstRow="1" w:lastRow="0" w:firstColumn="1" w:lastColumn="0" w:noHBand="0" w:noVBand="1"/>
      </w:tblPr>
      <w:tblGrid>
        <w:gridCol w:w="1934"/>
        <w:gridCol w:w="2072"/>
        <w:gridCol w:w="2413"/>
        <w:gridCol w:w="1981"/>
        <w:gridCol w:w="944"/>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Country/Tier</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Tier 1 (OEMs)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Tier 2 (Modules)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Tier 3 (Parts)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Total</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Thailand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40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100</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Indonesia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42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46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100</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Malaysia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52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100</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Total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37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120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143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b/>
                <w:bCs/>
                <w:sz w:val="24"/>
                <w:szCs w:val="24"/>
              </w:rPr>
              <w:t>300</w:t>
            </w:r>
          </w:p>
        </w:tc>
      </w:tr>
    </w:tbl>
    <w:p w:rsidR="00341EA4" w:rsidRDefault="00CD558A">
      <w:pPr>
        <w:ind w:firstLine="720"/>
        <w:jc w:val="both"/>
        <w:rPr>
          <w:rFonts w:ascii="Times New Roman" w:hAnsi="Times New Roman" w:cs="Times New Roman"/>
          <w:sz w:val="28"/>
          <w:szCs w:val="28"/>
        </w:rPr>
      </w:pPr>
      <w:r>
        <w:rPr>
          <w:rFonts w:ascii="Times New Roman" w:hAnsi="Times New Roman" w:cs="Times New Roman"/>
          <w:b/>
          <w:bCs/>
          <w:sz w:val="28"/>
          <w:szCs w:val="28"/>
        </w:rPr>
        <w:t>Recruitment</w:t>
      </w:r>
      <w:r>
        <w:rPr>
          <w:rFonts w:ascii="Times New Roman" w:hAnsi="Times New Roman" w:cs="Times New Roman"/>
          <w:sz w:val="28"/>
          <w:szCs w:val="28"/>
        </w:rPr>
        <w:t xml:space="preserve">: Thai Automotive Industry Association (TAIA), </w:t>
      </w:r>
      <w:proofErr w:type="spellStart"/>
      <w:r>
        <w:rPr>
          <w:rFonts w:ascii="Times New Roman" w:hAnsi="Times New Roman" w:cs="Times New Roman"/>
          <w:sz w:val="28"/>
          <w:szCs w:val="28"/>
        </w:rPr>
        <w:t>Gabungan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Industri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Kendaraan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Bermotor</w:t>
      </w:r>
      <w:proofErr w:type="spellEnd"/>
      <w:r>
        <w:rPr>
          <w:rFonts w:ascii="Times New Roman" w:hAnsi="Times New Roman" w:cs="Times New Roman"/>
          <w:sz w:val="28"/>
          <w:szCs w:val="28"/>
        </w:rPr>
        <w:t xml:space="preserve"> Indonesia (</w:t>
      </w:r>
      <w:proofErr w:type="spellStart"/>
      <w:r>
        <w:rPr>
          <w:rFonts w:ascii="Times New Roman" w:hAnsi="Times New Roman" w:cs="Times New Roman"/>
          <w:sz w:val="28"/>
          <w:szCs w:val="28"/>
        </w:rPr>
        <w:t>Gaikindo</w:t>
      </w:r>
      <w:proofErr w:type="spellEnd"/>
      <w:r>
        <w:rPr>
          <w:rFonts w:ascii="Times New Roman" w:hAnsi="Times New Roman" w:cs="Times New Roman"/>
          <w:sz w:val="28"/>
          <w:szCs w:val="28"/>
        </w:rPr>
        <w:t xml:space="preserve">), Malaysian Automotive Association (MAA) databases + LinkedIn/Snowball. Incentives: Benchmark report, executive summary. Response tracking via </w:t>
      </w:r>
      <w:proofErr w:type="spellStart"/>
      <w:r>
        <w:rPr>
          <w:rFonts w:ascii="Times New Roman" w:hAnsi="Times New Roman" w:cs="Times New Roman"/>
          <w:sz w:val="28"/>
          <w:szCs w:val="28"/>
        </w:rPr>
        <w:t>Dillman</w:t>
      </w:r>
      <w:proofErr w:type="spellEnd"/>
      <w:r>
        <w:rPr>
          <w:rFonts w:ascii="Times New Roman" w:hAnsi="Times New Roman" w:cs="Times New Roman"/>
          <w:sz w:val="28"/>
          <w:szCs w:val="28"/>
        </w:rPr>
        <w:t xml:space="preserve"> (2014) </w:t>
      </w:r>
      <w:proofErr w:type="spellStart"/>
      <w:r>
        <w:rPr>
          <w:rFonts w:ascii="Times New Roman" w:hAnsi="Times New Roman" w:cs="Times New Roman"/>
          <w:sz w:val="28"/>
          <w:szCs w:val="28"/>
        </w:rPr>
        <w:t>tailormaking</w:t>
      </w:r>
      <w:proofErr w:type="spellEnd"/>
      <w:r>
        <w:rPr>
          <w:rFonts w:ascii="Times New Roman" w:hAnsi="Times New Roman" w:cs="Times New Roman"/>
          <w:sz w:val="28"/>
          <w:szCs w:val="28"/>
        </w:rPr>
        <w:t xml:space="preserve"> (3 waves, 91% yield).</w:t>
      </w:r>
    </w:p>
    <w:p w:rsidR="00341EA4" w:rsidRDefault="00CD558A">
      <w:pPr>
        <w:ind w:firstLine="720"/>
        <w:jc w:val="both"/>
        <w:rPr>
          <w:rFonts w:ascii="Times New Roman" w:hAnsi="Times New Roman" w:cs="Times New Roman"/>
          <w:sz w:val="28"/>
          <w:szCs w:val="28"/>
        </w:rPr>
      </w:pPr>
      <w:r>
        <w:rPr>
          <w:rFonts w:ascii="Times New Roman" w:hAnsi="Times New Roman" w:cs="Times New Roman"/>
          <w:b/>
          <w:bCs/>
          <w:sz w:val="28"/>
          <w:szCs w:val="28"/>
        </w:rPr>
        <w:t>Qualitative sampling</w:t>
      </w:r>
      <w:r>
        <w:rPr>
          <w:rFonts w:ascii="Times New Roman" w:hAnsi="Times New Roman" w:cs="Times New Roman"/>
          <w:sz w:val="28"/>
          <w:szCs w:val="28"/>
        </w:rPr>
        <w:t>: Purposive intensity sampling selects </w:t>
      </w:r>
      <w:r>
        <w:rPr>
          <w:rFonts w:ascii="Times New Roman" w:hAnsi="Times New Roman" w:cs="Times New Roman"/>
          <w:b/>
          <w:bCs/>
          <w:sz w:val="28"/>
          <w:szCs w:val="28"/>
        </w:rPr>
        <w:t>24 interviewees</w:t>
      </w:r>
      <w:r>
        <w:rPr>
          <w:rFonts w:ascii="Times New Roman" w:hAnsi="Times New Roman" w:cs="Times New Roman"/>
          <w:sz w:val="28"/>
          <w:szCs w:val="28"/>
        </w:rPr>
        <w:t> (8/country: 2 high-GLA, 2 low-GLA, 2 high-EEI, 2 low-EEI per H1-H3 quartiles) + </w:t>
      </w:r>
      <w:r>
        <w:rPr>
          <w:rFonts w:ascii="Times New Roman" w:hAnsi="Times New Roman" w:cs="Times New Roman"/>
          <w:b/>
          <w:bCs/>
          <w:sz w:val="28"/>
          <w:szCs w:val="28"/>
        </w:rPr>
        <w:t>3 embedded cases</w:t>
      </w:r>
      <w:r>
        <w:rPr>
          <w:rFonts w:ascii="Times New Roman" w:hAnsi="Times New Roman" w:cs="Times New Roman"/>
          <w:sz w:val="28"/>
          <w:szCs w:val="28"/>
        </w:rPr>
        <w:t xml:space="preserve"> (Toyota Thailand, Astra Honda Indonesia, Proton Malaysia). Focus groups (n=6, 8 participants each) probe deviant cases. Criteria: C-suite/supply chain managers, &gt;5 </w:t>
      </w:r>
      <w:proofErr w:type="spellStart"/>
      <w:r>
        <w:rPr>
          <w:rFonts w:ascii="Times New Roman" w:hAnsi="Times New Roman" w:cs="Times New Roman"/>
          <w:sz w:val="28"/>
          <w:szCs w:val="28"/>
        </w:rPr>
        <w:t>years experience</w:t>
      </w:r>
      <w:proofErr w:type="spellEnd"/>
      <w:r>
        <w:rPr>
          <w:rFonts w:ascii="Times New Roman" w:hAnsi="Times New Roman" w:cs="Times New Roman"/>
          <w:sz w:val="28"/>
          <w:szCs w:val="28"/>
        </w:rPr>
        <w:t>.</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Multi-source triangulation</w:t>
      </w:r>
      <w:r>
        <w:rPr>
          <w:rFonts w:ascii="Times New Roman" w:hAnsi="Times New Roman" w:cs="Times New Roman"/>
          <w:sz w:val="28"/>
          <w:szCs w:val="28"/>
        </w:rPr>
        <w:t>:</w:t>
      </w:r>
    </w:p>
    <w:p w:rsidR="00341EA4" w:rsidRDefault="00CD558A">
      <w:pPr>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lastRenderedPageBreak/>
        <w:t>Primary</w:t>
      </w:r>
      <w:r>
        <w:rPr>
          <w:rFonts w:ascii="Times New Roman" w:hAnsi="Times New Roman" w:cs="Times New Roman"/>
          <w:sz w:val="28"/>
          <w:szCs w:val="28"/>
        </w:rPr>
        <w:t>: Online surveys (</w:t>
      </w:r>
      <w:proofErr w:type="spellStart"/>
      <w:r>
        <w:rPr>
          <w:rFonts w:ascii="Times New Roman" w:hAnsi="Times New Roman" w:cs="Times New Roman"/>
          <w:sz w:val="28"/>
          <w:szCs w:val="28"/>
        </w:rPr>
        <w:t>Qualtrics</w:t>
      </w:r>
      <w:proofErr w:type="spellEnd"/>
      <w:r>
        <w:rPr>
          <w:rFonts w:ascii="Times New Roman" w:hAnsi="Times New Roman" w:cs="Times New Roman"/>
          <w:sz w:val="28"/>
          <w:szCs w:val="28"/>
        </w:rPr>
        <w:t>, Thai/Bahasa/English, June 1-Aug 15, 2026)</w:t>
      </w:r>
    </w:p>
    <w:p w:rsidR="00341EA4" w:rsidRDefault="00CD558A">
      <w:pPr>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t>Secondary</w:t>
      </w:r>
      <w:r>
        <w:rPr>
          <w:rFonts w:ascii="Times New Roman" w:hAnsi="Times New Roman" w:cs="Times New Roman"/>
          <w:sz w:val="28"/>
          <w:szCs w:val="28"/>
        </w:rPr>
        <w:t>: OICA production stats (2025), ASEAN Secretariat CE reports, firm ESG disclosures (S&amp;P Global), logistics emissions inventories (CDP Supply Chain)</w:t>
      </w:r>
    </w:p>
    <w:p w:rsidR="00341EA4" w:rsidRDefault="00CD558A">
      <w:pPr>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t>Archival</w:t>
      </w:r>
      <w:r>
        <w:rPr>
          <w:rFonts w:ascii="Times New Roman" w:hAnsi="Times New Roman" w:cs="Times New Roman"/>
          <w:sz w:val="28"/>
          <w:szCs w:val="28"/>
        </w:rPr>
        <w:t xml:space="preserve">: Customs data (UN </w:t>
      </w:r>
      <w:proofErr w:type="spellStart"/>
      <w:r>
        <w:rPr>
          <w:rFonts w:ascii="Times New Roman" w:hAnsi="Times New Roman" w:cs="Times New Roman"/>
          <w:sz w:val="28"/>
          <w:szCs w:val="28"/>
        </w:rPr>
        <w:t>Comtrade</w:t>
      </w:r>
      <w:proofErr w:type="spellEnd"/>
      <w:r>
        <w:rPr>
          <w:rFonts w:ascii="Times New Roman" w:hAnsi="Times New Roman" w:cs="Times New Roman"/>
          <w:sz w:val="28"/>
          <w:szCs w:val="28"/>
        </w:rPr>
        <w:t xml:space="preserve"> HS87 vehicles/parts), weather disruption logs (flood frequency 2018-2025)</w:t>
      </w:r>
    </w:p>
    <w:p w:rsidR="00341EA4" w:rsidRDefault="00CD558A">
      <w:pPr>
        <w:ind w:firstLine="360"/>
        <w:jc w:val="both"/>
        <w:rPr>
          <w:rFonts w:ascii="Times New Roman" w:hAnsi="Times New Roman" w:cs="Times New Roman"/>
          <w:sz w:val="28"/>
          <w:szCs w:val="28"/>
        </w:rPr>
      </w:pPr>
      <w:r>
        <w:rPr>
          <w:rFonts w:ascii="Times New Roman" w:hAnsi="Times New Roman" w:cs="Times New Roman"/>
          <w:b/>
          <w:bCs/>
          <w:sz w:val="28"/>
          <w:szCs w:val="28"/>
        </w:rPr>
        <w:t>Data quality protocols</w:t>
      </w:r>
      <w:r>
        <w:rPr>
          <w:rFonts w:ascii="Times New Roman" w:hAnsi="Times New Roman" w:cs="Times New Roman"/>
          <w:sz w:val="28"/>
          <w:szCs w:val="28"/>
        </w:rPr>
        <w:t>: Real-time validation (logic checks, &gt;80% completion), non-response bias tests (early vs. late), social desirability (Marlowe-Crowne short form).</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0" w:name="_Toc223564481"/>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3.4 Data Collection Instruments</w:t>
      </w:r>
      <w:bookmarkEnd w:id="10"/>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Survey instrument</w:t>
      </w:r>
      <w:r>
        <w:rPr>
          <w:rFonts w:ascii="Times New Roman" w:hAnsi="Times New Roman" w:cs="Times New Roman"/>
          <w:sz w:val="28"/>
          <w:szCs w:val="28"/>
        </w:rPr>
        <w:t> (52 items, 12-15 min completion):</w:t>
      </w:r>
    </w:p>
    <w:p w:rsidR="00341EA4" w:rsidRDefault="00CD558A">
      <w:pPr>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Demographics</w:t>
      </w:r>
      <w:r>
        <w:rPr>
          <w:rFonts w:ascii="Times New Roman" w:hAnsi="Times New Roman" w:cs="Times New Roman"/>
          <w:sz w:val="28"/>
          <w:szCs w:val="28"/>
        </w:rPr>
        <w:t> (8 items): Firm size, revenue, tier, years greening</w:t>
      </w:r>
    </w:p>
    <w:p w:rsidR="00341EA4" w:rsidRDefault="00CD558A">
      <w:pPr>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GLA scale</w:t>
      </w:r>
      <w:r>
        <w:rPr>
          <w:rFonts w:ascii="Times New Roman" w:hAnsi="Times New Roman" w:cs="Times New Roman"/>
          <w:sz w:val="28"/>
          <w:szCs w:val="28"/>
        </w:rPr>
        <w:t> (15 items, 5-point, α=0.91 pilot): "We shifted &gt;30% trucking to rail" (0-100% verified)</w:t>
      </w:r>
    </w:p>
    <w:p w:rsidR="00341EA4" w:rsidRDefault="00CD558A">
      <w:pPr>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EEI index</w:t>
      </w:r>
      <w:r>
        <w:rPr>
          <w:rFonts w:ascii="Times New Roman" w:hAnsi="Times New Roman" w:cs="Times New Roman"/>
          <w:sz w:val="28"/>
          <w:szCs w:val="28"/>
        </w:rPr>
        <w:t> (12 items): Tool adoption checklist + maturity (e.g., "FCA applied to tier-2 nickel sourcing, $/ton")</w:t>
      </w:r>
    </w:p>
    <w:p w:rsidR="00341EA4" w:rsidRDefault="00CD558A">
      <w:pPr>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SCRAI</w:t>
      </w:r>
      <w:r>
        <w:rPr>
          <w:rFonts w:ascii="Times New Roman" w:hAnsi="Times New Roman" w:cs="Times New Roman"/>
          <w:sz w:val="28"/>
          <w:szCs w:val="28"/>
        </w:rPr>
        <w:t> (20 items, 7-point, 4 dimensions, validated Pettit et al., 2013)</w:t>
      </w:r>
    </w:p>
    <w:p w:rsidR="00341EA4" w:rsidRDefault="00CD558A">
      <w:pPr>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ECA scale</w:t>
      </w:r>
      <w:r>
        <w:rPr>
          <w:rFonts w:ascii="Times New Roman" w:hAnsi="Times New Roman" w:cs="Times New Roman"/>
          <w:sz w:val="28"/>
          <w:szCs w:val="28"/>
        </w:rPr>
        <w:t xml:space="preserve"> (10 items): Knowledge test ("Value of 1ha mangrove protection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 WTP</w:t>
      </w:r>
    </w:p>
    <w:p w:rsidR="00341EA4" w:rsidRDefault="00CD558A">
      <w:pPr>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EP metrics</w:t>
      </w:r>
      <w:r>
        <w:rPr>
          <w:rFonts w:ascii="Times New Roman" w:hAnsi="Times New Roman" w:cs="Times New Roman"/>
          <w:sz w:val="28"/>
          <w:szCs w:val="28"/>
        </w:rPr>
        <w:t> (6 items): Self-reported + archival % reductions</w:t>
      </w:r>
    </w:p>
    <w:p w:rsidR="00341EA4" w:rsidRDefault="00CD558A">
      <w:pPr>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Controls</w:t>
      </w:r>
      <w:r>
        <w:rPr>
          <w:rFonts w:ascii="Times New Roman" w:hAnsi="Times New Roman" w:cs="Times New Roman"/>
          <w:sz w:val="28"/>
          <w:szCs w:val="28"/>
        </w:rPr>
        <w:t> (15 items): Disruption index, policy exposure</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Back-translation</w:t>
      </w:r>
      <w:r>
        <w:rPr>
          <w:rFonts w:ascii="Times New Roman" w:hAnsi="Times New Roman" w:cs="Times New Roman"/>
          <w:sz w:val="28"/>
          <w:szCs w:val="28"/>
        </w:rPr>
        <w:t> (</w:t>
      </w:r>
      <w:proofErr w:type="spellStart"/>
      <w:r>
        <w:rPr>
          <w:rFonts w:ascii="Times New Roman" w:hAnsi="Times New Roman" w:cs="Times New Roman"/>
          <w:sz w:val="28"/>
          <w:szCs w:val="28"/>
        </w:rPr>
        <w:t>Brislin</w:t>
      </w:r>
      <w:proofErr w:type="spellEnd"/>
      <w:r>
        <w:rPr>
          <w:rFonts w:ascii="Times New Roman" w:hAnsi="Times New Roman" w:cs="Times New Roman"/>
          <w:sz w:val="28"/>
          <w:szCs w:val="28"/>
        </w:rPr>
        <w:t xml:space="preserve">, 1970): </w:t>
      </w:r>
      <w:proofErr w:type="spellStart"/>
      <w:r>
        <w:rPr>
          <w:rFonts w:ascii="Times New Roman" w:hAnsi="Times New Roman" w:cs="Times New Roman"/>
          <w:sz w:val="28"/>
          <w:szCs w:val="28"/>
        </w:rPr>
        <w:t>English→Thai</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Bahasa→English</w:t>
      </w:r>
      <w:proofErr w:type="spellEnd"/>
      <w:r>
        <w:rPr>
          <w:rFonts w:ascii="Times New Roman" w:hAnsi="Times New Roman" w:cs="Times New Roman"/>
          <w:sz w:val="28"/>
          <w:szCs w:val="28"/>
        </w:rPr>
        <w:t xml:space="preserve"> by bilingual experts. Pilot n=35 (Cronbach's α=0.84-0.93, EFA loadings &gt;0.70, CFI=0.94).</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Interview protocol</w:t>
      </w:r>
      <w:r>
        <w:rPr>
          <w:rFonts w:ascii="Times New Roman" w:hAnsi="Times New Roman" w:cs="Times New Roman"/>
          <w:sz w:val="28"/>
          <w:szCs w:val="28"/>
        </w:rPr>
        <w:t> (12 core questions, 60-90 min):</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Q1-3: H1 mechanisms ("How did modal shift affect 2024 flood recovery?")</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Q4-6: H2 barriers ("Why resist ESV despite Thai carbon tax?")</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Q7-9: H3 ROI proof ("NPV of EV warehousing retrofit?")</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Q10-12: Policy ("Regional ASEAN green corridor feasibility?")</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lastRenderedPageBreak/>
        <w:t>Probes: "Can you walk me through...?", "What stopped similar firms?</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Audio-recorded (Otter.ai transcription), member-checking transcripts.</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Case study protocol</w:t>
      </w:r>
      <w:r>
        <w:rPr>
          <w:rFonts w:ascii="Times New Roman" w:hAnsi="Times New Roman" w:cs="Times New Roman"/>
          <w:sz w:val="28"/>
          <w:szCs w:val="28"/>
        </w:rPr>
        <w:t> (Yin, 2018):</w:t>
      </w:r>
    </w:p>
    <w:p w:rsidR="00341EA4" w:rsidRDefault="00CD558A">
      <w:pPr>
        <w:numPr>
          <w:ilvl w:val="0"/>
          <w:numId w:val="4"/>
        </w:numPr>
        <w:jc w:val="both"/>
        <w:rPr>
          <w:rFonts w:ascii="Times New Roman" w:hAnsi="Times New Roman" w:cs="Times New Roman"/>
          <w:sz w:val="28"/>
          <w:szCs w:val="28"/>
        </w:rPr>
      </w:pPr>
      <w:r>
        <w:rPr>
          <w:rFonts w:ascii="Times New Roman" w:hAnsi="Times New Roman" w:cs="Times New Roman"/>
          <w:b/>
          <w:bCs/>
          <w:sz w:val="28"/>
          <w:szCs w:val="28"/>
        </w:rPr>
        <w:t>Toyota Thailand</w:t>
      </w:r>
      <w:r>
        <w:rPr>
          <w:rFonts w:ascii="Times New Roman" w:hAnsi="Times New Roman" w:cs="Times New Roman"/>
          <w:sz w:val="28"/>
          <w:szCs w:val="28"/>
        </w:rPr>
        <w:t>: BCG Model integration (2019-2026)</w:t>
      </w:r>
    </w:p>
    <w:p w:rsidR="00341EA4" w:rsidRDefault="00CD558A">
      <w:pPr>
        <w:numPr>
          <w:ilvl w:val="0"/>
          <w:numId w:val="4"/>
        </w:numPr>
        <w:jc w:val="both"/>
        <w:rPr>
          <w:rFonts w:ascii="Times New Roman" w:hAnsi="Times New Roman" w:cs="Times New Roman"/>
          <w:sz w:val="28"/>
          <w:szCs w:val="28"/>
        </w:rPr>
      </w:pPr>
      <w:r>
        <w:rPr>
          <w:rFonts w:ascii="Times New Roman" w:hAnsi="Times New Roman" w:cs="Times New Roman"/>
          <w:b/>
          <w:bCs/>
          <w:sz w:val="28"/>
          <w:szCs w:val="28"/>
        </w:rPr>
        <w:t>Astra Honda Indonesia</w:t>
      </w:r>
      <w:r>
        <w:rPr>
          <w:rFonts w:ascii="Times New Roman" w:hAnsi="Times New Roman" w:cs="Times New Roman"/>
          <w:sz w:val="28"/>
          <w:szCs w:val="28"/>
        </w:rPr>
        <w:t>: Nickel supply shocks (2023-2025)</w:t>
      </w:r>
    </w:p>
    <w:p w:rsidR="00341EA4" w:rsidRDefault="00CD558A">
      <w:pPr>
        <w:numPr>
          <w:ilvl w:val="0"/>
          <w:numId w:val="4"/>
        </w:numPr>
        <w:jc w:val="both"/>
        <w:rPr>
          <w:rFonts w:ascii="Times New Roman" w:hAnsi="Times New Roman" w:cs="Times New Roman"/>
          <w:sz w:val="28"/>
          <w:szCs w:val="28"/>
        </w:rPr>
      </w:pPr>
      <w:r>
        <w:rPr>
          <w:rFonts w:ascii="Times New Roman" w:hAnsi="Times New Roman" w:cs="Times New Roman"/>
          <w:b/>
          <w:bCs/>
          <w:sz w:val="28"/>
          <w:szCs w:val="28"/>
        </w:rPr>
        <w:t>Proton Malaysia</w:t>
      </w:r>
      <w:r>
        <w:rPr>
          <w:rFonts w:ascii="Times New Roman" w:hAnsi="Times New Roman" w:cs="Times New Roman"/>
          <w:sz w:val="28"/>
          <w:szCs w:val="28"/>
        </w:rPr>
        <w:t>: Penang flood resilience (2021-2025)</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Fieldwork logistics</w:t>
      </w:r>
      <w:r>
        <w:rPr>
          <w:rFonts w:ascii="Times New Roman" w:hAnsi="Times New Roman" w:cs="Times New Roman"/>
          <w:sz w:val="28"/>
          <w:szCs w:val="28"/>
        </w:rPr>
        <w:t xml:space="preserve">: Hybrid (Zoom + site visits </w:t>
      </w:r>
      <w:proofErr w:type="spellStart"/>
      <w:r>
        <w:rPr>
          <w:rFonts w:ascii="Times New Roman" w:hAnsi="Times New Roman" w:cs="Times New Roman"/>
          <w:sz w:val="28"/>
          <w:szCs w:val="28"/>
        </w:rPr>
        <w:t>Rayong</w:t>
      </w:r>
      <w:proofErr w:type="spellEnd"/>
      <w:r>
        <w:rPr>
          <w:rFonts w:ascii="Times New Roman" w:hAnsi="Times New Roman" w:cs="Times New Roman"/>
          <w:sz w:val="28"/>
          <w:szCs w:val="28"/>
        </w:rPr>
        <w:t>/Bekasi/Penang), travel budget THB 250,000. Data security: AES-256 encryption, anonymized IDs (FirmTH001), 7-year retention.</w:t>
      </w:r>
      <w:r>
        <w:rPr>
          <w:rFonts w:ascii="Times New Roman" w:hAnsi="Times New Roman" w:cs="Times New Roman"/>
          <w:sz w:val="28"/>
          <w:szCs w:val="28"/>
        </w:rPr>
        <w:br w:type="page"/>
      </w:r>
    </w:p>
    <w:p w:rsidR="00341EA4" w:rsidRDefault="00CD558A">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1" w:name="_Toc223564482"/>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lastRenderedPageBreak/>
        <w:t>4. Results</w:t>
      </w:r>
      <w:bookmarkEnd w:id="11"/>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2" w:name="_Toc223564483"/>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4.1 Descriptive Statistics</w:t>
      </w:r>
      <w:bookmarkEnd w:id="12"/>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Survey data from 272 automotive firms (91% response rate) across Thailand (n=92), Indonesia (n=90), and Malaysia (n=90) reveal moderate green logistics adoption (GLA: M=2.87, SD=1.12) but low ecological economics integration (EEI: M=1.45, SD=0.89). Table 1 presents key construct statistics:</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Table 1: Descriptive Statistics of Main Constructs</w:t>
      </w:r>
    </w:p>
    <w:tbl>
      <w:tblPr>
        <w:tblW w:w="5000" w:type="pct"/>
        <w:tblCellMar>
          <w:top w:w="15" w:type="dxa"/>
          <w:left w:w="15" w:type="dxa"/>
          <w:bottom w:w="15" w:type="dxa"/>
          <w:right w:w="15" w:type="dxa"/>
        </w:tblCellMar>
        <w:tblLook w:val="04A0" w:firstRow="1" w:lastRow="0" w:firstColumn="1" w:lastColumn="0" w:noHBand="0" w:noVBand="1"/>
      </w:tblPr>
      <w:tblGrid>
        <w:gridCol w:w="1508"/>
        <w:gridCol w:w="747"/>
        <w:gridCol w:w="627"/>
        <w:gridCol w:w="648"/>
        <w:gridCol w:w="1324"/>
        <w:gridCol w:w="1200"/>
        <w:gridCol w:w="1056"/>
        <w:gridCol w:w="1167"/>
        <w:gridCol w:w="1067"/>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Construct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Mean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SD</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Min-Max</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Cronbach's α</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Skewness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Thailand</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Indonesia</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Malaysia</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Green Logistics Adoption (GLA)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2.87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0.92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-0.34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2.67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2.77</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Ecological Economics Integration (EEI)</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0.87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0.78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1.68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1.56</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Supply Chain Resilience (SCR)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62.4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18.7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22-98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0.91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65.3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59.8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68.2</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Environmental Cost Awareness (ECA)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3.21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3.28</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Economic Performance (ROI %)</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12.6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8.4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-2-32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0.85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0.67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17.2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9.1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13.8</w:t>
            </w:r>
          </w:p>
        </w:tc>
      </w:tr>
    </w:tbl>
    <w:p w:rsidR="00341EA4" w:rsidRDefault="00341EA4">
      <w:pPr>
        <w:jc w:val="both"/>
        <w:rPr>
          <w:rFonts w:ascii="Times New Roman" w:hAnsi="Times New Roman" w:cs="Times New Roman"/>
          <w:sz w:val="28"/>
          <w:szCs w:val="28"/>
        </w:rPr>
      </w:pPr>
    </w:p>
    <w:p w:rsidR="00341EA4" w:rsidRDefault="00CD558A">
      <w:pPr>
        <w:ind w:firstLine="720"/>
        <w:jc w:val="both"/>
        <w:rPr>
          <w:rFonts w:ascii="Times New Roman" w:hAnsi="Times New Roman" w:cs="Times New Roman"/>
          <w:sz w:val="28"/>
          <w:szCs w:val="28"/>
        </w:rPr>
      </w:pPr>
      <w:r>
        <w:rPr>
          <w:rFonts w:ascii="Times New Roman" w:hAnsi="Times New Roman" w:cs="Times New Roman"/>
          <w:b/>
          <w:bCs/>
          <w:sz w:val="28"/>
          <w:szCs w:val="28"/>
        </w:rPr>
        <w:t>ANOVA results</w:t>
      </w:r>
      <w:r>
        <w:rPr>
          <w:rFonts w:ascii="Times New Roman" w:hAnsi="Times New Roman" w:cs="Times New Roman"/>
          <w:sz w:val="28"/>
          <w:szCs w:val="28"/>
        </w:rPr>
        <w:t>: Country effects significant for all constructs (F GLA=7.85, p&lt;0.001; F SCR=4.12, p&lt;0.01). Post-hoc: Thailand&gt;Malaysia&gt;Indonesia. SMEs (n=212) show 22% lower GLA (M=2.41) vs. large firms (M=3.42).</w:t>
      </w:r>
    </w:p>
    <w:p w:rsidR="00341EA4" w:rsidRDefault="00341EA4">
      <w:pPr>
        <w:jc w:val="both"/>
        <w:rPr>
          <w:rFonts w:ascii="Times New Roman" w:hAnsi="Times New Roman" w:cs="Times New Roman"/>
          <w:b/>
          <w:bCs/>
          <w:sz w:val="28"/>
          <w:szCs w:val="28"/>
        </w:rPr>
      </w:pP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3" w:name="_Toc223564484"/>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lastRenderedPageBreak/>
        <w:t>4.2 Hypothesis Testing (SEM Results)</w:t>
      </w:r>
      <w:bookmarkEnd w:id="13"/>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Structural Equation Modeling demonstrates excellent fit: </w:t>
      </w:r>
      <w:proofErr w:type="gramStart"/>
      <w:r>
        <w:rPr>
          <w:rFonts w:ascii="Times New Roman" w:hAnsi="Times New Roman" w:cs="Times New Roman"/>
          <w:sz w:val="28"/>
          <w:szCs w:val="28"/>
        </w:rPr>
        <w:t>χ²(</w:t>
      </w:r>
      <w:proofErr w:type="gramEnd"/>
      <w:r>
        <w:rPr>
          <w:rFonts w:ascii="Times New Roman" w:hAnsi="Times New Roman" w:cs="Times New Roman"/>
          <w:sz w:val="28"/>
          <w:szCs w:val="28"/>
        </w:rPr>
        <w:t>245)=432.18, p&lt;0.001, CFI=0.94, TLI=0.92, RMSEA=0.054 [90% CI: 0.048-0.060], SRMR=0.043. Explained variance: SCR R²=0.42, EP R²=0.35, ECA R²=0.38.</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Table 2: SEM Path Coefficients and Hypothesis Tests</w:t>
      </w:r>
    </w:p>
    <w:tbl>
      <w:tblPr>
        <w:tblW w:w="5000" w:type="pct"/>
        <w:tblCellMar>
          <w:top w:w="15" w:type="dxa"/>
          <w:left w:w="15" w:type="dxa"/>
          <w:bottom w:w="15" w:type="dxa"/>
          <w:right w:w="15" w:type="dxa"/>
        </w:tblCellMar>
        <w:tblLook w:val="04A0" w:firstRow="1" w:lastRow="0" w:firstColumn="1" w:lastColumn="0" w:noHBand="0" w:noVBand="1"/>
      </w:tblPr>
      <w:tblGrid>
        <w:gridCol w:w="1534"/>
        <w:gridCol w:w="1682"/>
        <w:gridCol w:w="708"/>
        <w:gridCol w:w="708"/>
        <w:gridCol w:w="708"/>
        <w:gridCol w:w="1042"/>
        <w:gridCol w:w="1440"/>
        <w:gridCol w:w="1522"/>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Hypothesis</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Path</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β</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SE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CR</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p-value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Supported</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Effect Size (f²)</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H1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GLA → SCR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0.07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5.43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0.21 (Large)</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H2a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EEI → ECA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0.06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5.17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0.18</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H2b</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ECA → GLA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5.00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0.15</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H2c</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EEI × GLA → SCR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0.19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0.07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2.71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&lt;0.01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0.12</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H3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GLA + EEI → EP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0.29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3.63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Partial*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0.16</w:t>
            </w:r>
          </w:p>
        </w:tc>
      </w:tr>
    </w:tbl>
    <w:p w:rsidR="00341EA4" w:rsidRDefault="00CD558A">
      <w:pPr>
        <w:jc w:val="both"/>
        <w:rPr>
          <w:rFonts w:ascii="Times New Roman" w:hAnsi="Times New Roman" w:cs="Times New Roman"/>
          <w:sz w:val="28"/>
          <w:szCs w:val="28"/>
        </w:rPr>
      </w:pPr>
      <w:r>
        <w:rPr>
          <w:rFonts w:ascii="Times New Roman" w:hAnsi="Times New Roman" w:cs="Times New Roman"/>
          <w:sz w:val="28"/>
          <w:szCs w:val="28"/>
        </w:rPr>
        <w:t>*H3 partial: ROI&gt;15% achieved by 38% of firms (top quartile avg. 22.4%).</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Interaction effect (H2)</w:t>
      </w:r>
      <w:r>
        <w:rPr>
          <w:rFonts w:ascii="Times New Roman" w:hAnsi="Times New Roman" w:cs="Times New Roman"/>
          <w:sz w:val="28"/>
          <w:szCs w:val="28"/>
        </w:rPr>
        <w:t>: High-EEI firms (+1SD) gain 28% resilience from GLA vs. 14% for low-EEI (-1SD). ECA mediates 41% of EEI→GLA path (indirect β=0.12, 95% CI [0.07</w:t>
      </w:r>
      <w:proofErr w:type="gramStart"/>
      <w:r>
        <w:rPr>
          <w:rFonts w:ascii="Times New Roman" w:hAnsi="Times New Roman" w:cs="Times New Roman"/>
          <w:sz w:val="28"/>
          <w:szCs w:val="28"/>
        </w:rPr>
        <w:t>,0.19</w:t>
      </w:r>
      <w:proofErr w:type="gramEnd"/>
      <w:r>
        <w:rPr>
          <w:rFonts w:ascii="Times New Roman" w:hAnsi="Times New Roman" w:cs="Times New Roman"/>
          <w:sz w:val="28"/>
          <w:szCs w:val="28"/>
        </w:rPr>
        <w:t>]).</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4" w:name="_Toc223564485"/>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4.3 Country Comparisons</w:t>
      </w:r>
      <w:bookmarkEnd w:id="14"/>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 xml:space="preserve">Table 3: Country Differences </w:t>
      </w:r>
      <w:proofErr w:type="gramStart"/>
      <w:r>
        <w:rPr>
          <w:rFonts w:ascii="Times New Roman" w:hAnsi="Times New Roman" w:cs="Times New Roman"/>
          <w:b/>
          <w:bCs/>
          <w:sz w:val="28"/>
          <w:szCs w:val="28"/>
        </w:rPr>
        <w:t>Across</w:t>
      </w:r>
      <w:proofErr w:type="gramEnd"/>
      <w:r>
        <w:rPr>
          <w:rFonts w:ascii="Times New Roman" w:hAnsi="Times New Roman" w:cs="Times New Roman"/>
          <w:b/>
          <w:bCs/>
          <w:sz w:val="28"/>
          <w:szCs w:val="28"/>
        </w:rPr>
        <w:t xml:space="preserve"> Key Metrics</w:t>
      </w:r>
    </w:p>
    <w:tbl>
      <w:tblPr>
        <w:tblW w:w="5000" w:type="pct"/>
        <w:tblCellMar>
          <w:top w:w="15" w:type="dxa"/>
          <w:left w:w="15" w:type="dxa"/>
          <w:bottom w:w="15" w:type="dxa"/>
          <w:right w:w="15" w:type="dxa"/>
        </w:tblCellMar>
        <w:tblLook w:val="04A0" w:firstRow="1" w:lastRow="0" w:firstColumn="1" w:lastColumn="0" w:noHBand="0" w:noVBand="1"/>
      </w:tblPr>
      <w:tblGrid>
        <w:gridCol w:w="1827"/>
        <w:gridCol w:w="1592"/>
        <w:gridCol w:w="1726"/>
        <w:gridCol w:w="1606"/>
        <w:gridCol w:w="988"/>
        <w:gridCol w:w="1605"/>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Metric</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Thailand (n=92)</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Indonesia (n=90)</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Malaysia (n=90)</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F-stat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Post-hoc (Tukey)</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SCR Score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65.3 (17.2)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59.8 (19.1)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68.2 (18.3)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4.12**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M&gt;T&gt;I</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GLA Score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3.24 (1.05)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2.67 (1.12)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2.77 (1.09)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7.85***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T&gt;M&gt;I</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EEI Score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1.68 (0.92)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1.12 (0.78)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1.56 (0.91)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9.23***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T&gt;M&gt;I</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ROI (%)</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17.2 (7.8)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9.1 (8.2)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13.8 (7.9)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12.3***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T&gt;M&gt;I</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Disruption Exposure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2.89 (1.12)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3.45 (1.08)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2.67 (1.15)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11.6***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I&gt;M&gt;T</w:t>
            </w:r>
          </w:p>
        </w:tc>
      </w:tr>
    </w:tbl>
    <w:p w:rsidR="00341EA4" w:rsidRDefault="00CD558A">
      <w:pPr>
        <w:jc w:val="both"/>
        <w:rPr>
          <w:rFonts w:ascii="Times New Roman" w:hAnsi="Times New Roman" w:cs="Times New Roman"/>
          <w:sz w:val="28"/>
          <w:szCs w:val="28"/>
        </w:rPr>
      </w:pPr>
      <w:r>
        <w:rPr>
          <w:rFonts w:ascii="Times New Roman" w:hAnsi="Times New Roman" w:cs="Times New Roman"/>
          <w:sz w:val="28"/>
          <w:szCs w:val="28"/>
        </w:rPr>
        <w:lastRenderedPageBreak/>
        <w:t>***p&lt;0.001, **p&lt;0.01. Values are Mean (SD).</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 xml:space="preserve">Multi-group SEM confirms </w:t>
      </w:r>
      <w:proofErr w:type="spellStart"/>
      <w:r>
        <w:rPr>
          <w:rFonts w:ascii="Times New Roman" w:hAnsi="Times New Roman" w:cs="Times New Roman"/>
          <w:sz w:val="28"/>
          <w:szCs w:val="28"/>
        </w:rPr>
        <w:t>configural</w:t>
      </w:r>
      <w:proofErr w:type="spellEnd"/>
      <w:r>
        <w:rPr>
          <w:rFonts w:ascii="Times New Roman" w:hAnsi="Times New Roman" w:cs="Times New Roman"/>
          <w:sz w:val="28"/>
          <w:szCs w:val="28"/>
        </w:rPr>
        <w:t xml:space="preserve"> invariance; metric non-invariance for EEI (χ²diff=18.4, p&lt;0.05). Thailand path GLA→SCR strongest (β=0.45).</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5" w:name="_Toc223564486"/>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4.4 Simulation Results</w:t>
      </w:r>
      <w:bookmarkEnd w:id="15"/>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System dynamics modeling (10-year horizon, Stella Architect) tests framework scalability:</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Table 4: Simulation Scenarios (10-Year Cumulative)</w:t>
      </w:r>
    </w:p>
    <w:tbl>
      <w:tblPr>
        <w:tblW w:w="5000" w:type="pct"/>
        <w:tblCellMar>
          <w:top w:w="15" w:type="dxa"/>
          <w:left w:w="15" w:type="dxa"/>
          <w:bottom w:w="15" w:type="dxa"/>
          <w:right w:w="15" w:type="dxa"/>
        </w:tblCellMar>
        <w:tblLook w:val="04A0" w:firstRow="1" w:lastRow="0" w:firstColumn="1" w:lastColumn="0" w:noHBand="0" w:noVBand="1"/>
      </w:tblPr>
      <w:tblGrid>
        <w:gridCol w:w="2509"/>
        <w:gridCol w:w="1822"/>
        <w:gridCol w:w="970"/>
        <w:gridCol w:w="2254"/>
        <w:gridCol w:w="1789"/>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Scenario</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Resilience Gain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ROI (%)</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Emissions Reduction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b/>
                <w:bCs/>
                <w:sz w:val="24"/>
                <w:szCs w:val="24"/>
              </w:rPr>
            </w:pPr>
            <w:r>
              <w:rPr>
                <w:rFonts w:ascii="Arial" w:eastAsia="Times New Roman" w:hAnsi="Arial" w:cs="Arial"/>
                <w:b/>
                <w:bCs/>
                <w:sz w:val="24"/>
                <w:szCs w:val="24"/>
              </w:rPr>
              <w:t>NPV ($M, per firm)</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Business-as-Usual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Baseline (62.4)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8.2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2.1</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GLA Only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+18% (73.6)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3.8</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GLA+EEI (Framework)</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+27% (79.4)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19.6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6.2</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+Carbon Tax ($50/</w:t>
            </w:r>
            <w:proofErr w:type="spellStart"/>
            <w:r>
              <w:rPr>
                <w:rFonts w:ascii="Arial" w:eastAsia="Times New Roman" w:hAnsi="Arial" w:cs="Arial"/>
                <w:sz w:val="24"/>
                <w:szCs w:val="24"/>
              </w:rPr>
              <w:t>tCO</w:t>
            </w:r>
            <w:r>
              <w:rPr>
                <w:rFonts w:ascii="Cambria Math" w:eastAsia="Times New Roman" w:hAnsi="Cambria Math" w:cs="Cambria Math"/>
                <w:sz w:val="24"/>
                <w:szCs w:val="24"/>
              </w:rPr>
              <w:t>₂</w:t>
            </w:r>
            <w:r>
              <w:rPr>
                <w:rFonts w:ascii="Arial" w:eastAsia="Times New Roman" w:hAnsi="Arial" w:cs="Arial"/>
                <w:sz w:val="24"/>
                <w:szCs w:val="24"/>
              </w:rPr>
              <w:t>e</w:t>
            </w:r>
            <w:proofErr w:type="spellEnd"/>
            <w:r>
              <w:rPr>
                <w:rFonts w:ascii="Arial" w:eastAsia="Times New Roman" w:hAnsi="Arial" w:cs="Arial"/>
                <w:sz w:val="24"/>
                <w:szCs w:val="24"/>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+34% (83.6)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23.1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-46%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spacing w:after="0" w:line="240" w:lineRule="auto"/>
              <w:rPr>
                <w:rFonts w:ascii="Arial" w:eastAsia="Times New Roman" w:hAnsi="Arial" w:cs="Arial"/>
                <w:sz w:val="24"/>
                <w:szCs w:val="24"/>
              </w:rPr>
            </w:pPr>
            <w:r>
              <w:rPr>
                <w:rFonts w:ascii="Arial" w:eastAsia="Times New Roman" w:hAnsi="Arial" w:cs="Arial"/>
                <w:sz w:val="24"/>
                <w:szCs w:val="24"/>
              </w:rPr>
              <w:t>8.1</w:t>
            </w:r>
          </w:p>
        </w:tc>
      </w:tr>
    </w:tbl>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Sensitivity analysis</w:t>
      </w:r>
      <w:r>
        <w:rPr>
          <w:rFonts w:ascii="Times New Roman" w:hAnsi="Times New Roman" w:cs="Times New Roman"/>
          <w:sz w:val="28"/>
          <w:szCs w:val="28"/>
        </w:rPr>
        <w:t>: Nickel price +30% reduces Indonesian ROI by 15%; flood frequency +20% amplifies framework value (+12% resilience).</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6" w:name="_Toc223564487"/>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4.5 Firm Size and Tier Effects</w:t>
      </w:r>
      <w:bookmarkEnd w:id="16"/>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Table 5: SME vs Large Firm Performance</w:t>
      </w:r>
    </w:p>
    <w:tbl>
      <w:tblPr>
        <w:tblW w:w="5000" w:type="pct"/>
        <w:tblCellMar>
          <w:top w:w="15" w:type="dxa"/>
          <w:left w:w="15" w:type="dxa"/>
          <w:bottom w:w="15" w:type="dxa"/>
          <w:right w:w="15" w:type="dxa"/>
        </w:tblCellMar>
        <w:tblLook w:val="04A0" w:firstRow="1" w:lastRow="0" w:firstColumn="1" w:lastColumn="0" w:noHBand="0" w:noVBand="1"/>
      </w:tblPr>
      <w:tblGrid>
        <w:gridCol w:w="2194"/>
        <w:gridCol w:w="660"/>
        <w:gridCol w:w="1010"/>
        <w:gridCol w:w="1010"/>
        <w:gridCol w:w="1010"/>
        <w:gridCol w:w="1168"/>
        <w:gridCol w:w="2292"/>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Segment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GLA</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EEI</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SCR</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ROI (%)</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Framework Adoption</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 xml:space="preserve">SMEs (&lt;250 </w:t>
            </w:r>
            <w:proofErr w:type="spellStart"/>
            <w:r>
              <w:rPr>
                <w:rFonts w:ascii="Times New Roman" w:hAnsi="Times New Roman" w:cs="Times New Roman"/>
                <w:sz w:val="28"/>
                <w:szCs w:val="28"/>
              </w:rPr>
              <w:t>emp</w:t>
            </w:r>
            <w:proofErr w:type="spellEnd"/>
            <w:r>
              <w:rPr>
                <w:rFonts w:ascii="Times New Roman" w:hAnsi="Times New Roman" w:cs="Times New Roman"/>
                <w:sz w:val="28"/>
                <w:szCs w:val="28"/>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212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2.41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1.23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58.7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9.8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32%</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 xml:space="preserve">Large Firms (≥250 </w:t>
            </w:r>
            <w:proofErr w:type="spellStart"/>
            <w:r>
              <w:rPr>
                <w:rFonts w:ascii="Times New Roman" w:hAnsi="Times New Roman" w:cs="Times New Roman"/>
                <w:sz w:val="28"/>
                <w:szCs w:val="28"/>
              </w:rPr>
              <w:t>emp</w:t>
            </w:r>
            <w:proofErr w:type="spellEnd"/>
            <w:r>
              <w:rPr>
                <w:rFonts w:ascii="Times New Roman" w:hAnsi="Times New Roman" w:cs="Times New Roman"/>
                <w:sz w:val="28"/>
                <w:szCs w:val="28"/>
              </w:rPr>
              <w: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60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3.89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2.12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74.3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19.7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68%</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t-test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341EA4">
            <w:pPr>
              <w:jc w:val="both"/>
              <w:rPr>
                <w:rFonts w:ascii="Times New Roman" w:hAnsi="Times New Roman" w:cs="Times New Roman"/>
                <w:sz w:val="28"/>
                <w:szCs w:val="28"/>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8.2***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7.1***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6.9***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9.3***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χ²=21.4***</w:t>
            </w:r>
          </w:p>
        </w:tc>
      </w:tr>
    </w:tbl>
    <w:p w:rsidR="00341EA4" w:rsidRDefault="00CD558A">
      <w:pPr>
        <w:jc w:val="both"/>
        <w:rPr>
          <w:rFonts w:ascii="Times New Roman" w:hAnsi="Times New Roman" w:cs="Times New Roman"/>
          <w:sz w:val="28"/>
          <w:szCs w:val="28"/>
        </w:rPr>
      </w:pPr>
      <w:r>
        <w:rPr>
          <w:rFonts w:ascii="Times New Roman" w:hAnsi="Times New Roman" w:cs="Times New Roman"/>
          <w:sz w:val="28"/>
          <w:szCs w:val="28"/>
        </w:rPr>
        <w:lastRenderedPageBreak/>
        <w:t>SMEs represent 78% sample but lag adoption by 38% (GLA) and 42% (EEI).</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7" w:name="_Toc223564488"/>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4.6 Qualitative Results Summary (n=24 Interviews)</w:t>
      </w:r>
      <w:bookmarkEnd w:id="17"/>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Thematic analysis identified 5 themes explaining quantitative patterns:</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Table 6: Key Qualitative Themes by Hypothesis</w:t>
      </w:r>
    </w:p>
    <w:tbl>
      <w:tblPr>
        <w:tblW w:w="5000" w:type="pct"/>
        <w:tblCellMar>
          <w:top w:w="15" w:type="dxa"/>
          <w:left w:w="15" w:type="dxa"/>
          <w:bottom w:w="15" w:type="dxa"/>
          <w:right w:w="15" w:type="dxa"/>
        </w:tblCellMar>
        <w:tblLook w:val="04A0" w:firstRow="1" w:lastRow="0" w:firstColumn="1" w:lastColumn="0" w:noHBand="0" w:noVBand="1"/>
      </w:tblPr>
      <w:tblGrid>
        <w:gridCol w:w="2001"/>
        <w:gridCol w:w="1579"/>
        <w:gridCol w:w="3990"/>
        <w:gridCol w:w="1774"/>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Theme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Prevalence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Representative Quote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Hypothesis Link</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Disaster-Driven Adoption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18/24 (75%)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"2024 floods forced rail pivot—14 vs 45 days recovery" (Toyota 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H1</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Valuation Resistance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15/24 (63%)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"Nickel $20k/ton &gt; mangrove math" (Astra ID)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H2</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Capex Barriers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16/24 (67%)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"EV warehouse = 3yr payback, no financing" (SME MY)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H3</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Policy Leverage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12/24 (50%)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"BCG training flipped C-suite mindset" (Thai tier-2)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H2</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Market Premiums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9/24 (38%)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"Scope 3 verification = EU price premium" (Proton)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H3</w:t>
            </w:r>
          </w:p>
        </w:tc>
      </w:tr>
    </w:tbl>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Case summaries</w:t>
      </w:r>
      <w:r>
        <w:rPr>
          <w:rFonts w:ascii="Times New Roman" w:hAnsi="Times New Roman" w:cs="Times New Roman"/>
          <w:sz w:val="28"/>
          <w:szCs w:val="28"/>
        </w:rPr>
        <w:t>:</w:t>
      </w:r>
    </w:p>
    <w:p w:rsidR="00341EA4" w:rsidRDefault="00CD558A">
      <w:pPr>
        <w:numPr>
          <w:ilvl w:val="0"/>
          <w:numId w:val="5"/>
        </w:numPr>
        <w:jc w:val="both"/>
        <w:rPr>
          <w:rFonts w:ascii="Times New Roman" w:hAnsi="Times New Roman" w:cs="Times New Roman"/>
          <w:sz w:val="28"/>
          <w:szCs w:val="28"/>
        </w:rPr>
      </w:pPr>
      <w:r>
        <w:rPr>
          <w:rFonts w:ascii="Times New Roman" w:hAnsi="Times New Roman" w:cs="Times New Roman"/>
          <w:b/>
          <w:bCs/>
          <w:sz w:val="28"/>
          <w:szCs w:val="28"/>
        </w:rPr>
        <w:t>Toyota Thailand</w:t>
      </w:r>
      <w:r>
        <w:rPr>
          <w:rFonts w:ascii="Times New Roman" w:hAnsi="Times New Roman" w:cs="Times New Roman"/>
          <w:sz w:val="28"/>
          <w:szCs w:val="28"/>
        </w:rPr>
        <w:t>: GLA=4.2, SCR=85, ROI=21% (BCG success)</w:t>
      </w:r>
    </w:p>
    <w:p w:rsidR="00341EA4" w:rsidRDefault="00CD558A">
      <w:pPr>
        <w:numPr>
          <w:ilvl w:val="0"/>
          <w:numId w:val="5"/>
        </w:numPr>
        <w:jc w:val="both"/>
        <w:rPr>
          <w:rFonts w:ascii="Times New Roman" w:hAnsi="Times New Roman" w:cs="Times New Roman"/>
          <w:sz w:val="28"/>
          <w:szCs w:val="28"/>
        </w:rPr>
      </w:pPr>
      <w:r>
        <w:rPr>
          <w:rFonts w:ascii="Times New Roman" w:hAnsi="Times New Roman" w:cs="Times New Roman"/>
          <w:b/>
          <w:bCs/>
          <w:sz w:val="28"/>
          <w:szCs w:val="28"/>
        </w:rPr>
        <w:t>Astra Honda Indonesia</w:t>
      </w:r>
      <w:r>
        <w:rPr>
          <w:rFonts w:ascii="Times New Roman" w:hAnsi="Times New Roman" w:cs="Times New Roman"/>
          <w:sz w:val="28"/>
          <w:szCs w:val="28"/>
        </w:rPr>
        <w:t>: GLA=2.1, SCR=54, ROI=7% (nickel shocks)</w:t>
      </w:r>
    </w:p>
    <w:p w:rsidR="00341EA4" w:rsidRDefault="00CD558A">
      <w:pPr>
        <w:numPr>
          <w:ilvl w:val="0"/>
          <w:numId w:val="5"/>
        </w:numPr>
        <w:jc w:val="both"/>
        <w:rPr>
          <w:rFonts w:ascii="Times New Roman" w:hAnsi="Times New Roman" w:cs="Times New Roman"/>
          <w:sz w:val="28"/>
          <w:szCs w:val="28"/>
        </w:rPr>
      </w:pPr>
      <w:r>
        <w:rPr>
          <w:rFonts w:ascii="Times New Roman" w:hAnsi="Times New Roman" w:cs="Times New Roman"/>
          <w:b/>
          <w:bCs/>
          <w:sz w:val="28"/>
          <w:szCs w:val="28"/>
        </w:rPr>
        <w:t>Proton Malaysia</w:t>
      </w:r>
      <w:r>
        <w:rPr>
          <w:rFonts w:ascii="Times New Roman" w:hAnsi="Times New Roman" w:cs="Times New Roman"/>
          <w:sz w:val="28"/>
          <w:szCs w:val="28"/>
        </w:rPr>
        <w:t>: GLA=3.5, SCR=76, ROI=16% (post-flood gains)</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8" w:name="_Toc223564489"/>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4.7 Robustness Tests</w:t>
      </w:r>
      <w:bookmarkEnd w:id="18"/>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Table 7: Robustness Check Results</w:t>
      </w:r>
    </w:p>
    <w:tbl>
      <w:tblPr>
        <w:tblW w:w="5000" w:type="pct"/>
        <w:tblCellMar>
          <w:top w:w="15" w:type="dxa"/>
          <w:left w:w="15" w:type="dxa"/>
          <w:bottom w:w="15" w:type="dxa"/>
          <w:right w:w="15" w:type="dxa"/>
        </w:tblCellMar>
        <w:tblLook w:val="04A0" w:firstRow="1" w:lastRow="0" w:firstColumn="1" w:lastColumn="0" w:noHBand="0" w:noVBand="1"/>
      </w:tblPr>
      <w:tblGrid>
        <w:gridCol w:w="3272"/>
        <w:gridCol w:w="2533"/>
        <w:gridCol w:w="2085"/>
        <w:gridCol w:w="1454"/>
      </w:tblGrid>
      <w:tr w:rsidR="00341EA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lastRenderedPageBreak/>
              <w:t>Test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Statistic</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Pass Criteria</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341EA4" w:rsidRDefault="00CD558A">
            <w:pPr>
              <w:jc w:val="both"/>
              <w:rPr>
                <w:rFonts w:ascii="Times New Roman" w:hAnsi="Times New Roman" w:cs="Times New Roman"/>
                <w:b/>
                <w:bCs/>
                <w:sz w:val="28"/>
                <w:szCs w:val="28"/>
              </w:rPr>
            </w:pPr>
            <w:r>
              <w:rPr>
                <w:rFonts w:ascii="Times New Roman" w:hAnsi="Times New Roman" w:cs="Times New Roman"/>
                <w:b/>
                <w:bCs/>
                <w:sz w:val="28"/>
                <w:szCs w:val="28"/>
              </w:rPr>
              <w:t>Result</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Harman's Single Factor</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38.2% variance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&lt;50%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Pass</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Endogeneity (IV: Policy Stringency)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β GLA→SCR=0.36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Stable ±0.05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Confirmed</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Common Method Bias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ΔR²&lt;0.02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Temporal separation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Pass</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SME Subsample (n=212)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SCR R²=0.39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&gt;0.30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Replicates</w:t>
            </w:r>
          </w:p>
        </w:tc>
      </w:tr>
      <w:tr w:rsidR="00341EA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Alternative Resilience Measure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 xml:space="preserve">Pettit Index </w:t>
            </w:r>
            <w:proofErr w:type="spellStart"/>
            <w:r>
              <w:rPr>
                <w:rFonts w:ascii="Times New Roman" w:hAnsi="Times New Roman" w:cs="Times New Roman"/>
                <w:sz w:val="28"/>
                <w:szCs w:val="28"/>
              </w:rPr>
              <w:t>corr</w:t>
            </w:r>
            <w:proofErr w:type="spellEnd"/>
            <w:r>
              <w:rPr>
                <w:rFonts w:ascii="Times New Roman" w:hAnsi="Times New Roman" w:cs="Times New Roman"/>
                <w:sz w:val="28"/>
                <w:szCs w:val="28"/>
              </w:rPr>
              <w:t>=0.89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r&gt;0.80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341EA4" w:rsidRDefault="00CD558A">
            <w:pPr>
              <w:jc w:val="both"/>
              <w:rPr>
                <w:rFonts w:ascii="Times New Roman" w:hAnsi="Times New Roman" w:cs="Times New Roman"/>
                <w:sz w:val="28"/>
                <w:szCs w:val="28"/>
              </w:rPr>
            </w:pPr>
            <w:r>
              <w:rPr>
                <w:rFonts w:ascii="Times New Roman" w:hAnsi="Times New Roman" w:cs="Times New Roman"/>
                <w:sz w:val="28"/>
                <w:szCs w:val="28"/>
              </w:rPr>
              <w:t>Valid</w:t>
            </w:r>
          </w:p>
        </w:tc>
      </w:tr>
    </w:tbl>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19" w:name="_Toc223564490"/>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4.8 Breakthrough Finding</w:t>
      </w:r>
      <w:bookmarkEnd w:id="19"/>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Threshold effect</w:t>
      </w:r>
      <w:r>
        <w:rPr>
          <w:rFonts w:ascii="Times New Roman" w:hAnsi="Times New Roman" w:cs="Times New Roman"/>
          <w:sz w:val="28"/>
          <w:szCs w:val="28"/>
        </w:rPr>
        <w:t>: EEI adoption flips GLA from cost center (ROI=8% when ECA&lt;3.0) to profit center (ROI=22% when ECA&gt;4.0), explaining 67% of high-performer variance.</w:t>
      </w:r>
    </w:p>
    <w:p w:rsidR="00341EA4" w:rsidRDefault="00CD558A">
      <w:pPr>
        <w:rPr>
          <w:rFonts w:ascii="Times New Roman" w:hAnsi="Times New Roman" w:cs="Times New Roman"/>
          <w:sz w:val="28"/>
          <w:szCs w:val="28"/>
        </w:rPr>
      </w:pPr>
      <w:r>
        <w:rPr>
          <w:rFonts w:ascii="Times New Roman" w:hAnsi="Times New Roman" w:cs="Times New Roman"/>
          <w:sz w:val="28"/>
          <w:szCs w:val="28"/>
        </w:rPr>
        <w:t>Summary: All hypotheses supported with strong effect sizes. Framework delivers 27% resilience uplift, 19.6% ROI, and 38% emissions reduction—most pronounced in Thailand, scalable via ECA capacity-building for SMEs.</w:t>
      </w:r>
      <w:r>
        <w:rPr>
          <w:rFonts w:ascii="Times New Roman" w:hAnsi="Times New Roman" w:cs="Times New Roman"/>
          <w:sz w:val="28"/>
          <w:szCs w:val="28"/>
        </w:rPr>
        <w:br w:type="page"/>
      </w:r>
    </w:p>
    <w:p w:rsidR="00341EA4" w:rsidRDefault="00CD558A">
      <w:pPr>
        <w:pStyle w:val="Heading1"/>
        <w:rPr>
          <w:rStyle w:val="Heading1Cha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0" w:name="_Toc223564491"/>
      <w:r>
        <w:rPr>
          <w:rStyle w:val="Heading1Cha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lastRenderedPageBreak/>
        <w:t>5. Discussion</w:t>
      </w:r>
      <w:bookmarkEnd w:id="20"/>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1" w:name="_Toc223564492"/>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5.1 Theoretical Implications</w:t>
      </w:r>
      <w:bookmarkEnd w:id="21"/>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The findings substantially advance supply chain management (SCM) theory by demonstrating that ecological economics (EE) principles—long </w:t>
      </w:r>
      <w:proofErr w:type="spellStart"/>
      <w:r>
        <w:rPr>
          <w:rFonts w:ascii="Times New Roman" w:hAnsi="Times New Roman" w:cs="Times New Roman"/>
          <w:sz w:val="28"/>
          <w:szCs w:val="28"/>
        </w:rPr>
        <w:t>siloed</w:t>
      </w:r>
      <w:proofErr w:type="spellEnd"/>
      <w:r>
        <w:rPr>
          <w:rFonts w:ascii="Times New Roman" w:hAnsi="Times New Roman" w:cs="Times New Roman"/>
          <w:sz w:val="28"/>
          <w:szCs w:val="28"/>
        </w:rPr>
        <w:t xml:space="preserve"> in environmental economics—serve as powerful moderators when integrated with green logistics practices. Hypothesis 1 confirmation (β=0.38, p&lt;0.001) validates dynamic capabilities theory (</w:t>
      </w:r>
      <w:proofErr w:type="spellStart"/>
      <w:r>
        <w:rPr>
          <w:rFonts w:ascii="Times New Roman" w:hAnsi="Times New Roman" w:cs="Times New Roman"/>
          <w:sz w:val="28"/>
          <w:szCs w:val="28"/>
        </w:rPr>
        <w:t>Teece</w:t>
      </w:r>
      <w:proofErr w:type="spellEnd"/>
      <w:r>
        <w:rPr>
          <w:rFonts w:ascii="Times New Roman" w:hAnsi="Times New Roman" w:cs="Times New Roman"/>
          <w:sz w:val="28"/>
          <w:szCs w:val="28"/>
        </w:rPr>
        <w:t xml:space="preserve"> et al., 1997) in ASEAN contexts, where green logistics adoption builds absorptive capacity for shocks, explaining 32% of resilience variance. This extends Pettit et al.'s (2013) SCRAI framework beyond engineering resilience (redundancy) to ecological resilience (diversity in modal options, circular flows), with top-quartile adopters achieving 78.4 vs. 51.2 SCR scores—a 53% performance gap.</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Most critically, H2's moderation effect (EEI×GLA→SCR, β=0.19, p&lt;0.01) bridges </w:t>
      </w:r>
      <w:proofErr w:type="spellStart"/>
      <w:r>
        <w:rPr>
          <w:rFonts w:ascii="Times New Roman" w:hAnsi="Times New Roman" w:cs="Times New Roman"/>
          <w:sz w:val="28"/>
          <w:szCs w:val="28"/>
        </w:rPr>
        <w:t>Costanza</w:t>
      </w:r>
      <w:proofErr w:type="spellEnd"/>
      <w:r>
        <w:rPr>
          <w:rFonts w:ascii="Times New Roman" w:hAnsi="Times New Roman" w:cs="Times New Roman"/>
          <w:sz w:val="28"/>
          <w:szCs w:val="28"/>
        </w:rPr>
        <w:t xml:space="preserve"> et al.'s (1997) natural capital valuation with SCM, showing full-cost accounting (FCA) and ecosystem service valuation (ESV) amplify green logistics by 100% (28% vs. 14% resilience gains). ECA's 41% mediation role operationalizes Doughnut Economics (</w:t>
      </w:r>
      <w:proofErr w:type="spellStart"/>
      <w:r>
        <w:rPr>
          <w:rFonts w:ascii="Times New Roman" w:hAnsi="Times New Roman" w:cs="Times New Roman"/>
          <w:sz w:val="28"/>
          <w:szCs w:val="28"/>
        </w:rPr>
        <w:t>Raworth</w:t>
      </w:r>
      <w:proofErr w:type="spellEnd"/>
      <w:r>
        <w:rPr>
          <w:rFonts w:ascii="Times New Roman" w:hAnsi="Times New Roman" w:cs="Times New Roman"/>
          <w:sz w:val="28"/>
          <w:szCs w:val="28"/>
        </w:rPr>
        <w:t xml:space="preserve">, 2017), where cognitive shifts from GDP-centric to biophysical metrics flip managerial paradigms—Thai BCG training exemplars scored ECA=3.45 vs. Indonesia's 2.89. This resolves </w:t>
      </w:r>
      <w:proofErr w:type="spellStart"/>
      <w:r>
        <w:rPr>
          <w:rFonts w:ascii="Times New Roman" w:hAnsi="Times New Roman" w:cs="Times New Roman"/>
          <w:sz w:val="28"/>
          <w:szCs w:val="28"/>
        </w:rPr>
        <w:t>Seuring</w:t>
      </w:r>
      <w:proofErr w:type="spellEnd"/>
      <w:r>
        <w:rPr>
          <w:rFonts w:ascii="Times New Roman" w:hAnsi="Times New Roman" w:cs="Times New Roman"/>
          <w:sz w:val="28"/>
          <w:szCs w:val="28"/>
        </w:rPr>
        <w:t xml:space="preserve"> and Müller's (2008) triple bottom line tensions, proving EE resolves the "ecology vs. economy" tradeoff through shadow pricing.</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H3's partial support (ROI=19.6% framework vs. 12.4% GLA-only) nuances resource-based view (RBV) theory (Barney, 1991), positioning integrated frameworks as rare, valuable, inimitable resources yielding sustained competitive advantage—but only above ECA&gt;4.0 thresholds. Simulation results (Table 4) extend system dynamics literature (</w:t>
      </w:r>
      <w:proofErr w:type="spellStart"/>
      <w:r>
        <w:rPr>
          <w:rFonts w:ascii="Times New Roman" w:hAnsi="Times New Roman" w:cs="Times New Roman"/>
          <w:sz w:val="28"/>
          <w:szCs w:val="28"/>
        </w:rPr>
        <w:t>Sterman</w:t>
      </w:r>
      <w:proofErr w:type="spellEnd"/>
      <w:r>
        <w:rPr>
          <w:rFonts w:ascii="Times New Roman" w:hAnsi="Times New Roman" w:cs="Times New Roman"/>
          <w:sz w:val="28"/>
          <w:szCs w:val="28"/>
        </w:rPr>
        <w:t>, 2000), quantifying reinforcing loops where resilience investments compound via reduced downtime (14 vs. 45 days recovery).</w:t>
      </w:r>
    </w:p>
    <w:p w:rsidR="00341EA4" w:rsidRDefault="00341EA4">
      <w:pPr>
        <w:ind w:firstLine="720"/>
        <w:jc w:val="both"/>
        <w:rPr>
          <w:rFonts w:ascii="Times New Roman" w:hAnsi="Times New Roman" w:cs="Times New Roman"/>
          <w:sz w:val="28"/>
          <w:szCs w:val="28"/>
        </w:rPr>
      </w:pPr>
    </w:p>
    <w:p w:rsidR="00341EA4" w:rsidRDefault="00341EA4">
      <w:pPr>
        <w:ind w:firstLine="720"/>
        <w:jc w:val="both"/>
        <w:rPr>
          <w:rFonts w:ascii="Times New Roman" w:hAnsi="Times New Roman" w:cs="Times New Roman"/>
          <w:sz w:val="28"/>
          <w:szCs w:val="28"/>
        </w:rPr>
      </w:pPr>
    </w:p>
    <w:p w:rsidR="00341EA4" w:rsidRDefault="00341EA4">
      <w:pPr>
        <w:ind w:firstLine="720"/>
        <w:jc w:val="both"/>
        <w:rPr>
          <w:rFonts w:ascii="Times New Roman" w:hAnsi="Times New Roman" w:cs="Times New Roman"/>
          <w:sz w:val="28"/>
          <w:szCs w:val="28"/>
        </w:rPr>
      </w:pPr>
    </w:p>
    <w:p w:rsidR="00341EA4" w:rsidRDefault="00341EA4">
      <w:pPr>
        <w:ind w:firstLine="720"/>
        <w:jc w:val="both"/>
        <w:rPr>
          <w:rFonts w:ascii="Times New Roman" w:hAnsi="Times New Roman" w:cs="Times New Roman"/>
          <w:sz w:val="28"/>
          <w:szCs w:val="28"/>
        </w:rPr>
      </w:pPr>
    </w:p>
    <w:p w:rsidR="00341EA4" w:rsidRDefault="00341EA4">
      <w:pPr>
        <w:ind w:firstLine="720"/>
        <w:jc w:val="both"/>
        <w:rPr>
          <w:rFonts w:ascii="Times New Roman" w:hAnsi="Times New Roman" w:cs="Times New Roman"/>
          <w:sz w:val="28"/>
          <w:szCs w:val="28"/>
        </w:rPr>
      </w:pP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lastRenderedPageBreak/>
        <w:t>Table 8: Theoretical Contributions by Paradigm</w:t>
      </w:r>
    </w:p>
    <w:tbl>
      <w:tblPr>
        <w:tblW w:w="8711"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353"/>
        <w:gridCol w:w="1797"/>
        <w:gridCol w:w="2480"/>
        <w:gridCol w:w="2081"/>
      </w:tblGrid>
      <w:tr w:rsidR="00341EA4" w:rsidRPr="006B1048">
        <w:trPr>
          <w:trHeight w:val="452"/>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tcPr>
          <w:p w:rsidR="00341EA4" w:rsidRPr="006B1048" w:rsidRDefault="00CD558A">
            <w:pPr>
              <w:jc w:val="both"/>
              <w:rPr>
                <w:rFonts w:ascii="Times New Roman" w:hAnsi="Times New Roman" w:cs="Times New Roman"/>
                <w:b/>
                <w:bCs/>
                <w:sz w:val="28"/>
                <w:szCs w:val="28"/>
                <w:highlight w:val="yellow"/>
              </w:rPr>
            </w:pPr>
            <w:r w:rsidRPr="006B1048">
              <w:rPr>
                <w:rFonts w:ascii="Times New Roman" w:hAnsi="Times New Roman" w:cs="Times New Roman"/>
                <w:b/>
                <w:bCs/>
                <w:sz w:val="28"/>
                <w:szCs w:val="28"/>
                <w:highlight w:val="yellow"/>
              </w:rPr>
              <w:t>Paradigm</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tcPr>
          <w:p w:rsidR="00341EA4" w:rsidRPr="006B1048" w:rsidRDefault="00CD558A">
            <w:pPr>
              <w:jc w:val="both"/>
              <w:rPr>
                <w:rFonts w:ascii="Times New Roman" w:hAnsi="Times New Roman" w:cs="Times New Roman"/>
                <w:b/>
                <w:bCs/>
                <w:sz w:val="28"/>
                <w:szCs w:val="28"/>
                <w:highlight w:val="yellow"/>
              </w:rPr>
            </w:pPr>
            <w:r w:rsidRPr="006B1048">
              <w:rPr>
                <w:rFonts w:ascii="Times New Roman" w:hAnsi="Times New Roman" w:cs="Times New Roman"/>
                <w:b/>
                <w:bCs/>
                <w:sz w:val="28"/>
                <w:szCs w:val="28"/>
                <w:highlight w:val="yellow"/>
              </w:rPr>
              <w:t>Gap Addressed</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tcPr>
          <w:p w:rsidR="00341EA4" w:rsidRPr="006B1048" w:rsidRDefault="00CD558A">
            <w:pPr>
              <w:jc w:val="both"/>
              <w:rPr>
                <w:rFonts w:ascii="Times New Roman" w:hAnsi="Times New Roman" w:cs="Times New Roman"/>
                <w:b/>
                <w:bCs/>
                <w:sz w:val="28"/>
                <w:szCs w:val="28"/>
                <w:highlight w:val="yellow"/>
              </w:rPr>
            </w:pPr>
            <w:r w:rsidRPr="006B1048">
              <w:rPr>
                <w:rFonts w:ascii="Times New Roman" w:hAnsi="Times New Roman" w:cs="Times New Roman"/>
                <w:b/>
                <w:bCs/>
                <w:sz w:val="28"/>
                <w:szCs w:val="28"/>
                <w:highlight w:val="yellow"/>
              </w:rPr>
              <w:t>Contribution</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tcPr>
          <w:p w:rsidR="00341EA4" w:rsidRPr="006B1048" w:rsidRDefault="00CD558A">
            <w:pPr>
              <w:jc w:val="both"/>
              <w:rPr>
                <w:rFonts w:ascii="Times New Roman" w:hAnsi="Times New Roman" w:cs="Times New Roman"/>
                <w:b/>
                <w:bCs/>
                <w:sz w:val="28"/>
                <w:szCs w:val="28"/>
                <w:highlight w:val="yellow"/>
              </w:rPr>
            </w:pPr>
            <w:r w:rsidRPr="006B1048">
              <w:rPr>
                <w:rFonts w:ascii="Times New Roman" w:hAnsi="Times New Roman" w:cs="Times New Roman"/>
                <w:b/>
                <w:bCs/>
                <w:sz w:val="28"/>
                <w:szCs w:val="28"/>
                <w:highlight w:val="yellow"/>
              </w:rPr>
              <w:t>Key Finding</w:t>
            </w:r>
          </w:p>
        </w:tc>
      </w:tr>
      <w:tr w:rsidR="00341EA4" w:rsidRPr="006B1048">
        <w:trPr>
          <w:trHeight w:val="760"/>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Dynamic Capabilities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ASEAN empirics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Green logistics as resilience capability</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β=0.38 GLA→SCR</w:t>
            </w:r>
          </w:p>
        </w:tc>
      </w:tr>
      <w:tr w:rsidR="00341EA4" w:rsidRPr="006B1048">
        <w:trPr>
          <w:trHeight w:val="760"/>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Natural Capital Accounting</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SCM application</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EEI doubles GLA effectiveness</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+14% resilience moderation</w:t>
            </w:r>
          </w:p>
        </w:tc>
      </w:tr>
      <w:tr w:rsidR="00341EA4" w:rsidRPr="006B1048">
        <w:trPr>
          <w:trHeight w:val="768"/>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RBV/Sustained Advantage</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ROI proof</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Framework &gt; standalone SSCM</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19.6% vs 12.4% ROI</w:t>
            </w:r>
          </w:p>
        </w:tc>
      </w:tr>
      <w:tr w:rsidR="00341EA4">
        <w:trPr>
          <w:trHeight w:val="752"/>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Socio-Ecological Systems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Supply chain nesting</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tcPr>
          <w:p w:rsidR="00341EA4" w:rsidRPr="006B1048" w:rsidRDefault="00CD558A">
            <w:p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 xml:space="preserve">ECA threshold flips </w:t>
            </w:r>
            <w:proofErr w:type="spellStart"/>
            <w:r w:rsidRPr="006B1048">
              <w:rPr>
                <w:rFonts w:ascii="Times New Roman" w:hAnsi="Times New Roman" w:cs="Times New Roman"/>
                <w:sz w:val="28"/>
                <w:szCs w:val="28"/>
                <w:highlight w:val="yellow"/>
              </w:rPr>
              <w:t>cost→profit</w:t>
            </w:r>
            <w:proofErr w:type="spellEnd"/>
          </w:p>
        </w:tc>
        <w:tc>
          <w:tcPr>
            <w:tcW w:w="0" w:type="auto"/>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tcPr>
          <w:p w:rsidR="00341EA4" w:rsidRDefault="00CD558A">
            <w:pPr>
              <w:jc w:val="both"/>
              <w:rPr>
                <w:rFonts w:ascii="Times New Roman" w:hAnsi="Times New Roman" w:cs="Times New Roman"/>
                <w:sz w:val="28"/>
                <w:szCs w:val="28"/>
              </w:rPr>
            </w:pPr>
            <w:r w:rsidRPr="006B1048">
              <w:rPr>
                <w:rFonts w:ascii="Times New Roman" w:hAnsi="Times New Roman" w:cs="Times New Roman"/>
                <w:sz w:val="28"/>
                <w:szCs w:val="28"/>
                <w:highlight w:val="yellow"/>
              </w:rPr>
              <w:t>ROI 8%→22% at ECA&gt;4.0</w:t>
            </w:r>
            <w:bookmarkStart w:id="22" w:name="_GoBack"/>
            <w:bookmarkEnd w:id="22"/>
          </w:p>
        </w:tc>
      </w:tr>
    </w:tbl>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3" w:name="_Toc223564493"/>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5.2 Contextual Interpretation: ASEAN Automotive Realities</w:t>
      </w:r>
      <w:bookmarkEnd w:id="23"/>
    </w:p>
    <w:p w:rsidR="00341EA4" w:rsidRDefault="00CD558A">
      <w:pPr>
        <w:ind w:firstLine="720"/>
        <w:jc w:val="both"/>
        <w:rPr>
          <w:rFonts w:ascii="Times New Roman" w:hAnsi="Times New Roman" w:cs="Times New Roman"/>
          <w:sz w:val="28"/>
          <w:szCs w:val="28"/>
        </w:rPr>
      </w:pPr>
      <w:r>
        <w:rPr>
          <w:rFonts w:ascii="Times New Roman" w:hAnsi="Times New Roman" w:cs="Times New Roman"/>
          <w:b/>
          <w:bCs/>
          <w:sz w:val="28"/>
          <w:szCs w:val="28"/>
        </w:rPr>
        <w:t>Thailand's leadership</w:t>
      </w:r>
      <w:r>
        <w:rPr>
          <w:rFonts w:ascii="Times New Roman" w:hAnsi="Times New Roman" w:cs="Times New Roman"/>
          <w:sz w:val="28"/>
          <w:szCs w:val="28"/>
        </w:rPr>
        <w:t> (GLA=3.24, ROI=17.2%) embodies policy-induced path dependency: BCG Model's mandatory ESG reporting since 2021 created institutional isomorphism (DiMaggio &amp; Powell, 1983), with Toyota's SCR=85 validating mimetic pressures. Qualitative data reveals "flood-forced rail pivots" as punctuated equilibrium events (</w:t>
      </w:r>
      <w:proofErr w:type="spellStart"/>
      <w:r>
        <w:rPr>
          <w:rFonts w:ascii="Times New Roman" w:hAnsi="Times New Roman" w:cs="Times New Roman"/>
          <w:sz w:val="28"/>
          <w:szCs w:val="28"/>
        </w:rPr>
        <w:t>Gersick</w:t>
      </w:r>
      <w:proofErr w:type="spellEnd"/>
      <w:r>
        <w:rPr>
          <w:rFonts w:ascii="Times New Roman" w:hAnsi="Times New Roman" w:cs="Times New Roman"/>
          <w:sz w:val="28"/>
          <w:szCs w:val="28"/>
        </w:rPr>
        <w:t>, 1991), accelerating adoption absent pre-existing EEI.</w:t>
      </w:r>
    </w:p>
    <w:p w:rsidR="00341EA4" w:rsidRDefault="00CD558A">
      <w:pPr>
        <w:ind w:firstLine="720"/>
        <w:jc w:val="both"/>
        <w:rPr>
          <w:rFonts w:ascii="Times New Roman" w:hAnsi="Times New Roman" w:cs="Times New Roman"/>
          <w:sz w:val="28"/>
          <w:szCs w:val="28"/>
        </w:rPr>
      </w:pPr>
      <w:r>
        <w:rPr>
          <w:rFonts w:ascii="Times New Roman" w:hAnsi="Times New Roman" w:cs="Times New Roman"/>
          <w:b/>
          <w:bCs/>
          <w:sz w:val="28"/>
          <w:szCs w:val="28"/>
        </w:rPr>
        <w:t>Indonesia's lag</w:t>
      </w:r>
      <w:r>
        <w:rPr>
          <w:rFonts w:ascii="Times New Roman" w:hAnsi="Times New Roman" w:cs="Times New Roman"/>
          <w:sz w:val="28"/>
          <w:szCs w:val="28"/>
        </w:rPr>
        <w:t> (EEI=1.12, ROI=9.1%) reflects commodity curse dynamics: nickel's $20k/ton price overshadows ESV ("mangrove math"), creating cognitive lock-in despite 35% ASEAN production share. Astra Honda's SCR=54 confirms resource dependence theory (</w:t>
      </w:r>
      <w:proofErr w:type="spellStart"/>
      <w:r>
        <w:rPr>
          <w:rFonts w:ascii="Times New Roman" w:hAnsi="Times New Roman" w:cs="Times New Roman"/>
          <w:sz w:val="28"/>
          <w:szCs w:val="28"/>
        </w:rPr>
        <w:t>Pfeffer</w:t>
      </w:r>
      <w:proofErr w:type="spellEnd"/>
      <w:r>
        <w:rPr>
          <w:rFonts w:ascii="Times New Roman" w:hAnsi="Times New Roman" w:cs="Times New Roman"/>
          <w:sz w:val="28"/>
          <w:szCs w:val="28"/>
        </w:rPr>
        <w:t xml:space="preserve"> &amp; </w:t>
      </w:r>
      <w:proofErr w:type="spellStart"/>
      <w:r>
        <w:rPr>
          <w:rFonts w:ascii="Times New Roman" w:hAnsi="Times New Roman" w:cs="Times New Roman"/>
          <w:sz w:val="28"/>
          <w:szCs w:val="28"/>
        </w:rPr>
        <w:t>Salancik</w:t>
      </w:r>
      <w:proofErr w:type="spellEnd"/>
      <w:r>
        <w:rPr>
          <w:rFonts w:ascii="Times New Roman" w:hAnsi="Times New Roman" w:cs="Times New Roman"/>
          <w:sz w:val="28"/>
          <w:szCs w:val="28"/>
        </w:rPr>
        <w:t>, 1978)—downstream assemblers hostage to volatile upstream mining amid rupiah crashes and 2025 export bans.</w:t>
      </w:r>
    </w:p>
    <w:p w:rsidR="00341EA4" w:rsidRDefault="00CD558A">
      <w:pPr>
        <w:ind w:firstLine="720"/>
        <w:jc w:val="both"/>
        <w:rPr>
          <w:rFonts w:ascii="Times New Roman" w:hAnsi="Times New Roman" w:cs="Times New Roman"/>
          <w:sz w:val="28"/>
          <w:szCs w:val="28"/>
        </w:rPr>
      </w:pPr>
      <w:r>
        <w:rPr>
          <w:rFonts w:ascii="Times New Roman" w:hAnsi="Times New Roman" w:cs="Times New Roman"/>
          <w:b/>
          <w:bCs/>
          <w:sz w:val="28"/>
          <w:szCs w:val="28"/>
        </w:rPr>
        <w:t>Malaysia's adaptation</w:t>
      </w:r>
      <w:r>
        <w:rPr>
          <w:rFonts w:ascii="Times New Roman" w:hAnsi="Times New Roman" w:cs="Times New Roman"/>
          <w:sz w:val="28"/>
          <w:szCs w:val="28"/>
        </w:rPr>
        <w:t> (SCR=68.2) exemplifies learning from crisis: 2021 Penang floods ($2.5B losses) triggered double-loop learning (</w:t>
      </w:r>
      <w:proofErr w:type="spellStart"/>
      <w:r>
        <w:rPr>
          <w:rFonts w:ascii="Times New Roman" w:hAnsi="Times New Roman" w:cs="Times New Roman"/>
          <w:sz w:val="28"/>
          <w:szCs w:val="28"/>
        </w:rPr>
        <w:t>Argyris</w:t>
      </w:r>
      <w:proofErr w:type="spellEnd"/>
      <w:r>
        <w:rPr>
          <w:rFonts w:ascii="Times New Roman" w:hAnsi="Times New Roman" w:cs="Times New Roman"/>
          <w:sz w:val="28"/>
          <w:szCs w:val="28"/>
        </w:rPr>
        <w:t xml:space="preserve"> &amp; </w:t>
      </w:r>
      <w:proofErr w:type="spellStart"/>
      <w:r>
        <w:rPr>
          <w:rFonts w:ascii="Times New Roman" w:hAnsi="Times New Roman" w:cs="Times New Roman"/>
          <w:sz w:val="28"/>
          <w:szCs w:val="28"/>
        </w:rPr>
        <w:t>Schön</w:t>
      </w:r>
      <w:proofErr w:type="spellEnd"/>
      <w:r>
        <w:rPr>
          <w:rFonts w:ascii="Times New Roman" w:hAnsi="Times New Roman" w:cs="Times New Roman"/>
          <w:sz w:val="28"/>
          <w:szCs w:val="28"/>
        </w:rPr>
        <w:t xml:space="preserve">, 1978), with Proton's </w:t>
      </w:r>
      <w:proofErr w:type="spellStart"/>
      <w:r>
        <w:rPr>
          <w:rFonts w:ascii="Times New Roman" w:hAnsi="Times New Roman" w:cs="Times New Roman"/>
          <w:sz w:val="28"/>
          <w:szCs w:val="28"/>
        </w:rPr>
        <w:t>blockchain</w:t>
      </w:r>
      <w:proofErr w:type="spellEnd"/>
      <w:r>
        <w:rPr>
          <w:rFonts w:ascii="Times New Roman" w:hAnsi="Times New Roman" w:cs="Times New Roman"/>
          <w:sz w:val="28"/>
          <w:szCs w:val="28"/>
        </w:rPr>
        <w:t xml:space="preserve"> Scope 3 verification unlocking EU premiums. Yet </w:t>
      </w:r>
      <w:r>
        <w:rPr>
          <w:rFonts w:ascii="Times New Roman" w:hAnsi="Times New Roman" w:cs="Times New Roman"/>
          <w:sz w:val="28"/>
          <w:szCs w:val="28"/>
        </w:rPr>
        <w:lastRenderedPageBreak/>
        <w:t>SME capex barriers (67% interview theme) signal financing market failures characteristic of middle-income traps.</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Country patterns align with institutional theory: Thailand's coercive isomorphism (regulation), Malaysia's normative (professional networks post-flood), Indonesia's none—explaining path coefficient variances (Thailand β=0.45 vs. Indonesia β=0.28).</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4" w:name="_Toc223564494"/>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5.3 Managerial Implications</w:t>
      </w:r>
      <w:bookmarkEnd w:id="24"/>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Adoption roadmap</w:t>
      </w:r>
      <w:r>
        <w:rPr>
          <w:rFonts w:ascii="Times New Roman" w:hAnsi="Times New Roman" w:cs="Times New Roman"/>
          <w:sz w:val="28"/>
          <w:szCs w:val="28"/>
        </w:rPr>
        <w:t> for 80% SME suppliers:</w:t>
      </w:r>
    </w:p>
    <w:p w:rsidR="00341EA4" w:rsidRDefault="00CD558A">
      <w:pPr>
        <w:numPr>
          <w:ilvl w:val="0"/>
          <w:numId w:val="6"/>
        </w:numPr>
        <w:jc w:val="both"/>
        <w:rPr>
          <w:rFonts w:ascii="Times New Roman" w:hAnsi="Times New Roman" w:cs="Times New Roman"/>
          <w:sz w:val="28"/>
          <w:szCs w:val="28"/>
        </w:rPr>
      </w:pPr>
      <w:r>
        <w:rPr>
          <w:rFonts w:ascii="Times New Roman" w:hAnsi="Times New Roman" w:cs="Times New Roman"/>
          <w:b/>
          <w:bCs/>
          <w:sz w:val="28"/>
          <w:szCs w:val="28"/>
        </w:rPr>
        <w:t>Phase 1 (0-12 months)</w:t>
      </w:r>
      <w:r>
        <w:rPr>
          <w:rFonts w:ascii="Times New Roman" w:hAnsi="Times New Roman" w:cs="Times New Roman"/>
          <w:sz w:val="28"/>
          <w:szCs w:val="28"/>
        </w:rPr>
        <w:t>: Modal shift pilots (rail&gt;30% volume) yield quickest ROI (12.4%)</w:t>
      </w:r>
    </w:p>
    <w:p w:rsidR="00341EA4" w:rsidRDefault="00CD558A">
      <w:pPr>
        <w:numPr>
          <w:ilvl w:val="0"/>
          <w:numId w:val="6"/>
        </w:numPr>
        <w:jc w:val="both"/>
        <w:rPr>
          <w:rFonts w:ascii="Times New Roman" w:hAnsi="Times New Roman" w:cs="Times New Roman"/>
          <w:sz w:val="28"/>
          <w:szCs w:val="28"/>
        </w:rPr>
      </w:pPr>
      <w:r>
        <w:rPr>
          <w:rFonts w:ascii="Times New Roman" w:hAnsi="Times New Roman" w:cs="Times New Roman"/>
          <w:b/>
          <w:bCs/>
          <w:sz w:val="28"/>
          <w:szCs w:val="28"/>
        </w:rPr>
        <w:t>Phase 2 (12-24 months)</w:t>
      </w:r>
      <w:r>
        <w:rPr>
          <w:rFonts w:ascii="Times New Roman" w:hAnsi="Times New Roman" w:cs="Times New Roman"/>
          <w:sz w:val="28"/>
          <w:szCs w:val="28"/>
        </w:rPr>
        <w:t>: FCA training flips ECA&gt;4.0, unlocking 28% resilience bonus</w:t>
      </w:r>
    </w:p>
    <w:p w:rsidR="00341EA4" w:rsidRDefault="00CD558A">
      <w:pPr>
        <w:numPr>
          <w:ilvl w:val="0"/>
          <w:numId w:val="6"/>
        </w:numPr>
        <w:jc w:val="both"/>
        <w:rPr>
          <w:rFonts w:ascii="Times New Roman" w:hAnsi="Times New Roman" w:cs="Times New Roman"/>
          <w:sz w:val="28"/>
          <w:szCs w:val="28"/>
        </w:rPr>
      </w:pPr>
      <w:r>
        <w:rPr>
          <w:rFonts w:ascii="Times New Roman" w:hAnsi="Times New Roman" w:cs="Times New Roman"/>
          <w:b/>
          <w:bCs/>
          <w:sz w:val="28"/>
          <w:szCs w:val="28"/>
        </w:rPr>
        <w:t>Phase 3 (24-36 months)</w:t>
      </w:r>
      <w:r>
        <w:rPr>
          <w:rFonts w:ascii="Times New Roman" w:hAnsi="Times New Roman" w:cs="Times New Roman"/>
          <w:sz w:val="28"/>
          <w:szCs w:val="28"/>
        </w:rPr>
        <w:t xml:space="preserve">: ESV for tier-2 nickel/rubber + </w:t>
      </w:r>
      <w:proofErr w:type="spellStart"/>
      <w:r>
        <w:rPr>
          <w:rFonts w:ascii="Times New Roman" w:hAnsi="Times New Roman" w:cs="Times New Roman"/>
          <w:sz w:val="28"/>
          <w:szCs w:val="28"/>
        </w:rPr>
        <w:t>blockchain</w:t>
      </w:r>
      <w:proofErr w:type="spellEnd"/>
      <w:r>
        <w:rPr>
          <w:rFonts w:ascii="Times New Roman" w:hAnsi="Times New Roman" w:cs="Times New Roman"/>
          <w:sz w:val="28"/>
          <w:szCs w:val="28"/>
        </w:rPr>
        <w:t xml:space="preserve"> = 19.6% framework ROI</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SME toolkit</w:t>
      </w:r>
      <w:r>
        <w:rPr>
          <w:rFonts w:ascii="Times New Roman" w:hAnsi="Times New Roman" w:cs="Times New Roman"/>
          <w:sz w:val="28"/>
          <w:szCs w:val="28"/>
        </w:rPr>
        <w:t>:</w:t>
      </w:r>
    </w:p>
    <w:p w:rsidR="00341EA4" w:rsidRDefault="00CD558A">
      <w:pPr>
        <w:numPr>
          <w:ilvl w:val="0"/>
          <w:numId w:val="7"/>
        </w:numPr>
        <w:jc w:val="both"/>
        <w:rPr>
          <w:rFonts w:ascii="Times New Roman" w:hAnsi="Times New Roman" w:cs="Times New Roman"/>
          <w:sz w:val="28"/>
          <w:szCs w:val="28"/>
        </w:rPr>
      </w:pPr>
      <w:r>
        <w:rPr>
          <w:rFonts w:ascii="Times New Roman" w:hAnsi="Times New Roman" w:cs="Times New Roman"/>
          <w:b/>
          <w:bCs/>
          <w:sz w:val="28"/>
          <w:szCs w:val="28"/>
        </w:rPr>
        <w:t>Quick wins</w:t>
      </w:r>
      <w:r>
        <w:rPr>
          <w:rFonts w:ascii="Times New Roman" w:hAnsi="Times New Roman" w:cs="Times New Roman"/>
          <w:sz w:val="28"/>
          <w:szCs w:val="28"/>
        </w:rPr>
        <w:t>: Carbon-optimal routing (AI telematics, -15% fuel)</w:t>
      </w:r>
    </w:p>
    <w:p w:rsidR="00341EA4" w:rsidRDefault="00CD558A">
      <w:pPr>
        <w:numPr>
          <w:ilvl w:val="0"/>
          <w:numId w:val="7"/>
        </w:numPr>
        <w:jc w:val="both"/>
        <w:rPr>
          <w:rFonts w:ascii="Times New Roman" w:hAnsi="Times New Roman" w:cs="Times New Roman"/>
          <w:sz w:val="28"/>
          <w:szCs w:val="28"/>
        </w:rPr>
      </w:pPr>
      <w:r>
        <w:rPr>
          <w:rFonts w:ascii="Times New Roman" w:hAnsi="Times New Roman" w:cs="Times New Roman"/>
          <w:b/>
          <w:bCs/>
          <w:sz w:val="28"/>
          <w:szCs w:val="28"/>
        </w:rPr>
        <w:t>Capex solutions</w:t>
      </w:r>
      <w:r>
        <w:rPr>
          <w:rFonts w:ascii="Times New Roman" w:hAnsi="Times New Roman" w:cs="Times New Roman"/>
          <w:sz w:val="28"/>
          <w:szCs w:val="28"/>
        </w:rPr>
        <w:t>: Leasing electrified warehouses (3yr payback)</w:t>
      </w:r>
    </w:p>
    <w:p w:rsidR="00341EA4" w:rsidRDefault="00CD558A">
      <w:pPr>
        <w:numPr>
          <w:ilvl w:val="0"/>
          <w:numId w:val="7"/>
        </w:numPr>
        <w:jc w:val="both"/>
        <w:rPr>
          <w:rFonts w:ascii="Times New Roman" w:hAnsi="Times New Roman" w:cs="Times New Roman"/>
          <w:sz w:val="28"/>
          <w:szCs w:val="28"/>
        </w:rPr>
      </w:pPr>
      <w:r>
        <w:rPr>
          <w:rFonts w:ascii="Times New Roman" w:hAnsi="Times New Roman" w:cs="Times New Roman"/>
          <w:b/>
          <w:bCs/>
          <w:sz w:val="28"/>
          <w:szCs w:val="28"/>
        </w:rPr>
        <w:t>Verification</w:t>
      </w:r>
      <w:r>
        <w:rPr>
          <w:rFonts w:ascii="Times New Roman" w:hAnsi="Times New Roman" w:cs="Times New Roman"/>
          <w:sz w:val="28"/>
          <w:szCs w:val="28"/>
        </w:rPr>
        <w:t>: CDP Supply Chain Program for Scope 3 premiums</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OEM leverage</w:t>
      </w:r>
      <w:r>
        <w:rPr>
          <w:rFonts w:ascii="Times New Roman" w:hAnsi="Times New Roman" w:cs="Times New Roman"/>
          <w:sz w:val="28"/>
          <w:szCs w:val="28"/>
        </w:rPr>
        <w:t>: Supplier scorecards weighted 40% green logistics + 20% EEI maturity. Toyota model: BCG training cascades to 200 tier-2 SMEs.</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Disruption playbook</w:t>
      </w:r>
      <w:r>
        <w:rPr>
          <w:rFonts w:ascii="Times New Roman" w:hAnsi="Times New Roman" w:cs="Times New Roman"/>
          <w:sz w:val="28"/>
          <w:szCs w:val="28"/>
        </w:rPr>
        <w:t>:</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Flood (Thailand): Pre-position rail buffers (+14 days recovery)</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Nickel shock (Indonesia): ESV diversification contracts (-15% ROI risk)</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Currency crash: Local content + CE recycling (Proton strategy)</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5" w:name="_Toc223564495"/>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5.4 Policy Recommendations</w:t>
      </w:r>
      <w:bookmarkEnd w:id="25"/>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Regional harmonization</w:t>
      </w:r>
      <w:r>
        <w:rPr>
          <w:rFonts w:ascii="Times New Roman" w:hAnsi="Times New Roman" w:cs="Times New Roman"/>
          <w:sz w:val="28"/>
          <w:szCs w:val="28"/>
        </w:rPr>
        <w:t> via ASEAN Framework on Supply Chain Resilience (2026):</w:t>
      </w:r>
    </w:p>
    <w:p w:rsidR="00341EA4" w:rsidRPr="006B1048" w:rsidRDefault="00CD558A">
      <w:pPr>
        <w:numPr>
          <w:ilvl w:val="0"/>
          <w:numId w:val="8"/>
        </w:numPr>
        <w:jc w:val="both"/>
        <w:rPr>
          <w:rFonts w:ascii="Times New Roman" w:hAnsi="Times New Roman" w:cs="Times New Roman"/>
          <w:sz w:val="28"/>
          <w:szCs w:val="28"/>
          <w:highlight w:val="yellow"/>
        </w:rPr>
      </w:pPr>
      <w:r w:rsidRPr="006B1048">
        <w:rPr>
          <w:rFonts w:ascii="Times New Roman" w:hAnsi="Times New Roman" w:cs="Times New Roman"/>
          <w:b/>
          <w:bCs/>
          <w:sz w:val="28"/>
          <w:szCs w:val="28"/>
          <w:highlight w:val="yellow"/>
        </w:rPr>
        <w:t>Carbon Border Adjustment Mechanism (CBAM)</w:t>
      </w:r>
      <w:r w:rsidRPr="006B1048">
        <w:rPr>
          <w:rFonts w:ascii="Times New Roman" w:hAnsi="Times New Roman" w:cs="Times New Roman"/>
          <w:sz w:val="28"/>
          <w:szCs w:val="28"/>
          <w:highlight w:val="yellow"/>
        </w:rPr>
        <w:t>: $50/</w:t>
      </w:r>
      <w:proofErr w:type="spellStart"/>
      <w:r w:rsidRPr="006B1048">
        <w:rPr>
          <w:rFonts w:ascii="Times New Roman" w:hAnsi="Times New Roman" w:cs="Times New Roman"/>
          <w:sz w:val="28"/>
          <w:szCs w:val="28"/>
          <w:highlight w:val="yellow"/>
        </w:rPr>
        <w:t>tCO₂e</w:t>
      </w:r>
      <w:proofErr w:type="spellEnd"/>
      <w:r w:rsidRPr="006B1048">
        <w:rPr>
          <w:rFonts w:ascii="Times New Roman" w:hAnsi="Times New Roman" w:cs="Times New Roman"/>
          <w:sz w:val="28"/>
          <w:szCs w:val="28"/>
          <w:highlight w:val="yellow"/>
        </w:rPr>
        <w:t xml:space="preserve"> floor aligns Thai/Indonesian costs</w:t>
      </w:r>
    </w:p>
    <w:p w:rsidR="00341EA4" w:rsidRPr="006B1048" w:rsidRDefault="00CD558A">
      <w:pPr>
        <w:numPr>
          <w:ilvl w:val="0"/>
          <w:numId w:val="8"/>
        </w:numPr>
        <w:jc w:val="both"/>
        <w:rPr>
          <w:rFonts w:ascii="Times New Roman" w:hAnsi="Times New Roman" w:cs="Times New Roman"/>
          <w:sz w:val="28"/>
          <w:szCs w:val="28"/>
          <w:highlight w:val="yellow"/>
        </w:rPr>
      </w:pPr>
      <w:r w:rsidRPr="006B1048">
        <w:rPr>
          <w:rFonts w:ascii="Times New Roman" w:hAnsi="Times New Roman" w:cs="Times New Roman"/>
          <w:b/>
          <w:bCs/>
          <w:sz w:val="28"/>
          <w:szCs w:val="28"/>
          <w:highlight w:val="yellow"/>
        </w:rPr>
        <w:lastRenderedPageBreak/>
        <w:t>EEI Capacity Fund</w:t>
      </w:r>
      <w:r w:rsidRPr="006B1048">
        <w:rPr>
          <w:rFonts w:ascii="Times New Roman" w:hAnsi="Times New Roman" w:cs="Times New Roman"/>
          <w:sz w:val="28"/>
          <w:szCs w:val="28"/>
          <w:highlight w:val="yellow"/>
        </w:rPr>
        <w:t>: $500M for SME FCA/ESV training (Thai-German model scaled)</w:t>
      </w:r>
    </w:p>
    <w:p w:rsidR="00341EA4" w:rsidRPr="006B1048" w:rsidRDefault="00CD558A">
      <w:pPr>
        <w:numPr>
          <w:ilvl w:val="0"/>
          <w:numId w:val="8"/>
        </w:numPr>
        <w:jc w:val="both"/>
        <w:rPr>
          <w:rFonts w:ascii="Times New Roman" w:hAnsi="Times New Roman" w:cs="Times New Roman"/>
          <w:sz w:val="28"/>
          <w:szCs w:val="28"/>
          <w:highlight w:val="yellow"/>
        </w:rPr>
      </w:pPr>
      <w:r w:rsidRPr="006B1048">
        <w:rPr>
          <w:rFonts w:ascii="Times New Roman" w:hAnsi="Times New Roman" w:cs="Times New Roman"/>
          <w:b/>
          <w:bCs/>
          <w:sz w:val="28"/>
          <w:szCs w:val="28"/>
          <w:highlight w:val="yellow"/>
        </w:rPr>
        <w:t>Green Corridor Standards</w:t>
      </w:r>
      <w:r w:rsidRPr="006B1048">
        <w:rPr>
          <w:rFonts w:ascii="Times New Roman" w:hAnsi="Times New Roman" w:cs="Times New Roman"/>
          <w:sz w:val="28"/>
          <w:szCs w:val="28"/>
          <w:highlight w:val="yellow"/>
        </w:rPr>
        <w:t>: Harmonized ELV recycling (target 85% vs. current 70%)</w:t>
      </w:r>
    </w:p>
    <w:p w:rsidR="00341EA4" w:rsidRPr="006B1048" w:rsidRDefault="00CD558A">
      <w:pPr>
        <w:numPr>
          <w:ilvl w:val="0"/>
          <w:numId w:val="8"/>
        </w:numPr>
        <w:jc w:val="both"/>
        <w:rPr>
          <w:rFonts w:ascii="Times New Roman" w:hAnsi="Times New Roman" w:cs="Times New Roman"/>
          <w:sz w:val="28"/>
          <w:szCs w:val="28"/>
          <w:highlight w:val="yellow"/>
        </w:rPr>
      </w:pPr>
      <w:r w:rsidRPr="006B1048">
        <w:rPr>
          <w:rFonts w:ascii="Times New Roman" w:hAnsi="Times New Roman" w:cs="Times New Roman"/>
          <w:b/>
          <w:bCs/>
          <w:sz w:val="28"/>
          <w:szCs w:val="28"/>
          <w:highlight w:val="yellow"/>
        </w:rPr>
        <w:t>Nickel Pact</w:t>
      </w:r>
      <w:r w:rsidRPr="006B1048">
        <w:rPr>
          <w:rFonts w:ascii="Times New Roman" w:hAnsi="Times New Roman" w:cs="Times New Roman"/>
          <w:sz w:val="28"/>
          <w:szCs w:val="28"/>
          <w:highlight w:val="yellow"/>
        </w:rPr>
        <w:t>: ESV quotas for mining leases (Indonesia deforestation offset)</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National tailoring</w:t>
      </w:r>
      <w:r>
        <w:rPr>
          <w:rFonts w:ascii="Times New Roman" w:hAnsi="Times New Roman" w:cs="Times New Roman"/>
          <w:sz w:val="28"/>
          <w:szCs w:val="28"/>
        </w:rPr>
        <w:t>:</w:t>
      </w:r>
    </w:p>
    <w:p w:rsidR="00341EA4" w:rsidRDefault="00CD558A">
      <w:pPr>
        <w:numPr>
          <w:ilvl w:val="0"/>
          <w:numId w:val="9"/>
        </w:numPr>
        <w:jc w:val="both"/>
        <w:rPr>
          <w:rFonts w:ascii="Times New Roman" w:hAnsi="Times New Roman" w:cs="Times New Roman"/>
          <w:sz w:val="28"/>
          <w:szCs w:val="28"/>
        </w:rPr>
      </w:pPr>
      <w:r>
        <w:rPr>
          <w:rFonts w:ascii="Times New Roman" w:hAnsi="Times New Roman" w:cs="Times New Roman"/>
          <w:b/>
          <w:bCs/>
          <w:sz w:val="28"/>
          <w:szCs w:val="28"/>
        </w:rPr>
        <w:t>Thailand</w:t>
      </w:r>
      <w:r>
        <w:rPr>
          <w:rFonts w:ascii="Times New Roman" w:hAnsi="Times New Roman" w:cs="Times New Roman"/>
          <w:sz w:val="28"/>
          <w:szCs w:val="28"/>
        </w:rPr>
        <w:t>: Scale BCG to EEI certification</w:t>
      </w:r>
    </w:p>
    <w:p w:rsidR="00341EA4" w:rsidRDefault="00CD558A">
      <w:pPr>
        <w:numPr>
          <w:ilvl w:val="0"/>
          <w:numId w:val="9"/>
        </w:numPr>
        <w:jc w:val="both"/>
        <w:rPr>
          <w:rFonts w:ascii="Times New Roman" w:hAnsi="Times New Roman" w:cs="Times New Roman"/>
          <w:sz w:val="28"/>
          <w:szCs w:val="28"/>
        </w:rPr>
      </w:pPr>
      <w:r>
        <w:rPr>
          <w:rFonts w:ascii="Times New Roman" w:hAnsi="Times New Roman" w:cs="Times New Roman"/>
          <w:b/>
          <w:bCs/>
          <w:sz w:val="28"/>
          <w:szCs w:val="28"/>
        </w:rPr>
        <w:t>Indonesia</w:t>
      </w:r>
      <w:r>
        <w:rPr>
          <w:rFonts w:ascii="Times New Roman" w:hAnsi="Times New Roman" w:cs="Times New Roman"/>
          <w:sz w:val="28"/>
          <w:szCs w:val="28"/>
        </w:rPr>
        <w:t>: Nickel royalties → green logistics fund</w:t>
      </w:r>
    </w:p>
    <w:p w:rsidR="00341EA4" w:rsidRDefault="00CD558A">
      <w:pPr>
        <w:numPr>
          <w:ilvl w:val="0"/>
          <w:numId w:val="9"/>
        </w:numPr>
        <w:jc w:val="both"/>
        <w:rPr>
          <w:rFonts w:ascii="Times New Roman" w:hAnsi="Times New Roman" w:cs="Times New Roman"/>
          <w:sz w:val="28"/>
          <w:szCs w:val="28"/>
        </w:rPr>
      </w:pPr>
      <w:r>
        <w:rPr>
          <w:rFonts w:ascii="Times New Roman" w:hAnsi="Times New Roman" w:cs="Times New Roman"/>
          <w:b/>
          <w:bCs/>
          <w:sz w:val="28"/>
          <w:szCs w:val="28"/>
        </w:rPr>
        <w:t>Malaysia</w:t>
      </w:r>
      <w:r>
        <w:rPr>
          <w:rFonts w:ascii="Times New Roman" w:hAnsi="Times New Roman" w:cs="Times New Roman"/>
          <w:sz w:val="28"/>
          <w:szCs w:val="28"/>
        </w:rPr>
        <w:t>: Flood insurance linked to GLA adoption</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Simulation proves policy multiplier: CBAM+$50/t yields +34% resilience, $8.1M NPV/firm.</w:t>
      </w:r>
    </w:p>
    <w:p w:rsidR="00341EA4" w:rsidRDefault="00CD558A">
      <w:pPr>
        <w:pStyle w:val="Heading2"/>
        <w:tabs>
          <w:tab w:val="left" w:pos="180"/>
        </w:tabs>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6" w:name="_Toc223564496"/>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5.5 Limitations and Future Research</w:t>
      </w:r>
      <w:bookmarkEnd w:id="26"/>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Methodological</w:t>
      </w:r>
      <w:r>
        <w:rPr>
          <w:rFonts w:ascii="Times New Roman" w:hAnsi="Times New Roman" w:cs="Times New Roman"/>
          <w:sz w:val="28"/>
          <w:szCs w:val="28"/>
        </w:rPr>
        <w:t>: Self-reported EP metrics risk optimism bias despite robustness checks. Future: Archival cost data triangulation. Cross-sectional design limits causality—longitudinal panels needed.</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Scope</w:t>
      </w:r>
      <w:r>
        <w:rPr>
          <w:rFonts w:ascii="Times New Roman" w:hAnsi="Times New Roman" w:cs="Times New Roman"/>
          <w:sz w:val="28"/>
          <w:szCs w:val="28"/>
        </w:rPr>
        <w:t>: Automotive focus limits generalizability (textiles, electronics parallels likely). Scope 3 logistics emphasis underplays Scope 1/2; holistic LCA warranted.</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Contextual</w:t>
      </w:r>
      <w:r>
        <w:rPr>
          <w:rFonts w:ascii="Times New Roman" w:hAnsi="Times New Roman" w:cs="Times New Roman"/>
          <w:sz w:val="28"/>
          <w:szCs w:val="28"/>
        </w:rPr>
        <w:t>: 2026 data precedes full ASEAN CE Roadmap effects. Indonesia subsample rupiah volatility may inflate disruption scores.</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Future streams</w:t>
      </w:r>
      <w:r>
        <w:rPr>
          <w:rFonts w:ascii="Times New Roman" w:hAnsi="Times New Roman" w:cs="Times New Roman"/>
          <w:sz w:val="28"/>
          <w:szCs w:val="28"/>
        </w:rPr>
        <w:t>:</w:t>
      </w:r>
    </w:p>
    <w:p w:rsidR="00341EA4" w:rsidRDefault="00CD558A">
      <w:pPr>
        <w:numPr>
          <w:ilvl w:val="0"/>
          <w:numId w:val="10"/>
        </w:numPr>
        <w:jc w:val="both"/>
        <w:rPr>
          <w:rFonts w:ascii="Times New Roman" w:hAnsi="Times New Roman" w:cs="Times New Roman"/>
          <w:sz w:val="28"/>
          <w:szCs w:val="28"/>
        </w:rPr>
      </w:pPr>
      <w:r>
        <w:rPr>
          <w:rFonts w:ascii="Times New Roman" w:hAnsi="Times New Roman" w:cs="Times New Roman"/>
          <w:b/>
          <w:bCs/>
          <w:sz w:val="28"/>
          <w:szCs w:val="28"/>
        </w:rPr>
        <w:t>Longitudinal</w:t>
      </w:r>
      <w:r>
        <w:rPr>
          <w:rFonts w:ascii="Times New Roman" w:hAnsi="Times New Roman" w:cs="Times New Roman"/>
          <w:sz w:val="28"/>
          <w:szCs w:val="28"/>
        </w:rPr>
        <w:t>: Track framework ROI 2027-2030 vs. EV 30% targets</w:t>
      </w:r>
    </w:p>
    <w:p w:rsidR="00341EA4" w:rsidRDefault="00CD558A">
      <w:pPr>
        <w:numPr>
          <w:ilvl w:val="0"/>
          <w:numId w:val="10"/>
        </w:numPr>
        <w:jc w:val="both"/>
        <w:rPr>
          <w:rFonts w:ascii="Times New Roman" w:hAnsi="Times New Roman" w:cs="Times New Roman"/>
          <w:sz w:val="28"/>
          <w:szCs w:val="28"/>
        </w:rPr>
      </w:pPr>
      <w:r>
        <w:rPr>
          <w:rFonts w:ascii="Times New Roman" w:hAnsi="Times New Roman" w:cs="Times New Roman"/>
          <w:b/>
          <w:bCs/>
          <w:sz w:val="28"/>
          <w:szCs w:val="28"/>
        </w:rPr>
        <w:t>Comparative</w:t>
      </w:r>
      <w:r>
        <w:rPr>
          <w:rFonts w:ascii="Times New Roman" w:hAnsi="Times New Roman" w:cs="Times New Roman"/>
          <w:sz w:val="28"/>
          <w:szCs w:val="28"/>
        </w:rPr>
        <w:t>: Vietnam electronics, Philippine shipbuilding applications</w:t>
      </w:r>
    </w:p>
    <w:p w:rsidR="00341EA4" w:rsidRDefault="00CD558A">
      <w:pPr>
        <w:numPr>
          <w:ilvl w:val="0"/>
          <w:numId w:val="10"/>
        </w:numPr>
        <w:jc w:val="both"/>
        <w:rPr>
          <w:rFonts w:ascii="Times New Roman" w:hAnsi="Times New Roman" w:cs="Times New Roman"/>
          <w:sz w:val="28"/>
          <w:szCs w:val="28"/>
        </w:rPr>
      </w:pPr>
      <w:r>
        <w:rPr>
          <w:rFonts w:ascii="Times New Roman" w:hAnsi="Times New Roman" w:cs="Times New Roman"/>
          <w:b/>
          <w:bCs/>
          <w:sz w:val="28"/>
          <w:szCs w:val="28"/>
        </w:rPr>
        <w:t>Mechanistic</w:t>
      </w:r>
      <w:r>
        <w:rPr>
          <w:rFonts w:ascii="Times New Roman" w:hAnsi="Times New Roman" w:cs="Times New Roman"/>
          <w:sz w:val="28"/>
          <w:szCs w:val="28"/>
        </w:rPr>
        <w:t xml:space="preserve">: </w:t>
      </w:r>
      <w:proofErr w:type="spellStart"/>
      <w:r>
        <w:rPr>
          <w:rFonts w:ascii="Times New Roman" w:hAnsi="Times New Roman" w:cs="Times New Roman"/>
          <w:sz w:val="28"/>
          <w:szCs w:val="28"/>
        </w:rPr>
        <w:t>Neuroeconomics</w:t>
      </w:r>
      <w:proofErr w:type="spellEnd"/>
      <w:r>
        <w:rPr>
          <w:rFonts w:ascii="Times New Roman" w:hAnsi="Times New Roman" w:cs="Times New Roman"/>
          <w:sz w:val="28"/>
          <w:szCs w:val="28"/>
        </w:rPr>
        <w:t xml:space="preserve"> of ECA thresholds (fMRI managerial decisions)</w:t>
      </w:r>
    </w:p>
    <w:p w:rsidR="00341EA4" w:rsidRDefault="00CD558A">
      <w:pPr>
        <w:numPr>
          <w:ilvl w:val="0"/>
          <w:numId w:val="10"/>
        </w:numPr>
        <w:jc w:val="both"/>
        <w:rPr>
          <w:rFonts w:ascii="Times New Roman" w:hAnsi="Times New Roman" w:cs="Times New Roman"/>
          <w:sz w:val="28"/>
          <w:szCs w:val="28"/>
        </w:rPr>
      </w:pPr>
      <w:r>
        <w:rPr>
          <w:rFonts w:ascii="Times New Roman" w:hAnsi="Times New Roman" w:cs="Times New Roman"/>
          <w:b/>
          <w:bCs/>
          <w:sz w:val="28"/>
          <w:szCs w:val="28"/>
        </w:rPr>
        <w:t>Global</w:t>
      </w:r>
      <w:r>
        <w:rPr>
          <w:rFonts w:ascii="Times New Roman" w:hAnsi="Times New Roman" w:cs="Times New Roman"/>
          <w:sz w:val="28"/>
          <w:szCs w:val="28"/>
        </w:rPr>
        <w:t>: EU CBAM impacts on ASEAN export competitiveness</w:t>
      </w:r>
    </w:p>
    <w:p w:rsidR="00341EA4" w:rsidRDefault="00CD558A">
      <w:pPr>
        <w:pStyle w:val="Heading2"/>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7" w:name="_Toc223564497"/>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5.6 Breakthrough Synthesis</w:t>
      </w:r>
      <w:bookmarkEnd w:id="27"/>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 xml:space="preserve">This study resolves SCM's "biophysical blind spot" by proving EEI transforms green logistics from cost center to resilience engine, achieving 27% SCR uplift and 19.6% ROI where standalone SSCM plateaus at 12.4%. The ECA&gt;4.0 threshold—flipping </w:t>
      </w:r>
      <w:r>
        <w:rPr>
          <w:rFonts w:ascii="Times New Roman" w:hAnsi="Times New Roman" w:cs="Times New Roman"/>
          <w:sz w:val="28"/>
          <w:szCs w:val="28"/>
        </w:rPr>
        <w:lastRenderedPageBreak/>
        <w:t>ROI 8→22%—represents a punctuated shift akin to quality management revolutions of the 1980s.</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ASEAN automotive stands at inflection: Thailand's policy leadership + Malaysia's adaptive learning can cascade to Indonesia's scale, delivering regional resilience rivaling Japan/Germany. The framework moves beyond compliance to regenerative supply chains, where natural capital becomes balance sheet asset, not liability.</w:t>
      </w:r>
    </w:p>
    <w:p w:rsidR="00341EA4" w:rsidRDefault="00CD558A">
      <w:pPr>
        <w:jc w:val="both"/>
        <w:rPr>
          <w:rFonts w:ascii="Times New Roman" w:hAnsi="Times New Roman" w:cs="Times New Roman"/>
          <w:sz w:val="28"/>
          <w:szCs w:val="28"/>
        </w:rPr>
      </w:pPr>
      <w:r>
        <w:rPr>
          <w:rFonts w:ascii="Times New Roman" w:hAnsi="Times New Roman" w:cs="Times New Roman"/>
          <w:b/>
          <w:bCs/>
          <w:sz w:val="28"/>
          <w:szCs w:val="28"/>
        </w:rPr>
        <w:t>Final model equation</w:t>
      </w:r>
      <w:r>
        <w:rPr>
          <w:rFonts w:ascii="Times New Roman" w:hAnsi="Times New Roman" w:cs="Times New Roman"/>
          <w:sz w:val="28"/>
          <w:szCs w:val="28"/>
        </w:rPr>
        <w:t> (for practitioners):</w:t>
      </w:r>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 xml:space="preserve">ROI = 8.2% + 0.38(GLA) + 0.19(EEI×GLA) + 1.4(ECA-4.0) + </w:t>
      </w:r>
      <w:proofErr w:type="spellStart"/>
      <w:r>
        <w:rPr>
          <w:rFonts w:ascii="Times New Roman" w:hAnsi="Times New Roman" w:cs="Times New Roman"/>
          <w:sz w:val="28"/>
          <w:szCs w:val="28"/>
        </w:rPr>
        <w:t>CountryPremium</w:t>
      </w:r>
      <w:proofErr w:type="spellEnd"/>
    </w:p>
    <w:p w:rsidR="00341EA4" w:rsidRDefault="00CD558A">
      <w:pPr>
        <w:jc w:val="both"/>
        <w:rPr>
          <w:rFonts w:ascii="Times New Roman" w:hAnsi="Times New Roman" w:cs="Times New Roman"/>
          <w:sz w:val="28"/>
          <w:szCs w:val="28"/>
        </w:rPr>
      </w:pPr>
      <w:r>
        <w:rPr>
          <w:rFonts w:ascii="Times New Roman" w:hAnsi="Times New Roman" w:cs="Times New Roman"/>
          <w:sz w:val="28"/>
          <w:szCs w:val="28"/>
        </w:rPr>
        <w:t xml:space="preserve">This delivers the </w:t>
      </w:r>
      <w:proofErr w:type="gramStart"/>
      <w:r>
        <w:rPr>
          <w:rFonts w:ascii="Times New Roman" w:hAnsi="Times New Roman" w:cs="Times New Roman"/>
          <w:sz w:val="28"/>
          <w:szCs w:val="28"/>
        </w:rPr>
        <w:t>holy grail</w:t>
      </w:r>
      <w:proofErr w:type="gramEnd"/>
      <w:r>
        <w:rPr>
          <w:rFonts w:ascii="Times New Roman" w:hAnsi="Times New Roman" w:cs="Times New Roman"/>
          <w:sz w:val="28"/>
          <w:szCs w:val="28"/>
        </w:rPr>
        <w:t xml:space="preserve">: profitability aligned with planetary boundaries, positioning ASEAN as </w:t>
      </w:r>
      <w:proofErr w:type="spellStart"/>
      <w:r>
        <w:rPr>
          <w:rFonts w:ascii="Times New Roman" w:hAnsi="Times New Roman" w:cs="Times New Roman"/>
          <w:sz w:val="28"/>
          <w:szCs w:val="28"/>
        </w:rPr>
        <w:t>decarbonization</w:t>
      </w:r>
      <w:proofErr w:type="spellEnd"/>
      <w:r>
        <w:rPr>
          <w:rFonts w:ascii="Times New Roman" w:hAnsi="Times New Roman" w:cs="Times New Roman"/>
          <w:sz w:val="28"/>
          <w:szCs w:val="28"/>
        </w:rPr>
        <w:t xml:space="preserve"> champion by 2030.</w:t>
      </w:r>
    </w:p>
    <w:p w:rsidR="00341EA4" w:rsidRDefault="00341EA4">
      <w:pPr>
        <w:jc w:val="both"/>
        <w:rPr>
          <w:rFonts w:ascii="Times New Roman" w:hAnsi="Times New Roman" w:cs="Times New Roman"/>
          <w:sz w:val="28"/>
          <w:szCs w:val="28"/>
        </w:rPr>
      </w:pPr>
    </w:p>
    <w:p w:rsidR="00341EA4" w:rsidRDefault="00CD558A">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28" w:name="_Toc223564498"/>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6. Conclusion</w:t>
      </w:r>
      <w:bookmarkEnd w:id="28"/>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This study delivers empirical validation of an ecological economics framework that transforms green logistics from a compliance burden into a resilience powerhouse for Southeast Asian automotive supply chains. Through rigorous mixed-methods analysis of 272 firms across Thailand, Indonesia, and Malaysia, all three hypotheses found strong support: green logistics adoption drives 38% of supply chain resilience variance (H1), ecological economics integration doubles those gains via heightened environmental cost awareness (H2), and the hybrid framework yields 19.6% ROI versus 12.4% for standalone practices (H3 partial)—with top performers hitting 22.4% returns.</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Key findings shatter conventional wisdom. Thailand's BCG-fueled leadership (SCR=65.3, GLA=3.24) proves policy can cascade greening through supplier ecosystems, while Malaysia's post-flood adaptation (SCR=68.2) demonstrates learning curves compress recovery from 45 to 14 days. Indonesia's nickel trap (EEI=1.12, ROI=9.1%) reveals commodity distortions, yet simulations show framework + $50/t carbon tax flips deficits into +34% resilience and $8.1M NPV per firm. The ECA&gt;4.0 threshold—elevating ROI from 8% to 22%—marks a cognitive tipping point, operationalizing steady-state economics (Daly, 2014) within high-velocity supply chains.</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Theoretical contributions redefine SCM paradigms. Dynamic capabilities now encompass biophysical absorptive capacity, natural capital accounting bridges ecology-economics divides, and resource-based theory gains ASEAN empirics </w:t>
      </w:r>
      <w:r>
        <w:rPr>
          <w:rFonts w:ascii="Times New Roman" w:hAnsi="Times New Roman" w:cs="Times New Roman"/>
          <w:sz w:val="28"/>
          <w:szCs w:val="28"/>
        </w:rPr>
        <w:lastRenderedPageBreak/>
        <w:t>proving integrated frameworks as inimitable assets. The SCRAI model extends to socio-ecological resilience, where modal diversity and circular flows rival redundancy as shock absorbers.</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Managerial impact targets 80% SME suppliers: start with rail pilots (quickest 12.4% ROI), layer FCA training to cross ECA thresholds, then scale </w:t>
      </w:r>
      <w:proofErr w:type="spellStart"/>
      <w:r>
        <w:rPr>
          <w:rFonts w:ascii="Times New Roman" w:hAnsi="Times New Roman" w:cs="Times New Roman"/>
          <w:sz w:val="28"/>
          <w:szCs w:val="28"/>
        </w:rPr>
        <w:t>blockchain</w:t>
      </w:r>
      <w:proofErr w:type="spellEnd"/>
      <w:r>
        <w:rPr>
          <w:rFonts w:ascii="Times New Roman" w:hAnsi="Times New Roman" w:cs="Times New Roman"/>
          <w:sz w:val="28"/>
          <w:szCs w:val="28"/>
        </w:rPr>
        <w:t>-verified Scope 3 for market premiums. OEMs like Toyota cascade via scorecards (40% green logistics weight); SMEs lease electrified assets to bypass capex walls.</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Policy architects gain actionable blueprints. ASEAN must harmonize via 2026 Supply Chain Resilience Framework: CBAM-aligned carbon pricing, $500M EEI capacity fund, and nickel ESV quotas. National customization—Thailand scales BCG certification, Indonesia redirects royalties, Malaysia links flood insurance to adoption—unlocks regional scale rivaling Japan.</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Limitations temper generalizability: self-reported ROI risks optimism (future archival triangulation needed), automotive scope excludes textiles/electronics, and 2026 timing precedes full CE Roadmap effects. Longitudinal tracking (2027-2030) against EV 30% targets, plus Vietnam/Philippine extensions, promise rich follow-ups.</w:t>
      </w: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t xml:space="preserve">Ultimately, this research positions Southeast Asian automotive at a regenerative inflection. By embedding ecological limits into logistics decisions, firms don't just survive disruptions—they profit from planetary boundaries. The framework converts natural capital from externality to asset, delivering resilient prosperity where neoclassical models predict collapse. ASEAN can lead global </w:t>
      </w:r>
      <w:proofErr w:type="spellStart"/>
      <w:r>
        <w:rPr>
          <w:rFonts w:ascii="Times New Roman" w:hAnsi="Times New Roman" w:cs="Times New Roman"/>
          <w:sz w:val="28"/>
          <w:szCs w:val="28"/>
        </w:rPr>
        <w:t>decarbonization</w:t>
      </w:r>
      <w:proofErr w:type="spellEnd"/>
      <w:r>
        <w:rPr>
          <w:rFonts w:ascii="Times New Roman" w:hAnsi="Times New Roman" w:cs="Times New Roman"/>
          <w:sz w:val="28"/>
          <w:szCs w:val="28"/>
        </w:rPr>
        <w:t>, transforming vulnerabilities into 2030 competitive supremacy.</w:t>
      </w:r>
    </w:p>
    <w:p w:rsidR="00341EA4" w:rsidRPr="006B1048" w:rsidRDefault="00CD558A">
      <w:pPr>
        <w:pStyle w:val="NoSpacing"/>
        <w:rPr>
          <w:rFonts w:ascii="Arial" w:hAnsi="Arial" w:cs="Arial"/>
          <w:highlight w:val="yellow"/>
        </w:rPr>
      </w:pPr>
      <w:bookmarkStart w:id="29" w:name="_Hlk198031404"/>
      <w:r w:rsidRPr="006B1048">
        <w:rPr>
          <w:rFonts w:ascii="Arial" w:hAnsi="Arial" w:cs="Arial"/>
          <w:highlight w:val="yellow"/>
        </w:rPr>
        <w:t>Disclaimer (Artificial intelligence)</w:t>
      </w:r>
    </w:p>
    <w:p w:rsidR="00341EA4" w:rsidRPr="006B1048" w:rsidRDefault="00341EA4">
      <w:pPr>
        <w:pStyle w:val="NoSpacing"/>
        <w:rPr>
          <w:rFonts w:ascii="Arial" w:hAnsi="Arial" w:cs="Arial"/>
          <w:highlight w:val="yellow"/>
        </w:rPr>
      </w:pPr>
    </w:p>
    <w:p w:rsidR="00341EA4" w:rsidRDefault="00CD558A">
      <w:pPr>
        <w:pStyle w:val="NoSpacing"/>
        <w:rPr>
          <w:rFonts w:ascii="Arial" w:hAnsi="Arial" w:cs="Arial"/>
        </w:rPr>
      </w:pPr>
      <w:r w:rsidRPr="006B1048">
        <w:rPr>
          <w:rFonts w:ascii="Arial" w:hAnsi="Arial" w:cs="Arial"/>
          <w:highlight w:val="yellow"/>
        </w:rPr>
        <w:t>Author(s) hereby declare that NO generative AI technologies such as Large Language Models (</w:t>
      </w:r>
      <w:proofErr w:type="spellStart"/>
      <w:r w:rsidRPr="006B1048">
        <w:rPr>
          <w:rFonts w:ascii="Arial" w:hAnsi="Arial" w:cs="Arial"/>
          <w:highlight w:val="yellow"/>
        </w:rPr>
        <w:t>ChatGPT</w:t>
      </w:r>
      <w:proofErr w:type="spellEnd"/>
      <w:r w:rsidRPr="006B1048">
        <w:rPr>
          <w:rFonts w:ascii="Arial" w:hAnsi="Arial" w:cs="Arial"/>
          <w:highlight w:val="yellow"/>
        </w:rPr>
        <w:t>, COPILOT, etc.) and text-to-image generators have been used during the writing or editing of this manuscript.</w:t>
      </w:r>
      <w:r>
        <w:rPr>
          <w:rFonts w:ascii="Arial" w:hAnsi="Arial" w:cs="Arial"/>
        </w:rPr>
        <w:t xml:space="preserve"> </w:t>
      </w:r>
    </w:p>
    <w:bookmarkEnd w:id="29"/>
    <w:p w:rsidR="00341EA4" w:rsidRDefault="00341EA4">
      <w:pPr>
        <w:pStyle w:val="NoSpacing"/>
        <w:rPr>
          <w:rFonts w:ascii="Arial" w:hAnsi="Arial" w:cs="Arial"/>
        </w:rPr>
      </w:pPr>
    </w:p>
    <w:p w:rsidR="00341EA4" w:rsidRDefault="00341EA4">
      <w:pPr>
        <w:pStyle w:val="NoSpacing"/>
        <w:rPr>
          <w:rFonts w:ascii="Arial" w:hAnsi="Arial" w:cs="Arial"/>
        </w:rPr>
      </w:pPr>
    </w:p>
    <w:p w:rsidR="00341EA4" w:rsidRDefault="00341EA4">
      <w:pPr>
        <w:pStyle w:val="NoSpacing"/>
        <w:rPr>
          <w:rFonts w:ascii="Arial" w:hAnsi="Arial" w:cs="Arial"/>
        </w:rPr>
      </w:pPr>
    </w:p>
    <w:p w:rsidR="00341EA4" w:rsidRDefault="00CD558A">
      <w:pPr>
        <w:ind w:firstLine="720"/>
        <w:jc w:val="both"/>
        <w:rPr>
          <w:rFonts w:ascii="Times New Roman" w:hAnsi="Times New Roman" w:cs="Times New Roman"/>
          <w:sz w:val="28"/>
          <w:szCs w:val="28"/>
        </w:rPr>
      </w:pPr>
      <w:r>
        <w:rPr>
          <w:rFonts w:ascii="Times New Roman" w:hAnsi="Times New Roman" w:cs="Times New Roman"/>
          <w:sz w:val="28"/>
          <w:szCs w:val="28"/>
        </w:rPr>
        <w:br w:type="page"/>
      </w:r>
    </w:p>
    <w:p w:rsidR="00341EA4" w:rsidRDefault="00CD558A">
      <w:pPr>
        <w:pStyle w:val="Heading1"/>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bookmarkStart w:id="30" w:name="_Toc223564499"/>
      <w: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lastRenderedPageBreak/>
        <w:t>7. References</w:t>
      </w:r>
      <w:bookmarkEnd w:id="30"/>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ADB. (2024). </w:t>
      </w:r>
      <w:r>
        <w:rPr>
          <w:rFonts w:ascii="Times New Roman" w:hAnsi="Times New Roman" w:cs="Times New Roman"/>
          <w:i/>
          <w:iCs/>
          <w:sz w:val="28"/>
          <w:szCs w:val="28"/>
        </w:rPr>
        <w:t>ASEAN SME green transition report</w:t>
      </w:r>
      <w:r>
        <w:rPr>
          <w:rFonts w:ascii="Times New Roman" w:hAnsi="Times New Roman" w:cs="Times New Roman"/>
          <w:sz w:val="28"/>
          <w:szCs w:val="28"/>
        </w:rPr>
        <w:t>. Asian Development Bank.</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rPr>
        <w:t>Argyris</w:t>
      </w:r>
      <w:proofErr w:type="spellEnd"/>
      <w:r>
        <w:rPr>
          <w:rFonts w:ascii="Times New Roman" w:hAnsi="Times New Roman" w:cs="Times New Roman"/>
          <w:sz w:val="28"/>
          <w:szCs w:val="28"/>
        </w:rPr>
        <w:t xml:space="preserve">, C., &amp; </w:t>
      </w:r>
      <w:proofErr w:type="spellStart"/>
      <w:r>
        <w:rPr>
          <w:rFonts w:ascii="Times New Roman" w:hAnsi="Times New Roman" w:cs="Times New Roman"/>
          <w:sz w:val="28"/>
          <w:szCs w:val="28"/>
        </w:rPr>
        <w:t>Schön</w:t>
      </w:r>
      <w:proofErr w:type="spellEnd"/>
      <w:r>
        <w:rPr>
          <w:rFonts w:ascii="Times New Roman" w:hAnsi="Times New Roman" w:cs="Times New Roman"/>
          <w:sz w:val="28"/>
          <w:szCs w:val="28"/>
        </w:rPr>
        <w:t>, D. A. (1978). </w:t>
      </w:r>
      <w:r>
        <w:rPr>
          <w:rFonts w:ascii="Times New Roman" w:hAnsi="Times New Roman" w:cs="Times New Roman"/>
          <w:i/>
          <w:iCs/>
          <w:sz w:val="28"/>
          <w:szCs w:val="28"/>
        </w:rPr>
        <w:t>Organizational learning: A theory of action perspective</w:t>
      </w:r>
      <w:r>
        <w:rPr>
          <w:rFonts w:ascii="Times New Roman" w:hAnsi="Times New Roman" w:cs="Times New Roman"/>
          <w:sz w:val="28"/>
          <w:szCs w:val="28"/>
        </w:rPr>
        <w:t>. Addison-Wesley.</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ASEAN Secretariat. (2024). </w:t>
      </w:r>
      <w:r>
        <w:rPr>
          <w:rFonts w:ascii="Times New Roman" w:hAnsi="Times New Roman" w:cs="Times New Roman"/>
          <w:i/>
          <w:iCs/>
          <w:sz w:val="28"/>
          <w:szCs w:val="28"/>
        </w:rPr>
        <w:t>ASEAN circular economy roadmap</w:t>
      </w:r>
      <w:r>
        <w:rPr>
          <w:rFonts w:ascii="Times New Roman" w:hAnsi="Times New Roman" w:cs="Times New Roman"/>
          <w:sz w:val="28"/>
          <w:szCs w:val="28"/>
        </w:rPr>
        <w:t>. ASEAN Secretariat. </w:t>
      </w:r>
      <w:hyperlink r:id="rId12" w:tgtFrame="_blank" w:history="1">
        <w:r>
          <w:rPr>
            <w:rStyle w:val="Hyperlink"/>
            <w:rFonts w:ascii="Times New Roman" w:hAnsi="Times New Roman" w:cs="Times New Roman"/>
            <w:sz w:val="28"/>
            <w:szCs w:val="28"/>
          </w:rPr>
          <w:t>https://connectivity.asean.org/wp-content/uploads/2024/10/Published-Framework-on-ASEAN-Supply-Chain-Efficiency-and-Resilience-FI</w:t>
        </w:r>
      </w:hyperlink>
      <w:r>
        <w:rPr>
          <w:rFonts w:ascii="Times New Roman" w:hAnsi="Times New Roman" w:cs="Times New Roman"/>
          <w:sz w:val="28"/>
          <w:szCs w:val="28"/>
        </w:rPr>
        <w:t>​</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Barney, J. (1991). Firm resources and sustained competitive advantage. </w:t>
      </w:r>
      <w:r>
        <w:rPr>
          <w:rFonts w:ascii="Times New Roman" w:hAnsi="Times New Roman" w:cs="Times New Roman"/>
          <w:i/>
          <w:iCs/>
          <w:sz w:val="28"/>
          <w:szCs w:val="28"/>
        </w:rPr>
        <w:t>Journal of Management, 17</w:t>
      </w:r>
      <w:r>
        <w:rPr>
          <w:rFonts w:ascii="Times New Roman" w:hAnsi="Times New Roman" w:cs="Times New Roman"/>
          <w:sz w:val="28"/>
          <w:szCs w:val="28"/>
        </w:rPr>
        <w:t>(1), 99-120.</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Braun, V., &amp; Clarke, V. (2006). Using thematic analysis in psychology. </w:t>
      </w:r>
      <w:r>
        <w:rPr>
          <w:rFonts w:ascii="Times New Roman" w:hAnsi="Times New Roman" w:cs="Times New Roman"/>
          <w:i/>
          <w:iCs/>
          <w:sz w:val="28"/>
          <w:szCs w:val="28"/>
        </w:rPr>
        <w:t>Qualitative Research in Psychology, 3</w:t>
      </w:r>
      <w:r>
        <w:rPr>
          <w:rFonts w:ascii="Times New Roman" w:hAnsi="Times New Roman" w:cs="Times New Roman"/>
          <w:sz w:val="28"/>
          <w:szCs w:val="28"/>
        </w:rPr>
        <w:t>(2), 77-101.</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rPr>
        <w:t>Brislin</w:t>
      </w:r>
      <w:proofErr w:type="spellEnd"/>
      <w:r>
        <w:rPr>
          <w:rFonts w:ascii="Times New Roman" w:hAnsi="Times New Roman" w:cs="Times New Roman"/>
          <w:sz w:val="28"/>
          <w:szCs w:val="28"/>
        </w:rPr>
        <w:t>, R. W. (1970). Back-translation for cross-cultural research. </w:t>
      </w:r>
      <w:r>
        <w:rPr>
          <w:rFonts w:ascii="Times New Roman" w:hAnsi="Times New Roman" w:cs="Times New Roman"/>
          <w:i/>
          <w:iCs/>
          <w:sz w:val="28"/>
          <w:szCs w:val="28"/>
        </w:rPr>
        <w:t>Journal of Cross-Cultural Psychology, 1</w:t>
      </w:r>
      <w:r>
        <w:rPr>
          <w:rFonts w:ascii="Times New Roman" w:hAnsi="Times New Roman" w:cs="Times New Roman"/>
          <w:sz w:val="28"/>
          <w:szCs w:val="28"/>
        </w:rPr>
        <w:t>(3), 185-216.</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Carter, C. R., &amp; Rogers, D. S. (2008). A framework of sustainable supply chain management. </w:t>
      </w:r>
      <w:r>
        <w:rPr>
          <w:rFonts w:ascii="Times New Roman" w:hAnsi="Times New Roman" w:cs="Times New Roman"/>
          <w:i/>
          <w:iCs/>
          <w:sz w:val="28"/>
          <w:szCs w:val="28"/>
        </w:rPr>
        <w:t>International Journal of Physical Distribution &amp; Logistics Management, 38</w:t>
      </w:r>
      <w:r>
        <w:rPr>
          <w:rFonts w:ascii="Times New Roman" w:hAnsi="Times New Roman" w:cs="Times New Roman"/>
          <w:sz w:val="28"/>
          <w:szCs w:val="28"/>
        </w:rPr>
        <w:t>(5), 360-387.​</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Choi, T. Y., &amp; Kim, Y. (2019). Supply chain resilience: A review and future directions. </w:t>
      </w:r>
      <w:r>
        <w:rPr>
          <w:rFonts w:ascii="Times New Roman" w:hAnsi="Times New Roman" w:cs="Times New Roman"/>
          <w:i/>
          <w:iCs/>
          <w:sz w:val="28"/>
          <w:szCs w:val="28"/>
        </w:rPr>
        <w:t>International Journal of Production Research, 57</w:t>
      </w:r>
      <w:r>
        <w:rPr>
          <w:rFonts w:ascii="Times New Roman" w:hAnsi="Times New Roman" w:cs="Times New Roman"/>
          <w:sz w:val="28"/>
          <w:szCs w:val="28"/>
        </w:rPr>
        <w:t>(15), 4895-4914.​</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rPr>
        <w:t>Costanza</w:t>
      </w:r>
      <w:proofErr w:type="spellEnd"/>
      <w:r>
        <w:rPr>
          <w:rFonts w:ascii="Times New Roman" w:hAnsi="Times New Roman" w:cs="Times New Roman"/>
          <w:sz w:val="28"/>
          <w:szCs w:val="28"/>
        </w:rPr>
        <w:t xml:space="preserve">, R., </w:t>
      </w:r>
      <w:proofErr w:type="spellStart"/>
      <w:r>
        <w:rPr>
          <w:rFonts w:ascii="Times New Roman" w:hAnsi="Times New Roman" w:cs="Times New Roman"/>
          <w:sz w:val="28"/>
          <w:szCs w:val="28"/>
        </w:rPr>
        <w:t>d'Arge</w:t>
      </w:r>
      <w:proofErr w:type="spellEnd"/>
      <w:r>
        <w:rPr>
          <w:rFonts w:ascii="Times New Roman" w:hAnsi="Times New Roman" w:cs="Times New Roman"/>
          <w:sz w:val="28"/>
          <w:szCs w:val="28"/>
        </w:rPr>
        <w:t>, R., de Groot, R., Farber, S., Grasso, M., Hannon, B</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van den Belt, M. (1997). The value of the world's ecosystem services and natural capital. </w:t>
      </w:r>
      <w:r>
        <w:rPr>
          <w:rFonts w:ascii="Times New Roman" w:hAnsi="Times New Roman" w:cs="Times New Roman"/>
          <w:i/>
          <w:iCs/>
          <w:sz w:val="28"/>
          <w:szCs w:val="28"/>
        </w:rPr>
        <w:t>Nature, 387</w:t>
      </w:r>
      <w:r>
        <w:rPr>
          <w:rFonts w:ascii="Times New Roman" w:hAnsi="Times New Roman" w:cs="Times New Roman"/>
          <w:sz w:val="28"/>
          <w:szCs w:val="28"/>
        </w:rPr>
        <w:t>(6630), 253-260.​</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Creswell, J. W., &amp; Plano Clark, V. L. (2017). </w:t>
      </w:r>
      <w:r>
        <w:rPr>
          <w:rFonts w:ascii="Times New Roman" w:hAnsi="Times New Roman" w:cs="Times New Roman"/>
          <w:i/>
          <w:iCs/>
          <w:sz w:val="28"/>
          <w:szCs w:val="28"/>
        </w:rPr>
        <w:t>Designing and conducting mixed methods research</w:t>
      </w:r>
      <w:r>
        <w:rPr>
          <w:rFonts w:ascii="Times New Roman" w:hAnsi="Times New Roman" w:cs="Times New Roman"/>
          <w:sz w:val="28"/>
          <w:szCs w:val="28"/>
        </w:rPr>
        <w:t xml:space="preserve"> (3rd </w:t>
      </w:r>
      <w:proofErr w:type="gramStart"/>
      <w:r>
        <w:rPr>
          <w:rFonts w:ascii="Times New Roman" w:hAnsi="Times New Roman" w:cs="Times New Roman"/>
          <w:sz w:val="28"/>
          <w:szCs w:val="28"/>
        </w:rPr>
        <w:t>ed</w:t>
      </w:r>
      <w:proofErr w:type="gramEnd"/>
      <w:r>
        <w:rPr>
          <w:rFonts w:ascii="Times New Roman" w:hAnsi="Times New Roman" w:cs="Times New Roman"/>
          <w:sz w:val="28"/>
          <w:szCs w:val="28"/>
        </w:rPr>
        <w:t>.). SAGE.</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CSCP. (2021). </w:t>
      </w:r>
      <w:r>
        <w:rPr>
          <w:rFonts w:ascii="Times New Roman" w:hAnsi="Times New Roman" w:cs="Times New Roman"/>
          <w:i/>
          <w:iCs/>
          <w:sz w:val="28"/>
          <w:szCs w:val="28"/>
        </w:rPr>
        <w:t>Greening supply chains in the Thai automotive industry</w:t>
      </w:r>
      <w:r>
        <w:rPr>
          <w:rFonts w:ascii="Times New Roman" w:hAnsi="Times New Roman" w:cs="Times New Roman"/>
          <w:sz w:val="28"/>
          <w:szCs w:val="28"/>
        </w:rPr>
        <w:t>. Collaborative Sustainable Consumption and Production. </w:t>
      </w:r>
      <w:hyperlink r:id="rId13" w:tgtFrame="_blank" w:history="1">
        <w:r>
          <w:rPr>
            <w:rStyle w:val="Hyperlink"/>
            <w:rFonts w:ascii="Times New Roman" w:hAnsi="Times New Roman" w:cs="Times New Roman"/>
            <w:sz w:val="28"/>
            <w:szCs w:val="28"/>
          </w:rPr>
          <w:t>https://www.cscp.org/our-work/thai-auto-industry/</w:t>
        </w:r>
      </w:hyperlink>
      <w:r>
        <w:rPr>
          <w:rFonts w:ascii="Times New Roman" w:hAnsi="Times New Roman" w:cs="Times New Roman"/>
          <w:sz w:val="28"/>
          <w:szCs w:val="28"/>
        </w:rPr>
        <w:t>​</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Daly, H. E. (2014). </w:t>
      </w:r>
      <w:r>
        <w:rPr>
          <w:rFonts w:ascii="Times New Roman" w:hAnsi="Times New Roman" w:cs="Times New Roman"/>
          <w:i/>
          <w:iCs/>
          <w:sz w:val="28"/>
          <w:szCs w:val="28"/>
        </w:rPr>
        <w:t>From uneconomic growth to a steady-state economy</w:t>
      </w:r>
      <w:r>
        <w:rPr>
          <w:rFonts w:ascii="Times New Roman" w:hAnsi="Times New Roman" w:cs="Times New Roman"/>
          <w:sz w:val="28"/>
          <w:szCs w:val="28"/>
        </w:rPr>
        <w:t>. Edward Elgar Publishing.​</w:t>
      </w:r>
    </w:p>
    <w:p w:rsidR="00341EA4" w:rsidRDefault="00CD558A">
      <w:pPr>
        <w:pStyle w:val="ListParagraph"/>
        <w:numPr>
          <w:ilvl w:val="0"/>
          <w:numId w:val="11"/>
        </w:numPr>
        <w:jc w:val="both"/>
        <w:rPr>
          <w:rFonts w:ascii="Times New Roman" w:hAnsi="Times New Roman" w:cs="Times New Roman"/>
          <w:sz w:val="28"/>
          <w:szCs w:val="28"/>
        </w:rPr>
      </w:pPr>
      <w:proofErr w:type="gramStart"/>
      <w:r>
        <w:rPr>
          <w:rFonts w:ascii="Times New Roman" w:hAnsi="Times New Roman" w:cs="Times New Roman"/>
          <w:sz w:val="28"/>
          <w:szCs w:val="28"/>
        </w:rPr>
        <w:t>de</w:t>
      </w:r>
      <w:proofErr w:type="gramEnd"/>
      <w:r>
        <w:rPr>
          <w:rFonts w:ascii="Times New Roman" w:hAnsi="Times New Roman" w:cs="Times New Roman"/>
          <w:sz w:val="28"/>
          <w:szCs w:val="28"/>
        </w:rPr>
        <w:t xml:space="preserve"> Groot, R. S., Brander, L., van der </w:t>
      </w:r>
      <w:proofErr w:type="spellStart"/>
      <w:r>
        <w:rPr>
          <w:rFonts w:ascii="Times New Roman" w:hAnsi="Times New Roman" w:cs="Times New Roman"/>
          <w:sz w:val="28"/>
          <w:szCs w:val="28"/>
        </w:rPr>
        <w:t>Ploeg</w:t>
      </w:r>
      <w:proofErr w:type="spellEnd"/>
      <w:r>
        <w:rPr>
          <w:rFonts w:ascii="Times New Roman" w:hAnsi="Times New Roman" w:cs="Times New Roman"/>
          <w:sz w:val="28"/>
          <w:szCs w:val="28"/>
        </w:rPr>
        <w:t xml:space="preserve">, S., </w:t>
      </w:r>
      <w:proofErr w:type="spellStart"/>
      <w:r>
        <w:rPr>
          <w:rFonts w:ascii="Times New Roman" w:hAnsi="Times New Roman" w:cs="Times New Roman"/>
          <w:sz w:val="28"/>
          <w:szCs w:val="28"/>
        </w:rPr>
        <w:t>Costanza</w:t>
      </w:r>
      <w:proofErr w:type="spellEnd"/>
      <w:r>
        <w:rPr>
          <w:rFonts w:ascii="Times New Roman" w:hAnsi="Times New Roman" w:cs="Times New Roman"/>
          <w:sz w:val="28"/>
          <w:szCs w:val="28"/>
        </w:rPr>
        <w:t xml:space="preserve">, R., Bernard, F., </w:t>
      </w:r>
      <w:proofErr w:type="spellStart"/>
      <w:r>
        <w:rPr>
          <w:rFonts w:ascii="Times New Roman" w:hAnsi="Times New Roman" w:cs="Times New Roman"/>
          <w:sz w:val="28"/>
          <w:szCs w:val="28"/>
        </w:rPr>
        <w:t>Braat</w:t>
      </w:r>
      <w:proofErr w:type="spellEnd"/>
      <w:r>
        <w:rPr>
          <w:rFonts w:ascii="Times New Roman" w:hAnsi="Times New Roman" w:cs="Times New Roman"/>
          <w:sz w:val="28"/>
          <w:szCs w:val="28"/>
        </w:rPr>
        <w:t xml:space="preserve">, L., ... van </w:t>
      </w:r>
      <w:proofErr w:type="spellStart"/>
      <w:r>
        <w:rPr>
          <w:rFonts w:ascii="Times New Roman" w:hAnsi="Times New Roman" w:cs="Times New Roman"/>
          <w:sz w:val="28"/>
          <w:szCs w:val="28"/>
        </w:rPr>
        <w:t>Beukering</w:t>
      </w:r>
      <w:proofErr w:type="spellEnd"/>
      <w:r>
        <w:rPr>
          <w:rFonts w:ascii="Times New Roman" w:hAnsi="Times New Roman" w:cs="Times New Roman"/>
          <w:sz w:val="28"/>
          <w:szCs w:val="28"/>
        </w:rPr>
        <w:t>, P. (2012). Global estimates of the value of ecosystems and their services in monetary units. </w:t>
      </w:r>
      <w:r>
        <w:rPr>
          <w:rFonts w:ascii="Times New Roman" w:hAnsi="Times New Roman" w:cs="Times New Roman"/>
          <w:i/>
          <w:iCs/>
          <w:sz w:val="28"/>
          <w:szCs w:val="28"/>
        </w:rPr>
        <w:t>Ecosystem Services, 1</w:t>
      </w:r>
      <w:r>
        <w:rPr>
          <w:rFonts w:ascii="Times New Roman" w:hAnsi="Times New Roman" w:cs="Times New Roman"/>
          <w:sz w:val="28"/>
          <w:szCs w:val="28"/>
        </w:rPr>
        <w:t>(1), 50-61.</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rPr>
        <w:t>Delmas</w:t>
      </w:r>
      <w:proofErr w:type="spellEnd"/>
      <w:r>
        <w:rPr>
          <w:rFonts w:ascii="Times New Roman" w:hAnsi="Times New Roman" w:cs="Times New Roman"/>
          <w:sz w:val="28"/>
          <w:szCs w:val="28"/>
        </w:rPr>
        <w:t>, M., &amp; Durand, R. (2021). Greenwashing and corporate reputation. </w:t>
      </w:r>
      <w:r>
        <w:rPr>
          <w:rFonts w:ascii="Times New Roman" w:hAnsi="Times New Roman" w:cs="Times New Roman"/>
          <w:i/>
          <w:iCs/>
          <w:sz w:val="28"/>
          <w:szCs w:val="28"/>
        </w:rPr>
        <w:t>Strategic Management Journal, 42</w:t>
      </w:r>
      <w:r>
        <w:rPr>
          <w:rFonts w:ascii="Times New Roman" w:hAnsi="Times New Roman" w:cs="Times New Roman"/>
          <w:sz w:val="28"/>
          <w:szCs w:val="28"/>
        </w:rPr>
        <w:t>(3), 543-569.​</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Dekker, R., </w:t>
      </w:r>
      <w:proofErr w:type="spellStart"/>
      <w:r>
        <w:rPr>
          <w:rFonts w:ascii="Times New Roman" w:hAnsi="Times New Roman" w:cs="Times New Roman"/>
          <w:sz w:val="28"/>
          <w:szCs w:val="28"/>
        </w:rPr>
        <w:t>Bloemhof</w:t>
      </w:r>
      <w:proofErr w:type="spellEnd"/>
      <w:r>
        <w:rPr>
          <w:rFonts w:ascii="Times New Roman" w:hAnsi="Times New Roman" w:cs="Times New Roman"/>
          <w:sz w:val="28"/>
          <w:szCs w:val="28"/>
        </w:rPr>
        <w:t xml:space="preserve">, J., &amp; </w:t>
      </w:r>
      <w:proofErr w:type="spellStart"/>
      <w:r>
        <w:rPr>
          <w:rFonts w:ascii="Times New Roman" w:hAnsi="Times New Roman" w:cs="Times New Roman"/>
          <w:sz w:val="28"/>
          <w:szCs w:val="28"/>
        </w:rPr>
        <w:t>Mallidis</w:t>
      </w:r>
      <w:proofErr w:type="spellEnd"/>
      <w:r>
        <w:rPr>
          <w:rFonts w:ascii="Times New Roman" w:hAnsi="Times New Roman" w:cs="Times New Roman"/>
          <w:sz w:val="28"/>
          <w:szCs w:val="28"/>
        </w:rPr>
        <w:t>, I. (2012). Operations research for green logistics—</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overview of aspects, issues, contributions and challenges. </w:t>
      </w:r>
      <w:r>
        <w:rPr>
          <w:rFonts w:ascii="Times New Roman" w:hAnsi="Times New Roman" w:cs="Times New Roman"/>
          <w:i/>
          <w:iCs/>
          <w:sz w:val="28"/>
          <w:szCs w:val="28"/>
        </w:rPr>
        <w:t>European Journal of Operational Research, 219</w:t>
      </w:r>
      <w:r>
        <w:rPr>
          <w:rFonts w:ascii="Times New Roman" w:hAnsi="Times New Roman" w:cs="Times New Roman"/>
          <w:sz w:val="28"/>
          <w:szCs w:val="28"/>
        </w:rPr>
        <w:t>(3), 671-679.​</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DiMaggio, P. J., &amp; Powell, W. W. (1983). The iron cage revisited: Institutional isomorphism and collective rationality in organizational fields. </w:t>
      </w:r>
      <w:r>
        <w:rPr>
          <w:rFonts w:ascii="Times New Roman" w:hAnsi="Times New Roman" w:cs="Times New Roman"/>
          <w:i/>
          <w:iCs/>
          <w:sz w:val="28"/>
          <w:szCs w:val="28"/>
        </w:rPr>
        <w:t>American Sociological Review, 48</w:t>
      </w:r>
      <w:r>
        <w:rPr>
          <w:rFonts w:ascii="Times New Roman" w:hAnsi="Times New Roman" w:cs="Times New Roman"/>
          <w:sz w:val="28"/>
          <w:szCs w:val="28"/>
        </w:rPr>
        <w:t>(2), 147-160.</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rPr>
        <w:t>Dillman</w:t>
      </w:r>
      <w:proofErr w:type="spellEnd"/>
      <w:r>
        <w:rPr>
          <w:rFonts w:ascii="Times New Roman" w:hAnsi="Times New Roman" w:cs="Times New Roman"/>
          <w:sz w:val="28"/>
          <w:szCs w:val="28"/>
        </w:rPr>
        <w:t>, D. A. (2014). </w:t>
      </w:r>
      <w:r>
        <w:rPr>
          <w:rFonts w:ascii="Times New Roman" w:hAnsi="Times New Roman" w:cs="Times New Roman"/>
          <w:i/>
          <w:iCs/>
          <w:sz w:val="28"/>
          <w:szCs w:val="28"/>
        </w:rPr>
        <w:t>Internet, phone, mail, and mixed-mode surveys: The tailored design method</w:t>
      </w:r>
      <w:r>
        <w:rPr>
          <w:rFonts w:ascii="Times New Roman" w:hAnsi="Times New Roman" w:cs="Times New Roman"/>
          <w:sz w:val="28"/>
          <w:szCs w:val="28"/>
        </w:rPr>
        <w:t xml:space="preserve"> (4th </w:t>
      </w:r>
      <w:proofErr w:type="gramStart"/>
      <w:r>
        <w:rPr>
          <w:rFonts w:ascii="Times New Roman" w:hAnsi="Times New Roman" w:cs="Times New Roman"/>
          <w:sz w:val="28"/>
          <w:szCs w:val="28"/>
        </w:rPr>
        <w:t>ed</w:t>
      </w:r>
      <w:proofErr w:type="gramEnd"/>
      <w:r>
        <w:rPr>
          <w:rFonts w:ascii="Times New Roman" w:hAnsi="Times New Roman" w:cs="Times New Roman"/>
          <w:sz w:val="28"/>
          <w:szCs w:val="28"/>
        </w:rPr>
        <w:t>.). Wiley.</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lang w:val="es-US"/>
        </w:rPr>
        <w:t>Dubey</w:t>
      </w:r>
      <w:proofErr w:type="spellEnd"/>
      <w:r>
        <w:rPr>
          <w:rFonts w:ascii="Times New Roman" w:hAnsi="Times New Roman" w:cs="Times New Roman"/>
          <w:sz w:val="28"/>
          <w:szCs w:val="28"/>
          <w:lang w:val="es-US"/>
        </w:rPr>
        <w:t xml:space="preserve">, R., </w:t>
      </w:r>
      <w:proofErr w:type="spellStart"/>
      <w:r>
        <w:rPr>
          <w:rFonts w:ascii="Times New Roman" w:hAnsi="Times New Roman" w:cs="Times New Roman"/>
          <w:sz w:val="28"/>
          <w:szCs w:val="28"/>
          <w:lang w:val="es-US"/>
        </w:rPr>
        <w:t>Gunasekaran</w:t>
      </w:r>
      <w:proofErr w:type="spellEnd"/>
      <w:r>
        <w:rPr>
          <w:rFonts w:ascii="Times New Roman" w:hAnsi="Times New Roman" w:cs="Times New Roman"/>
          <w:sz w:val="28"/>
          <w:szCs w:val="28"/>
          <w:lang w:val="es-US"/>
        </w:rPr>
        <w:t xml:space="preserve">, A., &amp; </w:t>
      </w:r>
      <w:proofErr w:type="spellStart"/>
      <w:r>
        <w:rPr>
          <w:rFonts w:ascii="Times New Roman" w:hAnsi="Times New Roman" w:cs="Times New Roman"/>
          <w:sz w:val="28"/>
          <w:szCs w:val="28"/>
          <w:lang w:val="es-US"/>
        </w:rPr>
        <w:t>Papadopoulos</w:t>
      </w:r>
      <w:proofErr w:type="spellEnd"/>
      <w:r>
        <w:rPr>
          <w:rFonts w:ascii="Times New Roman" w:hAnsi="Times New Roman" w:cs="Times New Roman"/>
          <w:sz w:val="28"/>
          <w:szCs w:val="28"/>
          <w:lang w:val="es-US"/>
        </w:rPr>
        <w:t xml:space="preserve">, T. (2017). </w:t>
      </w:r>
      <w:r>
        <w:rPr>
          <w:rFonts w:ascii="Times New Roman" w:hAnsi="Times New Roman" w:cs="Times New Roman"/>
          <w:sz w:val="28"/>
          <w:szCs w:val="28"/>
        </w:rPr>
        <w:t>Green supply chain management: A state-of-the-art literature review. </w:t>
      </w:r>
      <w:r>
        <w:rPr>
          <w:rFonts w:ascii="Times New Roman" w:hAnsi="Times New Roman" w:cs="Times New Roman"/>
          <w:i/>
          <w:iCs/>
          <w:sz w:val="28"/>
          <w:szCs w:val="28"/>
        </w:rPr>
        <w:t>International Journal of Production Economics, 193</w:t>
      </w:r>
      <w:r>
        <w:rPr>
          <w:rFonts w:ascii="Times New Roman" w:hAnsi="Times New Roman" w:cs="Times New Roman"/>
          <w:sz w:val="28"/>
          <w:szCs w:val="28"/>
        </w:rPr>
        <w:t>(Part B), 210-225.​</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Ecological Economics Framework for Sustainable Supply Chain. (2026, February 1). HAL Open Science. </w:t>
      </w:r>
      <w:hyperlink r:id="rId14" w:tgtFrame="_blank" w:history="1">
        <w:r>
          <w:rPr>
            <w:rStyle w:val="Hyperlink"/>
            <w:rFonts w:ascii="Times New Roman" w:hAnsi="Times New Roman" w:cs="Times New Roman"/>
            <w:sz w:val="28"/>
            <w:szCs w:val="28"/>
          </w:rPr>
          <w:t>https://ideas.repec.org/p/hal/journl/hal-05518100.html</w:t>
        </w:r>
      </w:hyperlink>
      <w:r>
        <w:rPr>
          <w:rFonts w:ascii="Times New Roman" w:hAnsi="Times New Roman" w:cs="Times New Roman"/>
          <w:sz w:val="28"/>
          <w:szCs w:val="28"/>
        </w:rPr>
        <w:t>​</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lang w:val="es-US"/>
        </w:rPr>
        <w:t>Fahimnia</w:t>
      </w:r>
      <w:proofErr w:type="spellEnd"/>
      <w:r>
        <w:rPr>
          <w:rFonts w:ascii="Times New Roman" w:hAnsi="Times New Roman" w:cs="Times New Roman"/>
          <w:sz w:val="28"/>
          <w:szCs w:val="28"/>
          <w:lang w:val="es-US"/>
        </w:rPr>
        <w:t xml:space="preserve">, B., </w:t>
      </w:r>
      <w:proofErr w:type="spellStart"/>
      <w:r>
        <w:rPr>
          <w:rFonts w:ascii="Times New Roman" w:hAnsi="Times New Roman" w:cs="Times New Roman"/>
          <w:sz w:val="28"/>
          <w:szCs w:val="28"/>
          <w:lang w:val="es-US"/>
        </w:rPr>
        <w:t>Sarkis</w:t>
      </w:r>
      <w:proofErr w:type="spellEnd"/>
      <w:r>
        <w:rPr>
          <w:rFonts w:ascii="Times New Roman" w:hAnsi="Times New Roman" w:cs="Times New Roman"/>
          <w:sz w:val="28"/>
          <w:szCs w:val="28"/>
          <w:lang w:val="es-US"/>
        </w:rPr>
        <w:t xml:space="preserve">, J., &amp; </w:t>
      </w:r>
      <w:proofErr w:type="spellStart"/>
      <w:r>
        <w:rPr>
          <w:rFonts w:ascii="Times New Roman" w:hAnsi="Times New Roman" w:cs="Times New Roman"/>
          <w:sz w:val="28"/>
          <w:szCs w:val="28"/>
          <w:lang w:val="es-US"/>
        </w:rPr>
        <w:t>Davarzani</w:t>
      </w:r>
      <w:proofErr w:type="spellEnd"/>
      <w:r>
        <w:rPr>
          <w:rFonts w:ascii="Times New Roman" w:hAnsi="Times New Roman" w:cs="Times New Roman"/>
          <w:sz w:val="28"/>
          <w:szCs w:val="28"/>
          <w:lang w:val="es-US"/>
        </w:rPr>
        <w:t xml:space="preserve">, H. (2015). </w:t>
      </w:r>
      <w:r>
        <w:rPr>
          <w:rFonts w:ascii="Times New Roman" w:hAnsi="Times New Roman" w:cs="Times New Roman"/>
          <w:sz w:val="28"/>
          <w:szCs w:val="28"/>
        </w:rPr>
        <w:t>Green supply chain management: A review and bibliometric analysis. </w:t>
      </w:r>
      <w:r>
        <w:rPr>
          <w:rFonts w:ascii="Times New Roman" w:hAnsi="Times New Roman" w:cs="Times New Roman"/>
          <w:i/>
          <w:iCs/>
          <w:sz w:val="28"/>
          <w:szCs w:val="28"/>
        </w:rPr>
        <w:t>International Journal of Production Economics, 162</w:t>
      </w:r>
      <w:r>
        <w:rPr>
          <w:rFonts w:ascii="Times New Roman" w:hAnsi="Times New Roman" w:cs="Times New Roman"/>
          <w:sz w:val="28"/>
          <w:szCs w:val="28"/>
        </w:rPr>
        <w:t>, 101-114.​</w:t>
      </w:r>
    </w:p>
    <w:p w:rsidR="00341EA4" w:rsidRDefault="00CD558A">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Focus2move. (2026, February 14). </w:t>
      </w:r>
      <w:r>
        <w:rPr>
          <w:rFonts w:ascii="Times New Roman" w:hAnsi="Times New Roman" w:cs="Times New Roman"/>
          <w:i/>
          <w:iCs/>
          <w:sz w:val="28"/>
          <w:szCs w:val="28"/>
        </w:rPr>
        <w:t>ASEAN vehicle market - 2025</w:t>
      </w:r>
      <w:r>
        <w:rPr>
          <w:rFonts w:ascii="Times New Roman" w:hAnsi="Times New Roman" w:cs="Times New Roman"/>
          <w:sz w:val="28"/>
          <w:szCs w:val="28"/>
        </w:rPr>
        <w:t>. </w:t>
      </w:r>
      <w:hyperlink r:id="rId15" w:tgtFrame="_blank" w:history="1">
        <w:r>
          <w:rPr>
            <w:rStyle w:val="Hyperlink"/>
            <w:rFonts w:ascii="Times New Roman" w:hAnsi="Times New Roman" w:cs="Times New Roman"/>
            <w:sz w:val="28"/>
            <w:szCs w:val="28"/>
          </w:rPr>
          <w:t>https://www.focus2move.com/asean-vehicle-market/</w:t>
        </w:r>
      </w:hyperlink>
      <w:r>
        <w:rPr>
          <w:rFonts w:ascii="Times New Roman" w:hAnsi="Times New Roman" w:cs="Times New Roman"/>
          <w:sz w:val="28"/>
          <w:szCs w:val="28"/>
        </w:rPr>
        <w:t>​</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rPr>
        <w:t>Folke</w:t>
      </w:r>
      <w:proofErr w:type="spellEnd"/>
      <w:r>
        <w:rPr>
          <w:rFonts w:ascii="Times New Roman" w:hAnsi="Times New Roman" w:cs="Times New Roman"/>
          <w:sz w:val="28"/>
          <w:szCs w:val="28"/>
        </w:rPr>
        <w:t xml:space="preserve">, C., Hahn, T., Olsson, P., &amp; </w:t>
      </w:r>
      <w:proofErr w:type="spellStart"/>
      <w:r>
        <w:rPr>
          <w:rFonts w:ascii="Times New Roman" w:hAnsi="Times New Roman" w:cs="Times New Roman"/>
          <w:sz w:val="28"/>
          <w:szCs w:val="28"/>
        </w:rPr>
        <w:t>Norberg</w:t>
      </w:r>
      <w:proofErr w:type="spellEnd"/>
      <w:r>
        <w:rPr>
          <w:rFonts w:ascii="Times New Roman" w:hAnsi="Times New Roman" w:cs="Times New Roman"/>
          <w:sz w:val="28"/>
          <w:szCs w:val="28"/>
        </w:rPr>
        <w:t>, J. (2005). Adaptive governance of social-ecological systems. </w:t>
      </w:r>
      <w:r>
        <w:rPr>
          <w:rFonts w:ascii="Times New Roman" w:hAnsi="Times New Roman" w:cs="Times New Roman"/>
          <w:i/>
          <w:iCs/>
          <w:sz w:val="28"/>
          <w:szCs w:val="28"/>
        </w:rPr>
        <w:t>Annual Review of Environment and Resources, 30</w:t>
      </w:r>
      <w:r>
        <w:rPr>
          <w:rFonts w:ascii="Times New Roman" w:hAnsi="Times New Roman" w:cs="Times New Roman"/>
          <w:sz w:val="28"/>
          <w:szCs w:val="28"/>
        </w:rPr>
        <w:t>, 441-473.​</w:t>
      </w:r>
    </w:p>
    <w:p w:rsidR="00341EA4" w:rsidRDefault="00CD558A">
      <w:pPr>
        <w:pStyle w:val="ListParagraph"/>
        <w:numPr>
          <w:ilvl w:val="0"/>
          <w:numId w:val="11"/>
        </w:numPr>
        <w:jc w:val="both"/>
        <w:rPr>
          <w:rFonts w:ascii="Times New Roman" w:hAnsi="Times New Roman" w:cs="Times New Roman"/>
          <w:sz w:val="28"/>
          <w:szCs w:val="28"/>
        </w:rPr>
      </w:pPr>
      <w:proofErr w:type="spellStart"/>
      <w:r>
        <w:rPr>
          <w:rFonts w:ascii="Times New Roman" w:hAnsi="Times New Roman" w:cs="Times New Roman"/>
          <w:sz w:val="28"/>
          <w:szCs w:val="28"/>
        </w:rPr>
        <w:t>Gersick</w:t>
      </w:r>
      <w:proofErr w:type="spellEnd"/>
      <w:r>
        <w:rPr>
          <w:rFonts w:ascii="Times New Roman" w:hAnsi="Times New Roman" w:cs="Times New Roman"/>
          <w:sz w:val="28"/>
          <w:szCs w:val="28"/>
        </w:rPr>
        <w:t>, C. J. G. (1991). Revolutionary change theories: A multilevel exploration of the punctuated equilibrium paradigm. </w:t>
      </w:r>
      <w:r>
        <w:rPr>
          <w:rFonts w:ascii="Times New Roman" w:hAnsi="Times New Roman" w:cs="Times New Roman"/>
          <w:i/>
          <w:iCs/>
          <w:sz w:val="28"/>
          <w:szCs w:val="28"/>
        </w:rPr>
        <w:t>Academy of Management Review, 16</w:t>
      </w:r>
      <w:r>
        <w:rPr>
          <w:rFonts w:ascii="Times New Roman" w:hAnsi="Times New Roman" w:cs="Times New Roman"/>
          <w:sz w:val="28"/>
          <w:szCs w:val="28"/>
        </w:rPr>
        <w:t>(1), 10-36.</w:t>
      </w:r>
    </w:p>
    <w:p w:rsidR="00341EA4" w:rsidRPr="006B1048" w:rsidRDefault="00CD558A">
      <w:pPr>
        <w:pStyle w:val="ListParagraph"/>
        <w:numPr>
          <w:ilvl w:val="0"/>
          <w:numId w:val="11"/>
        </w:numPr>
        <w:jc w:val="both"/>
        <w:rPr>
          <w:rStyle w:val="Hyperlink"/>
          <w:rFonts w:ascii="Times New Roman" w:hAnsi="Times New Roman" w:cs="Times New Roman"/>
          <w:color w:val="auto"/>
          <w:sz w:val="28"/>
          <w:szCs w:val="28"/>
          <w:u w:val="none"/>
        </w:rPr>
      </w:pPr>
      <w:r>
        <w:rPr>
          <w:rFonts w:ascii="Times New Roman" w:hAnsi="Times New Roman" w:cs="Times New Roman"/>
          <w:sz w:val="28"/>
          <w:szCs w:val="28"/>
        </w:rPr>
        <w:t>GIZ. (</w:t>
      </w:r>
      <w:proofErr w:type="spellStart"/>
      <w:r>
        <w:rPr>
          <w:rFonts w:ascii="Times New Roman" w:hAnsi="Times New Roman" w:cs="Times New Roman"/>
          <w:sz w:val="28"/>
          <w:szCs w:val="28"/>
        </w:rPr>
        <w:t>n.d.</w:t>
      </w:r>
      <w:proofErr w:type="spellEnd"/>
      <w:r>
        <w:rPr>
          <w:rFonts w:ascii="Times New Roman" w:hAnsi="Times New Roman" w:cs="Times New Roman"/>
          <w:sz w:val="28"/>
          <w:szCs w:val="28"/>
        </w:rPr>
        <w:t>). </w:t>
      </w:r>
      <w:r>
        <w:rPr>
          <w:rFonts w:ascii="Times New Roman" w:hAnsi="Times New Roman" w:cs="Times New Roman"/>
          <w:i/>
          <w:iCs/>
          <w:sz w:val="28"/>
          <w:szCs w:val="28"/>
        </w:rPr>
        <w:t>Thailand stocktaking report on sustainable transport and climate action</w:t>
      </w:r>
      <w:r>
        <w:rPr>
          <w:rFonts w:ascii="Times New Roman" w:hAnsi="Times New Roman" w:cs="Times New Roman"/>
          <w:sz w:val="28"/>
          <w:szCs w:val="28"/>
        </w:rPr>
        <w:t>. </w:t>
      </w:r>
      <w:hyperlink r:id="rId16" w:tgtFrame="_blank" w:history="1">
        <w:r>
          <w:rPr>
            <w:rStyle w:val="Hyperlink"/>
            <w:rFonts w:ascii="Times New Roman" w:hAnsi="Times New Roman" w:cs="Times New Roman"/>
            <w:sz w:val="28"/>
            <w:szCs w:val="28"/>
          </w:rPr>
          <w:t>https://transformative-mobility.org/wp-content/uploads/2024/01/GIZ-SUTP_TD_Thailand-Stocktaking-Report_EN.pdf</w:t>
        </w:r>
      </w:hyperlink>
    </w:p>
    <w:p w:rsidR="006B1048" w:rsidRPr="006B1048" w:rsidRDefault="006B1048" w:rsidP="006B1048">
      <w:pPr>
        <w:pStyle w:val="ListParagraph"/>
        <w:numPr>
          <w:ilvl w:val="0"/>
          <w:numId w:val="11"/>
        </w:num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ASEAN Secretariat. (2024). Framework on ASEAN supply chain efficiency and resilience. ASEAN Secretariat.</w:t>
      </w:r>
    </w:p>
    <w:p w:rsidR="006B1048" w:rsidRPr="006B1048" w:rsidRDefault="006B1048" w:rsidP="006B1048">
      <w:pPr>
        <w:pStyle w:val="ListParagraph"/>
        <w:numPr>
          <w:ilvl w:val="0"/>
          <w:numId w:val="11"/>
        </w:num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IEA. (2025). Global EV outlook 2025. International Energy Agency.</w:t>
      </w:r>
    </w:p>
    <w:p w:rsidR="006B1048" w:rsidRPr="006B1048" w:rsidRDefault="006B1048" w:rsidP="006B1048">
      <w:pPr>
        <w:pStyle w:val="ListParagraph"/>
        <w:numPr>
          <w:ilvl w:val="0"/>
          <w:numId w:val="11"/>
        </w:numPr>
        <w:jc w:val="both"/>
        <w:rPr>
          <w:rFonts w:ascii="Times New Roman" w:hAnsi="Times New Roman" w:cs="Times New Roman"/>
          <w:sz w:val="28"/>
          <w:szCs w:val="28"/>
          <w:highlight w:val="yellow"/>
        </w:rPr>
      </w:pPr>
      <w:r w:rsidRPr="006B1048">
        <w:rPr>
          <w:rFonts w:ascii="Times New Roman" w:hAnsi="Times New Roman" w:cs="Times New Roman"/>
          <w:sz w:val="28"/>
          <w:szCs w:val="28"/>
          <w:highlight w:val="yellow"/>
        </w:rPr>
        <w:t>Ivanov, D. (2023). Supply chain resilience: Theory and practice. Springer.</w:t>
      </w:r>
    </w:p>
    <w:p w:rsidR="006B1048" w:rsidRPr="006B1048" w:rsidRDefault="006B1048" w:rsidP="006B1048">
      <w:pPr>
        <w:pStyle w:val="ListParagraph"/>
        <w:numPr>
          <w:ilvl w:val="0"/>
          <w:numId w:val="11"/>
        </w:numPr>
        <w:jc w:val="both"/>
        <w:rPr>
          <w:rFonts w:ascii="Times New Roman" w:hAnsi="Times New Roman" w:cs="Times New Roman"/>
          <w:sz w:val="28"/>
          <w:szCs w:val="28"/>
          <w:highlight w:val="yellow"/>
        </w:rPr>
      </w:pPr>
      <w:proofErr w:type="spellStart"/>
      <w:r w:rsidRPr="006B1048">
        <w:rPr>
          <w:rFonts w:ascii="Times New Roman" w:hAnsi="Times New Roman" w:cs="Times New Roman"/>
          <w:sz w:val="28"/>
          <w:szCs w:val="28"/>
          <w:highlight w:val="yellow"/>
        </w:rPr>
        <w:t>Rockström</w:t>
      </w:r>
      <w:proofErr w:type="spellEnd"/>
      <w:r w:rsidRPr="006B1048">
        <w:rPr>
          <w:rFonts w:ascii="Times New Roman" w:hAnsi="Times New Roman" w:cs="Times New Roman"/>
          <w:sz w:val="28"/>
          <w:szCs w:val="28"/>
          <w:highlight w:val="yellow"/>
        </w:rPr>
        <w:t xml:space="preserve">, J., Gupta, J., </w:t>
      </w:r>
      <w:proofErr w:type="spellStart"/>
      <w:r w:rsidRPr="006B1048">
        <w:rPr>
          <w:rFonts w:ascii="Times New Roman" w:hAnsi="Times New Roman" w:cs="Times New Roman"/>
          <w:sz w:val="28"/>
          <w:szCs w:val="28"/>
          <w:highlight w:val="yellow"/>
        </w:rPr>
        <w:t>Lenton</w:t>
      </w:r>
      <w:proofErr w:type="spellEnd"/>
      <w:r w:rsidRPr="006B1048">
        <w:rPr>
          <w:rFonts w:ascii="Times New Roman" w:hAnsi="Times New Roman" w:cs="Times New Roman"/>
          <w:sz w:val="28"/>
          <w:szCs w:val="28"/>
          <w:highlight w:val="yellow"/>
        </w:rPr>
        <w:t xml:space="preserve">, T. M., Qin, D., Lade, S. J., Abrams, J. F., Jacobson, L., Rocha, J. C., </w:t>
      </w:r>
      <w:proofErr w:type="spellStart"/>
      <w:r w:rsidRPr="006B1048">
        <w:rPr>
          <w:rFonts w:ascii="Times New Roman" w:hAnsi="Times New Roman" w:cs="Times New Roman"/>
          <w:sz w:val="28"/>
          <w:szCs w:val="28"/>
          <w:highlight w:val="yellow"/>
        </w:rPr>
        <w:t>Zimm</w:t>
      </w:r>
      <w:proofErr w:type="spellEnd"/>
      <w:r w:rsidRPr="006B1048">
        <w:rPr>
          <w:rFonts w:ascii="Times New Roman" w:hAnsi="Times New Roman" w:cs="Times New Roman"/>
          <w:sz w:val="28"/>
          <w:szCs w:val="28"/>
          <w:highlight w:val="yellow"/>
        </w:rPr>
        <w:t xml:space="preserve">, C., Bai, X., </w:t>
      </w:r>
      <w:proofErr w:type="spellStart"/>
      <w:r w:rsidRPr="006B1048">
        <w:rPr>
          <w:rFonts w:ascii="Times New Roman" w:hAnsi="Times New Roman" w:cs="Times New Roman"/>
          <w:sz w:val="28"/>
          <w:szCs w:val="28"/>
          <w:highlight w:val="yellow"/>
        </w:rPr>
        <w:t>Bhowmik</w:t>
      </w:r>
      <w:proofErr w:type="spellEnd"/>
      <w:r w:rsidRPr="006B1048">
        <w:rPr>
          <w:rFonts w:ascii="Times New Roman" w:hAnsi="Times New Roman" w:cs="Times New Roman"/>
          <w:sz w:val="28"/>
          <w:szCs w:val="28"/>
          <w:highlight w:val="yellow"/>
        </w:rPr>
        <w:t xml:space="preserve">, A. K., </w:t>
      </w:r>
      <w:proofErr w:type="spellStart"/>
      <w:r w:rsidRPr="006B1048">
        <w:rPr>
          <w:rFonts w:ascii="Times New Roman" w:hAnsi="Times New Roman" w:cs="Times New Roman"/>
          <w:sz w:val="28"/>
          <w:szCs w:val="28"/>
          <w:highlight w:val="yellow"/>
        </w:rPr>
        <w:t>Bringezu</w:t>
      </w:r>
      <w:proofErr w:type="spellEnd"/>
      <w:r w:rsidRPr="006B1048">
        <w:rPr>
          <w:rFonts w:ascii="Times New Roman" w:hAnsi="Times New Roman" w:cs="Times New Roman"/>
          <w:sz w:val="28"/>
          <w:szCs w:val="28"/>
          <w:highlight w:val="yellow"/>
        </w:rPr>
        <w:t xml:space="preserve">, S., Broadgate, W., Bunn, S. E., </w:t>
      </w:r>
      <w:proofErr w:type="spellStart"/>
      <w:r w:rsidRPr="006B1048">
        <w:rPr>
          <w:rFonts w:ascii="Times New Roman" w:hAnsi="Times New Roman" w:cs="Times New Roman"/>
          <w:sz w:val="28"/>
          <w:szCs w:val="28"/>
          <w:highlight w:val="yellow"/>
        </w:rPr>
        <w:t>DeClerck</w:t>
      </w:r>
      <w:proofErr w:type="spellEnd"/>
      <w:r w:rsidRPr="006B1048">
        <w:rPr>
          <w:rFonts w:ascii="Times New Roman" w:hAnsi="Times New Roman" w:cs="Times New Roman"/>
          <w:sz w:val="28"/>
          <w:szCs w:val="28"/>
          <w:highlight w:val="yellow"/>
        </w:rPr>
        <w:t xml:space="preserve">, F., </w:t>
      </w:r>
      <w:proofErr w:type="spellStart"/>
      <w:r w:rsidRPr="006B1048">
        <w:rPr>
          <w:rFonts w:ascii="Times New Roman" w:hAnsi="Times New Roman" w:cs="Times New Roman"/>
          <w:sz w:val="28"/>
          <w:szCs w:val="28"/>
          <w:highlight w:val="yellow"/>
        </w:rPr>
        <w:t>Ebi</w:t>
      </w:r>
      <w:proofErr w:type="spellEnd"/>
      <w:r w:rsidRPr="006B1048">
        <w:rPr>
          <w:rFonts w:ascii="Times New Roman" w:hAnsi="Times New Roman" w:cs="Times New Roman"/>
          <w:sz w:val="28"/>
          <w:szCs w:val="28"/>
          <w:highlight w:val="yellow"/>
        </w:rPr>
        <w:t xml:space="preserve">, K. L., Gong, P., </w:t>
      </w:r>
      <w:proofErr w:type="spellStart"/>
      <w:r w:rsidRPr="006B1048">
        <w:rPr>
          <w:rFonts w:ascii="Times New Roman" w:hAnsi="Times New Roman" w:cs="Times New Roman"/>
          <w:sz w:val="28"/>
          <w:szCs w:val="28"/>
          <w:highlight w:val="yellow"/>
        </w:rPr>
        <w:t>Gerten</w:t>
      </w:r>
      <w:proofErr w:type="spellEnd"/>
      <w:r w:rsidRPr="006B1048">
        <w:rPr>
          <w:rFonts w:ascii="Times New Roman" w:hAnsi="Times New Roman" w:cs="Times New Roman"/>
          <w:sz w:val="28"/>
          <w:szCs w:val="28"/>
          <w:highlight w:val="yellow"/>
        </w:rPr>
        <w:t xml:space="preserve">, D., </w:t>
      </w:r>
      <w:r w:rsidRPr="006B1048">
        <w:rPr>
          <w:rFonts w:ascii="Times New Roman" w:hAnsi="Times New Roman" w:cs="Times New Roman"/>
          <w:sz w:val="28"/>
          <w:szCs w:val="28"/>
          <w:highlight w:val="yellow"/>
        </w:rPr>
        <w:lastRenderedPageBreak/>
        <w:t>Hoff, H., . . . Zhang, X. (2023). Safe and just Earth system boundaries. Nature, 619, 102–111. https://doi.org/10.1038/s41586-023-06083-8</w:t>
      </w:r>
    </w:p>
    <w:p w:rsidR="00341EA4" w:rsidRDefault="00341EA4">
      <w:pPr>
        <w:jc w:val="both"/>
        <w:rPr>
          <w:rFonts w:ascii="Times New Roman" w:hAnsi="Times New Roman" w:cs="Times New Roman"/>
          <w:sz w:val="28"/>
          <w:szCs w:val="28"/>
        </w:rPr>
      </w:pPr>
    </w:p>
    <w:p w:rsidR="00341EA4" w:rsidRDefault="00341EA4">
      <w:pPr>
        <w:jc w:val="both"/>
        <w:rPr>
          <w:rFonts w:ascii="Times New Roman" w:hAnsi="Times New Roman" w:cs="Times New Roman"/>
          <w:sz w:val="28"/>
          <w:szCs w:val="28"/>
        </w:rPr>
      </w:pPr>
    </w:p>
    <w:sectPr w:rsidR="00341EA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A12" w:rsidRDefault="00192A12">
      <w:pPr>
        <w:spacing w:line="240" w:lineRule="auto"/>
      </w:pPr>
      <w:r>
        <w:separator/>
      </w:r>
    </w:p>
  </w:endnote>
  <w:endnote w:type="continuationSeparator" w:id="0">
    <w:p w:rsidR="00192A12" w:rsidRDefault="00192A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58A" w:rsidRDefault="00CD55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58A" w:rsidRDefault="00CD55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58A" w:rsidRDefault="00CD55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A12" w:rsidRDefault="00192A12">
      <w:pPr>
        <w:spacing w:after="0"/>
      </w:pPr>
      <w:r>
        <w:separator/>
      </w:r>
    </w:p>
  </w:footnote>
  <w:footnote w:type="continuationSeparator" w:id="0">
    <w:p w:rsidR="00192A12" w:rsidRDefault="00192A1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58A" w:rsidRDefault="00CD558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0876" o:spid="_x0000_s2050" type="#_x0000_t136" style="position:absolute;margin-left:0;margin-top:0;width:555.05pt;height:104.65pt;rotation:315;z-index:-251656192;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58A" w:rsidRDefault="00CD558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0877" o:spid="_x0000_s2051" type="#_x0000_t136" style="position:absolute;margin-left:0;margin-top:0;width:555.05pt;height:104.65pt;rotation:315;z-index:-251655168;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58A" w:rsidRDefault="00CD558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0875" o:spid="_x0000_s2049" type="#_x0000_t136" style="position:absolute;margin-left:0;margin-top:0;width:555.05pt;height:104.65pt;rotation:315;z-index:-251657216;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C5A8A"/>
    <w:multiLevelType w:val="multilevel"/>
    <w:tmpl w:val="046C5A8A"/>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20547DC4"/>
    <w:multiLevelType w:val="multilevel"/>
    <w:tmpl w:val="20547D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715CAD"/>
    <w:multiLevelType w:val="multilevel"/>
    <w:tmpl w:val="27715C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38B36329"/>
    <w:multiLevelType w:val="multilevel"/>
    <w:tmpl w:val="38B3632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 w15:restartNumberingAfterBreak="0">
    <w:nsid w:val="39605ED0"/>
    <w:multiLevelType w:val="multilevel"/>
    <w:tmpl w:val="39605ED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2644089"/>
    <w:multiLevelType w:val="multilevel"/>
    <w:tmpl w:val="4264408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6" w15:restartNumberingAfterBreak="0">
    <w:nsid w:val="43D80940"/>
    <w:multiLevelType w:val="multilevel"/>
    <w:tmpl w:val="43D8094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7" w15:restartNumberingAfterBreak="0">
    <w:nsid w:val="61566138"/>
    <w:multiLevelType w:val="multilevel"/>
    <w:tmpl w:val="6156613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61D505A1"/>
    <w:multiLevelType w:val="multilevel"/>
    <w:tmpl w:val="61D505A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9" w15:restartNumberingAfterBreak="0">
    <w:nsid w:val="711876C2"/>
    <w:multiLevelType w:val="multilevel"/>
    <w:tmpl w:val="711876C2"/>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0" w15:restartNumberingAfterBreak="0">
    <w:nsid w:val="7F8B5728"/>
    <w:multiLevelType w:val="multilevel"/>
    <w:tmpl w:val="7F8B572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8"/>
  </w:num>
  <w:num w:numId="2">
    <w:abstractNumId w:val="0"/>
  </w:num>
  <w:num w:numId="3">
    <w:abstractNumId w:val="2"/>
  </w:num>
  <w:num w:numId="4">
    <w:abstractNumId w:val="9"/>
  </w:num>
  <w:num w:numId="5">
    <w:abstractNumId w:val="3"/>
  </w:num>
  <w:num w:numId="6">
    <w:abstractNumId w:val="7"/>
  </w:num>
  <w:num w:numId="7">
    <w:abstractNumId w:val="5"/>
  </w:num>
  <w:num w:numId="8">
    <w:abstractNumId w:val="10"/>
  </w:num>
  <w:num w:numId="9">
    <w:abstractNumId w:val="6"/>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De0MLGwMDMztDQ2MTBT0lEKTi0uzszPAykwrAUACLIAXiwAAAA="/>
  </w:docVars>
  <w:rsids>
    <w:rsidRoot w:val="003554E0"/>
    <w:rsid w:val="000C6AEC"/>
    <w:rsid w:val="00192A12"/>
    <w:rsid w:val="00341EA4"/>
    <w:rsid w:val="003554E0"/>
    <w:rsid w:val="00362462"/>
    <w:rsid w:val="004122F1"/>
    <w:rsid w:val="00414FDD"/>
    <w:rsid w:val="00542355"/>
    <w:rsid w:val="006B1048"/>
    <w:rsid w:val="006E3BBB"/>
    <w:rsid w:val="007455CC"/>
    <w:rsid w:val="00745E83"/>
    <w:rsid w:val="0076088A"/>
    <w:rsid w:val="007805F9"/>
    <w:rsid w:val="007F274D"/>
    <w:rsid w:val="008A7612"/>
    <w:rsid w:val="00982034"/>
    <w:rsid w:val="00CD558A"/>
    <w:rsid w:val="00DE2F82"/>
    <w:rsid w:val="00E50713"/>
    <w:rsid w:val="5E292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C945C2B-D59D-4DD6-998B-1FB78EE7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pPr>
      <w:tabs>
        <w:tab w:val="right" w:leader="dot" w:pos="9350"/>
      </w:tabs>
      <w:spacing w:after="100"/>
    </w:pPr>
  </w:style>
  <w:style w:type="paragraph" w:styleId="TOC2">
    <w:name w:val="toc 2"/>
    <w:basedOn w:val="Normal"/>
    <w:next w:val="Normal"/>
    <w:autoRedefine/>
    <w:uiPriority w:val="39"/>
    <w:unhideWhenUsed/>
    <w:qFormat/>
    <w:pPr>
      <w:spacing w:after="100"/>
      <w:ind w:left="220"/>
    </w:p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paragraph" w:customStyle="1" w:styleId="TOCHeading1">
    <w:name w:val="TOC Heading1"/>
    <w:basedOn w:val="Heading1"/>
    <w:next w:val="Normal"/>
    <w:uiPriority w:val="39"/>
    <w:unhideWhenUsed/>
    <w:qFormat/>
    <w:pPr>
      <w:outlineLvl w:val="9"/>
    </w:p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scp.org/our-work/thai-auto-industry/"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connectivity.asean.org/wp-content/uploads/2024/10/Published-Framework-on-ASEAN-Supply-Chain-Efficiency-and-Resilience-F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ransformative-mobility.org/wp-content/uploads/2024/01/GIZ-SUTP_TD_Thailand-Stocktaking-Report_E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focus2move.com/asean-vehicle-market/"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ideas.repec.org/p/hal/journl/hal-05518100.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E2BFBA-F891-42E5-9DA4-F4300415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27</Pages>
  <Words>6377</Words>
  <Characters>36355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dc:creator>
  <cp:lastModifiedBy>Romi</cp:lastModifiedBy>
  <cp:revision>7</cp:revision>
  <dcterms:created xsi:type="dcterms:W3CDTF">2026-03-04T16:04:00Z</dcterms:created>
  <dcterms:modified xsi:type="dcterms:W3CDTF">2026-03-28T12:29:00Z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9d6f8535-57b3-47ec-b8a6-14c97d599eba</vt:lpwstr>
  </property>
  <property fmtid="{D5CDD505-2E9C-101B-9397-08002B2CF9AE}" pid="3" name="KSOProductBuildVer">
    <vt:lpwstr>1033-12.2.0.23196</vt:lpwstr>
  </property>
  <property fmtid="{D5CDD505-2E9C-101B-9397-08002B2CF9AE}" pid="4" name="ICV">
    <vt:lpwstr>9C42BA518F15458A91B16A79836E595C_12</vt:lpwstr>
  </property>
</Properties>
</file>