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382C" w14:textId="77777777" w:rsidR="00B33CAF" w:rsidRPr="00FE2FB1" w:rsidRDefault="007A5373">
      <w:pPr>
        <w:jc w:val="center"/>
        <w:rPr>
          <w:rFonts w:ascii="Times New Roman" w:hAnsi="Times New Roman" w:cs="Times New Roman"/>
          <w:b/>
          <w:bCs/>
          <w:sz w:val="28"/>
          <w:szCs w:val="28"/>
        </w:rPr>
      </w:pPr>
      <w:r w:rsidRPr="00FE2FB1">
        <w:rPr>
          <w:rFonts w:ascii="Times New Roman" w:hAnsi="Times New Roman" w:cs="Times New Roman"/>
          <w:b/>
          <w:bCs/>
          <w:sz w:val="28"/>
          <w:szCs w:val="28"/>
        </w:rPr>
        <w:t>Effect of Cadmium Toxicity on Memory, Pain Sensitivity and Immunity in Female Albino Rats</w:t>
      </w:r>
    </w:p>
    <w:p w14:paraId="430CDD28" w14:textId="77777777" w:rsidR="00B33CAF" w:rsidRPr="00FE2FB1" w:rsidRDefault="00AB4191">
      <w:pPr>
        <w:tabs>
          <w:tab w:val="left" w:pos="380"/>
        </w:tabs>
        <w:jc w:val="both"/>
        <w:rPr>
          <w:rFonts w:ascii="Times New Roman" w:hAnsi="Times New Roman" w:cs="Times New Roman"/>
          <w:b/>
          <w:bCs/>
          <w:sz w:val="28"/>
          <w:szCs w:val="28"/>
          <w:u w:val="single"/>
        </w:rPr>
      </w:pPr>
      <w:bookmarkStart w:id="0" w:name="_Hlk229490294"/>
      <w:bookmarkStart w:id="1" w:name="_Hlk229515566"/>
      <w:r w:rsidRPr="00FE2FB1">
        <w:rPr>
          <w:rFonts w:ascii="Times New Roman" w:hAnsi="Times New Roman" w:cs="Times New Roman"/>
          <w:b/>
          <w:bCs/>
          <w:sz w:val="28"/>
          <w:szCs w:val="28"/>
          <w:u w:val="single"/>
        </w:rPr>
        <w:t>Abstract</w:t>
      </w:r>
    </w:p>
    <w:p w14:paraId="077360EC" w14:textId="77777777" w:rsidR="004C6159" w:rsidRPr="00FE2FB1" w:rsidRDefault="00AB4191">
      <w:pPr>
        <w:jc w:val="both"/>
        <w:rPr>
          <w:rFonts w:ascii="Times New Roman" w:hAnsi="Times New Roman" w:cs="Times New Roman"/>
          <w:sz w:val="24"/>
          <w:szCs w:val="24"/>
        </w:rPr>
      </w:pPr>
      <w:r w:rsidRPr="00FE2FB1">
        <w:rPr>
          <w:rFonts w:ascii="Times New Roman" w:hAnsi="Times New Roman" w:cs="Times New Roman"/>
          <w:b/>
          <w:bCs/>
          <w:sz w:val="24"/>
          <w:szCs w:val="24"/>
        </w:rPr>
        <w:t xml:space="preserve">Background: </w:t>
      </w:r>
      <w:r w:rsidRPr="00FE2FB1">
        <w:rPr>
          <w:rFonts w:ascii="Times New Roman" w:hAnsi="Times New Roman" w:cs="Times New Roman"/>
          <w:sz w:val="24"/>
          <w:szCs w:val="24"/>
        </w:rPr>
        <w:t xml:space="preserve">Cadmium (Cd) is a highly toxic metal present in cigarette smoke, industrial waste and agricultural chemicals. Unlike essential minerals such as zinc, cadmium is not readily eliminated from the body and may accumulate in vital organs, causing chronic physiological damage. </w:t>
      </w:r>
    </w:p>
    <w:p w14:paraId="5F8D13F5" w14:textId="2CA90563" w:rsidR="00B33CAF" w:rsidRPr="00FE2FB1" w:rsidRDefault="004C6159">
      <w:pPr>
        <w:jc w:val="both"/>
        <w:rPr>
          <w:rFonts w:ascii="Times New Roman" w:hAnsi="Times New Roman" w:cs="Times New Roman"/>
          <w:sz w:val="24"/>
          <w:szCs w:val="24"/>
        </w:rPr>
      </w:pPr>
      <w:r w:rsidRPr="00FE2FB1">
        <w:rPr>
          <w:rFonts w:ascii="Times New Roman" w:hAnsi="Times New Roman" w:cs="Times New Roman"/>
          <w:b/>
          <w:bCs/>
          <w:sz w:val="24"/>
          <w:szCs w:val="24"/>
        </w:rPr>
        <w:t>Aims</w:t>
      </w:r>
      <w:r w:rsidRPr="00FE2FB1">
        <w:rPr>
          <w:rFonts w:ascii="Times New Roman" w:hAnsi="Times New Roman" w:cs="Times New Roman"/>
          <w:sz w:val="24"/>
          <w:szCs w:val="24"/>
        </w:rPr>
        <w:t xml:space="preserve">: </w:t>
      </w:r>
      <w:r w:rsidR="00AB4191" w:rsidRPr="00FE2FB1">
        <w:rPr>
          <w:rFonts w:ascii="Times New Roman" w:hAnsi="Times New Roman" w:cs="Times New Roman"/>
          <w:sz w:val="24"/>
          <w:szCs w:val="24"/>
        </w:rPr>
        <w:t>This study assessed the effects of cadmium on spatial memory, pain sensitivity and immunity in female albino rats.</w:t>
      </w:r>
    </w:p>
    <w:p w14:paraId="42438255" w14:textId="77777777" w:rsidR="00B33CAF" w:rsidRPr="00FE2FB1" w:rsidRDefault="00AB4191">
      <w:pPr>
        <w:jc w:val="both"/>
        <w:rPr>
          <w:rFonts w:ascii="Times New Roman" w:hAnsi="Times New Roman" w:cs="Times New Roman"/>
          <w:sz w:val="24"/>
          <w:szCs w:val="24"/>
        </w:rPr>
      </w:pPr>
      <w:r w:rsidRPr="00FE2FB1">
        <w:rPr>
          <w:rFonts w:ascii="Times New Roman" w:hAnsi="Times New Roman" w:cs="Times New Roman"/>
          <w:b/>
          <w:bCs/>
          <w:sz w:val="24"/>
          <w:szCs w:val="24"/>
        </w:rPr>
        <w:t xml:space="preserve">Methodology: </w:t>
      </w:r>
      <w:r w:rsidRPr="00FE2FB1">
        <w:rPr>
          <w:rFonts w:ascii="Times New Roman" w:hAnsi="Times New Roman" w:cs="Times New Roman"/>
          <w:sz w:val="24"/>
          <w:szCs w:val="24"/>
        </w:rPr>
        <w:t>Fifteen female albino rats were randomly divided into three groups of five animals: one control group and two treatment groups that received single intraperitoneal doses of cadmium at 2 and 3 mg/kg, respectively. Spatial working memory was assessed using the Y-maze test, and pain sensitivity was evaluated using the early and late phases of the formalin test. Immune response was assessed through total white blood cell and differential leukocyte counts, while body-weight change was recorded daily for seven days.</w:t>
      </w:r>
    </w:p>
    <w:p w14:paraId="32EBD909"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b/>
          <w:bCs/>
          <w:sz w:val="24"/>
          <w:szCs w:val="24"/>
        </w:rPr>
        <w:t xml:space="preserve">Results: </w:t>
      </w:r>
      <w:r w:rsidRPr="00FE2FB1">
        <w:rPr>
          <w:rFonts w:ascii="Times New Roman" w:hAnsi="Times New Roman" w:cs="Times New Roman"/>
          <w:sz w:val="24"/>
          <w:szCs w:val="24"/>
        </w:rPr>
        <w:t xml:space="preserve">Cadmium administration produced a dose-dependent reduction in Y-maze percentage alternation and a significant reduction in the number of arm entries. Pain-related </w:t>
      </w:r>
      <w:proofErr w:type="spellStart"/>
      <w:r w:rsidRPr="00FE2FB1">
        <w:rPr>
          <w:rFonts w:ascii="Times New Roman" w:hAnsi="Times New Roman" w:cs="Times New Roman"/>
          <w:sz w:val="24"/>
          <w:szCs w:val="24"/>
        </w:rPr>
        <w:t>behaviour</w:t>
      </w:r>
      <w:proofErr w:type="spellEnd"/>
      <w:r w:rsidRPr="00FE2FB1">
        <w:rPr>
          <w:rFonts w:ascii="Times New Roman" w:hAnsi="Times New Roman" w:cs="Times New Roman"/>
          <w:sz w:val="24"/>
          <w:szCs w:val="24"/>
        </w:rPr>
        <w:t xml:space="preserve"> decreased significantly (p &lt; 0.05) during the late phase of the formalin test. The 3 mg/kg group showed a significant reduction in total WBC count. Differential leukocyte percentages remained generally stable, although eosinophil and basophil percentages showed non-significant reductions in the cadmium-treated group compared with the control group. The treated groups also showed lower body-weight gain than the control group.</w:t>
      </w:r>
    </w:p>
    <w:p w14:paraId="1CF2062A"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b/>
          <w:bCs/>
          <w:sz w:val="24"/>
          <w:szCs w:val="24"/>
        </w:rPr>
        <w:t xml:space="preserve">Conclusion: </w:t>
      </w:r>
      <w:r w:rsidRPr="00FE2FB1">
        <w:rPr>
          <w:rFonts w:ascii="Times New Roman" w:hAnsi="Times New Roman" w:cs="Times New Roman"/>
          <w:sz w:val="24"/>
          <w:szCs w:val="24"/>
        </w:rPr>
        <w:t xml:space="preserve">Under the conditions of this study, cadmium administration was associated with impaired spatial working-memory performance, altered pain-related </w:t>
      </w:r>
      <w:proofErr w:type="spellStart"/>
      <w:r w:rsidRPr="00FE2FB1">
        <w:rPr>
          <w:rFonts w:ascii="Times New Roman" w:hAnsi="Times New Roman" w:cs="Times New Roman"/>
          <w:sz w:val="24"/>
          <w:szCs w:val="24"/>
        </w:rPr>
        <w:t>behaviour</w:t>
      </w:r>
      <w:proofErr w:type="spellEnd"/>
      <w:r w:rsidRPr="00FE2FB1">
        <w:rPr>
          <w:rFonts w:ascii="Times New Roman" w:hAnsi="Times New Roman" w:cs="Times New Roman"/>
          <w:sz w:val="24"/>
          <w:szCs w:val="24"/>
        </w:rPr>
        <w:t>, reduced total WBC count and lower body-weight gain in female albino rats.</w:t>
      </w:r>
    </w:p>
    <w:p w14:paraId="2596D5B4" w14:textId="234C11AF" w:rsidR="00B33CAF" w:rsidRPr="00FE2FB1" w:rsidRDefault="00AB4191" w:rsidP="00D9497E">
      <w:pPr>
        <w:spacing w:before="240"/>
        <w:jc w:val="both"/>
        <w:rPr>
          <w:rFonts w:ascii="Times New Roman" w:hAnsi="Times New Roman" w:cs="Times New Roman"/>
          <w:sz w:val="24"/>
          <w:szCs w:val="24"/>
        </w:rPr>
        <w:sectPr w:rsidR="00B33CAF" w:rsidRPr="00FE2FB1">
          <w:footerReference w:type="default" r:id="rId7"/>
          <w:type w:val="continuous"/>
          <w:pgSz w:w="12240" w:h="15840"/>
          <w:pgMar w:top="1440" w:right="1440" w:bottom="1440" w:left="1440" w:header="720" w:footer="720" w:gutter="0"/>
          <w:cols w:space="720"/>
          <w:docGrid w:linePitch="360"/>
        </w:sectPr>
      </w:pPr>
      <w:r w:rsidRPr="00FE2FB1">
        <w:rPr>
          <w:rFonts w:ascii="Times New Roman" w:hAnsi="Times New Roman" w:cs="Times New Roman"/>
          <w:b/>
          <w:bCs/>
          <w:sz w:val="24"/>
          <w:szCs w:val="24"/>
        </w:rPr>
        <w:t xml:space="preserve">Keywords: </w:t>
      </w:r>
      <w:bookmarkEnd w:id="0"/>
      <w:bookmarkEnd w:id="1"/>
      <w:r w:rsidR="00D9497E" w:rsidRPr="00FE2FB1">
        <w:t>Cadmium toxicity; female albino rats; spatial working memory; Y-maze; nociception; formalin test; total white blood cell count; differential leukocyte count; immunotoxicity; body-weight change</w:t>
      </w:r>
    </w:p>
    <w:p w14:paraId="26911EE1" w14:textId="77777777" w:rsidR="00B33CAF" w:rsidRPr="00FE2FB1" w:rsidRDefault="00B33CAF">
      <w:pPr>
        <w:tabs>
          <w:tab w:val="left" w:pos="5267"/>
        </w:tabs>
        <w:rPr>
          <w:rFonts w:ascii="Times New Roman" w:hAnsi="Times New Roman" w:cs="Times New Roman"/>
          <w:sz w:val="24"/>
          <w:szCs w:val="24"/>
        </w:rPr>
      </w:pPr>
    </w:p>
    <w:p w14:paraId="285A51F7" w14:textId="77777777" w:rsidR="00B33CAF" w:rsidRPr="00FE2FB1" w:rsidRDefault="00B33CAF">
      <w:pPr>
        <w:tabs>
          <w:tab w:val="left" w:pos="5267"/>
        </w:tabs>
        <w:rPr>
          <w:rFonts w:ascii="Times New Roman" w:hAnsi="Times New Roman" w:cs="Times New Roman"/>
          <w:b/>
          <w:bCs/>
          <w:sz w:val="28"/>
          <w:szCs w:val="28"/>
          <w:u w:val="single"/>
        </w:rPr>
      </w:pPr>
    </w:p>
    <w:p w14:paraId="2C073B5C" w14:textId="77777777" w:rsidR="00B33CAF" w:rsidRPr="00FE2FB1" w:rsidRDefault="00B33CAF">
      <w:pPr>
        <w:tabs>
          <w:tab w:val="left" w:pos="5267"/>
        </w:tabs>
        <w:rPr>
          <w:rFonts w:ascii="Times New Roman" w:hAnsi="Times New Roman" w:cs="Times New Roman"/>
          <w:b/>
          <w:bCs/>
          <w:sz w:val="28"/>
          <w:szCs w:val="28"/>
          <w:u w:val="single"/>
        </w:rPr>
      </w:pPr>
    </w:p>
    <w:p w14:paraId="2C7D0EF7" w14:textId="77777777" w:rsidR="00B33CAF" w:rsidRPr="00FE2FB1" w:rsidRDefault="00B33CAF">
      <w:pPr>
        <w:tabs>
          <w:tab w:val="left" w:pos="5267"/>
        </w:tabs>
        <w:rPr>
          <w:rFonts w:ascii="Times New Roman" w:hAnsi="Times New Roman" w:cs="Times New Roman"/>
          <w:b/>
          <w:bCs/>
          <w:sz w:val="28"/>
          <w:szCs w:val="28"/>
          <w:u w:val="single"/>
        </w:rPr>
      </w:pPr>
    </w:p>
    <w:p w14:paraId="54B3EBB3" w14:textId="77777777" w:rsidR="00B33CAF" w:rsidRPr="00FE2FB1" w:rsidRDefault="00AB4191">
      <w:pPr>
        <w:tabs>
          <w:tab w:val="left" w:pos="5267"/>
        </w:tabs>
        <w:rPr>
          <w:rFonts w:ascii="Times New Roman" w:hAnsi="Times New Roman" w:cs="Times New Roman"/>
          <w:b/>
          <w:bCs/>
          <w:sz w:val="28"/>
          <w:szCs w:val="28"/>
        </w:rPr>
      </w:pPr>
      <w:r w:rsidRPr="00FE2FB1">
        <w:rPr>
          <w:rFonts w:ascii="Times New Roman" w:hAnsi="Times New Roman" w:cs="Times New Roman"/>
          <w:b/>
          <w:bCs/>
          <w:sz w:val="28"/>
          <w:szCs w:val="28"/>
          <w:u w:val="single"/>
        </w:rPr>
        <w:t>Introduction</w:t>
      </w:r>
    </w:p>
    <w:p w14:paraId="1566274B" w14:textId="77777777" w:rsidR="00B33CAF" w:rsidRPr="00FE2FB1" w:rsidRDefault="00AB4191">
      <w:pPr>
        <w:pStyle w:val="NormalWeb"/>
        <w:jc w:val="both"/>
        <w:rPr>
          <w:bCs/>
        </w:rPr>
      </w:pPr>
      <w:r w:rsidRPr="00FE2FB1">
        <w:lastRenderedPageBreak/>
        <w:t>Cadmium (Cd), an extremely toxic heavy metal, is widely distributed in the environment as a result of cigarette smoke, mining activities, indiscriminate waste disposal, agrochemical inputs and rapid urban growth. It poses a substantial contamination risk, particularly in areas strongly affected by human activities. Environmental cadmium contamination has become a serious public-health concern. Unlike essential minerals such as zinc and iron, cadmium has no known biological function in humans or animals and is regarded as a highly toxic environmental contaminant. Because cadmium cannot be degraded biologically and can remain in the body for prolonged periods, it gradually accumulates in vital organs, including the kidneys, brain, liver, lungs and reproductive organs, thereby altering normal physiological functions throughout the body (Charkiewicz et al., 2023). Major routes of cadmium exposure include the consumption of contaminated food and water and the inhalation of cigarette smoke, particularly in urban and industrial settings.</w:t>
      </w:r>
      <w:r w:rsidRPr="00FE2FB1">
        <w:rPr>
          <w:b/>
        </w:rPr>
        <w:t xml:space="preserve"> </w:t>
      </w:r>
      <w:r w:rsidRPr="00FE2FB1">
        <w:rPr>
          <w:bCs/>
        </w:rPr>
        <w:t>Recent reviews similarly describe cadmium as a persistent environmental toxicant with broad effects on organ systems through oxidative and cellular injury (Purushottam &amp; Adhinarayana Reddy, 2024).</w:t>
      </w:r>
    </w:p>
    <w:p w14:paraId="0AFE25FE" w14:textId="77777777" w:rsidR="00B33CAF" w:rsidRPr="00FE2FB1" w:rsidRDefault="00AB4191">
      <w:pPr>
        <w:pStyle w:val="NormalWeb"/>
        <w:jc w:val="both"/>
        <w:rPr>
          <w:vertAlign w:val="superscript"/>
        </w:rPr>
      </w:pPr>
      <w:r w:rsidRPr="00FE2FB1">
        <w:t xml:space="preserve">In the body, the nervous system is particularly vulnerable to cadmium-induced damage. Despite the presence of the blood-brain barrier (BBB), which allows essential nutrients to enter the brain while restricting harmful substances, research has shown that cadmium can penetrate this protective barrier, accumulate in neural tissues and impair normal cellular metabolism. When cadmium accumulates in the brain, it promotes oxidative damage by increasing the production of reactive oxygen species (ROS) while weakening endogenous antioxidant </w:t>
      </w:r>
      <w:proofErr w:type="spellStart"/>
      <w:r w:rsidRPr="00FE2FB1">
        <w:t>defences</w:t>
      </w:r>
      <w:proofErr w:type="spellEnd"/>
      <w:r w:rsidRPr="00FE2FB1">
        <w:t xml:space="preserve">. These biochemical disturbances contribute to neuroinflammation and interfere with normal synaptic </w:t>
      </w:r>
      <w:proofErr w:type="spellStart"/>
      <w:r w:rsidRPr="00FE2FB1">
        <w:t>signalling</w:t>
      </w:r>
      <w:proofErr w:type="spellEnd"/>
      <w:r w:rsidRPr="00FE2FB1">
        <w:t>. The hippocampus, a brain region involved in memory formation and spatial learning, may undergo structural deterioration. Recent investigations have shown that cadmium exposure can disrupt calcium homeostasis and reduce the formation of new neurons in the adult hippocampus, thereby contributing to cognitive decline (Wang et al., 2019). Cadmium has also been reported to adversely affect dendritic spine pruning, a mechanism involved in maintaining effective neural connectivity and cognitive function (Pulido et al., 2019). Recent experimental evidence further indicates that cadmium-related oxidative stress and neuroinflammation in the hippocampus may accompany spatial-memory deficits in rats (Hamdollahi et al., 2026).</w:t>
      </w:r>
    </w:p>
    <w:p w14:paraId="53042829" w14:textId="77777777" w:rsidR="00B33CAF" w:rsidRPr="00FE2FB1" w:rsidRDefault="00AB4191">
      <w:pPr>
        <w:pStyle w:val="NormalWeb"/>
        <w:jc w:val="both"/>
        <w:rPr>
          <w:vertAlign w:val="superscript"/>
        </w:rPr>
      </w:pPr>
      <w:r w:rsidRPr="00FE2FB1">
        <w:t>In addition to its effects on the nervous system, cadmium exerts toxic effects on multiple organs and physiological systems. The kidneys are particularly vulnerable because the cadmium-metallothionein complex is filtered and reabsorbed in the proximal tubules, which may progressively impair renal function and contribute to chronic kidney disease (Ferraro et al., 2010). The liver is also susceptible, as cadmium accumulation induces oxidative stress, inflammatory responses and hepatocellular damage, which may disrupt detoxification and metabolic functions.</w:t>
      </w:r>
    </w:p>
    <w:p w14:paraId="61859126" w14:textId="77777777" w:rsidR="00B33CAF" w:rsidRPr="00FE2FB1" w:rsidRDefault="00AB4191">
      <w:pPr>
        <w:pStyle w:val="NormalWeb"/>
        <w:jc w:val="both"/>
      </w:pPr>
      <w:r w:rsidRPr="00FE2FB1">
        <w:t xml:space="preserve">Cadmium exposure can also interfere with hormone synthesis, reduce sperm quality in males and adversely affect ovarian function in females, thereby impairing reproductive function. In addition, cadmium may compromise the immune system by activating inflammatory pathways and altering immune-cell function, which may impair host </w:t>
      </w:r>
      <w:proofErr w:type="spellStart"/>
      <w:r w:rsidRPr="00FE2FB1">
        <w:t>defences</w:t>
      </w:r>
      <w:proofErr w:type="spellEnd"/>
      <w:r w:rsidRPr="00FE2FB1">
        <w:t xml:space="preserve"> and contribute to chronic inflammatory responses. Experimental studies have documented cadmium-associated alterations in </w:t>
      </w:r>
      <w:proofErr w:type="spellStart"/>
      <w:r w:rsidRPr="00FE2FB1">
        <w:t>haematological</w:t>
      </w:r>
      <w:proofErr w:type="spellEnd"/>
      <w:r w:rsidRPr="00FE2FB1">
        <w:t xml:space="preserve"> indices and renal tissue architecture in rats (Mobisson et al., 2023). Cadmium-induced immunotoxicity has also been associated with altered </w:t>
      </w:r>
      <w:proofErr w:type="spellStart"/>
      <w:r w:rsidRPr="00FE2FB1">
        <w:t>haematological</w:t>
      </w:r>
      <w:proofErr w:type="spellEnd"/>
      <w:r w:rsidRPr="00FE2FB1">
        <w:t xml:space="preserve"> parameters, </w:t>
      </w:r>
      <w:r w:rsidRPr="00FE2FB1">
        <w:lastRenderedPageBreak/>
        <w:t>reduced CD4⁺ T-cell counts and changes in peripheral blood-cell populations in rodent models (Dong et al., 2025; Ebokaiwe et al., 2024).</w:t>
      </w:r>
    </w:p>
    <w:p w14:paraId="5C1E39FE" w14:textId="77777777" w:rsidR="00B33CAF" w:rsidRPr="00FE2FB1" w:rsidRDefault="00AB4191">
      <w:pPr>
        <w:pStyle w:val="NormalWeb"/>
        <w:jc w:val="both"/>
        <w:rPr>
          <w:vertAlign w:val="superscript"/>
        </w:rPr>
      </w:pPr>
      <w:r w:rsidRPr="00FE2FB1">
        <w:t xml:space="preserve">The effects of cadmium toxicity may be more pronounced in female models because cadmium can mimic </w:t>
      </w:r>
      <w:proofErr w:type="spellStart"/>
      <w:r w:rsidRPr="00FE2FB1">
        <w:t>oestrogenic</w:t>
      </w:r>
      <w:proofErr w:type="spellEnd"/>
      <w:r w:rsidRPr="00FE2FB1">
        <w:t xml:space="preserve"> activity and act as a </w:t>
      </w:r>
      <w:proofErr w:type="spellStart"/>
      <w:r w:rsidRPr="00FE2FB1">
        <w:t>metalloestrogen</w:t>
      </w:r>
      <w:proofErr w:type="spellEnd"/>
      <w:r w:rsidRPr="00FE2FB1">
        <w:t xml:space="preserve">. As </w:t>
      </w:r>
      <w:proofErr w:type="spellStart"/>
      <w:r w:rsidRPr="00FE2FB1">
        <w:t>oestrogen</w:t>
      </w:r>
      <w:proofErr w:type="spellEnd"/>
      <w:r w:rsidRPr="00FE2FB1">
        <w:t xml:space="preserve"> contributes to neuroprotection in the hypothalamus, disruption of its </w:t>
      </w:r>
      <w:proofErr w:type="spellStart"/>
      <w:r w:rsidRPr="00FE2FB1">
        <w:t>signalling</w:t>
      </w:r>
      <w:proofErr w:type="spellEnd"/>
      <w:r w:rsidRPr="00FE2FB1">
        <w:t xml:space="preserve"> by cadmium may aggravate memory-related deficits and alter sensory processing. This interaction is also relevant to pain perception, or nociception. Pain transmission occurs through complex neural pathways involving peripheral sensory neurons and neural circuits within the spinal cord. Cadmium-induced neuroinflammation increases the release of pro-inflammatory mediators such as </w:t>
      </w:r>
      <w:proofErr w:type="spellStart"/>
      <w:r w:rsidRPr="00FE2FB1">
        <w:t>tumour</w:t>
      </w:r>
      <w:proofErr w:type="spellEnd"/>
      <w:r w:rsidRPr="00FE2FB1">
        <w:t xml:space="preserve"> necrosis factor-alpha (TNF-α) and interleukin-1 beta (IL-1β). These cytokines can </w:t>
      </w:r>
      <w:proofErr w:type="spellStart"/>
      <w:r w:rsidRPr="00FE2FB1">
        <w:t>sensitise</w:t>
      </w:r>
      <w:proofErr w:type="spellEnd"/>
      <w:r w:rsidRPr="00FE2FB1">
        <w:t xml:space="preserve"> pain pathways and potentially alter the pain threshold (Arruebarrena et al., 2023; Zhang &amp; An, 2007).</w:t>
      </w:r>
    </w:p>
    <w:p w14:paraId="0EA3A14A" w14:textId="77777777" w:rsidR="00B33CAF" w:rsidRPr="00FE2FB1" w:rsidRDefault="00AB4191">
      <w:pPr>
        <w:pStyle w:val="NormalWeb"/>
        <w:jc w:val="both"/>
        <w:rPr>
          <w:vertAlign w:val="superscript"/>
        </w:rPr>
      </w:pPr>
      <w:r w:rsidRPr="00FE2FB1">
        <w:t>Changes in body weight have consistently been associated with cadmium exposure, particularly in experimental animal models. Several studies have reported reduced body-weight gain and growth following cadmium administration, suggesting adverse effects on normal metabolic processes. Cadmium-induced toxicity may impair nutrient absorption, energy metabolism and systemic homeostasis. Experimental findings have shown that cadmium exposure significantly reduces body weight in rats, indicating toxic effects on vital organs and metabolic pathways (Chater et al., 2009; Liu et al., 2019). The mechanisms underlying these changes are multifactorial. Cadmium can induce oxidative stress, impair mitochondrial function and disrupt lipid metabolism, thereby reducing energy availability and contributing to weight loss (Branca et al., 2020; Cheng et al., 2021). Cadmium-induced liver and kidney damage may also disturb metabolic regulation and contribute to a gradual decline in body mass. Evidence further indicates that cadmium exposure can suppress appetite and reduce food intake in experimental animals, contributing to reduced weight gain or progressive body-weight loss (Kim et al., 2009).</w:t>
      </w:r>
    </w:p>
    <w:p w14:paraId="366F4975" w14:textId="77777777" w:rsidR="00B33CAF" w:rsidRPr="00FE2FB1" w:rsidRDefault="00AB4191">
      <w:pPr>
        <w:pStyle w:val="NormalWeb"/>
        <w:jc w:val="both"/>
        <w:rPr>
          <w:vertAlign w:val="superscript"/>
        </w:rPr>
      </w:pPr>
      <w:r w:rsidRPr="00FE2FB1">
        <w:t xml:space="preserve">Female albino rats were used in this study because of their relevance to the assessment of the reproductive and endocrine effects of toxic substances such as cadmium. As </w:t>
      </w:r>
      <w:proofErr w:type="spellStart"/>
      <w:r w:rsidRPr="00FE2FB1">
        <w:t>oestrogen</w:t>
      </w:r>
      <w:proofErr w:type="spellEnd"/>
      <w:r w:rsidRPr="00FE2FB1">
        <w:t xml:space="preserve"> plays an important role in regulating reproductive function, ovarian activity and other physiological processes, female models permit evaluation of how cadmium may influence these systems. Cadmium exposure has also been associated with impaired ovarian function, altered hormone levels and reduced fertility, indicating its potential to adversely affect reproductive health (Ammari et al., 2025; Massányi et al., 2020).</w:t>
      </w:r>
    </w:p>
    <w:p w14:paraId="6661E278" w14:textId="77777777" w:rsidR="00B33CAF" w:rsidRPr="00FE2FB1" w:rsidRDefault="00AB4191">
      <w:pPr>
        <w:jc w:val="both"/>
        <w:rPr>
          <w:rFonts w:ascii="Times New Roman" w:hAnsi="Times New Roman" w:cs="Times New Roman"/>
          <w:sz w:val="24"/>
          <w:szCs w:val="24"/>
        </w:rPr>
      </w:pPr>
      <w:r w:rsidRPr="00FE2FB1">
        <w:rPr>
          <w:rFonts w:ascii="Times New Roman" w:hAnsi="Times New Roman" w:cs="Times New Roman"/>
          <w:sz w:val="24"/>
          <w:szCs w:val="24"/>
        </w:rPr>
        <w:t>Laboratory rats are commonly used in biomedical research because several of their physiological systems share similarities with those of humans. Female albino rats were selected for this study as a well-</w:t>
      </w:r>
      <w:proofErr w:type="spellStart"/>
      <w:r w:rsidRPr="00FE2FB1">
        <w:rPr>
          <w:rFonts w:ascii="Times New Roman" w:hAnsi="Times New Roman" w:cs="Times New Roman"/>
          <w:sz w:val="24"/>
          <w:szCs w:val="24"/>
        </w:rPr>
        <w:t>characterised</w:t>
      </w:r>
      <w:proofErr w:type="spellEnd"/>
      <w:r w:rsidRPr="00FE2FB1">
        <w:rPr>
          <w:rFonts w:ascii="Times New Roman" w:hAnsi="Times New Roman" w:cs="Times New Roman"/>
          <w:sz w:val="24"/>
          <w:szCs w:val="24"/>
        </w:rPr>
        <w:t xml:space="preserve"> experimental model for investigating the effects of cadmium on memory, pain sensitivity and immune responses.</w:t>
      </w:r>
    </w:p>
    <w:p w14:paraId="543A150C" w14:textId="77777777" w:rsidR="00B33CAF" w:rsidRPr="00FE2FB1" w:rsidRDefault="00AB4191">
      <w:pPr>
        <w:pStyle w:val="NormalWeb"/>
        <w:jc w:val="both"/>
      </w:pPr>
      <w:r w:rsidRPr="00FE2FB1">
        <w:t>Relatively few studies have simultaneously examined the effects of cadmium on memory, pain sensitivity and immune function in female albino rats. Therefore, this study aimed to investigate the effects of cadmium exposure on memory, pain sensitivity and immune parameters in female albino rats, thereby providing insight into the systemic effects of cadmium exposure.</w:t>
      </w:r>
    </w:p>
    <w:p w14:paraId="53464613" w14:textId="77777777" w:rsidR="00B33CAF" w:rsidRPr="00FE2FB1" w:rsidRDefault="00AB4191">
      <w:pPr>
        <w:jc w:val="both"/>
        <w:rPr>
          <w:rFonts w:ascii="Times New Roman" w:hAnsi="Times New Roman" w:cs="Times New Roman"/>
          <w:b/>
          <w:bCs/>
          <w:sz w:val="24"/>
          <w:szCs w:val="24"/>
          <w:u w:val="single"/>
        </w:rPr>
      </w:pPr>
      <w:r w:rsidRPr="00FE2FB1">
        <w:rPr>
          <w:rFonts w:ascii="Times New Roman" w:hAnsi="Times New Roman" w:cs="Times New Roman"/>
          <w:b/>
          <w:bCs/>
          <w:sz w:val="24"/>
          <w:szCs w:val="24"/>
          <w:u w:val="single"/>
        </w:rPr>
        <w:t>Materials and Methods</w:t>
      </w:r>
    </w:p>
    <w:p w14:paraId="49FB2324" w14:textId="77777777" w:rsidR="00B33CAF" w:rsidRPr="00FE2FB1" w:rsidRDefault="00AB4191">
      <w:pPr>
        <w:jc w:val="both"/>
        <w:rPr>
          <w:rFonts w:ascii="Times New Roman" w:hAnsi="Times New Roman" w:cs="Times New Roman"/>
          <w:b/>
          <w:bCs/>
          <w:i/>
          <w:iCs/>
          <w:sz w:val="24"/>
          <w:szCs w:val="24"/>
        </w:rPr>
      </w:pPr>
      <w:r w:rsidRPr="00FE2FB1">
        <w:rPr>
          <w:rFonts w:ascii="Times New Roman" w:hAnsi="Times New Roman" w:cs="Times New Roman"/>
          <w:b/>
          <w:bCs/>
          <w:i/>
          <w:iCs/>
          <w:sz w:val="24"/>
          <w:szCs w:val="24"/>
        </w:rPr>
        <w:lastRenderedPageBreak/>
        <w:t>Experimental Animals</w:t>
      </w:r>
    </w:p>
    <w:p w14:paraId="427FE68F" w14:textId="0E890233" w:rsidR="00B33CAF" w:rsidRPr="00FE2FB1" w:rsidRDefault="00AB4191">
      <w:pPr>
        <w:jc w:val="both"/>
        <w:rPr>
          <w:rFonts w:ascii="Times New Roman" w:hAnsi="Times New Roman" w:cs="Times New Roman"/>
          <w:sz w:val="24"/>
          <w:szCs w:val="24"/>
        </w:rPr>
      </w:pPr>
      <w:r w:rsidRPr="00FE2FB1">
        <w:rPr>
          <w:rFonts w:ascii="Times New Roman" w:hAnsi="Times New Roman" w:cs="Times New Roman"/>
          <w:sz w:val="24"/>
          <w:szCs w:val="24"/>
        </w:rPr>
        <w:t xml:space="preserve">Female albino rats weighing 60–140 g were used in this study. Before the experimental procedures commenced, the animals were </w:t>
      </w:r>
      <w:proofErr w:type="spellStart"/>
      <w:r w:rsidRPr="00FE2FB1">
        <w:rPr>
          <w:rFonts w:ascii="Times New Roman" w:hAnsi="Times New Roman" w:cs="Times New Roman"/>
          <w:sz w:val="24"/>
          <w:szCs w:val="24"/>
        </w:rPr>
        <w:t>acclimatised</w:t>
      </w:r>
      <w:proofErr w:type="spellEnd"/>
      <w:r w:rsidRPr="00FE2FB1">
        <w:rPr>
          <w:rFonts w:ascii="Times New Roman" w:hAnsi="Times New Roman" w:cs="Times New Roman"/>
          <w:sz w:val="24"/>
          <w:szCs w:val="24"/>
        </w:rPr>
        <w:t xml:space="preserve"> for two weeks in the animal-house facility at the College of Health Sciences, Prince Abubakar Audu University (PAAU), to </w:t>
      </w:r>
      <w:proofErr w:type="spellStart"/>
      <w:r w:rsidRPr="00FE2FB1">
        <w:rPr>
          <w:rFonts w:ascii="Times New Roman" w:hAnsi="Times New Roman" w:cs="Times New Roman"/>
          <w:sz w:val="24"/>
          <w:szCs w:val="24"/>
        </w:rPr>
        <w:t>minimise</w:t>
      </w:r>
      <w:proofErr w:type="spellEnd"/>
      <w:r w:rsidRPr="00FE2FB1">
        <w:rPr>
          <w:rFonts w:ascii="Times New Roman" w:hAnsi="Times New Roman" w:cs="Times New Roman"/>
          <w:sz w:val="24"/>
          <w:szCs w:val="24"/>
        </w:rPr>
        <w:t xml:space="preserve"> stress. The animals were housed in plastic cages and provided with food and water ad libitum. The housing environment was maintained at 27 °C and 45–50% relative humidity under hygienic conditions to </w:t>
      </w:r>
      <w:proofErr w:type="spellStart"/>
      <w:r w:rsidRPr="00FE2FB1">
        <w:rPr>
          <w:rFonts w:ascii="Times New Roman" w:hAnsi="Times New Roman" w:cs="Times New Roman"/>
          <w:sz w:val="24"/>
          <w:szCs w:val="24"/>
        </w:rPr>
        <w:t>minimise</w:t>
      </w:r>
      <w:proofErr w:type="spellEnd"/>
      <w:r w:rsidRPr="00FE2FB1">
        <w:rPr>
          <w:rFonts w:ascii="Times New Roman" w:hAnsi="Times New Roman" w:cs="Times New Roman"/>
          <w:sz w:val="24"/>
          <w:szCs w:val="24"/>
        </w:rPr>
        <w:t xml:space="preserve"> the risk of infection and contamination. All experimental procedures were conducted in accordance with the Guide for the Care and Use of Laboratory Animals (NIH Publication No. 85-23; </w:t>
      </w:r>
      <w:r w:rsidR="00262423" w:rsidRPr="00262423">
        <w:rPr>
          <w:rFonts w:ascii="Times New Roman" w:hAnsi="Times New Roman" w:cs="Times New Roman"/>
          <w:sz w:val="24"/>
          <w:szCs w:val="24"/>
        </w:rPr>
        <w:t>Institute of Laboratory Animal Resources (U.S.), Committee on Care and Use of Laboratory Animals</w:t>
      </w:r>
      <w:r w:rsidRPr="00FE2FB1">
        <w:rPr>
          <w:rFonts w:ascii="Times New Roman" w:hAnsi="Times New Roman" w:cs="Times New Roman"/>
          <w:sz w:val="24"/>
          <w:szCs w:val="24"/>
        </w:rPr>
        <w:t>, 1985) and the ethical guidelines for investigations of experimental pain in conscious animals established by Zimmermann (1983).</w:t>
      </w:r>
    </w:p>
    <w:p w14:paraId="3FBCC48E" w14:textId="77777777" w:rsidR="00B33CAF" w:rsidRPr="00FE2FB1" w:rsidRDefault="00AB4191">
      <w:pPr>
        <w:jc w:val="both"/>
        <w:rPr>
          <w:rFonts w:ascii="Times New Roman" w:hAnsi="Times New Roman" w:cs="Times New Roman"/>
          <w:b/>
          <w:bCs/>
          <w:i/>
          <w:iCs/>
          <w:sz w:val="24"/>
          <w:szCs w:val="24"/>
        </w:rPr>
      </w:pPr>
      <w:r w:rsidRPr="00FE2FB1">
        <w:rPr>
          <w:rFonts w:ascii="Times New Roman" w:hAnsi="Times New Roman" w:cs="Times New Roman"/>
          <w:b/>
          <w:bCs/>
          <w:i/>
          <w:iCs/>
          <w:sz w:val="24"/>
          <w:szCs w:val="24"/>
        </w:rPr>
        <w:t>Experimental Design</w:t>
      </w:r>
    </w:p>
    <w:p w14:paraId="47CD55CD" w14:textId="77777777" w:rsidR="00B33CAF" w:rsidRPr="00FE2FB1" w:rsidRDefault="00AB4191">
      <w:pPr>
        <w:jc w:val="both"/>
        <w:rPr>
          <w:rFonts w:ascii="Times New Roman" w:hAnsi="Times New Roman" w:cs="Times New Roman"/>
          <w:sz w:val="24"/>
          <w:szCs w:val="24"/>
        </w:rPr>
      </w:pPr>
      <w:r w:rsidRPr="00FE2FB1">
        <w:rPr>
          <w:rFonts w:ascii="Times New Roman" w:hAnsi="Times New Roman" w:cs="Times New Roman"/>
          <w:sz w:val="24"/>
          <w:szCs w:val="24"/>
        </w:rPr>
        <w:t>Fifteen female albino rats were randomly divided into three groups of five animals each:</w:t>
      </w:r>
    </w:p>
    <w:p w14:paraId="2B6167A0" w14:textId="77777777" w:rsidR="00B33CAF" w:rsidRPr="00FE2FB1" w:rsidRDefault="00AB4191">
      <w:pPr>
        <w:pStyle w:val="ListParagraph"/>
        <w:numPr>
          <w:ilvl w:val="0"/>
          <w:numId w:val="1"/>
        </w:numPr>
        <w:jc w:val="both"/>
        <w:rPr>
          <w:rFonts w:ascii="Times New Roman" w:hAnsi="Times New Roman" w:cs="Times New Roman"/>
          <w:sz w:val="24"/>
          <w:szCs w:val="24"/>
        </w:rPr>
      </w:pPr>
      <w:r w:rsidRPr="00FE2FB1">
        <w:rPr>
          <w:rFonts w:ascii="Times New Roman" w:hAnsi="Times New Roman" w:cs="Times New Roman"/>
          <w:b/>
          <w:bCs/>
          <w:sz w:val="24"/>
          <w:szCs w:val="24"/>
        </w:rPr>
        <w:t>Group A (control):</w:t>
      </w:r>
      <w:r w:rsidRPr="00FE2FB1">
        <w:rPr>
          <w:rFonts w:ascii="Times New Roman" w:hAnsi="Times New Roman" w:cs="Times New Roman"/>
          <w:sz w:val="24"/>
          <w:szCs w:val="24"/>
        </w:rPr>
        <w:t xml:space="preserve"> Distilled water was administered at 10 mL/kg.</w:t>
      </w:r>
    </w:p>
    <w:p w14:paraId="52D129E9" w14:textId="77777777" w:rsidR="00B33CAF" w:rsidRPr="00FE2FB1" w:rsidRDefault="00AB4191">
      <w:pPr>
        <w:pStyle w:val="ListParagraph"/>
        <w:numPr>
          <w:ilvl w:val="0"/>
          <w:numId w:val="1"/>
        </w:numPr>
        <w:jc w:val="both"/>
        <w:rPr>
          <w:rFonts w:ascii="Times New Roman" w:hAnsi="Times New Roman" w:cs="Times New Roman"/>
          <w:sz w:val="24"/>
          <w:szCs w:val="24"/>
        </w:rPr>
      </w:pPr>
      <w:r w:rsidRPr="00FE2FB1">
        <w:rPr>
          <w:rFonts w:ascii="Times New Roman" w:hAnsi="Times New Roman" w:cs="Times New Roman"/>
          <w:b/>
          <w:bCs/>
          <w:sz w:val="24"/>
          <w:szCs w:val="24"/>
        </w:rPr>
        <w:t>Group B:</w:t>
      </w:r>
      <w:r w:rsidRPr="00FE2FB1">
        <w:rPr>
          <w:rFonts w:ascii="Times New Roman" w:hAnsi="Times New Roman" w:cs="Times New Roman"/>
          <w:sz w:val="24"/>
          <w:szCs w:val="24"/>
        </w:rPr>
        <w:t xml:space="preserve"> A single intraperitoneal injection of cadmium was administered at 2 mg/kg body weight.</w:t>
      </w:r>
    </w:p>
    <w:p w14:paraId="3D419FBE" w14:textId="77777777" w:rsidR="00B33CAF" w:rsidRPr="00FE2FB1" w:rsidRDefault="00AB4191">
      <w:pPr>
        <w:pStyle w:val="ListParagraph"/>
        <w:numPr>
          <w:ilvl w:val="0"/>
          <w:numId w:val="1"/>
        </w:numPr>
        <w:jc w:val="both"/>
        <w:rPr>
          <w:rFonts w:ascii="Times New Roman" w:hAnsi="Times New Roman" w:cs="Times New Roman"/>
          <w:sz w:val="24"/>
          <w:szCs w:val="24"/>
        </w:rPr>
      </w:pPr>
      <w:r w:rsidRPr="00FE2FB1">
        <w:rPr>
          <w:rFonts w:ascii="Times New Roman" w:hAnsi="Times New Roman" w:cs="Times New Roman"/>
          <w:b/>
          <w:bCs/>
          <w:sz w:val="24"/>
          <w:szCs w:val="24"/>
        </w:rPr>
        <w:t xml:space="preserve">Group C: </w:t>
      </w:r>
      <w:r w:rsidRPr="00FE2FB1">
        <w:rPr>
          <w:rFonts w:ascii="Times New Roman" w:hAnsi="Times New Roman" w:cs="Times New Roman"/>
          <w:sz w:val="24"/>
          <w:szCs w:val="24"/>
        </w:rPr>
        <w:t>A single intraperitoneal injection of cadmium was administered at 3 mg/kg body weight.</w:t>
      </w:r>
    </w:p>
    <w:p w14:paraId="199A1C89" w14:textId="77777777" w:rsidR="00B33CAF" w:rsidRPr="00FE2FB1" w:rsidRDefault="00AB4191">
      <w:pPr>
        <w:jc w:val="both"/>
        <w:rPr>
          <w:rFonts w:ascii="Times New Roman" w:hAnsi="Times New Roman" w:cs="Times New Roman"/>
          <w:sz w:val="24"/>
          <w:szCs w:val="24"/>
        </w:rPr>
      </w:pPr>
      <w:r w:rsidRPr="00FE2FB1">
        <w:rPr>
          <w:rFonts w:ascii="Times New Roman" w:hAnsi="Times New Roman" w:cs="Times New Roman"/>
          <w:sz w:val="24"/>
          <w:szCs w:val="24"/>
        </w:rPr>
        <w:t xml:space="preserve">Following treatment, the animals underwent </w:t>
      </w:r>
      <w:proofErr w:type="spellStart"/>
      <w:r w:rsidRPr="00FE2FB1">
        <w:rPr>
          <w:rFonts w:ascii="Times New Roman" w:hAnsi="Times New Roman" w:cs="Times New Roman"/>
          <w:sz w:val="24"/>
          <w:szCs w:val="24"/>
        </w:rPr>
        <w:t>behavioural</w:t>
      </w:r>
      <w:proofErr w:type="spellEnd"/>
      <w:r w:rsidRPr="00FE2FB1">
        <w:rPr>
          <w:rFonts w:ascii="Times New Roman" w:hAnsi="Times New Roman" w:cs="Times New Roman"/>
          <w:sz w:val="24"/>
          <w:szCs w:val="24"/>
        </w:rPr>
        <w:t xml:space="preserve"> tests to assess memory. On the seventh day, a </w:t>
      </w:r>
      <w:proofErr w:type="spellStart"/>
      <w:r w:rsidRPr="00FE2FB1">
        <w:rPr>
          <w:rFonts w:ascii="Times New Roman" w:hAnsi="Times New Roman" w:cs="Times New Roman"/>
          <w:sz w:val="24"/>
          <w:szCs w:val="24"/>
        </w:rPr>
        <w:t>behavioural</w:t>
      </w:r>
      <w:proofErr w:type="spellEnd"/>
      <w:r w:rsidRPr="00FE2FB1">
        <w:rPr>
          <w:rFonts w:ascii="Times New Roman" w:hAnsi="Times New Roman" w:cs="Times New Roman"/>
          <w:sz w:val="24"/>
          <w:szCs w:val="24"/>
        </w:rPr>
        <w:t xml:space="preserve"> test was conducted to assess pain sensitivity. Thereafter, the animals were </w:t>
      </w:r>
      <w:proofErr w:type="spellStart"/>
      <w:r w:rsidRPr="00FE2FB1">
        <w:rPr>
          <w:rFonts w:ascii="Times New Roman" w:hAnsi="Times New Roman" w:cs="Times New Roman"/>
          <w:sz w:val="24"/>
          <w:szCs w:val="24"/>
        </w:rPr>
        <w:t>euthanised</w:t>
      </w:r>
      <w:proofErr w:type="spellEnd"/>
      <w:r w:rsidRPr="00FE2FB1">
        <w:rPr>
          <w:rFonts w:ascii="Times New Roman" w:hAnsi="Times New Roman" w:cs="Times New Roman"/>
          <w:sz w:val="24"/>
          <w:szCs w:val="24"/>
        </w:rPr>
        <w:t xml:space="preserve">, and brain tissues and formalin-injected paws were collected for histological assessment. Blood samples were also collected for </w:t>
      </w:r>
      <w:proofErr w:type="spellStart"/>
      <w:r w:rsidRPr="00FE2FB1">
        <w:rPr>
          <w:rFonts w:ascii="Times New Roman" w:hAnsi="Times New Roman" w:cs="Times New Roman"/>
          <w:sz w:val="24"/>
          <w:szCs w:val="24"/>
        </w:rPr>
        <w:t>haematological</w:t>
      </w:r>
      <w:proofErr w:type="spellEnd"/>
      <w:r w:rsidRPr="00FE2FB1">
        <w:rPr>
          <w:rFonts w:ascii="Times New Roman" w:hAnsi="Times New Roman" w:cs="Times New Roman"/>
          <w:sz w:val="24"/>
          <w:szCs w:val="24"/>
        </w:rPr>
        <w:t xml:space="preserve"> analysis of the immune response.</w:t>
      </w:r>
    </w:p>
    <w:p w14:paraId="48456572" w14:textId="77777777" w:rsidR="00B33CAF" w:rsidRPr="00FE2FB1" w:rsidRDefault="00AB4191">
      <w:pPr>
        <w:jc w:val="both"/>
        <w:rPr>
          <w:rFonts w:ascii="Times New Roman" w:hAnsi="Times New Roman" w:cs="Times New Roman"/>
          <w:sz w:val="24"/>
          <w:szCs w:val="24"/>
        </w:rPr>
      </w:pPr>
      <w:r w:rsidRPr="00FE2FB1">
        <w:rPr>
          <w:rFonts w:ascii="Times New Roman" w:hAnsi="Times New Roman" w:cs="Times New Roman"/>
          <w:sz w:val="24"/>
          <w:szCs w:val="24"/>
        </w:rPr>
        <w:t xml:space="preserve">The tissues were preserved in 10% formalin to maintain cellular integrity. </w:t>
      </w:r>
    </w:p>
    <w:p w14:paraId="2951B0AA" w14:textId="77777777" w:rsidR="00B33CAF" w:rsidRPr="00FE2FB1" w:rsidRDefault="00AB4191">
      <w:pPr>
        <w:jc w:val="both"/>
        <w:rPr>
          <w:rFonts w:ascii="Times New Roman" w:hAnsi="Times New Roman" w:cs="Times New Roman"/>
          <w:b/>
          <w:bCs/>
          <w:i/>
          <w:iCs/>
          <w:sz w:val="24"/>
          <w:szCs w:val="24"/>
        </w:rPr>
      </w:pPr>
      <w:r w:rsidRPr="00FE2FB1">
        <w:rPr>
          <w:rFonts w:ascii="Times New Roman" w:hAnsi="Times New Roman" w:cs="Times New Roman"/>
          <w:b/>
          <w:bCs/>
          <w:i/>
          <w:iCs/>
          <w:sz w:val="24"/>
          <w:szCs w:val="24"/>
        </w:rPr>
        <w:t xml:space="preserve">Experimental Procedures </w:t>
      </w:r>
    </w:p>
    <w:p w14:paraId="3DF332F7" w14:textId="77777777" w:rsidR="00B33CAF" w:rsidRPr="00FE2FB1" w:rsidRDefault="00AB4191">
      <w:pPr>
        <w:jc w:val="both"/>
        <w:rPr>
          <w:rFonts w:ascii="Times New Roman" w:hAnsi="Times New Roman" w:cs="Times New Roman"/>
          <w:sz w:val="24"/>
          <w:szCs w:val="24"/>
          <w:vertAlign w:val="superscript"/>
        </w:rPr>
      </w:pPr>
      <w:r w:rsidRPr="00FE2FB1">
        <w:rPr>
          <w:rFonts w:ascii="Times New Roman" w:hAnsi="Times New Roman" w:cs="Times New Roman"/>
          <w:sz w:val="24"/>
          <w:szCs w:val="24"/>
        </w:rPr>
        <w:t xml:space="preserve">The experimental procedures included </w:t>
      </w:r>
      <w:proofErr w:type="spellStart"/>
      <w:r w:rsidRPr="00FE2FB1">
        <w:rPr>
          <w:rFonts w:ascii="Times New Roman" w:hAnsi="Times New Roman" w:cs="Times New Roman"/>
          <w:sz w:val="24"/>
          <w:szCs w:val="24"/>
        </w:rPr>
        <w:t>behavioural</w:t>
      </w:r>
      <w:proofErr w:type="spellEnd"/>
      <w:r w:rsidRPr="00FE2FB1">
        <w:rPr>
          <w:rFonts w:ascii="Times New Roman" w:hAnsi="Times New Roman" w:cs="Times New Roman"/>
          <w:sz w:val="24"/>
          <w:szCs w:val="24"/>
        </w:rPr>
        <w:t xml:space="preserve"> and </w:t>
      </w:r>
      <w:proofErr w:type="spellStart"/>
      <w:r w:rsidRPr="00FE2FB1">
        <w:rPr>
          <w:rFonts w:ascii="Times New Roman" w:hAnsi="Times New Roman" w:cs="Times New Roman"/>
          <w:sz w:val="24"/>
          <w:szCs w:val="24"/>
        </w:rPr>
        <w:t>haematological</w:t>
      </w:r>
      <w:proofErr w:type="spellEnd"/>
      <w:r w:rsidRPr="00FE2FB1">
        <w:rPr>
          <w:rFonts w:ascii="Times New Roman" w:hAnsi="Times New Roman" w:cs="Times New Roman"/>
          <w:sz w:val="24"/>
          <w:szCs w:val="24"/>
        </w:rPr>
        <w:t xml:space="preserve"> assessments to examine the effects of cadmium toxicity on memory, pain sensitivity and immunity in female albino rats. The Y-maze and Morris water-maze tests were used to assess memory performance. Spatial working memory, based on rodents’ innate tendency to explore novel environments, was assessed using the Y-maze test. Each rat was placed at the </w:t>
      </w:r>
      <w:proofErr w:type="spellStart"/>
      <w:r w:rsidRPr="00FE2FB1">
        <w:rPr>
          <w:rFonts w:ascii="Times New Roman" w:hAnsi="Times New Roman" w:cs="Times New Roman"/>
          <w:sz w:val="24"/>
          <w:szCs w:val="24"/>
        </w:rPr>
        <w:t>centre</w:t>
      </w:r>
      <w:proofErr w:type="spellEnd"/>
      <w:r w:rsidRPr="00FE2FB1">
        <w:rPr>
          <w:rFonts w:ascii="Times New Roman" w:hAnsi="Times New Roman" w:cs="Times New Roman"/>
          <w:sz w:val="24"/>
          <w:szCs w:val="24"/>
        </w:rPr>
        <w:t xml:space="preserve"> of a maze comprising three identical arms arranged at 120° angles and was allowed to explore freely for 5 minutes. The sequence and number of arm entries were recorded. Spontaneous alternation </w:t>
      </w:r>
      <w:proofErr w:type="spellStart"/>
      <w:r w:rsidRPr="00FE2FB1">
        <w:rPr>
          <w:rFonts w:ascii="Times New Roman" w:hAnsi="Times New Roman" w:cs="Times New Roman"/>
          <w:sz w:val="24"/>
          <w:szCs w:val="24"/>
        </w:rPr>
        <w:t>behaviour</w:t>
      </w:r>
      <w:proofErr w:type="spellEnd"/>
      <w:r w:rsidRPr="00FE2FB1">
        <w:rPr>
          <w:rFonts w:ascii="Times New Roman" w:hAnsi="Times New Roman" w:cs="Times New Roman"/>
          <w:sz w:val="24"/>
          <w:szCs w:val="24"/>
        </w:rPr>
        <w:t xml:space="preserve">, defined as sequential entry into three different arms, was used as a measure of memory performance, with a higher alternation percentage indicating better working-memory performance (Kraeuter et al., 2019). The Morris water maze was subsequently used to evaluate spatial learning and reference memory. It consisted of a circular tank filled with opaque water and a submerged escape platform positioned just below the water surface. The rats were introduced into the pool from different starting points and allowed to locate the hidden platform, and the time required to reach the platform was recorded. Learning ability was assessed across training trials, with a </w:t>
      </w:r>
      <w:r w:rsidRPr="00FE2FB1">
        <w:rPr>
          <w:rFonts w:ascii="Times New Roman" w:hAnsi="Times New Roman" w:cs="Times New Roman"/>
          <w:sz w:val="24"/>
          <w:szCs w:val="24"/>
        </w:rPr>
        <w:lastRenderedPageBreak/>
        <w:t xml:space="preserve">shorter latency to locate the platform indicating improved spatial learning and memory retention (Morris, 1984; Vorhees &amp; Williams, 2006). Pain sensitivity was assessed using the formalin-induced paw-licking test, a well-established model for evaluating nociceptive and inflammatory pain responses in rodents. A 2% formalin solution (0.2 mL) was injected subcutaneously into the plantar surface of one hind paw of each rat. The animals were then individually placed in an observation chamber and monitored for pain-related </w:t>
      </w:r>
      <w:proofErr w:type="spellStart"/>
      <w:r w:rsidRPr="00FE2FB1">
        <w:rPr>
          <w:rFonts w:ascii="Times New Roman" w:hAnsi="Times New Roman" w:cs="Times New Roman"/>
          <w:sz w:val="24"/>
          <w:szCs w:val="24"/>
        </w:rPr>
        <w:t>behaviours</w:t>
      </w:r>
      <w:proofErr w:type="spellEnd"/>
      <w:r w:rsidRPr="00FE2FB1">
        <w:rPr>
          <w:rFonts w:ascii="Times New Roman" w:hAnsi="Times New Roman" w:cs="Times New Roman"/>
          <w:sz w:val="24"/>
          <w:szCs w:val="24"/>
        </w:rPr>
        <w:t xml:space="preserve">, particularly paw licking and biting. The duration of these </w:t>
      </w:r>
      <w:proofErr w:type="spellStart"/>
      <w:r w:rsidRPr="00FE2FB1">
        <w:rPr>
          <w:rFonts w:ascii="Times New Roman" w:hAnsi="Times New Roman" w:cs="Times New Roman"/>
          <w:sz w:val="24"/>
          <w:szCs w:val="24"/>
        </w:rPr>
        <w:t>behaviours</w:t>
      </w:r>
      <w:proofErr w:type="spellEnd"/>
      <w:r w:rsidRPr="00FE2FB1">
        <w:rPr>
          <w:rFonts w:ascii="Times New Roman" w:hAnsi="Times New Roman" w:cs="Times New Roman"/>
          <w:sz w:val="24"/>
          <w:szCs w:val="24"/>
        </w:rPr>
        <w:t xml:space="preserve"> was recorded during two phases: an early phase of 0–5 minutes, representing direct nociceptor activation, and a late phase of 15–30 minutes, corresponding to inflammatory pain (Hunskaar &amp; Hole, 1987; Tjølsen et al., 1992). After the </w:t>
      </w:r>
      <w:proofErr w:type="spellStart"/>
      <w:r w:rsidRPr="00FE2FB1">
        <w:rPr>
          <w:rFonts w:ascii="Times New Roman" w:hAnsi="Times New Roman" w:cs="Times New Roman"/>
          <w:sz w:val="24"/>
          <w:szCs w:val="24"/>
        </w:rPr>
        <w:t>behavioural</w:t>
      </w:r>
      <w:proofErr w:type="spellEnd"/>
      <w:r w:rsidRPr="00FE2FB1">
        <w:rPr>
          <w:rFonts w:ascii="Times New Roman" w:hAnsi="Times New Roman" w:cs="Times New Roman"/>
          <w:sz w:val="24"/>
          <w:szCs w:val="24"/>
        </w:rPr>
        <w:t xml:space="preserve"> assessments, blood samples were collected into EDTA-anticoagulant tubes for </w:t>
      </w:r>
      <w:proofErr w:type="spellStart"/>
      <w:r w:rsidRPr="00FE2FB1">
        <w:rPr>
          <w:rFonts w:ascii="Times New Roman" w:hAnsi="Times New Roman" w:cs="Times New Roman"/>
          <w:sz w:val="24"/>
          <w:szCs w:val="24"/>
        </w:rPr>
        <w:t>haematological</w:t>
      </w:r>
      <w:proofErr w:type="spellEnd"/>
      <w:r w:rsidRPr="00FE2FB1">
        <w:rPr>
          <w:rFonts w:ascii="Times New Roman" w:hAnsi="Times New Roman" w:cs="Times New Roman"/>
          <w:sz w:val="24"/>
          <w:szCs w:val="24"/>
        </w:rPr>
        <w:t xml:space="preserve"> analysis of immune function. Total white blood cell (WBC) and differential leukocyte counts, including neutrophils, lymphocytes, monocytes, eosinophils and basophils, were determined from stained blood smears examined microscopically. These parameters were used as indicators of immune-system activity (Campbell, 2015; Thrall et al., 2022).</w:t>
      </w:r>
    </w:p>
    <w:p w14:paraId="35F6F2F7" w14:textId="77777777" w:rsidR="00B33CAF" w:rsidRPr="00FE2FB1" w:rsidRDefault="00AB4191">
      <w:pPr>
        <w:spacing w:before="240"/>
        <w:jc w:val="both"/>
        <w:rPr>
          <w:rFonts w:ascii="Times New Roman" w:hAnsi="Times New Roman" w:cs="Times New Roman"/>
          <w:b/>
          <w:bCs/>
          <w:sz w:val="24"/>
          <w:szCs w:val="24"/>
          <w:u w:val="single"/>
        </w:rPr>
      </w:pPr>
      <w:r w:rsidRPr="00FE2FB1">
        <w:rPr>
          <w:rFonts w:ascii="Times New Roman" w:hAnsi="Times New Roman" w:cs="Times New Roman"/>
          <w:b/>
          <w:bCs/>
          <w:sz w:val="24"/>
          <w:szCs w:val="24"/>
          <w:u w:val="single"/>
        </w:rPr>
        <w:t>Statistical Analysis</w:t>
      </w:r>
    </w:p>
    <w:p w14:paraId="5DD3C146" w14:textId="77777777" w:rsidR="00B33CAF" w:rsidRPr="00FE2FB1" w:rsidRDefault="00AB4191">
      <w:pPr>
        <w:spacing w:before="240"/>
        <w:jc w:val="both"/>
        <w:rPr>
          <w:rFonts w:ascii="Times New Roman" w:hAnsi="Times New Roman" w:cs="Times New Roman"/>
          <w:b/>
          <w:bCs/>
          <w:sz w:val="24"/>
          <w:szCs w:val="24"/>
          <w:u w:val="single"/>
        </w:rPr>
      </w:pPr>
      <w:r w:rsidRPr="00FE2FB1">
        <w:rPr>
          <w:rFonts w:ascii="Times New Roman" w:hAnsi="Times New Roman" w:cs="Times New Roman"/>
          <w:sz w:val="24"/>
          <w:szCs w:val="24"/>
        </w:rPr>
        <w:t xml:space="preserve">All data were presented as the mean ± standard error of the mean (SEM) and </w:t>
      </w:r>
      <w:proofErr w:type="spellStart"/>
      <w:r w:rsidRPr="00FE2FB1">
        <w:rPr>
          <w:rFonts w:ascii="Times New Roman" w:hAnsi="Times New Roman" w:cs="Times New Roman"/>
          <w:sz w:val="24"/>
          <w:szCs w:val="24"/>
        </w:rPr>
        <w:t>analysed</w:t>
      </w:r>
      <w:proofErr w:type="spellEnd"/>
      <w:r w:rsidRPr="00FE2FB1">
        <w:rPr>
          <w:rFonts w:ascii="Times New Roman" w:hAnsi="Times New Roman" w:cs="Times New Roman"/>
          <w:sz w:val="24"/>
          <w:szCs w:val="24"/>
        </w:rPr>
        <w:t xml:space="preserve"> using GraphPad Prism version 10. Differences among multiple groups were assessed using one-way analysis of variance (ANOVA), followed by Dunnett’s post hoc test. Unpaired Student’s t-tests and two-way ANOVA were also used. A p-value &lt; 0.05 was considered statistically significant.</w:t>
      </w:r>
    </w:p>
    <w:p w14:paraId="1FAA8894" w14:textId="77777777" w:rsidR="00B33CAF" w:rsidRPr="00FE2FB1" w:rsidRDefault="00B33CAF">
      <w:pPr>
        <w:spacing w:before="240"/>
        <w:jc w:val="both"/>
        <w:rPr>
          <w:rFonts w:ascii="Times New Roman" w:hAnsi="Times New Roman" w:cs="Times New Roman"/>
          <w:b/>
          <w:bCs/>
          <w:sz w:val="24"/>
          <w:szCs w:val="24"/>
          <w:u w:val="single"/>
        </w:rPr>
      </w:pPr>
    </w:p>
    <w:p w14:paraId="6C4649B0" w14:textId="77777777" w:rsidR="00B33CAF" w:rsidRPr="00FE2FB1" w:rsidRDefault="00B33CAF">
      <w:pPr>
        <w:spacing w:before="240"/>
        <w:jc w:val="both"/>
        <w:rPr>
          <w:rFonts w:ascii="Times New Roman" w:hAnsi="Times New Roman" w:cs="Times New Roman"/>
          <w:b/>
          <w:bCs/>
          <w:sz w:val="24"/>
          <w:szCs w:val="24"/>
          <w:u w:val="single"/>
        </w:rPr>
      </w:pPr>
    </w:p>
    <w:p w14:paraId="5F85E06B" w14:textId="77777777" w:rsidR="00B33CAF" w:rsidRPr="00FE2FB1" w:rsidRDefault="00B33CAF">
      <w:pPr>
        <w:spacing w:before="240"/>
        <w:jc w:val="both"/>
        <w:rPr>
          <w:rFonts w:ascii="Times New Roman" w:hAnsi="Times New Roman" w:cs="Times New Roman"/>
          <w:b/>
          <w:bCs/>
          <w:sz w:val="24"/>
          <w:szCs w:val="24"/>
          <w:u w:val="single"/>
        </w:rPr>
      </w:pPr>
    </w:p>
    <w:p w14:paraId="2DFF4FE6" w14:textId="77777777" w:rsidR="00B33CAF" w:rsidRPr="00FE2FB1" w:rsidRDefault="00B33CAF">
      <w:pPr>
        <w:spacing w:before="240"/>
        <w:jc w:val="both"/>
        <w:rPr>
          <w:rFonts w:ascii="Times New Roman" w:hAnsi="Times New Roman" w:cs="Times New Roman"/>
          <w:b/>
          <w:bCs/>
          <w:sz w:val="24"/>
          <w:szCs w:val="24"/>
          <w:u w:val="single"/>
        </w:rPr>
      </w:pPr>
    </w:p>
    <w:p w14:paraId="36A8FB07" w14:textId="77777777" w:rsidR="00B33CAF" w:rsidRPr="00FE2FB1" w:rsidRDefault="00B33CAF">
      <w:pPr>
        <w:spacing w:before="240"/>
        <w:jc w:val="both"/>
        <w:rPr>
          <w:rFonts w:ascii="Times New Roman" w:hAnsi="Times New Roman" w:cs="Times New Roman"/>
          <w:b/>
          <w:bCs/>
          <w:sz w:val="24"/>
          <w:szCs w:val="24"/>
          <w:u w:val="single"/>
        </w:rPr>
      </w:pPr>
    </w:p>
    <w:p w14:paraId="0BB31888" w14:textId="77777777" w:rsidR="00B33CAF" w:rsidRPr="00FE2FB1" w:rsidRDefault="00B33CAF">
      <w:pPr>
        <w:spacing w:before="240"/>
        <w:jc w:val="both"/>
        <w:rPr>
          <w:rFonts w:ascii="Times New Roman" w:hAnsi="Times New Roman" w:cs="Times New Roman"/>
          <w:b/>
          <w:bCs/>
          <w:sz w:val="24"/>
          <w:szCs w:val="24"/>
          <w:u w:val="single"/>
        </w:rPr>
      </w:pPr>
    </w:p>
    <w:p w14:paraId="70C0DCD7" w14:textId="77777777" w:rsidR="00B33CAF" w:rsidRPr="00FE2FB1" w:rsidRDefault="00B33CAF">
      <w:pPr>
        <w:spacing w:before="240"/>
        <w:jc w:val="both"/>
        <w:rPr>
          <w:rFonts w:ascii="Times New Roman" w:hAnsi="Times New Roman" w:cs="Times New Roman"/>
          <w:b/>
          <w:bCs/>
          <w:sz w:val="24"/>
          <w:szCs w:val="24"/>
          <w:u w:val="single"/>
        </w:rPr>
      </w:pPr>
    </w:p>
    <w:p w14:paraId="31E5103A" w14:textId="77777777" w:rsidR="00B33CAF" w:rsidRPr="00FE2FB1" w:rsidRDefault="00B33CAF">
      <w:pPr>
        <w:spacing w:before="240"/>
        <w:jc w:val="both"/>
        <w:rPr>
          <w:rFonts w:ascii="Times New Roman" w:hAnsi="Times New Roman" w:cs="Times New Roman"/>
          <w:b/>
          <w:bCs/>
          <w:sz w:val="24"/>
          <w:szCs w:val="24"/>
          <w:u w:val="single"/>
        </w:rPr>
      </w:pPr>
    </w:p>
    <w:p w14:paraId="3BAC5F1B" w14:textId="77777777" w:rsidR="00B33CAF" w:rsidRPr="00FE2FB1" w:rsidRDefault="00B33CAF">
      <w:pPr>
        <w:spacing w:before="240"/>
        <w:jc w:val="both"/>
        <w:rPr>
          <w:rFonts w:ascii="Times New Roman" w:hAnsi="Times New Roman" w:cs="Times New Roman"/>
          <w:b/>
          <w:bCs/>
          <w:sz w:val="24"/>
          <w:szCs w:val="24"/>
          <w:u w:val="single"/>
        </w:rPr>
      </w:pPr>
    </w:p>
    <w:p w14:paraId="5EC96713" w14:textId="77777777" w:rsidR="00B33CAF" w:rsidRPr="00FE2FB1" w:rsidRDefault="00AB4191">
      <w:pPr>
        <w:spacing w:before="240"/>
        <w:jc w:val="both"/>
        <w:rPr>
          <w:rFonts w:ascii="Times New Roman" w:hAnsi="Times New Roman" w:cs="Times New Roman"/>
          <w:b/>
          <w:bCs/>
          <w:sz w:val="24"/>
          <w:szCs w:val="24"/>
          <w:u w:val="single"/>
        </w:rPr>
      </w:pPr>
      <w:r w:rsidRPr="00FE2FB1">
        <w:rPr>
          <w:rFonts w:ascii="Times New Roman" w:hAnsi="Times New Roman" w:cs="Times New Roman"/>
          <w:b/>
          <w:bCs/>
          <w:sz w:val="24"/>
          <w:szCs w:val="24"/>
          <w:u w:val="single"/>
        </w:rPr>
        <w:t>RESULTS</w:t>
      </w:r>
    </w:p>
    <w:p w14:paraId="6F841CB1" w14:textId="77777777" w:rsidR="00B33CAF" w:rsidRPr="00FE2FB1" w:rsidRDefault="00AB4191">
      <w:pPr>
        <w:spacing w:before="240"/>
        <w:jc w:val="both"/>
        <w:rPr>
          <w:rFonts w:ascii="Times New Roman" w:hAnsi="Times New Roman" w:cs="Times New Roman"/>
          <w:b/>
          <w:bCs/>
          <w:sz w:val="24"/>
          <w:szCs w:val="24"/>
        </w:rPr>
      </w:pPr>
      <w:r w:rsidRPr="00FE2FB1">
        <w:rPr>
          <w:rFonts w:ascii="Times New Roman" w:hAnsi="Times New Roman" w:cs="Times New Roman"/>
          <w:b/>
          <w:bCs/>
          <w:sz w:val="24"/>
          <w:szCs w:val="24"/>
        </w:rPr>
        <w:t>Cadmium reduced the number of arm entries in the Y-Maze test.</w:t>
      </w:r>
    </w:p>
    <w:p w14:paraId="3A4D9582"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 xml:space="preserve">Figure 1 shows the effects of cadmium on maze exploration. Activity decreased as the cadmium dose increased. Rats administered </w:t>
      </w:r>
      <w:r w:rsidRPr="00FE2FB1">
        <w:rPr>
          <w:rFonts w:ascii="Times New Roman" w:hAnsi="Times New Roman" w:cs="Times New Roman"/>
          <w:b/>
          <w:bCs/>
          <w:sz w:val="24"/>
          <w:szCs w:val="24"/>
        </w:rPr>
        <w:t xml:space="preserve">3 mg/kg cadmium </w:t>
      </w:r>
      <w:r w:rsidRPr="00FE2FB1">
        <w:rPr>
          <w:rFonts w:ascii="Times New Roman" w:hAnsi="Times New Roman" w:cs="Times New Roman"/>
          <w:sz w:val="24"/>
          <w:szCs w:val="24"/>
        </w:rPr>
        <w:t xml:space="preserve">showed a </w:t>
      </w:r>
      <w:r w:rsidRPr="00FE2FB1">
        <w:rPr>
          <w:rFonts w:ascii="Times New Roman" w:hAnsi="Times New Roman" w:cs="Times New Roman"/>
          <w:b/>
          <w:bCs/>
          <w:sz w:val="24"/>
          <w:szCs w:val="24"/>
        </w:rPr>
        <w:t xml:space="preserve">significant (p &lt; 0.05) reduction </w:t>
      </w:r>
      <w:r w:rsidRPr="00FE2FB1">
        <w:rPr>
          <w:rFonts w:ascii="Times New Roman" w:hAnsi="Times New Roman" w:cs="Times New Roman"/>
          <w:sz w:val="24"/>
          <w:szCs w:val="24"/>
        </w:rPr>
        <w:lastRenderedPageBreak/>
        <w:t xml:space="preserve">in arm entries compared with the control group. The </w:t>
      </w:r>
      <w:r w:rsidRPr="00FE2FB1">
        <w:rPr>
          <w:rFonts w:ascii="Times New Roman" w:hAnsi="Times New Roman" w:cs="Times New Roman"/>
          <w:b/>
          <w:bCs/>
          <w:sz w:val="24"/>
          <w:szCs w:val="24"/>
        </w:rPr>
        <w:t xml:space="preserve">2 mg/kg cadmium </w:t>
      </w:r>
      <w:r w:rsidRPr="00FE2FB1">
        <w:rPr>
          <w:rFonts w:ascii="Times New Roman" w:hAnsi="Times New Roman" w:cs="Times New Roman"/>
          <w:sz w:val="24"/>
          <w:szCs w:val="24"/>
        </w:rPr>
        <w:t>group also showed fewer entries than the control group, with the greatest reduction observed at the higher dose.</w:t>
      </w:r>
    </w:p>
    <w:p w14:paraId="4D6D6295" w14:textId="77777777" w:rsidR="00B33CAF" w:rsidRPr="00FE2FB1" w:rsidRDefault="00000000">
      <w:pPr>
        <w:spacing w:before="240"/>
        <w:jc w:val="both"/>
      </w:pPr>
      <w:r>
        <w:rPr>
          <w:noProof/>
        </w:rPr>
        <w:pict w14:anchorId="0BD50D5F">
          <v:shapetype id="_x0000_t202" coordsize="21600,21600" o:spt="202" path="m,l,21600r21600,l21600,xe">
            <v:stroke joinstyle="miter"/>
            <v:path gradientshapeok="t" o:connecttype="rect"/>
          </v:shapetype>
          <v:shape id="1027" o:spid="_x0000_s1034" type="#_x0000_t202" style="position:absolute;left:0;text-align:left;margin-left:209.5pt;margin-top:130.1pt;width:27pt;height:20.25pt;z-index:5;visibility:visible;mso-wrap-distance-left:0;mso-wrap-distance-right:0;mso-position-horizontal-relative:text;mso-position-vertical-relative:text;mso-width-relative:page;mso-height-relative:page" stroked="f">
            <v:textbox>
              <w:txbxContent>
                <w:p w14:paraId="5DB83B8F" w14:textId="77777777" w:rsidR="00B33CAF" w:rsidRDefault="00AB4191">
                  <w:pPr>
                    <w:rPr>
                      <w:sz w:val="36"/>
                      <w:szCs w:val="36"/>
                    </w:rPr>
                  </w:pPr>
                  <w:r>
                    <w:rPr>
                      <w:rFonts w:ascii="Bahnschrift" w:hAnsi="Bahnschrift"/>
                      <w:sz w:val="36"/>
                      <w:szCs w:val="36"/>
                    </w:rPr>
                    <w:t>*</w:t>
                  </w:r>
                </w:p>
                <w:p w14:paraId="7FD1BE5A" w14:textId="77777777" w:rsidR="00B33CAF" w:rsidRDefault="00B33CAF"/>
              </w:txbxContent>
            </v:textbox>
          </v:shape>
        </w:pict>
      </w:r>
      <w:bookmarkStart w:id="2" w:name="_Hlk229118767"/>
      <w:r w:rsidR="00AB4191" w:rsidRPr="00FE2FB1">
        <w:object w:dxaOrig="6041" w:dyaOrig="5583" w14:anchorId="66B64D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8" o:spid="_x0000_i1025" type="#_x0000_t75" style="width:496.5pt;height:362.25pt;visibility:visible;mso-wrap-distance-left:0;mso-wrap-distance-right:0" o:ole="">
            <v:imagedata r:id="rId8" o:title="" embosscolor="white"/>
          </v:shape>
          <o:OLEObject Type="Embed" ProgID="Prism10.Document" ShapeID="1028" DrawAspect="Content" ObjectID="_1847282773" r:id="rId9"/>
        </w:object>
      </w:r>
      <w:bookmarkEnd w:id="2"/>
      <w:r w:rsidR="00AB4191" w:rsidRPr="00FE2FB1">
        <w:rPr>
          <w:rFonts w:ascii="Times New Roman" w:hAnsi="Times New Roman" w:cs="Times New Roman"/>
          <w:b/>
          <w:bCs/>
          <w:sz w:val="24"/>
          <w:szCs w:val="24"/>
        </w:rPr>
        <w:t xml:space="preserve">Figure 1: </w:t>
      </w:r>
      <w:r w:rsidR="00AB4191" w:rsidRPr="00FE2FB1">
        <w:rPr>
          <w:rFonts w:ascii="Times New Roman" w:hAnsi="Times New Roman" w:cs="Times New Roman"/>
          <w:sz w:val="24"/>
          <w:szCs w:val="24"/>
        </w:rPr>
        <w:t xml:space="preserve">Effects of Cadmium on number of arm entries in Y maze test in female albino rats </w:t>
      </w:r>
    </w:p>
    <w:p w14:paraId="786BDD78" w14:textId="77777777" w:rsidR="00B33CAF" w:rsidRPr="00FE2FB1" w:rsidRDefault="00B33CAF">
      <w:pPr>
        <w:spacing w:before="240"/>
        <w:jc w:val="both"/>
        <w:rPr>
          <w:rFonts w:ascii="Times New Roman" w:hAnsi="Times New Roman" w:cs="Times New Roman"/>
          <w:sz w:val="24"/>
          <w:szCs w:val="24"/>
        </w:rPr>
      </w:pPr>
    </w:p>
    <w:p w14:paraId="5D1C41A6" w14:textId="77777777" w:rsidR="00B33CAF" w:rsidRPr="00FE2FB1" w:rsidRDefault="00B33CAF">
      <w:pPr>
        <w:spacing w:before="240"/>
        <w:jc w:val="both"/>
        <w:rPr>
          <w:rFonts w:ascii="Times New Roman" w:hAnsi="Times New Roman" w:cs="Times New Roman"/>
          <w:sz w:val="24"/>
          <w:szCs w:val="24"/>
        </w:rPr>
      </w:pPr>
    </w:p>
    <w:p w14:paraId="200F5D4A" w14:textId="77777777" w:rsidR="00B33CAF" w:rsidRPr="00FE2FB1" w:rsidRDefault="00B33CAF">
      <w:pPr>
        <w:spacing w:before="240"/>
        <w:jc w:val="both"/>
        <w:rPr>
          <w:rFonts w:ascii="Times New Roman" w:hAnsi="Times New Roman" w:cs="Times New Roman"/>
          <w:sz w:val="24"/>
          <w:szCs w:val="24"/>
        </w:rPr>
      </w:pPr>
    </w:p>
    <w:p w14:paraId="087AAD83" w14:textId="77777777" w:rsidR="00B33CAF" w:rsidRPr="00FE2FB1" w:rsidRDefault="00B33CAF">
      <w:pPr>
        <w:spacing w:before="240"/>
        <w:jc w:val="both"/>
        <w:rPr>
          <w:rFonts w:ascii="Times New Roman" w:hAnsi="Times New Roman" w:cs="Times New Roman"/>
          <w:sz w:val="24"/>
          <w:szCs w:val="24"/>
        </w:rPr>
      </w:pPr>
    </w:p>
    <w:p w14:paraId="655F34F5" w14:textId="77777777" w:rsidR="00B33CAF" w:rsidRPr="00FE2FB1" w:rsidRDefault="00AB4191">
      <w:pPr>
        <w:spacing w:before="240"/>
        <w:jc w:val="both"/>
        <w:rPr>
          <w:rFonts w:ascii="Times New Roman" w:hAnsi="Times New Roman" w:cs="Times New Roman"/>
          <w:b/>
          <w:bCs/>
          <w:sz w:val="24"/>
          <w:szCs w:val="24"/>
        </w:rPr>
      </w:pPr>
      <w:r w:rsidRPr="00FE2FB1">
        <w:rPr>
          <w:rFonts w:ascii="Times New Roman" w:hAnsi="Times New Roman" w:cs="Times New Roman"/>
          <w:b/>
          <w:bCs/>
          <w:sz w:val="24"/>
          <w:szCs w:val="24"/>
        </w:rPr>
        <w:t>Cadmium reduced the percentage alternation in the Y-Maze test</w:t>
      </w:r>
    </w:p>
    <w:p w14:paraId="107F87F4" w14:textId="77777777" w:rsidR="00B33CAF" w:rsidRPr="00FE2FB1" w:rsidRDefault="00AB4191">
      <w:pPr>
        <w:spacing w:before="240"/>
        <w:jc w:val="both"/>
        <w:rPr>
          <w:rFonts w:ascii="Times New Roman" w:hAnsi="Times New Roman" w:cs="Times New Roman"/>
          <w:sz w:val="24"/>
          <w:szCs w:val="24"/>
          <w:u w:val="single"/>
        </w:rPr>
      </w:pPr>
      <w:r w:rsidRPr="00FE2FB1">
        <w:rPr>
          <w:rFonts w:ascii="Times New Roman" w:hAnsi="Times New Roman" w:cs="Times New Roman"/>
          <w:sz w:val="24"/>
          <w:szCs w:val="24"/>
        </w:rPr>
        <w:t>Figure 2 shows the effect of cadmium on spatial working memory</w:t>
      </w:r>
      <w:r w:rsidRPr="00FE2FB1">
        <w:rPr>
          <w:rFonts w:ascii="Times New Roman" w:hAnsi="Times New Roman" w:cs="Times New Roman"/>
          <w:b/>
          <w:bCs/>
          <w:sz w:val="24"/>
          <w:szCs w:val="24"/>
        </w:rPr>
        <w:t xml:space="preserve">, </w:t>
      </w:r>
      <w:r w:rsidRPr="00FE2FB1">
        <w:rPr>
          <w:rFonts w:ascii="Times New Roman" w:hAnsi="Times New Roman" w:cs="Times New Roman"/>
          <w:sz w:val="24"/>
          <w:szCs w:val="24"/>
        </w:rPr>
        <w:t xml:space="preserve">as measured by the percentage of spontaneous alternations. The </w:t>
      </w:r>
      <w:r w:rsidRPr="00FE2FB1">
        <w:rPr>
          <w:rFonts w:ascii="Times New Roman" w:hAnsi="Times New Roman" w:cs="Times New Roman"/>
          <w:b/>
          <w:bCs/>
          <w:sz w:val="24"/>
          <w:szCs w:val="24"/>
        </w:rPr>
        <w:t xml:space="preserve">control </w:t>
      </w:r>
      <w:r w:rsidRPr="00FE2FB1">
        <w:rPr>
          <w:rFonts w:ascii="Times New Roman" w:hAnsi="Times New Roman" w:cs="Times New Roman"/>
          <w:sz w:val="24"/>
          <w:szCs w:val="24"/>
        </w:rPr>
        <w:t xml:space="preserve">group showed the highest percentage of alternations (approximately 55–60%). Rats treated with </w:t>
      </w:r>
      <w:r w:rsidRPr="00FE2FB1">
        <w:rPr>
          <w:rFonts w:ascii="Times New Roman" w:hAnsi="Times New Roman" w:cs="Times New Roman"/>
          <w:b/>
          <w:bCs/>
          <w:sz w:val="24"/>
          <w:szCs w:val="24"/>
        </w:rPr>
        <w:t xml:space="preserve">2 </w:t>
      </w:r>
      <w:r w:rsidRPr="00FE2FB1">
        <w:rPr>
          <w:rFonts w:ascii="Times New Roman" w:hAnsi="Times New Roman" w:cs="Times New Roman"/>
          <w:sz w:val="24"/>
          <w:szCs w:val="24"/>
        </w:rPr>
        <w:t xml:space="preserve">and </w:t>
      </w:r>
      <w:r w:rsidRPr="00FE2FB1">
        <w:rPr>
          <w:rFonts w:ascii="Times New Roman" w:hAnsi="Times New Roman" w:cs="Times New Roman"/>
          <w:b/>
          <w:bCs/>
          <w:sz w:val="24"/>
          <w:szCs w:val="24"/>
        </w:rPr>
        <w:t xml:space="preserve">3 mg/kg cadmium </w:t>
      </w:r>
      <w:r w:rsidRPr="00FE2FB1">
        <w:rPr>
          <w:rFonts w:ascii="Times New Roman" w:hAnsi="Times New Roman" w:cs="Times New Roman"/>
          <w:sz w:val="24"/>
          <w:szCs w:val="24"/>
        </w:rPr>
        <w:t xml:space="preserve">showed a progressive decline in alternation </w:t>
      </w:r>
      <w:proofErr w:type="spellStart"/>
      <w:r w:rsidRPr="00FE2FB1">
        <w:rPr>
          <w:rFonts w:ascii="Times New Roman" w:hAnsi="Times New Roman" w:cs="Times New Roman"/>
          <w:sz w:val="24"/>
          <w:szCs w:val="24"/>
        </w:rPr>
        <w:t>behaviour</w:t>
      </w:r>
      <w:proofErr w:type="spellEnd"/>
      <w:r w:rsidRPr="00FE2FB1">
        <w:rPr>
          <w:rFonts w:ascii="Times New Roman" w:hAnsi="Times New Roman" w:cs="Times New Roman"/>
          <w:sz w:val="24"/>
          <w:szCs w:val="24"/>
        </w:rPr>
        <w:t>. These findings suggest that cadmium exposure may impair short-term spatial working-memory performance.</w:t>
      </w:r>
    </w:p>
    <w:bookmarkStart w:id="3" w:name="_Hlk229326882"/>
    <w:p w14:paraId="078F532B" w14:textId="77777777" w:rsidR="00B33CAF" w:rsidRPr="00FE2FB1" w:rsidRDefault="00AB4191">
      <w:pPr>
        <w:spacing w:before="240"/>
        <w:jc w:val="center"/>
      </w:pPr>
      <w:r w:rsidRPr="00FE2FB1">
        <w:object w:dxaOrig="5882" w:dyaOrig="5556" w14:anchorId="7AC6387F">
          <v:shape id="1030" o:spid="_x0000_i1026" type="#_x0000_t75" style="width:421.5pt;height:414pt;visibility:visible;mso-wrap-distance-left:0;mso-wrap-distance-right:0" o:ole="">
            <v:imagedata r:id="rId10" o:title="" embosscolor="white"/>
          </v:shape>
          <o:OLEObject Type="Embed" ProgID="Prism10.Document" ShapeID="1030" DrawAspect="Content" ObjectID="_1847282774" r:id="rId11"/>
        </w:object>
      </w:r>
      <w:bookmarkEnd w:id="3"/>
    </w:p>
    <w:p w14:paraId="20763C97"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b/>
          <w:bCs/>
          <w:sz w:val="24"/>
          <w:szCs w:val="24"/>
        </w:rPr>
        <w:t xml:space="preserve">Figure 2: </w:t>
      </w:r>
      <w:r w:rsidRPr="00FE2FB1">
        <w:rPr>
          <w:rFonts w:ascii="Times New Roman" w:hAnsi="Times New Roman" w:cs="Times New Roman"/>
          <w:sz w:val="24"/>
          <w:szCs w:val="24"/>
        </w:rPr>
        <w:t xml:space="preserve">Effects of Cadmium on percentage alternations in Y maze test in female albino rats </w:t>
      </w:r>
    </w:p>
    <w:p w14:paraId="72FF2786" w14:textId="77777777" w:rsidR="00B33CAF" w:rsidRPr="00FE2FB1" w:rsidRDefault="00B33CAF">
      <w:pPr>
        <w:spacing w:before="240"/>
      </w:pPr>
    </w:p>
    <w:p w14:paraId="419C2223" w14:textId="77777777" w:rsidR="00B33CAF" w:rsidRPr="00FE2FB1" w:rsidRDefault="00B33CAF">
      <w:pPr>
        <w:spacing w:before="240"/>
        <w:jc w:val="both"/>
        <w:rPr>
          <w:rFonts w:ascii="Times New Roman" w:hAnsi="Times New Roman" w:cs="Times New Roman"/>
          <w:b/>
          <w:bCs/>
          <w:sz w:val="24"/>
          <w:szCs w:val="24"/>
        </w:rPr>
      </w:pPr>
    </w:p>
    <w:p w14:paraId="1DD66645" w14:textId="77777777" w:rsidR="00B33CAF" w:rsidRPr="00FE2FB1" w:rsidRDefault="00AB4191">
      <w:pPr>
        <w:pageBreakBefore/>
        <w:spacing w:before="240"/>
        <w:jc w:val="both"/>
        <w:rPr>
          <w:rFonts w:ascii="Times New Roman" w:hAnsi="Times New Roman" w:cs="Times New Roman"/>
          <w:b/>
          <w:bCs/>
          <w:sz w:val="24"/>
          <w:szCs w:val="24"/>
        </w:rPr>
      </w:pPr>
      <w:r w:rsidRPr="00FE2FB1">
        <w:rPr>
          <w:rFonts w:ascii="Times New Roman" w:hAnsi="Times New Roman" w:cs="Times New Roman"/>
          <w:b/>
          <w:bCs/>
          <w:sz w:val="24"/>
          <w:szCs w:val="24"/>
        </w:rPr>
        <w:lastRenderedPageBreak/>
        <w:t>Cadmium reduced the licking/biting time in the early phase of the Formalin test</w:t>
      </w:r>
    </w:p>
    <w:p w14:paraId="451E1878"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Figure 3 shows the effects of cadmium administration during the early phase of the formalin test</w:t>
      </w:r>
      <w:r w:rsidRPr="00FE2FB1">
        <w:rPr>
          <w:rFonts w:ascii="Times New Roman" w:hAnsi="Times New Roman" w:cs="Times New Roman"/>
          <w:b/>
          <w:bCs/>
          <w:sz w:val="24"/>
          <w:szCs w:val="24"/>
        </w:rPr>
        <w:t xml:space="preserve">. </w:t>
      </w:r>
      <w:r w:rsidRPr="00FE2FB1">
        <w:rPr>
          <w:rFonts w:ascii="Times New Roman" w:hAnsi="Times New Roman" w:cs="Times New Roman"/>
          <w:sz w:val="24"/>
          <w:szCs w:val="24"/>
        </w:rPr>
        <w:t xml:space="preserve">Both the </w:t>
      </w:r>
      <w:r w:rsidRPr="00FE2FB1">
        <w:rPr>
          <w:rFonts w:ascii="Times New Roman" w:hAnsi="Times New Roman" w:cs="Times New Roman"/>
          <w:b/>
          <w:bCs/>
          <w:sz w:val="24"/>
          <w:szCs w:val="24"/>
        </w:rPr>
        <w:t xml:space="preserve">2 </w:t>
      </w:r>
      <w:r w:rsidRPr="00FE2FB1">
        <w:rPr>
          <w:rFonts w:ascii="Times New Roman" w:hAnsi="Times New Roman" w:cs="Times New Roman"/>
          <w:sz w:val="24"/>
          <w:szCs w:val="24"/>
        </w:rPr>
        <w:t xml:space="preserve">and </w:t>
      </w:r>
      <w:r w:rsidRPr="00FE2FB1">
        <w:rPr>
          <w:rFonts w:ascii="Times New Roman" w:hAnsi="Times New Roman" w:cs="Times New Roman"/>
          <w:b/>
          <w:bCs/>
          <w:sz w:val="24"/>
          <w:szCs w:val="24"/>
        </w:rPr>
        <w:t>3 mg/kg cadmium-</w:t>
      </w:r>
      <w:r w:rsidRPr="00FE2FB1">
        <w:rPr>
          <w:rFonts w:ascii="Times New Roman" w:hAnsi="Times New Roman" w:cs="Times New Roman"/>
          <w:sz w:val="24"/>
          <w:szCs w:val="24"/>
        </w:rPr>
        <w:t>treated groups showed shorter licking and biting durations than the</w:t>
      </w:r>
      <w:r w:rsidRPr="00FE2FB1">
        <w:rPr>
          <w:rFonts w:ascii="Times New Roman" w:hAnsi="Times New Roman" w:cs="Times New Roman"/>
          <w:b/>
          <w:bCs/>
          <w:sz w:val="24"/>
          <w:szCs w:val="24"/>
        </w:rPr>
        <w:t xml:space="preserve"> control </w:t>
      </w:r>
      <w:r w:rsidRPr="00FE2FB1">
        <w:rPr>
          <w:rFonts w:ascii="Times New Roman" w:hAnsi="Times New Roman" w:cs="Times New Roman"/>
          <w:sz w:val="24"/>
          <w:szCs w:val="24"/>
        </w:rPr>
        <w:t>group. However, these reductions were not statistically significant, indicating that no significant effect on the immediate nociceptive response was detected.</w:t>
      </w:r>
    </w:p>
    <w:p w14:paraId="2E9D7E4C" w14:textId="77777777" w:rsidR="00B33CAF" w:rsidRPr="00FE2FB1" w:rsidRDefault="00B33CAF">
      <w:pPr>
        <w:spacing w:before="240"/>
        <w:jc w:val="both"/>
        <w:rPr>
          <w:rFonts w:ascii="Times New Roman" w:hAnsi="Times New Roman" w:cs="Times New Roman"/>
          <w:sz w:val="24"/>
          <w:szCs w:val="24"/>
        </w:rPr>
      </w:pPr>
    </w:p>
    <w:p w14:paraId="6B03071E" w14:textId="77777777" w:rsidR="00B33CAF" w:rsidRPr="00FE2FB1" w:rsidRDefault="00AB4191">
      <w:pPr>
        <w:spacing w:before="240"/>
        <w:jc w:val="both"/>
        <w:rPr>
          <w:rFonts w:ascii="Times New Roman" w:hAnsi="Times New Roman" w:cs="Times New Roman"/>
          <w:b/>
          <w:bCs/>
          <w:sz w:val="24"/>
          <w:szCs w:val="24"/>
          <w:u w:val="single"/>
        </w:rPr>
      </w:pPr>
      <w:r w:rsidRPr="00FE2FB1">
        <w:rPr>
          <w:noProof/>
        </w:rPr>
        <w:drawing>
          <wp:anchor distT="0" distB="0" distL="0" distR="0" simplePos="0" relativeHeight="2" behindDoc="1" locked="0" layoutInCell="1" allowOverlap="1" wp14:anchorId="21726CC8" wp14:editId="3DC3E5E2">
            <wp:simplePos x="0" y="0"/>
            <wp:positionH relativeFrom="column">
              <wp:posOffset>-152400</wp:posOffset>
            </wp:positionH>
            <wp:positionV relativeFrom="paragraph">
              <wp:posOffset>-106679</wp:posOffset>
            </wp:positionV>
            <wp:extent cx="4825471" cy="4450080"/>
            <wp:effectExtent l="0" t="0" r="0" b="0"/>
            <wp:wrapNone/>
            <wp:docPr id="10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2" cstate="print"/>
                    <a:srcRect l="35126" t="46230" r="42137" b="16495"/>
                    <a:stretch/>
                  </pic:blipFill>
                  <pic:spPr>
                    <a:xfrm>
                      <a:off x="0" y="0"/>
                      <a:ext cx="4825471" cy="4450080"/>
                    </a:xfrm>
                    <a:prstGeom prst="rect">
                      <a:avLst/>
                    </a:prstGeom>
                    <a:ln>
                      <a:noFill/>
                    </a:ln>
                  </pic:spPr>
                </pic:pic>
              </a:graphicData>
            </a:graphic>
            <wp14:sizeRelH relativeFrom="margin">
              <wp14:pctWidth>0</wp14:pctWidth>
            </wp14:sizeRelH>
            <wp14:sizeRelV relativeFrom="margin">
              <wp14:pctHeight>0</wp14:pctHeight>
            </wp14:sizeRelV>
          </wp:anchor>
        </w:drawing>
      </w:r>
    </w:p>
    <w:p w14:paraId="6E34FE1C" w14:textId="77777777" w:rsidR="00B33CAF" w:rsidRPr="00FE2FB1" w:rsidRDefault="00B33CAF">
      <w:pPr>
        <w:spacing w:before="240"/>
        <w:jc w:val="both"/>
        <w:rPr>
          <w:rFonts w:ascii="Times New Roman" w:hAnsi="Times New Roman" w:cs="Times New Roman"/>
          <w:b/>
          <w:bCs/>
          <w:sz w:val="24"/>
          <w:szCs w:val="24"/>
          <w:u w:val="single"/>
        </w:rPr>
      </w:pPr>
    </w:p>
    <w:p w14:paraId="02056DE3" w14:textId="77777777" w:rsidR="00B33CAF" w:rsidRPr="00FE2FB1" w:rsidRDefault="00B33CAF">
      <w:pPr>
        <w:spacing w:before="240"/>
        <w:jc w:val="both"/>
        <w:rPr>
          <w:rFonts w:ascii="Times New Roman" w:hAnsi="Times New Roman" w:cs="Times New Roman"/>
          <w:b/>
          <w:bCs/>
          <w:sz w:val="24"/>
          <w:szCs w:val="24"/>
          <w:u w:val="single"/>
        </w:rPr>
      </w:pPr>
    </w:p>
    <w:p w14:paraId="25555EBB" w14:textId="77777777" w:rsidR="00B33CAF" w:rsidRPr="00FE2FB1" w:rsidRDefault="00B33CAF">
      <w:pPr>
        <w:spacing w:before="240"/>
        <w:jc w:val="both"/>
        <w:rPr>
          <w:rFonts w:ascii="Times New Roman" w:hAnsi="Times New Roman" w:cs="Times New Roman"/>
          <w:b/>
          <w:bCs/>
          <w:sz w:val="24"/>
          <w:szCs w:val="24"/>
          <w:u w:val="single"/>
        </w:rPr>
      </w:pPr>
    </w:p>
    <w:p w14:paraId="571FE76E" w14:textId="77777777" w:rsidR="00B33CAF" w:rsidRPr="00FE2FB1" w:rsidRDefault="00B33CAF">
      <w:pPr>
        <w:spacing w:before="240"/>
        <w:jc w:val="both"/>
        <w:rPr>
          <w:rFonts w:ascii="Times New Roman" w:hAnsi="Times New Roman" w:cs="Times New Roman"/>
          <w:b/>
          <w:bCs/>
          <w:sz w:val="24"/>
          <w:szCs w:val="24"/>
          <w:u w:val="single"/>
        </w:rPr>
      </w:pPr>
    </w:p>
    <w:p w14:paraId="7DFE39FA" w14:textId="77777777" w:rsidR="00B33CAF" w:rsidRPr="00FE2FB1" w:rsidRDefault="00B33CAF">
      <w:pPr>
        <w:spacing w:before="240"/>
        <w:jc w:val="both"/>
        <w:rPr>
          <w:rFonts w:ascii="Times New Roman" w:hAnsi="Times New Roman" w:cs="Times New Roman"/>
          <w:b/>
          <w:bCs/>
          <w:sz w:val="24"/>
          <w:szCs w:val="24"/>
          <w:u w:val="single"/>
        </w:rPr>
      </w:pPr>
    </w:p>
    <w:p w14:paraId="1D0335EA" w14:textId="77777777" w:rsidR="00B33CAF" w:rsidRPr="00FE2FB1" w:rsidRDefault="00B33CAF">
      <w:pPr>
        <w:spacing w:before="240"/>
        <w:jc w:val="both"/>
        <w:rPr>
          <w:rFonts w:ascii="Times New Roman" w:hAnsi="Times New Roman" w:cs="Times New Roman"/>
          <w:b/>
          <w:bCs/>
          <w:sz w:val="24"/>
          <w:szCs w:val="24"/>
          <w:u w:val="single"/>
        </w:rPr>
      </w:pPr>
    </w:p>
    <w:p w14:paraId="1F3822DC" w14:textId="77777777" w:rsidR="00B33CAF" w:rsidRPr="00FE2FB1" w:rsidRDefault="00B33CAF">
      <w:pPr>
        <w:spacing w:before="240"/>
        <w:jc w:val="both"/>
        <w:rPr>
          <w:rFonts w:ascii="Times New Roman" w:hAnsi="Times New Roman" w:cs="Times New Roman"/>
          <w:b/>
          <w:bCs/>
          <w:sz w:val="24"/>
          <w:szCs w:val="24"/>
          <w:u w:val="single"/>
        </w:rPr>
      </w:pPr>
    </w:p>
    <w:p w14:paraId="479E0506" w14:textId="77777777" w:rsidR="00B33CAF" w:rsidRPr="00FE2FB1" w:rsidRDefault="00B33CAF">
      <w:pPr>
        <w:rPr>
          <w:noProof/>
        </w:rPr>
      </w:pPr>
    </w:p>
    <w:p w14:paraId="14338C60" w14:textId="77777777" w:rsidR="00B33CAF" w:rsidRPr="00FE2FB1" w:rsidRDefault="00B33CAF">
      <w:pPr>
        <w:rPr>
          <w:noProof/>
        </w:rPr>
      </w:pPr>
    </w:p>
    <w:p w14:paraId="189D0682" w14:textId="77777777" w:rsidR="00B33CAF" w:rsidRPr="00FE2FB1" w:rsidRDefault="00B33CAF">
      <w:pPr>
        <w:rPr>
          <w:noProof/>
        </w:rPr>
      </w:pPr>
    </w:p>
    <w:p w14:paraId="5B0F7594" w14:textId="77777777" w:rsidR="00B33CAF" w:rsidRPr="00FE2FB1" w:rsidRDefault="00B33CAF">
      <w:pPr>
        <w:rPr>
          <w:noProof/>
        </w:rPr>
      </w:pPr>
    </w:p>
    <w:p w14:paraId="7B1E8C1F" w14:textId="77777777" w:rsidR="00B33CAF" w:rsidRPr="00FE2FB1" w:rsidRDefault="00B33CAF">
      <w:pPr>
        <w:rPr>
          <w:noProof/>
        </w:rPr>
      </w:pPr>
    </w:p>
    <w:p w14:paraId="5DF28DE7" w14:textId="77777777" w:rsidR="00B33CAF" w:rsidRPr="00FE2FB1" w:rsidRDefault="00B33CAF">
      <w:pPr>
        <w:rPr>
          <w:noProof/>
        </w:rPr>
      </w:pPr>
    </w:p>
    <w:p w14:paraId="3D3AAE82"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b/>
          <w:bCs/>
          <w:sz w:val="24"/>
          <w:szCs w:val="24"/>
        </w:rPr>
        <w:t xml:space="preserve">Figure 3: </w:t>
      </w:r>
      <w:r w:rsidRPr="00FE2FB1">
        <w:rPr>
          <w:rFonts w:ascii="Times New Roman" w:hAnsi="Times New Roman" w:cs="Times New Roman"/>
          <w:sz w:val="24"/>
          <w:szCs w:val="24"/>
        </w:rPr>
        <w:t xml:space="preserve">Effects of Cadmium on licking/biting time in the early phase of the Formalin test in female albino rats </w:t>
      </w:r>
    </w:p>
    <w:p w14:paraId="0F459808" w14:textId="77777777" w:rsidR="00B33CAF" w:rsidRPr="00FE2FB1" w:rsidRDefault="00B33CAF">
      <w:pPr>
        <w:rPr>
          <w:noProof/>
        </w:rPr>
      </w:pPr>
    </w:p>
    <w:p w14:paraId="7BE62679" w14:textId="77777777" w:rsidR="00B33CAF" w:rsidRPr="00FE2FB1" w:rsidRDefault="00B33CAF">
      <w:pPr>
        <w:rPr>
          <w:noProof/>
        </w:rPr>
      </w:pPr>
    </w:p>
    <w:p w14:paraId="475ED94E" w14:textId="77777777" w:rsidR="00B33CAF" w:rsidRPr="00FE2FB1" w:rsidRDefault="00B33CAF">
      <w:pPr>
        <w:rPr>
          <w:noProof/>
        </w:rPr>
      </w:pPr>
    </w:p>
    <w:p w14:paraId="1CC36E2A" w14:textId="77777777" w:rsidR="00B33CAF" w:rsidRPr="00FE2FB1" w:rsidRDefault="00B33CAF">
      <w:pPr>
        <w:rPr>
          <w:noProof/>
        </w:rPr>
      </w:pPr>
    </w:p>
    <w:p w14:paraId="1065F928" w14:textId="77777777" w:rsidR="00B33CAF" w:rsidRPr="00FE2FB1" w:rsidRDefault="00B33CAF">
      <w:pPr>
        <w:rPr>
          <w:noProof/>
        </w:rPr>
      </w:pPr>
    </w:p>
    <w:p w14:paraId="33143A57" w14:textId="77777777" w:rsidR="00B33CAF" w:rsidRPr="00FE2FB1" w:rsidRDefault="00AB4191">
      <w:pPr>
        <w:pageBreakBefore/>
        <w:rPr>
          <w:rFonts w:ascii="Times New Roman" w:hAnsi="Times New Roman" w:cs="Times New Roman"/>
          <w:b/>
          <w:bCs/>
          <w:noProof/>
          <w:sz w:val="24"/>
          <w:szCs w:val="24"/>
        </w:rPr>
      </w:pPr>
      <w:r w:rsidRPr="00FE2FB1">
        <w:rPr>
          <w:rFonts w:ascii="Times New Roman" w:hAnsi="Times New Roman" w:cs="Times New Roman"/>
          <w:b/>
          <w:bCs/>
          <w:noProof/>
          <w:sz w:val="24"/>
          <w:szCs w:val="24"/>
        </w:rPr>
        <w:lastRenderedPageBreak/>
        <w:t>Cadmium significantly reduced licking/biting time during the late phase of the formalin test</w:t>
      </w:r>
    </w:p>
    <w:p w14:paraId="2A0EE809" w14:textId="77777777" w:rsidR="00B33CAF" w:rsidRPr="00FE2FB1" w:rsidRDefault="00AB4191">
      <w:pPr>
        <w:jc w:val="both"/>
        <w:rPr>
          <w:rFonts w:ascii="Times New Roman" w:hAnsi="Times New Roman" w:cs="Times New Roman"/>
          <w:noProof/>
          <w:sz w:val="24"/>
          <w:szCs w:val="24"/>
        </w:rPr>
      </w:pPr>
      <w:r w:rsidRPr="00FE2FB1">
        <w:rPr>
          <w:rFonts w:ascii="Times New Roman" w:hAnsi="Times New Roman" w:cs="Times New Roman"/>
          <w:b/>
          <w:bCs/>
          <w:noProof/>
          <w:sz w:val="24"/>
          <w:szCs w:val="24"/>
        </w:rPr>
        <w:t xml:space="preserve">Figure 4 </w:t>
      </w:r>
      <w:r w:rsidRPr="00FE2FB1">
        <w:rPr>
          <w:rFonts w:ascii="Times New Roman" w:hAnsi="Times New Roman" w:cs="Times New Roman"/>
          <w:noProof/>
          <w:sz w:val="24"/>
          <w:szCs w:val="24"/>
        </w:rPr>
        <w:t xml:space="preserve">shows the effect of cadmium during the late, inflammatory phase of the formalin test. Licking and biting duration decreased significantly (p &lt; 0.05) in both the </w:t>
      </w:r>
      <w:r w:rsidRPr="00FE2FB1">
        <w:rPr>
          <w:rFonts w:ascii="Times New Roman" w:hAnsi="Times New Roman" w:cs="Times New Roman"/>
          <w:b/>
          <w:bCs/>
          <w:noProof/>
          <w:sz w:val="24"/>
          <w:szCs w:val="24"/>
        </w:rPr>
        <w:t xml:space="preserve">2 </w:t>
      </w:r>
      <w:r w:rsidRPr="00FE2FB1">
        <w:rPr>
          <w:rFonts w:ascii="Times New Roman" w:hAnsi="Times New Roman" w:cs="Times New Roman"/>
          <w:noProof/>
          <w:sz w:val="24"/>
          <w:szCs w:val="24"/>
        </w:rPr>
        <w:t xml:space="preserve">and </w:t>
      </w:r>
      <w:r w:rsidRPr="00FE2FB1">
        <w:rPr>
          <w:rFonts w:ascii="Times New Roman" w:hAnsi="Times New Roman" w:cs="Times New Roman"/>
          <w:b/>
          <w:bCs/>
          <w:noProof/>
          <w:sz w:val="24"/>
          <w:szCs w:val="24"/>
        </w:rPr>
        <w:t xml:space="preserve">3 mg/kg cadmium </w:t>
      </w:r>
      <w:r w:rsidRPr="00FE2FB1">
        <w:rPr>
          <w:rFonts w:ascii="Times New Roman" w:hAnsi="Times New Roman" w:cs="Times New Roman"/>
          <w:noProof/>
          <w:sz w:val="24"/>
          <w:szCs w:val="24"/>
        </w:rPr>
        <w:t xml:space="preserve">groups compared with the </w:t>
      </w:r>
      <w:r w:rsidRPr="00FE2FB1">
        <w:rPr>
          <w:rFonts w:ascii="Times New Roman" w:hAnsi="Times New Roman" w:cs="Times New Roman"/>
          <w:b/>
          <w:bCs/>
          <w:noProof/>
          <w:sz w:val="24"/>
          <w:szCs w:val="24"/>
        </w:rPr>
        <w:t xml:space="preserve">control </w:t>
      </w:r>
      <w:r w:rsidRPr="00FE2FB1">
        <w:rPr>
          <w:rFonts w:ascii="Times New Roman" w:hAnsi="Times New Roman" w:cs="Times New Roman"/>
          <w:noProof/>
          <w:sz w:val="24"/>
          <w:szCs w:val="24"/>
        </w:rPr>
        <w:t>group. The control group exhibited a greater nociceptive response than the cadmium-treated groups. These findings indicate that cadmium exposure altered the behavioural response to inflammatory pain in female albino rats.</w:t>
      </w:r>
    </w:p>
    <w:p w14:paraId="18E85F3D" w14:textId="77777777" w:rsidR="00B33CAF" w:rsidRPr="00FE2FB1" w:rsidRDefault="00AB4191">
      <w:pPr>
        <w:rPr>
          <w:rFonts w:ascii="Times New Roman" w:hAnsi="Times New Roman" w:cs="Times New Roman"/>
          <w:b/>
          <w:bCs/>
          <w:noProof/>
          <w:sz w:val="24"/>
          <w:szCs w:val="24"/>
        </w:rPr>
      </w:pPr>
      <w:r w:rsidRPr="00FE2FB1">
        <w:rPr>
          <w:noProof/>
        </w:rPr>
        <w:drawing>
          <wp:anchor distT="0" distB="0" distL="0" distR="0" simplePos="0" relativeHeight="6" behindDoc="1" locked="0" layoutInCell="1" allowOverlap="1" wp14:anchorId="1F56F5E8" wp14:editId="662480D9">
            <wp:simplePos x="0" y="0"/>
            <wp:positionH relativeFrom="margin">
              <wp:posOffset>-88900</wp:posOffset>
            </wp:positionH>
            <wp:positionV relativeFrom="paragraph">
              <wp:posOffset>6985</wp:posOffset>
            </wp:positionV>
            <wp:extent cx="4197350" cy="3970055"/>
            <wp:effectExtent l="0" t="0" r="0" b="0"/>
            <wp:wrapNone/>
            <wp:docPr id="103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3" cstate="print"/>
                    <a:srcRect l="35943" t="46956" r="38727" b="10433"/>
                    <a:stretch/>
                  </pic:blipFill>
                  <pic:spPr>
                    <a:xfrm>
                      <a:off x="0" y="0"/>
                      <a:ext cx="4197350" cy="3970055"/>
                    </a:xfrm>
                    <a:prstGeom prst="rect">
                      <a:avLst/>
                    </a:prstGeom>
                    <a:ln>
                      <a:noFill/>
                    </a:ln>
                  </pic:spPr>
                </pic:pic>
              </a:graphicData>
            </a:graphic>
            <wp14:sizeRelH relativeFrom="margin">
              <wp14:pctWidth>0</wp14:pctWidth>
            </wp14:sizeRelH>
            <wp14:sizeRelV relativeFrom="margin">
              <wp14:pctHeight>0</wp14:pctHeight>
            </wp14:sizeRelV>
          </wp:anchor>
        </w:drawing>
      </w:r>
    </w:p>
    <w:p w14:paraId="259A62F4" w14:textId="77777777" w:rsidR="00B33CAF" w:rsidRPr="00FE2FB1" w:rsidRDefault="00B33CAF">
      <w:pPr>
        <w:rPr>
          <w:rFonts w:ascii="Times New Roman" w:hAnsi="Times New Roman" w:cs="Times New Roman"/>
          <w:b/>
          <w:bCs/>
          <w:noProof/>
          <w:sz w:val="24"/>
          <w:szCs w:val="24"/>
        </w:rPr>
      </w:pPr>
    </w:p>
    <w:p w14:paraId="2ED30288" w14:textId="77777777" w:rsidR="00B33CAF" w:rsidRPr="00FE2FB1" w:rsidRDefault="00B33CAF">
      <w:pPr>
        <w:spacing w:before="240"/>
        <w:jc w:val="both"/>
        <w:rPr>
          <w:rFonts w:ascii="Times New Roman" w:hAnsi="Times New Roman" w:cs="Times New Roman"/>
          <w:b/>
          <w:bCs/>
          <w:sz w:val="24"/>
          <w:szCs w:val="24"/>
          <w:u w:val="single"/>
        </w:rPr>
      </w:pPr>
    </w:p>
    <w:p w14:paraId="7014F7B7" w14:textId="77777777" w:rsidR="00B33CAF" w:rsidRPr="00FE2FB1" w:rsidRDefault="00000000">
      <w:pPr>
        <w:spacing w:before="240"/>
        <w:jc w:val="both"/>
        <w:rPr>
          <w:rFonts w:ascii="Times New Roman" w:hAnsi="Times New Roman" w:cs="Times New Roman"/>
          <w:b/>
          <w:bCs/>
          <w:sz w:val="24"/>
          <w:szCs w:val="24"/>
          <w:u w:val="single"/>
        </w:rPr>
      </w:pPr>
      <w:r>
        <w:rPr>
          <w:noProof/>
        </w:rPr>
        <w:pict w14:anchorId="216FEE2F">
          <v:shape id="1034" o:spid="_x0000_s1031" type="#_x0000_t202" style="position:absolute;left:0;text-align:left;margin-left:117.7pt;margin-top:19.5pt;width:22.3pt;height:19.1pt;z-index:3;visibility:visible;mso-width-percent:0;mso-height-percent:0;mso-wrap-distance-top:3.6pt;mso-wrap-distance-bottom:3.6pt;mso-position-horizontal-relative:text;mso-position-vertical-relative:text;mso-width-percent:0;mso-height-percent:0;mso-width-relative:margin;mso-height-relative:margin" stroked="f">
            <v:textbox>
              <w:txbxContent>
                <w:p w14:paraId="59EDFA82" w14:textId="77777777" w:rsidR="00B33CAF" w:rsidRDefault="00AB4191">
                  <w:pPr>
                    <w:rPr>
                      <w:sz w:val="36"/>
                      <w:szCs w:val="36"/>
                    </w:rPr>
                  </w:pPr>
                  <w:bookmarkStart w:id="4" w:name="OLE_LINK1"/>
                  <w:r>
                    <w:rPr>
                      <w:rFonts w:ascii="Bahnschrift" w:hAnsi="Bahnschrift"/>
                      <w:sz w:val="36"/>
                      <w:szCs w:val="36"/>
                    </w:rPr>
                    <w:t>*</w:t>
                  </w:r>
                  <w:bookmarkEnd w:id="4"/>
                </w:p>
              </w:txbxContent>
            </v:textbox>
            <w10:wrap type="square"/>
          </v:shape>
        </w:pict>
      </w:r>
    </w:p>
    <w:p w14:paraId="6F701F4A" w14:textId="77777777" w:rsidR="00B33CAF" w:rsidRPr="00FE2FB1" w:rsidRDefault="00000000">
      <w:pPr>
        <w:spacing w:before="240"/>
        <w:jc w:val="both"/>
        <w:rPr>
          <w:rFonts w:ascii="Times New Roman" w:hAnsi="Times New Roman" w:cs="Times New Roman"/>
          <w:b/>
          <w:bCs/>
          <w:sz w:val="24"/>
          <w:szCs w:val="24"/>
          <w:u w:val="single"/>
        </w:rPr>
      </w:pPr>
      <w:r>
        <w:rPr>
          <w:noProof/>
        </w:rPr>
        <w:pict w14:anchorId="5E114362">
          <v:shape id="1035" o:spid="_x0000_s1030" type="#_x0000_t202" style="position:absolute;left:0;text-align:left;margin-left:85.55pt;margin-top:2.7pt;width:22.3pt;height:19.1pt;z-index:4;visibility:visible;mso-width-percent:0;mso-height-percent:0;mso-wrap-distance-top:3.6pt;mso-wrap-distance-bottom:3.6pt;mso-position-horizontal-relative:text;mso-position-vertical-relative:text;mso-width-percent:0;mso-height-percent:0;mso-width-relative:margin;mso-height-relative:margin" stroked="f">
            <v:textbox>
              <w:txbxContent>
                <w:p w14:paraId="151131C6" w14:textId="77777777" w:rsidR="00B33CAF" w:rsidRDefault="00AB4191">
                  <w:pPr>
                    <w:pBdr>
                      <w:bottom w:val="single" w:sz="4" w:space="1" w:color="auto"/>
                    </w:pBdr>
                    <w:rPr>
                      <w:sz w:val="36"/>
                      <w:szCs w:val="36"/>
                    </w:rPr>
                  </w:pPr>
                  <w:r>
                    <w:rPr>
                      <w:rFonts w:ascii="Bahnschrift" w:hAnsi="Bahnschrift"/>
                      <w:sz w:val="36"/>
                      <w:szCs w:val="36"/>
                    </w:rPr>
                    <w:t>*</w:t>
                  </w:r>
                </w:p>
              </w:txbxContent>
            </v:textbox>
            <w10:wrap type="square"/>
          </v:shape>
        </w:pict>
      </w:r>
    </w:p>
    <w:p w14:paraId="3B6D44CE" w14:textId="77777777" w:rsidR="00B33CAF" w:rsidRPr="00FE2FB1" w:rsidRDefault="00B33CAF">
      <w:pPr>
        <w:spacing w:before="240"/>
        <w:jc w:val="both"/>
        <w:rPr>
          <w:rFonts w:ascii="Times New Roman" w:hAnsi="Times New Roman" w:cs="Times New Roman"/>
          <w:b/>
          <w:bCs/>
          <w:sz w:val="24"/>
          <w:szCs w:val="24"/>
          <w:u w:val="single"/>
        </w:rPr>
      </w:pPr>
    </w:p>
    <w:p w14:paraId="69F57477" w14:textId="77777777" w:rsidR="00B33CAF" w:rsidRPr="00FE2FB1" w:rsidRDefault="00B33CAF">
      <w:pPr>
        <w:spacing w:before="240"/>
        <w:jc w:val="both"/>
        <w:rPr>
          <w:rFonts w:ascii="Times New Roman" w:hAnsi="Times New Roman" w:cs="Times New Roman"/>
          <w:b/>
          <w:bCs/>
          <w:sz w:val="24"/>
          <w:szCs w:val="24"/>
          <w:u w:val="single"/>
        </w:rPr>
      </w:pPr>
    </w:p>
    <w:p w14:paraId="0881ED13" w14:textId="77777777" w:rsidR="00B33CAF" w:rsidRPr="00FE2FB1" w:rsidRDefault="00B33CAF">
      <w:pPr>
        <w:spacing w:before="240"/>
        <w:jc w:val="both"/>
        <w:rPr>
          <w:rFonts w:ascii="Times New Roman" w:hAnsi="Times New Roman" w:cs="Times New Roman"/>
          <w:b/>
          <w:bCs/>
          <w:sz w:val="24"/>
          <w:szCs w:val="24"/>
          <w:u w:val="single"/>
        </w:rPr>
      </w:pPr>
    </w:p>
    <w:p w14:paraId="7B709E55" w14:textId="77777777" w:rsidR="00B33CAF" w:rsidRPr="00FE2FB1" w:rsidRDefault="00B33CAF">
      <w:pPr>
        <w:spacing w:before="240"/>
        <w:jc w:val="both"/>
        <w:rPr>
          <w:rFonts w:ascii="Times New Roman" w:hAnsi="Times New Roman" w:cs="Times New Roman"/>
          <w:b/>
          <w:bCs/>
          <w:sz w:val="24"/>
          <w:szCs w:val="24"/>
          <w:u w:val="single"/>
        </w:rPr>
      </w:pPr>
    </w:p>
    <w:p w14:paraId="2A771812" w14:textId="77777777" w:rsidR="00B33CAF" w:rsidRPr="00FE2FB1" w:rsidRDefault="00B33CAF">
      <w:pPr>
        <w:spacing w:before="240"/>
        <w:jc w:val="both"/>
        <w:rPr>
          <w:rFonts w:ascii="Times New Roman" w:hAnsi="Times New Roman" w:cs="Times New Roman"/>
          <w:b/>
          <w:bCs/>
          <w:sz w:val="24"/>
          <w:szCs w:val="24"/>
          <w:u w:val="single"/>
        </w:rPr>
      </w:pPr>
    </w:p>
    <w:p w14:paraId="35E32150" w14:textId="77777777" w:rsidR="00B33CAF" w:rsidRPr="00FE2FB1" w:rsidRDefault="00B33CAF">
      <w:pPr>
        <w:spacing w:before="240"/>
        <w:jc w:val="both"/>
        <w:rPr>
          <w:rFonts w:ascii="Times New Roman" w:hAnsi="Times New Roman" w:cs="Times New Roman"/>
          <w:b/>
          <w:bCs/>
          <w:sz w:val="24"/>
          <w:szCs w:val="24"/>
          <w:u w:val="single"/>
        </w:rPr>
      </w:pPr>
    </w:p>
    <w:p w14:paraId="6581CB6F" w14:textId="77777777" w:rsidR="00B33CAF" w:rsidRPr="00FE2FB1" w:rsidRDefault="00B33CAF">
      <w:pPr>
        <w:spacing w:before="240"/>
        <w:jc w:val="both"/>
        <w:rPr>
          <w:rFonts w:ascii="Times New Roman" w:hAnsi="Times New Roman" w:cs="Times New Roman"/>
          <w:b/>
          <w:bCs/>
          <w:sz w:val="24"/>
          <w:szCs w:val="24"/>
          <w:u w:val="single"/>
        </w:rPr>
      </w:pPr>
    </w:p>
    <w:p w14:paraId="3F664534" w14:textId="77777777" w:rsidR="00B33CAF" w:rsidRPr="00FE2FB1" w:rsidRDefault="00B33CAF">
      <w:pPr>
        <w:spacing w:before="240"/>
        <w:jc w:val="both"/>
        <w:rPr>
          <w:rFonts w:ascii="Times New Roman" w:hAnsi="Times New Roman" w:cs="Times New Roman"/>
          <w:b/>
          <w:bCs/>
          <w:sz w:val="24"/>
          <w:szCs w:val="24"/>
          <w:u w:val="single"/>
        </w:rPr>
      </w:pPr>
    </w:p>
    <w:p w14:paraId="5179BA99"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b/>
          <w:bCs/>
          <w:sz w:val="24"/>
          <w:szCs w:val="24"/>
        </w:rPr>
        <w:t xml:space="preserve">Figure 4: </w:t>
      </w:r>
      <w:r w:rsidRPr="00FE2FB1">
        <w:rPr>
          <w:rFonts w:ascii="Times New Roman" w:hAnsi="Times New Roman" w:cs="Times New Roman"/>
          <w:sz w:val="24"/>
          <w:szCs w:val="24"/>
        </w:rPr>
        <w:t xml:space="preserve">Effects of Cadmium on licking/biting time in the late phase of the Formalin test in female albino rats </w:t>
      </w:r>
    </w:p>
    <w:p w14:paraId="45F87033" w14:textId="77777777" w:rsidR="00B33CAF" w:rsidRPr="00FE2FB1" w:rsidRDefault="00B33CAF">
      <w:pPr>
        <w:spacing w:before="240"/>
        <w:jc w:val="both"/>
        <w:rPr>
          <w:rFonts w:ascii="Times New Roman" w:hAnsi="Times New Roman" w:cs="Times New Roman"/>
          <w:b/>
          <w:bCs/>
          <w:sz w:val="24"/>
          <w:szCs w:val="24"/>
          <w:u w:val="single"/>
        </w:rPr>
      </w:pPr>
    </w:p>
    <w:p w14:paraId="66F52E97" w14:textId="77777777" w:rsidR="00B33CAF" w:rsidRPr="00FE2FB1" w:rsidRDefault="00B33CAF">
      <w:pPr>
        <w:spacing w:before="240"/>
        <w:jc w:val="both"/>
        <w:rPr>
          <w:rFonts w:ascii="Times New Roman" w:hAnsi="Times New Roman" w:cs="Times New Roman"/>
          <w:b/>
          <w:bCs/>
          <w:sz w:val="24"/>
          <w:szCs w:val="24"/>
          <w:u w:val="single"/>
        </w:rPr>
      </w:pPr>
    </w:p>
    <w:p w14:paraId="67093D6E" w14:textId="77777777" w:rsidR="00B33CAF" w:rsidRPr="00FE2FB1" w:rsidRDefault="00B33CAF">
      <w:pPr>
        <w:spacing w:before="240"/>
        <w:jc w:val="both"/>
        <w:rPr>
          <w:rFonts w:ascii="Times New Roman" w:hAnsi="Times New Roman" w:cs="Times New Roman"/>
          <w:b/>
          <w:bCs/>
          <w:sz w:val="24"/>
          <w:szCs w:val="24"/>
          <w:u w:val="single"/>
        </w:rPr>
      </w:pPr>
    </w:p>
    <w:p w14:paraId="68869859" w14:textId="77777777" w:rsidR="00B33CAF" w:rsidRPr="00FE2FB1" w:rsidRDefault="00B33CAF">
      <w:pPr>
        <w:spacing w:before="240"/>
        <w:jc w:val="both"/>
        <w:rPr>
          <w:rFonts w:ascii="Times New Roman" w:hAnsi="Times New Roman" w:cs="Times New Roman"/>
          <w:b/>
          <w:bCs/>
          <w:sz w:val="24"/>
          <w:szCs w:val="24"/>
          <w:u w:val="single"/>
        </w:rPr>
      </w:pPr>
    </w:p>
    <w:p w14:paraId="0E8F840C" w14:textId="77777777" w:rsidR="00B33CAF" w:rsidRPr="00FE2FB1" w:rsidRDefault="00B33CAF">
      <w:pPr>
        <w:spacing w:before="240"/>
        <w:jc w:val="both"/>
        <w:rPr>
          <w:rFonts w:ascii="Times New Roman" w:hAnsi="Times New Roman" w:cs="Times New Roman"/>
          <w:b/>
          <w:bCs/>
          <w:sz w:val="24"/>
          <w:szCs w:val="24"/>
          <w:u w:val="single"/>
        </w:rPr>
      </w:pPr>
    </w:p>
    <w:p w14:paraId="32C9818C" w14:textId="77777777" w:rsidR="00B33CAF" w:rsidRPr="00FE2FB1" w:rsidRDefault="00AB4191">
      <w:pPr>
        <w:spacing w:before="240"/>
        <w:jc w:val="both"/>
        <w:rPr>
          <w:rFonts w:ascii="Times New Roman" w:hAnsi="Times New Roman" w:cs="Times New Roman"/>
          <w:b/>
          <w:bCs/>
          <w:sz w:val="24"/>
          <w:szCs w:val="24"/>
        </w:rPr>
      </w:pPr>
      <w:r w:rsidRPr="00FE2FB1">
        <w:rPr>
          <w:rFonts w:ascii="Times New Roman" w:hAnsi="Times New Roman" w:cs="Times New Roman"/>
          <w:b/>
          <w:bCs/>
          <w:sz w:val="24"/>
          <w:szCs w:val="24"/>
        </w:rPr>
        <w:lastRenderedPageBreak/>
        <w:t>Cadmium administration reduced body-weight gain over seven days</w:t>
      </w:r>
    </w:p>
    <w:p w14:paraId="777BB2BF"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Figure 5 shows the daily body-weight change in female albino rats across the three experimental groups. Although all groups gained weight during the week, the rate of weight gain was lower in the cadmium-treated groups than in the control group.</w:t>
      </w:r>
    </w:p>
    <w:p w14:paraId="5F852FE3"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 xml:space="preserve">From </w:t>
      </w:r>
      <w:r w:rsidRPr="00FE2FB1">
        <w:rPr>
          <w:rFonts w:ascii="Times New Roman" w:hAnsi="Times New Roman" w:cs="Times New Roman"/>
          <w:b/>
          <w:bCs/>
          <w:sz w:val="24"/>
          <w:szCs w:val="24"/>
        </w:rPr>
        <w:t xml:space="preserve">Days 3 to 7, </w:t>
      </w:r>
      <w:r w:rsidRPr="00FE2FB1">
        <w:rPr>
          <w:rFonts w:ascii="Times New Roman" w:hAnsi="Times New Roman" w:cs="Times New Roman"/>
          <w:sz w:val="24"/>
          <w:szCs w:val="24"/>
        </w:rPr>
        <w:t xml:space="preserve">the control group consistently showed greater weight gain than the groups treated with </w:t>
      </w:r>
      <w:r w:rsidRPr="00FE2FB1">
        <w:rPr>
          <w:rFonts w:ascii="Times New Roman" w:hAnsi="Times New Roman" w:cs="Times New Roman"/>
          <w:b/>
          <w:bCs/>
          <w:sz w:val="24"/>
          <w:szCs w:val="24"/>
        </w:rPr>
        <w:t xml:space="preserve">2 and 3 mg/kg cadmium. </w:t>
      </w:r>
      <w:r w:rsidRPr="00FE2FB1">
        <w:rPr>
          <w:rFonts w:ascii="Times New Roman" w:hAnsi="Times New Roman" w:cs="Times New Roman"/>
          <w:sz w:val="24"/>
          <w:szCs w:val="24"/>
        </w:rPr>
        <w:t xml:space="preserve">The difference was most apparent on </w:t>
      </w:r>
      <w:r w:rsidRPr="00FE2FB1">
        <w:rPr>
          <w:rFonts w:ascii="Times New Roman" w:hAnsi="Times New Roman" w:cs="Times New Roman"/>
          <w:b/>
          <w:bCs/>
          <w:sz w:val="24"/>
          <w:szCs w:val="24"/>
        </w:rPr>
        <w:t xml:space="preserve">Day 5, </w:t>
      </w:r>
      <w:r w:rsidRPr="00FE2FB1">
        <w:rPr>
          <w:rFonts w:ascii="Times New Roman" w:hAnsi="Times New Roman" w:cs="Times New Roman"/>
          <w:sz w:val="24"/>
          <w:szCs w:val="24"/>
        </w:rPr>
        <w:t>when the control group reached a peak weight change of approximately 18 g, whereas the cadmium-treated groups remained at approximately 12 g.</w:t>
      </w:r>
    </w:p>
    <w:p w14:paraId="138B03E4"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These findings suggest that cadmium administration may interfere with normal metabolic processes or reduce feed intake, resulting in slower weight gain during the observation period.</w:t>
      </w:r>
      <w:r w:rsidRPr="00FE2FB1">
        <w:object w:dxaOrig="8282" w:dyaOrig="4685" w14:anchorId="5752FD49">
          <v:shape id="1036" o:spid="_x0000_i1027" type="#_x0000_t75" style="width:493.5pt;height:302.25pt;visibility:visible;mso-wrap-distance-left:0;mso-wrap-distance-right:0" o:ole="">
            <v:imagedata r:id="rId14" o:title="" embosscolor="white"/>
          </v:shape>
          <o:OLEObject Type="Embed" ProgID="Prism10.Document" ShapeID="1036" DrawAspect="Content" ObjectID="_1847282775" r:id="rId15"/>
        </w:object>
      </w:r>
      <w:r w:rsidRPr="00FE2FB1">
        <w:rPr>
          <w:rFonts w:ascii="Times New Roman" w:hAnsi="Times New Roman" w:cs="Times New Roman"/>
          <w:b/>
          <w:bCs/>
          <w:sz w:val="24"/>
          <w:szCs w:val="24"/>
        </w:rPr>
        <w:t xml:space="preserve">Figure 5: </w:t>
      </w:r>
      <w:r w:rsidRPr="00FE2FB1">
        <w:rPr>
          <w:rFonts w:ascii="Times New Roman" w:hAnsi="Times New Roman" w:cs="Times New Roman"/>
          <w:sz w:val="24"/>
          <w:szCs w:val="24"/>
        </w:rPr>
        <w:t>Effects of Cadmium administration on daily body weight change in female albino rats over a seven-day period</w:t>
      </w:r>
      <w:r w:rsidRPr="00FE2FB1">
        <w:rPr>
          <w:rFonts w:ascii="Times New Roman" w:hAnsi="Times New Roman" w:cs="Times New Roman"/>
          <w:b/>
          <w:bCs/>
          <w:sz w:val="24"/>
          <w:szCs w:val="24"/>
        </w:rPr>
        <w:t xml:space="preserve"> </w:t>
      </w:r>
    </w:p>
    <w:p w14:paraId="5720EEEF" w14:textId="77777777" w:rsidR="00B33CAF" w:rsidRPr="00FE2FB1" w:rsidRDefault="00B33CAF">
      <w:pPr>
        <w:spacing w:before="240"/>
        <w:jc w:val="both"/>
        <w:rPr>
          <w:rFonts w:ascii="Times New Roman" w:hAnsi="Times New Roman" w:cs="Times New Roman"/>
          <w:b/>
          <w:bCs/>
          <w:sz w:val="24"/>
          <w:szCs w:val="24"/>
          <w:u w:val="single"/>
        </w:rPr>
      </w:pPr>
    </w:p>
    <w:p w14:paraId="257B2E01" w14:textId="77777777" w:rsidR="00B33CAF" w:rsidRPr="00FE2FB1" w:rsidRDefault="00B33CAF">
      <w:pPr>
        <w:spacing w:before="240"/>
        <w:jc w:val="both"/>
        <w:rPr>
          <w:rFonts w:ascii="Times New Roman" w:hAnsi="Times New Roman" w:cs="Times New Roman"/>
          <w:b/>
          <w:bCs/>
          <w:sz w:val="24"/>
          <w:szCs w:val="24"/>
          <w:u w:val="single"/>
        </w:rPr>
      </w:pPr>
    </w:p>
    <w:p w14:paraId="01A0946A" w14:textId="77777777" w:rsidR="00B33CAF" w:rsidRPr="00FE2FB1" w:rsidRDefault="00B33CAF">
      <w:pPr>
        <w:spacing w:before="240"/>
        <w:jc w:val="both"/>
        <w:rPr>
          <w:rFonts w:ascii="Times New Roman" w:hAnsi="Times New Roman" w:cs="Times New Roman"/>
          <w:sz w:val="24"/>
          <w:szCs w:val="24"/>
        </w:rPr>
      </w:pPr>
    </w:p>
    <w:p w14:paraId="086A54E4" w14:textId="77777777" w:rsidR="00B33CAF" w:rsidRPr="00FE2FB1" w:rsidRDefault="00B33CAF">
      <w:pPr>
        <w:spacing w:before="240"/>
        <w:jc w:val="both"/>
        <w:rPr>
          <w:rFonts w:ascii="Times New Roman" w:hAnsi="Times New Roman" w:cs="Times New Roman"/>
          <w:b/>
          <w:bCs/>
          <w:sz w:val="24"/>
          <w:szCs w:val="24"/>
          <w:u w:val="single"/>
        </w:rPr>
      </w:pPr>
    </w:p>
    <w:p w14:paraId="72477303" w14:textId="77777777" w:rsidR="00B33CAF" w:rsidRPr="00FE2FB1" w:rsidRDefault="00AB4191">
      <w:pPr>
        <w:spacing w:before="240"/>
        <w:jc w:val="both"/>
        <w:rPr>
          <w:rFonts w:ascii="Times New Roman" w:hAnsi="Times New Roman" w:cs="Times New Roman"/>
          <w:b/>
          <w:bCs/>
          <w:sz w:val="24"/>
          <w:szCs w:val="24"/>
        </w:rPr>
      </w:pPr>
      <w:r w:rsidRPr="00FE2FB1">
        <w:rPr>
          <w:rFonts w:ascii="Times New Roman" w:hAnsi="Times New Roman" w:cs="Times New Roman"/>
          <w:b/>
          <w:bCs/>
          <w:sz w:val="24"/>
          <w:szCs w:val="24"/>
        </w:rPr>
        <w:lastRenderedPageBreak/>
        <w:t>Cadmium administration significantly reduced total white blood cell count</w:t>
      </w:r>
    </w:p>
    <w:p w14:paraId="3A142AAC"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 xml:space="preserve">Figure 6 shows the effect of cadmium toxicity on total white blood cell (WBC) count in female albino rats. The group treated with </w:t>
      </w:r>
      <w:r w:rsidRPr="00FE2FB1">
        <w:rPr>
          <w:rFonts w:ascii="Times New Roman" w:hAnsi="Times New Roman" w:cs="Times New Roman"/>
          <w:b/>
          <w:bCs/>
          <w:sz w:val="24"/>
          <w:szCs w:val="24"/>
        </w:rPr>
        <w:t xml:space="preserve">3 mg/kg cadmium </w:t>
      </w:r>
      <w:r w:rsidRPr="00FE2FB1">
        <w:rPr>
          <w:rFonts w:ascii="Times New Roman" w:hAnsi="Times New Roman" w:cs="Times New Roman"/>
          <w:sz w:val="24"/>
          <w:szCs w:val="24"/>
        </w:rPr>
        <w:t xml:space="preserve">showed a significant (p &lt; 0.05) reduction in total WBC count compared with the </w:t>
      </w:r>
      <w:r w:rsidRPr="00FE2FB1">
        <w:rPr>
          <w:rFonts w:ascii="Times New Roman" w:hAnsi="Times New Roman" w:cs="Times New Roman"/>
          <w:b/>
          <w:bCs/>
          <w:sz w:val="24"/>
          <w:szCs w:val="24"/>
        </w:rPr>
        <w:t>control</w:t>
      </w:r>
      <w:r w:rsidRPr="00FE2FB1">
        <w:rPr>
          <w:rFonts w:ascii="Times New Roman" w:hAnsi="Times New Roman" w:cs="Times New Roman"/>
          <w:sz w:val="24"/>
          <w:szCs w:val="24"/>
        </w:rPr>
        <w:t xml:space="preserve"> group.</w:t>
      </w:r>
    </w:p>
    <w:p w14:paraId="32B5CBFF"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The mean total WBC count was approximately 16 × 10⁹/µL in the control group and approximately 12.5 × 10</w:t>
      </w:r>
      <w:r w:rsidRPr="00FE2FB1">
        <w:rPr>
          <w:rFonts w:ascii="Times New Roman" w:hAnsi="Times New Roman" w:cs="Times New Roman"/>
          <w:sz w:val="24"/>
          <w:szCs w:val="24"/>
          <w:vertAlign w:val="superscript"/>
        </w:rPr>
        <w:t>⁹</w:t>
      </w:r>
      <w:r w:rsidRPr="00FE2FB1">
        <w:rPr>
          <w:rFonts w:ascii="Times New Roman" w:hAnsi="Times New Roman" w:cs="Times New Roman"/>
          <w:sz w:val="24"/>
          <w:szCs w:val="24"/>
        </w:rPr>
        <w:t>/µL in the cadmium-treated group. This significant reduction indicates that cadmium exposure was associated with a lower circulating WBC count under the conditions of the study.</w:t>
      </w:r>
    </w:p>
    <w:p w14:paraId="035FC25E" w14:textId="77777777" w:rsidR="00B33CAF" w:rsidRPr="00FE2FB1" w:rsidRDefault="00000000">
      <w:pPr>
        <w:spacing w:before="240"/>
        <w:jc w:val="both"/>
        <w:rPr>
          <w:rFonts w:ascii="Times New Roman" w:hAnsi="Times New Roman" w:cs="Times New Roman"/>
          <w:b/>
          <w:bCs/>
          <w:sz w:val="24"/>
          <w:szCs w:val="24"/>
          <w:u w:val="single"/>
        </w:rPr>
      </w:pPr>
      <w:r>
        <w:rPr>
          <w:rFonts w:ascii="Times New Roman" w:hAnsi="Times New Roman" w:cs="Times New Roman"/>
          <w:noProof/>
          <w:sz w:val="24"/>
          <w:szCs w:val="24"/>
        </w:rPr>
        <w:pict w14:anchorId="25CBCEEF">
          <v:shape id="1038" o:spid="_x0000_s1028" type="#_x0000_t202" style="position:absolute;left:0;text-align:left;margin-left:111.8pt;margin-top:85.2pt;width:26.4pt;height:22.2pt;z-index:7;visibility:visible;mso-wrap-distance-left:0;mso-wrap-distance-right:0;mso-position-horizontal-relative:text;mso-position-vertical-relative:text;mso-width-relative:page;mso-height-relative:page" stroked="f">
            <v:textbox>
              <w:txbxContent>
                <w:p w14:paraId="1094A8F2" w14:textId="77777777" w:rsidR="00B33CAF" w:rsidRDefault="00AB4191">
                  <w:pPr>
                    <w:rPr>
                      <w:b/>
                      <w:bCs/>
                      <w:sz w:val="36"/>
                      <w:szCs w:val="36"/>
                    </w:rPr>
                  </w:pPr>
                  <w:r>
                    <w:rPr>
                      <w:rFonts w:ascii="Yu Mincho Light" w:eastAsia="Yu Mincho Light" w:hAnsi="Yu Mincho Light" w:hint="eastAsia"/>
                      <w:b/>
                      <w:bCs/>
                      <w:sz w:val="36"/>
                      <w:szCs w:val="36"/>
                    </w:rPr>
                    <w:t>*</w:t>
                  </w:r>
                </w:p>
              </w:txbxContent>
            </v:textbox>
          </v:shape>
        </w:pict>
      </w:r>
      <w:r w:rsidR="00AB4191" w:rsidRPr="00FE2FB1">
        <w:object w:dxaOrig="5666" w:dyaOrig="5849" w14:anchorId="16CE7281">
          <v:shape id="1039" o:spid="_x0000_i1028" type="#_x0000_t75" style="width:282.75pt;height:289.5pt;visibility:visible;mso-wrap-distance-left:0;mso-wrap-distance-right:0" o:ole="">
            <v:imagedata r:id="rId16" o:title="" embosscolor="white"/>
          </v:shape>
          <o:OLEObject Type="Embed" ProgID="Prism10.Document" ShapeID="1039" DrawAspect="Content" ObjectID="_1847282776" r:id="rId17"/>
        </w:object>
      </w:r>
    </w:p>
    <w:p w14:paraId="0BB043A1" w14:textId="77777777" w:rsidR="00B33CAF" w:rsidRPr="00FE2FB1" w:rsidRDefault="00AB4191">
      <w:pPr>
        <w:spacing w:before="240"/>
        <w:jc w:val="both"/>
        <w:rPr>
          <w:rFonts w:ascii="Times New Roman" w:hAnsi="Times New Roman" w:cs="Times New Roman"/>
          <w:b/>
          <w:bCs/>
          <w:sz w:val="24"/>
          <w:szCs w:val="24"/>
          <w:u w:val="single"/>
        </w:rPr>
      </w:pPr>
      <w:r w:rsidRPr="00FE2FB1">
        <w:rPr>
          <w:rFonts w:ascii="Times New Roman" w:hAnsi="Times New Roman" w:cs="Times New Roman"/>
          <w:b/>
          <w:bCs/>
          <w:sz w:val="24"/>
          <w:szCs w:val="24"/>
        </w:rPr>
        <w:t xml:space="preserve">Figure 6: </w:t>
      </w:r>
      <w:r w:rsidRPr="00FE2FB1">
        <w:rPr>
          <w:rFonts w:ascii="Times New Roman" w:hAnsi="Times New Roman" w:cs="Times New Roman"/>
          <w:sz w:val="24"/>
          <w:szCs w:val="24"/>
        </w:rPr>
        <w:t>Effect of Cadmium on Total White Blood Cell Count. Data are expressed as mean ± SEM (n = 5). Statistical analysis was performed using unpaired Student’s t-test. *p &lt; 0.05 was considered statistically significant.</w:t>
      </w:r>
    </w:p>
    <w:p w14:paraId="041F22CD" w14:textId="77777777" w:rsidR="00B33CAF" w:rsidRPr="00FE2FB1" w:rsidRDefault="00B33CAF">
      <w:pPr>
        <w:spacing w:before="240"/>
        <w:jc w:val="both"/>
        <w:rPr>
          <w:rFonts w:ascii="Times New Roman" w:hAnsi="Times New Roman" w:cs="Times New Roman"/>
          <w:b/>
          <w:bCs/>
          <w:sz w:val="24"/>
          <w:szCs w:val="24"/>
          <w:u w:val="single"/>
        </w:rPr>
      </w:pPr>
    </w:p>
    <w:p w14:paraId="3986C580" w14:textId="77777777" w:rsidR="00B33CAF" w:rsidRPr="00FE2FB1" w:rsidRDefault="00B33CAF">
      <w:pPr>
        <w:spacing w:before="240"/>
        <w:jc w:val="both"/>
        <w:rPr>
          <w:rFonts w:ascii="Times New Roman" w:hAnsi="Times New Roman" w:cs="Times New Roman"/>
          <w:b/>
          <w:bCs/>
          <w:sz w:val="24"/>
          <w:szCs w:val="24"/>
          <w:u w:val="single"/>
        </w:rPr>
      </w:pPr>
    </w:p>
    <w:p w14:paraId="02538DBB" w14:textId="77777777" w:rsidR="00B33CAF" w:rsidRPr="00FE2FB1" w:rsidRDefault="00B33CAF">
      <w:pPr>
        <w:spacing w:before="240"/>
        <w:jc w:val="both"/>
        <w:rPr>
          <w:rFonts w:ascii="Times New Roman" w:hAnsi="Times New Roman" w:cs="Times New Roman"/>
          <w:b/>
          <w:bCs/>
          <w:sz w:val="24"/>
          <w:szCs w:val="24"/>
          <w:u w:val="single"/>
        </w:rPr>
      </w:pPr>
    </w:p>
    <w:p w14:paraId="5A70E452" w14:textId="77777777" w:rsidR="00B33CAF" w:rsidRPr="00FE2FB1" w:rsidRDefault="00B33CAF">
      <w:pPr>
        <w:spacing w:before="240"/>
        <w:jc w:val="both"/>
        <w:rPr>
          <w:rFonts w:ascii="Times New Roman" w:hAnsi="Times New Roman" w:cs="Times New Roman"/>
          <w:b/>
          <w:bCs/>
          <w:sz w:val="24"/>
          <w:szCs w:val="24"/>
          <w:u w:val="single"/>
        </w:rPr>
      </w:pPr>
    </w:p>
    <w:p w14:paraId="37F41022" w14:textId="77777777" w:rsidR="00B33CAF" w:rsidRPr="00FE2FB1" w:rsidRDefault="00B33CAF">
      <w:pPr>
        <w:spacing w:before="240"/>
        <w:jc w:val="both"/>
        <w:rPr>
          <w:rFonts w:ascii="Times New Roman" w:hAnsi="Times New Roman" w:cs="Times New Roman"/>
          <w:b/>
          <w:bCs/>
          <w:sz w:val="24"/>
          <w:szCs w:val="24"/>
          <w:u w:val="single"/>
        </w:rPr>
      </w:pPr>
    </w:p>
    <w:p w14:paraId="291BB9E0" w14:textId="77777777" w:rsidR="00B33CAF" w:rsidRPr="00FE2FB1" w:rsidRDefault="00AB4191">
      <w:pPr>
        <w:spacing w:before="240"/>
        <w:rPr>
          <w:rFonts w:ascii="Times New Roman" w:hAnsi="Times New Roman" w:cs="Times New Roman"/>
          <w:b/>
          <w:bCs/>
          <w:sz w:val="24"/>
          <w:szCs w:val="24"/>
        </w:rPr>
      </w:pPr>
      <w:r w:rsidRPr="00FE2FB1">
        <w:rPr>
          <w:rFonts w:ascii="Times New Roman" w:hAnsi="Times New Roman" w:cs="Times New Roman"/>
          <w:b/>
          <w:bCs/>
          <w:sz w:val="24"/>
          <w:szCs w:val="24"/>
        </w:rPr>
        <w:lastRenderedPageBreak/>
        <w:t>Effect of cadmium on differential white blood cell counts</w:t>
      </w:r>
    </w:p>
    <w:p w14:paraId="27B691D4"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Unlike the total WBC count, most differential leukocyte percentages remained similar between the control and treated groups. No statistically significant changes were observed in neutrophil, lymphocyte or monocyte percentages. Eosinophil percentage was lower in the cadmium-treated group than in the control group, and basophil percentage showed a similar downward trend; however, these differences were not statistically significant.</w:t>
      </w:r>
    </w:p>
    <w:p w14:paraId="2205487C" w14:textId="77777777" w:rsidR="00696FE8" w:rsidRPr="00FE2FB1" w:rsidRDefault="00696FE8">
      <w:pPr>
        <w:spacing w:before="240"/>
        <w:jc w:val="both"/>
        <w:rPr>
          <w:rFonts w:ascii="Times New Roman" w:hAnsi="Times New Roman" w:cs="Times New Roman"/>
          <w:sz w:val="24"/>
          <w:szCs w:val="24"/>
        </w:rPr>
      </w:pPr>
    </w:p>
    <w:p w14:paraId="3FBA880D" w14:textId="77777777" w:rsidR="00696FE8" w:rsidRPr="00FE2FB1" w:rsidRDefault="00696FE8">
      <w:pPr>
        <w:spacing w:before="240"/>
        <w:jc w:val="both"/>
        <w:rPr>
          <w:rFonts w:ascii="Times New Roman" w:hAnsi="Times New Roman" w:cs="Times New Roman"/>
          <w:sz w:val="24"/>
          <w:szCs w:val="24"/>
        </w:rPr>
      </w:pPr>
      <w:r w:rsidRPr="00FE2FB1">
        <w:rPr>
          <w:rFonts w:ascii="Times New Roman" w:hAnsi="Times New Roman" w:cs="Times New Roman"/>
          <w:b/>
          <w:bCs/>
          <w:sz w:val="24"/>
          <w:szCs w:val="24"/>
        </w:rPr>
        <w:t xml:space="preserve">Figure </w:t>
      </w:r>
      <w:proofErr w:type="gramStart"/>
      <w:r w:rsidRPr="00FE2FB1">
        <w:rPr>
          <w:rFonts w:ascii="Times New Roman" w:hAnsi="Times New Roman" w:cs="Times New Roman"/>
          <w:b/>
          <w:bCs/>
          <w:sz w:val="24"/>
          <w:szCs w:val="24"/>
        </w:rPr>
        <w:t xml:space="preserve">7 </w:t>
      </w:r>
      <w:r w:rsidRPr="00FE2FB1">
        <w:rPr>
          <w:rFonts w:ascii="Times New Roman" w:hAnsi="Times New Roman" w:cs="Times New Roman"/>
          <w:sz w:val="24"/>
          <w:szCs w:val="24"/>
        </w:rPr>
        <w:t>:</w:t>
      </w:r>
      <w:proofErr w:type="gramEnd"/>
      <w:r w:rsidRPr="00FE2FB1">
        <w:rPr>
          <w:rFonts w:ascii="Times New Roman" w:hAnsi="Times New Roman" w:cs="Times New Roman"/>
          <w:sz w:val="24"/>
          <w:szCs w:val="24"/>
        </w:rPr>
        <w:t xml:space="preserve"> The impact of </w:t>
      </w:r>
      <w:r w:rsidRPr="00FE2FB1">
        <w:rPr>
          <w:rFonts w:ascii="Times New Roman" w:hAnsi="Times New Roman" w:cs="Times New Roman"/>
          <w:b/>
          <w:bCs/>
          <w:sz w:val="24"/>
          <w:szCs w:val="24"/>
        </w:rPr>
        <w:t xml:space="preserve">3 mg Cadmium </w:t>
      </w:r>
      <w:r w:rsidRPr="00FE2FB1">
        <w:rPr>
          <w:rFonts w:ascii="Times New Roman" w:hAnsi="Times New Roman" w:cs="Times New Roman"/>
          <w:sz w:val="24"/>
          <w:szCs w:val="24"/>
        </w:rPr>
        <w:t>on the various subsets of white blood cells.</w:t>
      </w:r>
    </w:p>
    <w:p w14:paraId="72022DBE" w14:textId="77777777" w:rsidR="00B33CAF" w:rsidRPr="00FE2FB1" w:rsidRDefault="00AB4191">
      <w:pPr>
        <w:spacing w:before="240"/>
        <w:jc w:val="both"/>
        <w:rPr>
          <w:rFonts w:ascii="Times New Roman" w:hAnsi="Times New Roman" w:cs="Times New Roman"/>
          <w:b/>
          <w:bCs/>
          <w:sz w:val="24"/>
          <w:szCs w:val="24"/>
          <w:u w:val="single"/>
        </w:rPr>
      </w:pPr>
      <w:r w:rsidRPr="00FE2FB1">
        <w:object w:dxaOrig="11592" w:dyaOrig="12242" w14:anchorId="090B83E0">
          <v:shape id="1041" o:spid="_x0000_i1029" type="#_x0000_t75" style="width:468pt;height:494.25pt;visibility:visible;mso-wrap-distance-left:0;mso-wrap-distance-right:0" o:ole="">
            <v:imagedata r:id="rId18" o:title="" embosscolor="white"/>
          </v:shape>
          <o:OLEObject Type="Embed" ProgID="Prism10.Document" ShapeID="1041" DrawAspect="Content" ObjectID="_1847282777" r:id="rId19"/>
        </w:object>
      </w:r>
    </w:p>
    <w:p w14:paraId="58A1B5C0" w14:textId="77777777" w:rsidR="00B33CAF" w:rsidRPr="00FE2FB1" w:rsidRDefault="00AB4191">
      <w:pPr>
        <w:spacing w:before="240"/>
        <w:jc w:val="both"/>
        <w:rPr>
          <w:rFonts w:ascii="Times New Roman" w:hAnsi="Times New Roman" w:cs="Times New Roman"/>
          <w:b/>
          <w:bCs/>
          <w:sz w:val="24"/>
          <w:szCs w:val="24"/>
          <w:u w:val="single"/>
        </w:rPr>
      </w:pPr>
      <w:r w:rsidRPr="00FE2FB1">
        <w:rPr>
          <w:rFonts w:ascii="Times New Roman" w:hAnsi="Times New Roman" w:cs="Times New Roman"/>
          <w:b/>
          <w:bCs/>
          <w:sz w:val="24"/>
          <w:szCs w:val="24"/>
          <w:u w:val="single"/>
        </w:rPr>
        <w:t>DISCUSSION</w:t>
      </w:r>
    </w:p>
    <w:p w14:paraId="4EC67DF6"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In the present study, the effects of cadmium administration on spatial memory, nociceptive processing, body-weight change and immune parameters were investigated in female albino rats. Cadmium is a heavy-metal pollutant that can cross the blood-brain barrier and contribute to oxidative stress and neuronal dysfunction.</w:t>
      </w:r>
    </w:p>
    <w:p w14:paraId="2FDB1FD5"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 xml:space="preserve">The Y-maze test was used to evaluate the effects of cadmium on spatial working memory and exploratory </w:t>
      </w:r>
      <w:proofErr w:type="spellStart"/>
      <w:r w:rsidRPr="00FE2FB1">
        <w:rPr>
          <w:rFonts w:ascii="Times New Roman" w:hAnsi="Times New Roman" w:cs="Times New Roman"/>
          <w:sz w:val="24"/>
          <w:szCs w:val="24"/>
        </w:rPr>
        <w:t>behaviour</w:t>
      </w:r>
      <w:proofErr w:type="spellEnd"/>
      <w:r w:rsidRPr="00FE2FB1">
        <w:rPr>
          <w:rFonts w:ascii="Times New Roman" w:hAnsi="Times New Roman" w:cs="Times New Roman"/>
          <w:sz w:val="24"/>
          <w:szCs w:val="24"/>
        </w:rPr>
        <w:t xml:space="preserve">. This </w:t>
      </w:r>
      <w:proofErr w:type="spellStart"/>
      <w:r w:rsidRPr="00FE2FB1">
        <w:rPr>
          <w:rFonts w:ascii="Times New Roman" w:hAnsi="Times New Roman" w:cs="Times New Roman"/>
          <w:sz w:val="24"/>
          <w:szCs w:val="24"/>
        </w:rPr>
        <w:t>behavioural</w:t>
      </w:r>
      <w:proofErr w:type="spellEnd"/>
      <w:r w:rsidRPr="00FE2FB1">
        <w:rPr>
          <w:rFonts w:ascii="Times New Roman" w:hAnsi="Times New Roman" w:cs="Times New Roman"/>
          <w:sz w:val="24"/>
          <w:szCs w:val="24"/>
        </w:rPr>
        <w:t xml:space="preserve"> assessment relies on rodents’ innate tendency to explore </w:t>
      </w:r>
      <w:r w:rsidRPr="00FE2FB1">
        <w:rPr>
          <w:rFonts w:ascii="Times New Roman" w:hAnsi="Times New Roman" w:cs="Times New Roman"/>
          <w:sz w:val="24"/>
          <w:szCs w:val="24"/>
        </w:rPr>
        <w:lastRenderedPageBreak/>
        <w:t xml:space="preserve">novel environments. Cadmium administration produced a dose-dependent decrease in both arm entries and spontaneous alternation percentage. The significant reduction in arm entries in the </w:t>
      </w:r>
      <w:r w:rsidRPr="00FE2FB1">
        <w:rPr>
          <w:rFonts w:ascii="Times New Roman" w:hAnsi="Times New Roman" w:cs="Times New Roman"/>
          <w:b/>
          <w:bCs/>
          <w:sz w:val="24"/>
          <w:szCs w:val="24"/>
        </w:rPr>
        <w:t xml:space="preserve">3 mg/kg </w:t>
      </w:r>
      <w:r w:rsidRPr="00FE2FB1">
        <w:rPr>
          <w:rFonts w:ascii="Times New Roman" w:hAnsi="Times New Roman" w:cs="Times New Roman"/>
          <w:sz w:val="24"/>
          <w:szCs w:val="24"/>
        </w:rPr>
        <w:t>group indicates reduced locomotor or exploratory activity. The decline in percentage alternation also indicates poorer spatial working-memory performance in the treated groups.</w:t>
      </w:r>
    </w:p>
    <w:p w14:paraId="04610394"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 xml:space="preserve">The </w:t>
      </w:r>
      <w:r w:rsidRPr="00FE2FB1">
        <w:rPr>
          <w:rFonts w:ascii="Times New Roman" w:hAnsi="Times New Roman" w:cs="Times New Roman"/>
          <w:b/>
          <w:bCs/>
          <w:sz w:val="24"/>
          <w:szCs w:val="24"/>
        </w:rPr>
        <w:t>formalin test</w:t>
      </w:r>
      <w:r w:rsidRPr="00FE2FB1">
        <w:rPr>
          <w:rFonts w:ascii="Times New Roman" w:hAnsi="Times New Roman" w:cs="Times New Roman"/>
          <w:sz w:val="24"/>
          <w:szCs w:val="24"/>
        </w:rPr>
        <w:t xml:space="preserve"> was used to differentiate between neurogenic and inflammatory pain responses. Cadmium administration altered the </w:t>
      </w:r>
      <w:proofErr w:type="spellStart"/>
      <w:r w:rsidRPr="00FE2FB1">
        <w:rPr>
          <w:rFonts w:ascii="Times New Roman" w:hAnsi="Times New Roman" w:cs="Times New Roman"/>
          <w:sz w:val="24"/>
          <w:szCs w:val="24"/>
        </w:rPr>
        <w:t>behavioural</w:t>
      </w:r>
      <w:proofErr w:type="spellEnd"/>
      <w:r w:rsidRPr="00FE2FB1">
        <w:rPr>
          <w:rFonts w:ascii="Times New Roman" w:hAnsi="Times New Roman" w:cs="Times New Roman"/>
          <w:sz w:val="24"/>
          <w:szCs w:val="24"/>
        </w:rPr>
        <w:t xml:space="preserve"> response to noxious stimulation. During the early phase (0–5 minutes), which represents direct nociceptor activation, licking/biting time decreased, but the difference was not statistically significant. During the late phase (15–30 minutes), which represents inflammatory pain, both cadmium doses produced </w:t>
      </w:r>
      <w:r w:rsidRPr="00FE2FB1">
        <w:rPr>
          <w:rFonts w:ascii="Times New Roman" w:hAnsi="Times New Roman" w:cs="Times New Roman"/>
          <w:b/>
          <w:bCs/>
          <w:sz w:val="24"/>
          <w:szCs w:val="24"/>
        </w:rPr>
        <w:t xml:space="preserve">significant (p &lt; 0.05) reductions </w:t>
      </w:r>
      <w:r w:rsidRPr="00FE2FB1">
        <w:rPr>
          <w:rFonts w:ascii="Times New Roman" w:hAnsi="Times New Roman" w:cs="Times New Roman"/>
          <w:sz w:val="24"/>
          <w:szCs w:val="24"/>
        </w:rPr>
        <w:t xml:space="preserve">in pain-related </w:t>
      </w:r>
      <w:proofErr w:type="spellStart"/>
      <w:r w:rsidRPr="00FE2FB1">
        <w:rPr>
          <w:rFonts w:ascii="Times New Roman" w:hAnsi="Times New Roman" w:cs="Times New Roman"/>
          <w:sz w:val="24"/>
          <w:szCs w:val="24"/>
        </w:rPr>
        <w:t>behaviour</w:t>
      </w:r>
      <w:proofErr w:type="spellEnd"/>
      <w:r w:rsidRPr="00FE2FB1">
        <w:rPr>
          <w:rFonts w:ascii="Times New Roman" w:hAnsi="Times New Roman" w:cs="Times New Roman"/>
          <w:sz w:val="24"/>
          <w:szCs w:val="24"/>
        </w:rPr>
        <w:t xml:space="preserve"> compared with the control.</w:t>
      </w:r>
    </w:p>
    <w:p w14:paraId="18D2E609"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 xml:space="preserve">Reduced pain-related </w:t>
      </w:r>
      <w:proofErr w:type="spellStart"/>
      <w:r w:rsidRPr="00FE2FB1">
        <w:rPr>
          <w:rFonts w:ascii="Times New Roman" w:hAnsi="Times New Roman" w:cs="Times New Roman"/>
          <w:sz w:val="24"/>
          <w:szCs w:val="24"/>
        </w:rPr>
        <w:t>behaviour</w:t>
      </w:r>
      <w:proofErr w:type="spellEnd"/>
      <w:r w:rsidRPr="00FE2FB1">
        <w:rPr>
          <w:rFonts w:ascii="Times New Roman" w:hAnsi="Times New Roman" w:cs="Times New Roman"/>
          <w:sz w:val="24"/>
          <w:szCs w:val="24"/>
        </w:rPr>
        <w:t xml:space="preserve"> is commonly interpreted as antinociception; however, in the context of cadmium exposure, the finding may also reflect toxicity-related changes in sensory or motor processing. The reduced late-phase response suggests that cadmium may have affected inflammatory </w:t>
      </w:r>
      <w:proofErr w:type="spellStart"/>
      <w:r w:rsidRPr="00FE2FB1">
        <w:rPr>
          <w:rFonts w:ascii="Times New Roman" w:hAnsi="Times New Roman" w:cs="Times New Roman"/>
          <w:sz w:val="24"/>
          <w:szCs w:val="24"/>
        </w:rPr>
        <w:t>signalling</w:t>
      </w:r>
      <w:proofErr w:type="spellEnd"/>
      <w:r w:rsidRPr="00FE2FB1">
        <w:rPr>
          <w:rFonts w:ascii="Times New Roman" w:hAnsi="Times New Roman" w:cs="Times New Roman"/>
          <w:sz w:val="24"/>
          <w:szCs w:val="24"/>
        </w:rPr>
        <w:t xml:space="preserve"> or neural pathways involved in persistent pain, although the underlying mechanism was not directly assessed in this study.</w:t>
      </w:r>
    </w:p>
    <w:p w14:paraId="6DCFB39E"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The lower body-weight gain observed in the cadmium-treated groups provides evidence of systemic effects during the seven-day observation period. Failure to gain weight at the same rate as the control group indicates that cadmium exposure affected overall physiological performance rather than a single measured outcome.</w:t>
      </w:r>
    </w:p>
    <w:p w14:paraId="542AB81F"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 xml:space="preserve">Cadmium may affect nutrient </w:t>
      </w:r>
      <w:proofErr w:type="spellStart"/>
      <w:r w:rsidRPr="00FE2FB1">
        <w:rPr>
          <w:rFonts w:ascii="Times New Roman" w:hAnsi="Times New Roman" w:cs="Times New Roman"/>
          <w:sz w:val="24"/>
          <w:szCs w:val="24"/>
        </w:rPr>
        <w:t>utilisation</w:t>
      </w:r>
      <w:proofErr w:type="spellEnd"/>
      <w:r w:rsidRPr="00FE2FB1">
        <w:rPr>
          <w:rFonts w:ascii="Times New Roman" w:hAnsi="Times New Roman" w:cs="Times New Roman"/>
          <w:sz w:val="24"/>
          <w:szCs w:val="24"/>
        </w:rPr>
        <w:t>, energy metabolism or food intake, any of which could contribute to reduced weight gain. However, food consumption, gastrointestinal function and metabolic biomarkers were not measured; therefore, the mechanism underlying the lower weight gain cannot be established from the present data.</w:t>
      </w:r>
    </w:p>
    <w:p w14:paraId="05E663B1"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The separation in weight gain between the control and treated groups became more apparent from Day 3 onwards, suggesting a time-dependent response during the observation period. However, tissue cadmium accumulation was not measured, and the observed pattern should not be interpreted as direct evidence of cumulative tissue burden.</w:t>
      </w:r>
    </w:p>
    <w:p w14:paraId="728B3C63"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 xml:space="preserve">The assessment of cadmium toxicity on immune parameters showed leukopenia, </w:t>
      </w:r>
      <w:proofErr w:type="spellStart"/>
      <w:r w:rsidRPr="00FE2FB1">
        <w:rPr>
          <w:rFonts w:ascii="Times New Roman" w:hAnsi="Times New Roman" w:cs="Times New Roman"/>
          <w:sz w:val="24"/>
          <w:szCs w:val="24"/>
        </w:rPr>
        <w:t>characterised</w:t>
      </w:r>
      <w:proofErr w:type="spellEnd"/>
      <w:r w:rsidRPr="00FE2FB1">
        <w:rPr>
          <w:rFonts w:ascii="Times New Roman" w:hAnsi="Times New Roman" w:cs="Times New Roman"/>
          <w:sz w:val="24"/>
          <w:szCs w:val="24"/>
        </w:rPr>
        <w:t xml:space="preserve"> by a significant (p &lt; 0.05) reduction in total WBC count. White blood cells are central components of immune </w:t>
      </w:r>
      <w:proofErr w:type="spellStart"/>
      <w:r w:rsidRPr="00FE2FB1">
        <w:rPr>
          <w:rFonts w:ascii="Times New Roman" w:hAnsi="Times New Roman" w:cs="Times New Roman"/>
          <w:sz w:val="24"/>
          <w:szCs w:val="24"/>
        </w:rPr>
        <w:t>defence</w:t>
      </w:r>
      <w:proofErr w:type="spellEnd"/>
      <w:r w:rsidRPr="00FE2FB1">
        <w:rPr>
          <w:rFonts w:ascii="Times New Roman" w:hAnsi="Times New Roman" w:cs="Times New Roman"/>
          <w:sz w:val="24"/>
          <w:szCs w:val="24"/>
        </w:rPr>
        <w:t xml:space="preserve"> against pathogens and foreign materials. The lower total count in the 3 mg/kg cadmium group indicates that cadmium administration was associated with suppression of circulating leukocyte numbers.</w:t>
      </w:r>
    </w:p>
    <w:p w14:paraId="62989FEB"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 xml:space="preserve">To further </w:t>
      </w:r>
      <w:proofErr w:type="spellStart"/>
      <w:r w:rsidRPr="00FE2FB1">
        <w:rPr>
          <w:rFonts w:ascii="Times New Roman" w:hAnsi="Times New Roman" w:cs="Times New Roman"/>
          <w:sz w:val="24"/>
          <w:szCs w:val="24"/>
        </w:rPr>
        <w:t>characterise</w:t>
      </w:r>
      <w:proofErr w:type="spellEnd"/>
      <w:r w:rsidRPr="00FE2FB1">
        <w:rPr>
          <w:rFonts w:ascii="Times New Roman" w:hAnsi="Times New Roman" w:cs="Times New Roman"/>
          <w:sz w:val="24"/>
          <w:szCs w:val="24"/>
        </w:rPr>
        <w:t xml:space="preserve"> this reduction, differential white blood cell percentages were assessed. Although total WBC count decreased, the relative percentages of neutrophils, lymphocytes and monocytes remained broadly comparable with those of the control group. Thus, the overall leukocyte number decreased without a marked shift in the proportions of these major cell types. </w:t>
      </w:r>
      <w:r w:rsidRPr="00FE2FB1">
        <w:rPr>
          <w:rFonts w:ascii="Times New Roman" w:hAnsi="Times New Roman" w:cs="Times New Roman"/>
          <w:sz w:val="24"/>
          <w:szCs w:val="24"/>
        </w:rPr>
        <w:lastRenderedPageBreak/>
        <w:t>The downward trends in eosinophil and basophil percentages were not statistically significant but may warrant further investigation.</w:t>
      </w:r>
    </w:p>
    <w:p w14:paraId="143BE140"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Together, the concurrent changes in spatial working-memory performance, body-weight gain and total WBC count indicate effects across several measured physiological systems. However, the study design does not establish causal relationships among these outcomes. The findings therefore support a cautious interpretation that cadmium administration produced multisystem changes under the experimental conditions.</w:t>
      </w:r>
    </w:p>
    <w:p w14:paraId="583D16C9" w14:textId="77777777" w:rsidR="00B33CAF" w:rsidRPr="00FE2FB1" w:rsidRDefault="00AB4191">
      <w:pPr>
        <w:spacing w:before="240"/>
        <w:jc w:val="both"/>
        <w:rPr>
          <w:rFonts w:ascii="Times New Roman" w:hAnsi="Times New Roman" w:cs="Times New Roman"/>
          <w:b/>
          <w:bCs/>
          <w:sz w:val="24"/>
          <w:szCs w:val="24"/>
          <w:u w:val="single"/>
        </w:rPr>
      </w:pPr>
      <w:r w:rsidRPr="00FE2FB1">
        <w:rPr>
          <w:rFonts w:ascii="Times New Roman" w:hAnsi="Times New Roman" w:cs="Times New Roman"/>
          <w:b/>
          <w:bCs/>
          <w:sz w:val="24"/>
          <w:szCs w:val="24"/>
          <w:u w:val="single"/>
        </w:rPr>
        <w:t>CONCLUSION</w:t>
      </w:r>
    </w:p>
    <w:p w14:paraId="30CC8CB8" w14:textId="6324AA27" w:rsidR="00B33CAF" w:rsidRPr="00FE2FB1" w:rsidRDefault="004F4769" w:rsidP="000848C4">
      <w:pPr>
        <w:spacing w:before="240"/>
        <w:jc w:val="both"/>
        <w:rPr>
          <w:rFonts w:ascii="Times New Roman" w:hAnsi="Times New Roman" w:cs="Times New Roman"/>
          <w:b/>
          <w:bCs/>
          <w:sz w:val="24"/>
          <w:szCs w:val="24"/>
          <w:u w:val="single"/>
        </w:rPr>
      </w:pPr>
      <w:r w:rsidRPr="00FE2FB1">
        <w:t xml:space="preserve">This study indicates that a single intraperitoneal administration of cadmium at 2 or 3 mg/kg produced measurable </w:t>
      </w:r>
      <w:proofErr w:type="spellStart"/>
      <w:r w:rsidRPr="00FE2FB1">
        <w:t>behavioural</w:t>
      </w:r>
      <w:proofErr w:type="spellEnd"/>
      <w:r w:rsidRPr="00FE2FB1">
        <w:t xml:space="preserve">, </w:t>
      </w:r>
      <w:proofErr w:type="spellStart"/>
      <w:r w:rsidRPr="00FE2FB1">
        <w:t>haematological</w:t>
      </w:r>
      <w:proofErr w:type="spellEnd"/>
      <w:r w:rsidRPr="00FE2FB1">
        <w:t xml:space="preserve"> and body-weight changes in female albino rats during a seven-day observation period. Cadmium-treated animals showed fewer Y-maze arm entries and lower spontaneous alternation percentages, indicating reduced exploratory activity and poorer spatial working-memory performance. In the formalin test, licking and biting durations declined in both treatment groups, with statistically significant reductions during the late inflammatory phase. This pattern suggests that cadmium exposure altered pain-related </w:t>
      </w:r>
      <w:proofErr w:type="spellStart"/>
      <w:r w:rsidRPr="00FE2FB1">
        <w:t>behavioural</w:t>
      </w:r>
      <w:proofErr w:type="spellEnd"/>
      <w:r w:rsidRPr="00FE2FB1">
        <w:t xml:space="preserve"> processing, although the study did not establish the underlying mechanism. The 3 mg/kg group also showed a significant reduction in total white blood cell count, while the relative proportions of most differential leukocyte populations remained broadly similar to those of the control group. Cadmium-treated rats gained less body weight than controls. Taken together, these findings suggest that cadmium administration affected several measured physiological systems. Larger studies with additional dose levels, longer observation periods and mechanistic assessments are required to confirm these observations and define their biological basis.</w:t>
      </w:r>
    </w:p>
    <w:p w14:paraId="323F3C65" w14:textId="77777777" w:rsidR="00B33CAF" w:rsidRPr="00FE2FB1" w:rsidRDefault="00AB4191">
      <w:pPr>
        <w:spacing w:before="240"/>
        <w:ind w:left="720" w:hanging="720"/>
        <w:jc w:val="both"/>
        <w:rPr>
          <w:rFonts w:ascii="Times New Roman" w:hAnsi="Times New Roman" w:cs="Times New Roman"/>
          <w:b/>
          <w:bCs/>
          <w:sz w:val="24"/>
          <w:szCs w:val="24"/>
          <w:u w:val="single"/>
        </w:rPr>
      </w:pPr>
      <w:r w:rsidRPr="00FE2FB1">
        <w:rPr>
          <w:rFonts w:ascii="Times New Roman" w:hAnsi="Times New Roman" w:cs="Times New Roman"/>
          <w:b/>
          <w:bCs/>
          <w:sz w:val="24"/>
          <w:szCs w:val="24"/>
          <w:u w:val="single"/>
        </w:rPr>
        <w:t>Limitation of this study</w:t>
      </w:r>
    </w:p>
    <w:p w14:paraId="3EFCC875" w14:textId="4907FE81" w:rsidR="00B33CAF" w:rsidRPr="00FE2FB1" w:rsidRDefault="00AB4191" w:rsidP="00B3124E">
      <w:pPr>
        <w:spacing w:before="240"/>
        <w:jc w:val="both"/>
        <w:rPr>
          <w:rFonts w:ascii="Times New Roman" w:hAnsi="Times New Roman" w:cs="Times New Roman"/>
          <w:b/>
          <w:bCs/>
          <w:sz w:val="24"/>
          <w:szCs w:val="24"/>
          <w:u w:val="single"/>
        </w:rPr>
      </w:pPr>
      <w:r w:rsidRPr="00FE2FB1">
        <w:rPr>
          <w:rFonts w:ascii="Times New Roman" w:eastAsia="Times New Roman" w:hAnsi="Times New Roman" w:cs="Times New Roman"/>
          <w:sz w:val="24"/>
          <w:szCs w:val="24"/>
        </w:rPr>
        <w:t>The small sample size of five animals per group limited the statistical power of the comparisons.</w:t>
      </w:r>
      <w:r w:rsidR="00B3124E" w:rsidRPr="00FE2FB1">
        <w:rPr>
          <w:rFonts w:ascii="Times New Roman" w:eastAsia="Times New Roman" w:hAnsi="Times New Roman" w:cs="Times New Roman"/>
          <w:sz w:val="24"/>
          <w:szCs w:val="24"/>
        </w:rPr>
        <w:t xml:space="preserve"> </w:t>
      </w:r>
      <w:r w:rsidRPr="00FE2FB1">
        <w:rPr>
          <w:rFonts w:ascii="Times New Roman" w:eastAsia="Times New Roman" w:hAnsi="Times New Roman" w:cs="Times New Roman"/>
          <w:sz w:val="24"/>
          <w:szCs w:val="24"/>
        </w:rPr>
        <w:t xml:space="preserve">The use of only two cadmium doses and a seven-day observation period also restricted robust dose-response and longer-term interpretation. Future studies should include larger cohorts, additional dose levels and longer observation periods to improve the reliability and </w:t>
      </w:r>
      <w:proofErr w:type="spellStart"/>
      <w:r w:rsidRPr="00FE2FB1">
        <w:rPr>
          <w:rFonts w:ascii="Times New Roman" w:eastAsia="Times New Roman" w:hAnsi="Times New Roman" w:cs="Times New Roman"/>
          <w:sz w:val="24"/>
          <w:szCs w:val="24"/>
        </w:rPr>
        <w:t>generalisability</w:t>
      </w:r>
      <w:proofErr w:type="spellEnd"/>
      <w:r w:rsidRPr="00FE2FB1">
        <w:rPr>
          <w:rFonts w:ascii="Times New Roman" w:eastAsia="Times New Roman" w:hAnsi="Times New Roman" w:cs="Times New Roman"/>
          <w:sz w:val="24"/>
          <w:szCs w:val="24"/>
        </w:rPr>
        <w:t xml:space="preserve"> of the findings.</w:t>
      </w:r>
    </w:p>
    <w:p w14:paraId="02A2FB36" w14:textId="77777777" w:rsidR="00B33CAF" w:rsidRPr="00FE2FB1" w:rsidRDefault="00B33CAF">
      <w:pPr>
        <w:spacing w:before="240"/>
        <w:ind w:left="720" w:hanging="720"/>
        <w:jc w:val="both"/>
        <w:rPr>
          <w:rFonts w:ascii="Times New Roman" w:hAnsi="Times New Roman" w:cs="Times New Roman"/>
          <w:b/>
          <w:bCs/>
          <w:sz w:val="24"/>
          <w:szCs w:val="24"/>
          <w:u w:val="single"/>
        </w:rPr>
      </w:pPr>
    </w:p>
    <w:p w14:paraId="418BFDC4" w14:textId="77777777" w:rsidR="00B33CAF" w:rsidRPr="00FE2FB1" w:rsidRDefault="00AB4191">
      <w:pPr>
        <w:spacing w:before="240"/>
        <w:ind w:left="720" w:hanging="720"/>
        <w:jc w:val="both"/>
        <w:rPr>
          <w:rFonts w:ascii="Times New Roman" w:hAnsi="Times New Roman" w:cs="Times New Roman"/>
          <w:b/>
          <w:bCs/>
          <w:sz w:val="24"/>
          <w:szCs w:val="24"/>
          <w:u w:val="single"/>
        </w:rPr>
      </w:pPr>
      <w:r w:rsidRPr="00FE2FB1">
        <w:rPr>
          <w:rFonts w:ascii="Times New Roman" w:hAnsi="Times New Roman" w:cs="Times New Roman"/>
          <w:b/>
          <w:bCs/>
          <w:sz w:val="24"/>
          <w:szCs w:val="24"/>
          <w:u w:val="single"/>
        </w:rPr>
        <w:t>AUTHORS CONTRIBUTION</w:t>
      </w:r>
    </w:p>
    <w:p w14:paraId="3293160F" w14:textId="77777777" w:rsidR="00B33CAF" w:rsidRPr="00FE2FB1" w:rsidRDefault="00AB4191">
      <w:pPr>
        <w:spacing w:before="240"/>
        <w:jc w:val="both"/>
        <w:rPr>
          <w:rFonts w:ascii="Times New Roman" w:hAnsi="Times New Roman" w:cs="Times New Roman"/>
          <w:sz w:val="24"/>
          <w:szCs w:val="24"/>
        </w:rPr>
      </w:pPr>
      <w:r w:rsidRPr="00FE2FB1">
        <w:rPr>
          <w:rFonts w:ascii="Times New Roman" w:hAnsi="Times New Roman" w:cs="Times New Roman"/>
          <w:sz w:val="24"/>
          <w:szCs w:val="24"/>
        </w:rPr>
        <w:t>All authors were involved in the laboratory work, manuscript development and all activities during the research.</w:t>
      </w:r>
    </w:p>
    <w:p w14:paraId="4FC1FD5D" w14:textId="77777777" w:rsidR="00F21BCB" w:rsidRPr="00FE2FB1" w:rsidRDefault="00F21BCB">
      <w:pPr>
        <w:spacing w:before="240"/>
        <w:jc w:val="both"/>
        <w:rPr>
          <w:rFonts w:ascii="Times New Roman" w:hAnsi="Times New Roman" w:cs="Times New Roman"/>
          <w:sz w:val="24"/>
          <w:szCs w:val="24"/>
        </w:rPr>
      </w:pPr>
    </w:p>
    <w:p w14:paraId="6021B04D" w14:textId="77777777" w:rsidR="00783BD2" w:rsidRPr="00FE2FB1" w:rsidRDefault="00783BD2" w:rsidP="00783BD2">
      <w:pPr>
        <w:rPr>
          <w:rFonts w:eastAsiaTheme="minorHAnsi"/>
          <w:b/>
          <w:sz w:val="28"/>
        </w:rPr>
      </w:pPr>
      <w:bookmarkStart w:id="5" w:name="_Hlk205822790"/>
      <w:bookmarkStart w:id="6" w:name="_Hlk229399527"/>
      <w:r w:rsidRPr="00FE2FB1">
        <w:rPr>
          <w:rFonts w:eastAsiaTheme="minorHAnsi"/>
          <w:b/>
          <w:sz w:val="28"/>
        </w:rPr>
        <w:t>Ethical Approval</w:t>
      </w:r>
    </w:p>
    <w:bookmarkEnd w:id="5"/>
    <w:p w14:paraId="077559CF" w14:textId="77777777" w:rsidR="00783BD2" w:rsidRPr="00FE2FB1" w:rsidRDefault="00783BD2" w:rsidP="00783BD2">
      <w:pPr>
        <w:rPr>
          <w:rFonts w:eastAsiaTheme="minorHAnsi"/>
        </w:rPr>
      </w:pPr>
      <w:r w:rsidRPr="00FE2FB1">
        <w:rPr>
          <w:rFonts w:eastAsiaTheme="minorHAnsi"/>
        </w:rPr>
        <w:t>Animal Ethic committee approval has been collected and preserved by the author(s)</w:t>
      </w:r>
    </w:p>
    <w:bookmarkEnd w:id="6"/>
    <w:p w14:paraId="3C0319E4" w14:textId="77777777" w:rsidR="00783BD2" w:rsidRPr="00FE2FB1" w:rsidRDefault="00783BD2" w:rsidP="00783BD2"/>
    <w:p w14:paraId="5E050270" w14:textId="77777777" w:rsidR="00783BD2" w:rsidRPr="00FE2FB1" w:rsidRDefault="00783BD2">
      <w:pPr>
        <w:spacing w:before="240"/>
        <w:jc w:val="both"/>
        <w:rPr>
          <w:rFonts w:ascii="Times New Roman" w:hAnsi="Times New Roman" w:cs="Times New Roman"/>
          <w:sz w:val="24"/>
          <w:szCs w:val="24"/>
        </w:rPr>
      </w:pPr>
    </w:p>
    <w:p w14:paraId="41F00B23" w14:textId="77777777" w:rsidR="00E02209" w:rsidRPr="00FE2FB1" w:rsidRDefault="00E02209" w:rsidP="00E02209">
      <w:pPr>
        <w:pStyle w:val="NoSpacing"/>
        <w:rPr>
          <w:rFonts w:ascii="Arial" w:hAnsi="Arial" w:cs="Arial"/>
          <w:b/>
          <w:bCs/>
        </w:rPr>
      </w:pPr>
      <w:r w:rsidRPr="00FE2FB1">
        <w:rPr>
          <w:rFonts w:ascii="Arial" w:hAnsi="Arial" w:cs="Arial"/>
          <w:b/>
          <w:bCs/>
        </w:rPr>
        <w:t>Declaration of AI Use</w:t>
      </w:r>
    </w:p>
    <w:p w14:paraId="7BED4F60" w14:textId="30E82172" w:rsidR="00F21BCB" w:rsidRPr="00FE2FB1" w:rsidRDefault="00E02209" w:rsidP="00E02209">
      <w:pPr>
        <w:pStyle w:val="NoSpacing"/>
        <w:rPr>
          <w:rFonts w:ascii="Arial" w:hAnsi="Arial" w:cs="Arial"/>
        </w:rPr>
      </w:pPr>
      <w:r w:rsidRPr="00FE2FB1">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A0B1387" w14:textId="77777777" w:rsidR="00F21BCB" w:rsidRPr="00FE2FB1" w:rsidRDefault="00F21BCB" w:rsidP="00F21BCB">
      <w:pPr>
        <w:pStyle w:val="NoSpacing"/>
        <w:rPr>
          <w:rFonts w:ascii="Arial" w:hAnsi="Arial" w:cs="Arial"/>
        </w:rPr>
      </w:pPr>
    </w:p>
    <w:p w14:paraId="75F91368" w14:textId="77777777" w:rsidR="00F21BCB" w:rsidRPr="00FE2FB1" w:rsidRDefault="00F21BCB" w:rsidP="00F21BCB">
      <w:pPr>
        <w:pStyle w:val="NoSpacing"/>
        <w:rPr>
          <w:rFonts w:ascii="Arial" w:hAnsi="Arial" w:cs="Arial"/>
        </w:rPr>
      </w:pPr>
    </w:p>
    <w:p w14:paraId="6F6A762A" w14:textId="77777777" w:rsidR="00F21BCB" w:rsidRPr="00FE2FB1" w:rsidRDefault="00F21BCB">
      <w:pPr>
        <w:spacing w:before="240"/>
        <w:jc w:val="both"/>
        <w:rPr>
          <w:rFonts w:ascii="Times New Roman" w:hAnsi="Times New Roman" w:cs="Times New Roman"/>
          <w:sz w:val="24"/>
          <w:szCs w:val="24"/>
        </w:rPr>
      </w:pPr>
    </w:p>
    <w:p w14:paraId="62440CFC" w14:textId="77777777" w:rsidR="00B33CAF" w:rsidRPr="00FE2FB1" w:rsidRDefault="00AB4191">
      <w:pPr>
        <w:spacing w:before="240"/>
        <w:ind w:left="720" w:hanging="720"/>
        <w:jc w:val="both"/>
        <w:rPr>
          <w:rFonts w:ascii="Times New Roman" w:hAnsi="Times New Roman" w:cs="Times New Roman"/>
          <w:b/>
          <w:bCs/>
          <w:sz w:val="24"/>
          <w:szCs w:val="24"/>
          <w:u w:val="single"/>
        </w:rPr>
      </w:pPr>
      <w:r w:rsidRPr="00FE2FB1">
        <w:rPr>
          <w:rFonts w:ascii="Times New Roman" w:hAnsi="Times New Roman" w:cs="Times New Roman"/>
          <w:b/>
          <w:bCs/>
          <w:sz w:val="24"/>
          <w:szCs w:val="24"/>
          <w:u w:val="single"/>
        </w:rPr>
        <w:t>REFERENCES</w:t>
      </w:r>
    </w:p>
    <w:p w14:paraId="01EF0192"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Ammari, A. A., </w:t>
      </w:r>
      <w:proofErr w:type="spellStart"/>
      <w:r w:rsidRPr="00262423">
        <w:rPr>
          <w:rFonts w:ascii="Times New Roman" w:eastAsia="Times New Roman" w:hAnsi="Times New Roman" w:cs="Times New Roman"/>
          <w:sz w:val="24"/>
          <w:szCs w:val="24"/>
        </w:rPr>
        <w:t>Alhimaidi</w:t>
      </w:r>
      <w:proofErr w:type="spellEnd"/>
      <w:r w:rsidRPr="00262423">
        <w:rPr>
          <w:rFonts w:ascii="Times New Roman" w:eastAsia="Times New Roman" w:hAnsi="Times New Roman" w:cs="Times New Roman"/>
          <w:sz w:val="24"/>
          <w:szCs w:val="24"/>
        </w:rPr>
        <w:t xml:space="preserve">, A. R., Amran, R. A., </w:t>
      </w:r>
      <w:proofErr w:type="spellStart"/>
      <w:r w:rsidRPr="00262423">
        <w:rPr>
          <w:rFonts w:ascii="Times New Roman" w:eastAsia="Times New Roman" w:hAnsi="Times New Roman" w:cs="Times New Roman"/>
          <w:sz w:val="24"/>
          <w:szCs w:val="24"/>
        </w:rPr>
        <w:t>Aljawdah</w:t>
      </w:r>
      <w:proofErr w:type="spellEnd"/>
      <w:r w:rsidRPr="00262423">
        <w:rPr>
          <w:rFonts w:ascii="Times New Roman" w:eastAsia="Times New Roman" w:hAnsi="Times New Roman" w:cs="Times New Roman"/>
          <w:sz w:val="24"/>
          <w:szCs w:val="24"/>
        </w:rPr>
        <w:t xml:space="preserve">, H., </w:t>
      </w:r>
      <w:proofErr w:type="spellStart"/>
      <w:r w:rsidRPr="00262423">
        <w:rPr>
          <w:rFonts w:ascii="Times New Roman" w:eastAsia="Times New Roman" w:hAnsi="Times New Roman" w:cs="Times New Roman"/>
          <w:sz w:val="24"/>
          <w:szCs w:val="24"/>
        </w:rPr>
        <w:t>Aldahmash</w:t>
      </w:r>
      <w:proofErr w:type="spellEnd"/>
      <w:r w:rsidRPr="00262423">
        <w:rPr>
          <w:rFonts w:ascii="Times New Roman" w:eastAsia="Times New Roman" w:hAnsi="Times New Roman" w:cs="Times New Roman"/>
          <w:sz w:val="24"/>
          <w:szCs w:val="24"/>
        </w:rPr>
        <w:t xml:space="preserve">, B., Al-Mikhlafi, F. A., &amp; Rady, A. M. (2025). Effects of cadmium exposure on female reproductive health and the protective role of </w:t>
      </w:r>
      <w:r w:rsidRPr="00262423">
        <w:rPr>
          <w:rFonts w:ascii="Times New Roman" w:eastAsia="Times New Roman" w:hAnsi="Times New Roman" w:cs="Times New Roman"/>
          <w:i/>
          <w:iCs/>
          <w:sz w:val="24"/>
          <w:szCs w:val="24"/>
        </w:rPr>
        <w:t>Ziziphus spina-</w:t>
      </w:r>
      <w:proofErr w:type="spellStart"/>
      <w:r w:rsidRPr="00262423">
        <w:rPr>
          <w:rFonts w:ascii="Times New Roman" w:eastAsia="Times New Roman" w:hAnsi="Times New Roman" w:cs="Times New Roman"/>
          <w:i/>
          <w:iCs/>
          <w:sz w:val="24"/>
          <w:szCs w:val="24"/>
        </w:rPr>
        <w:t>christi</w:t>
      </w:r>
      <w:proofErr w:type="spellEnd"/>
      <w:r w:rsidRPr="00262423">
        <w:rPr>
          <w:rFonts w:ascii="Times New Roman" w:eastAsia="Times New Roman" w:hAnsi="Times New Roman" w:cs="Times New Roman"/>
          <w:sz w:val="24"/>
          <w:szCs w:val="24"/>
        </w:rPr>
        <w:t xml:space="preserve"> in rats. </w:t>
      </w:r>
      <w:r w:rsidRPr="00262423">
        <w:rPr>
          <w:rFonts w:ascii="Times New Roman" w:eastAsia="Times New Roman" w:hAnsi="Times New Roman" w:cs="Times New Roman"/>
          <w:i/>
          <w:iCs/>
          <w:sz w:val="24"/>
          <w:szCs w:val="24"/>
        </w:rPr>
        <w:t>Indian Journal of Animal Research, 59</w:t>
      </w:r>
      <w:r w:rsidRPr="00262423">
        <w:rPr>
          <w:rFonts w:ascii="Times New Roman" w:eastAsia="Times New Roman" w:hAnsi="Times New Roman" w:cs="Times New Roman"/>
          <w:sz w:val="24"/>
          <w:szCs w:val="24"/>
        </w:rPr>
        <w:t xml:space="preserve">(2), 287–292. </w:t>
      </w:r>
      <w:hyperlink r:id="rId20" w:history="1">
        <w:r w:rsidRPr="00262423">
          <w:rPr>
            <w:rFonts w:ascii="Times New Roman" w:eastAsia="Times New Roman" w:hAnsi="Times New Roman" w:cs="Times New Roman"/>
            <w:color w:val="0000FF"/>
            <w:sz w:val="24"/>
            <w:szCs w:val="24"/>
            <w:u w:val="single"/>
          </w:rPr>
          <w:t>https://doi.org/10.18805/IJAR.BF-1885</w:t>
        </w:r>
      </w:hyperlink>
    </w:p>
    <w:p w14:paraId="491BFAE1"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Arruebarrena, M. A., Hawe, C. T., Lee, Y. M., &amp; Branco, R. C. (2023). Mechanisms of cadmium neurotoxicity. </w:t>
      </w:r>
      <w:r w:rsidRPr="00262423">
        <w:rPr>
          <w:rFonts w:ascii="Times New Roman" w:eastAsia="Times New Roman" w:hAnsi="Times New Roman" w:cs="Times New Roman"/>
          <w:i/>
          <w:iCs/>
          <w:sz w:val="24"/>
          <w:szCs w:val="24"/>
        </w:rPr>
        <w:t>International Journal of Molecular Sciences, 24</w:t>
      </w:r>
      <w:r w:rsidRPr="00262423">
        <w:rPr>
          <w:rFonts w:ascii="Times New Roman" w:eastAsia="Times New Roman" w:hAnsi="Times New Roman" w:cs="Times New Roman"/>
          <w:sz w:val="24"/>
          <w:szCs w:val="24"/>
        </w:rPr>
        <w:t xml:space="preserve">(23), Article 16558. </w:t>
      </w:r>
      <w:hyperlink r:id="rId21" w:history="1">
        <w:r w:rsidRPr="00262423">
          <w:rPr>
            <w:rFonts w:ascii="Times New Roman" w:eastAsia="Times New Roman" w:hAnsi="Times New Roman" w:cs="Times New Roman"/>
            <w:color w:val="0000FF"/>
            <w:sz w:val="24"/>
            <w:szCs w:val="24"/>
            <w:u w:val="single"/>
          </w:rPr>
          <w:t>https://doi.org/10.3390/ijms242316558</w:t>
        </w:r>
      </w:hyperlink>
    </w:p>
    <w:p w14:paraId="51747676"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Branca, J. J. V., Fiorillo, C., Carrino, D., Paternostro, F., Taddei, N., Gulisano, M., Pacini, A., &amp; </w:t>
      </w:r>
      <w:proofErr w:type="spellStart"/>
      <w:r w:rsidRPr="00262423">
        <w:rPr>
          <w:rFonts w:ascii="Times New Roman" w:eastAsia="Times New Roman" w:hAnsi="Times New Roman" w:cs="Times New Roman"/>
          <w:sz w:val="24"/>
          <w:szCs w:val="24"/>
        </w:rPr>
        <w:t>Becatti</w:t>
      </w:r>
      <w:proofErr w:type="spellEnd"/>
      <w:r w:rsidRPr="00262423">
        <w:rPr>
          <w:rFonts w:ascii="Times New Roman" w:eastAsia="Times New Roman" w:hAnsi="Times New Roman" w:cs="Times New Roman"/>
          <w:sz w:val="24"/>
          <w:szCs w:val="24"/>
        </w:rPr>
        <w:t xml:space="preserve">, M. (2020). Cadmium-induced oxidative stress: Focus on the central nervous system. </w:t>
      </w:r>
      <w:r w:rsidRPr="00262423">
        <w:rPr>
          <w:rFonts w:ascii="Times New Roman" w:eastAsia="Times New Roman" w:hAnsi="Times New Roman" w:cs="Times New Roman"/>
          <w:i/>
          <w:iCs/>
          <w:sz w:val="24"/>
          <w:szCs w:val="24"/>
        </w:rPr>
        <w:t>Antioxidants, 9</w:t>
      </w:r>
      <w:r w:rsidRPr="00262423">
        <w:rPr>
          <w:rFonts w:ascii="Times New Roman" w:eastAsia="Times New Roman" w:hAnsi="Times New Roman" w:cs="Times New Roman"/>
          <w:sz w:val="24"/>
          <w:szCs w:val="24"/>
        </w:rPr>
        <w:t xml:space="preserve">(6), Article 492. </w:t>
      </w:r>
      <w:hyperlink r:id="rId22" w:history="1">
        <w:r w:rsidRPr="00262423">
          <w:rPr>
            <w:rFonts w:ascii="Times New Roman" w:eastAsia="Times New Roman" w:hAnsi="Times New Roman" w:cs="Times New Roman"/>
            <w:color w:val="0000FF"/>
            <w:sz w:val="24"/>
            <w:szCs w:val="24"/>
            <w:u w:val="single"/>
          </w:rPr>
          <w:t>https://doi.org/10.3390/antiox9060492</w:t>
        </w:r>
      </w:hyperlink>
    </w:p>
    <w:p w14:paraId="7BF16CD9"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Campbell, T. W. (2015). </w:t>
      </w:r>
      <w:r w:rsidRPr="00262423">
        <w:rPr>
          <w:rFonts w:ascii="Times New Roman" w:eastAsia="Times New Roman" w:hAnsi="Times New Roman" w:cs="Times New Roman"/>
          <w:i/>
          <w:iCs/>
          <w:sz w:val="24"/>
          <w:szCs w:val="24"/>
        </w:rPr>
        <w:t>Exotic animal hematology and cytology</w:t>
      </w:r>
      <w:r w:rsidRPr="00262423">
        <w:rPr>
          <w:rFonts w:ascii="Times New Roman" w:eastAsia="Times New Roman" w:hAnsi="Times New Roman" w:cs="Times New Roman"/>
          <w:sz w:val="24"/>
          <w:szCs w:val="24"/>
        </w:rPr>
        <w:t xml:space="preserve"> (4th ed.). Wiley-Blackwell. </w:t>
      </w:r>
      <w:hyperlink r:id="rId23" w:history="1">
        <w:r w:rsidRPr="00262423">
          <w:rPr>
            <w:rFonts w:ascii="Times New Roman" w:eastAsia="Times New Roman" w:hAnsi="Times New Roman" w:cs="Times New Roman"/>
            <w:color w:val="0000FF"/>
            <w:sz w:val="24"/>
            <w:szCs w:val="24"/>
            <w:u w:val="single"/>
          </w:rPr>
          <w:t>https://doi.org/10.1002/9781118993705</w:t>
        </w:r>
      </w:hyperlink>
    </w:p>
    <w:p w14:paraId="77E9B4D1"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Charkiewicz, A. E., </w:t>
      </w:r>
      <w:proofErr w:type="spellStart"/>
      <w:r w:rsidRPr="00262423">
        <w:rPr>
          <w:rFonts w:ascii="Times New Roman" w:eastAsia="Times New Roman" w:hAnsi="Times New Roman" w:cs="Times New Roman"/>
          <w:sz w:val="24"/>
          <w:szCs w:val="24"/>
        </w:rPr>
        <w:t>Omeljaniuk</w:t>
      </w:r>
      <w:proofErr w:type="spellEnd"/>
      <w:r w:rsidRPr="00262423">
        <w:rPr>
          <w:rFonts w:ascii="Times New Roman" w:eastAsia="Times New Roman" w:hAnsi="Times New Roman" w:cs="Times New Roman"/>
          <w:sz w:val="24"/>
          <w:szCs w:val="24"/>
        </w:rPr>
        <w:t xml:space="preserve">, W. J., Nowak, K., Garley, M., &amp; </w:t>
      </w:r>
      <w:proofErr w:type="spellStart"/>
      <w:r w:rsidRPr="00262423">
        <w:rPr>
          <w:rFonts w:ascii="Times New Roman" w:eastAsia="Times New Roman" w:hAnsi="Times New Roman" w:cs="Times New Roman"/>
          <w:sz w:val="24"/>
          <w:szCs w:val="24"/>
        </w:rPr>
        <w:t>Nikliński</w:t>
      </w:r>
      <w:proofErr w:type="spellEnd"/>
      <w:r w:rsidRPr="00262423">
        <w:rPr>
          <w:rFonts w:ascii="Times New Roman" w:eastAsia="Times New Roman" w:hAnsi="Times New Roman" w:cs="Times New Roman"/>
          <w:sz w:val="24"/>
          <w:szCs w:val="24"/>
        </w:rPr>
        <w:t xml:space="preserve">, J. (2023). Cadmium toxicity and health effects—A brief summary. </w:t>
      </w:r>
      <w:r w:rsidRPr="00262423">
        <w:rPr>
          <w:rFonts w:ascii="Times New Roman" w:eastAsia="Times New Roman" w:hAnsi="Times New Roman" w:cs="Times New Roman"/>
          <w:i/>
          <w:iCs/>
          <w:sz w:val="24"/>
          <w:szCs w:val="24"/>
        </w:rPr>
        <w:t>Molecules, 28</w:t>
      </w:r>
      <w:r w:rsidRPr="00262423">
        <w:rPr>
          <w:rFonts w:ascii="Times New Roman" w:eastAsia="Times New Roman" w:hAnsi="Times New Roman" w:cs="Times New Roman"/>
          <w:sz w:val="24"/>
          <w:szCs w:val="24"/>
        </w:rPr>
        <w:t xml:space="preserve">(18), Article 6620. </w:t>
      </w:r>
      <w:hyperlink r:id="rId24" w:history="1">
        <w:r w:rsidRPr="00262423">
          <w:rPr>
            <w:rFonts w:ascii="Times New Roman" w:eastAsia="Times New Roman" w:hAnsi="Times New Roman" w:cs="Times New Roman"/>
            <w:color w:val="0000FF"/>
            <w:sz w:val="24"/>
            <w:szCs w:val="24"/>
            <w:u w:val="single"/>
          </w:rPr>
          <w:t>https://doi.org/10.3390/molecules28186620</w:t>
        </w:r>
      </w:hyperlink>
    </w:p>
    <w:p w14:paraId="5BCABD05"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Chater, S., </w:t>
      </w:r>
      <w:proofErr w:type="spellStart"/>
      <w:r w:rsidRPr="00262423">
        <w:rPr>
          <w:rFonts w:ascii="Times New Roman" w:eastAsia="Times New Roman" w:hAnsi="Times New Roman" w:cs="Times New Roman"/>
          <w:sz w:val="24"/>
          <w:szCs w:val="24"/>
        </w:rPr>
        <w:t>Douki</w:t>
      </w:r>
      <w:proofErr w:type="spellEnd"/>
      <w:r w:rsidRPr="00262423">
        <w:rPr>
          <w:rFonts w:ascii="Times New Roman" w:eastAsia="Times New Roman" w:hAnsi="Times New Roman" w:cs="Times New Roman"/>
          <w:sz w:val="24"/>
          <w:szCs w:val="24"/>
        </w:rPr>
        <w:t xml:space="preserve">, T., Favier, A., </w:t>
      </w:r>
      <w:proofErr w:type="spellStart"/>
      <w:r w:rsidRPr="00262423">
        <w:rPr>
          <w:rFonts w:ascii="Times New Roman" w:eastAsia="Times New Roman" w:hAnsi="Times New Roman" w:cs="Times New Roman"/>
          <w:sz w:val="24"/>
          <w:szCs w:val="24"/>
        </w:rPr>
        <w:t>Sakly</w:t>
      </w:r>
      <w:proofErr w:type="spellEnd"/>
      <w:r w:rsidRPr="00262423">
        <w:rPr>
          <w:rFonts w:ascii="Times New Roman" w:eastAsia="Times New Roman" w:hAnsi="Times New Roman" w:cs="Times New Roman"/>
          <w:sz w:val="24"/>
          <w:szCs w:val="24"/>
        </w:rPr>
        <w:t xml:space="preserve">, M., &amp; </w:t>
      </w:r>
      <w:proofErr w:type="spellStart"/>
      <w:r w:rsidRPr="00262423">
        <w:rPr>
          <w:rFonts w:ascii="Times New Roman" w:eastAsia="Times New Roman" w:hAnsi="Times New Roman" w:cs="Times New Roman"/>
          <w:sz w:val="24"/>
          <w:szCs w:val="24"/>
        </w:rPr>
        <w:t>Abdelmelek</w:t>
      </w:r>
      <w:proofErr w:type="spellEnd"/>
      <w:r w:rsidRPr="00262423">
        <w:rPr>
          <w:rFonts w:ascii="Times New Roman" w:eastAsia="Times New Roman" w:hAnsi="Times New Roman" w:cs="Times New Roman"/>
          <w:sz w:val="24"/>
          <w:szCs w:val="24"/>
        </w:rPr>
        <w:t xml:space="preserve">, H. (2009). Changes in antioxidant status and biochemical parameters after orally cadmium administration in </w:t>
      </w:r>
      <w:proofErr w:type="gramStart"/>
      <w:r w:rsidRPr="00262423">
        <w:rPr>
          <w:rFonts w:ascii="Times New Roman" w:eastAsia="Times New Roman" w:hAnsi="Times New Roman" w:cs="Times New Roman"/>
          <w:sz w:val="24"/>
          <w:szCs w:val="24"/>
        </w:rPr>
        <w:t>females</w:t>
      </w:r>
      <w:proofErr w:type="gramEnd"/>
      <w:r w:rsidRPr="00262423">
        <w:rPr>
          <w:rFonts w:ascii="Times New Roman" w:eastAsia="Times New Roman" w:hAnsi="Times New Roman" w:cs="Times New Roman"/>
          <w:sz w:val="24"/>
          <w:szCs w:val="24"/>
        </w:rPr>
        <w:t xml:space="preserve"> rats. </w:t>
      </w:r>
      <w:r w:rsidRPr="00262423">
        <w:rPr>
          <w:rFonts w:ascii="Times New Roman" w:eastAsia="Times New Roman" w:hAnsi="Times New Roman" w:cs="Times New Roman"/>
          <w:i/>
          <w:iCs/>
          <w:sz w:val="24"/>
          <w:szCs w:val="24"/>
        </w:rPr>
        <w:t xml:space="preserve">Acta </w:t>
      </w:r>
      <w:proofErr w:type="spellStart"/>
      <w:r w:rsidRPr="00262423">
        <w:rPr>
          <w:rFonts w:ascii="Times New Roman" w:eastAsia="Times New Roman" w:hAnsi="Times New Roman" w:cs="Times New Roman"/>
          <w:i/>
          <w:iCs/>
          <w:sz w:val="24"/>
          <w:szCs w:val="24"/>
        </w:rPr>
        <w:t>Biologica</w:t>
      </w:r>
      <w:proofErr w:type="spellEnd"/>
      <w:r w:rsidRPr="00262423">
        <w:rPr>
          <w:rFonts w:ascii="Times New Roman" w:eastAsia="Times New Roman" w:hAnsi="Times New Roman" w:cs="Times New Roman"/>
          <w:i/>
          <w:iCs/>
          <w:sz w:val="24"/>
          <w:szCs w:val="24"/>
        </w:rPr>
        <w:t xml:space="preserve"> </w:t>
      </w:r>
      <w:proofErr w:type="spellStart"/>
      <w:r w:rsidRPr="00262423">
        <w:rPr>
          <w:rFonts w:ascii="Times New Roman" w:eastAsia="Times New Roman" w:hAnsi="Times New Roman" w:cs="Times New Roman"/>
          <w:i/>
          <w:iCs/>
          <w:sz w:val="24"/>
          <w:szCs w:val="24"/>
        </w:rPr>
        <w:t>Hungarica</w:t>
      </w:r>
      <w:proofErr w:type="spellEnd"/>
      <w:r w:rsidRPr="00262423">
        <w:rPr>
          <w:rFonts w:ascii="Times New Roman" w:eastAsia="Times New Roman" w:hAnsi="Times New Roman" w:cs="Times New Roman"/>
          <w:i/>
          <w:iCs/>
          <w:sz w:val="24"/>
          <w:szCs w:val="24"/>
        </w:rPr>
        <w:t>, 60</w:t>
      </w:r>
      <w:r w:rsidRPr="00262423">
        <w:rPr>
          <w:rFonts w:ascii="Times New Roman" w:eastAsia="Times New Roman" w:hAnsi="Times New Roman" w:cs="Times New Roman"/>
          <w:sz w:val="24"/>
          <w:szCs w:val="24"/>
        </w:rPr>
        <w:t xml:space="preserve">(1), 79–88. </w:t>
      </w:r>
      <w:hyperlink r:id="rId25" w:history="1">
        <w:r w:rsidRPr="00262423">
          <w:rPr>
            <w:rFonts w:ascii="Times New Roman" w:eastAsia="Times New Roman" w:hAnsi="Times New Roman" w:cs="Times New Roman"/>
            <w:color w:val="0000FF"/>
            <w:sz w:val="24"/>
            <w:szCs w:val="24"/>
            <w:u w:val="single"/>
          </w:rPr>
          <w:t>https://doi.org/10.1556/abiol.60.2009.1.8</w:t>
        </w:r>
      </w:hyperlink>
    </w:p>
    <w:p w14:paraId="0BC255D7"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Cheng, H., Yang, B., Ke, T., Li, S., Yang, X., Aschner, M., &amp; Chen, P. (2021). Mechanisms of metal-induced mitochondrial dysfunction in neurological disorders. </w:t>
      </w:r>
      <w:r w:rsidRPr="00262423">
        <w:rPr>
          <w:rFonts w:ascii="Times New Roman" w:eastAsia="Times New Roman" w:hAnsi="Times New Roman" w:cs="Times New Roman"/>
          <w:i/>
          <w:iCs/>
          <w:sz w:val="24"/>
          <w:szCs w:val="24"/>
        </w:rPr>
        <w:t>Toxics, 9</w:t>
      </w:r>
      <w:r w:rsidRPr="00262423">
        <w:rPr>
          <w:rFonts w:ascii="Times New Roman" w:eastAsia="Times New Roman" w:hAnsi="Times New Roman" w:cs="Times New Roman"/>
          <w:sz w:val="24"/>
          <w:szCs w:val="24"/>
        </w:rPr>
        <w:t xml:space="preserve">(6), Article 142. </w:t>
      </w:r>
      <w:hyperlink r:id="rId26" w:history="1">
        <w:r w:rsidRPr="00262423">
          <w:rPr>
            <w:rFonts w:ascii="Times New Roman" w:eastAsia="Times New Roman" w:hAnsi="Times New Roman" w:cs="Times New Roman"/>
            <w:color w:val="0000FF"/>
            <w:sz w:val="24"/>
            <w:szCs w:val="24"/>
            <w:u w:val="single"/>
          </w:rPr>
          <w:t>https://doi.org/10.3390/toxics9060142</w:t>
        </w:r>
      </w:hyperlink>
    </w:p>
    <w:p w14:paraId="3963D799"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lastRenderedPageBreak/>
        <w:t xml:space="preserve">Dong, A., He, H., Jing, X., Zhang, T., Ma, Y., Wang, X., Dong, H., Liu, W., Fan, K., &amp; Huo, J. (2025). Associations of cadmium exposure with peripheral blood cell subtype counts and indices in cadmium-poisoned mice. </w:t>
      </w:r>
      <w:r w:rsidRPr="00262423">
        <w:rPr>
          <w:rFonts w:ascii="Times New Roman" w:eastAsia="Times New Roman" w:hAnsi="Times New Roman" w:cs="Times New Roman"/>
          <w:i/>
          <w:iCs/>
          <w:sz w:val="24"/>
          <w:szCs w:val="24"/>
        </w:rPr>
        <w:t>Biological Trace Element Research, 203</w:t>
      </w:r>
      <w:r w:rsidRPr="00262423">
        <w:rPr>
          <w:rFonts w:ascii="Times New Roman" w:eastAsia="Times New Roman" w:hAnsi="Times New Roman" w:cs="Times New Roman"/>
          <w:sz w:val="24"/>
          <w:szCs w:val="24"/>
        </w:rPr>
        <w:t xml:space="preserve">, 1600–1608. </w:t>
      </w:r>
      <w:hyperlink r:id="rId27" w:history="1">
        <w:r w:rsidRPr="00262423">
          <w:rPr>
            <w:rFonts w:ascii="Times New Roman" w:eastAsia="Times New Roman" w:hAnsi="Times New Roman" w:cs="Times New Roman"/>
            <w:color w:val="0000FF"/>
            <w:sz w:val="24"/>
            <w:szCs w:val="24"/>
            <w:u w:val="single"/>
          </w:rPr>
          <w:t>https://doi.org/10.1007/s12011-024-04271-9</w:t>
        </w:r>
      </w:hyperlink>
    </w:p>
    <w:p w14:paraId="4652CECA"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262423">
        <w:rPr>
          <w:rFonts w:ascii="Times New Roman" w:eastAsia="Times New Roman" w:hAnsi="Times New Roman" w:cs="Times New Roman"/>
          <w:sz w:val="24"/>
          <w:szCs w:val="24"/>
        </w:rPr>
        <w:t>Ebokaiwe</w:t>
      </w:r>
      <w:proofErr w:type="spellEnd"/>
      <w:r w:rsidRPr="00262423">
        <w:rPr>
          <w:rFonts w:ascii="Times New Roman" w:eastAsia="Times New Roman" w:hAnsi="Times New Roman" w:cs="Times New Roman"/>
          <w:sz w:val="24"/>
          <w:szCs w:val="24"/>
        </w:rPr>
        <w:t xml:space="preserve">, A. P., Olasehinde, O., Chimezie, I. P., </w:t>
      </w:r>
      <w:proofErr w:type="spellStart"/>
      <w:r w:rsidRPr="00262423">
        <w:rPr>
          <w:rFonts w:ascii="Times New Roman" w:eastAsia="Times New Roman" w:hAnsi="Times New Roman" w:cs="Times New Roman"/>
          <w:sz w:val="24"/>
          <w:szCs w:val="24"/>
        </w:rPr>
        <w:t>Odobi</w:t>
      </w:r>
      <w:proofErr w:type="spellEnd"/>
      <w:r w:rsidRPr="00262423">
        <w:rPr>
          <w:rFonts w:ascii="Times New Roman" w:eastAsia="Times New Roman" w:hAnsi="Times New Roman" w:cs="Times New Roman"/>
          <w:sz w:val="24"/>
          <w:szCs w:val="24"/>
        </w:rPr>
        <w:t xml:space="preserve">, U. R., </w:t>
      </w:r>
      <w:proofErr w:type="spellStart"/>
      <w:r w:rsidRPr="00262423">
        <w:rPr>
          <w:rFonts w:ascii="Times New Roman" w:eastAsia="Times New Roman" w:hAnsi="Times New Roman" w:cs="Times New Roman"/>
          <w:sz w:val="24"/>
          <w:szCs w:val="24"/>
        </w:rPr>
        <w:t>Nvene</w:t>
      </w:r>
      <w:proofErr w:type="spellEnd"/>
      <w:r w:rsidRPr="00262423">
        <w:rPr>
          <w:rFonts w:ascii="Times New Roman" w:eastAsia="Times New Roman" w:hAnsi="Times New Roman" w:cs="Times New Roman"/>
          <w:sz w:val="24"/>
          <w:szCs w:val="24"/>
        </w:rPr>
        <w:t xml:space="preserve">, C., &amp; </w:t>
      </w:r>
      <w:proofErr w:type="spellStart"/>
      <w:r w:rsidRPr="00262423">
        <w:rPr>
          <w:rFonts w:ascii="Times New Roman" w:eastAsia="Times New Roman" w:hAnsi="Times New Roman" w:cs="Times New Roman"/>
          <w:sz w:val="24"/>
          <w:szCs w:val="24"/>
        </w:rPr>
        <w:t>Ekoh</w:t>
      </w:r>
      <w:proofErr w:type="spellEnd"/>
      <w:r w:rsidRPr="00262423">
        <w:rPr>
          <w:rFonts w:ascii="Times New Roman" w:eastAsia="Times New Roman" w:hAnsi="Times New Roman" w:cs="Times New Roman"/>
          <w:sz w:val="24"/>
          <w:szCs w:val="24"/>
        </w:rPr>
        <w:t xml:space="preserve">, F. (2024). Zinc ameliorates cadmium-induced immunotoxicity by modulating splenic immunosuppressive indoleamine 2,3-dioxygenase activity, hematological indices, and CD4+ T cells via inhibition of cadmium uptake in male Wistar rats. </w:t>
      </w:r>
      <w:r w:rsidRPr="00262423">
        <w:rPr>
          <w:rFonts w:ascii="Times New Roman" w:eastAsia="Times New Roman" w:hAnsi="Times New Roman" w:cs="Times New Roman"/>
          <w:i/>
          <w:iCs/>
          <w:sz w:val="24"/>
          <w:szCs w:val="24"/>
        </w:rPr>
        <w:t>Biological Trace Element Research, 202</w:t>
      </w:r>
      <w:r w:rsidRPr="00262423">
        <w:rPr>
          <w:rFonts w:ascii="Times New Roman" w:eastAsia="Times New Roman" w:hAnsi="Times New Roman" w:cs="Times New Roman"/>
          <w:sz w:val="24"/>
          <w:szCs w:val="24"/>
        </w:rPr>
        <w:t xml:space="preserve">, 1140–1149. </w:t>
      </w:r>
      <w:hyperlink r:id="rId28" w:history="1">
        <w:r w:rsidRPr="00262423">
          <w:rPr>
            <w:rFonts w:ascii="Times New Roman" w:eastAsia="Times New Roman" w:hAnsi="Times New Roman" w:cs="Times New Roman"/>
            <w:color w:val="0000FF"/>
            <w:sz w:val="24"/>
            <w:szCs w:val="24"/>
            <w:u w:val="single"/>
          </w:rPr>
          <w:t>https://doi.org/10.1007/s12011-023-03752-7</w:t>
        </w:r>
      </w:hyperlink>
    </w:p>
    <w:p w14:paraId="71D3FCC9"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Ferraro, P. M., Costanzi, S., </w:t>
      </w:r>
      <w:proofErr w:type="spellStart"/>
      <w:r w:rsidRPr="00262423">
        <w:rPr>
          <w:rFonts w:ascii="Times New Roman" w:eastAsia="Times New Roman" w:hAnsi="Times New Roman" w:cs="Times New Roman"/>
          <w:sz w:val="24"/>
          <w:szCs w:val="24"/>
        </w:rPr>
        <w:t>Naticchia</w:t>
      </w:r>
      <w:proofErr w:type="spellEnd"/>
      <w:r w:rsidRPr="00262423">
        <w:rPr>
          <w:rFonts w:ascii="Times New Roman" w:eastAsia="Times New Roman" w:hAnsi="Times New Roman" w:cs="Times New Roman"/>
          <w:sz w:val="24"/>
          <w:szCs w:val="24"/>
        </w:rPr>
        <w:t xml:space="preserve">, A., Sturniolo, A., &amp; Gambaro, G. (2010). Low-level exposure to cadmium increases the risk of chronic kidney disease: Analysis of the NHANES 1999–2006. </w:t>
      </w:r>
      <w:r w:rsidRPr="00262423">
        <w:rPr>
          <w:rFonts w:ascii="Times New Roman" w:eastAsia="Times New Roman" w:hAnsi="Times New Roman" w:cs="Times New Roman"/>
          <w:i/>
          <w:iCs/>
          <w:sz w:val="24"/>
          <w:szCs w:val="24"/>
        </w:rPr>
        <w:t>BMC Public Health, 10</w:t>
      </w:r>
      <w:r w:rsidRPr="00262423">
        <w:rPr>
          <w:rFonts w:ascii="Times New Roman" w:eastAsia="Times New Roman" w:hAnsi="Times New Roman" w:cs="Times New Roman"/>
          <w:sz w:val="24"/>
          <w:szCs w:val="24"/>
        </w:rPr>
        <w:t xml:space="preserve">, Article 304. </w:t>
      </w:r>
      <w:hyperlink r:id="rId29" w:history="1">
        <w:r w:rsidRPr="00262423">
          <w:rPr>
            <w:rFonts w:ascii="Times New Roman" w:eastAsia="Times New Roman" w:hAnsi="Times New Roman" w:cs="Times New Roman"/>
            <w:color w:val="0000FF"/>
            <w:sz w:val="24"/>
            <w:szCs w:val="24"/>
            <w:u w:val="single"/>
          </w:rPr>
          <w:t>https://doi.org/10.1186/1471-2458-10-304</w:t>
        </w:r>
      </w:hyperlink>
    </w:p>
    <w:p w14:paraId="6C95B051"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262423">
        <w:rPr>
          <w:rFonts w:ascii="Times New Roman" w:eastAsia="Times New Roman" w:hAnsi="Times New Roman" w:cs="Times New Roman"/>
          <w:sz w:val="24"/>
          <w:szCs w:val="24"/>
        </w:rPr>
        <w:t>Hamdollahi</w:t>
      </w:r>
      <w:proofErr w:type="spellEnd"/>
      <w:r w:rsidRPr="00262423">
        <w:rPr>
          <w:rFonts w:ascii="Times New Roman" w:eastAsia="Times New Roman" w:hAnsi="Times New Roman" w:cs="Times New Roman"/>
          <w:sz w:val="24"/>
          <w:szCs w:val="24"/>
        </w:rPr>
        <w:t xml:space="preserve">, M., Asle-Rousta, M., &amp; </w:t>
      </w:r>
      <w:proofErr w:type="spellStart"/>
      <w:r w:rsidRPr="00262423">
        <w:rPr>
          <w:rFonts w:ascii="Times New Roman" w:eastAsia="Times New Roman" w:hAnsi="Times New Roman" w:cs="Times New Roman"/>
          <w:sz w:val="24"/>
          <w:szCs w:val="24"/>
        </w:rPr>
        <w:t>Mahmazi</w:t>
      </w:r>
      <w:proofErr w:type="spellEnd"/>
      <w:r w:rsidRPr="00262423">
        <w:rPr>
          <w:rFonts w:ascii="Times New Roman" w:eastAsia="Times New Roman" w:hAnsi="Times New Roman" w:cs="Times New Roman"/>
          <w:sz w:val="24"/>
          <w:szCs w:val="24"/>
        </w:rPr>
        <w:t>, S. (2026). Camphor ameliorates cadmium-induced memory deficits in rats by downregulating NF-</w:t>
      </w:r>
      <w:proofErr w:type="spellStart"/>
      <w:r w:rsidRPr="00262423">
        <w:rPr>
          <w:rFonts w:ascii="Times New Roman" w:eastAsia="Times New Roman" w:hAnsi="Times New Roman" w:cs="Times New Roman"/>
          <w:sz w:val="24"/>
          <w:szCs w:val="24"/>
        </w:rPr>
        <w:t>κB</w:t>
      </w:r>
      <w:proofErr w:type="spellEnd"/>
      <w:r w:rsidRPr="00262423">
        <w:rPr>
          <w:rFonts w:ascii="Times New Roman" w:eastAsia="Times New Roman" w:hAnsi="Times New Roman" w:cs="Times New Roman"/>
          <w:sz w:val="24"/>
          <w:szCs w:val="24"/>
        </w:rPr>
        <w:t xml:space="preserve"> and enhancing acetylcholine signaling in the hippocampus. </w:t>
      </w:r>
      <w:r w:rsidRPr="00262423">
        <w:rPr>
          <w:rFonts w:ascii="Times New Roman" w:eastAsia="Times New Roman" w:hAnsi="Times New Roman" w:cs="Times New Roman"/>
          <w:i/>
          <w:iCs/>
          <w:sz w:val="24"/>
          <w:szCs w:val="24"/>
        </w:rPr>
        <w:t>Biological Trace Element Research, 204</w:t>
      </w:r>
      <w:r w:rsidRPr="00262423">
        <w:rPr>
          <w:rFonts w:ascii="Times New Roman" w:eastAsia="Times New Roman" w:hAnsi="Times New Roman" w:cs="Times New Roman"/>
          <w:sz w:val="24"/>
          <w:szCs w:val="24"/>
        </w:rPr>
        <w:t xml:space="preserve">, 2145–2158. </w:t>
      </w:r>
      <w:hyperlink r:id="rId30" w:history="1">
        <w:r w:rsidRPr="00262423">
          <w:rPr>
            <w:rFonts w:ascii="Times New Roman" w:eastAsia="Times New Roman" w:hAnsi="Times New Roman" w:cs="Times New Roman"/>
            <w:color w:val="0000FF"/>
            <w:sz w:val="24"/>
            <w:szCs w:val="24"/>
            <w:u w:val="single"/>
          </w:rPr>
          <w:t>https://doi.org/10.1007/s12011-025-04807-7</w:t>
        </w:r>
      </w:hyperlink>
    </w:p>
    <w:p w14:paraId="4599F2A9"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262423">
        <w:rPr>
          <w:rFonts w:ascii="Times New Roman" w:eastAsia="Times New Roman" w:hAnsi="Times New Roman" w:cs="Times New Roman"/>
          <w:sz w:val="24"/>
          <w:szCs w:val="24"/>
        </w:rPr>
        <w:t>Hunskaar</w:t>
      </w:r>
      <w:proofErr w:type="spellEnd"/>
      <w:r w:rsidRPr="00262423">
        <w:rPr>
          <w:rFonts w:ascii="Times New Roman" w:eastAsia="Times New Roman" w:hAnsi="Times New Roman" w:cs="Times New Roman"/>
          <w:sz w:val="24"/>
          <w:szCs w:val="24"/>
        </w:rPr>
        <w:t xml:space="preserve">, S., &amp; Hole, K. (1987). The formalin test in mice: Dissociation between inflammatory and non-inflammatory pain. </w:t>
      </w:r>
      <w:r w:rsidRPr="00262423">
        <w:rPr>
          <w:rFonts w:ascii="Times New Roman" w:eastAsia="Times New Roman" w:hAnsi="Times New Roman" w:cs="Times New Roman"/>
          <w:i/>
          <w:iCs/>
          <w:sz w:val="24"/>
          <w:szCs w:val="24"/>
        </w:rPr>
        <w:t>Pain, 30</w:t>
      </w:r>
      <w:r w:rsidRPr="00262423">
        <w:rPr>
          <w:rFonts w:ascii="Times New Roman" w:eastAsia="Times New Roman" w:hAnsi="Times New Roman" w:cs="Times New Roman"/>
          <w:sz w:val="24"/>
          <w:szCs w:val="24"/>
        </w:rPr>
        <w:t xml:space="preserve">(1), 103–114. </w:t>
      </w:r>
      <w:hyperlink r:id="rId31" w:history="1">
        <w:r w:rsidRPr="00262423">
          <w:rPr>
            <w:rFonts w:ascii="Times New Roman" w:eastAsia="Times New Roman" w:hAnsi="Times New Roman" w:cs="Times New Roman"/>
            <w:color w:val="0000FF"/>
            <w:sz w:val="24"/>
            <w:szCs w:val="24"/>
            <w:u w:val="single"/>
          </w:rPr>
          <w:t>https://doi.org/10.1016/0304-3959(87)90088-1</w:t>
        </w:r>
      </w:hyperlink>
    </w:p>
    <w:p w14:paraId="3DFF1224"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lang w:val="nl-BE"/>
        </w:rPr>
        <w:t xml:space="preserve">Kim, Y. J., Kwon, S., &amp; Kim, M. K. (2009). </w:t>
      </w:r>
      <w:r w:rsidRPr="00262423">
        <w:rPr>
          <w:rFonts w:ascii="Times New Roman" w:eastAsia="Times New Roman" w:hAnsi="Times New Roman" w:cs="Times New Roman"/>
          <w:sz w:val="24"/>
          <w:szCs w:val="24"/>
        </w:rPr>
        <w:t xml:space="preserve">Effect of </w:t>
      </w:r>
      <w:r w:rsidRPr="00262423">
        <w:rPr>
          <w:rFonts w:ascii="Times New Roman" w:eastAsia="Times New Roman" w:hAnsi="Times New Roman" w:cs="Times New Roman"/>
          <w:i/>
          <w:iCs/>
          <w:sz w:val="24"/>
          <w:szCs w:val="24"/>
        </w:rPr>
        <w:t>Chlorella vulgaris</w:t>
      </w:r>
      <w:r w:rsidRPr="00262423">
        <w:rPr>
          <w:rFonts w:ascii="Times New Roman" w:eastAsia="Times New Roman" w:hAnsi="Times New Roman" w:cs="Times New Roman"/>
          <w:sz w:val="24"/>
          <w:szCs w:val="24"/>
        </w:rPr>
        <w:t xml:space="preserve"> intake on cadmium detoxification in rats fed cadmium. </w:t>
      </w:r>
      <w:r w:rsidRPr="00262423">
        <w:rPr>
          <w:rFonts w:ascii="Times New Roman" w:eastAsia="Times New Roman" w:hAnsi="Times New Roman" w:cs="Times New Roman"/>
          <w:i/>
          <w:iCs/>
          <w:sz w:val="24"/>
          <w:szCs w:val="24"/>
        </w:rPr>
        <w:t>Nutrition Research and Practice, 3</w:t>
      </w:r>
      <w:r w:rsidRPr="00262423">
        <w:rPr>
          <w:rFonts w:ascii="Times New Roman" w:eastAsia="Times New Roman" w:hAnsi="Times New Roman" w:cs="Times New Roman"/>
          <w:sz w:val="24"/>
          <w:szCs w:val="24"/>
        </w:rPr>
        <w:t xml:space="preserve">(2), 89–94. </w:t>
      </w:r>
      <w:hyperlink r:id="rId32" w:history="1">
        <w:r w:rsidRPr="00262423">
          <w:rPr>
            <w:rFonts w:ascii="Times New Roman" w:eastAsia="Times New Roman" w:hAnsi="Times New Roman" w:cs="Times New Roman"/>
            <w:color w:val="0000FF"/>
            <w:sz w:val="24"/>
            <w:szCs w:val="24"/>
            <w:u w:val="single"/>
          </w:rPr>
          <w:t>https://doi.org/10.4162/nrp.2009.3.2.89</w:t>
        </w:r>
      </w:hyperlink>
    </w:p>
    <w:p w14:paraId="7D67B342"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Kraeuter, A. K., Guest, P. C., &amp; Sarnyai, Z. (2019). The Y-maze for assessment of spatial working and reference memory in mice. </w:t>
      </w:r>
      <w:r w:rsidRPr="00262423">
        <w:rPr>
          <w:rFonts w:ascii="Times New Roman" w:eastAsia="Times New Roman" w:hAnsi="Times New Roman" w:cs="Times New Roman"/>
          <w:i/>
          <w:iCs/>
          <w:sz w:val="24"/>
          <w:szCs w:val="24"/>
        </w:rPr>
        <w:t>Methods in Molecular Biology, 1916</w:t>
      </w:r>
      <w:r w:rsidRPr="00262423">
        <w:rPr>
          <w:rFonts w:ascii="Times New Roman" w:eastAsia="Times New Roman" w:hAnsi="Times New Roman" w:cs="Times New Roman"/>
          <w:sz w:val="24"/>
          <w:szCs w:val="24"/>
        </w:rPr>
        <w:t xml:space="preserve">, 105–111. </w:t>
      </w:r>
      <w:hyperlink r:id="rId33" w:history="1">
        <w:r w:rsidRPr="00262423">
          <w:rPr>
            <w:rFonts w:ascii="Times New Roman" w:eastAsia="Times New Roman" w:hAnsi="Times New Roman" w:cs="Times New Roman"/>
            <w:color w:val="0000FF"/>
            <w:sz w:val="24"/>
            <w:szCs w:val="24"/>
            <w:u w:val="single"/>
          </w:rPr>
          <w:t>https://doi.org/10.1007/978-1-4939-8994-2_10</w:t>
        </w:r>
      </w:hyperlink>
    </w:p>
    <w:p w14:paraId="0E54F66C"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lang w:val="nl-BE"/>
        </w:rPr>
        <w:t xml:space="preserve">Liu, Q., Zhang, R., Wang, X., Shen, X., Wang, P., Sun, N., Li, X., Li, X., &amp; Hai, C. (2019). </w:t>
      </w:r>
      <w:r w:rsidRPr="00262423">
        <w:rPr>
          <w:rFonts w:ascii="Times New Roman" w:eastAsia="Times New Roman" w:hAnsi="Times New Roman" w:cs="Times New Roman"/>
          <w:sz w:val="24"/>
          <w:szCs w:val="24"/>
        </w:rPr>
        <w:t xml:space="preserve">Effects of sub-chronic, low-dose cadmium exposure on kidney damage and potential mechanisms. </w:t>
      </w:r>
      <w:r w:rsidRPr="00262423">
        <w:rPr>
          <w:rFonts w:ascii="Times New Roman" w:eastAsia="Times New Roman" w:hAnsi="Times New Roman" w:cs="Times New Roman"/>
          <w:i/>
          <w:iCs/>
          <w:sz w:val="24"/>
          <w:szCs w:val="24"/>
        </w:rPr>
        <w:t>Annals of Translational Medicine, 7</w:t>
      </w:r>
      <w:r w:rsidRPr="00262423">
        <w:rPr>
          <w:rFonts w:ascii="Times New Roman" w:eastAsia="Times New Roman" w:hAnsi="Times New Roman" w:cs="Times New Roman"/>
          <w:sz w:val="24"/>
          <w:szCs w:val="24"/>
        </w:rPr>
        <w:t xml:space="preserve">(8), Article 177. </w:t>
      </w:r>
      <w:hyperlink r:id="rId34" w:history="1">
        <w:r w:rsidRPr="00262423">
          <w:rPr>
            <w:rFonts w:ascii="Times New Roman" w:eastAsia="Times New Roman" w:hAnsi="Times New Roman" w:cs="Times New Roman"/>
            <w:color w:val="0000FF"/>
            <w:sz w:val="24"/>
            <w:szCs w:val="24"/>
            <w:u w:val="single"/>
          </w:rPr>
          <w:t>https://doi.org/10.21037/atm.2019.03.66</w:t>
        </w:r>
      </w:hyperlink>
    </w:p>
    <w:p w14:paraId="6C7E420E"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Massányi, P., Massányi, M., </w:t>
      </w:r>
      <w:proofErr w:type="spellStart"/>
      <w:r w:rsidRPr="00262423">
        <w:rPr>
          <w:rFonts w:ascii="Times New Roman" w:eastAsia="Times New Roman" w:hAnsi="Times New Roman" w:cs="Times New Roman"/>
          <w:sz w:val="24"/>
          <w:szCs w:val="24"/>
        </w:rPr>
        <w:t>Madeddu</w:t>
      </w:r>
      <w:proofErr w:type="spellEnd"/>
      <w:r w:rsidRPr="00262423">
        <w:rPr>
          <w:rFonts w:ascii="Times New Roman" w:eastAsia="Times New Roman" w:hAnsi="Times New Roman" w:cs="Times New Roman"/>
          <w:sz w:val="24"/>
          <w:szCs w:val="24"/>
        </w:rPr>
        <w:t xml:space="preserve">, R., Stawarz, R., &amp; </w:t>
      </w:r>
      <w:proofErr w:type="spellStart"/>
      <w:r w:rsidRPr="00262423">
        <w:rPr>
          <w:rFonts w:ascii="Times New Roman" w:eastAsia="Times New Roman" w:hAnsi="Times New Roman" w:cs="Times New Roman"/>
          <w:sz w:val="24"/>
          <w:szCs w:val="24"/>
        </w:rPr>
        <w:t>Lukáč</w:t>
      </w:r>
      <w:proofErr w:type="spellEnd"/>
      <w:r w:rsidRPr="00262423">
        <w:rPr>
          <w:rFonts w:ascii="Times New Roman" w:eastAsia="Times New Roman" w:hAnsi="Times New Roman" w:cs="Times New Roman"/>
          <w:sz w:val="24"/>
          <w:szCs w:val="24"/>
        </w:rPr>
        <w:t xml:space="preserve">, N. (2020). Effects of cadmium, lead, and mercury on the structure and function of reproductive organs. </w:t>
      </w:r>
      <w:r w:rsidRPr="00262423">
        <w:rPr>
          <w:rFonts w:ascii="Times New Roman" w:eastAsia="Times New Roman" w:hAnsi="Times New Roman" w:cs="Times New Roman"/>
          <w:i/>
          <w:iCs/>
          <w:sz w:val="24"/>
          <w:szCs w:val="24"/>
        </w:rPr>
        <w:t>Toxics, 8</w:t>
      </w:r>
      <w:r w:rsidRPr="00262423">
        <w:rPr>
          <w:rFonts w:ascii="Times New Roman" w:eastAsia="Times New Roman" w:hAnsi="Times New Roman" w:cs="Times New Roman"/>
          <w:sz w:val="24"/>
          <w:szCs w:val="24"/>
        </w:rPr>
        <w:t xml:space="preserve">(4), Article 94. </w:t>
      </w:r>
      <w:hyperlink r:id="rId35" w:history="1">
        <w:r w:rsidRPr="00262423">
          <w:rPr>
            <w:rFonts w:ascii="Times New Roman" w:eastAsia="Times New Roman" w:hAnsi="Times New Roman" w:cs="Times New Roman"/>
            <w:color w:val="0000FF"/>
            <w:sz w:val="24"/>
            <w:szCs w:val="24"/>
            <w:u w:val="single"/>
          </w:rPr>
          <w:t>https://doi.org/10.3390/toxics8040094</w:t>
        </w:r>
      </w:hyperlink>
    </w:p>
    <w:p w14:paraId="42B91576"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262423">
        <w:rPr>
          <w:rFonts w:ascii="Times New Roman" w:eastAsia="Times New Roman" w:hAnsi="Times New Roman" w:cs="Times New Roman"/>
          <w:sz w:val="24"/>
          <w:szCs w:val="24"/>
        </w:rPr>
        <w:t>Mobisson</w:t>
      </w:r>
      <w:proofErr w:type="spellEnd"/>
      <w:r w:rsidRPr="00262423">
        <w:rPr>
          <w:rFonts w:ascii="Times New Roman" w:eastAsia="Times New Roman" w:hAnsi="Times New Roman" w:cs="Times New Roman"/>
          <w:sz w:val="24"/>
          <w:szCs w:val="24"/>
        </w:rPr>
        <w:t xml:space="preserve">, S. K., </w:t>
      </w:r>
      <w:proofErr w:type="spellStart"/>
      <w:r w:rsidRPr="00262423">
        <w:rPr>
          <w:rFonts w:ascii="Times New Roman" w:eastAsia="Times New Roman" w:hAnsi="Times New Roman" w:cs="Times New Roman"/>
          <w:sz w:val="24"/>
          <w:szCs w:val="24"/>
        </w:rPr>
        <w:t>Onyebuagu</w:t>
      </w:r>
      <w:proofErr w:type="spellEnd"/>
      <w:r w:rsidRPr="00262423">
        <w:rPr>
          <w:rFonts w:ascii="Times New Roman" w:eastAsia="Times New Roman" w:hAnsi="Times New Roman" w:cs="Times New Roman"/>
          <w:sz w:val="24"/>
          <w:szCs w:val="24"/>
        </w:rPr>
        <w:t xml:space="preserve">, P. C., </w:t>
      </w:r>
      <w:proofErr w:type="spellStart"/>
      <w:r w:rsidRPr="00262423">
        <w:rPr>
          <w:rFonts w:ascii="Times New Roman" w:eastAsia="Times New Roman" w:hAnsi="Times New Roman" w:cs="Times New Roman"/>
          <w:sz w:val="24"/>
          <w:szCs w:val="24"/>
        </w:rPr>
        <w:t>Wopara</w:t>
      </w:r>
      <w:proofErr w:type="spellEnd"/>
      <w:r w:rsidRPr="00262423">
        <w:rPr>
          <w:rFonts w:ascii="Times New Roman" w:eastAsia="Times New Roman" w:hAnsi="Times New Roman" w:cs="Times New Roman"/>
          <w:sz w:val="24"/>
          <w:szCs w:val="24"/>
        </w:rPr>
        <w:t xml:space="preserve">, I., </w:t>
      </w:r>
      <w:proofErr w:type="spellStart"/>
      <w:r w:rsidRPr="00262423">
        <w:rPr>
          <w:rFonts w:ascii="Times New Roman" w:eastAsia="Times New Roman" w:hAnsi="Times New Roman" w:cs="Times New Roman"/>
          <w:sz w:val="24"/>
          <w:szCs w:val="24"/>
        </w:rPr>
        <w:t>Woha</w:t>
      </w:r>
      <w:proofErr w:type="spellEnd"/>
      <w:r w:rsidRPr="00262423">
        <w:rPr>
          <w:rFonts w:ascii="Times New Roman" w:eastAsia="Times New Roman" w:hAnsi="Times New Roman" w:cs="Times New Roman"/>
          <w:sz w:val="24"/>
          <w:szCs w:val="24"/>
        </w:rPr>
        <w:t xml:space="preserve">, J. B., Boma, H. O., </w:t>
      </w:r>
      <w:proofErr w:type="spellStart"/>
      <w:r w:rsidRPr="00262423">
        <w:rPr>
          <w:rFonts w:ascii="Times New Roman" w:eastAsia="Times New Roman" w:hAnsi="Times New Roman" w:cs="Times New Roman"/>
          <w:sz w:val="24"/>
          <w:szCs w:val="24"/>
        </w:rPr>
        <w:t>Abaka</w:t>
      </w:r>
      <w:proofErr w:type="spellEnd"/>
      <w:r w:rsidRPr="00262423">
        <w:rPr>
          <w:rFonts w:ascii="Times New Roman" w:eastAsia="Times New Roman" w:hAnsi="Times New Roman" w:cs="Times New Roman"/>
          <w:sz w:val="24"/>
          <w:szCs w:val="24"/>
        </w:rPr>
        <w:t xml:space="preserve">, S. O., Monye, J. B., Ibe, F. U., &amp; </w:t>
      </w:r>
      <w:proofErr w:type="spellStart"/>
      <w:r w:rsidRPr="00262423">
        <w:rPr>
          <w:rFonts w:ascii="Times New Roman" w:eastAsia="Times New Roman" w:hAnsi="Times New Roman" w:cs="Times New Roman"/>
          <w:sz w:val="24"/>
          <w:szCs w:val="24"/>
        </w:rPr>
        <w:t>Obembe</w:t>
      </w:r>
      <w:proofErr w:type="spellEnd"/>
      <w:r w:rsidRPr="00262423">
        <w:rPr>
          <w:rFonts w:ascii="Times New Roman" w:eastAsia="Times New Roman" w:hAnsi="Times New Roman" w:cs="Times New Roman"/>
          <w:sz w:val="24"/>
          <w:szCs w:val="24"/>
        </w:rPr>
        <w:t xml:space="preserve">, A. O. (2023). Cannabidiol oil and prednisolone treatment altered hematologic indices, serum urea, creatinine and cellular architecture of kidney on </w:t>
      </w:r>
      <w:r w:rsidRPr="00262423">
        <w:rPr>
          <w:rFonts w:ascii="Times New Roman" w:eastAsia="Times New Roman" w:hAnsi="Times New Roman" w:cs="Times New Roman"/>
          <w:sz w:val="24"/>
          <w:szCs w:val="24"/>
        </w:rPr>
        <w:lastRenderedPageBreak/>
        <w:t xml:space="preserve">cadmium induced toxicity in male Wistar rats. </w:t>
      </w:r>
      <w:r w:rsidRPr="00262423">
        <w:rPr>
          <w:rFonts w:ascii="Times New Roman" w:eastAsia="Times New Roman" w:hAnsi="Times New Roman" w:cs="Times New Roman"/>
          <w:i/>
          <w:iCs/>
          <w:sz w:val="24"/>
          <w:szCs w:val="24"/>
        </w:rPr>
        <w:t>Journal of Pharmaceutical Research International, 35</w:t>
      </w:r>
      <w:r w:rsidRPr="00262423">
        <w:rPr>
          <w:rFonts w:ascii="Times New Roman" w:eastAsia="Times New Roman" w:hAnsi="Times New Roman" w:cs="Times New Roman"/>
          <w:sz w:val="24"/>
          <w:szCs w:val="24"/>
        </w:rPr>
        <w:t xml:space="preserve">(21), 14–27. </w:t>
      </w:r>
      <w:hyperlink r:id="rId36" w:history="1">
        <w:r w:rsidRPr="00262423">
          <w:rPr>
            <w:rFonts w:ascii="Times New Roman" w:eastAsia="Times New Roman" w:hAnsi="Times New Roman" w:cs="Times New Roman"/>
            <w:color w:val="0000FF"/>
            <w:sz w:val="24"/>
            <w:szCs w:val="24"/>
            <w:u w:val="single"/>
          </w:rPr>
          <w:t>https://doi.org/10.9734/jpri/2023/v35i217408</w:t>
        </w:r>
      </w:hyperlink>
    </w:p>
    <w:p w14:paraId="51792BCE"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Morris, R. G. (1984). Developments of a water-maze procedure for studying spatial learning in the rat. </w:t>
      </w:r>
      <w:r w:rsidRPr="00262423">
        <w:rPr>
          <w:rFonts w:ascii="Times New Roman" w:eastAsia="Times New Roman" w:hAnsi="Times New Roman" w:cs="Times New Roman"/>
          <w:i/>
          <w:iCs/>
          <w:sz w:val="24"/>
          <w:szCs w:val="24"/>
        </w:rPr>
        <w:t>Journal of Neuroscience Methods, 11</w:t>
      </w:r>
      <w:r w:rsidRPr="00262423">
        <w:rPr>
          <w:rFonts w:ascii="Times New Roman" w:eastAsia="Times New Roman" w:hAnsi="Times New Roman" w:cs="Times New Roman"/>
          <w:sz w:val="24"/>
          <w:szCs w:val="24"/>
        </w:rPr>
        <w:t xml:space="preserve">(1), 47–60. </w:t>
      </w:r>
      <w:hyperlink r:id="rId37" w:history="1">
        <w:r w:rsidRPr="00262423">
          <w:rPr>
            <w:rFonts w:ascii="Times New Roman" w:eastAsia="Times New Roman" w:hAnsi="Times New Roman" w:cs="Times New Roman"/>
            <w:color w:val="0000FF"/>
            <w:sz w:val="24"/>
            <w:szCs w:val="24"/>
            <w:u w:val="single"/>
          </w:rPr>
          <w:t>https://doi.org/10.1016/0165-0270(84)90007-4</w:t>
        </w:r>
      </w:hyperlink>
    </w:p>
    <w:p w14:paraId="309252CE"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Institute of Laboratory Animal Resources (U.S.), Committee on Care and Use of Laboratory Animals. (1985). </w:t>
      </w:r>
      <w:r w:rsidRPr="00262423">
        <w:rPr>
          <w:rFonts w:ascii="Times New Roman" w:eastAsia="Times New Roman" w:hAnsi="Times New Roman" w:cs="Times New Roman"/>
          <w:i/>
          <w:iCs/>
          <w:sz w:val="24"/>
          <w:szCs w:val="24"/>
        </w:rPr>
        <w:t>Guide for the care and use of laboratory animals</w:t>
      </w:r>
      <w:r w:rsidRPr="00262423">
        <w:rPr>
          <w:rFonts w:ascii="Times New Roman" w:eastAsia="Times New Roman" w:hAnsi="Times New Roman" w:cs="Times New Roman"/>
          <w:sz w:val="24"/>
          <w:szCs w:val="24"/>
        </w:rPr>
        <w:t xml:space="preserve"> (NIH Publication No. 85-23, revised 1985). U.S. Department of Health and Human Services, Public Health Service, National Institutes of Health. </w:t>
      </w:r>
      <w:hyperlink r:id="rId38" w:history="1">
        <w:r w:rsidRPr="00262423">
          <w:rPr>
            <w:rFonts w:ascii="Times New Roman" w:eastAsia="Times New Roman" w:hAnsi="Times New Roman" w:cs="Times New Roman"/>
            <w:color w:val="0000FF"/>
            <w:sz w:val="24"/>
            <w:szCs w:val="24"/>
            <w:u w:val="single"/>
          </w:rPr>
          <w:t>https://catalog.hathitrust.org/Record/102412867</w:t>
        </w:r>
      </w:hyperlink>
    </w:p>
    <w:p w14:paraId="4EA839D0"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Pulido, G., Treviño, S., Brambila, E., Vazquez-Roque, R., Moreno-Rodriguez, A., Peña Rosas, U., Moran-Perales, J. L., Handal Silva, A., Guevara, J., Flores, G., &amp; Diaz, A. (2019). The administration of cadmium for 2, 3 and 4 months causes a loss of recognition memory, promotes neuronal hypotrophy and apoptosis in the hippocampus of rats. </w:t>
      </w:r>
      <w:r w:rsidRPr="00262423">
        <w:rPr>
          <w:rFonts w:ascii="Times New Roman" w:eastAsia="Times New Roman" w:hAnsi="Times New Roman" w:cs="Times New Roman"/>
          <w:i/>
          <w:iCs/>
          <w:sz w:val="24"/>
          <w:szCs w:val="24"/>
        </w:rPr>
        <w:t>Neurochemical Research, 44</w:t>
      </w:r>
      <w:r w:rsidRPr="00262423">
        <w:rPr>
          <w:rFonts w:ascii="Times New Roman" w:eastAsia="Times New Roman" w:hAnsi="Times New Roman" w:cs="Times New Roman"/>
          <w:sz w:val="24"/>
          <w:szCs w:val="24"/>
        </w:rPr>
        <w:t xml:space="preserve">(2), 485–497. </w:t>
      </w:r>
      <w:hyperlink r:id="rId39" w:history="1">
        <w:r w:rsidRPr="00262423">
          <w:rPr>
            <w:rFonts w:ascii="Times New Roman" w:eastAsia="Times New Roman" w:hAnsi="Times New Roman" w:cs="Times New Roman"/>
            <w:color w:val="0000FF"/>
            <w:sz w:val="24"/>
            <w:szCs w:val="24"/>
            <w:u w:val="single"/>
          </w:rPr>
          <w:t>https://doi.org/10.1007/s11064-018-02703-2</w:t>
        </w:r>
      </w:hyperlink>
    </w:p>
    <w:p w14:paraId="26BEBCCD"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Purushottam, B., &amp; </w:t>
      </w:r>
      <w:proofErr w:type="spellStart"/>
      <w:r w:rsidRPr="00262423">
        <w:rPr>
          <w:rFonts w:ascii="Times New Roman" w:eastAsia="Times New Roman" w:hAnsi="Times New Roman" w:cs="Times New Roman"/>
          <w:sz w:val="24"/>
          <w:szCs w:val="24"/>
        </w:rPr>
        <w:t>Adhinarayana</w:t>
      </w:r>
      <w:proofErr w:type="spellEnd"/>
      <w:r w:rsidRPr="00262423">
        <w:rPr>
          <w:rFonts w:ascii="Times New Roman" w:eastAsia="Times New Roman" w:hAnsi="Times New Roman" w:cs="Times New Roman"/>
          <w:sz w:val="24"/>
          <w:szCs w:val="24"/>
        </w:rPr>
        <w:t xml:space="preserve"> Reddy, R. (2024). Cadmium toxicity: Sources, mechanisms and human health implications: A comprehensive review. </w:t>
      </w:r>
      <w:r w:rsidRPr="00262423">
        <w:rPr>
          <w:rFonts w:ascii="Times New Roman" w:eastAsia="Times New Roman" w:hAnsi="Times New Roman" w:cs="Times New Roman"/>
          <w:i/>
          <w:iCs/>
          <w:sz w:val="24"/>
          <w:szCs w:val="24"/>
        </w:rPr>
        <w:t>Uttar Pradesh Journal of Zoology, 45</w:t>
      </w:r>
      <w:r w:rsidRPr="00262423">
        <w:rPr>
          <w:rFonts w:ascii="Times New Roman" w:eastAsia="Times New Roman" w:hAnsi="Times New Roman" w:cs="Times New Roman"/>
          <w:sz w:val="24"/>
          <w:szCs w:val="24"/>
        </w:rPr>
        <w:t xml:space="preserve">(15), 442–450. </w:t>
      </w:r>
      <w:hyperlink r:id="rId40" w:history="1">
        <w:r w:rsidRPr="00262423">
          <w:rPr>
            <w:rFonts w:ascii="Times New Roman" w:eastAsia="Times New Roman" w:hAnsi="Times New Roman" w:cs="Times New Roman"/>
            <w:color w:val="0000FF"/>
            <w:sz w:val="24"/>
            <w:szCs w:val="24"/>
            <w:u w:val="single"/>
          </w:rPr>
          <w:t>https://doi.org/10.56557/upjoz/2024/v45i154260</w:t>
        </w:r>
      </w:hyperlink>
    </w:p>
    <w:p w14:paraId="7E5DCEF3"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Thrall, M. A., Weiser, G., Allison, R. W., &amp; Campbell, T. W. (Eds.). (2022). </w:t>
      </w:r>
      <w:r w:rsidRPr="00262423">
        <w:rPr>
          <w:rFonts w:ascii="Times New Roman" w:eastAsia="Times New Roman" w:hAnsi="Times New Roman" w:cs="Times New Roman"/>
          <w:i/>
          <w:iCs/>
          <w:sz w:val="24"/>
          <w:szCs w:val="24"/>
        </w:rPr>
        <w:t>Veterinary hematology, clinical chemistry, and cytology</w:t>
      </w:r>
      <w:r w:rsidRPr="00262423">
        <w:rPr>
          <w:rFonts w:ascii="Times New Roman" w:eastAsia="Times New Roman" w:hAnsi="Times New Roman" w:cs="Times New Roman"/>
          <w:sz w:val="24"/>
          <w:szCs w:val="24"/>
        </w:rPr>
        <w:t xml:space="preserve"> (3rd ed.). Wiley-Blackwell. </w:t>
      </w:r>
      <w:hyperlink r:id="rId41" w:history="1">
        <w:r w:rsidRPr="00262423">
          <w:rPr>
            <w:rFonts w:ascii="Times New Roman" w:eastAsia="Times New Roman" w:hAnsi="Times New Roman" w:cs="Times New Roman"/>
            <w:color w:val="0000FF"/>
            <w:sz w:val="24"/>
            <w:szCs w:val="24"/>
            <w:u w:val="single"/>
          </w:rPr>
          <w:t>https://www.wiley.com/en-us/shop/general-introductory-veterinary-medicine/veterinary-hematology-clinical-chemistry-and-cytology-3rd-edition-p-9781119286400</w:t>
        </w:r>
      </w:hyperlink>
    </w:p>
    <w:p w14:paraId="6FD92F3E"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lang w:val="nl-BE"/>
        </w:rPr>
        <w:t xml:space="preserve">Tjølsen, A., Berge, O. G., Hunskaar, S., Rosland, J. H., &amp; Hole, K. (1992). </w:t>
      </w:r>
      <w:r w:rsidRPr="00262423">
        <w:rPr>
          <w:rFonts w:ascii="Times New Roman" w:eastAsia="Times New Roman" w:hAnsi="Times New Roman" w:cs="Times New Roman"/>
          <w:sz w:val="24"/>
          <w:szCs w:val="24"/>
        </w:rPr>
        <w:t xml:space="preserve">The formalin test: An evaluation of the method. </w:t>
      </w:r>
      <w:r w:rsidRPr="00262423">
        <w:rPr>
          <w:rFonts w:ascii="Times New Roman" w:eastAsia="Times New Roman" w:hAnsi="Times New Roman" w:cs="Times New Roman"/>
          <w:i/>
          <w:iCs/>
          <w:sz w:val="24"/>
          <w:szCs w:val="24"/>
        </w:rPr>
        <w:t>Pain, 51</w:t>
      </w:r>
      <w:r w:rsidRPr="00262423">
        <w:rPr>
          <w:rFonts w:ascii="Times New Roman" w:eastAsia="Times New Roman" w:hAnsi="Times New Roman" w:cs="Times New Roman"/>
          <w:sz w:val="24"/>
          <w:szCs w:val="24"/>
        </w:rPr>
        <w:t xml:space="preserve">(1), 5–17. </w:t>
      </w:r>
      <w:hyperlink r:id="rId42" w:history="1">
        <w:r w:rsidRPr="00262423">
          <w:rPr>
            <w:rFonts w:ascii="Times New Roman" w:eastAsia="Times New Roman" w:hAnsi="Times New Roman" w:cs="Times New Roman"/>
            <w:color w:val="0000FF"/>
            <w:sz w:val="24"/>
            <w:szCs w:val="24"/>
            <w:u w:val="single"/>
          </w:rPr>
          <w:t>https://doi.org/10.1016/0304-3959(92)90003-T</w:t>
        </w:r>
      </w:hyperlink>
    </w:p>
    <w:p w14:paraId="79F65E2C"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Vorhees, C. V., &amp; Williams, M. T. (2006). Morris water maze: Procedures for assessing spatial and related forms of learning and memory. </w:t>
      </w:r>
      <w:r w:rsidRPr="00262423">
        <w:rPr>
          <w:rFonts w:ascii="Times New Roman" w:eastAsia="Times New Roman" w:hAnsi="Times New Roman" w:cs="Times New Roman"/>
          <w:i/>
          <w:iCs/>
          <w:sz w:val="24"/>
          <w:szCs w:val="24"/>
        </w:rPr>
        <w:t>Nature Protocols, 1</w:t>
      </w:r>
      <w:r w:rsidRPr="00262423">
        <w:rPr>
          <w:rFonts w:ascii="Times New Roman" w:eastAsia="Times New Roman" w:hAnsi="Times New Roman" w:cs="Times New Roman"/>
          <w:sz w:val="24"/>
          <w:szCs w:val="24"/>
        </w:rPr>
        <w:t xml:space="preserve">(2), 848–858. </w:t>
      </w:r>
      <w:hyperlink r:id="rId43" w:history="1">
        <w:r w:rsidRPr="00262423">
          <w:rPr>
            <w:rFonts w:ascii="Times New Roman" w:eastAsia="Times New Roman" w:hAnsi="Times New Roman" w:cs="Times New Roman"/>
            <w:color w:val="0000FF"/>
            <w:sz w:val="24"/>
            <w:szCs w:val="24"/>
            <w:u w:val="single"/>
          </w:rPr>
          <w:t>https://doi.org/10.1038/nprot.2006.116</w:t>
        </w:r>
      </w:hyperlink>
    </w:p>
    <w:p w14:paraId="7B87B98A"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Wang, H., Abel, G. M., Storm, D. R., &amp; Xia, Z. (2019). Cadmium exposure impairs adult hippocampal neurogenesis. </w:t>
      </w:r>
      <w:r w:rsidRPr="00262423">
        <w:rPr>
          <w:rFonts w:ascii="Times New Roman" w:eastAsia="Times New Roman" w:hAnsi="Times New Roman" w:cs="Times New Roman"/>
          <w:i/>
          <w:iCs/>
          <w:sz w:val="24"/>
          <w:szCs w:val="24"/>
        </w:rPr>
        <w:t>Toxicological Sciences, 171</w:t>
      </w:r>
      <w:r w:rsidRPr="00262423">
        <w:rPr>
          <w:rFonts w:ascii="Times New Roman" w:eastAsia="Times New Roman" w:hAnsi="Times New Roman" w:cs="Times New Roman"/>
          <w:sz w:val="24"/>
          <w:szCs w:val="24"/>
        </w:rPr>
        <w:t xml:space="preserve">(2), 501–514. </w:t>
      </w:r>
      <w:hyperlink r:id="rId44" w:history="1">
        <w:r w:rsidRPr="00262423">
          <w:rPr>
            <w:rFonts w:ascii="Times New Roman" w:eastAsia="Times New Roman" w:hAnsi="Times New Roman" w:cs="Times New Roman"/>
            <w:color w:val="0000FF"/>
            <w:sz w:val="24"/>
            <w:szCs w:val="24"/>
            <w:u w:val="single"/>
          </w:rPr>
          <w:t>https://doi.org/10.1093/toxsci/kfz152</w:t>
        </w:r>
      </w:hyperlink>
    </w:p>
    <w:p w14:paraId="20E5D134"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Zhang, J. M., &amp; An, J. (2007). Cytokines, inflammation, and pain. </w:t>
      </w:r>
      <w:r w:rsidRPr="00262423">
        <w:rPr>
          <w:rFonts w:ascii="Times New Roman" w:eastAsia="Times New Roman" w:hAnsi="Times New Roman" w:cs="Times New Roman"/>
          <w:i/>
          <w:iCs/>
          <w:sz w:val="24"/>
          <w:szCs w:val="24"/>
        </w:rPr>
        <w:t>International Anesthesiology Clinics, 45</w:t>
      </w:r>
      <w:r w:rsidRPr="00262423">
        <w:rPr>
          <w:rFonts w:ascii="Times New Roman" w:eastAsia="Times New Roman" w:hAnsi="Times New Roman" w:cs="Times New Roman"/>
          <w:sz w:val="24"/>
          <w:szCs w:val="24"/>
        </w:rPr>
        <w:t xml:space="preserve">(2), 27–37. </w:t>
      </w:r>
      <w:hyperlink r:id="rId45" w:history="1">
        <w:r w:rsidRPr="00262423">
          <w:rPr>
            <w:rFonts w:ascii="Times New Roman" w:eastAsia="Times New Roman" w:hAnsi="Times New Roman" w:cs="Times New Roman"/>
            <w:color w:val="0000FF"/>
            <w:sz w:val="24"/>
            <w:szCs w:val="24"/>
            <w:u w:val="single"/>
          </w:rPr>
          <w:t>https://doi.org/10.1097/AIA.0b013e318034194e</w:t>
        </w:r>
      </w:hyperlink>
    </w:p>
    <w:p w14:paraId="2B978B4A" w14:textId="77777777" w:rsidR="00262423" w:rsidRPr="00262423" w:rsidRDefault="00262423" w:rsidP="0026242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262423">
        <w:rPr>
          <w:rFonts w:ascii="Times New Roman" w:eastAsia="Times New Roman" w:hAnsi="Times New Roman" w:cs="Times New Roman"/>
          <w:sz w:val="24"/>
          <w:szCs w:val="24"/>
        </w:rPr>
        <w:t xml:space="preserve">Zimmermann, M. (1983). Ethical guidelines for investigations of experimental pain in conscious animals. </w:t>
      </w:r>
      <w:r w:rsidRPr="00262423">
        <w:rPr>
          <w:rFonts w:ascii="Times New Roman" w:eastAsia="Times New Roman" w:hAnsi="Times New Roman" w:cs="Times New Roman"/>
          <w:i/>
          <w:iCs/>
          <w:sz w:val="24"/>
          <w:szCs w:val="24"/>
        </w:rPr>
        <w:t>Pain, 16</w:t>
      </w:r>
      <w:r w:rsidRPr="00262423">
        <w:rPr>
          <w:rFonts w:ascii="Times New Roman" w:eastAsia="Times New Roman" w:hAnsi="Times New Roman" w:cs="Times New Roman"/>
          <w:sz w:val="24"/>
          <w:szCs w:val="24"/>
        </w:rPr>
        <w:t xml:space="preserve">(2), 109–110. </w:t>
      </w:r>
      <w:hyperlink r:id="rId46" w:history="1">
        <w:r w:rsidRPr="00262423">
          <w:rPr>
            <w:rFonts w:ascii="Times New Roman" w:eastAsia="Times New Roman" w:hAnsi="Times New Roman" w:cs="Times New Roman"/>
            <w:color w:val="0000FF"/>
            <w:sz w:val="24"/>
            <w:szCs w:val="24"/>
            <w:u w:val="single"/>
          </w:rPr>
          <w:t>https://doi.org/10.1016/0304-3959(83)90201-4</w:t>
        </w:r>
      </w:hyperlink>
    </w:p>
    <w:p w14:paraId="39B7E683" w14:textId="0F8BD174" w:rsidR="00136F73" w:rsidRDefault="00136F73" w:rsidP="00262423">
      <w:pPr>
        <w:spacing w:after="0" w:line="276" w:lineRule="auto"/>
        <w:ind w:left="720" w:hanging="720"/>
        <w:rPr>
          <w:bCs/>
        </w:rPr>
      </w:pPr>
    </w:p>
    <w:sectPr w:rsidR="00136F7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13AD" w14:textId="77777777" w:rsidR="002F3130" w:rsidRDefault="002F3130">
      <w:pPr>
        <w:spacing w:after="0" w:line="240" w:lineRule="auto"/>
      </w:pPr>
      <w:r>
        <w:separator/>
      </w:r>
    </w:p>
  </w:endnote>
  <w:endnote w:type="continuationSeparator" w:id="0">
    <w:p w14:paraId="0D45AC5A" w14:textId="77777777" w:rsidR="002F3130" w:rsidRDefault="002F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hnschrift">
    <w:panose1 w:val="020B0502040204020203"/>
    <w:charset w:val="00"/>
    <w:family w:val="swiss"/>
    <w:pitch w:val="variable"/>
    <w:sig w:usb0="A00002C7" w:usb1="00000002" w:usb2="00000000" w:usb3="00000000" w:csb0="0000019F" w:csb1="00000000"/>
  </w:font>
  <w:font w:name="Yu Mincho Light">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EA98" w14:textId="77777777" w:rsidR="00B33CAF" w:rsidRDefault="00AB4191">
    <w:pPr>
      <w:pStyle w:val="Footer"/>
      <w:jc w:val="center"/>
    </w:pPr>
    <w:r>
      <w:fldChar w:fldCharType="begin"/>
    </w:r>
    <w:r>
      <w:instrText xml:space="preserve"> PAGE   \* MERGEFORMAT </w:instrText>
    </w:r>
    <w:r>
      <w:fldChar w:fldCharType="separate"/>
    </w:r>
    <w:r>
      <w:rPr>
        <w:noProof/>
      </w:rPr>
      <w:t>2</w:t>
    </w:r>
    <w:r>
      <w:rPr>
        <w:noProof/>
      </w:rPr>
      <w:fldChar w:fldCharType="end"/>
    </w:r>
  </w:p>
  <w:p w14:paraId="294EAAC7" w14:textId="77777777" w:rsidR="00B33CAF" w:rsidRDefault="00B33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404CC" w14:textId="77777777" w:rsidR="002F3130" w:rsidRDefault="002F3130">
      <w:pPr>
        <w:spacing w:after="0" w:line="240" w:lineRule="auto"/>
      </w:pPr>
      <w:r>
        <w:separator/>
      </w:r>
    </w:p>
  </w:footnote>
  <w:footnote w:type="continuationSeparator" w:id="0">
    <w:p w14:paraId="2A7DA78F" w14:textId="77777777" w:rsidR="002F3130" w:rsidRDefault="002F3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AD4B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274AB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DCFC4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BB3F8E8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 w15:restartNumberingAfterBreak="0">
    <w:nsid w:val="00000006"/>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8" w15:restartNumberingAfterBreak="0">
    <w:nsid w:val="00000009"/>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0" w15:restartNumberingAfterBreak="0">
    <w:nsid w:val="0000000B"/>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1" w15:restartNumberingAfterBreak="0">
    <w:nsid w:val="0000000C"/>
    <w:multiLevelType w:val="hybridMultilevel"/>
    <w:tmpl w:val="9143BBB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3" w15:restartNumberingAfterBreak="0">
    <w:nsid w:val="0000000E"/>
    <w:multiLevelType w:val="hybridMultilevel"/>
    <w:tmpl w:val="CE64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7838FA"/>
    <w:multiLevelType w:val="multilevel"/>
    <w:tmpl w:val="FFD08B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473062"/>
    <w:multiLevelType w:val="multilevel"/>
    <w:tmpl w:val="A718F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41021A"/>
    <w:multiLevelType w:val="hybridMultilevel"/>
    <w:tmpl w:val="88CA5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094B73"/>
    <w:multiLevelType w:val="hybridMultilevel"/>
    <w:tmpl w:val="79148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3803327">
    <w:abstractNumId w:val="5"/>
  </w:num>
  <w:num w:numId="2" w16cid:durableId="1109811413">
    <w:abstractNumId w:val="13"/>
  </w:num>
  <w:num w:numId="3" w16cid:durableId="672151304">
    <w:abstractNumId w:val="0"/>
  </w:num>
  <w:num w:numId="4" w16cid:durableId="1817725140">
    <w:abstractNumId w:val="2"/>
  </w:num>
  <w:num w:numId="5" w16cid:durableId="1407844780">
    <w:abstractNumId w:val="17"/>
  </w:num>
  <w:num w:numId="6" w16cid:durableId="1913196370">
    <w:abstractNumId w:val="1"/>
  </w:num>
  <w:num w:numId="7" w16cid:durableId="804279258">
    <w:abstractNumId w:val="3"/>
  </w:num>
  <w:num w:numId="8" w16cid:durableId="360127288">
    <w:abstractNumId w:val="4"/>
  </w:num>
  <w:num w:numId="9" w16cid:durableId="1325620416">
    <w:abstractNumId w:val="6"/>
  </w:num>
  <w:num w:numId="10" w16cid:durableId="290749960">
    <w:abstractNumId w:val="7"/>
  </w:num>
  <w:num w:numId="11" w16cid:durableId="48312565">
    <w:abstractNumId w:val="8"/>
  </w:num>
  <w:num w:numId="12" w16cid:durableId="1309825261">
    <w:abstractNumId w:val="9"/>
  </w:num>
  <w:num w:numId="13" w16cid:durableId="1695422991">
    <w:abstractNumId w:val="10"/>
  </w:num>
  <w:num w:numId="14" w16cid:durableId="1125660983">
    <w:abstractNumId w:val="11"/>
  </w:num>
  <w:num w:numId="15" w16cid:durableId="665868132">
    <w:abstractNumId w:val="12"/>
  </w:num>
  <w:num w:numId="16" w16cid:durableId="1392457657">
    <w:abstractNumId w:val="15"/>
  </w:num>
  <w:num w:numId="17" w16cid:durableId="255134432">
    <w:abstractNumId w:val="14"/>
  </w:num>
  <w:num w:numId="18" w16cid:durableId="16638536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UDEibGRkYmBqZGFko6SsGpxcWZ+XkgBYa1APkzRhosAAAA"/>
  </w:docVars>
  <w:rsids>
    <w:rsidRoot w:val="00B33CAF"/>
    <w:rsid w:val="00017122"/>
    <w:rsid w:val="00063BB1"/>
    <w:rsid w:val="000848C4"/>
    <w:rsid w:val="000D7F92"/>
    <w:rsid w:val="00136F73"/>
    <w:rsid w:val="00192188"/>
    <w:rsid w:val="00262423"/>
    <w:rsid w:val="002C1FE9"/>
    <w:rsid w:val="002F3130"/>
    <w:rsid w:val="00315F9A"/>
    <w:rsid w:val="003B3A7E"/>
    <w:rsid w:val="004C6159"/>
    <w:rsid w:val="004E7936"/>
    <w:rsid w:val="004F4769"/>
    <w:rsid w:val="00623FFD"/>
    <w:rsid w:val="00696FE8"/>
    <w:rsid w:val="006F37E6"/>
    <w:rsid w:val="00783BD2"/>
    <w:rsid w:val="007A5373"/>
    <w:rsid w:val="008033F3"/>
    <w:rsid w:val="008902D6"/>
    <w:rsid w:val="008D2A97"/>
    <w:rsid w:val="009B6426"/>
    <w:rsid w:val="00AB4191"/>
    <w:rsid w:val="00AB46B0"/>
    <w:rsid w:val="00AF0C08"/>
    <w:rsid w:val="00B3124E"/>
    <w:rsid w:val="00B33CAF"/>
    <w:rsid w:val="00C55EFB"/>
    <w:rsid w:val="00C648BF"/>
    <w:rsid w:val="00D9497E"/>
    <w:rsid w:val="00DB0476"/>
    <w:rsid w:val="00E02209"/>
    <w:rsid w:val="00E738EE"/>
    <w:rsid w:val="00F21BCB"/>
    <w:rsid w:val="00F627C3"/>
    <w:rsid w:val="00FE2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7B8051B"/>
  <w15:docId w15:val="{6F179E9A-3402-4091-8BCC-F9645634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rPr>
      <w:color w:val="808080"/>
    </w:rPr>
  </w:style>
  <w:style w:type="paragraph" w:styleId="NormalWeb">
    <w:name w:val="Normal (Web)"/>
    <w:basedOn w:val="Normal"/>
    <w:uiPriority w:val="99"/>
    <w:pPr>
      <w:spacing w:before="100" w:beforeAutospacing="1" w:after="100" w:afterAutospacing="1" w:line="240" w:lineRule="auto"/>
    </w:pPr>
    <w:rPr>
      <w:rFonts w:ascii="Times New Roman" w:eastAsia="SimSun" w:hAnsi="Times New Roman" w:cs="Times New Roman"/>
      <w:sz w:val="24"/>
      <w:szCs w:val="24"/>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NoSpacing">
    <w:name w:val="No Spacing"/>
    <w:uiPriority w:val="1"/>
    <w:qFormat/>
    <w:rsid w:val="00F21BCB"/>
    <w:pPr>
      <w:spacing w:after="0" w:line="240" w:lineRule="auto"/>
    </w:pPr>
    <w:rPr>
      <w:rFonts w:asciiTheme="minorHAnsi" w:eastAsiaTheme="minorHAnsi" w:hAnsiTheme="minorHAnsi" w:cstheme="minorBidi"/>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emf"/><Relationship Id="rId26" Type="http://schemas.openxmlformats.org/officeDocument/2006/relationships/hyperlink" Target="https://doi.org/10.3390/toxics9060142" TargetMode="External"/><Relationship Id="rId39" Type="http://schemas.openxmlformats.org/officeDocument/2006/relationships/hyperlink" Target="https://doi.org/10.1007/s11064-018-02703-2" TargetMode="External"/><Relationship Id="rId21" Type="http://schemas.openxmlformats.org/officeDocument/2006/relationships/hyperlink" Target="https://doi.org/10.3390/ijms242316558" TargetMode="External"/><Relationship Id="rId34" Type="http://schemas.openxmlformats.org/officeDocument/2006/relationships/hyperlink" Target="https://doi.org/10.21037/atm.2019.03.66" TargetMode="External"/><Relationship Id="rId42" Type="http://schemas.openxmlformats.org/officeDocument/2006/relationships/hyperlink" Target="https://doi.org/10.1016/0304-3959(92)90003-T" TargetMode="External"/><Relationship Id="rId47"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emf"/><Relationship Id="rId29" Type="http://schemas.openxmlformats.org/officeDocument/2006/relationships/hyperlink" Target="https://doi.org/10.1186/1471-2458-10-3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s://doi.org/10.3390/molecules28186620" TargetMode="External"/><Relationship Id="rId32" Type="http://schemas.openxmlformats.org/officeDocument/2006/relationships/hyperlink" Target="https://doi.org/10.4162/nrp.2009.3.2.89" TargetMode="External"/><Relationship Id="rId37" Type="http://schemas.openxmlformats.org/officeDocument/2006/relationships/hyperlink" Target="https://doi.org/10.1016/0165-0270(84)90007-4" TargetMode="External"/><Relationship Id="rId40" Type="http://schemas.openxmlformats.org/officeDocument/2006/relationships/hyperlink" Target="https://doi.org/10.56557/upjoz/2024/v45i154260" TargetMode="External"/><Relationship Id="rId45" Type="http://schemas.openxmlformats.org/officeDocument/2006/relationships/hyperlink" Target="https://doi.org/10.1097/AIA.0b013e318034194e" TargetMode="Externa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hyperlink" Target="https://doi.org/10.1002/9781118993705" TargetMode="External"/><Relationship Id="rId28" Type="http://schemas.openxmlformats.org/officeDocument/2006/relationships/hyperlink" Target="https://doi.org/10.1007/s12011-023-03752-7" TargetMode="External"/><Relationship Id="rId36" Type="http://schemas.openxmlformats.org/officeDocument/2006/relationships/hyperlink" Target="https://doi.org/10.9734/jpri/2023/v35i217408" TargetMode="External"/><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hyperlink" Target="https://doi.org/10.1016/0304-3959(87)90088-1" TargetMode="External"/><Relationship Id="rId44" Type="http://schemas.openxmlformats.org/officeDocument/2006/relationships/hyperlink" Target="https://doi.org/10.1093/toxsci/kfz152"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hyperlink" Target="https://doi.org/10.3390/antiox9060492" TargetMode="External"/><Relationship Id="rId27" Type="http://schemas.openxmlformats.org/officeDocument/2006/relationships/hyperlink" Target="https://doi.org/10.1007/s12011-024-04271-9" TargetMode="External"/><Relationship Id="rId30" Type="http://schemas.openxmlformats.org/officeDocument/2006/relationships/hyperlink" Target="https://doi.org/10.1007/s12011-025-04807-7" TargetMode="External"/><Relationship Id="rId35" Type="http://schemas.openxmlformats.org/officeDocument/2006/relationships/hyperlink" Target="https://doi.org/10.3390/toxics8040094" TargetMode="External"/><Relationship Id="rId43" Type="http://schemas.openxmlformats.org/officeDocument/2006/relationships/hyperlink" Target="https://doi.org/10.1038/nprot.2006.116" TargetMode="External"/><Relationship Id="rId48"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hyperlink" Target="https://doi.org/10.1556/abiol.60.2009.1.8" TargetMode="External"/><Relationship Id="rId33" Type="http://schemas.openxmlformats.org/officeDocument/2006/relationships/hyperlink" Target="https://doi.org/10.1007/978-1-4939-8994-2_10" TargetMode="External"/><Relationship Id="rId38" Type="http://schemas.openxmlformats.org/officeDocument/2006/relationships/hyperlink" Target="https://catalog.hathitrust.org/Record/102412867" TargetMode="External"/><Relationship Id="rId46" Type="http://schemas.openxmlformats.org/officeDocument/2006/relationships/hyperlink" Target="https://doi.org/10.1016/0304-3959(83)90201-4" TargetMode="External"/><Relationship Id="rId20" Type="http://schemas.openxmlformats.org/officeDocument/2006/relationships/hyperlink" Target="https://doi.org/10.18805/IJAR.BF-1885" TargetMode="External"/><Relationship Id="rId41" Type="http://schemas.openxmlformats.org/officeDocument/2006/relationships/hyperlink" Target="https://www.wiley.com/en-us/shop/general-introductory-veterinary-medicine/veterinary-hematology-clinical-chemistry-and-cytology-3rd-edition-p-9781119286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18</Pages>
  <Words>5136</Words>
  <Characters>29281</Characters>
  <Application>Microsoft Office Word</Application>
  <DocSecurity>0</DocSecurity>
  <Lines>244</Lines>
  <Paragraphs>68</Paragraphs>
  <ScaleCrop>false</ScaleCrop>
  <Company/>
  <LinksUpToDate>false</LinksUpToDate>
  <CharactersWithSpaces>34349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jonahgodspower5@gmail.com</dc:creator>
  <cp:lastModifiedBy>Editor-90</cp:lastModifiedBy>
  <cp:revision>28</cp:revision>
  <dcterms:created xsi:type="dcterms:W3CDTF">2026-06-07T23:03:00Z</dcterms:created>
  <dcterms:modified xsi:type="dcterms:W3CDTF">2026-08-03T11:48:00Z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8a1b13a8c6884af9989747fc52229264_23</vt:lpwstr>
  </property>
</Properties>
</file>