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B646" w14:textId="77777777" w:rsidR="0012185D" w:rsidRPr="00BC05AD" w:rsidRDefault="00A71CE0" w:rsidP="00A71CE0">
      <w:pPr>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24"/>
          <w:szCs w:val="24"/>
        </w:rPr>
      </w:pPr>
      <w:r w:rsidRPr="00BC05AD">
        <w:rPr>
          <w:rFonts w:ascii="Times New Roman" w:eastAsia="Times New Roman" w:hAnsi="Times New Roman" w:cs="Times New Roman"/>
          <w:b/>
          <w:bCs/>
          <w:color w:val="000000" w:themeColor="text1"/>
          <w:kern w:val="36"/>
          <w:sz w:val="24"/>
          <w:szCs w:val="24"/>
        </w:rPr>
        <w:t>GROSS CAPITAL FORMATION AND ECONOMIC GROWTH IN NIGERIA</w:t>
      </w:r>
    </w:p>
    <w:p w14:paraId="69534F47" w14:textId="77777777" w:rsidR="00AD2FA3" w:rsidRPr="00BC05AD" w:rsidRDefault="00AD2FA3" w:rsidP="00A71CE0">
      <w:pPr>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24"/>
          <w:szCs w:val="24"/>
        </w:rPr>
      </w:pPr>
    </w:p>
    <w:p w14:paraId="3C154B4F" w14:textId="77777777" w:rsidR="0012185D" w:rsidRPr="00BC05AD" w:rsidRDefault="009B6E9A" w:rsidP="004A31B9">
      <w:pPr>
        <w:spacing w:before="100" w:beforeAutospacing="1" w:after="100" w:afterAutospacing="1" w:line="240" w:lineRule="auto"/>
        <w:jc w:val="center"/>
        <w:outlineLvl w:val="1"/>
        <w:rPr>
          <w:rFonts w:ascii="Times New Roman" w:eastAsia="Times New Roman" w:hAnsi="Times New Roman" w:cs="Times New Roman"/>
          <w:b/>
          <w:bCs/>
          <w:color w:val="000000" w:themeColor="text1"/>
          <w:sz w:val="24"/>
          <w:szCs w:val="24"/>
        </w:rPr>
      </w:pPr>
      <w:r w:rsidRPr="00BC05AD">
        <w:rPr>
          <w:rFonts w:ascii="Times New Roman" w:eastAsia="Times New Roman" w:hAnsi="Times New Roman" w:cs="Times New Roman"/>
          <w:b/>
          <w:bCs/>
          <w:color w:val="000000" w:themeColor="text1"/>
          <w:sz w:val="24"/>
          <w:szCs w:val="24"/>
        </w:rPr>
        <w:t>ABSTRACT</w:t>
      </w:r>
    </w:p>
    <w:p w14:paraId="17F6DA7C" w14:textId="77777777" w:rsidR="0012185D" w:rsidRPr="00BC05AD" w:rsidRDefault="00523501" w:rsidP="006E76E5">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Gross capital formation is considered one of the most important contributors to economic growth </w:t>
      </w:r>
      <w:r>
        <w:rPr>
          <w:rFonts w:ascii="Times New Roman" w:eastAsia="Times New Roman" w:hAnsi="Times New Roman" w:cs="Times New Roman"/>
          <w:color w:val="000000" w:themeColor="text1"/>
          <w:sz w:val="24"/>
          <w:szCs w:val="24"/>
          <w:highlight w:val="yellow"/>
        </w:rPr>
        <w:t>thro</w:t>
      </w:r>
      <w:r>
        <w:rPr>
          <w:rFonts w:ascii="Times New Roman" w:eastAsia="Times New Roman" w:hAnsi="Times New Roman" w:cs="Times New Roman"/>
          <w:color w:val="000000" w:themeColor="text1"/>
          <w:sz w:val="24"/>
          <w:szCs w:val="24"/>
        </w:rPr>
        <w:t>ug</w:t>
      </w:r>
      <w:r>
        <w:rPr>
          <w:rFonts w:ascii="Times New Roman" w:eastAsia="Times New Roman" w:hAnsi="Times New Roman" w:cs="Times New Roman"/>
          <w:color w:val="000000" w:themeColor="text1"/>
          <w:sz w:val="24"/>
          <w:szCs w:val="24"/>
          <w:highlight w:val="yellow"/>
        </w:rPr>
        <w:t>h</w:t>
      </w:r>
      <w:r>
        <w:rPr>
          <w:rFonts w:ascii="Times New Roman" w:eastAsia="Times New Roman" w:hAnsi="Times New Roman" w:cs="Times New Roman"/>
          <w:color w:val="000000" w:themeColor="text1"/>
          <w:sz w:val="24"/>
          <w:szCs w:val="24"/>
        </w:rPr>
        <w:t xml:space="preserve"> capital</w:t>
      </w:r>
      <w:r>
        <w:rPr>
          <w:rFonts w:ascii="Times New Roman" w:eastAsia="Times New Roman" w:hAnsi="Times New Roman" w:cs="Times New Roman"/>
          <w:color w:val="000000" w:themeColor="text1"/>
          <w:sz w:val="24"/>
          <w:szCs w:val="24"/>
          <w:highlight w:val="yellow"/>
        </w:rPr>
        <w:t xml:space="preserve"> accumulation</w:t>
      </w:r>
      <w:r>
        <w:rPr>
          <w:rFonts w:ascii="Times New Roman" w:eastAsia="Times New Roman" w:hAnsi="Times New Roman" w:cs="Times New Roman"/>
          <w:color w:val="000000" w:themeColor="text1"/>
          <w:sz w:val="24"/>
          <w:szCs w:val="24"/>
        </w:rPr>
        <w:t>, increas</w:t>
      </w:r>
      <w:r>
        <w:rPr>
          <w:rFonts w:ascii="Times New Roman" w:eastAsia="Times New Roman" w:hAnsi="Times New Roman" w:cs="Times New Roman"/>
          <w:color w:val="000000" w:themeColor="text1"/>
          <w:sz w:val="24"/>
          <w:szCs w:val="24"/>
          <w:highlight w:val="yellow"/>
        </w:rPr>
        <w:t>ed</w:t>
      </w:r>
      <w:r>
        <w:rPr>
          <w:rFonts w:ascii="Times New Roman" w:eastAsia="Times New Roman" w:hAnsi="Times New Roman" w:cs="Times New Roman"/>
          <w:color w:val="000000" w:themeColor="text1"/>
          <w:sz w:val="24"/>
          <w:szCs w:val="24"/>
        </w:rPr>
        <w:t xml:space="preserve"> productivity</w:t>
      </w:r>
      <w:r>
        <w:rPr>
          <w:rFonts w:ascii="Times New Roman" w:eastAsia="Times New Roman" w:hAnsi="Times New Roman" w:cs="Times New Roman"/>
          <w:color w:val="000000" w:themeColor="text1"/>
          <w:sz w:val="24"/>
          <w:szCs w:val="24"/>
          <w:highlight w:val="yellow"/>
        </w:rPr>
        <w:t>,</w:t>
      </w:r>
      <w:r>
        <w:rPr>
          <w:rFonts w:ascii="Times New Roman" w:eastAsia="Times New Roman" w:hAnsi="Times New Roman" w:cs="Times New Roman"/>
          <w:color w:val="000000" w:themeColor="text1"/>
          <w:sz w:val="24"/>
          <w:szCs w:val="24"/>
        </w:rPr>
        <w:t xml:space="preserve"> and technological progress. In Nigeria, although various policies and development </w:t>
      </w:r>
      <w:proofErr w:type="spellStart"/>
      <w:r>
        <w:rPr>
          <w:rFonts w:ascii="Times New Roman" w:eastAsia="Times New Roman" w:hAnsi="Times New Roman" w:cs="Times New Roman"/>
          <w:color w:val="000000" w:themeColor="text1"/>
          <w:sz w:val="24"/>
          <w:szCs w:val="24"/>
        </w:rPr>
        <w:t>programmes</w:t>
      </w:r>
      <w:proofErr w:type="spellEnd"/>
      <w:r>
        <w:rPr>
          <w:rFonts w:ascii="Times New Roman" w:eastAsia="Times New Roman" w:hAnsi="Times New Roman" w:cs="Times New Roman"/>
          <w:color w:val="000000" w:themeColor="text1"/>
          <w:sz w:val="24"/>
          <w:szCs w:val="24"/>
        </w:rPr>
        <w:t xml:space="preserve"> have been put in place to attract investments, the impact of gross capital formation on sustained economic growth is inconclusive. This study used the Autoregressive Distributed Lag (ARDL) model to </w:t>
      </w:r>
      <w:proofErr w:type="spellStart"/>
      <w:r>
        <w:rPr>
          <w:rFonts w:ascii="Times New Roman" w:eastAsia="Times New Roman" w:hAnsi="Times New Roman" w:cs="Times New Roman"/>
          <w:color w:val="000000" w:themeColor="text1"/>
          <w:sz w:val="24"/>
          <w:szCs w:val="24"/>
        </w:rPr>
        <w:t>analy</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e</w:t>
      </w:r>
      <w:proofErr w:type="spellEnd"/>
      <w:r>
        <w:rPr>
          <w:rFonts w:ascii="Times New Roman" w:eastAsia="Times New Roman" w:hAnsi="Times New Roman" w:cs="Times New Roman"/>
          <w:color w:val="000000" w:themeColor="text1"/>
          <w:sz w:val="24"/>
          <w:szCs w:val="24"/>
        </w:rPr>
        <w:t xml:space="preserve"> the impact of gross capital formation on economic growth in Nigeria for the period 2004–2025</w:t>
      </w:r>
      <w:r>
        <w:rPr>
          <w:rFonts w:ascii="Times New Roman" w:eastAsia="Times New Roman" w:hAnsi="Times New Roman" w:cs="Times New Roman"/>
          <w:color w:val="000000" w:themeColor="text1"/>
          <w:sz w:val="24"/>
          <w:szCs w:val="24"/>
          <w:highlight w:val="yellow"/>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highlight w:val="yellow"/>
        </w:rPr>
        <w:t>us</w:t>
      </w:r>
      <w:r>
        <w:rPr>
          <w:rFonts w:ascii="Times New Roman" w:eastAsia="Times New Roman" w:hAnsi="Times New Roman" w:cs="Times New Roman"/>
          <w:color w:val="000000" w:themeColor="text1"/>
          <w:sz w:val="24"/>
          <w:szCs w:val="24"/>
        </w:rPr>
        <w:t>i</w:t>
      </w:r>
      <w:r>
        <w:rPr>
          <w:rFonts w:ascii="Times New Roman" w:eastAsia="Times New Roman" w:hAnsi="Times New Roman" w:cs="Times New Roman"/>
          <w:color w:val="000000" w:themeColor="text1"/>
          <w:sz w:val="24"/>
          <w:szCs w:val="24"/>
          <w:highlight w:val="yellow"/>
        </w:rPr>
        <w:t>ng</w:t>
      </w:r>
      <w:r>
        <w:rPr>
          <w:rFonts w:ascii="Times New Roman" w:eastAsia="Times New Roman" w:hAnsi="Times New Roman" w:cs="Times New Roman"/>
          <w:color w:val="000000" w:themeColor="text1"/>
          <w:sz w:val="24"/>
          <w:szCs w:val="24"/>
        </w:rPr>
        <w:t xml:space="preserve"> data sourced from Central Bank Statistical Bulletin and World Development Indicators. The results showed that in the short run, the effect of gross capital formation on the growth of the economy was negative but statistically insignificant in the contemporaneous period and positive but</w:t>
      </w:r>
      <w:r>
        <w:rPr>
          <w:rFonts w:ascii="Times New Roman" w:eastAsia="Times New Roman" w:hAnsi="Times New Roman" w:cs="Times New Roman"/>
          <w:color w:val="000000" w:themeColor="text1"/>
          <w:sz w:val="24"/>
          <w:szCs w:val="24"/>
          <w:highlight w:val="yellow"/>
        </w:rPr>
        <w:t xml:space="preserve"> statistically</w:t>
      </w:r>
      <w:r>
        <w:rPr>
          <w:rFonts w:ascii="Times New Roman" w:eastAsia="Times New Roman" w:hAnsi="Times New Roman" w:cs="Times New Roman"/>
          <w:color w:val="000000" w:themeColor="text1"/>
          <w:sz w:val="24"/>
          <w:szCs w:val="24"/>
        </w:rPr>
        <w:t xml:space="preserve"> insignificant in the lagged period, meaning that investment has not significantly contributed to the improvement of economic growth. </w:t>
      </w:r>
      <w:r>
        <w:rPr>
          <w:rFonts w:ascii="Times New Roman" w:eastAsia="Times New Roman" w:hAnsi="Times New Roman" w:cs="Times New Roman"/>
          <w:color w:val="000000" w:themeColor="text1"/>
          <w:sz w:val="24"/>
          <w:szCs w:val="24"/>
          <w:highlight w:val="yellow"/>
        </w:rPr>
        <w:t>The l</w:t>
      </w:r>
      <w:r>
        <w:rPr>
          <w:rFonts w:ascii="Times New Roman" w:eastAsia="Times New Roman" w:hAnsi="Times New Roman" w:cs="Times New Roman"/>
          <w:color w:val="000000" w:themeColor="text1"/>
          <w:sz w:val="24"/>
          <w:szCs w:val="24"/>
        </w:rPr>
        <w:t>iteracy rate had a negative contemporaneous effect</w:t>
      </w:r>
      <w:r>
        <w:rPr>
          <w:rFonts w:ascii="Times New Roman" w:eastAsia="Times New Roman" w:hAnsi="Times New Roman" w:cs="Times New Roman"/>
          <w:color w:val="000000" w:themeColor="text1"/>
          <w:sz w:val="24"/>
          <w:szCs w:val="24"/>
          <w:highlight w:val="yellow"/>
        </w:rPr>
        <w:t xml:space="preserve"> on economic growth</w:t>
      </w:r>
      <w:r>
        <w:rPr>
          <w:rFonts w:ascii="Times New Roman" w:eastAsia="Times New Roman" w:hAnsi="Times New Roman" w:cs="Times New Roman"/>
          <w:color w:val="000000" w:themeColor="text1"/>
          <w:sz w:val="24"/>
          <w:szCs w:val="24"/>
        </w:rPr>
        <w:t>, although</w:t>
      </w:r>
      <w:r>
        <w:rPr>
          <w:rFonts w:ascii="Times New Roman" w:eastAsia="Times New Roman" w:hAnsi="Times New Roman" w:cs="Times New Roman"/>
          <w:color w:val="000000" w:themeColor="text1"/>
          <w:sz w:val="24"/>
          <w:szCs w:val="24"/>
          <w:highlight w:val="yellow"/>
        </w:rPr>
        <w:t xml:space="preserve"> it was</w:t>
      </w:r>
      <w:r>
        <w:rPr>
          <w:rFonts w:ascii="Times New Roman" w:eastAsia="Times New Roman" w:hAnsi="Times New Roman" w:cs="Times New Roman"/>
          <w:color w:val="000000" w:themeColor="text1"/>
          <w:sz w:val="24"/>
          <w:szCs w:val="24"/>
        </w:rPr>
        <w:t xml:space="preserve"> not statistically significant, but a positive</w:t>
      </w:r>
      <w:r>
        <w:rPr>
          <w:rFonts w:ascii="Times New Roman" w:eastAsia="Times New Roman" w:hAnsi="Times New Roman" w:cs="Times New Roman"/>
          <w:color w:val="000000" w:themeColor="text1"/>
          <w:sz w:val="24"/>
          <w:szCs w:val="24"/>
          <w:highlight w:val="yellow"/>
        </w:rPr>
        <w:t xml:space="preserve"> and</w:t>
      </w:r>
      <w:r>
        <w:rPr>
          <w:rFonts w:ascii="Times New Roman" w:eastAsia="Times New Roman" w:hAnsi="Times New Roman" w:cs="Times New Roman"/>
          <w:color w:val="000000" w:themeColor="text1"/>
          <w:sz w:val="24"/>
          <w:szCs w:val="24"/>
        </w:rPr>
        <w:t xml:space="preserve"> statistically significant lagged effect, indicating that the economic returns from human capital formation are delayed. </w:t>
      </w:r>
      <w:r>
        <w:rPr>
          <w:rFonts w:ascii="Times New Roman" w:hAnsi="Times New Roman" w:cs="Times New Roman"/>
          <w:sz w:val="24"/>
          <w:szCs w:val="24"/>
        </w:rPr>
        <w:t xml:space="preserve">The study concludes that the accumulation of capital alone has not translated into economic growth in Nigeria that is sustained, suggesting </w:t>
      </w:r>
      <w:r>
        <w:rPr>
          <w:rFonts w:ascii="Times New Roman" w:hAnsi="Times New Roman" w:cs="Times New Roman"/>
          <w:sz w:val="24"/>
          <w:szCs w:val="24"/>
          <w:highlight w:val="yellow"/>
        </w:rPr>
        <w:t>that gr</w:t>
      </w:r>
      <w:r>
        <w:rPr>
          <w:rFonts w:ascii="Times New Roman" w:hAnsi="Times New Roman" w:cs="Times New Roman"/>
          <w:sz w:val="24"/>
          <w:szCs w:val="24"/>
        </w:rPr>
        <w:t>e</w:t>
      </w:r>
      <w:r>
        <w:rPr>
          <w:rFonts w:ascii="Times New Roman" w:hAnsi="Times New Roman" w:cs="Times New Roman"/>
          <w:sz w:val="24"/>
          <w:szCs w:val="24"/>
          <w:highlight w:val="yellow"/>
        </w:rPr>
        <w:t>at</w:t>
      </w:r>
      <w:r>
        <w:rPr>
          <w:rFonts w:ascii="Times New Roman" w:hAnsi="Times New Roman" w:cs="Times New Roman"/>
          <w:sz w:val="24"/>
          <w:szCs w:val="24"/>
        </w:rPr>
        <w:t>e</w:t>
      </w:r>
      <w:r>
        <w:rPr>
          <w:rFonts w:ascii="Times New Roman" w:hAnsi="Times New Roman" w:cs="Times New Roman"/>
          <w:sz w:val="24"/>
          <w:szCs w:val="24"/>
          <w:highlight w:val="yellow"/>
        </w:rPr>
        <w:t>r</w:t>
      </w:r>
      <w:r>
        <w:rPr>
          <w:rFonts w:ascii="Times New Roman" w:hAnsi="Times New Roman" w:cs="Times New Roman"/>
          <w:sz w:val="24"/>
          <w:szCs w:val="24"/>
        </w:rPr>
        <w:t xml:space="preserve"> investment</w:t>
      </w:r>
      <w:r>
        <w:rPr>
          <w:rFonts w:ascii="Times New Roman" w:hAnsi="Times New Roman" w:cs="Times New Roman"/>
          <w:sz w:val="24"/>
          <w:szCs w:val="24"/>
          <w:highlight w:val="yellow"/>
        </w:rPr>
        <w:t xml:space="preserve"> efficiency</w:t>
      </w:r>
      <w:r>
        <w:rPr>
          <w:rFonts w:ascii="Times New Roman" w:hAnsi="Times New Roman" w:cs="Times New Roman"/>
          <w:sz w:val="24"/>
          <w:szCs w:val="24"/>
        </w:rPr>
        <w:t>,</w:t>
      </w:r>
      <w:r>
        <w:rPr>
          <w:rFonts w:ascii="Times New Roman" w:hAnsi="Times New Roman" w:cs="Times New Roman"/>
          <w:sz w:val="24"/>
          <w:szCs w:val="24"/>
          <w:highlight w:val="yellow"/>
        </w:rPr>
        <w:t xml:space="preserve"> improvements in</w:t>
      </w:r>
      <w:r>
        <w:rPr>
          <w:rFonts w:ascii="Times New Roman" w:hAnsi="Times New Roman" w:cs="Times New Roman"/>
          <w:sz w:val="24"/>
          <w:szCs w:val="24"/>
        </w:rPr>
        <w:t xml:space="preserve"> institutional quality</w:t>
      </w:r>
      <w:r>
        <w:rPr>
          <w:rFonts w:ascii="Times New Roman" w:hAnsi="Times New Roman" w:cs="Times New Roman"/>
          <w:sz w:val="24"/>
          <w:szCs w:val="24"/>
          <w:highlight w:val="yellow"/>
        </w:rPr>
        <w:t>,</w:t>
      </w:r>
      <w:r>
        <w:rPr>
          <w:rFonts w:ascii="Times New Roman" w:hAnsi="Times New Roman" w:cs="Times New Roman"/>
          <w:sz w:val="24"/>
          <w:szCs w:val="24"/>
        </w:rPr>
        <w:t xml:space="preserve"> alongside </w:t>
      </w:r>
      <w:r>
        <w:rPr>
          <w:rFonts w:ascii="Times New Roman" w:hAnsi="Times New Roman" w:cs="Times New Roman"/>
          <w:sz w:val="24"/>
          <w:szCs w:val="24"/>
          <w:highlight w:val="yellow"/>
        </w:rPr>
        <w:t xml:space="preserve">human-capital </w:t>
      </w:r>
      <w:r>
        <w:rPr>
          <w:rFonts w:ascii="Times New Roman" w:hAnsi="Times New Roman" w:cs="Times New Roman"/>
          <w:sz w:val="24"/>
          <w:szCs w:val="24"/>
        </w:rPr>
        <w:t>policies</w:t>
      </w:r>
      <w:r>
        <w:rPr>
          <w:rFonts w:ascii="Times New Roman" w:hAnsi="Times New Roman" w:cs="Times New Roman"/>
          <w:sz w:val="24"/>
          <w:szCs w:val="24"/>
          <w:highlight w:val="yellow"/>
        </w:rPr>
        <w:t>,</w:t>
      </w:r>
      <w:r>
        <w:rPr>
          <w:rFonts w:ascii="Times New Roman" w:hAnsi="Times New Roman" w:cs="Times New Roman"/>
          <w:sz w:val="24"/>
          <w:szCs w:val="24"/>
        </w:rPr>
        <w:t xml:space="preserve"> are needed to improve the impact of capital formation</w:t>
      </w:r>
      <w:r>
        <w:rPr>
          <w:rFonts w:ascii="Times New Roman" w:hAnsi="Times New Roman" w:cs="Times New Roman"/>
          <w:sz w:val="24"/>
          <w:szCs w:val="24"/>
          <w:highlight w:val="yellow"/>
        </w:rPr>
        <w:t xml:space="preserve"> on economic growth</w:t>
      </w:r>
      <w:r>
        <w:rPr>
          <w:rFonts w:ascii="Times New Roman" w:hAnsi="Times New Roman" w:cs="Times New Roman"/>
          <w:sz w:val="24"/>
          <w:szCs w:val="24"/>
        </w:rPr>
        <w:t>.</w:t>
      </w:r>
      <w:r>
        <w:rPr>
          <w:rFonts w:ascii="Times New Roman" w:eastAsia="Times New Roman" w:hAnsi="Times New Roman" w:cs="Times New Roman"/>
          <w:color w:val="000000" w:themeColor="text1"/>
          <w:sz w:val="24"/>
          <w:szCs w:val="24"/>
        </w:rPr>
        <w:t xml:space="preserve"> The study recommends that</w:t>
      </w:r>
      <w:r>
        <w:rPr>
          <w:rFonts w:ascii="Times New Roman" w:eastAsia="Times New Roman" w:hAnsi="Times New Roman" w:cs="Times New Roman"/>
          <w:color w:val="000000" w:themeColor="text1"/>
          <w:sz w:val="24"/>
          <w:szCs w:val="24"/>
          <w:highlight w:val="yellow"/>
        </w:rPr>
        <w:t xml:space="preserve"> the</w:t>
      </w:r>
      <w:r>
        <w:rPr>
          <w:rFonts w:ascii="Times New Roman" w:eastAsia="Times New Roman" w:hAnsi="Times New Roman" w:cs="Times New Roman"/>
          <w:color w:val="000000" w:themeColor="text1"/>
          <w:sz w:val="24"/>
          <w:szCs w:val="24"/>
        </w:rPr>
        <w:t xml:space="preserve"> Federal Ministry of Finance,</w:t>
      </w:r>
      <w:r>
        <w:rPr>
          <w:rFonts w:ascii="Times New Roman" w:eastAsia="Times New Roman" w:hAnsi="Times New Roman" w:cs="Times New Roman"/>
          <w:color w:val="000000" w:themeColor="text1"/>
          <w:sz w:val="24"/>
          <w:szCs w:val="24"/>
          <w:highlight w:val="yellow"/>
        </w:rPr>
        <w:t xml:space="preserve"> the</w:t>
      </w:r>
      <w:r>
        <w:rPr>
          <w:rFonts w:ascii="Times New Roman" w:eastAsia="Times New Roman" w:hAnsi="Times New Roman" w:cs="Times New Roman"/>
          <w:color w:val="000000" w:themeColor="text1"/>
          <w:sz w:val="24"/>
          <w:szCs w:val="24"/>
        </w:rPr>
        <w:t xml:space="preserve"> Federal Ministry of Budget and Economic Planning, </w:t>
      </w:r>
      <w:r>
        <w:rPr>
          <w:rFonts w:ascii="Times New Roman" w:eastAsia="Times New Roman" w:hAnsi="Times New Roman" w:cs="Times New Roman"/>
          <w:color w:val="000000" w:themeColor="text1"/>
          <w:sz w:val="24"/>
          <w:szCs w:val="24"/>
          <w:highlight w:val="yellow"/>
        </w:rPr>
        <w:t xml:space="preserve">the </w:t>
      </w:r>
      <w:r>
        <w:rPr>
          <w:rFonts w:ascii="Times New Roman" w:eastAsia="Times New Roman" w:hAnsi="Times New Roman" w:cs="Times New Roman"/>
          <w:color w:val="000000" w:themeColor="text1"/>
          <w:sz w:val="24"/>
          <w:szCs w:val="24"/>
        </w:rPr>
        <w:t>Central Bank of Nigeria</w:t>
      </w:r>
      <w:r>
        <w:rPr>
          <w:rFonts w:ascii="Times New Roman" w:eastAsia="Times New Roman" w:hAnsi="Times New Roman" w:cs="Times New Roman"/>
          <w:color w:val="000000" w:themeColor="text1"/>
          <w:sz w:val="24"/>
          <w:szCs w:val="24"/>
          <w:highlight w:val="yellow"/>
        </w:rPr>
        <w:t>,</w:t>
      </w:r>
      <w:r>
        <w:rPr>
          <w:rFonts w:ascii="Times New Roman" w:eastAsia="Times New Roman" w:hAnsi="Times New Roman" w:cs="Times New Roman"/>
          <w:color w:val="000000" w:themeColor="text1"/>
          <w:sz w:val="24"/>
          <w:szCs w:val="24"/>
        </w:rPr>
        <w:t xml:space="preserve"> and</w:t>
      </w:r>
      <w:r>
        <w:rPr>
          <w:rFonts w:ascii="Times New Roman" w:eastAsia="Times New Roman" w:hAnsi="Times New Roman" w:cs="Times New Roman"/>
          <w:color w:val="000000" w:themeColor="text1"/>
          <w:sz w:val="24"/>
          <w:szCs w:val="24"/>
          <w:highlight w:val="yellow"/>
        </w:rPr>
        <w:t xml:space="preserve"> the</w:t>
      </w:r>
      <w:r>
        <w:rPr>
          <w:rFonts w:ascii="Times New Roman" w:eastAsia="Times New Roman" w:hAnsi="Times New Roman" w:cs="Times New Roman"/>
          <w:color w:val="000000" w:themeColor="text1"/>
          <w:sz w:val="24"/>
          <w:szCs w:val="24"/>
        </w:rPr>
        <w:t xml:space="preserve"> Nigerian Investment Promotion Commission should enhance policies that encourage productive investment, </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u</w:t>
      </w:r>
      <w:r>
        <w:rPr>
          <w:rFonts w:ascii="Times New Roman" w:eastAsia="Times New Roman" w:hAnsi="Times New Roman" w:cs="Times New Roman"/>
          <w:color w:val="000000" w:themeColor="text1"/>
          <w:sz w:val="24"/>
          <w:szCs w:val="24"/>
          <w:highlight w:val="yellow"/>
        </w:rPr>
        <w:t>ppo</w:t>
      </w:r>
      <w:r>
        <w:rPr>
          <w:rFonts w:ascii="Times New Roman" w:eastAsia="Times New Roman" w:hAnsi="Times New Roman" w:cs="Times New Roman"/>
          <w:color w:val="000000" w:themeColor="text1"/>
          <w:sz w:val="24"/>
          <w:szCs w:val="24"/>
        </w:rPr>
        <w:t>r</w:t>
      </w:r>
      <w:r>
        <w:rPr>
          <w:rFonts w:ascii="Times New Roman" w:eastAsia="Times New Roman" w:hAnsi="Times New Roman" w:cs="Times New Roman"/>
          <w:color w:val="000000" w:themeColor="text1"/>
          <w:sz w:val="24"/>
          <w:szCs w:val="24"/>
          <w:highlight w:val="yellow"/>
        </w:rPr>
        <w:t>t</w:t>
      </w:r>
      <w:r>
        <w:rPr>
          <w:rFonts w:ascii="Times New Roman" w:eastAsia="Times New Roman" w:hAnsi="Times New Roman" w:cs="Times New Roman"/>
          <w:color w:val="000000" w:themeColor="text1"/>
          <w:sz w:val="24"/>
          <w:szCs w:val="24"/>
        </w:rPr>
        <w:t xml:space="preserve">ed </w:t>
      </w:r>
      <w:r>
        <w:rPr>
          <w:rFonts w:ascii="Times New Roman" w:eastAsia="Times New Roman" w:hAnsi="Times New Roman" w:cs="Times New Roman"/>
          <w:color w:val="000000" w:themeColor="text1"/>
          <w:sz w:val="24"/>
          <w:szCs w:val="24"/>
          <w:highlight w:val="yellow"/>
        </w:rPr>
        <w:t>by</w:t>
      </w:r>
      <w:r>
        <w:rPr>
          <w:rFonts w:ascii="Times New Roman" w:eastAsia="Times New Roman" w:hAnsi="Times New Roman" w:cs="Times New Roman"/>
          <w:color w:val="000000" w:themeColor="text1"/>
          <w:sz w:val="24"/>
          <w:szCs w:val="24"/>
        </w:rPr>
        <w:t xml:space="preserve"> improved infrastructure, efficient allocation of capital, and an enabling investment environment. It also urges the Federal Ministry of Education, National Universities Commission, National Board for Technical Education and the National Commission for Colleges of Education to boost technical, vocational, digital and innovation-based education to build up </w:t>
      </w:r>
      <w:proofErr w:type="spellStart"/>
      <w:r>
        <w:rPr>
          <w:rFonts w:ascii="Times New Roman" w:eastAsia="Times New Roman" w:hAnsi="Times New Roman" w:cs="Times New Roman"/>
          <w:color w:val="000000" w:themeColor="text1"/>
          <w:sz w:val="24"/>
          <w:szCs w:val="24"/>
        </w:rPr>
        <w:t>labour</w:t>
      </w:r>
      <w:proofErr w:type="spellEnd"/>
      <w:r>
        <w:rPr>
          <w:rFonts w:ascii="Times New Roman" w:eastAsia="Times New Roman" w:hAnsi="Times New Roman" w:cs="Times New Roman"/>
          <w:color w:val="000000" w:themeColor="text1"/>
          <w:sz w:val="24"/>
          <w:szCs w:val="24"/>
        </w:rPr>
        <w:t xml:space="preserve"> productivity and </w:t>
      </w:r>
      <w:proofErr w:type="spellStart"/>
      <w:r>
        <w:rPr>
          <w:rFonts w:ascii="Times New Roman" w:eastAsia="Times New Roman" w:hAnsi="Times New Roman" w:cs="Times New Roman"/>
          <w:color w:val="000000" w:themeColor="text1"/>
          <w:sz w:val="24"/>
          <w:szCs w:val="24"/>
        </w:rPr>
        <w:t>maximi</w:t>
      </w:r>
      <w:r>
        <w:rPr>
          <w:rFonts w:ascii="Times New Roman" w:eastAsia="Times New Roman" w:hAnsi="Times New Roman" w:cs="Times New Roman"/>
          <w:color w:val="000000" w:themeColor="text1"/>
          <w:sz w:val="24"/>
          <w:szCs w:val="24"/>
          <w:highlight w:val="yellow"/>
        </w:rPr>
        <w:t>se</w:t>
      </w:r>
      <w:proofErr w:type="spellEnd"/>
      <w:r>
        <w:rPr>
          <w:rFonts w:ascii="Times New Roman" w:eastAsia="Times New Roman" w:hAnsi="Times New Roman" w:cs="Times New Roman"/>
          <w:color w:val="000000" w:themeColor="text1"/>
          <w:sz w:val="24"/>
          <w:szCs w:val="24"/>
          <w:highlight w:val="yellow"/>
        </w:rPr>
        <w:t xml:space="preserve"> th</w:t>
      </w:r>
      <w:r>
        <w:rPr>
          <w:rFonts w:ascii="Times New Roman" w:eastAsia="Times New Roman" w:hAnsi="Times New Roman" w:cs="Times New Roman"/>
          <w:color w:val="000000" w:themeColor="text1"/>
          <w:sz w:val="24"/>
          <w:szCs w:val="24"/>
        </w:rPr>
        <w:t>e long-term growth effects of manpower development.</w:t>
      </w:r>
    </w:p>
    <w:p w14:paraId="74289724" w14:textId="77777777" w:rsidR="0012185D" w:rsidRPr="00BC05AD" w:rsidRDefault="0012185D" w:rsidP="006E76E5">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b/>
          <w:bCs/>
          <w:color w:val="000000" w:themeColor="text1"/>
          <w:sz w:val="24"/>
          <w:szCs w:val="24"/>
        </w:rPr>
        <w:t>Keywords:</w:t>
      </w:r>
      <w:r w:rsidR="00D83526" w:rsidRPr="00BC05AD">
        <w:rPr>
          <w:rFonts w:ascii="Times New Roman" w:eastAsia="Times New Roman" w:hAnsi="Times New Roman" w:cs="Times New Roman"/>
          <w:b/>
          <w:bCs/>
          <w:color w:val="000000" w:themeColor="text1"/>
          <w:sz w:val="24"/>
          <w:szCs w:val="24"/>
        </w:rPr>
        <w:t xml:space="preserve"> </w:t>
      </w:r>
      <w:r w:rsidR="007028DB" w:rsidRPr="00BC05AD">
        <w:rPr>
          <w:rFonts w:ascii="Times New Roman" w:hAnsi="Times New Roman" w:cs="Times New Roman"/>
          <w:color w:val="000000" w:themeColor="text1"/>
          <w:sz w:val="24"/>
          <w:szCs w:val="24"/>
        </w:rPr>
        <w:t>ARDL, Economic Growth, Gross Capital Formation, Literacy Rate, Nigeria</w:t>
      </w:r>
    </w:p>
    <w:p w14:paraId="543B46F3" w14:textId="77777777" w:rsidR="0012185D" w:rsidRPr="00BC05AD" w:rsidRDefault="0012185D" w:rsidP="006E76E5">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b/>
          <w:bCs/>
          <w:color w:val="000000" w:themeColor="text1"/>
          <w:sz w:val="24"/>
          <w:szCs w:val="24"/>
        </w:rPr>
        <w:t xml:space="preserve">JEL </w:t>
      </w:r>
      <w:proofErr w:type="gramStart"/>
      <w:r w:rsidRPr="00BC05AD">
        <w:rPr>
          <w:rFonts w:ascii="Times New Roman" w:eastAsia="Times New Roman" w:hAnsi="Times New Roman" w:cs="Times New Roman"/>
          <w:b/>
          <w:bCs/>
          <w:color w:val="000000" w:themeColor="text1"/>
          <w:sz w:val="24"/>
          <w:szCs w:val="24"/>
        </w:rPr>
        <w:t>Classification:</w:t>
      </w:r>
      <w:r w:rsidR="000E2DFB" w:rsidRPr="00BC05AD">
        <w:rPr>
          <w:rFonts w:ascii="Times New Roman" w:hAnsi="Times New Roman" w:cs="Times New Roman"/>
          <w:color w:val="000000" w:themeColor="text1"/>
          <w:sz w:val="24"/>
          <w:szCs w:val="24"/>
        </w:rPr>
        <w:t>E</w:t>
      </w:r>
      <w:proofErr w:type="gramEnd"/>
      <w:r w:rsidR="000E2DFB" w:rsidRPr="00BC05AD">
        <w:rPr>
          <w:rFonts w:ascii="Times New Roman" w:hAnsi="Times New Roman" w:cs="Times New Roman"/>
          <w:color w:val="000000" w:themeColor="text1"/>
          <w:sz w:val="24"/>
          <w:szCs w:val="24"/>
        </w:rPr>
        <w:t>22, O40, O47, O55, C22</w:t>
      </w:r>
    </w:p>
    <w:p w14:paraId="011DB052" w14:textId="77777777" w:rsidR="002E71D9" w:rsidRPr="00BC05AD" w:rsidRDefault="002E71D9" w:rsidP="0045397C">
      <w:pPr>
        <w:spacing w:before="100" w:beforeAutospacing="1" w:after="100" w:afterAutospacing="1" w:line="360" w:lineRule="auto"/>
        <w:jc w:val="both"/>
        <w:outlineLvl w:val="0"/>
        <w:rPr>
          <w:rFonts w:ascii="Times New Roman" w:eastAsia="Times New Roman" w:hAnsi="Times New Roman" w:cs="Times New Roman"/>
          <w:color w:val="000000" w:themeColor="text1"/>
          <w:sz w:val="24"/>
          <w:szCs w:val="24"/>
        </w:rPr>
      </w:pPr>
    </w:p>
    <w:p w14:paraId="6B01FDAC" w14:textId="77777777" w:rsidR="0012185D" w:rsidRPr="00BC05AD" w:rsidRDefault="0012185D" w:rsidP="0045397C">
      <w:pPr>
        <w:spacing w:before="100" w:beforeAutospacing="1" w:after="100" w:afterAutospacing="1" w:line="360" w:lineRule="auto"/>
        <w:jc w:val="both"/>
        <w:outlineLvl w:val="0"/>
        <w:rPr>
          <w:rFonts w:ascii="Times New Roman" w:eastAsia="Times New Roman" w:hAnsi="Times New Roman" w:cs="Times New Roman"/>
          <w:b/>
          <w:bCs/>
          <w:color w:val="000000" w:themeColor="text1"/>
          <w:kern w:val="36"/>
          <w:sz w:val="24"/>
          <w:szCs w:val="24"/>
        </w:rPr>
      </w:pPr>
      <w:r w:rsidRPr="00BC05AD">
        <w:rPr>
          <w:rFonts w:ascii="Times New Roman" w:eastAsia="Times New Roman" w:hAnsi="Times New Roman" w:cs="Times New Roman"/>
          <w:b/>
          <w:bCs/>
          <w:color w:val="000000" w:themeColor="text1"/>
          <w:kern w:val="36"/>
          <w:sz w:val="24"/>
          <w:szCs w:val="24"/>
        </w:rPr>
        <w:t>1.0 Introduction</w:t>
      </w:r>
    </w:p>
    <w:p w14:paraId="466D9F0E" w14:textId="77777777" w:rsidR="00852F90" w:rsidRPr="00BC05AD" w:rsidRDefault="006078A4" w:rsidP="0045397C">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achievement of sustainable growth remains central to the macroeconomic policy goals of both developed and developing countries. The implications of growth with respect to the generation of employment, poverty alleviation, </w:t>
      </w:r>
      <w:proofErr w:type="spellStart"/>
      <w:r>
        <w:rPr>
          <w:rFonts w:ascii="Times New Roman" w:eastAsia="Times New Roman" w:hAnsi="Times New Roman" w:cs="Times New Roman"/>
          <w:color w:val="000000" w:themeColor="text1"/>
          <w:sz w:val="24"/>
          <w:szCs w:val="24"/>
        </w:rPr>
        <w:t>industriali</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ation</w:t>
      </w:r>
      <w:proofErr w:type="spellEnd"/>
      <w:r>
        <w:rPr>
          <w:rFonts w:ascii="Times New Roman" w:eastAsia="Times New Roman" w:hAnsi="Times New Roman" w:cs="Times New Roman"/>
          <w:color w:val="000000" w:themeColor="text1"/>
          <w:sz w:val="24"/>
          <w:szCs w:val="24"/>
        </w:rPr>
        <w:t xml:space="preserve"> and improvement</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in living standards are of major significance. Persistent challenges such as infrastructural inadequacies, </w:t>
      </w:r>
      <w:r>
        <w:rPr>
          <w:rFonts w:ascii="Times New Roman" w:eastAsia="Times New Roman" w:hAnsi="Times New Roman" w:cs="Times New Roman"/>
          <w:color w:val="000000" w:themeColor="text1"/>
          <w:sz w:val="24"/>
          <w:szCs w:val="24"/>
        </w:rPr>
        <w:lastRenderedPageBreak/>
        <w:t xml:space="preserve">macroeconomic instability, policy uncertainty and inadequate accumulation of capital are faced by developing countries, especially in making progress towards structural transformation (Chirwa &amp; Odhiambo, 2018). Gross capital formation plays a central role among the main </w:t>
      </w:r>
      <w:r>
        <w:rPr>
          <w:rFonts w:ascii="Times New Roman" w:eastAsia="Times New Roman" w:hAnsi="Times New Roman" w:cs="Times New Roman"/>
          <w:color w:val="000000" w:themeColor="text1"/>
          <w:sz w:val="24"/>
          <w:szCs w:val="24"/>
          <w:highlight w:val="yellow"/>
        </w:rPr>
        <w:t>determin</w:t>
      </w:r>
      <w:r>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highlight w:val="yellow"/>
        </w:rPr>
        <w:t>n</w:t>
      </w:r>
      <w:r>
        <w:rPr>
          <w:rFonts w:ascii="Times New Roman" w:eastAsia="Times New Roman" w:hAnsi="Times New Roman" w:cs="Times New Roman"/>
          <w:color w:val="000000" w:themeColor="text1"/>
          <w:sz w:val="24"/>
          <w:szCs w:val="24"/>
        </w:rPr>
        <w:t xml:space="preserve">ts of long-term growth, as it measures the increase in the supply of productive physical assets </w:t>
      </w:r>
      <w:r>
        <w:rPr>
          <w:rFonts w:ascii="Times New Roman" w:eastAsia="Times New Roman" w:hAnsi="Times New Roman" w:cs="Times New Roman"/>
          <w:color w:val="000000" w:themeColor="text1"/>
          <w:sz w:val="24"/>
          <w:szCs w:val="24"/>
          <w:highlight w:val="yellow"/>
        </w:rPr>
        <w:t>such as</w:t>
      </w:r>
      <w:r>
        <w:rPr>
          <w:rFonts w:ascii="Times New Roman" w:eastAsia="Times New Roman" w:hAnsi="Times New Roman" w:cs="Times New Roman"/>
          <w:color w:val="000000" w:themeColor="text1"/>
          <w:sz w:val="24"/>
          <w:szCs w:val="24"/>
        </w:rPr>
        <w:t xml:space="preserve"> machinery, equipment, transport infrastructure and buildings. These investments not only increase productive capacity but also enable the adoption of new technology and boost </w:t>
      </w:r>
      <w:proofErr w:type="spellStart"/>
      <w:r>
        <w:rPr>
          <w:rFonts w:ascii="Times New Roman" w:eastAsia="Times New Roman" w:hAnsi="Times New Roman" w:cs="Times New Roman"/>
          <w:color w:val="000000" w:themeColor="text1"/>
          <w:sz w:val="24"/>
          <w:szCs w:val="24"/>
        </w:rPr>
        <w:t>labour</w:t>
      </w:r>
      <w:proofErr w:type="spellEnd"/>
      <w:r>
        <w:rPr>
          <w:rFonts w:ascii="Times New Roman" w:eastAsia="Times New Roman" w:hAnsi="Times New Roman" w:cs="Times New Roman"/>
          <w:color w:val="000000" w:themeColor="text1"/>
          <w:sz w:val="24"/>
          <w:szCs w:val="24"/>
        </w:rPr>
        <w:t xml:space="preserve"> productivity, a crucial factor </w:t>
      </w:r>
      <w:r>
        <w:rPr>
          <w:rFonts w:ascii="Times New Roman" w:eastAsia="Times New Roman" w:hAnsi="Times New Roman" w:cs="Times New Roman"/>
          <w:color w:val="000000" w:themeColor="text1"/>
          <w:sz w:val="24"/>
          <w:szCs w:val="24"/>
          <w:highlight w:val="yellow"/>
        </w:rPr>
        <w:t>in</w:t>
      </w:r>
      <w:r>
        <w:rPr>
          <w:rFonts w:ascii="Times New Roman" w:eastAsia="Times New Roman" w:hAnsi="Times New Roman" w:cs="Times New Roman"/>
          <w:color w:val="000000" w:themeColor="text1"/>
          <w:sz w:val="24"/>
          <w:szCs w:val="24"/>
        </w:rPr>
        <w:t xml:space="preserve"> output growth (World Bank, 202</w:t>
      </w:r>
      <w:r>
        <w:rPr>
          <w:rFonts w:ascii="Times New Roman" w:eastAsia="Times New Roman" w:hAnsi="Times New Roman" w:cs="Times New Roman"/>
          <w:color w:val="000000" w:themeColor="text1"/>
          <w:sz w:val="24"/>
          <w:szCs w:val="24"/>
          <w:highlight w:val="yellow"/>
        </w:rPr>
        <w:t>4</w:t>
      </w:r>
      <w:r>
        <w:rPr>
          <w:rFonts w:ascii="Times New Roman" w:eastAsia="Times New Roman" w:hAnsi="Times New Roman" w:cs="Times New Roman"/>
          <w:color w:val="000000" w:themeColor="text1"/>
          <w:sz w:val="24"/>
          <w:szCs w:val="24"/>
        </w:rPr>
        <w:t>).</w:t>
      </w:r>
    </w:p>
    <w:p w14:paraId="01A6264B" w14:textId="045046E1" w:rsidR="00D96C55" w:rsidRPr="002B5F04" w:rsidRDefault="004F33EB">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Classical economists acknowledged the importance of </w:t>
      </w:r>
      <w:r>
        <w:rPr>
          <w:rFonts w:ascii="Times New Roman" w:eastAsia="Times New Roman" w:hAnsi="Times New Roman" w:cs="Times New Roman"/>
          <w:color w:val="000000" w:themeColor="text1"/>
          <w:sz w:val="24"/>
          <w:szCs w:val="24"/>
          <w:highlight w:val="yellow"/>
        </w:rPr>
        <w:t xml:space="preserve">the </w:t>
      </w:r>
      <w:r>
        <w:rPr>
          <w:rFonts w:ascii="Times New Roman" w:eastAsia="Times New Roman" w:hAnsi="Times New Roman" w:cs="Times New Roman"/>
          <w:color w:val="000000" w:themeColor="text1"/>
          <w:sz w:val="24"/>
          <w:szCs w:val="24"/>
        </w:rPr>
        <w:t xml:space="preserve">capital accumulation process </w:t>
      </w:r>
      <w:r>
        <w:rPr>
          <w:rFonts w:ascii="Times New Roman" w:eastAsia="Times New Roman" w:hAnsi="Times New Roman" w:cs="Times New Roman"/>
          <w:color w:val="000000" w:themeColor="text1"/>
          <w:sz w:val="24"/>
          <w:szCs w:val="24"/>
          <w:highlight w:val="yellow"/>
        </w:rPr>
        <w:t>f</w:t>
      </w:r>
      <w:r>
        <w:rPr>
          <w:rFonts w:ascii="Times New Roman" w:eastAsia="Times New Roman" w:hAnsi="Times New Roman" w:cs="Times New Roman"/>
          <w:color w:val="000000" w:themeColor="text1"/>
          <w:sz w:val="24"/>
          <w:szCs w:val="24"/>
        </w:rPr>
        <w:t>o</w:t>
      </w:r>
      <w:r>
        <w:rPr>
          <w:rFonts w:ascii="Times New Roman" w:eastAsia="Times New Roman" w:hAnsi="Times New Roman" w:cs="Times New Roman"/>
          <w:color w:val="000000" w:themeColor="text1"/>
          <w:sz w:val="24"/>
          <w:szCs w:val="24"/>
          <w:highlight w:val="yellow"/>
        </w:rPr>
        <w:t>r</w:t>
      </w:r>
      <w:r>
        <w:rPr>
          <w:rFonts w:ascii="Times New Roman" w:eastAsia="Times New Roman" w:hAnsi="Times New Roman" w:cs="Times New Roman"/>
          <w:color w:val="000000" w:themeColor="text1"/>
          <w:sz w:val="24"/>
          <w:szCs w:val="24"/>
        </w:rPr>
        <w:t xml:space="preserve"> economic growth. Smith (1776) held that economic growth depends on saving, which then becomes productive investment, and Ricardo (1817) pointed out the relationship between capital stock expansion and the volume of production possibilities and national income. </w:t>
      </w:r>
      <w:r>
        <w:rPr>
          <w:rFonts w:ascii="Times New Roman" w:eastAsia="Times New Roman" w:hAnsi="Times New Roman" w:cs="Times New Roman"/>
          <w:color w:val="000000" w:themeColor="text1"/>
          <w:sz w:val="24"/>
          <w:szCs w:val="24"/>
          <w:highlight w:val="yellow"/>
        </w:rPr>
        <w:t>Building</w:t>
      </w:r>
      <w:r>
        <w:rPr>
          <w:rFonts w:ascii="Times New Roman" w:eastAsia="Times New Roman" w:hAnsi="Times New Roman" w:cs="Times New Roman"/>
          <w:color w:val="000000" w:themeColor="text1"/>
          <w:sz w:val="24"/>
          <w:szCs w:val="24"/>
        </w:rPr>
        <w:t xml:space="preserve"> on these arguments, Solow</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(1956) growth model</w:t>
      </w:r>
      <w:r>
        <w:rPr>
          <w:rFonts w:ascii="Times New Roman" w:eastAsia="Times New Roman" w:hAnsi="Times New Roman" w:cs="Times New Roman"/>
          <w:color w:val="000000" w:themeColor="text1"/>
          <w:sz w:val="24"/>
          <w:szCs w:val="24"/>
          <w:highlight w:val="yellow"/>
        </w:rPr>
        <w:t xml:space="preserve"> </w:t>
      </w:r>
      <w:proofErr w:type="spellStart"/>
      <w:r>
        <w:rPr>
          <w:rFonts w:ascii="Times New Roman" w:eastAsia="Times New Roman" w:hAnsi="Times New Roman" w:cs="Times New Roman"/>
          <w:color w:val="000000" w:themeColor="text1"/>
          <w:sz w:val="24"/>
          <w:szCs w:val="24"/>
        </w:rPr>
        <w:t>emphasi</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ed</w:t>
      </w:r>
      <w:proofErr w:type="spellEnd"/>
      <w:r>
        <w:rPr>
          <w:rFonts w:ascii="Times New Roman" w:eastAsia="Times New Roman" w:hAnsi="Times New Roman" w:cs="Times New Roman"/>
          <w:color w:val="000000" w:themeColor="text1"/>
          <w:sz w:val="24"/>
          <w:szCs w:val="24"/>
        </w:rPr>
        <w:t xml:space="preserve"> the importance of capital accumulation i</w:t>
      </w:r>
      <w:r>
        <w:rPr>
          <w:rFonts w:ascii="Times New Roman" w:eastAsia="Times New Roman" w:hAnsi="Times New Roman" w:cs="Times New Roman"/>
          <w:color w:val="000000" w:themeColor="text1"/>
          <w:sz w:val="24"/>
          <w:szCs w:val="24"/>
          <w:highlight w:val="yellow"/>
        </w:rPr>
        <w:t>n</w:t>
      </w:r>
      <w:r>
        <w:rPr>
          <w:rFonts w:ascii="Times New Roman" w:eastAsia="Times New Roman" w:hAnsi="Times New Roman" w:cs="Times New Roman"/>
          <w:color w:val="000000" w:themeColor="text1"/>
          <w:sz w:val="24"/>
          <w:szCs w:val="24"/>
        </w:rPr>
        <w:t xml:space="preserve"> transitional </w:t>
      </w:r>
      <w:r>
        <w:rPr>
          <w:rFonts w:ascii="Times New Roman" w:eastAsia="Times New Roman" w:hAnsi="Times New Roman" w:cs="Times New Roman"/>
          <w:color w:val="000000" w:themeColor="text1"/>
          <w:sz w:val="24"/>
          <w:szCs w:val="24"/>
          <w:highlight w:val="yellow"/>
        </w:rPr>
        <w:t xml:space="preserve">output </w:t>
      </w:r>
      <w:r>
        <w:rPr>
          <w:rFonts w:ascii="Times New Roman" w:eastAsia="Times New Roman" w:hAnsi="Times New Roman" w:cs="Times New Roman"/>
          <w:color w:val="000000" w:themeColor="text1"/>
          <w:sz w:val="24"/>
          <w:szCs w:val="24"/>
        </w:rPr>
        <w:t>growth to</w:t>
      </w:r>
      <w:r>
        <w:rPr>
          <w:rFonts w:ascii="Times New Roman" w:eastAsia="Times New Roman" w:hAnsi="Times New Roman" w:cs="Times New Roman"/>
          <w:color w:val="000000" w:themeColor="text1"/>
          <w:sz w:val="24"/>
          <w:szCs w:val="24"/>
          <w:highlight w:val="yellow"/>
        </w:rPr>
        <w:t>wards</w:t>
      </w:r>
      <w:r>
        <w:rPr>
          <w:rFonts w:ascii="Times New Roman" w:eastAsia="Times New Roman" w:hAnsi="Times New Roman" w:cs="Times New Roman"/>
          <w:color w:val="000000" w:themeColor="text1"/>
          <w:sz w:val="24"/>
          <w:szCs w:val="24"/>
        </w:rPr>
        <w:t xml:space="preserve"> a steady state, </w:t>
      </w:r>
      <w:r>
        <w:rPr>
          <w:rFonts w:ascii="Times New Roman" w:eastAsia="Times New Roman" w:hAnsi="Times New Roman" w:cs="Times New Roman"/>
          <w:color w:val="000000" w:themeColor="text1"/>
          <w:sz w:val="24"/>
          <w:szCs w:val="24"/>
          <w:highlight w:val="yellow"/>
        </w:rPr>
        <w:t>subjec</w:t>
      </w:r>
      <w:r>
        <w:rPr>
          <w:rFonts w:ascii="Times New Roman" w:eastAsia="Times New Roman" w:hAnsi="Times New Roman" w:cs="Times New Roman"/>
          <w:color w:val="000000" w:themeColor="text1"/>
          <w:sz w:val="24"/>
          <w:szCs w:val="24"/>
        </w:rPr>
        <w:t>t</w:t>
      </w:r>
      <w:r>
        <w:rPr>
          <w:rFonts w:ascii="Times New Roman" w:eastAsia="Times New Roman" w:hAnsi="Times New Roman" w:cs="Times New Roman"/>
          <w:color w:val="000000" w:themeColor="text1"/>
          <w:sz w:val="24"/>
          <w:szCs w:val="24"/>
          <w:highlight w:val="yellow"/>
        </w:rPr>
        <w:t xml:space="preserve"> to</w:t>
      </w:r>
      <w:r>
        <w:rPr>
          <w:rFonts w:ascii="Times New Roman" w:eastAsia="Times New Roman" w:hAnsi="Times New Roman" w:cs="Times New Roman"/>
          <w:color w:val="000000" w:themeColor="text1"/>
          <w:sz w:val="24"/>
          <w:szCs w:val="24"/>
        </w:rPr>
        <w:t xml:space="preserve"> d</w:t>
      </w:r>
      <w:r>
        <w:rPr>
          <w:rFonts w:ascii="Times New Roman" w:eastAsia="Times New Roman" w:hAnsi="Times New Roman" w:cs="Times New Roman"/>
          <w:color w:val="000000" w:themeColor="text1"/>
          <w:sz w:val="24"/>
          <w:szCs w:val="24"/>
          <w:highlight w:val="yellow"/>
        </w:rPr>
        <w:t>im</w:t>
      </w:r>
      <w:r>
        <w:rPr>
          <w:rFonts w:ascii="Times New Roman" w:eastAsia="Times New Roman" w:hAnsi="Times New Roman" w:cs="Times New Roman"/>
          <w:color w:val="000000" w:themeColor="text1"/>
          <w:sz w:val="24"/>
          <w:szCs w:val="24"/>
        </w:rPr>
        <w:t>in</w:t>
      </w:r>
      <w:r>
        <w:rPr>
          <w:rFonts w:ascii="Times New Roman" w:eastAsia="Times New Roman" w:hAnsi="Times New Roman" w:cs="Times New Roman"/>
          <w:color w:val="000000" w:themeColor="text1"/>
          <w:sz w:val="24"/>
          <w:szCs w:val="24"/>
          <w:highlight w:val="yellow"/>
        </w:rPr>
        <w:t>ish</w:t>
      </w:r>
      <w:r>
        <w:rPr>
          <w:rFonts w:ascii="Times New Roman" w:eastAsia="Times New Roman" w:hAnsi="Times New Roman" w:cs="Times New Roman"/>
          <w:color w:val="000000" w:themeColor="text1"/>
          <w:sz w:val="24"/>
          <w:szCs w:val="24"/>
        </w:rPr>
        <w:t>ing returns. Endogenous growth theorists, such as Romer (1986) and Lucas (1988), extended this idea by showing that long-run per capita growth can occur in the absence of exogenous technological progress if there are spillovers and increasing returns from sustained investment in physical and human capital. Capital formation is a path to creating future productive capacity and</w:t>
      </w:r>
      <w:r>
        <w:rPr>
          <w:rFonts w:ascii="Times New Roman" w:eastAsia="Times New Roman" w:hAnsi="Times New Roman" w:cs="Times New Roman"/>
          <w:color w:val="000000" w:themeColor="text1"/>
          <w:sz w:val="24"/>
          <w:szCs w:val="24"/>
          <w:highlight w:val="yellow"/>
        </w:rPr>
        <w:t>,</w:t>
      </w:r>
      <w:r>
        <w:rPr>
          <w:rFonts w:ascii="Times New Roman" w:eastAsia="Times New Roman" w:hAnsi="Times New Roman" w:cs="Times New Roman"/>
          <w:color w:val="000000" w:themeColor="text1"/>
          <w:sz w:val="24"/>
          <w:szCs w:val="24"/>
        </w:rPr>
        <w:t xml:space="preserve"> thus, sustainable development, whereas consumption expenditure is used to gain immediate utility (World Bank, 202</w:t>
      </w:r>
      <w:r>
        <w:rPr>
          <w:rFonts w:ascii="Times New Roman" w:eastAsia="Times New Roman" w:hAnsi="Times New Roman" w:cs="Times New Roman"/>
          <w:color w:val="000000" w:themeColor="text1"/>
          <w:sz w:val="24"/>
          <w:szCs w:val="24"/>
          <w:highlight w:val="yellow"/>
        </w:rPr>
        <w:t>4</w:t>
      </w:r>
      <w:r w:rsidRPr="002B5F04">
        <w:rPr>
          <w:rFonts w:ascii="Times New Roman" w:eastAsia="Times New Roman" w:hAnsi="Times New Roman" w:cs="Times New Roman"/>
          <w:color w:val="000000" w:themeColor="text1"/>
          <w:sz w:val="24"/>
          <w:szCs w:val="24"/>
        </w:rPr>
        <w:t>). Consequently, countries with consistent investment in productive assets have higher economic growth rates than countries with consistently low levels of investment in productive assets.</w:t>
      </w:r>
      <w:r w:rsidR="002B5F04">
        <w:rPr>
          <w:rFonts w:ascii="Times New Roman" w:eastAsia="Times New Roman" w:hAnsi="Times New Roman" w:cs="Times New Roman"/>
          <w:color w:val="000000" w:themeColor="text1"/>
          <w:sz w:val="24"/>
          <w:szCs w:val="24"/>
        </w:rPr>
        <w:t xml:space="preserve"> </w:t>
      </w:r>
      <w:r w:rsidRPr="002B5F04">
        <w:rPr>
          <w:rFonts w:ascii="Times New Roman" w:hAnsi="Times New Roman"/>
          <w:sz w:val="24"/>
          <w:highlight w:val="yellow"/>
        </w:rPr>
        <w:t xml:space="preserve">Recent Nigeria-specific modelling within a Solow framework has also treated capital formation, </w:t>
      </w:r>
      <w:proofErr w:type="spellStart"/>
      <w:r w:rsidRPr="002B5F04">
        <w:rPr>
          <w:rFonts w:ascii="Times New Roman" w:hAnsi="Times New Roman"/>
          <w:sz w:val="24"/>
          <w:highlight w:val="yellow"/>
        </w:rPr>
        <w:t>labour</w:t>
      </w:r>
      <w:proofErr w:type="spellEnd"/>
      <w:r w:rsidRPr="002B5F04">
        <w:rPr>
          <w:rFonts w:ascii="Times New Roman" w:hAnsi="Times New Roman"/>
          <w:sz w:val="24"/>
          <w:highlight w:val="yellow"/>
        </w:rPr>
        <w:t xml:space="preserve"> supply and total factor productivity as key growth inputs, further supporting the relevance of examining capital accumulation in the Nigerian growth process (</w:t>
      </w:r>
      <w:proofErr w:type="spellStart"/>
      <w:r w:rsidRPr="002B5F04">
        <w:rPr>
          <w:rFonts w:ascii="Times New Roman" w:hAnsi="Times New Roman"/>
          <w:sz w:val="24"/>
          <w:highlight w:val="yellow"/>
        </w:rPr>
        <w:t>Nwabenu</w:t>
      </w:r>
      <w:proofErr w:type="spellEnd"/>
      <w:r w:rsidRPr="002B5F04">
        <w:rPr>
          <w:rFonts w:ascii="Times New Roman" w:hAnsi="Times New Roman"/>
          <w:sz w:val="24"/>
          <w:highlight w:val="yellow"/>
        </w:rPr>
        <w:t xml:space="preserve"> et al., 2025).</w:t>
      </w:r>
    </w:p>
    <w:p w14:paraId="5E17BA3A" w14:textId="77777777" w:rsidR="00852F90" w:rsidRPr="00BC05AD" w:rsidRDefault="00852F90" w:rsidP="0045397C">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2B5F04">
        <w:rPr>
          <w:rFonts w:ascii="Times New Roman" w:eastAsia="Times New Roman" w:hAnsi="Times New Roman" w:cs="Times New Roman"/>
          <w:color w:val="000000" w:themeColor="text1"/>
          <w:sz w:val="24"/>
          <w:szCs w:val="24"/>
        </w:rPr>
        <w:t xml:space="preserve">Nigeria is endowed with both natural and human resources and has long </w:t>
      </w:r>
      <w:proofErr w:type="spellStart"/>
      <w:r w:rsidRPr="002B5F04">
        <w:rPr>
          <w:rFonts w:ascii="Times New Roman" w:eastAsia="Times New Roman" w:hAnsi="Times New Roman" w:cs="Times New Roman"/>
          <w:color w:val="000000" w:themeColor="text1"/>
          <w:sz w:val="24"/>
          <w:szCs w:val="24"/>
        </w:rPr>
        <w:t>recognised</w:t>
      </w:r>
      <w:proofErr w:type="spellEnd"/>
      <w:r w:rsidRPr="002B5F04">
        <w:rPr>
          <w:rFonts w:ascii="Times New Roman" w:eastAsia="Times New Roman" w:hAnsi="Times New Roman" w:cs="Times New Roman"/>
          <w:color w:val="000000" w:themeColor="text1"/>
          <w:sz w:val="24"/>
          <w:szCs w:val="24"/>
        </w:rPr>
        <w:t xml:space="preserve"> the need </w:t>
      </w:r>
      <w:r w:rsidRPr="002B5F04">
        <w:rPr>
          <w:rFonts w:ascii="Times New Roman" w:eastAsia="Times New Roman" w:hAnsi="Times New Roman" w:cs="Times New Roman"/>
          <w:color w:val="000000" w:themeColor="text1"/>
          <w:sz w:val="24"/>
          <w:szCs w:val="24"/>
          <w:highlight w:val="yellow"/>
        </w:rPr>
        <w:t>f</w:t>
      </w:r>
      <w:r w:rsidRPr="002B5F04">
        <w:rPr>
          <w:rFonts w:ascii="Times New Roman" w:eastAsia="Times New Roman" w:hAnsi="Times New Roman" w:cs="Times New Roman"/>
          <w:color w:val="000000" w:themeColor="text1"/>
          <w:sz w:val="24"/>
          <w:szCs w:val="24"/>
        </w:rPr>
        <w:t>o</w:t>
      </w:r>
      <w:r w:rsidRPr="002B5F04">
        <w:rPr>
          <w:rFonts w:ascii="Times New Roman" w:eastAsia="Times New Roman" w:hAnsi="Times New Roman" w:cs="Times New Roman"/>
          <w:color w:val="000000" w:themeColor="text1"/>
          <w:sz w:val="24"/>
          <w:szCs w:val="24"/>
          <w:highlight w:val="yellow"/>
        </w:rPr>
        <w:t>r</w:t>
      </w:r>
      <w:r w:rsidRPr="002B5F04">
        <w:rPr>
          <w:rFonts w:ascii="Times New Roman" w:eastAsia="Times New Roman" w:hAnsi="Times New Roman" w:cs="Times New Roman"/>
          <w:color w:val="000000" w:themeColor="text1"/>
          <w:sz w:val="24"/>
          <w:szCs w:val="24"/>
        </w:rPr>
        <w:t xml:space="preserve"> substantial capital accumulation to achieve its growth and development goals. Over the years</w:t>
      </w:r>
      <w:r w:rsidRPr="002B5F04">
        <w:rPr>
          <w:rFonts w:ascii="Times New Roman" w:eastAsia="Times New Roman" w:hAnsi="Times New Roman" w:cs="Times New Roman"/>
          <w:color w:val="000000" w:themeColor="text1"/>
          <w:sz w:val="24"/>
          <w:szCs w:val="24"/>
          <w:highlight w:val="yellow"/>
        </w:rPr>
        <w:t>,</w:t>
      </w:r>
      <w:r w:rsidRPr="002B5F04">
        <w:rPr>
          <w:rFonts w:ascii="Times New Roman" w:eastAsia="Times New Roman" w:hAnsi="Times New Roman" w:cs="Times New Roman"/>
          <w:color w:val="000000" w:themeColor="text1"/>
          <w:sz w:val="24"/>
          <w:szCs w:val="24"/>
        </w:rPr>
        <w:t xml:space="preserve"> successive administrations have</w:t>
      </w:r>
      <w:r>
        <w:rPr>
          <w:rFonts w:ascii="Times New Roman" w:eastAsia="Times New Roman" w:hAnsi="Times New Roman" w:cs="Times New Roman"/>
          <w:color w:val="000000" w:themeColor="text1"/>
          <w:sz w:val="24"/>
          <w:szCs w:val="24"/>
        </w:rPr>
        <w:t xml:space="preserve"> pursued policies specifically geared towards encouraging domestic capital formation and investment. These include large</w:t>
      </w:r>
      <w:r>
        <w:rPr>
          <w:rFonts w:ascii="Times New Roman" w:eastAsia="Times New Roman" w:hAnsi="Times New Roman" w:cs="Times New Roman"/>
          <w:color w:val="000000" w:themeColor="text1"/>
          <w:sz w:val="24"/>
          <w:szCs w:val="24"/>
          <w:highlight w:val="yellow"/>
        </w:rPr>
        <w:t>-</w:t>
      </w:r>
      <w:r>
        <w:rPr>
          <w:rFonts w:ascii="Times New Roman" w:eastAsia="Times New Roman" w:hAnsi="Times New Roman" w:cs="Times New Roman"/>
          <w:color w:val="000000" w:themeColor="text1"/>
          <w:sz w:val="24"/>
          <w:szCs w:val="24"/>
        </w:rPr>
        <w:t xml:space="preserve">scale infrastructural projects, the fiscal package of incentives for private investors, the Economic Recovery and Growth Plan (ERGP), the National Development Plan (2021-2025) and the specific intervention plans of the </w:t>
      </w:r>
      <w:r>
        <w:rPr>
          <w:rFonts w:ascii="Times New Roman" w:eastAsia="Times New Roman" w:hAnsi="Times New Roman" w:cs="Times New Roman"/>
          <w:color w:val="000000" w:themeColor="text1"/>
          <w:sz w:val="24"/>
          <w:szCs w:val="24"/>
        </w:rPr>
        <w:lastRenderedPageBreak/>
        <w:t xml:space="preserve">Central Bank of Nigeria and the Bank of Industry. These actions suggest </w:t>
      </w:r>
      <w:r>
        <w:rPr>
          <w:rFonts w:ascii="Times New Roman" w:eastAsia="Times New Roman" w:hAnsi="Times New Roman" w:cs="Times New Roman"/>
          <w:color w:val="000000" w:themeColor="text1"/>
          <w:sz w:val="24"/>
          <w:szCs w:val="24"/>
          <w:highlight w:val="yellow"/>
        </w:rPr>
        <w:t xml:space="preserve">an </w:t>
      </w:r>
      <w:r>
        <w:rPr>
          <w:rFonts w:ascii="Times New Roman" w:eastAsia="Times New Roman" w:hAnsi="Times New Roman" w:cs="Times New Roman"/>
          <w:color w:val="000000" w:themeColor="text1"/>
          <w:sz w:val="24"/>
          <w:szCs w:val="24"/>
        </w:rPr>
        <w:t>overall consensus that there is a clear need to invest substantially in infrastructure, machines and complementary human capital to boost productive capacity and stimulate GDP growth (</w:t>
      </w:r>
      <w:proofErr w:type="spellStart"/>
      <w:r>
        <w:rPr>
          <w:rFonts w:ascii="Times New Roman" w:eastAsia="Times New Roman" w:hAnsi="Times New Roman" w:cs="Times New Roman"/>
          <w:color w:val="000000" w:themeColor="text1"/>
          <w:sz w:val="24"/>
          <w:szCs w:val="24"/>
        </w:rPr>
        <w:t>Onwiodiokit</w:t>
      </w:r>
      <w:proofErr w:type="spellEnd"/>
      <w:r>
        <w:rPr>
          <w:rFonts w:ascii="Times New Roman" w:eastAsia="Times New Roman" w:hAnsi="Times New Roman" w:cs="Times New Roman"/>
          <w:color w:val="000000" w:themeColor="text1"/>
          <w:sz w:val="24"/>
          <w:szCs w:val="24"/>
        </w:rPr>
        <w:t xml:space="preserve"> &amp; </w:t>
      </w:r>
      <w:proofErr w:type="spellStart"/>
      <w:r>
        <w:rPr>
          <w:rFonts w:ascii="Times New Roman" w:eastAsia="Times New Roman" w:hAnsi="Times New Roman" w:cs="Times New Roman"/>
          <w:color w:val="000000" w:themeColor="text1"/>
          <w:sz w:val="24"/>
          <w:szCs w:val="24"/>
        </w:rPr>
        <w:t>Otolorin</w:t>
      </w:r>
      <w:proofErr w:type="spellEnd"/>
      <w:r>
        <w:rPr>
          <w:rFonts w:ascii="Times New Roman" w:eastAsia="Times New Roman" w:hAnsi="Times New Roman" w:cs="Times New Roman"/>
          <w:color w:val="000000" w:themeColor="text1"/>
          <w:sz w:val="24"/>
          <w:szCs w:val="24"/>
        </w:rPr>
        <w:t>, 2021).</w:t>
      </w:r>
    </w:p>
    <w:p w14:paraId="4ECE1B27" w14:textId="422F4622" w:rsidR="00D96C55" w:rsidRPr="002B5F04" w:rsidRDefault="00852F90">
      <w:pPr>
        <w:pStyle w:val="ds-markdown-paragraph"/>
        <w:spacing w:line="360" w:lineRule="auto"/>
        <w:jc w:val="both"/>
      </w:pPr>
      <w:r>
        <w:t xml:space="preserve">However, all these efforts have not yielded the desired result in terms of investment performance in Nigeria. According </w:t>
      </w:r>
      <w:r>
        <w:rPr>
          <w:highlight w:val="yellow"/>
        </w:rPr>
        <w:t xml:space="preserve">to </w:t>
      </w:r>
      <w:r>
        <w:t xml:space="preserve">Nweke </w:t>
      </w:r>
      <w:r>
        <w:rPr>
          <w:highlight w:val="yellow"/>
        </w:rPr>
        <w:t>et</w:t>
      </w:r>
      <w:r>
        <w:t xml:space="preserve"> a</w:t>
      </w:r>
      <w:r>
        <w:rPr>
          <w:highlight w:val="yellow"/>
        </w:rPr>
        <w:t>l.</w:t>
      </w:r>
      <w:r>
        <w:t xml:space="preserve"> (2017), gross fixed capital formation has been considerably volatile, averag</w:t>
      </w:r>
      <w:r>
        <w:rPr>
          <w:highlight w:val="yellow"/>
        </w:rPr>
        <w:t>ing</w:t>
      </w:r>
      <w:r>
        <w:t xml:space="preserve"> over 20% of GDP in the 1980s but dropping rapidly to below 15% by the mid-1990s and only partially recovering since then with the level remaining below what is necessary to achieve meaningful structural transformation. Public and private investment has been hindered by adverse factors, such as poor infrastructure, exchange-rate instability, insecurity, inflation, policy instability, corruption and access to long-term finance (</w:t>
      </w:r>
      <w:proofErr w:type="spellStart"/>
      <w:r>
        <w:rPr>
          <w:color w:val="000000" w:themeColor="text1"/>
        </w:rPr>
        <w:t>Amaegberi</w:t>
      </w:r>
      <w:proofErr w:type="spellEnd"/>
      <w:r>
        <w:rPr>
          <w:color w:val="000000" w:themeColor="text1"/>
        </w:rPr>
        <w:t xml:space="preserve"> </w:t>
      </w:r>
      <w:r>
        <w:rPr>
          <w:color w:val="000000" w:themeColor="text1"/>
          <w:highlight w:val="yellow"/>
        </w:rPr>
        <w:t>&amp;</w:t>
      </w:r>
      <w:r>
        <w:rPr>
          <w:color w:val="000000" w:themeColor="text1"/>
        </w:rPr>
        <w:t xml:space="preserve"> </w:t>
      </w:r>
      <w:proofErr w:type="spellStart"/>
      <w:r>
        <w:rPr>
          <w:color w:val="000000" w:themeColor="text1"/>
        </w:rPr>
        <w:t>Krokeyi</w:t>
      </w:r>
      <w:proofErr w:type="spellEnd"/>
      <w:r>
        <w:rPr>
          <w:highlight w:val="yellow"/>
        </w:rPr>
        <w:t xml:space="preserve">, </w:t>
      </w:r>
      <w:r>
        <w:t xml:space="preserve">2025). As a result, Nigeria's real GDP growth has been irregular and often suboptimal, </w:t>
      </w:r>
      <w:r>
        <w:rPr>
          <w:highlight w:val="yellow"/>
        </w:rPr>
        <w:t>and</w:t>
      </w:r>
      <w:r>
        <w:t xml:space="preserve"> has not </w:t>
      </w:r>
      <w:r>
        <w:rPr>
          <w:highlight w:val="yellow"/>
        </w:rPr>
        <w:t>g</w:t>
      </w:r>
      <w:r>
        <w:t>enerate</w:t>
      </w:r>
      <w:r>
        <w:rPr>
          <w:highlight w:val="yellow"/>
        </w:rPr>
        <w:t>d</w:t>
      </w:r>
      <w:r>
        <w:t xml:space="preserve"> the expected multiplier effect on output and employment. The periods of reform, like structural adjustment, </w:t>
      </w:r>
      <w:proofErr w:type="spellStart"/>
      <w:r>
        <w:t>privati</w:t>
      </w:r>
      <w:r>
        <w:rPr>
          <w:highlight w:val="yellow"/>
        </w:rPr>
        <w:t>s</w:t>
      </w:r>
      <w:r>
        <w:t>ation</w:t>
      </w:r>
      <w:proofErr w:type="spellEnd"/>
      <w:r>
        <w:t xml:space="preserve"> and public-private partnerships, have not always been associated with long-lasting increase</w:t>
      </w:r>
      <w:r>
        <w:rPr>
          <w:highlight w:val="yellow"/>
        </w:rPr>
        <w:t>s</w:t>
      </w:r>
      <w:r>
        <w:t xml:space="preserve"> </w:t>
      </w:r>
      <w:r>
        <w:rPr>
          <w:highlight w:val="yellow"/>
        </w:rPr>
        <w:t>in</w:t>
      </w:r>
      <w:r>
        <w:t xml:space="preserve"> capital accumulation or growth, because of problems in </w:t>
      </w:r>
      <w:r w:rsidRPr="002B5F04">
        <w:t>implementation and institutional weaknesses.</w:t>
      </w:r>
      <w:r w:rsidR="002B5F04">
        <w:t xml:space="preserve"> </w:t>
      </w:r>
      <w:r w:rsidRPr="002B5F04">
        <w:rPr>
          <w:highlight w:val="yellow"/>
        </w:rPr>
        <w:t>Recent evidence on Nigeria's investment environment further indicates that corruption and political instability can reduce foreign investment inflows, supporting the manuscript's emphasis on institutional conditions as factors that may weaken the translation of investment into economic performance (</w:t>
      </w:r>
      <w:proofErr w:type="spellStart"/>
      <w:r w:rsidRPr="002B5F04">
        <w:rPr>
          <w:highlight w:val="yellow"/>
        </w:rPr>
        <w:t>Osuma</w:t>
      </w:r>
      <w:proofErr w:type="spellEnd"/>
      <w:r w:rsidRPr="002B5F04">
        <w:rPr>
          <w:highlight w:val="yellow"/>
        </w:rPr>
        <w:t xml:space="preserve"> et al., 2024).</w:t>
      </w:r>
    </w:p>
    <w:p w14:paraId="53F47D42" w14:textId="77777777" w:rsidR="00963B07" w:rsidRPr="00BC05AD" w:rsidRDefault="00963B07" w:rsidP="0045397C">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2B5F04">
        <w:rPr>
          <w:rFonts w:ascii="Times New Roman" w:eastAsia="Times New Roman" w:hAnsi="Times New Roman" w:cs="Times New Roman"/>
          <w:color w:val="000000" w:themeColor="text1"/>
          <w:sz w:val="24"/>
          <w:szCs w:val="24"/>
        </w:rPr>
        <w:t xml:space="preserve">In Nigeria, successive government-led initiatives to boost domestic investment and infrastructure development have not </w:t>
      </w:r>
      <w:r w:rsidRPr="002B5F04">
        <w:rPr>
          <w:rFonts w:ascii="Times New Roman" w:eastAsia="Times New Roman" w:hAnsi="Times New Roman" w:cs="Times New Roman"/>
          <w:color w:val="000000" w:themeColor="text1"/>
          <w:sz w:val="24"/>
          <w:szCs w:val="24"/>
          <w:highlight w:val="yellow"/>
        </w:rPr>
        <w:t>produc</w:t>
      </w:r>
      <w:r w:rsidRPr="002B5F04">
        <w:rPr>
          <w:rFonts w:ascii="Times New Roman" w:eastAsia="Times New Roman" w:hAnsi="Times New Roman" w:cs="Times New Roman"/>
          <w:color w:val="000000" w:themeColor="text1"/>
          <w:sz w:val="24"/>
          <w:szCs w:val="24"/>
        </w:rPr>
        <w:t>e</w:t>
      </w:r>
      <w:r w:rsidRPr="002B5F04">
        <w:rPr>
          <w:rFonts w:ascii="Times New Roman" w:eastAsia="Times New Roman" w:hAnsi="Times New Roman" w:cs="Times New Roman"/>
          <w:color w:val="000000" w:themeColor="text1"/>
          <w:sz w:val="24"/>
          <w:szCs w:val="24"/>
          <w:highlight w:val="yellow"/>
        </w:rPr>
        <w:t>d</w:t>
      </w:r>
      <w:r w:rsidRPr="002B5F04">
        <w:rPr>
          <w:rFonts w:ascii="Times New Roman" w:eastAsia="Times New Roman" w:hAnsi="Times New Roman" w:cs="Times New Roman"/>
          <w:color w:val="000000" w:themeColor="text1"/>
          <w:sz w:val="24"/>
          <w:szCs w:val="24"/>
        </w:rPr>
        <w:t xml:space="preserve"> </w:t>
      </w:r>
      <w:r w:rsidRPr="002B5F04">
        <w:rPr>
          <w:rFonts w:ascii="Times New Roman" w:eastAsia="Times New Roman" w:hAnsi="Times New Roman" w:cs="Times New Roman"/>
          <w:color w:val="000000" w:themeColor="text1"/>
          <w:sz w:val="24"/>
          <w:szCs w:val="24"/>
          <w:highlight w:val="yellow"/>
        </w:rPr>
        <w:t>f</w:t>
      </w:r>
      <w:r w:rsidRPr="002B5F04">
        <w:rPr>
          <w:rFonts w:ascii="Times New Roman" w:eastAsia="Times New Roman" w:hAnsi="Times New Roman" w:cs="Times New Roman"/>
          <w:color w:val="000000" w:themeColor="text1"/>
          <w:sz w:val="24"/>
          <w:szCs w:val="24"/>
        </w:rPr>
        <w:t>a</w:t>
      </w:r>
      <w:r w:rsidRPr="002B5F04">
        <w:rPr>
          <w:rFonts w:ascii="Times New Roman" w:eastAsia="Times New Roman" w:hAnsi="Times New Roman" w:cs="Times New Roman"/>
          <w:color w:val="000000" w:themeColor="text1"/>
          <w:sz w:val="24"/>
          <w:szCs w:val="24"/>
          <w:highlight w:val="yellow"/>
        </w:rPr>
        <w:t>s</w:t>
      </w:r>
      <w:r w:rsidRPr="002B5F04">
        <w:rPr>
          <w:rFonts w:ascii="Times New Roman" w:eastAsia="Times New Roman" w:hAnsi="Times New Roman" w:cs="Times New Roman"/>
          <w:color w:val="000000" w:themeColor="text1"/>
          <w:sz w:val="24"/>
          <w:szCs w:val="24"/>
        </w:rPr>
        <w:t>ter and</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highlight w:val="yellow"/>
        </w:rPr>
        <w:t xml:space="preserve">more </w:t>
      </w:r>
      <w:r>
        <w:rPr>
          <w:rFonts w:ascii="Times New Roman" w:eastAsia="Times New Roman" w:hAnsi="Times New Roman" w:cs="Times New Roman"/>
          <w:color w:val="000000" w:themeColor="text1"/>
          <w:sz w:val="24"/>
          <w:szCs w:val="24"/>
        </w:rPr>
        <w:t>stable econom</w:t>
      </w:r>
      <w:r>
        <w:rPr>
          <w:rFonts w:ascii="Times New Roman" w:eastAsia="Times New Roman" w:hAnsi="Times New Roman" w:cs="Times New Roman"/>
          <w:color w:val="000000" w:themeColor="text1"/>
          <w:sz w:val="24"/>
          <w:szCs w:val="24"/>
          <w:highlight w:val="yellow"/>
        </w:rPr>
        <w:t>ic growth</w:t>
      </w:r>
      <w:r>
        <w:rPr>
          <w:rFonts w:ascii="Times New Roman" w:eastAsia="Times New Roman" w:hAnsi="Times New Roman" w:cs="Times New Roman"/>
          <w:color w:val="000000" w:themeColor="text1"/>
          <w:sz w:val="24"/>
          <w:szCs w:val="24"/>
        </w:rPr>
        <w:t>. Theoretically, gross capital formation should give a boost to productive capacity, employment and technological progress, but empirical results on the contribution of gross capital formation to economic growth have been mixed, especially in developing countries with weak institutions, poor infrastructure and macroeconomic instability. In addition, past research on the relationship between capital accumulation and economic growth in Nigeria ha</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yielded mixed results as regards the magnitude and direction of the relationship between the two variables, thus calling for further empirical analysis </w:t>
      </w:r>
      <w:r>
        <w:rPr>
          <w:rFonts w:ascii="Times New Roman" w:eastAsia="Times New Roman" w:hAnsi="Times New Roman" w:cs="Times New Roman"/>
          <w:color w:val="000000" w:themeColor="text1"/>
          <w:sz w:val="24"/>
          <w:szCs w:val="24"/>
          <w:highlight w:val="yellow"/>
        </w:rPr>
        <w:t>us</w:t>
      </w:r>
      <w:r>
        <w:rPr>
          <w:rFonts w:ascii="Times New Roman" w:eastAsia="Times New Roman" w:hAnsi="Times New Roman" w:cs="Times New Roman"/>
          <w:color w:val="000000" w:themeColor="text1"/>
          <w:sz w:val="24"/>
          <w:szCs w:val="24"/>
        </w:rPr>
        <w:t>i</w:t>
      </w:r>
      <w:r>
        <w:rPr>
          <w:rFonts w:ascii="Times New Roman" w:eastAsia="Times New Roman" w:hAnsi="Times New Roman" w:cs="Times New Roman"/>
          <w:color w:val="000000" w:themeColor="text1"/>
          <w:sz w:val="24"/>
          <w:szCs w:val="24"/>
          <w:highlight w:val="yellow"/>
        </w:rPr>
        <w:t>ng</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highlight w:val="yellow"/>
        </w:rPr>
        <w:t>mor</w:t>
      </w:r>
      <w:r>
        <w:rPr>
          <w:rFonts w:ascii="Times New Roman" w:eastAsia="Times New Roman" w:hAnsi="Times New Roman" w:cs="Times New Roman"/>
          <w:color w:val="000000" w:themeColor="text1"/>
          <w:sz w:val="24"/>
          <w:szCs w:val="24"/>
        </w:rPr>
        <w:t>e re</w:t>
      </w:r>
      <w:r>
        <w:rPr>
          <w:rFonts w:ascii="Times New Roman" w:eastAsia="Times New Roman" w:hAnsi="Times New Roman" w:cs="Times New Roman"/>
          <w:color w:val="000000" w:themeColor="text1"/>
          <w:sz w:val="24"/>
          <w:szCs w:val="24"/>
          <w:highlight w:val="yellow"/>
        </w:rPr>
        <w:t>cent</w:t>
      </w:r>
      <w:r>
        <w:rPr>
          <w:rFonts w:ascii="Times New Roman" w:eastAsia="Times New Roman" w:hAnsi="Times New Roman" w:cs="Times New Roman"/>
          <w:color w:val="000000" w:themeColor="text1"/>
          <w:sz w:val="24"/>
          <w:szCs w:val="24"/>
        </w:rPr>
        <w:t xml:space="preserve"> data and </w:t>
      </w:r>
      <w:r>
        <w:rPr>
          <w:rFonts w:ascii="Times New Roman" w:eastAsia="Times New Roman" w:hAnsi="Times New Roman" w:cs="Times New Roman"/>
          <w:color w:val="000000" w:themeColor="text1"/>
          <w:sz w:val="24"/>
          <w:szCs w:val="24"/>
          <w:highlight w:val="yellow"/>
        </w:rPr>
        <w:t>a r</w:t>
      </w:r>
      <w:r>
        <w:rPr>
          <w:rFonts w:ascii="Times New Roman" w:eastAsia="Times New Roman" w:hAnsi="Times New Roman" w:cs="Times New Roman"/>
          <w:color w:val="000000" w:themeColor="text1"/>
          <w:sz w:val="24"/>
          <w:szCs w:val="24"/>
        </w:rPr>
        <w:t>o</w:t>
      </w:r>
      <w:r>
        <w:rPr>
          <w:rFonts w:ascii="Times New Roman" w:eastAsia="Times New Roman" w:hAnsi="Times New Roman" w:cs="Times New Roman"/>
          <w:color w:val="000000" w:themeColor="text1"/>
          <w:sz w:val="24"/>
          <w:szCs w:val="24"/>
          <w:highlight w:val="yellow"/>
        </w:rPr>
        <w:t>b</w:t>
      </w:r>
      <w:r>
        <w:rPr>
          <w:rFonts w:ascii="Times New Roman" w:eastAsia="Times New Roman" w:hAnsi="Times New Roman" w:cs="Times New Roman"/>
          <w:color w:val="000000" w:themeColor="text1"/>
          <w:sz w:val="24"/>
          <w:szCs w:val="24"/>
        </w:rPr>
        <w:t>u</w:t>
      </w:r>
      <w:r>
        <w:rPr>
          <w:rFonts w:ascii="Times New Roman" w:eastAsia="Times New Roman" w:hAnsi="Times New Roman" w:cs="Times New Roman"/>
          <w:color w:val="000000" w:themeColor="text1"/>
          <w:sz w:val="24"/>
          <w:szCs w:val="24"/>
          <w:highlight w:val="yellow"/>
        </w:rPr>
        <w:t>st</w:t>
      </w:r>
      <w:r>
        <w:rPr>
          <w:rFonts w:ascii="Times New Roman" w:eastAsia="Times New Roman" w:hAnsi="Times New Roman" w:cs="Times New Roman"/>
          <w:color w:val="000000" w:themeColor="text1"/>
          <w:sz w:val="24"/>
          <w:szCs w:val="24"/>
        </w:rPr>
        <w:t xml:space="preserve"> econometric method.</w:t>
      </w:r>
    </w:p>
    <w:p w14:paraId="657641DD" w14:textId="77777777" w:rsidR="00D96C55" w:rsidRPr="002B5F04" w:rsidRDefault="00000000">
      <w:pPr>
        <w:spacing w:before="100" w:beforeAutospacing="1" w:after="100" w:afterAutospacing="1" w:line="360" w:lineRule="auto"/>
        <w:jc w:val="both"/>
        <w:rPr>
          <w:rFonts w:ascii="Times New Roman" w:eastAsia="Times New Roman" w:hAnsi="Times New Roman" w:cs="Times New Roman"/>
          <w:bCs/>
          <w:color w:val="000000" w:themeColor="text1"/>
          <w:sz w:val="24"/>
          <w:szCs w:val="24"/>
        </w:rPr>
      </w:pPr>
      <w:r w:rsidRPr="002B5F04">
        <w:rPr>
          <w:rFonts w:ascii="Times New Roman" w:hAnsi="Times New Roman"/>
          <w:bCs/>
          <w:sz w:val="24"/>
          <w:highlight w:val="yellow"/>
        </w:rPr>
        <w:lastRenderedPageBreak/>
        <w:t xml:space="preserve">Recent Nigerian studies continue to report divergent results. </w:t>
      </w:r>
      <w:proofErr w:type="spellStart"/>
      <w:r w:rsidRPr="002B5F04">
        <w:rPr>
          <w:rFonts w:ascii="Times New Roman" w:hAnsi="Times New Roman"/>
          <w:bCs/>
          <w:sz w:val="24"/>
          <w:highlight w:val="yellow"/>
        </w:rPr>
        <w:t>Opadeji</w:t>
      </w:r>
      <w:proofErr w:type="spellEnd"/>
      <w:r w:rsidRPr="002B5F04">
        <w:rPr>
          <w:rFonts w:ascii="Times New Roman" w:hAnsi="Times New Roman"/>
          <w:bCs/>
          <w:sz w:val="24"/>
          <w:highlight w:val="yellow"/>
        </w:rPr>
        <w:t xml:space="preserve"> et al. (2023) found that gross capital formation did not have a statistically significant effect on economic development when infrastructure was included in a VECM framework, whereas Salaudeen and Emmanuel (2024) reported that capital investment was positive but statistically insignificant in the short run and significant in the long run within an ARDL specification.</w:t>
      </w:r>
    </w:p>
    <w:p w14:paraId="04C9A2EA" w14:textId="77777777" w:rsidR="00A07FF0" w:rsidRPr="00BC05AD" w:rsidRDefault="00FF123D" w:rsidP="0045397C">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This study, therefore, focuses exclusively on gross capital formation as the sole explanatory variable and applies the Autoregressive Distributed Lag (ARDL) approach for more robust evidence to support the investment policy in Nigeria. The paper contributes to the literature as it thoroughly analy</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e</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the relationship between gross capital formation and economic growth in Nigeria using recent data. It </w:t>
      </w:r>
      <w:r>
        <w:rPr>
          <w:rFonts w:ascii="Times New Roman" w:eastAsia="Times New Roman" w:hAnsi="Times New Roman" w:cs="Times New Roman"/>
          <w:color w:val="000000" w:themeColor="text1"/>
          <w:sz w:val="24"/>
          <w:szCs w:val="24"/>
          <w:highlight w:val="yellow"/>
        </w:rPr>
        <w:t>addre</w:t>
      </w:r>
      <w:r>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e</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gaps </w:t>
      </w:r>
      <w:r>
        <w:rPr>
          <w:rFonts w:ascii="Times New Roman" w:eastAsia="Times New Roman" w:hAnsi="Times New Roman" w:cs="Times New Roman"/>
          <w:color w:val="000000" w:themeColor="text1"/>
          <w:sz w:val="24"/>
          <w:szCs w:val="24"/>
          <w:highlight w:val="yellow"/>
        </w:rPr>
        <w:t>in</w:t>
      </w:r>
      <w:r>
        <w:rPr>
          <w:rFonts w:ascii="Times New Roman" w:eastAsia="Times New Roman" w:hAnsi="Times New Roman" w:cs="Times New Roman"/>
          <w:color w:val="000000" w:themeColor="text1"/>
          <w:sz w:val="24"/>
          <w:szCs w:val="24"/>
        </w:rPr>
        <w:t xml:space="preserve"> previous research by explicitly modelling physical and human capital components within the ARDL framework. The results would help policymakers determine if the improvement in capital accumulation would result </w:t>
      </w:r>
      <w:r>
        <w:rPr>
          <w:rFonts w:ascii="Times New Roman" w:eastAsia="Times New Roman" w:hAnsi="Times New Roman" w:cs="Times New Roman"/>
          <w:color w:val="000000" w:themeColor="text1"/>
          <w:sz w:val="24"/>
          <w:szCs w:val="24"/>
          <w:highlight w:val="yellow"/>
        </w:rPr>
        <w:t>in</w:t>
      </w:r>
      <w:r>
        <w:rPr>
          <w:rFonts w:ascii="Times New Roman" w:eastAsia="Times New Roman" w:hAnsi="Times New Roman" w:cs="Times New Roman"/>
          <w:color w:val="000000" w:themeColor="text1"/>
          <w:sz w:val="24"/>
          <w:szCs w:val="24"/>
        </w:rPr>
        <w:t xml:space="preserve"> an increase in economic growth over time and thus affect fiscal and monetary policies. The rest of the paper is </w:t>
      </w:r>
      <w:proofErr w:type="spellStart"/>
      <w:r>
        <w:rPr>
          <w:rFonts w:ascii="Times New Roman" w:eastAsia="Times New Roman" w:hAnsi="Times New Roman" w:cs="Times New Roman"/>
          <w:color w:val="000000" w:themeColor="text1"/>
          <w:sz w:val="24"/>
          <w:szCs w:val="24"/>
        </w:rPr>
        <w:t>organi</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ed</w:t>
      </w:r>
      <w:proofErr w:type="spellEnd"/>
      <w:r>
        <w:rPr>
          <w:rFonts w:ascii="Times New Roman" w:eastAsia="Times New Roman" w:hAnsi="Times New Roman" w:cs="Times New Roman"/>
          <w:color w:val="000000" w:themeColor="text1"/>
          <w:sz w:val="24"/>
          <w:szCs w:val="24"/>
        </w:rPr>
        <w:t xml:space="preserve"> as follows. Section 2 covers the relevant theory and empirical research. Data, model and econometric methods are outlined in Section 3. The estimation results and discussion are presented in Section 4 and implications for policy are presented in Section 5.</w:t>
      </w:r>
    </w:p>
    <w:p w14:paraId="467BA680" w14:textId="77777777" w:rsidR="00D96C55" w:rsidRDefault="00000000">
      <w:pPr>
        <w:keepNext/>
        <w:keepLines/>
        <w:spacing w:before="100" w:beforeAutospacing="1" w:after="100" w:afterAutospacing="1" w:line="360" w:lineRule="auto"/>
        <w:rPr>
          <w:rFonts w:ascii="Times New Roman" w:hAnsi="Times New Roman" w:cs="Times New Roman"/>
          <w:color w:val="000000" w:themeColor="text1"/>
          <w:sz w:val="24"/>
          <w:szCs w:val="24"/>
        </w:rPr>
      </w:pPr>
      <w:r>
        <w:rPr>
          <w:rFonts w:ascii="Times New Roman" w:hAnsi="Times New Roman"/>
          <w:b/>
          <w:sz w:val="24"/>
          <w:highlight w:val="yellow"/>
        </w:rPr>
        <w:t>Research Gap</w:t>
      </w:r>
    </w:p>
    <w:p w14:paraId="10AF5EE2" w14:textId="77777777" w:rsidR="00D96C55" w:rsidRPr="002B5F04" w:rsidRDefault="00000000">
      <w:pPr>
        <w:spacing w:before="100" w:beforeAutospacing="1" w:after="100" w:afterAutospacing="1" w:line="360" w:lineRule="auto"/>
        <w:rPr>
          <w:rFonts w:ascii="Times New Roman" w:hAnsi="Times New Roman" w:cs="Times New Roman"/>
          <w:bCs/>
          <w:color w:val="000000" w:themeColor="text1"/>
          <w:sz w:val="24"/>
          <w:szCs w:val="24"/>
        </w:rPr>
      </w:pPr>
      <w:r w:rsidRPr="002B5F04">
        <w:rPr>
          <w:rFonts w:ascii="Times New Roman" w:hAnsi="Times New Roman"/>
          <w:bCs/>
          <w:sz w:val="24"/>
          <w:highlight w:val="yellow"/>
        </w:rPr>
        <w:t>Although the Introduction identifies mixed findings, uncertainty remains about the direction and statistical significance of the gross capital formation-growth relationship in Nigeria across different sample periods and empirical specifications. In particular, the manuscript identifies limited evidence applying an ARDL framework to recent annual data while incorporating literacy rate as a human-capital control, providing a specific basis for the present re-examination.</w:t>
      </w:r>
    </w:p>
    <w:p w14:paraId="32D7CA89" w14:textId="77777777" w:rsidR="00D96C55" w:rsidRDefault="00000000">
      <w:pPr>
        <w:keepNext/>
        <w:keepLines/>
        <w:spacing w:before="100" w:beforeAutospacing="1" w:after="100" w:afterAutospacing="1" w:line="360" w:lineRule="auto"/>
        <w:rPr>
          <w:rFonts w:ascii="Times New Roman" w:hAnsi="Times New Roman" w:cs="Times New Roman"/>
          <w:color w:val="000000" w:themeColor="text1"/>
          <w:sz w:val="24"/>
          <w:szCs w:val="24"/>
        </w:rPr>
      </w:pPr>
      <w:r>
        <w:rPr>
          <w:rFonts w:ascii="Times New Roman" w:hAnsi="Times New Roman"/>
          <w:b/>
          <w:sz w:val="24"/>
          <w:highlight w:val="yellow"/>
        </w:rPr>
        <w:t>Objective of the Study</w:t>
      </w:r>
    </w:p>
    <w:p w14:paraId="1B81B9B8" w14:textId="77777777" w:rsidR="00D96C55" w:rsidRPr="002B5F04" w:rsidRDefault="00000000">
      <w:pPr>
        <w:keepLines/>
        <w:spacing w:before="100" w:beforeAutospacing="1" w:after="100" w:afterAutospacing="1" w:line="360" w:lineRule="auto"/>
        <w:rPr>
          <w:rFonts w:ascii="Times New Roman" w:hAnsi="Times New Roman" w:cs="Times New Roman"/>
          <w:bCs/>
          <w:color w:val="000000" w:themeColor="text1"/>
          <w:sz w:val="24"/>
          <w:szCs w:val="24"/>
        </w:rPr>
      </w:pPr>
      <w:r w:rsidRPr="002B5F04">
        <w:rPr>
          <w:rFonts w:ascii="Times New Roman" w:hAnsi="Times New Roman"/>
          <w:bCs/>
          <w:sz w:val="24"/>
          <w:highlight w:val="yellow"/>
        </w:rPr>
        <w:t>The objective of this study is to examine the relationship between gross capital formation and economic growth in Nigeria over 2004–2025 using the ARDL framework, with literacy rate included as a human-capital control.</w:t>
      </w:r>
    </w:p>
    <w:p w14:paraId="5ABE9A6A" w14:textId="77777777" w:rsidR="000E1E53" w:rsidRPr="00BC05AD" w:rsidRDefault="000E1E53" w:rsidP="005C72D2">
      <w:pPr>
        <w:pStyle w:val="Heading2"/>
        <w:spacing w:before="0" w:beforeAutospacing="0" w:after="0" w:afterAutospacing="0"/>
        <w:jc w:val="both"/>
        <w:rPr>
          <w:color w:val="000000" w:themeColor="text1"/>
          <w:sz w:val="24"/>
          <w:szCs w:val="24"/>
        </w:rPr>
      </w:pPr>
      <w:r w:rsidRPr="00BC05AD">
        <w:rPr>
          <w:rStyle w:val="Strong"/>
          <w:b/>
          <w:bCs/>
          <w:color w:val="000000" w:themeColor="text1"/>
          <w:sz w:val="24"/>
          <w:szCs w:val="24"/>
        </w:rPr>
        <w:t>2.0 Literature Review</w:t>
      </w:r>
    </w:p>
    <w:p w14:paraId="5D36B4CA" w14:textId="77777777" w:rsidR="000E1E53" w:rsidRPr="00BC05AD" w:rsidRDefault="000E1E53" w:rsidP="005C72D2">
      <w:pPr>
        <w:pStyle w:val="Heading3"/>
        <w:spacing w:before="0" w:line="240" w:lineRule="auto"/>
        <w:jc w:val="both"/>
        <w:rPr>
          <w:rFonts w:ascii="Times New Roman" w:hAnsi="Times New Roman" w:cs="Times New Roman"/>
          <w:i/>
          <w:color w:val="000000" w:themeColor="text1"/>
          <w:sz w:val="24"/>
          <w:szCs w:val="24"/>
        </w:rPr>
      </w:pPr>
      <w:r w:rsidRPr="00BC05AD">
        <w:rPr>
          <w:rStyle w:val="Strong"/>
          <w:rFonts w:ascii="Times New Roman" w:hAnsi="Times New Roman" w:cs="Times New Roman"/>
          <w:b/>
          <w:bCs/>
          <w:i/>
          <w:color w:val="000000" w:themeColor="text1"/>
          <w:sz w:val="24"/>
          <w:szCs w:val="24"/>
        </w:rPr>
        <w:lastRenderedPageBreak/>
        <w:t>2.1 Conceptual Review</w:t>
      </w:r>
    </w:p>
    <w:p w14:paraId="16C292E2" w14:textId="77777777" w:rsidR="000E1E53" w:rsidRPr="00BC05AD" w:rsidRDefault="000E1E53" w:rsidP="0045397C">
      <w:pPr>
        <w:pStyle w:val="Heading4"/>
        <w:spacing w:before="0" w:after="200" w:line="360" w:lineRule="auto"/>
        <w:jc w:val="both"/>
        <w:rPr>
          <w:rFonts w:ascii="Times New Roman" w:hAnsi="Times New Roman" w:cs="Times New Roman"/>
          <w:color w:val="000000" w:themeColor="text1"/>
          <w:sz w:val="24"/>
          <w:szCs w:val="24"/>
        </w:rPr>
      </w:pPr>
      <w:r w:rsidRPr="00BC05AD">
        <w:rPr>
          <w:rStyle w:val="Strong"/>
          <w:rFonts w:ascii="Times New Roman" w:hAnsi="Times New Roman" w:cs="Times New Roman"/>
          <w:b/>
          <w:bCs/>
          <w:color w:val="000000" w:themeColor="text1"/>
          <w:sz w:val="24"/>
          <w:szCs w:val="24"/>
        </w:rPr>
        <w:t>Capital Formation</w:t>
      </w:r>
    </w:p>
    <w:p w14:paraId="4189B85A" w14:textId="46991D3E" w:rsidR="00523501" w:rsidRPr="00BC05AD" w:rsidRDefault="00523501" w:rsidP="0045397C">
      <w:pPr>
        <w:pStyle w:val="NormalWeb"/>
        <w:spacing w:before="0" w:beforeAutospacing="0" w:after="200" w:afterAutospacing="0" w:line="360" w:lineRule="auto"/>
        <w:jc w:val="both"/>
        <w:rPr>
          <w:color w:val="000000" w:themeColor="text1"/>
        </w:rPr>
      </w:pPr>
      <w:r>
        <w:rPr>
          <w:color w:val="000000" w:themeColor="text1"/>
        </w:rPr>
        <w:t>Gross capital formation is defined as the total investment in fixed assets and inventories of an economy over a period of time and is generally accepted as a key factor determining economic growth as it expands productive capacity, improves technological progress and stimulates the production of goods and services. The World Bank (202</w:t>
      </w:r>
      <w:r>
        <w:rPr>
          <w:color w:val="000000" w:themeColor="text1"/>
          <w:highlight w:val="yellow"/>
        </w:rPr>
        <w:t>4</w:t>
      </w:r>
      <w:r>
        <w:rPr>
          <w:color w:val="000000" w:themeColor="text1"/>
        </w:rPr>
        <w:t>) defines gross capital formation as outlays on additions to the economy's fixed assets and net changes in inventories, such as investment in machinery, equipment, transport facilities, buildings, infrastructure and other productive assets. Likewise,</w:t>
      </w:r>
      <w:r>
        <w:rPr>
          <w:color w:val="000000" w:themeColor="text1"/>
          <w:highlight w:val="yellow"/>
        </w:rPr>
        <w:t xml:space="preserve"> the </w:t>
      </w:r>
      <w:proofErr w:type="spellStart"/>
      <w:r>
        <w:rPr>
          <w:color w:val="000000" w:themeColor="text1"/>
        </w:rPr>
        <w:t>Organi</w:t>
      </w:r>
      <w:r>
        <w:rPr>
          <w:color w:val="000000" w:themeColor="text1"/>
          <w:highlight w:val="yellow"/>
        </w:rPr>
        <w:t>s</w:t>
      </w:r>
      <w:r>
        <w:rPr>
          <w:color w:val="000000" w:themeColor="text1"/>
        </w:rPr>
        <w:t>ation</w:t>
      </w:r>
      <w:proofErr w:type="spellEnd"/>
      <w:r>
        <w:rPr>
          <w:color w:val="000000" w:themeColor="text1"/>
        </w:rPr>
        <w:t xml:space="preserve"> for Economic Co-operation and Development (OECD, 20</w:t>
      </w:r>
      <w:r w:rsidR="00A02752">
        <w:rPr>
          <w:color w:val="000000" w:themeColor="text1"/>
        </w:rPr>
        <w:t>15</w:t>
      </w:r>
      <w:r>
        <w:rPr>
          <w:color w:val="000000" w:themeColor="text1"/>
        </w:rPr>
        <w:t>) defin</w:t>
      </w:r>
      <w:r>
        <w:rPr>
          <w:color w:val="000000" w:themeColor="text1"/>
          <w:highlight w:val="yellow"/>
        </w:rPr>
        <w:t>es</w:t>
      </w:r>
      <w:r>
        <w:rPr>
          <w:color w:val="000000" w:themeColor="text1"/>
        </w:rPr>
        <w:t xml:space="preserve"> gross capital formation </w:t>
      </w:r>
      <w:r>
        <w:rPr>
          <w:color w:val="000000" w:themeColor="text1"/>
          <w:highlight w:val="yellow"/>
        </w:rPr>
        <w:t>a</w:t>
      </w:r>
      <w:r>
        <w:rPr>
          <w:color w:val="000000" w:themeColor="text1"/>
        </w:rPr>
        <w:t>s the aggregate spending on assets created by the economy a</w:t>
      </w:r>
      <w:r>
        <w:rPr>
          <w:color w:val="000000" w:themeColor="text1"/>
          <w:highlight w:val="yellow"/>
        </w:rPr>
        <w:t>nd</w:t>
      </w:r>
      <w:r>
        <w:rPr>
          <w:color w:val="000000" w:themeColor="text1"/>
        </w:rPr>
        <w:t xml:space="preserve"> used in production to increase its stock of physical capital. An increase in gross capital formation usually helps to boost economic growth, which can happen through better productivity, making </w:t>
      </w:r>
      <w:proofErr w:type="spellStart"/>
      <w:r>
        <w:rPr>
          <w:color w:val="000000" w:themeColor="text1"/>
        </w:rPr>
        <w:t>industriali</w:t>
      </w:r>
      <w:r>
        <w:rPr>
          <w:color w:val="000000" w:themeColor="text1"/>
          <w:highlight w:val="yellow"/>
        </w:rPr>
        <w:t>s</w:t>
      </w:r>
      <w:r>
        <w:rPr>
          <w:color w:val="000000" w:themeColor="text1"/>
        </w:rPr>
        <w:t>ation</w:t>
      </w:r>
      <w:proofErr w:type="spellEnd"/>
      <w:r>
        <w:rPr>
          <w:color w:val="000000" w:themeColor="text1"/>
        </w:rPr>
        <w:t xml:space="preserve"> possible, attracting domestic and foreign capital, and creating more jobs. In developing economies, lack of infrastructure, financial systems, policy uncertainty, macroeconomic instability, limited domestic savings, and institutional inefficiencies, however, can constrain investment performance and diminish the ability of capital accumulation to drive sustainable economic growth. Although Nigeria has tried different investment promotion policies since independence, these structural weaknesses remain a constraint to the contribution of gross capital formation to the growth of the Nigerian economy. Thus, creating an</w:t>
      </w:r>
      <w:r>
        <w:rPr>
          <w:color w:val="000000" w:themeColor="text1"/>
          <w:highlight w:val="yellow"/>
        </w:rPr>
        <w:t xml:space="preserve"> enabling</w:t>
      </w:r>
      <w:r>
        <w:rPr>
          <w:color w:val="000000" w:themeColor="text1"/>
        </w:rPr>
        <w:t xml:space="preserve"> investment climate and improving the efficiency of capital allocation </w:t>
      </w:r>
      <w:r>
        <w:rPr>
          <w:color w:val="000000" w:themeColor="text1"/>
          <w:highlight w:val="yellow"/>
        </w:rPr>
        <w:t>are</w:t>
      </w:r>
      <w:r>
        <w:rPr>
          <w:color w:val="000000" w:themeColor="text1"/>
        </w:rPr>
        <w:t xml:space="preserve"> crucial for sustainable economic development.</w:t>
      </w:r>
    </w:p>
    <w:p w14:paraId="5B721CC6" w14:textId="77777777" w:rsidR="000E1E53" w:rsidRPr="00BC05AD" w:rsidRDefault="000E1E53" w:rsidP="0045397C">
      <w:pPr>
        <w:pStyle w:val="Heading3"/>
        <w:spacing w:before="0" w:after="200" w:line="360" w:lineRule="auto"/>
        <w:jc w:val="both"/>
        <w:rPr>
          <w:rFonts w:ascii="Times New Roman" w:hAnsi="Times New Roman" w:cs="Times New Roman"/>
          <w:i/>
          <w:color w:val="000000" w:themeColor="text1"/>
          <w:sz w:val="24"/>
          <w:szCs w:val="24"/>
        </w:rPr>
      </w:pPr>
      <w:r w:rsidRPr="00BC05AD">
        <w:rPr>
          <w:rStyle w:val="Strong"/>
          <w:rFonts w:ascii="Times New Roman" w:hAnsi="Times New Roman" w:cs="Times New Roman"/>
          <w:b/>
          <w:bCs/>
          <w:i/>
          <w:color w:val="000000" w:themeColor="text1"/>
          <w:sz w:val="24"/>
          <w:szCs w:val="24"/>
        </w:rPr>
        <w:t>Economic Growth</w:t>
      </w:r>
    </w:p>
    <w:p w14:paraId="43C6CE17" w14:textId="364CA82A" w:rsidR="000E1E53" w:rsidRPr="00BC05AD" w:rsidRDefault="00D900DB" w:rsidP="0045397C">
      <w:pPr>
        <w:pStyle w:val="NormalWeb"/>
        <w:spacing w:before="0" w:beforeAutospacing="0" w:after="200" w:afterAutospacing="0" w:line="360" w:lineRule="auto"/>
        <w:jc w:val="both"/>
        <w:rPr>
          <w:color w:val="000000" w:themeColor="text1"/>
        </w:rPr>
      </w:pPr>
      <w:r>
        <w:rPr>
          <w:color w:val="000000" w:themeColor="text1"/>
        </w:rPr>
        <w:t>Economic growth is an economy's ability to</w:t>
      </w:r>
      <w:r>
        <w:rPr>
          <w:color w:val="000000" w:themeColor="text1"/>
          <w:highlight w:val="yellow"/>
        </w:rPr>
        <w:t xml:space="preserve"> increase</w:t>
      </w:r>
      <w:r>
        <w:rPr>
          <w:color w:val="000000" w:themeColor="text1"/>
        </w:rPr>
        <w:t xml:space="preserve"> produc</w:t>
      </w:r>
      <w:r>
        <w:rPr>
          <w:color w:val="000000" w:themeColor="text1"/>
          <w:highlight w:val="yellow"/>
        </w:rPr>
        <w:t>ti</w:t>
      </w:r>
      <w:r>
        <w:rPr>
          <w:color w:val="000000" w:themeColor="text1"/>
        </w:rPr>
        <w:t>o</w:t>
      </w:r>
      <w:r>
        <w:rPr>
          <w:color w:val="000000" w:themeColor="text1"/>
          <w:highlight w:val="yellow"/>
        </w:rPr>
        <w:t>n</w:t>
      </w:r>
      <w:r>
        <w:rPr>
          <w:color w:val="000000" w:themeColor="text1"/>
        </w:rPr>
        <w:t xml:space="preserve"> over time, as measured by increases in national output, income, employment and improvement</w:t>
      </w:r>
      <w:r>
        <w:rPr>
          <w:color w:val="000000" w:themeColor="text1"/>
          <w:highlight w:val="yellow"/>
        </w:rPr>
        <w:t>s</w:t>
      </w:r>
      <w:r>
        <w:rPr>
          <w:color w:val="000000" w:themeColor="text1"/>
        </w:rPr>
        <w:t xml:space="preserve"> in people's living standards (Haller, 2012; Todaro &amp; Smith, 202</w:t>
      </w:r>
      <w:r w:rsidR="00A02752">
        <w:rPr>
          <w:color w:val="000000" w:themeColor="text1"/>
        </w:rPr>
        <w:t>0</w:t>
      </w:r>
      <w:r>
        <w:rPr>
          <w:color w:val="000000" w:themeColor="text1"/>
        </w:rPr>
        <w:t>). It is influenced by a number of related factors such as</w:t>
      </w:r>
      <w:r>
        <w:rPr>
          <w:color w:val="000000" w:themeColor="text1"/>
          <w:highlight w:val="yellow"/>
        </w:rPr>
        <w:t xml:space="preserve"> the</w:t>
      </w:r>
      <w:r>
        <w:rPr>
          <w:color w:val="000000" w:themeColor="text1"/>
        </w:rPr>
        <w:t xml:space="preserve"> accumulation of capital, participation of the </w:t>
      </w:r>
      <w:proofErr w:type="spellStart"/>
      <w:r>
        <w:rPr>
          <w:color w:val="000000" w:themeColor="text1"/>
        </w:rPr>
        <w:t>labour</w:t>
      </w:r>
      <w:proofErr w:type="spellEnd"/>
      <w:r>
        <w:rPr>
          <w:color w:val="000000" w:themeColor="text1"/>
        </w:rPr>
        <w:t xml:space="preserve"> force, technological advances, human capital formation, quality of institutions and macroeconomic stability. The Solow Neoclassical Growth Theory and Endogenous Growth Theory </w:t>
      </w:r>
      <w:r>
        <w:rPr>
          <w:color w:val="000000" w:themeColor="text1"/>
          <w:highlight w:val="yellow"/>
        </w:rPr>
        <w:t>both</w:t>
      </w:r>
      <w:r>
        <w:rPr>
          <w:color w:val="000000" w:themeColor="text1"/>
        </w:rPr>
        <w:t xml:space="preserve"> agree that capital accumulation and human capital formation are key factors in long-term economic growth, but the latter also places greater emphasis on innovation, knowledge creation and technological advancement as important factors </w:t>
      </w:r>
      <w:r>
        <w:rPr>
          <w:color w:val="000000" w:themeColor="text1"/>
          <w:highlight w:val="yellow"/>
        </w:rPr>
        <w:lastRenderedPageBreak/>
        <w:t>in</w:t>
      </w:r>
      <w:r>
        <w:rPr>
          <w:color w:val="000000" w:themeColor="text1"/>
        </w:rPr>
        <w:t xml:space="preserve"> maintaining productivity growth (Romer, 1986; Lucas, 1988). The most widely accepted measure of economic performance is the annual growth rate of real Gross Domestic Product (GDP), which is used in empirical growth studies as an indicator of economic growth. Accordingly, an increase in real GDP is an indication of increases in productive efficiency, investment returns, and an economy's ability to produce more output and income over time.</w:t>
      </w:r>
    </w:p>
    <w:p w14:paraId="3CDD335B" w14:textId="77777777" w:rsidR="000E1E53" w:rsidRPr="00BC05AD" w:rsidRDefault="000E1E53" w:rsidP="0045397C">
      <w:pPr>
        <w:pStyle w:val="Heading2"/>
        <w:spacing w:before="0" w:beforeAutospacing="0" w:after="200" w:afterAutospacing="0" w:line="360" w:lineRule="auto"/>
        <w:jc w:val="both"/>
        <w:rPr>
          <w:i/>
          <w:color w:val="000000" w:themeColor="text1"/>
          <w:sz w:val="24"/>
          <w:szCs w:val="24"/>
        </w:rPr>
      </w:pPr>
      <w:r w:rsidRPr="00BC05AD">
        <w:rPr>
          <w:rStyle w:val="Strong"/>
          <w:b/>
          <w:bCs/>
          <w:i/>
          <w:color w:val="000000" w:themeColor="text1"/>
          <w:sz w:val="24"/>
          <w:szCs w:val="24"/>
        </w:rPr>
        <w:t>2.2 Theoretical Framework</w:t>
      </w:r>
    </w:p>
    <w:p w14:paraId="0D07EC39" w14:textId="77777777" w:rsidR="00D900DB" w:rsidRPr="00BC05AD" w:rsidRDefault="00D900DB" w:rsidP="0045397C">
      <w:pPr>
        <w:pStyle w:val="NormalWeb"/>
        <w:spacing w:before="0" w:beforeAutospacing="0" w:after="200" w:afterAutospacing="0" w:line="360" w:lineRule="auto"/>
        <w:jc w:val="both"/>
        <w:rPr>
          <w:color w:val="000000" w:themeColor="text1"/>
        </w:rPr>
      </w:pPr>
      <w:r>
        <w:rPr>
          <w:color w:val="000000" w:themeColor="text1"/>
        </w:rPr>
        <w:t xml:space="preserve">The theoretical framework of this study is based on the Solow neoclassical growth theory and the endogenous growth theory. Solow (1956) introduced the Solow Neoclassical Growth Theory, which argues that economic growth is largely a result of the accumulation of capital, </w:t>
      </w:r>
      <w:proofErr w:type="spellStart"/>
      <w:r>
        <w:rPr>
          <w:color w:val="000000" w:themeColor="text1"/>
          <w:highlight w:val="yellow"/>
        </w:rPr>
        <w:t>labour</w:t>
      </w:r>
      <w:proofErr w:type="spellEnd"/>
      <w:r>
        <w:rPr>
          <w:color w:val="000000" w:themeColor="text1"/>
          <w:highlight w:val="yellow"/>
        </w:rPr>
        <w:t xml:space="preserve"> </w:t>
      </w:r>
      <w:r>
        <w:rPr>
          <w:color w:val="000000" w:themeColor="text1"/>
        </w:rPr>
        <w:t>growth, and exogenous technological progress. The theory suggests that more savings and investment will bring about a rise in physical capital, and therefore in the productiv</w:t>
      </w:r>
      <w:r>
        <w:rPr>
          <w:color w:val="000000" w:themeColor="text1"/>
          <w:highlight w:val="yellow"/>
        </w:rPr>
        <w:t>e</w:t>
      </w:r>
      <w:r>
        <w:rPr>
          <w:color w:val="000000" w:themeColor="text1"/>
        </w:rPr>
        <w:t xml:space="preserve"> capacity of the nation and its output. </w:t>
      </w:r>
      <w:r>
        <w:rPr>
          <w:color w:val="000000" w:themeColor="text1"/>
          <w:highlight w:val="yellow"/>
        </w:rPr>
        <w:t>However</w:t>
      </w:r>
      <w:r>
        <w:rPr>
          <w:color w:val="000000" w:themeColor="text1"/>
        </w:rPr>
        <w:t xml:space="preserve">, </w:t>
      </w:r>
      <w:r>
        <w:rPr>
          <w:color w:val="000000" w:themeColor="text1"/>
          <w:highlight w:val="yellow"/>
        </w:rPr>
        <w:t>bec</w:t>
      </w:r>
      <w:r>
        <w:rPr>
          <w:color w:val="000000" w:themeColor="text1"/>
        </w:rPr>
        <w:t>a</w:t>
      </w:r>
      <w:r>
        <w:rPr>
          <w:color w:val="000000" w:themeColor="text1"/>
          <w:highlight w:val="yellow"/>
        </w:rPr>
        <w:t>u</w:t>
      </w:r>
      <w:r>
        <w:rPr>
          <w:color w:val="000000" w:themeColor="text1"/>
        </w:rPr>
        <w:t>s</w:t>
      </w:r>
      <w:r>
        <w:rPr>
          <w:color w:val="000000" w:themeColor="text1"/>
          <w:highlight w:val="yellow"/>
        </w:rPr>
        <w:t>e</w:t>
      </w:r>
      <w:r>
        <w:rPr>
          <w:color w:val="000000" w:themeColor="text1"/>
        </w:rPr>
        <w:t xml:space="preserve"> capital is subject to diminishing returns, long-run economic growth cannot be obtained by building up more capital without technological development. The strength of the Solow model </w:t>
      </w:r>
      <w:r>
        <w:rPr>
          <w:color w:val="000000" w:themeColor="text1"/>
          <w:highlight w:val="yellow"/>
        </w:rPr>
        <w:t>l</w:t>
      </w:r>
      <w:r>
        <w:rPr>
          <w:color w:val="000000" w:themeColor="text1"/>
        </w:rPr>
        <w:t>i</w:t>
      </w:r>
      <w:r>
        <w:rPr>
          <w:color w:val="000000" w:themeColor="text1"/>
          <w:highlight w:val="yellow"/>
        </w:rPr>
        <w:t>e</w:t>
      </w:r>
      <w:r>
        <w:rPr>
          <w:color w:val="000000" w:themeColor="text1"/>
        </w:rPr>
        <w:t xml:space="preserve">s </w:t>
      </w:r>
      <w:r>
        <w:rPr>
          <w:color w:val="000000" w:themeColor="text1"/>
          <w:highlight w:val="yellow"/>
        </w:rPr>
        <w:t>in</w:t>
      </w:r>
      <w:r>
        <w:rPr>
          <w:color w:val="000000" w:themeColor="text1"/>
        </w:rPr>
        <w:t xml:space="preserve"> its analytical e</w:t>
      </w:r>
      <w:r>
        <w:rPr>
          <w:color w:val="000000" w:themeColor="text1"/>
          <w:highlight w:val="yellow"/>
        </w:rPr>
        <w:t>mphas</w:t>
      </w:r>
      <w:r>
        <w:rPr>
          <w:color w:val="000000" w:themeColor="text1"/>
        </w:rPr>
        <w:t xml:space="preserve">is on investment as a key factor in economic growth and is of particular relevance to this study, which investigates gross capital formation as the key explanatory variable and the </w:t>
      </w:r>
      <w:proofErr w:type="spellStart"/>
      <w:r>
        <w:rPr>
          <w:color w:val="000000" w:themeColor="text1"/>
        </w:rPr>
        <w:t>labour</w:t>
      </w:r>
      <w:proofErr w:type="spellEnd"/>
      <w:r>
        <w:rPr>
          <w:color w:val="000000" w:themeColor="text1"/>
        </w:rPr>
        <w:t xml:space="preserve"> force participation rate as a measure of productive </w:t>
      </w:r>
      <w:proofErr w:type="spellStart"/>
      <w:r>
        <w:rPr>
          <w:color w:val="000000" w:themeColor="text1"/>
        </w:rPr>
        <w:t>labour</w:t>
      </w:r>
      <w:proofErr w:type="spellEnd"/>
      <w:r>
        <w:rPr>
          <w:color w:val="000000" w:themeColor="text1"/>
        </w:rPr>
        <w:t xml:space="preserve"> input. The theory offers a solid foundation </w:t>
      </w:r>
      <w:r>
        <w:rPr>
          <w:color w:val="000000" w:themeColor="text1"/>
          <w:highlight w:val="yellow"/>
        </w:rPr>
        <w:t>for</w:t>
      </w:r>
      <w:r>
        <w:rPr>
          <w:color w:val="000000" w:themeColor="text1"/>
        </w:rPr>
        <w:t xml:space="preserve"> understanding the relationship between greater investments in productive assets and greater output and economic performance in Nigeria.</w:t>
      </w:r>
    </w:p>
    <w:p w14:paraId="03FE0919" w14:textId="77777777" w:rsidR="00D900DB" w:rsidRPr="00BC05AD" w:rsidRDefault="00D900DB" w:rsidP="0045397C">
      <w:pPr>
        <w:pStyle w:val="NormalWeb"/>
        <w:spacing w:before="0" w:beforeAutospacing="0" w:after="200" w:afterAutospacing="0" w:line="360" w:lineRule="auto"/>
        <w:jc w:val="both"/>
        <w:rPr>
          <w:color w:val="000000" w:themeColor="text1"/>
        </w:rPr>
      </w:pPr>
      <w:r>
        <w:rPr>
          <w:color w:val="000000" w:themeColor="text1"/>
          <w:highlight w:val="yellow"/>
        </w:rPr>
        <w:t>E</w:t>
      </w:r>
      <w:r>
        <w:rPr>
          <w:color w:val="000000" w:themeColor="text1"/>
        </w:rPr>
        <w:t xml:space="preserve">ndogenous growth theory, however, </w:t>
      </w:r>
      <w:r>
        <w:rPr>
          <w:color w:val="000000" w:themeColor="text1"/>
          <w:highlight w:val="yellow"/>
        </w:rPr>
        <w:t>develo</w:t>
      </w:r>
      <w:r>
        <w:rPr>
          <w:color w:val="000000" w:themeColor="text1"/>
        </w:rPr>
        <w:t xml:space="preserve">ped </w:t>
      </w:r>
      <w:r>
        <w:rPr>
          <w:color w:val="000000" w:themeColor="text1"/>
          <w:highlight w:val="yellow"/>
        </w:rPr>
        <w:t>through</w:t>
      </w:r>
      <w:r>
        <w:rPr>
          <w:color w:val="000000" w:themeColor="text1"/>
        </w:rPr>
        <w:t xml:space="preserve"> the </w:t>
      </w:r>
      <w:r>
        <w:rPr>
          <w:color w:val="000000" w:themeColor="text1"/>
          <w:highlight w:val="yellow"/>
        </w:rPr>
        <w:t>contr</w:t>
      </w:r>
      <w:r>
        <w:rPr>
          <w:color w:val="000000" w:themeColor="text1"/>
        </w:rPr>
        <w:t>i</w:t>
      </w:r>
      <w:r>
        <w:rPr>
          <w:color w:val="000000" w:themeColor="text1"/>
          <w:highlight w:val="yellow"/>
        </w:rPr>
        <w:t>butio</w:t>
      </w:r>
      <w:r>
        <w:rPr>
          <w:color w:val="000000" w:themeColor="text1"/>
        </w:rPr>
        <w:t xml:space="preserve">ns of Arrow (1962), Romer (1986), and Lucas (1988), challenged the exogenous nature of technological progress and the limitations of the Solow model by </w:t>
      </w:r>
      <w:proofErr w:type="spellStart"/>
      <w:r>
        <w:rPr>
          <w:color w:val="000000" w:themeColor="text1"/>
        </w:rPr>
        <w:t>emphasi</w:t>
      </w:r>
      <w:r>
        <w:rPr>
          <w:color w:val="000000" w:themeColor="text1"/>
          <w:highlight w:val="yellow"/>
        </w:rPr>
        <w:t>s</w:t>
      </w:r>
      <w:r>
        <w:rPr>
          <w:color w:val="000000" w:themeColor="text1"/>
        </w:rPr>
        <w:t>ing</w:t>
      </w:r>
      <w:proofErr w:type="spellEnd"/>
      <w:r>
        <w:rPr>
          <w:color w:val="000000" w:themeColor="text1"/>
        </w:rPr>
        <w:t xml:space="preserve"> the endogenous nature of economic growth. The theory focuses on the fact that continued investment in physical capital, human capital, innovation, research and development and knowledge accumulation leads to positive externalities that can lead to increasing returns to scale (Romer, 1994). In contrast to the neoclassical view, endogenous growth theory acknowledges that education and human capital can boost </w:t>
      </w:r>
      <w:proofErr w:type="spellStart"/>
      <w:r>
        <w:rPr>
          <w:color w:val="000000" w:themeColor="text1"/>
        </w:rPr>
        <w:t>labour</w:t>
      </w:r>
      <w:proofErr w:type="spellEnd"/>
      <w:r>
        <w:rPr>
          <w:color w:val="000000" w:themeColor="text1"/>
        </w:rPr>
        <w:t xml:space="preserve"> productivity, technological progress and innovation and thus provide a long-term economic growth path. Hence, the theory offers a compelling theoretical rationale for using </w:t>
      </w:r>
      <w:r>
        <w:rPr>
          <w:color w:val="000000" w:themeColor="text1"/>
          <w:highlight w:val="yellow"/>
        </w:rPr>
        <w:t xml:space="preserve">the </w:t>
      </w:r>
      <w:r>
        <w:rPr>
          <w:color w:val="000000" w:themeColor="text1"/>
        </w:rPr>
        <w:t xml:space="preserve">literacy rate as an indicator of human capital development and </w:t>
      </w:r>
      <w:proofErr w:type="spellStart"/>
      <w:r>
        <w:rPr>
          <w:color w:val="000000" w:themeColor="text1"/>
        </w:rPr>
        <w:t>labour</w:t>
      </w:r>
      <w:proofErr w:type="spellEnd"/>
      <w:r>
        <w:rPr>
          <w:color w:val="000000" w:themeColor="text1"/>
        </w:rPr>
        <w:t xml:space="preserve"> force participation as a </w:t>
      </w:r>
      <w:r>
        <w:rPr>
          <w:color w:val="000000" w:themeColor="text1"/>
        </w:rPr>
        <w:lastRenderedPageBreak/>
        <w:t>measure of productive capacity, in addition to gross capital formation, as a measure of economic growth.</w:t>
      </w:r>
    </w:p>
    <w:p w14:paraId="43AFB503" w14:textId="77777777" w:rsidR="000E1E53" w:rsidRPr="00BC05AD" w:rsidRDefault="00D900DB" w:rsidP="0045397C">
      <w:pPr>
        <w:pStyle w:val="NormalWeb"/>
        <w:spacing w:before="0" w:beforeAutospacing="0" w:after="200" w:afterAutospacing="0" w:line="360" w:lineRule="auto"/>
        <w:jc w:val="both"/>
        <w:rPr>
          <w:color w:val="000000" w:themeColor="text1"/>
        </w:rPr>
      </w:pPr>
      <w:r>
        <w:rPr>
          <w:color w:val="000000" w:themeColor="text1"/>
        </w:rPr>
        <w:t xml:space="preserve">The theories complement each other, </w:t>
      </w:r>
      <w:r>
        <w:rPr>
          <w:color w:val="000000" w:themeColor="text1"/>
          <w:highlight w:val="yellow"/>
        </w:rPr>
        <w:t>prov</w:t>
      </w:r>
      <w:r>
        <w:rPr>
          <w:color w:val="000000" w:themeColor="text1"/>
        </w:rPr>
        <w:t>i</w:t>
      </w:r>
      <w:r>
        <w:rPr>
          <w:color w:val="000000" w:themeColor="text1"/>
          <w:highlight w:val="yellow"/>
        </w:rPr>
        <w:t>d</w:t>
      </w:r>
      <w:r>
        <w:rPr>
          <w:color w:val="000000" w:themeColor="text1"/>
        </w:rPr>
        <w:t xml:space="preserve">ing a complete analytical framework </w:t>
      </w:r>
      <w:r>
        <w:rPr>
          <w:color w:val="000000" w:themeColor="text1"/>
          <w:highlight w:val="yellow"/>
        </w:rPr>
        <w:t>t</w:t>
      </w:r>
      <w:r>
        <w:rPr>
          <w:color w:val="000000" w:themeColor="text1"/>
        </w:rPr>
        <w:t>h</w:t>
      </w:r>
      <w:r>
        <w:rPr>
          <w:color w:val="000000" w:themeColor="text1"/>
          <w:highlight w:val="yellow"/>
        </w:rPr>
        <w:t>at</w:t>
      </w:r>
      <w:r>
        <w:rPr>
          <w:color w:val="000000" w:themeColor="text1"/>
        </w:rPr>
        <w:t xml:space="preserve"> forms the basis for understanding the relationship between the growth of gross capital formation and economic growth in Nigeria. The Solow neoclassical growth theory illustrates how growth can result from capital accumulation and </w:t>
      </w:r>
      <w:proofErr w:type="spellStart"/>
      <w:r>
        <w:rPr>
          <w:color w:val="000000" w:themeColor="text1"/>
        </w:rPr>
        <w:t>utili</w:t>
      </w:r>
      <w:r>
        <w:rPr>
          <w:color w:val="000000" w:themeColor="text1"/>
          <w:highlight w:val="yellow"/>
        </w:rPr>
        <w:t>s</w:t>
      </w:r>
      <w:r>
        <w:rPr>
          <w:color w:val="000000" w:themeColor="text1"/>
        </w:rPr>
        <w:t>ation</w:t>
      </w:r>
      <w:proofErr w:type="spellEnd"/>
      <w:r>
        <w:rPr>
          <w:color w:val="000000" w:themeColor="text1"/>
        </w:rPr>
        <w:t xml:space="preserve"> of </w:t>
      </w:r>
      <w:proofErr w:type="spellStart"/>
      <w:r>
        <w:rPr>
          <w:color w:val="000000" w:themeColor="text1"/>
        </w:rPr>
        <w:t>labour</w:t>
      </w:r>
      <w:proofErr w:type="spellEnd"/>
      <w:r>
        <w:rPr>
          <w:color w:val="000000" w:themeColor="text1"/>
        </w:rPr>
        <w:t xml:space="preserve">, while the endogenous growth theory expands this analysis by showing that growth can also come from advancements in human capital, knowledge production and technological innovation. Both theories </w:t>
      </w:r>
      <w:proofErr w:type="spellStart"/>
      <w:r>
        <w:rPr>
          <w:color w:val="000000" w:themeColor="text1"/>
        </w:rPr>
        <w:t>emphasi</w:t>
      </w:r>
      <w:r>
        <w:rPr>
          <w:color w:val="000000" w:themeColor="text1"/>
          <w:highlight w:val="yellow"/>
        </w:rPr>
        <w:t>s</w:t>
      </w:r>
      <w:r>
        <w:rPr>
          <w:color w:val="000000" w:themeColor="text1"/>
        </w:rPr>
        <w:t>e</w:t>
      </w:r>
      <w:proofErr w:type="spellEnd"/>
      <w:r>
        <w:rPr>
          <w:color w:val="000000" w:themeColor="text1"/>
        </w:rPr>
        <w:t xml:space="preserve"> the need to invest productively, to use </w:t>
      </w:r>
      <w:proofErr w:type="spellStart"/>
      <w:r>
        <w:rPr>
          <w:color w:val="000000" w:themeColor="text1"/>
        </w:rPr>
        <w:t>labour</w:t>
      </w:r>
      <w:proofErr w:type="spellEnd"/>
      <w:r>
        <w:rPr>
          <w:color w:val="000000" w:themeColor="text1"/>
        </w:rPr>
        <w:t xml:space="preserve"> efficiently, and to develop human capital to promote long-run economic growth. Their application is especially suitable for Nigeria's economy, where the poor levels of infrastructure, allocation of capital resources, quality of institutional structures, and human capital are restricting investment's growth-enhancing impact. Taken as a whole, the theories offer a satisfying theoretical basis for understanding the relationship between gross capital formation, </w:t>
      </w:r>
      <w:proofErr w:type="spellStart"/>
      <w:r>
        <w:rPr>
          <w:color w:val="000000" w:themeColor="text1"/>
        </w:rPr>
        <w:t>labour</w:t>
      </w:r>
      <w:proofErr w:type="spellEnd"/>
      <w:r>
        <w:rPr>
          <w:color w:val="000000" w:themeColor="text1"/>
        </w:rPr>
        <w:t xml:space="preserve"> force participation, and the literacy rate</w:t>
      </w:r>
      <w:r>
        <w:rPr>
          <w:color w:val="000000" w:themeColor="text1"/>
          <w:highlight w:val="yellow"/>
        </w:rPr>
        <w:t>,</w:t>
      </w:r>
      <w:r>
        <w:rPr>
          <w:color w:val="000000" w:themeColor="text1"/>
        </w:rPr>
        <w:t xml:space="preserve"> and their contribution</w:t>
      </w:r>
      <w:r>
        <w:rPr>
          <w:color w:val="000000" w:themeColor="text1"/>
          <w:highlight w:val="yellow"/>
        </w:rPr>
        <w:t>s</w:t>
      </w:r>
      <w:r>
        <w:rPr>
          <w:color w:val="000000" w:themeColor="text1"/>
        </w:rPr>
        <w:t xml:space="preserve"> to the economic growth of Nigeria and serve as a basis for the policy recommendations proposed in this study.</w:t>
      </w:r>
    </w:p>
    <w:p w14:paraId="46BFFF05" w14:textId="77777777" w:rsidR="000E1E53" w:rsidRPr="00BC05AD" w:rsidRDefault="000E1E53" w:rsidP="0045397C">
      <w:pPr>
        <w:pStyle w:val="Heading2"/>
        <w:spacing w:before="0" w:beforeAutospacing="0" w:after="200" w:afterAutospacing="0" w:line="360" w:lineRule="auto"/>
        <w:jc w:val="both"/>
        <w:rPr>
          <w:i/>
          <w:color w:val="000000" w:themeColor="text1"/>
          <w:sz w:val="24"/>
          <w:szCs w:val="24"/>
        </w:rPr>
      </w:pPr>
      <w:r w:rsidRPr="00BC05AD">
        <w:rPr>
          <w:rStyle w:val="Strong"/>
          <w:b/>
          <w:bCs/>
          <w:i/>
          <w:color w:val="000000" w:themeColor="text1"/>
          <w:sz w:val="24"/>
          <w:szCs w:val="24"/>
        </w:rPr>
        <w:t>2.3 Empirical Review</w:t>
      </w:r>
    </w:p>
    <w:p w14:paraId="4EA72EDE" w14:textId="77777777" w:rsidR="00780F78" w:rsidRPr="00BC05AD" w:rsidRDefault="00780F78" w:rsidP="00780F78">
      <w:pPr>
        <w:pStyle w:val="NormalWeb"/>
        <w:spacing w:line="360" w:lineRule="auto"/>
        <w:jc w:val="both"/>
        <w:rPr>
          <w:color w:val="000000" w:themeColor="text1"/>
        </w:rPr>
      </w:pPr>
      <w:proofErr w:type="spellStart"/>
      <w:r>
        <w:rPr>
          <w:color w:val="000000" w:themeColor="text1"/>
        </w:rPr>
        <w:t>Sijabat</w:t>
      </w:r>
      <w:proofErr w:type="spellEnd"/>
      <w:r>
        <w:rPr>
          <w:color w:val="000000" w:themeColor="text1"/>
        </w:rPr>
        <w:t xml:space="preserve"> (2022) examined the relationship between gross capital formation, foreign direct investment, foreign assistance and economic growth in Indonesia </w:t>
      </w:r>
      <w:r>
        <w:rPr>
          <w:color w:val="000000" w:themeColor="text1"/>
          <w:highlight w:val="yellow"/>
        </w:rPr>
        <w:t>over</w:t>
      </w:r>
      <w:r>
        <w:rPr>
          <w:color w:val="000000" w:themeColor="text1"/>
        </w:rPr>
        <w:t xml:space="preserve"> the period 1971</w:t>
      </w:r>
      <w:r>
        <w:rPr>
          <w:color w:val="000000" w:themeColor="text1"/>
          <w:highlight w:val="yellow"/>
        </w:rPr>
        <w:t>–</w:t>
      </w:r>
      <w:r>
        <w:rPr>
          <w:color w:val="000000" w:themeColor="text1"/>
        </w:rPr>
        <w:t>2019. The Toda–Yamamoto causality approach revealed that gross capital formation had a significant positive causal effect on economic growth, and the causal effect</w:t>
      </w:r>
      <w:r>
        <w:rPr>
          <w:color w:val="000000" w:themeColor="text1"/>
          <w:highlight w:val="yellow"/>
        </w:rPr>
        <w:t>s</w:t>
      </w:r>
      <w:r>
        <w:rPr>
          <w:color w:val="000000" w:themeColor="text1"/>
        </w:rPr>
        <w:t xml:space="preserve"> of foreign direct investment and foreign aid on economic growth w</w:t>
      </w:r>
      <w:r>
        <w:rPr>
          <w:color w:val="000000" w:themeColor="text1"/>
          <w:highlight w:val="yellow"/>
        </w:rPr>
        <w:t>ere</w:t>
      </w:r>
      <w:r>
        <w:rPr>
          <w:color w:val="000000" w:themeColor="text1"/>
        </w:rPr>
        <w:t xml:space="preserve"> not consistent. The study found that the </w:t>
      </w:r>
      <w:r>
        <w:rPr>
          <w:color w:val="000000" w:themeColor="text1"/>
          <w:highlight w:val="yellow"/>
        </w:rPr>
        <w:t>sus</w:t>
      </w:r>
      <w:r>
        <w:rPr>
          <w:color w:val="000000" w:themeColor="text1"/>
        </w:rPr>
        <w:t>t</w:t>
      </w:r>
      <w:r>
        <w:rPr>
          <w:color w:val="000000" w:themeColor="text1"/>
          <w:highlight w:val="yellow"/>
        </w:rPr>
        <w:t>a</w:t>
      </w:r>
      <w:r>
        <w:rPr>
          <w:color w:val="000000" w:themeColor="text1"/>
        </w:rPr>
        <w:t xml:space="preserve">ined domestic investment is an important factor in the performance of the economy in the long term. Mohamed and Abdi (2024) </w:t>
      </w:r>
      <w:proofErr w:type="spellStart"/>
      <w:r>
        <w:rPr>
          <w:color w:val="000000" w:themeColor="text1"/>
        </w:rPr>
        <w:t>analysed</w:t>
      </w:r>
      <w:proofErr w:type="spellEnd"/>
      <w:r>
        <w:rPr>
          <w:color w:val="000000" w:themeColor="text1"/>
        </w:rPr>
        <w:t xml:space="preserve"> the relationship between inflation, unemployment and economic growth in Somalia using annual time-series data. The study adopted the Vector Error Correction Model (VECM) and found that investment and macroeconomic stability had </w:t>
      </w:r>
      <w:r>
        <w:rPr>
          <w:color w:val="000000" w:themeColor="text1"/>
          <w:highlight w:val="yellow"/>
        </w:rPr>
        <w:t xml:space="preserve">a </w:t>
      </w:r>
      <w:r>
        <w:rPr>
          <w:color w:val="000000" w:themeColor="text1"/>
        </w:rPr>
        <w:t>significant impact on economic growth in the short and long run. The paper concluded th</w:t>
      </w:r>
      <w:r>
        <w:rPr>
          <w:color w:val="000000" w:themeColor="text1"/>
          <w:highlight w:val="yellow"/>
        </w:rPr>
        <w:t>a</w:t>
      </w:r>
      <w:r>
        <w:rPr>
          <w:color w:val="000000" w:themeColor="text1"/>
        </w:rPr>
        <w:t>t deepening productive investment</w:t>
      </w:r>
      <w:r>
        <w:rPr>
          <w:color w:val="000000" w:themeColor="text1"/>
          <w:highlight w:val="yellow"/>
        </w:rPr>
        <w:t>,</w:t>
      </w:r>
      <w:r>
        <w:rPr>
          <w:color w:val="000000" w:themeColor="text1"/>
        </w:rPr>
        <w:t xml:space="preserve"> </w:t>
      </w:r>
      <w:r>
        <w:rPr>
          <w:color w:val="000000" w:themeColor="text1"/>
          <w:highlight w:val="yellow"/>
        </w:rPr>
        <w:t>t</w:t>
      </w:r>
      <w:r>
        <w:rPr>
          <w:color w:val="000000" w:themeColor="text1"/>
        </w:rPr>
        <w:t>og</w:t>
      </w:r>
      <w:r>
        <w:rPr>
          <w:color w:val="000000" w:themeColor="text1"/>
          <w:highlight w:val="yellow"/>
        </w:rPr>
        <w:t>ether</w:t>
      </w:r>
      <w:r>
        <w:rPr>
          <w:color w:val="000000" w:themeColor="text1"/>
        </w:rPr>
        <w:t xml:space="preserve"> with macroeconomic management</w:t>
      </w:r>
      <w:r>
        <w:rPr>
          <w:color w:val="000000" w:themeColor="text1"/>
          <w:highlight w:val="yellow"/>
        </w:rPr>
        <w:t>,</w:t>
      </w:r>
      <w:r>
        <w:rPr>
          <w:color w:val="000000" w:themeColor="text1"/>
        </w:rPr>
        <w:t xml:space="preserve"> </w:t>
      </w:r>
      <w:r>
        <w:rPr>
          <w:color w:val="000000" w:themeColor="text1"/>
          <w:highlight w:val="yellow"/>
        </w:rPr>
        <w:t>c</w:t>
      </w:r>
      <w:r>
        <w:rPr>
          <w:color w:val="000000" w:themeColor="text1"/>
        </w:rPr>
        <w:t>o</w:t>
      </w:r>
      <w:r>
        <w:rPr>
          <w:color w:val="000000" w:themeColor="text1"/>
          <w:highlight w:val="yellow"/>
        </w:rPr>
        <w:t>uld</w:t>
      </w:r>
      <w:r>
        <w:rPr>
          <w:color w:val="000000" w:themeColor="text1"/>
        </w:rPr>
        <w:t xml:space="preserve"> improv</w:t>
      </w:r>
      <w:r>
        <w:rPr>
          <w:color w:val="000000" w:themeColor="text1"/>
          <w:highlight w:val="yellow"/>
        </w:rPr>
        <w:t>e</w:t>
      </w:r>
      <w:r>
        <w:rPr>
          <w:color w:val="000000" w:themeColor="text1"/>
        </w:rPr>
        <w:t xml:space="preserve"> sustainable growth.</w:t>
      </w:r>
    </w:p>
    <w:p w14:paraId="7EBDE27F" w14:textId="77777777" w:rsidR="005C72D2" w:rsidRPr="00BC05AD" w:rsidRDefault="00780F78" w:rsidP="00622845">
      <w:pPr>
        <w:pStyle w:val="NormalWeb"/>
        <w:spacing w:line="360" w:lineRule="auto"/>
        <w:jc w:val="both"/>
        <w:rPr>
          <w:color w:val="000000" w:themeColor="text1"/>
        </w:rPr>
      </w:pPr>
      <w:r>
        <w:rPr>
          <w:color w:val="000000" w:themeColor="text1"/>
        </w:rPr>
        <w:lastRenderedPageBreak/>
        <w:t xml:space="preserve">Abdulkarim (2023) conducted a systematic review of investment indicators and economic growth in Nigeria. The review </w:t>
      </w:r>
      <w:proofErr w:type="spellStart"/>
      <w:r>
        <w:rPr>
          <w:color w:val="000000" w:themeColor="text1"/>
        </w:rPr>
        <w:t>synthesised</w:t>
      </w:r>
      <w:proofErr w:type="spellEnd"/>
      <w:r>
        <w:rPr>
          <w:color w:val="000000" w:themeColor="text1"/>
        </w:rPr>
        <w:t xml:space="preserve"> evidence from many empirical studies and found that</w:t>
      </w:r>
      <w:r>
        <w:rPr>
          <w:color w:val="000000" w:themeColor="text1"/>
          <w:highlight w:val="yellow"/>
        </w:rPr>
        <w:t>,</w:t>
      </w:r>
      <w:r>
        <w:rPr>
          <w:color w:val="000000" w:themeColor="text1"/>
        </w:rPr>
        <w:t xml:space="preserve"> in general</w:t>
      </w:r>
      <w:r>
        <w:rPr>
          <w:color w:val="000000" w:themeColor="text1"/>
          <w:highlight w:val="yellow"/>
        </w:rPr>
        <w:t>,</w:t>
      </w:r>
      <w:r>
        <w:rPr>
          <w:color w:val="000000" w:themeColor="text1"/>
        </w:rPr>
        <w:t xml:space="preserve"> productive investment is positively related to economic growth, but the size of the effect is determined by investment efficiency, institutional quality and policy consistency. The study also noted that weak governance and insufficient infrastructure are often responsible for weaker capital stock accumulation. </w:t>
      </w:r>
      <w:r>
        <w:rPr>
          <w:color w:val="000000" w:themeColor="text1"/>
          <w:highlight w:val="yellow"/>
        </w:rPr>
        <w:t>The effect of g</w:t>
      </w:r>
      <w:r>
        <w:rPr>
          <w:color w:val="000000" w:themeColor="text1"/>
        </w:rPr>
        <w:t xml:space="preserve">ross fixed capital formation on Nigerian economic growth was investigated </w:t>
      </w:r>
      <w:r>
        <w:rPr>
          <w:color w:val="000000" w:themeColor="text1"/>
          <w:highlight w:val="yellow"/>
        </w:rPr>
        <w:t xml:space="preserve">by Kong et al. (2020) </w:t>
      </w:r>
      <w:r>
        <w:rPr>
          <w:color w:val="000000" w:themeColor="text1"/>
        </w:rPr>
        <w:t>using annual time-series data from 1971 to 2023 and the Autoregressive Distributed Lag (ARDL) approach. The findings indicated that gross fixed capital formation had a negative impact in the short r</w:t>
      </w:r>
      <w:r>
        <w:rPr>
          <w:color w:val="000000" w:themeColor="text1"/>
          <w:highlight w:val="yellow"/>
        </w:rPr>
        <w:t>un</w:t>
      </w:r>
      <w:r>
        <w:rPr>
          <w:color w:val="000000" w:themeColor="text1"/>
        </w:rPr>
        <w:t xml:space="preserve"> but a positive but statistically insignificant effect in the long r</w:t>
      </w:r>
      <w:r>
        <w:rPr>
          <w:color w:val="000000" w:themeColor="text1"/>
          <w:highlight w:val="yellow"/>
        </w:rPr>
        <w:t>un</w:t>
      </w:r>
      <w:r>
        <w:rPr>
          <w:color w:val="000000" w:themeColor="text1"/>
        </w:rPr>
        <w:t>, which indicates that investment plays a positive role in the long r</w:t>
      </w:r>
      <w:r>
        <w:rPr>
          <w:color w:val="000000" w:themeColor="text1"/>
          <w:highlight w:val="yellow"/>
        </w:rPr>
        <w:t>un</w:t>
      </w:r>
      <w:r>
        <w:rPr>
          <w:color w:val="000000" w:themeColor="text1"/>
        </w:rPr>
        <w:t>, but its role is reduced by the inefficienc</w:t>
      </w:r>
      <w:r>
        <w:rPr>
          <w:color w:val="000000" w:themeColor="text1"/>
          <w:highlight w:val="yellow"/>
        </w:rPr>
        <w:t>ies</w:t>
      </w:r>
      <w:r>
        <w:rPr>
          <w:color w:val="000000" w:themeColor="text1"/>
        </w:rPr>
        <w:t xml:space="preserve"> in</w:t>
      </w:r>
      <w:r>
        <w:rPr>
          <w:color w:val="000000" w:themeColor="text1"/>
          <w:highlight w:val="yellow"/>
        </w:rPr>
        <w:t xml:space="preserve"> investment</w:t>
      </w:r>
      <w:r>
        <w:rPr>
          <w:color w:val="000000" w:themeColor="text1"/>
        </w:rPr>
        <w:t xml:space="preserve"> allocati</w:t>
      </w:r>
      <w:r>
        <w:rPr>
          <w:color w:val="000000" w:themeColor="text1"/>
          <w:highlight w:val="yellow"/>
        </w:rPr>
        <w:t>o</w:t>
      </w:r>
      <w:r>
        <w:rPr>
          <w:color w:val="000000" w:themeColor="text1"/>
        </w:rPr>
        <w:t>n and implement</w:t>
      </w:r>
      <w:r>
        <w:rPr>
          <w:color w:val="000000" w:themeColor="text1"/>
          <w:highlight w:val="yellow"/>
        </w:rPr>
        <w:t>at</w:t>
      </w:r>
      <w:r>
        <w:rPr>
          <w:color w:val="000000" w:themeColor="text1"/>
        </w:rPr>
        <w:t>i</w:t>
      </w:r>
      <w:r>
        <w:rPr>
          <w:color w:val="000000" w:themeColor="text1"/>
          <w:highlight w:val="yellow"/>
        </w:rPr>
        <w:t>o</w:t>
      </w:r>
      <w:r>
        <w:rPr>
          <w:color w:val="000000" w:themeColor="text1"/>
        </w:rPr>
        <w:t>n.</w:t>
      </w:r>
    </w:p>
    <w:p w14:paraId="55A718E6" w14:textId="77777777" w:rsidR="005C72D2" w:rsidRPr="00BC05AD" w:rsidRDefault="005C72D2" w:rsidP="0045397C">
      <w:pPr>
        <w:pStyle w:val="NormalWeb"/>
        <w:spacing w:before="0" w:beforeAutospacing="0" w:after="200" w:afterAutospacing="0" w:line="360" w:lineRule="auto"/>
        <w:jc w:val="both"/>
        <w:rPr>
          <w:color w:val="000000" w:themeColor="text1"/>
        </w:rPr>
      </w:pPr>
      <w:r>
        <w:rPr>
          <w:color w:val="000000" w:themeColor="text1"/>
          <w:highlight w:val="yellow"/>
        </w:rPr>
        <w:t>T</w:t>
      </w:r>
      <w:r>
        <w:rPr>
          <w:color w:val="000000" w:themeColor="text1"/>
        </w:rPr>
        <w:t>he relationship between deficit financing and economic growth in Nigeria w</w:t>
      </w:r>
      <w:r>
        <w:rPr>
          <w:color w:val="000000" w:themeColor="text1"/>
          <w:highlight w:val="yellow"/>
        </w:rPr>
        <w:t>as</w:t>
      </w:r>
      <w:r>
        <w:rPr>
          <w:color w:val="000000" w:themeColor="text1"/>
        </w:rPr>
        <w:t xml:space="preserve"> examined by </w:t>
      </w:r>
      <w:proofErr w:type="spellStart"/>
      <w:r>
        <w:rPr>
          <w:color w:val="000000" w:themeColor="text1"/>
        </w:rPr>
        <w:t>Uremadu</w:t>
      </w:r>
      <w:proofErr w:type="spellEnd"/>
      <w:r>
        <w:rPr>
          <w:color w:val="000000" w:themeColor="text1"/>
        </w:rPr>
        <w:t xml:space="preserve"> e</w:t>
      </w:r>
      <w:r>
        <w:rPr>
          <w:color w:val="000000" w:themeColor="text1"/>
          <w:highlight w:val="yellow"/>
        </w:rPr>
        <w:t>t</w:t>
      </w:r>
      <w:r>
        <w:rPr>
          <w:color w:val="000000" w:themeColor="text1"/>
        </w:rPr>
        <w:t xml:space="preserve"> al</w:t>
      </w:r>
      <w:r>
        <w:rPr>
          <w:color w:val="000000" w:themeColor="text1"/>
          <w:highlight w:val="yellow"/>
        </w:rPr>
        <w:t>.</w:t>
      </w:r>
      <w:r>
        <w:rPr>
          <w:color w:val="000000" w:themeColor="text1"/>
        </w:rPr>
        <w:t xml:space="preserve"> (2024), employing the ARDL </w:t>
      </w:r>
      <w:r>
        <w:rPr>
          <w:color w:val="000000" w:themeColor="text1"/>
          <w:highlight w:val="yellow"/>
        </w:rPr>
        <w:t>b</w:t>
      </w:r>
      <w:r>
        <w:rPr>
          <w:color w:val="000000" w:themeColor="text1"/>
        </w:rPr>
        <w:t>ounds</w:t>
      </w:r>
      <w:r>
        <w:rPr>
          <w:color w:val="000000" w:themeColor="text1"/>
          <w:highlight w:val="yellow"/>
        </w:rPr>
        <w:t>-t</w:t>
      </w:r>
      <w:r>
        <w:rPr>
          <w:color w:val="000000" w:themeColor="text1"/>
        </w:rPr>
        <w:t>esting approach with gross capital formation as one of the explanatory variables. The study not only confirmed that there was a long-run equilibrium relationship between the variables but also showed that gross capital formation had a strong positive effect on economic growth in the long run. According to the authors, productive investment is still an important pathway through which fiscal policies can boost sustainable economic growth.</w:t>
      </w:r>
    </w:p>
    <w:p w14:paraId="067305A7" w14:textId="77777777" w:rsidR="005C72D2" w:rsidRPr="00BC05AD" w:rsidRDefault="005C72D2" w:rsidP="0045397C">
      <w:pPr>
        <w:pStyle w:val="NormalWeb"/>
        <w:spacing w:before="0" w:beforeAutospacing="0" w:after="200" w:afterAutospacing="0" w:line="360" w:lineRule="auto"/>
        <w:jc w:val="both"/>
        <w:rPr>
          <w:color w:val="000000" w:themeColor="text1"/>
        </w:rPr>
      </w:pPr>
      <w:proofErr w:type="spellStart"/>
      <w:r>
        <w:rPr>
          <w:color w:val="000000" w:themeColor="text1"/>
        </w:rPr>
        <w:t>Anagun</w:t>
      </w:r>
      <w:proofErr w:type="spellEnd"/>
      <w:r>
        <w:rPr>
          <w:color w:val="000000" w:themeColor="text1"/>
        </w:rPr>
        <w:t xml:space="preserve"> and </w:t>
      </w:r>
      <w:proofErr w:type="spellStart"/>
      <w:r>
        <w:rPr>
          <w:color w:val="000000" w:themeColor="text1"/>
        </w:rPr>
        <w:t>Sokunbi</w:t>
      </w:r>
      <w:proofErr w:type="spellEnd"/>
      <w:r>
        <w:rPr>
          <w:color w:val="000000" w:themeColor="text1"/>
        </w:rPr>
        <w:t xml:space="preserve"> (2024) examined the impact of physical and human capital accumulation on economic growth in Nigeria over the period 1990</w:t>
      </w:r>
      <w:r>
        <w:rPr>
          <w:color w:val="000000" w:themeColor="text1"/>
          <w:highlight w:val="yellow"/>
        </w:rPr>
        <w:t>–</w:t>
      </w:r>
      <w:r>
        <w:rPr>
          <w:color w:val="000000" w:themeColor="text1"/>
        </w:rPr>
        <w:t xml:space="preserve">2021 using </w:t>
      </w:r>
      <w:r>
        <w:rPr>
          <w:color w:val="000000" w:themeColor="text1"/>
          <w:highlight w:val="yellow"/>
        </w:rPr>
        <w:t xml:space="preserve">the </w:t>
      </w:r>
      <w:r>
        <w:rPr>
          <w:color w:val="000000" w:themeColor="text1"/>
        </w:rPr>
        <w:t xml:space="preserve">ARDL </w:t>
      </w:r>
      <w:r>
        <w:rPr>
          <w:color w:val="000000" w:themeColor="text1"/>
          <w:highlight w:val="yellow"/>
        </w:rPr>
        <w:t>b</w:t>
      </w:r>
      <w:r>
        <w:rPr>
          <w:color w:val="000000" w:themeColor="text1"/>
        </w:rPr>
        <w:t>ounds</w:t>
      </w:r>
      <w:r>
        <w:rPr>
          <w:color w:val="000000" w:themeColor="text1"/>
          <w:highlight w:val="yellow"/>
        </w:rPr>
        <w:t>-t</w:t>
      </w:r>
      <w:r>
        <w:rPr>
          <w:color w:val="000000" w:themeColor="text1"/>
        </w:rPr>
        <w:t xml:space="preserve">esting technique. The study </w:t>
      </w:r>
      <w:r>
        <w:rPr>
          <w:color w:val="000000" w:themeColor="text1"/>
          <w:highlight w:val="yellow"/>
        </w:rPr>
        <w:t>disagg</w:t>
      </w:r>
      <w:r>
        <w:rPr>
          <w:color w:val="000000" w:themeColor="text1"/>
        </w:rPr>
        <w:t>re</w:t>
      </w:r>
      <w:r>
        <w:rPr>
          <w:color w:val="000000" w:themeColor="text1"/>
          <w:highlight w:val="yellow"/>
        </w:rPr>
        <w:t>gate</w:t>
      </w:r>
      <w:r>
        <w:rPr>
          <w:color w:val="000000" w:themeColor="text1"/>
        </w:rPr>
        <w:t>d capital formation into physical capital (gross capital formation) and human capital (education and health expenditure). The results showed that both physical and human capital formation positively and significantly affect</w:t>
      </w:r>
      <w:r>
        <w:rPr>
          <w:color w:val="000000" w:themeColor="text1"/>
          <w:highlight w:val="yellow"/>
        </w:rPr>
        <w:t>ed</w:t>
      </w:r>
      <w:r>
        <w:rPr>
          <w:color w:val="000000" w:themeColor="text1"/>
        </w:rPr>
        <w:t xml:space="preserve"> economic growth in the long run, but gross capital formation in the short run was not statistically significant. The study found that continued investment in productive assets and human resources </w:t>
      </w:r>
      <w:r>
        <w:rPr>
          <w:color w:val="000000" w:themeColor="text1"/>
          <w:highlight w:val="yellow"/>
        </w:rPr>
        <w:t>rema</w:t>
      </w:r>
      <w:r>
        <w:rPr>
          <w:color w:val="000000" w:themeColor="text1"/>
        </w:rPr>
        <w:t>ins key to long-term economic growth.</w:t>
      </w:r>
    </w:p>
    <w:p w14:paraId="05AC7FD5" w14:textId="718CD01C" w:rsidR="005C72D2" w:rsidRPr="00BC05AD" w:rsidRDefault="005C72D2" w:rsidP="0045397C">
      <w:pPr>
        <w:pStyle w:val="NormalWeb"/>
        <w:spacing w:before="0" w:beforeAutospacing="0" w:after="200" w:afterAutospacing="0" w:line="360" w:lineRule="auto"/>
        <w:jc w:val="both"/>
        <w:rPr>
          <w:color w:val="000000" w:themeColor="text1"/>
        </w:rPr>
      </w:pPr>
      <w:r>
        <w:rPr>
          <w:color w:val="000000" w:themeColor="text1"/>
        </w:rPr>
        <w:t>World Bank (202</w:t>
      </w:r>
      <w:r>
        <w:rPr>
          <w:color w:val="000000" w:themeColor="text1"/>
          <w:highlight w:val="yellow"/>
        </w:rPr>
        <w:t>4</w:t>
      </w:r>
      <w:r>
        <w:rPr>
          <w:color w:val="000000" w:themeColor="text1"/>
        </w:rPr>
        <w:t xml:space="preserve">) </w:t>
      </w:r>
      <w:proofErr w:type="spellStart"/>
      <w:r>
        <w:rPr>
          <w:color w:val="000000" w:themeColor="text1"/>
        </w:rPr>
        <w:t>analy</w:t>
      </w:r>
      <w:r>
        <w:rPr>
          <w:color w:val="000000" w:themeColor="text1"/>
          <w:highlight w:val="yellow"/>
        </w:rPr>
        <w:t>s</w:t>
      </w:r>
      <w:r>
        <w:rPr>
          <w:color w:val="000000" w:themeColor="text1"/>
        </w:rPr>
        <w:t>ed</w:t>
      </w:r>
      <w:proofErr w:type="spellEnd"/>
      <w:r>
        <w:rPr>
          <w:color w:val="000000" w:themeColor="text1"/>
        </w:rPr>
        <w:t xml:space="preserve"> investment characteristics in developing economies based on macroeconomic indicators and found that </w:t>
      </w:r>
      <w:r>
        <w:rPr>
          <w:color w:val="000000" w:themeColor="text1"/>
          <w:highlight w:val="yellow"/>
        </w:rPr>
        <w:t>sus</w:t>
      </w:r>
      <w:r>
        <w:rPr>
          <w:color w:val="000000" w:themeColor="text1"/>
        </w:rPr>
        <w:t>t</w:t>
      </w:r>
      <w:r>
        <w:rPr>
          <w:color w:val="000000" w:themeColor="text1"/>
          <w:highlight w:val="yellow"/>
        </w:rPr>
        <w:t>a</w:t>
      </w:r>
      <w:r>
        <w:rPr>
          <w:color w:val="000000" w:themeColor="text1"/>
        </w:rPr>
        <w:t xml:space="preserve">ined growth </w:t>
      </w:r>
      <w:r>
        <w:rPr>
          <w:color w:val="000000" w:themeColor="text1"/>
          <w:highlight w:val="yellow"/>
        </w:rPr>
        <w:t>in</w:t>
      </w:r>
      <w:r>
        <w:rPr>
          <w:color w:val="000000" w:themeColor="text1"/>
        </w:rPr>
        <w:t xml:space="preserve"> gross capital formation is essential </w:t>
      </w:r>
      <w:r>
        <w:rPr>
          <w:color w:val="000000" w:themeColor="text1"/>
        </w:rPr>
        <w:lastRenderedPageBreak/>
        <w:t xml:space="preserve">for </w:t>
      </w:r>
      <w:r>
        <w:rPr>
          <w:color w:val="000000" w:themeColor="text1"/>
          <w:highlight w:val="yellow"/>
        </w:rPr>
        <w:t>expa</w:t>
      </w:r>
      <w:r>
        <w:rPr>
          <w:color w:val="000000" w:themeColor="text1"/>
        </w:rPr>
        <w:t>n</w:t>
      </w:r>
      <w:r>
        <w:rPr>
          <w:color w:val="000000" w:themeColor="text1"/>
          <w:highlight w:val="yellow"/>
        </w:rPr>
        <w:t>d</w:t>
      </w:r>
      <w:r>
        <w:rPr>
          <w:color w:val="000000" w:themeColor="text1"/>
        </w:rPr>
        <w:t xml:space="preserve">ing productive capacity, </w:t>
      </w:r>
      <w:proofErr w:type="spellStart"/>
      <w:r>
        <w:rPr>
          <w:color w:val="000000" w:themeColor="text1"/>
        </w:rPr>
        <w:t>industriali</w:t>
      </w:r>
      <w:r>
        <w:rPr>
          <w:color w:val="000000" w:themeColor="text1"/>
          <w:highlight w:val="yellow"/>
        </w:rPr>
        <w:t>sing</w:t>
      </w:r>
      <w:proofErr w:type="spellEnd"/>
      <w:r>
        <w:rPr>
          <w:color w:val="000000" w:themeColor="text1"/>
          <w:highlight w:val="yellow"/>
        </w:rPr>
        <w:t>,</w:t>
      </w:r>
      <w:r>
        <w:rPr>
          <w:color w:val="000000" w:themeColor="text1"/>
        </w:rPr>
        <w:t xml:space="preserve"> and transform</w:t>
      </w:r>
      <w:r>
        <w:rPr>
          <w:color w:val="000000" w:themeColor="text1"/>
          <w:highlight w:val="yellow"/>
        </w:rPr>
        <w:t>ing</w:t>
      </w:r>
      <w:r>
        <w:rPr>
          <w:color w:val="000000" w:themeColor="text1"/>
        </w:rPr>
        <w:t xml:space="preserve"> the economy in the long term. Likewise, the </w:t>
      </w:r>
      <w:proofErr w:type="spellStart"/>
      <w:r>
        <w:rPr>
          <w:color w:val="000000" w:themeColor="text1"/>
        </w:rPr>
        <w:t>Organi</w:t>
      </w:r>
      <w:r>
        <w:rPr>
          <w:color w:val="000000" w:themeColor="text1"/>
          <w:highlight w:val="yellow"/>
        </w:rPr>
        <w:t>s</w:t>
      </w:r>
      <w:r>
        <w:rPr>
          <w:color w:val="000000" w:themeColor="text1"/>
        </w:rPr>
        <w:t>ation</w:t>
      </w:r>
      <w:proofErr w:type="spellEnd"/>
      <w:r>
        <w:rPr>
          <w:color w:val="000000" w:themeColor="text1"/>
        </w:rPr>
        <w:t xml:space="preserve"> for Economic Co-operation and Development (OECD, 20</w:t>
      </w:r>
      <w:r w:rsidR="00A02752">
        <w:rPr>
          <w:color w:val="000000" w:themeColor="text1"/>
        </w:rPr>
        <w:t>15</w:t>
      </w:r>
      <w:r>
        <w:rPr>
          <w:color w:val="000000" w:themeColor="text1"/>
        </w:rPr>
        <w:t>) found that investments in productive assets play a significant role in improving productivity, competitiveness and sustainable economic growth and can increase the amount of capital available for future production.</w:t>
      </w:r>
    </w:p>
    <w:p w14:paraId="45B0CFA4" w14:textId="77777777" w:rsidR="005C72D2" w:rsidRPr="00BC05AD" w:rsidRDefault="005C72D2" w:rsidP="0045397C">
      <w:pPr>
        <w:pStyle w:val="NormalWeb"/>
        <w:spacing w:before="0" w:beforeAutospacing="0" w:after="200" w:afterAutospacing="0" w:line="360" w:lineRule="auto"/>
        <w:jc w:val="both"/>
        <w:rPr>
          <w:color w:val="000000" w:themeColor="text1"/>
        </w:rPr>
      </w:pPr>
      <w:proofErr w:type="spellStart"/>
      <w:r>
        <w:rPr>
          <w:color w:val="000000" w:themeColor="text1"/>
          <w:highlight w:val="yellow"/>
        </w:rPr>
        <w:t>Onw</w:t>
      </w:r>
      <w:r>
        <w:rPr>
          <w:color w:val="000000" w:themeColor="text1"/>
        </w:rPr>
        <w:t>i</w:t>
      </w:r>
      <w:r>
        <w:rPr>
          <w:color w:val="000000" w:themeColor="text1"/>
          <w:highlight w:val="yellow"/>
        </w:rPr>
        <w:t>odiokit</w:t>
      </w:r>
      <w:proofErr w:type="spellEnd"/>
      <w:r>
        <w:rPr>
          <w:color w:val="000000" w:themeColor="text1"/>
        </w:rPr>
        <w:t xml:space="preserve"> </w:t>
      </w:r>
      <w:r>
        <w:rPr>
          <w:color w:val="000000" w:themeColor="text1"/>
          <w:highlight w:val="yellow"/>
        </w:rPr>
        <w:t xml:space="preserve">and </w:t>
      </w:r>
      <w:proofErr w:type="spellStart"/>
      <w:r>
        <w:rPr>
          <w:color w:val="000000" w:themeColor="text1"/>
          <w:highlight w:val="yellow"/>
        </w:rPr>
        <w:t>O</w:t>
      </w:r>
      <w:r>
        <w:rPr>
          <w:color w:val="000000" w:themeColor="text1"/>
        </w:rPr>
        <w:t>t</w:t>
      </w:r>
      <w:r>
        <w:rPr>
          <w:color w:val="000000" w:themeColor="text1"/>
          <w:highlight w:val="yellow"/>
        </w:rPr>
        <w:t>olorin</w:t>
      </w:r>
      <w:proofErr w:type="spellEnd"/>
      <w:r>
        <w:rPr>
          <w:color w:val="000000" w:themeColor="text1"/>
        </w:rPr>
        <w:t xml:space="preserve"> </w:t>
      </w:r>
      <w:r>
        <w:rPr>
          <w:color w:val="000000" w:themeColor="text1"/>
          <w:highlight w:val="yellow"/>
        </w:rPr>
        <w:t xml:space="preserve">(2021) </w:t>
      </w:r>
      <w:r>
        <w:rPr>
          <w:color w:val="000000" w:themeColor="text1"/>
        </w:rPr>
        <w:t>e</w:t>
      </w:r>
      <w:r>
        <w:rPr>
          <w:color w:val="000000" w:themeColor="text1"/>
          <w:highlight w:val="yellow"/>
        </w:rPr>
        <w:t>xam</w:t>
      </w:r>
      <w:r>
        <w:rPr>
          <w:color w:val="000000" w:themeColor="text1"/>
        </w:rPr>
        <w:t>i</w:t>
      </w:r>
      <w:r>
        <w:rPr>
          <w:color w:val="000000" w:themeColor="text1"/>
          <w:highlight w:val="yellow"/>
        </w:rPr>
        <w:t>n</w:t>
      </w:r>
      <w:r>
        <w:rPr>
          <w:color w:val="000000" w:themeColor="text1"/>
        </w:rPr>
        <w:t>ed the relationship between gross capital formation and economic growth in Nigeria for the period 1981</w:t>
      </w:r>
      <w:r>
        <w:rPr>
          <w:color w:val="000000" w:themeColor="text1"/>
          <w:highlight w:val="yellow"/>
        </w:rPr>
        <w:t>–</w:t>
      </w:r>
      <w:r>
        <w:rPr>
          <w:color w:val="000000" w:themeColor="text1"/>
        </w:rPr>
        <w:t xml:space="preserve">2018 </w:t>
      </w:r>
      <w:r>
        <w:rPr>
          <w:color w:val="000000" w:themeColor="text1"/>
          <w:highlight w:val="yellow"/>
        </w:rPr>
        <w:t>us</w:t>
      </w:r>
      <w:r>
        <w:rPr>
          <w:color w:val="000000" w:themeColor="text1"/>
        </w:rPr>
        <w:t>i</w:t>
      </w:r>
      <w:r>
        <w:rPr>
          <w:color w:val="000000" w:themeColor="text1"/>
          <w:highlight w:val="yellow"/>
        </w:rPr>
        <w:t>ng</w:t>
      </w:r>
      <w:r>
        <w:rPr>
          <w:color w:val="000000" w:themeColor="text1"/>
        </w:rPr>
        <w:t xml:space="preserve"> the Dynamic Ordinary Least Squares (DOLS) technique. The study found a negative and statistically significant effect of gross fixed capital formation on economic growth and a positive and statistically significant impact of investment in human capital on output. The paper found that the </w:t>
      </w:r>
      <w:r>
        <w:rPr>
          <w:color w:val="000000" w:themeColor="text1"/>
          <w:highlight w:val="yellow"/>
        </w:rPr>
        <w:t>in</w:t>
      </w:r>
      <w:r>
        <w:rPr>
          <w:color w:val="000000" w:themeColor="text1"/>
        </w:rPr>
        <w:t>efficiency in invest</w:t>
      </w:r>
      <w:r>
        <w:rPr>
          <w:color w:val="000000" w:themeColor="text1"/>
          <w:highlight w:val="yellow"/>
        </w:rPr>
        <w:t>me</w:t>
      </w:r>
      <w:r>
        <w:rPr>
          <w:color w:val="000000" w:themeColor="text1"/>
        </w:rPr>
        <w:t>n</w:t>
      </w:r>
      <w:r>
        <w:rPr>
          <w:color w:val="000000" w:themeColor="text1"/>
          <w:highlight w:val="yellow"/>
        </w:rPr>
        <w:t>t</w:t>
      </w:r>
      <w:r>
        <w:rPr>
          <w:color w:val="000000" w:themeColor="text1"/>
        </w:rPr>
        <w:t>, as well as low level</w:t>
      </w:r>
      <w:r>
        <w:rPr>
          <w:color w:val="000000" w:themeColor="text1"/>
          <w:highlight w:val="yellow"/>
        </w:rPr>
        <w:t>s</w:t>
      </w:r>
      <w:r>
        <w:rPr>
          <w:color w:val="000000" w:themeColor="text1"/>
        </w:rPr>
        <w:t xml:space="preserve"> of institutional quality, limit the positive impact of physical capital investments on growth.</w:t>
      </w:r>
    </w:p>
    <w:p w14:paraId="2B1AA870" w14:textId="77777777" w:rsidR="005C72D2" w:rsidRPr="00BC05AD" w:rsidRDefault="005C72D2" w:rsidP="0045397C">
      <w:pPr>
        <w:pStyle w:val="NormalWeb"/>
        <w:spacing w:before="0" w:beforeAutospacing="0" w:after="200" w:afterAutospacing="0" w:line="360" w:lineRule="auto"/>
        <w:jc w:val="both"/>
        <w:rPr>
          <w:color w:val="000000" w:themeColor="text1"/>
        </w:rPr>
      </w:pPr>
      <w:r>
        <w:rPr>
          <w:color w:val="000000" w:themeColor="text1"/>
        </w:rPr>
        <w:t xml:space="preserve">However, Nweke </w:t>
      </w:r>
      <w:r>
        <w:rPr>
          <w:i/>
          <w:color w:val="000000" w:themeColor="text1"/>
        </w:rPr>
        <w:t>et al</w:t>
      </w:r>
      <w:r>
        <w:rPr>
          <w:color w:val="000000" w:themeColor="text1"/>
        </w:rPr>
        <w:t xml:space="preserve">. (2017) examined the relationship between gross capital formation and economic growth </w:t>
      </w:r>
      <w:r>
        <w:rPr>
          <w:color w:val="000000" w:themeColor="text1"/>
          <w:highlight w:val="yellow"/>
        </w:rPr>
        <w:t>in</w:t>
      </w:r>
      <w:r>
        <w:rPr>
          <w:color w:val="000000" w:themeColor="text1"/>
        </w:rPr>
        <w:t xml:space="preserve"> Nigeria </w:t>
      </w:r>
      <w:r>
        <w:rPr>
          <w:color w:val="000000" w:themeColor="text1"/>
          <w:highlight w:val="yellow"/>
        </w:rPr>
        <w:t>usi</w:t>
      </w:r>
      <w:r>
        <w:rPr>
          <w:color w:val="000000" w:themeColor="text1"/>
        </w:rPr>
        <w:t>n</w:t>
      </w:r>
      <w:r>
        <w:rPr>
          <w:color w:val="000000" w:themeColor="text1"/>
          <w:highlight w:val="yellow"/>
        </w:rPr>
        <w:t>g</w:t>
      </w:r>
      <w:r>
        <w:rPr>
          <w:color w:val="000000" w:themeColor="text1"/>
        </w:rPr>
        <w:t xml:space="preserve"> annual </w:t>
      </w:r>
      <w:r>
        <w:rPr>
          <w:color w:val="000000" w:themeColor="text1"/>
          <w:highlight w:val="yellow"/>
        </w:rPr>
        <w:t>da</w:t>
      </w:r>
      <w:r>
        <w:rPr>
          <w:color w:val="000000" w:themeColor="text1"/>
        </w:rPr>
        <w:t xml:space="preserve">ta from 1981 to 2018 using cointegration and an error correction mechanism (ECM) model. The results indicated that gross capital formation </w:t>
      </w:r>
      <w:r>
        <w:rPr>
          <w:color w:val="000000" w:themeColor="text1"/>
          <w:highlight w:val="yellow"/>
        </w:rPr>
        <w:t xml:space="preserve">was positive </w:t>
      </w:r>
      <w:r>
        <w:rPr>
          <w:color w:val="000000" w:themeColor="text1"/>
        </w:rPr>
        <w:t>in</w:t>
      </w:r>
      <w:r>
        <w:rPr>
          <w:color w:val="000000" w:themeColor="text1"/>
          <w:highlight w:val="yellow"/>
        </w:rPr>
        <w:t xml:space="preserve"> both</w:t>
      </w:r>
      <w:r>
        <w:rPr>
          <w:color w:val="000000" w:themeColor="text1"/>
        </w:rPr>
        <w:t xml:space="preserve"> the short and long run but not statistically significant with regard to real gross domestic product. The research also found that the relationship was bidirectional, meaning that capital formation and economic growth go hand in hand.</w:t>
      </w:r>
    </w:p>
    <w:p w14:paraId="38BC8CB5" w14:textId="77777777" w:rsidR="005C72D2" w:rsidRPr="00BC05AD" w:rsidRDefault="005C72D2" w:rsidP="0045397C">
      <w:pPr>
        <w:pStyle w:val="NormalWeb"/>
        <w:spacing w:before="0" w:beforeAutospacing="0" w:after="200" w:afterAutospacing="0" w:line="360" w:lineRule="auto"/>
        <w:jc w:val="both"/>
        <w:rPr>
          <w:color w:val="000000" w:themeColor="text1"/>
        </w:rPr>
      </w:pPr>
      <w:r>
        <w:rPr>
          <w:color w:val="000000" w:themeColor="text1"/>
        </w:rPr>
        <w:t xml:space="preserve">Adegboyega and Odusanya (2014) used the Ordinary Least Squares (OLS) estimation method to investigate the impact of gross capital formation on economic growth </w:t>
      </w:r>
      <w:r>
        <w:rPr>
          <w:color w:val="000000" w:themeColor="text1"/>
          <w:highlight w:val="yellow"/>
        </w:rPr>
        <w:t>in</w:t>
      </w:r>
      <w:r>
        <w:rPr>
          <w:color w:val="000000" w:themeColor="text1"/>
        </w:rPr>
        <w:t xml:space="preserve"> Nigeria. The results showed that gross capital formation ha</w:t>
      </w:r>
      <w:r>
        <w:rPr>
          <w:color w:val="000000" w:themeColor="text1"/>
          <w:highlight w:val="yellow"/>
        </w:rPr>
        <w:t>d</w:t>
      </w:r>
      <w:r>
        <w:rPr>
          <w:color w:val="000000" w:themeColor="text1"/>
        </w:rPr>
        <w:t xml:space="preserve"> a positive and significant impact on economic growth, which</w:t>
      </w:r>
      <w:r>
        <w:rPr>
          <w:color w:val="000000" w:themeColor="text1"/>
          <w:highlight w:val="yellow"/>
        </w:rPr>
        <w:t>,</w:t>
      </w:r>
      <w:r>
        <w:rPr>
          <w:color w:val="000000" w:themeColor="text1"/>
        </w:rPr>
        <w:t xml:space="preserve"> in turn</w:t>
      </w:r>
      <w:r>
        <w:rPr>
          <w:color w:val="000000" w:themeColor="text1"/>
          <w:highlight w:val="yellow"/>
        </w:rPr>
        <w:t>,</w:t>
      </w:r>
      <w:r>
        <w:rPr>
          <w:color w:val="000000" w:themeColor="text1"/>
        </w:rPr>
        <w:t xml:space="preserve"> led to improvement</w:t>
      </w:r>
      <w:r>
        <w:rPr>
          <w:color w:val="000000" w:themeColor="text1"/>
          <w:highlight w:val="yellow"/>
        </w:rPr>
        <w:t>s</w:t>
      </w:r>
      <w:r>
        <w:rPr>
          <w:color w:val="000000" w:themeColor="text1"/>
        </w:rPr>
        <w:t xml:space="preserve"> </w:t>
      </w:r>
      <w:r>
        <w:rPr>
          <w:color w:val="000000" w:themeColor="text1"/>
          <w:highlight w:val="yellow"/>
        </w:rPr>
        <w:t>in</w:t>
      </w:r>
      <w:r>
        <w:rPr>
          <w:color w:val="000000" w:themeColor="text1"/>
        </w:rPr>
        <w:t xml:space="preserve"> industrial productivity and</w:t>
      </w:r>
      <w:r>
        <w:rPr>
          <w:color w:val="000000" w:themeColor="text1"/>
          <w:highlight w:val="yellow"/>
        </w:rPr>
        <w:t xml:space="preserve"> an</w:t>
      </w:r>
      <w:r>
        <w:rPr>
          <w:color w:val="000000" w:themeColor="text1"/>
        </w:rPr>
        <w:t xml:space="preserve"> increase in productive capacity. The research observed that continued investment is essential for long-term development.</w:t>
      </w:r>
    </w:p>
    <w:p w14:paraId="346EC230" w14:textId="77777777" w:rsidR="005C72D2" w:rsidRPr="00BC05AD" w:rsidRDefault="005C72D2" w:rsidP="0045397C">
      <w:pPr>
        <w:pStyle w:val="NormalWeb"/>
        <w:spacing w:before="0" w:beforeAutospacing="0" w:after="200" w:afterAutospacing="0" w:line="360" w:lineRule="auto"/>
        <w:jc w:val="both"/>
        <w:rPr>
          <w:color w:val="000000" w:themeColor="text1"/>
        </w:rPr>
      </w:pPr>
      <w:proofErr w:type="spellStart"/>
      <w:r>
        <w:rPr>
          <w:color w:val="000000" w:themeColor="text1"/>
        </w:rPr>
        <w:t>Ugwuegbe</w:t>
      </w:r>
      <w:proofErr w:type="spellEnd"/>
      <w:r>
        <w:rPr>
          <w:color w:val="000000" w:themeColor="text1"/>
        </w:rPr>
        <w:t xml:space="preserve"> and </w:t>
      </w:r>
      <w:proofErr w:type="spellStart"/>
      <w:r>
        <w:rPr>
          <w:color w:val="000000" w:themeColor="text1"/>
        </w:rPr>
        <w:t>Urakpa</w:t>
      </w:r>
      <w:proofErr w:type="spellEnd"/>
      <w:r>
        <w:rPr>
          <w:color w:val="000000" w:themeColor="text1"/>
        </w:rPr>
        <w:t xml:space="preserve"> (2013) examined the investment and economic growth relationship in Nigeria using econometric estimation techniques. The results indicated that investment had a positive effect on economic growth, but the effect was limited by the lack of good infrastructure, macroeconomic instability, inefficient resource allocation, and weak institutional performance.</w:t>
      </w:r>
    </w:p>
    <w:p w14:paraId="181C7B64" w14:textId="77777777" w:rsidR="005C72D2" w:rsidRPr="00BC05AD" w:rsidRDefault="005C72D2" w:rsidP="0045397C">
      <w:pPr>
        <w:pStyle w:val="NormalWeb"/>
        <w:spacing w:before="0" w:beforeAutospacing="0" w:after="200" w:afterAutospacing="0" w:line="360" w:lineRule="auto"/>
        <w:jc w:val="both"/>
        <w:rPr>
          <w:color w:val="000000" w:themeColor="text1"/>
        </w:rPr>
      </w:pPr>
      <w:r>
        <w:rPr>
          <w:color w:val="000000" w:themeColor="text1"/>
        </w:rPr>
        <w:lastRenderedPageBreak/>
        <w:t xml:space="preserve">With the Ordinary Least Squares (OLS) technique, Bakare (2011) examined the correlation between capital formation and economic growth in Nigeria. The results showed that gross capital formation </w:t>
      </w:r>
      <w:r>
        <w:rPr>
          <w:color w:val="000000" w:themeColor="text1"/>
          <w:highlight w:val="yellow"/>
        </w:rPr>
        <w:t>wa</w:t>
      </w:r>
      <w:r>
        <w:rPr>
          <w:color w:val="000000" w:themeColor="text1"/>
        </w:rPr>
        <w:t xml:space="preserve">s positively related to economic growth, </w:t>
      </w:r>
      <w:r>
        <w:rPr>
          <w:color w:val="000000" w:themeColor="text1"/>
          <w:highlight w:val="yellow"/>
        </w:rPr>
        <w:t>ind</w:t>
      </w:r>
      <w:r>
        <w:rPr>
          <w:color w:val="000000" w:themeColor="text1"/>
        </w:rPr>
        <w:t>ica</w:t>
      </w:r>
      <w:r>
        <w:rPr>
          <w:color w:val="000000" w:themeColor="text1"/>
          <w:highlight w:val="yellow"/>
        </w:rPr>
        <w:t>ti</w:t>
      </w:r>
      <w:r>
        <w:rPr>
          <w:color w:val="000000" w:themeColor="text1"/>
        </w:rPr>
        <w:t>n</w:t>
      </w:r>
      <w:r>
        <w:rPr>
          <w:color w:val="000000" w:themeColor="text1"/>
          <w:highlight w:val="yellow"/>
        </w:rPr>
        <w:t>g</w:t>
      </w:r>
      <w:r>
        <w:rPr>
          <w:color w:val="000000" w:themeColor="text1"/>
        </w:rPr>
        <w:t xml:space="preserve"> that economic growth w</w:t>
      </w:r>
      <w:r>
        <w:rPr>
          <w:color w:val="000000" w:themeColor="text1"/>
          <w:highlight w:val="yellow"/>
        </w:rPr>
        <w:t>ou</w:t>
      </w:r>
      <w:r>
        <w:rPr>
          <w:color w:val="000000" w:themeColor="text1"/>
        </w:rPr>
        <w:t>l</w:t>
      </w:r>
      <w:r>
        <w:rPr>
          <w:color w:val="000000" w:themeColor="text1"/>
          <w:highlight w:val="yellow"/>
        </w:rPr>
        <w:t>d</w:t>
      </w:r>
      <w:r>
        <w:rPr>
          <w:color w:val="000000" w:themeColor="text1"/>
        </w:rPr>
        <w:t xml:space="preserve"> improve with higher </w:t>
      </w:r>
      <w:r>
        <w:rPr>
          <w:color w:val="000000" w:themeColor="text1"/>
          <w:highlight w:val="yellow"/>
        </w:rPr>
        <w:t>levels</w:t>
      </w:r>
      <w:r>
        <w:rPr>
          <w:color w:val="000000" w:themeColor="text1"/>
        </w:rPr>
        <w:t xml:space="preserve"> of investment to increase productive capacity and national output. The study found that strengthening domestic investment is still a key element in enhancing economic growth.</w:t>
      </w:r>
    </w:p>
    <w:p w14:paraId="17B6578A" w14:textId="77777777" w:rsidR="000E1E53" w:rsidRPr="00BC05AD" w:rsidRDefault="005C72D2" w:rsidP="0045397C">
      <w:pPr>
        <w:pStyle w:val="NormalWeb"/>
        <w:spacing w:before="0" w:beforeAutospacing="0" w:after="200" w:afterAutospacing="0" w:line="360" w:lineRule="auto"/>
        <w:jc w:val="both"/>
        <w:rPr>
          <w:color w:val="000000" w:themeColor="text1"/>
        </w:rPr>
      </w:pPr>
      <w:r>
        <w:rPr>
          <w:color w:val="000000" w:themeColor="text1"/>
        </w:rPr>
        <w:t xml:space="preserve">Most of the reviewed studies have found positive evidence that gross capital formation is associated with economic growth, but the evidence is inconclusive due to the variety of estimation methods, sample </w:t>
      </w:r>
      <w:r>
        <w:rPr>
          <w:color w:val="000000" w:themeColor="text1"/>
          <w:highlight w:val="yellow"/>
        </w:rPr>
        <w:t>perio</w:t>
      </w:r>
      <w:r>
        <w:rPr>
          <w:color w:val="000000" w:themeColor="text1"/>
        </w:rPr>
        <w:t>ds, model specifications, and capital investment measures. Some studies reported positive and significant effects of investment on economic growth, while others reported insignificant or even negative effects of investment on economic growth, especially when investment efficiency and institutional quality are low. In addition, the gross capital formation-economic growth relationship in Nigeria has been studied with few studies</w:t>
      </w:r>
      <w:r>
        <w:rPr>
          <w:color w:val="000000" w:themeColor="text1"/>
          <w:highlight w:val="yellow"/>
        </w:rPr>
        <w:t xml:space="preserve"> specifically</w:t>
      </w:r>
      <w:r>
        <w:rPr>
          <w:color w:val="000000" w:themeColor="text1"/>
        </w:rPr>
        <w:t xml:space="preserve"> examining the relationship with the Autoregressive Distributed Lag (ARDL) model and with the inclusion of literacy rate as </w:t>
      </w:r>
      <w:r>
        <w:rPr>
          <w:color w:val="000000" w:themeColor="text1"/>
          <w:highlight w:val="yellow"/>
        </w:rPr>
        <w:t xml:space="preserve">a </w:t>
      </w:r>
      <w:r>
        <w:rPr>
          <w:color w:val="000000" w:themeColor="text1"/>
        </w:rPr>
        <w:t>control variable</w:t>
      </w:r>
      <w:r>
        <w:rPr>
          <w:color w:val="000000" w:themeColor="text1"/>
          <w:highlight w:val="yellow"/>
        </w:rPr>
        <w:t>,</w:t>
      </w:r>
      <w:r>
        <w:rPr>
          <w:color w:val="000000" w:themeColor="text1"/>
        </w:rPr>
        <w:t xml:space="preserve"> which this study </w:t>
      </w:r>
      <w:r>
        <w:rPr>
          <w:color w:val="000000" w:themeColor="text1"/>
          <w:highlight w:val="yellow"/>
        </w:rPr>
        <w:t>us</w:t>
      </w:r>
      <w:r>
        <w:rPr>
          <w:color w:val="000000" w:themeColor="text1"/>
        </w:rPr>
        <w:t>e</w:t>
      </w:r>
      <w:r>
        <w:rPr>
          <w:color w:val="000000" w:themeColor="text1"/>
          <w:highlight w:val="yellow"/>
        </w:rPr>
        <w:t>s</w:t>
      </w:r>
      <w:r>
        <w:rPr>
          <w:color w:val="000000" w:themeColor="text1"/>
        </w:rPr>
        <w:t xml:space="preserve"> to </w:t>
      </w:r>
      <w:r>
        <w:rPr>
          <w:color w:val="000000" w:themeColor="text1"/>
          <w:highlight w:val="yellow"/>
        </w:rPr>
        <w:t>address</w:t>
      </w:r>
      <w:r>
        <w:rPr>
          <w:color w:val="000000" w:themeColor="text1"/>
        </w:rPr>
        <w:t xml:space="preserve"> this gap by using annual data and the ARDL bounds testing model to generate new evidence on the short</w:t>
      </w:r>
      <w:r>
        <w:rPr>
          <w:color w:val="000000" w:themeColor="text1"/>
          <w:highlight w:val="yellow"/>
        </w:rPr>
        <w:t>-</w:t>
      </w:r>
      <w:r>
        <w:rPr>
          <w:color w:val="000000" w:themeColor="text1"/>
        </w:rPr>
        <w:t>run effect of gross capital formation on economic growth in Nigeria.</w:t>
      </w:r>
    </w:p>
    <w:p w14:paraId="4949030D" w14:textId="77777777" w:rsidR="00027AC1" w:rsidRPr="00BC05AD" w:rsidRDefault="00027AC1" w:rsidP="0045397C">
      <w:pPr>
        <w:spacing w:line="360" w:lineRule="auto"/>
        <w:jc w:val="both"/>
        <w:outlineLvl w:val="1"/>
        <w:rPr>
          <w:rFonts w:ascii="Times New Roman" w:eastAsia="Times New Roman" w:hAnsi="Times New Roman" w:cs="Times New Roman"/>
          <w:b/>
          <w:bCs/>
          <w:color w:val="000000" w:themeColor="text1"/>
          <w:sz w:val="24"/>
          <w:szCs w:val="24"/>
        </w:rPr>
      </w:pPr>
      <w:r w:rsidRPr="00BC05AD">
        <w:rPr>
          <w:rFonts w:ascii="Times New Roman" w:eastAsia="Times New Roman" w:hAnsi="Times New Roman" w:cs="Times New Roman"/>
          <w:b/>
          <w:bCs/>
          <w:color w:val="000000" w:themeColor="text1"/>
          <w:sz w:val="24"/>
          <w:szCs w:val="24"/>
        </w:rPr>
        <w:t>3.0 Methodology</w:t>
      </w:r>
    </w:p>
    <w:p w14:paraId="1106F33A" w14:textId="77777777" w:rsidR="00027AC1" w:rsidRPr="00BC05AD" w:rsidRDefault="00836340" w:rsidP="0045397C">
      <w:pPr>
        <w:spacing w:line="360" w:lineRule="auto"/>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a</w:t>
      </w:r>
      <w:r>
        <w:rPr>
          <w:rFonts w:ascii="Times New Roman" w:hAnsi="Times New Roman" w:cs="Times New Roman"/>
          <w:color w:val="000000" w:themeColor="text1"/>
          <w:sz w:val="24"/>
          <w:szCs w:val="24"/>
          <w:highlight w:val="yellow"/>
        </w:rPr>
        <w:t>dopte</w:t>
      </w:r>
      <w:r>
        <w:rPr>
          <w:rFonts w:ascii="Times New Roman" w:hAnsi="Times New Roman" w:cs="Times New Roman"/>
          <w:color w:val="000000" w:themeColor="text1"/>
          <w:sz w:val="24"/>
          <w:szCs w:val="24"/>
        </w:rPr>
        <w:t>d an ex</w:t>
      </w:r>
      <w:r>
        <w:rPr>
          <w:rFonts w:ascii="Times New Roman" w:hAnsi="Times New Roman" w:cs="Times New Roman"/>
          <w:color w:val="000000" w:themeColor="text1"/>
          <w:sz w:val="24"/>
          <w:szCs w:val="24"/>
          <w:highlight w:val="yellow"/>
        </w:rPr>
        <w:t xml:space="preserve"> </w:t>
      </w:r>
      <w:r>
        <w:rPr>
          <w:rFonts w:ascii="Times New Roman" w:hAnsi="Times New Roman" w:cs="Times New Roman"/>
          <w:color w:val="000000" w:themeColor="text1"/>
          <w:sz w:val="24"/>
          <w:szCs w:val="24"/>
        </w:rPr>
        <w:t xml:space="preserve">post facto research design </w:t>
      </w:r>
      <w:r>
        <w:rPr>
          <w:rFonts w:ascii="Times New Roman" w:hAnsi="Times New Roman" w:cs="Times New Roman"/>
          <w:color w:val="000000" w:themeColor="text1"/>
          <w:sz w:val="24"/>
          <w:szCs w:val="24"/>
          <w:highlight w:val="yellow"/>
        </w:rPr>
        <w:t>us</w:t>
      </w:r>
      <w:r>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highlight w:val="yellow"/>
        </w:rPr>
        <w:t>ng</w:t>
      </w:r>
      <w:r>
        <w:rPr>
          <w:rFonts w:ascii="Times New Roman" w:hAnsi="Times New Roman" w:cs="Times New Roman"/>
          <w:color w:val="000000" w:themeColor="text1"/>
          <w:sz w:val="24"/>
          <w:szCs w:val="24"/>
        </w:rPr>
        <w:t xml:space="preserve"> secondary data from </w:t>
      </w:r>
      <w:r>
        <w:rPr>
          <w:rFonts w:ascii="Times New Roman" w:hAnsi="Times New Roman" w:cs="Times New Roman"/>
          <w:color w:val="000000" w:themeColor="text1"/>
          <w:sz w:val="24"/>
          <w:szCs w:val="24"/>
          <w:highlight w:val="yellow"/>
        </w:rPr>
        <w:t>repu</w:t>
      </w:r>
      <w:r>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highlight w:val="yellow"/>
        </w:rPr>
        <w:t>able</w:t>
      </w:r>
      <w:r>
        <w:rPr>
          <w:rFonts w:ascii="Times New Roman" w:hAnsi="Times New Roman" w:cs="Times New Roman"/>
          <w:color w:val="000000" w:themeColor="text1"/>
          <w:sz w:val="24"/>
          <w:szCs w:val="24"/>
        </w:rPr>
        <w:t xml:space="preserve"> international databases such as World Development Indicators (WDI) of the World Bank. The nature of the variables investigated led to the use of the ex post facto design: the variables are historical macroeconomic time-series </w:t>
      </w:r>
      <w:r>
        <w:rPr>
          <w:rFonts w:ascii="Times New Roman" w:hAnsi="Times New Roman" w:cs="Times New Roman"/>
          <w:color w:val="000000" w:themeColor="text1"/>
          <w:sz w:val="24"/>
          <w:szCs w:val="24"/>
          <w:highlight w:val="yellow"/>
        </w:rPr>
        <w:t>observ</w:t>
      </w:r>
      <w:r>
        <w:rPr>
          <w:rFonts w:ascii="Times New Roman" w:hAnsi="Times New Roman" w:cs="Times New Roman"/>
          <w:color w:val="000000" w:themeColor="text1"/>
          <w:sz w:val="24"/>
          <w:szCs w:val="24"/>
        </w:rPr>
        <w:t>at</w:t>
      </w:r>
      <w:r>
        <w:rPr>
          <w:rFonts w:ascii="Times New Roman" w:hAnsi="Times New Roman" w:cs="Times New Roman"/>
          <w:color w:val="000000" w:themeColor="text1"/>
          <w:sz w:val="24"/>
          <w:szCs w:val="24"/>
          <w:highlight w:val="yellow"/>
        </w:rPr>
        <w:t>ions</w:t>
      </w:r>
      <w:r>
        <w:rPr>
          <w:rFonts w:ascii="Times New Roman" w:hAnsi="Times New Roman" w:cs="Times New Roman"/>
          <w:color w:val="000000" w:themeColor="text1"/>
          <w:sz w:val="24"/>
          <w:szCs w:val="24"/>
        </w:rPr>
        <w:t xml:space="preserve"> that cannot be manipulated by the researcher. This study </w:t>
      </w:r>
      <w:r>
        <w:rPr>
          <w:rFonts w:ascii="Times New Roman" w:hAnsi="Times New Roman" w:cs="Times New Roman"/>
          <w:color w:val="000000" w:themeColor="text1"/>
          <w:sz w:val="24"/>
          <w:szCs w:val="24"/>
          <w:highlight w:val="yellow"/>
        </w:rPr>
        <w:t>cover</w:t>
      </w:r>
      <w:r>
        <w:rPr>
          <w:rFonts w:ascii="Times New Roman" w:hAnsi="Times New Roman" w:cs="Times New Roman"/>
          <w:color w:val="000000" w:themeColor="text1"/>
          <w:sz w:val="24"/>
          <w:szCs w:val="24"/>
        </w:rPr>
        <w:t xml:space="preserve">ed the period 2004–2025, </w:t>
      </w:r>
      <w:r>
        <w:rPr>
          <w:rFonts w:ascii="Times New Roman" w:hAnsi="Times New Roman" w:cs="Times New Roman"/>
          <w:color w:val="000000" w:themeColor="text1"/>
          <w:sz w:val="24"/>
          <w:szCs w:val="24"/>
          <w:highlight w:val="yellow"/>
        </w:rPr>
        <w:t xml:space="preserve">during </w:t>
      </w:r>
      <w:r>
        <w:rPr>
          <w:rFonts w:ascii="Times New Roman" w:hAnsi="Times New Roman" w:cs="Times New Roman"/>
          <w:color w:val="000000" w:themeColor="text1"/>
          <w:sz w:val="24"/>
          <w:szCs w:val="24"/>
        </w:rPr>
        <w:t>wh</w:t>
      </w:r>
      <w:r>
        <w:rPr>
          <w:rFonts w:ascii="Times New Roman" w:hAnsi="Times New Roman" w:cs="Times New Roman"/>
          <w:color w:val="000000" w:themeColor="text1"/>
          <w:sz w:val="24"/>
          <w:szCs w:val="24"/>
          <w:highlight w:val="yellow"/>
        </w:rPr>
        <w:t>ich</w:t>
      </w:r>
      <w:r>
        <w:rPr>
          <w:rFonts w:ascii="Times New Roman" w:hAnsi="Times New Roman" w:cs="Times New Roman"/>
          <w:color w:val="000000" w:themeColor="text1"/>
          <w:sz w:val="24"/>
          <w:szCs w:val="24"/>
        </w:rPr>
        <w:t xml:space="preserve"> Nigeria witness</w:t>
      </w:r>
      <w:r>
        <w:rPr>
          <w:rFonts w:ascii="Times New Roman" w:hAnsi="Times New Roman" w:cs="Times New Roman"/>
          <w:color w:val="000000" w:themeColor="text1"/>
          <w:sz w:val="24"/>
          <w:szCs w:val="24"/>
          <w:highlight w:val="yellow"/>
        </w:rPr>
        <w:t>ed</w:t>
      </w:r>
      <w:r>
        <w:rPr>
          <w:rFonts w:ascii="Times New Roman" w:hAnsi="Times New Roman" w:cs="Times New Roman"/>
          <w:color w:val="000000" w:themeColor="text1"/>
          <w:sz w:val="24"/>
          <w:szCs w:val="24"/>
        </w:rPr>
        <w:t xml:space="preserve"> a continued push for economic growth through higher public and private investment,</w:t>
      </w:r>
      <w:r>
        <w:rPr>
          <w:rFonts w:ascii="Times New Roman" w:hAnsi="Times New Roman" w:cs="Times New Roman"/>
          <w:color w:val="000000" w:themeColor="text1"/>
          <w:sz w:val="24"/>
          <w:szCs w:val="24"/>
          <w:highlight w:val="yellow"/>
        </w:rPr>
        <w:t xml:space="preserve"> the</w:t>
      </w:r>
      <w:r>
        <w:rPr>
          <w:rFonts w:ascii="Times New Roman" w:hAnsi="Times New Roman" w:cs="Times New Roman"/>
          <w:color w:val="000000" w:themeColor="text1"/>
          <w:sz w:val="24"/>
          <w:szCs w:val="24"/>
        </w:rPr>
        <w:t xml:space="preserve"> introduction of several capital formation strategies, infrastructure development </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xml:space="preserve">, and reforms for improving productivity and economic diversification. The Nigerian economy experienced periods of economic expansion and recession, </w:t>
      </w:r>
      <w:r>
        <w:rPr>
          <w:rFonts w:ascii="Times New Roman" w:hAnsi="Times New Roman" w:cs="Times New Roman"/>
          <w:color w:val="000000" w:themeColor="text1"/>
          <w:sz w:val="24"/>
          <w:szCs w:val="24"/>
          <w:highlight w:val="yellow"/>
        </w:rPr>
        <w:t>chang</w:t>
      </w:r>
      <w:r>
        <w:rPr>
          <w:rFonts w:ascii="Times New Roman" w:hAnsi="Times New Roman" w:cs="Times New Roman"/>
          <w:color w:val="000000" w:themeColor="text1"/>
          <w:sz w:val="24"/>
          <w:szCs w:val="24"/>
        </w:rPr>
        <w:t xml:space="preserve">es </w:t>
      </w:r>
      <w:r>
        <w:rPr>
          <w:rFonts w:ascii="Times New Roman" w:hAnsi="Times New Roman" w:cs="Times New Roman"/>
          <w:color w:val="000000" w:themeColor="text1"/>
          <w:sz w:val="24"/>
          <w:szCs w:val="24"/>
          <w:highlight w:val="yellow"/>
        </w:rPr>
        <w:t>in</w:t>
      </w:r>
      <w:r>
        <w:rPr>
          <w:rFonts w:ascii="Times New Roman" w:hAnsi="Times New Roman" w:cs="Times New Roman"/>
          <w:color w:val="000000" w:themeColor="text1"/>
          <w:sz w:val="24"/>
          <w:szCs w:val="24"/>
        </w:rPr>
        <w:t xml:space="preserve"> investment</w:t>
      </w:r>
      <w:r>
        <w:rPr>
          <w:rFonts w:ascii="Times New Roman" w:hAnsi="Times New Roman" w:cs="Times New Roman"/>
          <w:color w:val="000000" w:themeColor="text1"/>
          <w:sz w:val="24"/>
          <w:szCs w:val="24"/>
          <w:highlight w:val="yellow"/>
        </w:rPr>
        <w:t xml:space="preserve"> levels</w:t>
      </w:r>
      <w:r>
        <w:rPr>
          <w:rFonts w:ascii="Times New Roman" w:hAnsi="Times New Roman" w:cs="Times New Roman"/>
          <w:color w:val="000000" w:themeColor="text1"/>
          <w:sz w:val="24"/>
          <w:szCs w:val="24"/>
        </w:rPr>
        <w:t>, structural reforms</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and external shocks during this time, which all affected the relationship between capital accumulation and economic performance. Nigeria is a suitable case study </w:t>
      </w:r>
      <w:r>
        <w:rPr>
          <w:rFonts w:ascii="Times New Roman" w:hAnsi="Times New Roman" w:cs="Times New Roman"/>
          <w:color w:val="000000" w:themeColor="text1"/>
          <w:sz w:val="24"/>
          <w:szCs w:val="24"/>
          <w:highlight w:val="yellow"/>
        </w:rPr>
        <w:t>bec</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highlight w:val="yellow"/>
        </w:rPr>
        <w:t>u</w:t>
      </w:r>
      <w:r>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highlight w:val="yellow"/>
        </w:rPr>
        <w:t>e</w:t>
      </w:r>
      <w:r>
        <w:rPr>
          <w:rFonts w:ascii="Times New Roman" w:hAnsi="Times New Roman" w:cs="Times New Roman"/>
          <w:color w:val="000000" w:themeColor="text1"/>
          <w:sz w:val="24"/>
          <w:szCs w:val="24"/>
        </w:rPr>
        <w:t xml:space="preserve"> it has </w:t>
      </w:r>
      <w:r>
        <w:rPr>
          <w:rFonts w:ascii="Times New Roman" w:hAnsi="Times New Roman" w:cs="Times New Roman"/>
          <w:color w:val="000000" w:themeColor="text1"/>
          <w:sz w:val="24"/>
          <w:szCs w:val="24"/>
          <w:highlight w:val="yellow"/>
        </w:rPr>
        <w:t>subst</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highlight w:val="yellow"/>
        </w:rPr>
        <w:t>ntia</w:t>
      </w:r>
      <w:r>
        <w:rPr>
          <w:rFonts w:ascii="Times New Roman" w:hAnsi="Times New Roman" w:cs="Times New Roman"/>
          <w:color w:val="000000" w:themeColor="text1"/>
          <w:sz w:val="24"/>
          <w:szCs w:val="24"/>
        </w:rPr>
        <w:t xml:space="preserve">l natural and human resources but still suffers from chronic problems of insufficient capital accumulation, </w:t>
      </w:r>
      <w:r>
        <w:rPr>
          <w:rFonts w:ascii="Times New Roman" w:hAnsi="Times New Roman" w:cs="Times New Roman"/>
          <w:color w:val="000000" w:themeColor="text1"/>
          <w:sz w:val="24"/>
          <w:szCs w:val="24"/>
        </w:rPr>
        <w:lastRenderedPageBreak/>
        <w:t>poor infrastructure, low productivity, unemployment and erratic economic development. It is</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therefore</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important to </w:t>
      </w:r>
      <w:proofErr w:type="spellStart"/>
      <w:r>
        <w:rPr>
          <w:rFonts w:ascii="Times New Roman" w:hAnsi="Times New Roman" w:cs="Times New Roman"/>
          <w:color w:val="000000" w:themeColor="text1"/>
          <w:sz w:val="24"/>
          <w:szCs w:val="24"/>
        </w:rPr>
        <w:t>analyse</w:t>
      </w:r>
      <w:proofErr w:type="spellEnd"/>
      <w:r>
        <w:rPr>
          <w:rFonts w:ascii="Times New Roman" w:hAnsi="Times New Roman" w:cs="Times New Roman"/>
          <w:color w:val="000000" w:themeColor="text1"/>
          <w:sz w:val="24"/>
          <w:szCs w:val="24"/>
        </w:rPr>
        <w:t xml:space="preserve"> the role of gross capital formation in economic growth in the Nigerian economy to understand the relationship between investment and growth in the economy. Therefore, the functional form of the model is given as:</w:t>
      </w:r>
    </w:p>
    <w:p w14:paraId="52ADA1F4" w14:textId="77777777" w:rsidR="00410FB6" w:rsidRPr="00BC05AD" w:rsidRDefault="00410FB6" w:rsidP="0045397C">
      <w:pPr>
        <w:spacing w:line="360" w:lineRule="auto"/>
        <w:jc w:val="both"/>
        <w:rPr>
          <w:rFonts w:ascii="Times New Roman" w:eastAsia="Times New Roman" w:hAnsi="Times New Roman" w:cs="Times New Roman"/>
          <w:color w:val="000000" w:themeColor="text1"/>
          <w:sz w:val="24"/>
          <w:szCs w:val="24"/>
        </w:rPr>
      </w:pPr>
      <m:oMathPara>
        <m:oMathParaPr>
          <m:jc m:val="left"/>
        </m:oMathParaPr>
        <m:oMath>
          <m:r>
            <m:rPr>
              <m:sty m:val="p"/>
            </m:rPr>
            <w:rPr>
              <w:rFonts w:ascii="Cambria Math" w:eastAsia="Times New Roman" w:hAnsi="Times New Roman" w:cs="Times New Roman"/>
              <w:color w:val="000000" w:themeColor="text1"/>
              <w:sz w:val="24"/>
              <w:szCs w:val="24"/>
            </w:rPr>
            <m:t>GR=f</m:t>
          </m:r>
          <m:d>
            <m:dPr>
              <m:ctrlPr>
                <w:rPr>
                  <w:rFonts w:ascii="Cambria Math" w:eastAsia="Times New Roman" w:hAnsi="Times New Roman" w:cs="Times New Roman"/>
                  <w:color w:val="000000" w:themeColor="text1"/>
                  <w:sz w:val="24"/>
                  <w:szCs w:val="24"/>
                </w:rPr>
              </m:ctrlPr>
            </m:dPr>
            <m:e>
              <m:r>
                <m:rPr>
                  <m:sty m:val="p"/>
                </m:rPr>
                <w:rPr>
                  <w:rFonts w:ascii="Cambria Math" w:eastAsia="Times New Roman" w:hAnsi="Times New Roman" w:cs="Times New Roman"/>
                  <w:color w:val="000000" w:themeColor="text1"/>
                  <w:sz w:val="24"/>
                  <w:szCs w:val="24"/>
                </w:rPr>
                <m:t>GCF, LTR</m:t>
              </m:r>
            </m:e>
          </m:d>
          <m:r>
            <m:rPr>
              <m:sty m:val="p"/>
            </m:rPr>
            <w:rPr>
              <w:rFonts w:ascii="Times New Roman"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oMath>
      </m:oMathPara>
    </w:p>
    <w:p w14:paraId="6A2AFC15" w14:textId="77777777" w:rsidR="00027AC1" w:rsidRPr="00BC05AD" w:rsidRDefault="00027AC1" w:rsidP="0045397C">
      <w:pPr>
        <w:spacing w:line="360" w:lineRule="auto"/>
        <w:jc w:val="both"/>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color w:val="000000" w:themeColor="text1"/>
          <w:sz w:val="24"/>
          <w:szCs w:val="24"/>
        </w:rPr>
        <w:t>Equation (1) is expressed econometrically as:</w:t>
      </w:r>
    </w:p>
    <w:p w14:paraId="0E15A7CB" w14:textId="77777777" w:rsidR="00410FB6" w:rsidRPr="00BC05AD" w:rsidRDefault="00410FB6" w:rsidP="0045397C">
      <w:pPr>
        <w:spacing w:line="360" w:lineRule="auto"/>
        <w:jc w:val="both"/>
        <w:rPr>
          <w:rFonts w:ascii="Times New Roman" w:eastAsia="Times New Roman" w:hAnsi="Times New Roman" w:cs="Times New Roman"/>
          <w:color w:val="000000" w:themeColor="text1"/>
          <w:sz w:val="24"/>
          <w:szCs w:val="24"/>
        </w:rPr>
      </w:pPr>
    </w:p>
    <w:p w14:paraId="6FD2DB61" w14:textId="77777777" w:rsidR="00410FB6" w:rsidRPr="00BC05AD" w:rsidRDefault="00410FB6" w:rsidP="0045397C">
      <w:pPr>
        <w:spacing w:line="360" w:lineRule="auto"/>
        <w:rPr>
          <w:rFonts w:ascii="Times New Roman" w:eastAsia="Times New Roman" w:hAnsi="Times New Roman" w:cs="Times New Roman"/>
          <w:color w:val="000000" w:themeColor="text1"/>
          <w:sz w:val="24"/>
          <w:szCs w:val="24"/>
        </w:rPr>
      </w:pPr>
      <m:oMathPara>
        <m:oMath>
          <m:r>
            <m:rPr>
              <m:sty m:val="p"/>
            </m:rPr>
            <w:rPr>
              <w:rFonts w:ascii="Cambria Math" w:eastAsia="Times New Roman" w:hAnsi="Times New Roman" w:cs="Times New Roman"/>
              <w:color w:val="000000" w:themeColor="text1"/>
              <w:sz w:val="24"/>
              <w:szCs w:val="24"/>
            </w:rPr>
            <m:t>GR=</m:t>
          </m:r>
          <m:r>
            <m:rPr>
              <m:sty m:val="p"/>
            </m:rPr>
            <w:rPr>
              <w:rFonts w:ascii="Times New Roman" w:eastAsia="Times New Roman" w:hAnsi="Times New Roman" w:cs="Times New Roman"/>
              <w:color w:val="000000" w:themeColor="text1"/>
              <w:sz w:val="24"/>
              <w:szCs w:val="24"/>
            </w:rPr>
            <m:t>β</m:t>
          </m:r>
          <m:r>
            <m:rPr>
              <m:sty m:val="p"/>
            </m:rPr>
            <w:rPr>
              <w:rFonts w:ascii="Cambria Math" w:eastAsia="Times New Roman" w:hAnsi="Times New Roman" w:cs="Times New Roman"/>
              <w:color w:val="000000" w:themeColor="text1"/>
              <w:sz w:val="24"/>
              <w:szCs w:val="24"/>
            </w:rPr>
            <m:t>0+</m:t>
          </m:r>
          <m:r>
            <m:rPr>
              <m:sty m:val="p"/>
            </m:rPr>
            <w:rPr>
              <w:rFonts w:ascii="Times New Roman" w:eastAsia="Times New Roman" w:hAnsi="Times New Roman" w:cs="Times New Roman"/>
              <w:color w:val="000000" w:themeColor="text1"/>
              <w:sz w:val="24"/>
              <w:szCs w:val="24"/>
            </w:rPr>
            <m:t>β</m:t>
          </m:r>
          <m:r>
            <m:rPr>
              <m:sty m:val="p"/>
            </m:rPr>
            <w:rPr>
              <w:rFonts w:ascii="Cambria Math" w:eastAsia="Times New Roman" w:hAnsi="Times New Roman" w:cs="Times New Roman"/>
              <w:color w:val="000000" w:themeColor="text1"/>
              <w:sz w:val="24"/>
              <w:szCs w:val="24"/>
            </w:rPr>
            <m:t>1GCF+</m:t>
          </m:r>
          <m:r>
            <m:rPr>
              <m:sty m:val="p"/>
            </m:rPr>
            <w:rPr>
              <w:rFonts w:ascii="Times New Roman" w:eastAsia="Times New Roman" w:hAnsi="Times New Roman" w:cs="Times New Roman"/>
              <w:color w:val="000000" w:themeColor="text1"/>
              <w:sz w:val="24"/>
              <w:szCs w:val="24"/>
            </w:rPr>
            <m:t>β</m:t>
          </m:r>
          <m:r>
            <m:rPr>
              <m:sty m:val="p"/>
            </m:rPr>
            <w:rPr>
              <w:rFonts w:ascii="Cambria Math" w:eastAsia="Times New Roman" w:hAnsi="Times New Roman" w:cs="Times New Roman"/>
              <w:color w:val="000000" w:themeColor="text1"/>
              <w:sz w:val="24"/>
              <w:szCs w:val="24"/>
            </w:rPr>
            <m:t>2LTR +</m:t>
          </m:r>
          <m:r>
            <m:rPr>
              <m:sty m:val="p"/>
            </m:rPr>
            <w:rPr>
              <w:rFonts w:ascii="Times New Roman" w:eastAsia="Times New Roman" w:hAnsi="Times New Roman" w:cs="Times New Roman"/>
              <w:color w:val="000000" w:themeColor="text1"/>
              <w:sz w:val="24"/>
              <w:szCs w:val="24"/>
            </w:rPr>
            <m:t>ε</m:t>
          </m:r>
          <m:r>
            <m:rPr>
              <m:sty m:val="p"/>
            </m:rPr>
            <w:rPr>
              <w:rFonts w:ascii="Cambria Math" w:eastAsia="Times New Roman" w:hAnsi="Times New Roman" w:cs="Times New Roman"/>
              <w:color w:val="000000" w:themeColor="text1"/>
              <w:sz w:val="24"/>
              <w:szCs w:val="24"/>
            </w:rPr>
            <m:t>t</m:t>
          </m:r>
          <m:r>
            <m:rPr>
              <m:sty m:val="p"/>
            </m:rPr>
            <w:rPr>
              <w:rFonts w:ascii="Times New Roman"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(2)</m:t>
          </m:r>
        </m:oMath>
      </m:oMathPara>
    </w:p>
    <w:p w14:paraId="073700C4" w14:textId="77777777" w:rsidR="00410FB6" w:rsidRPr="00BC05AD" w:rsidRDefault="004217E3" w:rsidP="0045397C">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Where: </w:t>
      </w:r>
      <w:r>
        <w:rPr>
          <w:rFonts w:ascii="Times New Roman" w:eastAsia="Times New Roman" w:hAnsi="Times New Roman" w:cs="Times New Roman"/>
          <w:bCs/>
          <w:color w:val="000000" w:themeColor="text1"/>
          <w:sz w:val="24"/>
          <w:szCs w:val="24"/>
        </w:rPr>
        <w:t>GR</w:t>
      </w:r>
      <w:r>
        <w:rPr>
          <w:rFonts w:ascii="Times New Roman" w:eastAsia="Times New Roman" w:hAnsi="Times New Roman" w:cs="Times New Roman"/>
          <w:color w:val="000000" w:themeColor="text1"/>
          <w:sz w:val="24"/>
          <w:szCs w:val="24"/>
        </w:rPr>
        <w:t xml:space="preserve"> = Economic growth rate measured by real Gross Domestic Product (GDP) growth rate; GCF = Gross capital formation;</w:t>
      </w:r>
      <w:r>
        <w:rPr>
          <w:rFonts w:ascii="Times New Roman" w:hAnsi="Times New Roman" w:cs="Times New Roman"/>
          <w:color w:val="000000" w:themeColor="text1"/>
          <w:sz w:val="24"/>
          <w:szCs w:val="24"/>
        </w:rPr>
        <w:t xml:space="preserve"> LTR = Literacy Rate; </w:t>
      </w:r>
      <w:r>
        <w:rPr>
          <w:rFonts w:ascii="Times New Roman" w:eastAsia="Times New Roman" w:hAnsi="Times New Roman" w:cs="Times New Roman"/>
          <w:bCs/>
          <w:color w:val="000000" w:themeColor="text1"/>
          <w:sz w:val="24"/>
          <w:szCs w:val="24"/>
        </w:rPr>
        <w:t>β</w:t>
      </w:r>
      <w:r>
        <w:rPr>
          <w:rFonts w:ascii="Cambria Math" w:eastAsia="Times New Roman" w:hAnsi="Cambria Math" w:cs="Times New Roman"/>
          <w:bCs/>
          <w:color w:val="000000" w:themeColor="text1"/>
          <w:sz w:val="24"/>
          <w:szCs w:val="24"/>
        </w:rPr>
        <w:t>₀</w:t>
      </w:r>
      <w:r>
        <w:rPr>
          <w:rFonts w:ascii="Times New Roman" w:eastAsia="Times New Roman" w:hAnsi="Times New Roman" w:cs="Times New Roman"/>
          <w:color w:val="000000" w:themeColor="text1"/>
          <w:sz w:val="24"/>
          <w:szCs w:val="24"/>
        </w:rPr>
        <w:t xml:space="preserve"> = Constant term; </w:t>
      </w:r>
      <w:r>
        <w:rPr>
          <w:rFonts w:ascii="Times New Roman" w:eastAsia="Times New Roman" w:hAnsi="Times New Roman" w:cs="Times New Roman"/>
          <w:bCs/>
          <w:color w:val="000000" w:themeColor="text1"/>
          <w:sz w:val="24"/>
          <w:szCs w:val="24"/>
        </w:rPr>
        <w:t>β</w:t>
      </w:r>
      <w:r>
        <w:rPr>
          <w:rFonts w:ascii="Cambria Math" w:eastAsia="Times New Roman" w:hAnsi="Cambria Math" w:cs="Times New Roman"/>
          <w:bCs/>
          <w:color w:val="000000" w:themeColor="text1"/>
          <w:sz w:val="24"/>
          <w:szCs w:val="24"/>
        </w:rPr>
        <w:t>₁</w:t>
      </w:r>
      <w:r>
        <w:rPr>
          <w:rFonts w:ascii="Times New Roman" w:eastAsia="Times New Roman" w:hAnsi="Times New Roman" w:cs="Times New Roman"/>
          <w:bCs/>
          <w:color w:val="000000" w:themeColor="text1"/>
          <w:sz w:val="24"/>
          <w:szCs w:val="24"/>
        </w:rPr>
        <w:t>- β</w:t>
      </w:r>
      <w:r>
        <w:rPr>
          <w:rFonts w:ascii="Times New Roman" w:eastAsia="Times New Roman" w:hAnsi="Times New Roman" w:cs="Times New Roman"/>
          <w:bCs/>
          <w:color w:val="000000" w:themeColor="text1"/>
          <w:sz w:val="24"/>
          <w:szCs w:val="24"/>
          <w:vertAlign w:val="subscript"/>
        </w:rPr>
        <w:t>3</w:t>
      </w:r>
      <w:r>
        <w:rPr>
          <w:rFonts w:ascii="Times New Roman" w:eastAsia="Times New Roman" w:hAnsi="Times New Roman" w:cs="Times New Roman"/>
          <w:color w:val="000000" w:themeColor="text1"/>
          <w:sz w:val="24"/>
          <w:szCs w:val="24"/>
        </w:rPr>
        <w:t xml:space="preserve"> = Parameter estimate</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and </w:t>
      </w:r>
      <w:proofErr w:type="spellStart"/>
      <w:r>
        <w:rPr>
          <w:rFonts w:ascii="Times New Roman" w:eastAsia="Times New Roman" w:hAnsi="Times New Roman" w:cs="Times New Roman"/>
          <w:color w:val="000000" w:themeColor="text1"/>
          <w:sz w:val="24"/>
          <w:szCs w:val="24"/>
        </w:rPr>
        <w:t>εt</w:t>
      </w:r>
      <w:proofErr w:type="spellEnd"/>
      <w:r>
        <w:rPr>
          <w:rFonts w:ascii="Times New Roman" w:eastAsia="Times New Roman" w:hAnsi="Times New Roman" w:cs="Times New Roman"/>
          <w:color w:val="000000" w:themeColor="text1"/>
          <w:sz w:val="24"/>
          <w:szCs w:val="24"/>
        </w:rPr>
        <w:t xml:space="preserve"> = Stochastic error term</w:t>
      </w:r>
    </w:p>
    <w:p w14:paraId="642521AA" w14:textId="77777777" w:rsidR="004217E3" w:rsidRPr="00BC05AD" w:rsidRDefault="00836340" w:rsidP="0045397C">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model was estimated using the autoregressive distributed lag (ARDL) bounds testing approach suggested by </w:t>
      </w:r>
      <w:proofErr w:type="spellStart"/>
      <w:r>
        <w:rPr>
          <w:rFonts w:ascii="Times New Roman" w:eastAsia="Times New Roman" w:hAnsi="Times New Roman" w:cs="Times New Roman"/>
          <w:color w:val="000000" w:themeColor="text1"/>
          <w:sz w:val="24"/>
          <w:szCs w:val="24"/>
        </w:rPr>
        <w:t>Pesaran</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highlight w:val="yellow"/>
        </w:rPr>
        <w:t>et</w:t>
      </w:r>
      <w:r>
        <w:rPr>
          <w:rFonts w:ascii="Times New Roman" w:eastAsia="Times New Roman" w:hAnsi="Times New Roman" w:cs="Times New Roman"/>
          <w:color w:val="000000" w:themeColor="text1"/>
          <w:sz w:val="24"/>
          <w:szCs w:val="24"/>
        </w:rPr>
        <w:t xml:space="preserve"> a</w:t>
      </w:r>
      <w:r>
        <w:rPr>
          <w:rFonts w:ascii="Times New Roman" w:eastAsia="Times New Roman" w:hAnsi="Times New Roman" w:cs="Times New Roman"/>
          <w:color w:val="000000" w:themeColor="text1"/>
          <w:sz w:val="24"/>
          <w:szCs w:val="24"/>
          <w:highlight w:val="yellow"/>
        </w:rPr>
        <w:t>l.</w:t>
      </w:r>
      <w:r>
        <w:rPr>
          <w:rFonts w:ascii="Times New Roman" w:eastAsia="Times New Roman" w:hAnsi="Times New Roman" w:cs="Times New Roman"/>
          <w:color w:val="000000" w:themeColor="text1"/>
          <w:sz w:val="24"/>
          <w:szCs w:val="24"/>
        </w:rPr>
        <w:t xml:space="preserve"> (2001). The ARDL methodology was chosen for its ability to estimate both the short-run dynamics of the model and the long-run equilibrium relationships, without restrictions, even </w:t>
      </w:r>
      <w:r>
        <w:rPr>
          <w:rFonts w:ascii="Times New Roman" w:eastAsia="Times New Roman" w:hAnsi="Times New Roman" w:cs="Times New Roman"/>
          <w:color w:val="000000" w:themeColor="text1"/>
          <w:sz w:val="24"/>
          <w:szCs w:val="24"/>
          <w:highlight w:val="yellow"/>
        </w:rPr>
        <w:t>when</w:t>
      </w:r>
      <w:r>
        <w:rPr>
          <w:rFonts w:ascii="Times New Roman" w:eastAsia="Times New Roman" w:hAnsi="Times New Roman" w:cs="Times New Roman"/>
          <w:color w:val="000000" w:themeColor="text1"/>
          <w:sz w:val="24"/>
          <w:szCs w:val="24"/>
        </w:rPr>
        <w:t xml:space="preserve"> the variables are </w:t>
      </w:r>
      <w:proofErr w:type="gramStart"/>
      <w:r>
        <w:rPr>
          <w:rFonts w:ascii="Times New Roman" w:eastAsia="Times New Roman" w:hAnsi="Times New Roman" w:cs="Times New Roman"/>
          <w:color w:val="000000" w:themeColor="text1"/>
          <w:sz w:val="24"/>
          <w:szCs w:val="24"/>
        </w:rPr>
        <w:t>I(</w:t>
      </w:r>
      <w:proofErr w:type="gramEnd"/>
      <w:r>
        <w:rPr>
          <w:rFonts w:ascii="Times New Roman" w:eastAsia="Times New Roman" w:hAnsi="Times New Roman" w:cs="Times New Roman"/>
          <w:color w:val="000000" w:themeColor="text1"/>
          <w:sz w:val="24"/>
          <w:szCs w:val="24"/>
        </w:rPr>
        <w:t xml:space="preserve">0) or </w:t>
      </w:r>
      <w:proofErr w:type="gramStart"/>
      <w:r>
        <w:rPr>
          <w:rFonts w:ascii="Times New Roman" w:eastAsia="Times New Roman" w:hAnsi="Times New Roman" w:cs="Times New Roman"/>
          <w:color w:val="000000" w:themeColor="text1"/>
          <w:sz w:val="24"/>
          <w:szCs w:val="24"/>
        </w:rPr>
        <w:t>I(</w:t>
      </w:r>
      <w:proofErr w:type="gramEnd"/>
      <w:r>
        <w:rPr>
          <w:rFonts w:ascii="Times New Roman" w:eastAsia="Times New Roman" w:hAnsi="Times New Roman" w:cs="Times New Roman"/>
          <w:color w:val="000000" w:themeColor="text1"/>
          <w:sz w:val="24"/>
          <w:szCs w:val="24"/>
        </w:rPr>
        <w:t xml:space="preserve">1). Moreover, the method is efficient and unbiased </w:t>
      </w:r>
      <w:r>
        <w:rPr>
          <w:rFonts w:ascii="Times New Roman" w:eastAsia="Times New Roman" w:hAnsi="Times New Roman" w:cs="Times New Roman"/>
          <w:color w:val="000000" w:themeColor="text1"/>
          <w:sz w:val="24"/>
          <w:szCs w:val="24"/>
          <w:highlight w:val="yellow"/>
        </w:rPr>
        <w:t>w</w:t>
      </w:r>
      <w:r>
        <w:rPr>
          <w:rFonts w:ascii="Times New Roman" w:eastAsia="Times New Roman" w:hAnsi="Times New Roman" w:cs="Times New Roman"/>
          <w:color w:val="000000" w:themeColor="text1"/>
          <w:sz w:val="24"/>
          <w:szCs w:val="24"/>
        </w:rPr>
        <w:t>ith relatively small sample sizes and is used to solve the endogeneity and serial correlation problems often encountered in time-series analysis for macroeconomic data. Thus, the unrestricted ARDL model estimated in the study is given by:</w:t>
      </w:r>
    </w:p>
    <w:p w14:paraId="7F895504" w14:textId="77777777" w:rsidR="004217E3" w:rsidRPr="00BC05AD" w:rsidRDefault="00000000" w:rsidP="0045397C">
      <w:pPr>
        <w:spacing w:line="360" w:lineRule="auto"/>
        <w:rPr>
          <w:rFonts w:ascii="Times New Roman" w:eastAsia="Times New Roman" w:hAnsi="Times New Roman" w:cs="Times New Roman"/>
          <w:color w:val="000000" w:themeColor="text1"/>
          <w:sz w:val="24"/>
          <w:szCs w:val="24"/>
        </w:rPr>
      </w:pPr>
      <m:oMathPara>
        <m:oMathParaPr>
          <m:jc m:val="left"/>
        </m:oMathParaPr>
        <m:oMath>
          <m:sSub>
            <m:sSubPr>
              <m:ctrlPr>
                <w:rPr>
                  <w:rFonts w:ascii="Cambria Math" w:eastAsia="Times New Roman" w:hAnsi="Times New Roman" w:cs="Times New Roman"/>
                  <w:color w:val="000000" w:themeColor="text1"/>
                  <w:sz w:val="24"/>
                  <w:szCs w:val="24"/>
                </w:rPr>
              </m:ctrlPr>
            </m:sSubPr>
            <m:e>
              <m:r>
                <m:rPr>
                  <m:sty m:val="p"/>
                </m:rPr>
                <w:rPr>
                  <w:rFonts w:ascii="Times New Roman"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GR</m:t>
              </m:r>
            </m:e>
            <m:sub>
              <m:r>
                <m:rPr>
                  <m:sty m:val="p"/>
                </m:rPr>
                <w:rPr>
                  <w:rFonts w:ascii="Cambria Math" w:eastAsia="Times New Roman" w:hAnsi="Times New Roman" w:cs="Times New Roman"/>
                  <w:color w:val="000000" w:themeColor="text1"/>
                  <w:sz w:val="24"/>
                  <w:szCs w:val="24"/>
                </w:rPr>
                <m:t>t</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0</m:t>
              </m:r>
            </m:sub>
          </m:sSub>
          <m:r>
            <w:rPr>
              <w:rFonts w:ascii="Cambria Math" w:eastAsia="Times New Roman" w:hAnsi="Times New Roman" w:cs="Times New Roman"/>
              <w:color w:val="000000" w:themeColor="text1"/>
              <w:sz w:val="24"/>
              <w:szCs w:val="24"/>
            </w:rPr>
            <m:t>+</m:t>
          </m:r>
          <m:nary>
            <m:naryPr>
              <m:chr m:val="∑"/>
              <m:limLoc m:val="undOvr"/>
              <m:ctrlPr>
                <w:rPr>
                  <w:rFonts w:ascii="Cambria Math" w:eastAsia="Times New Roman" w:hAnsi="Times New Roman" w:cs="Times New Roman"/>
                  <w:i/>
                  <w:color w:val="000000" w:themeColor="text1"/>
                  <w:sz w:val="24"/>
                  <w:szCs w:val="24"/>
                </w:rPr>
              </m:ctrlPr>
            </m:naryPr>
            <m:sub>
              <m:r>
                <m:rPr>
                  <m:sty m:val="p"/>
                </m:rPr>
                <w:rPr>
                  <w:rFonts w:ascii="Cambria Math" w:eastAsia="Times New Roman" w:hAnsi="Times New Roman" w:cs="Times New Roman"/>
                  <w:color w:val="000000" w:themeColor="text1"/>
                  <w:sz w:val="24"/>
                  <w:szCs w:val="24"/>
                </w:rPr>
                <m:t>i=1</m:t>
              </m:r>
            </m:sub>
            <m:sup>
              <m:r>
                <w:rPr>
                  <w:rFonts w:ascii="Cambria Math" w:eastAsia="Times New Roman" w:hAnsi="Cambria Math" w:cs="Times New Roman"/>
                  <w:color w:val="000000" w:themeColor="text1"/>
                  <w:sz w:val="24"/>
                  <w:szCs w:val="24"/>
                </w:rPr>
                <m:t>p</m:t>
              </m:r>
            </m:sup>
            <m:e>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1</m:t>
                  </m:r>
                </m:sub>
              </m:sSub>
              <m:sSub>
                <m:sSubPr>
                  <m:ctrlPr>
                    <w:rPr>
                      <w:rFonts w:ascii="Cambria Math" w:eastAsia="Times New Roman" w:hAnsi="Times New Roman" w:cs="Times New Roman"/>
                      <w:color w:val="000000" w:themeColor="text1"/>
                      <w:sz w:val="24"/>
                      <w:szCs w:val="24"/>
                    </w:rPr>
                  </m:ctrlPr>
                </m:sSubPr>
                <m:e>
                  <m:r>
                    <m:rPr>
                      <m:sty m:val="p"/>
                    </m:rPr>
                    <w:rPr>
                      <w:rFonts w:ascii="Times New Roman"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GR</m:t>
                  </m:r>
                </m:e>
                <m:sub>
                  <m:r>
                    <m:rPr>
                      <m:sty m:val="p"/>
                    </m:rPr>
                    <w:rPr>
                      <w:rFonts w:ascii="Cambria Math" w:eastAsia="Times New Roman" w:hAnsi="Times New Roman" w:cs="Times New Roman"/>
                      <w:color w:val="000000" w:themeColor="text1"/>
                      <w:sz w:val="24"/>
                      <w:szCs w:val="24"/>
                    </w:rPr>
                    <m:t>t</m:t>
                  </m:r>
                  <m:r>
                    <m:rPr>
                      <m:sty m:val="p"/>
                    </m:rPr>
                    <w:rPr>
                      <w:rFonts w:ascii="Times New Roman"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i</m:t>
                  </m:r>
                </m:sub>
              </m:sSub>
              <m:r>
                <w:rPr>
                  <w:rFonts w:ascii="Cambria Math" w:eastAsia="Times New Roman" w:hAnsi="Times New Roman" w:cs="Times New Roman"/>
                  <w:color w:val="000000" w:themeColor="text1"/>
                  <w:sz w:val="24"/>
                  <w:szCs w:val="24"/>
                </w:rPr>
                <m:t>+</m:t>
              </m:r>
            </m:e>
          </m:nary>
          <m:nary>
            <m:naryPr>
              <m:chr m:val="∑"/>
              <m:limLoc m:val="undOvr"/>
              <m:ctrlPr>
                <w:rPr>
                  <w:rFonts w:ascii="Cambria Math" w:eastAsia="Times New Roman" w:hAnsi="Times New Roman" w:cs="Times New Roman"/>
                  <w:i/>
                  <w:color w:val="000000" w:themeColor="text1"/>
                  <w:sz w:val="24"/>
                  <w:szCs w:val="24"/>
                </w:rPr>
              </m:ctrlPr>
            </m:naryPr>
            <m:sub>
              <m:r>
                <m:rPr>
                  <m:sty m:val="p"/>
                </m:rPr>
                <w:rPr>
                  <w:rFonts w:ascii="Cambria Math" w:eastAsia="Times New Roman" w:hAnsi="Times New Roman" w:cs="Times New Roman"/>
                  <w:color w:val="000000" w:themeColor="text1"/>
                  <w:sz w:val="24"/>
                  <w:szCs w:val="24"/>
                </w:rPr>
                <m:t>i=1</m:t>
              </m:r>
            </m:sub>
            <m:sup>
              <m:r>
                <w:rPr>
                  <w:rFonts w:ascii="Cambria Math" w:eastAsia="Times New Roman" w:hAnsi="Cambria Math" w:cs="Times New Roman"/>
                  <w:color w:val="000000" w:themeColor="text1"/>
                  <w:sz w:val="24"/>
                  <w:szCs w:val="24"/>
                </w:rPr>
                <m:t>p</m:t>
              </m:r>
            </m:sup>
            <m:e>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2</m:t>
                  </m:r>
                </m:sub>
              </m:sSub>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GCF</m:t>
                  </m:r>
                </m:e>
                <m:sub>
                  <m:r>
                    <w:rPr>
                      <w:rFonts w:ascii="Cambria Math" w:eastAsia="Times New Roman"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Times New Roman" w:hAnsi="Cambria Math" w:cs="Times New Roman"/>
                      <w:color w:val="000000" w:themeColor="text1"/>
                      <w:sz w:val="24"/>
                      <w:szCs w:val="24"/>
                    </w:rPr>
                    <m:t>i</m:t>
                  </m:r>
                </m:sub>
              </m:sSub>
              <m:r>
                <w:rPr>
                  <w:rFonts w:ascii="Cambria Math" w:eastAsia="Times New Roman" w:hAnsi="Times New Roman" w:cs="Times New Roman"/>
                  <w:color w:val="000000" w:themeColor="text1"/>
                  <w:sz w:val="24"/>
                  <w:szCs w:val="24"/>
                </w:rPr>
                <m:t>+</m:t>
              </m:r>
            </m:e>
          </m:nary>
          <m:nary>
            <m:naryPr>
              <m:chr m:val="∑"/>
              <m:limLoc m:val="undOvr"/>
              <m:ctrlPr>
                <w:rPr>
                  <w:rFonts w:ascii="Cambria Math" w:eastAsia="Times New Roman" w:hAnsi="Times New Roman" w:cs="Times New Roman"/>
                  <w:i/>
                  <w:color w:val="000000" w:themeColor="text1"/>
                  <w:sz w:val="24"/>
                  <w:szCs w:val="24"/>
                </w:rPr>
              </m:ctrlPr>
            </m:naryPr>
            <m:sub>
              <m:r>
                <m:rPr>
                  <m:sty m:val="p"/>
                </m:rPr>
                <w:rPr>
                  <w:rFonts w:ascii="Cambria Math" w:eastAsia="Times New Roman" w:hAnsi="Times New Roman" w:cs="Times New Roman"/>
                  <w:color w:val="000000" w:themeColor="text1"/>
                  <w:sz w:val="24"/>
                  <w:szCs w:val="24"/>
                </w:rPr>
                <m:t>i=1</m:t>
              </m:r>
            </m:sub>
            <m:sup>
              <m:r>
                <w:rPr>
                  <w:rFonts w:ascii="Cambria Math" w:eastAsia="Times New Roman" w:hAnsi="Cambria Math" w:cs="Times New Roman"/>
                  <w:color w:val="000000" w:themeColor="text1"/>
                  <w:sz w:val="24"/>
                  <w:szCs w:val="24"/>
                </w:rPr>
                <m:t>p</m:t>
              </m:r>
            </m:sup>
            <m:e>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β</m:t>
                  </m:r>
                </m:e>
                <m:sub>
                  <m:r>
                    <w:rPr>
                      <w:rFonts w:ascii="Cambria Math" w:eastAsia="Times New Roman" w:hAnsi="Times New Roman" w:cs="Times New Roman"/>
                      <w:color w:val="000000" w:themeColor="text1"/>
                      <w:sz w:val="24"/>
                      <w:szCs w:val="24"/>
                    </w:rPr>
                    <m:t>3</m:t>
                  </m:r>
                </m:sub>
              </m:sSub>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LTR</m:t>
                  </m:r>
                </m:e>
                <m:sub>
                  <m:r>
                    <w:rPr>
                      <w:rFonts w:ascii="Cambria Math" w:eastAsia="Times New Roman"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Times New Roman" w:hAnsi="Cambria Math" w:cs="Times New Roman"/>
                      <w:color w:val="000000" w:themeColor="text1"/>
                      <w:sz w:val="24"/>
                      <w:szCs w:val="24"/>
                    </w:rPr>
                    <m:t>i</m:t>
                  </m:r>
                </m:sub>
              </m:sSub>
              <m:r>
                <w:rPr>
                  <w:rFonts w:ascii="Cambria Math" w:eastAsia="Times New Roman" w:hAnsi="Times New Roman" w:cs="Times New Roman"/>
                  <w:color w:val="000000" w:themeColor="text1"/>
                  <w:sz w:val="24"/>
                  <w:szCs w:val="24"/>
                </w:rPr>
                <m:t>+</m:t>
              </m:r>
            </m:e>
          </m:nary>
          <m:sSub>
            <m:sSubPr>
              <m:ctrlPr>
                <w:rPr>
                  <w:rFonts w:ascii="Cambria Math" w:eastAsia="Times New Roman" w:hAnsi="Times New Roman" w:cs="Times New Roman"/>
                  <w:color w:val="000000" w:themeColor="text1"/>
                  <w:sz w:val="24"/>
                  <w:szCs w:val="24"/>
                </w:rPr>
              </m:ctrlPr>
            </m:sSubPr>
            <m:e>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λ</m:t>
                  </m:r>
                </m:e>
                <m:sub>
                  <m:r>
                    <w:rPr>
                      <w:rFonts w:ascii="Cambria Math" w:eastAsia="Times New Roman" w:hAnsi="Times New Roman" w:cs="Times New Roman"/>
                      <w:color w:val="000000" w:themeColor="text1"/>
                      <w:sz w:val="24"/>
                      <w:szCs w:val="24"/>
                    </w:rPr>
                    <m:t>1</m:t>
                  </m:r>
                </m:sub>
              </m:sSub>
              <m:r>
                <m:rPr>
                  <m:sty m:val="p"/>
                </m:rPr>
                <w:rPr>
                  <w:rFonts w:ascii="Times New Roman"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GR</m:t>
              </m:r>
            </m:e>
            <m:sub>
              <m:r>
                <m:rPr>
                  <m:sty m:val="p"/>
                </m:rPr>
                <w:rPr>
                  <w:rFonts w:ascii="Cambria Math" w:eastAsia="Times New Roman" w:hAnsi="Times New Roman" w:cs="Times New Roman"/>
                  <w:color w:val="000000" w:themeColor="text1"/>
                  <w:sz w:val="24"/>
                  <w:szCs w:val="24"/>
                </w:rPr>
                <m:t>t</m:t>
              </m:r>
              <m:r>
                <m:rPr>
                  <m:sty m:val="p"/>
                </m:rPr>
                <w:rPr>
                  <w:rFonts w:ascii="Times New Roman"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color w:val="000000" w:themeColor="text1"/>
                  <w:sz w:val="24"/>
                  <w:szCs w:val="24"/>
                </w:rPr>
              </m:ctrlPr>
            </m:sSubPr>
            <m:e>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λ</m:t>
                  </m:r>
                </m:e>
                <m:sub>
                  <m:r>
                    <w:rPr>
                      <w:rFonts w:ascii="Cambria Math" w:eastAsia="Times New Roman" w:hAnsi="Times New Roman" w:cs="Times New Roman"/>
                      <w:color w:val="000000" w:themeColor="text1"/>
                      <w:sz w:val="24"/>
                      <w:szCs w:val="24"/>
                    </w:rPr>
                    <m:t>2</m:t>
                  </m:r>
                </m:sub>
              </m:sSub>
              <m:r>
                <m:rPr>
                  <m:sty m:val="p"/>
                </m:rPr>
                <w:rPr>
                  <w:rFonts w:ascii="Times New Roman"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GCF</m:t>
              </m:r>
            </m:e>
            <m:sub>
              <m:r>
                <m:rPr>
                  <m:sty m:val="p"/>
                </m:rPr>
                <w:rPr>
                  <w:rFonts w:ascii="Cambria Math" w:eastAsia="Times New Roman" w:hAnsi="Times New Roman" w:cs="Times New Roman"/>
                  <w:color w:val="000000" w:themeColor="text1"/>
                  <w:sz w:val="24"/>
                  <w:szCs w:val="24"/>
                </w:rPr>
                <m:t>t</m:t>
              </m:r>
              <m:r>
                <m:rPr>
                  <m:sty m:val="p"/>
                </m:rPr>
                <w:rPr>
                  <w:rFonts w:ascii="Times New Roman"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color w:val="000000" w:themeColor="text1"/>
                  <w:sz w:val="24"/>
                  <w:szCs w:val="24"/>
                </w:rPr>
              </m:ctrlPr>
            </m:sSubPr>
            <m:e>
              <m:sSub>
                <m:sSubPr>
                  <m:ctrlPr>
                    <w:rPr>
                      <w:rFonts w:ascii="Cambria Math" w:eastAsia="Times New Roman" w:hAnsi="Times New Roman" w:cs="Times New Roman"/>
                      <w:i/>
                      <w:color w:val="000000" w:themeColor="text1"/>
                      <w:sz w:val="24"/>
                      <w:szCs w:val="24"/>
                    </w:rPr>
                  </m:ctrlPr>
                </m:sSubPr>
                <m:e>
                  <m:r>
                    <m:rPr>
                      <m:sty m:val="p"/>
                    </m:rPr>
                    <w:rPr>
                      <w:rFonts w:ascii="Times New Roman" w:eastAsia="Times New Roman" w:hAnsi="Times New Roman" w:cs="Times New Roman"/>
                      <w:color w:val="000000" w:themeColor="text1"/>
                      <w:sz w:val="24"/>
                      <w:szCs w:val="24"/>
                    </w:rPr>
                    <m:t>λ</m:t>
                  </m:r>
                </m:e>
                <m:sub>
                  <m:r>
                    <w:rPr>
                      <w:rFonts w:ascii="Cambria Math" w:eastAsia="Times New Roman" w:hAnsi="Times New Roman" w:cs="Times New Roman"/>
                      <w:color w:val="000000" w:themeColor="text1"/>
                      <w:sz w:val="24"/>
                      <w:szCs w:val="24"/>
                    </w:rPr>
                    <m:t>3</m:t>
                  </m:r>
                </m:sub>
              </m:sSub>
              <m:r>
                <m:rPr>
                  <m:sty m:val="p"/>
                </m:rPr>
                <w:rPr>
                  <w:rFonts w:ascii="Times New Roman" w:eastAsia="Times New Roman" w:hAnsi="Times New Roman" w:cs="Times New Roman"/>
                  <w:color w:val="000000" w:themeColor="text1"/>
                  <w:sz w:val="24"/>
                  <w:szCs w:val="24"/>
                </w:rPr>
                <m:t>Δ</m:t>
              </m:r>
              <m:r>
                <m:rPr>
                  <m:sty m:val="p"/>
                </m:rPr>
                <w:rPr>
                  <w:rFonts w:ascii="Cambria Math" w:eastAsia="Times New Roman" w:hAnsi="Times New Roman" w:cs="Times New Roman"/>
                  <w:color w:val="000000" w:themeColor="text1"/>
                  <w:sz w:val="24"/>
                  <w:szCs w:val="24"/>
                </w:rPr>
                <m:t>LTR</m:t>
              </m:r>
            </m:e>
            <m:sub>
              <m:r>
                <m:rPr>
                  <m:sty m:val="p"/>
                </m:rPr>
                <w:rPr>
                  <w:rFonts w:ascii="Cambria Math" w:eastAsia="Times New Roman" w:hAnsi="Times New Roman" w:cs="Times New Roman"/>
                  <w:color w:val="000000" w:themeColor="text1"/>
                  <w:sz w:val="24"/>
                  <w:szCs w:val="24"/>
                </w:rPr>
                <m:t>t</m:t>
              </m:r>
              <m:r>
                <m:rPr>
                  <m:sty m:val="p"/>
                </m:rPr>
                <w:rPr>
                  <w:rFonts w:ascii="Times New Roman" w:eastAsia="Times New Roman" w:hAnsi="Times New Roman" w:cs="Times New Roman"/>
                  <w:color w:val="000000" w:themeColor="text1"/>
                  <w:sz w:val="24"/>
                  <w:szCs w:val="24"/>
                </w:rPr>
                <m:t>-</m:t>
              </m:r>
              <m:r>
                <m:rPr>
                  <m:sty m:val="p"/>
                </m:rPr>
                <w:rPr>
                  <w:rFonts w:ascii="Cambria Math" w:eastAsia="Times New Roman" w:hAnsi="Times New Roman" w:cs="Times New Roman"/>
                  <w:color w:val="000000" w:themeColor="text1"/>
                  <w:sz w:val="24"/>
                  <w:szCs w:val="24"/>
                </w:rPr>
                <m:t>1</m:t>
              </m:r>
            </m:sub>
          </m:sSub>
          <m:r>
            <m:rPr>
              <m:sty m:val="p"/>
            </m:rPr>
            <w:rPr>
              <w:rFonts w:ascii="Cambria Math" w:eastAsia="Times New Roman" w:hAnsi="Times New Roman" w:cs="Times New Roman"/>
              <w:color w:val="000000" w:themeColor="text1"/>
              <w:sz w:val="24"/>
              <w:szCs w:val="24"/>
            </w:rPr>
            <m:t>+</m:t>
          </m:r>
          <m:sSub>
            <m:sSubPr>
              <m:ctrlPr>
                <w:rPr>
                  <w:rFonts w:ascii="Cambria Math" w:hAnsi="Times New Roman" w:cs="Times New Roman"/>
                  <w:i/>
                  <w:sz w:val="24"/>
                  <w:szCs w:val="24"/>
                </w:rPr>
              </m:ctrlPr>
            </m:sSubPr>
            <m:e>
              <m:r>
                <w:rPr>
                  <w:rFonts w:ascii="Times New Roman" w:hAnsi="Times New Roman" w:cs="Times New Roman"/>
                  <w:sz w:val="24"/>
                  <w:szCs w:val="24"/>
                </w:rPr>
                <m:t>ɸ</m:t>
              </m:r>
              <m:r>
                <w:rPr>
                  <w:rFonts w:ascii="Cambria Math" w:hAnsi="Times New Roman" w:cs="Times New Roman"/>
                  <w:sz w:val="24"/>
                  <w:szCs w:val="24"/>
                </w:rPr>
                <m:t>ECT</m:t>
              </m:r>
            </m:e>
            <m:sub>
              <m:r>
                <w:rPr>
                  <w:rFonts w:ascii="Cambria Math" w:hAnsi="Times New Roman" w:cs="Times New Roman"/>
                  <w:sz w:val="24"/>
                  <w:szCs w:val="24"/>
                </w:rPr>
                <m:t>t</m:t>
              </m:r>
              <m:r>
                <w:rPr>
                  <w:rFonts w:ascii="Times New Roman" w:hAnsi="Times New Roman" w:cs="Times New Roman"/>
                  <w:sz w:val="24"/>
                  <w:szCs w:val="24"/>
                </w:rPr>
                <m:t>-</m:t>
              </m:r>
              <m:r>
                <w:rPr>
                  <w:rFonts w:ascii="Cambria Math" w:hAnsi="Times New Roman" w:cs="Times New Roman"/>
                  <w:sz w:val="24"/>
                  <w:szCs w:val="24"/>
                </w:rPr>
                <m:t>1</m:t>
              </m:r>
            </m:sub>
          </m:sSub>
          <m:r>
            <m:rPr>
              <m:sty m:val="p"/>
            </m:rPr>
            <w:rPr>
              <w:rFonts w:ascii="Cambria Math" w:eastAsia="Times New Roman" w:hAnsi="Times New Roman" w:cs="Times New Roman"/>
              <w:color w:val="000000" w:themeColor="text1"/>
              <w:sz w:val="24"/>
              <w:szCs w:val="24"/>
            </w:rPr>
            <m:t>+</m:t>
          </m:r>
          <m:sSub>
            <m:sSubPr>
              <m:ctrlPr>
                <w:rPr>
                  <w:rFonts w:ascii="Cambria Math" w:eastAsia="Times New Roman" w:hAnsi="Times New Roman" w:cs="Times New Roman"/>
                  <w:color w:val="000000" w:themeColor="text1"/>
                  <w:sz w:val="24"/>
                  <w:szCs w:val="24"/>
                </w:rPr>
              </m:ctrlPr>
            </m:sSubPr>
            <m:e>
              <m:r>
                <m:rPr>
                  <m:sty m:val="p"/>
                </m:rPr>
                <w:rPr>
                  <w:rFonts w:ascii="Times New Roman" w:eastAsia="Times New Roman" w:hAnsi="Times New Roman" w:cs="Times New Roman"/>
                  <w:color w:val="000000" w:themeColor="text1"/>
                  <w:sz w:val="24"/>
                  <w:szCs w:val="24"/>
                </w:rPr>
                <m:t>ε</m:t>
              </m:r>
            </m:e>
            <m:sub>
              <m:r>
                <m:rPr>
                  <m:sty m:val="p"/>
                </m:rPr>
                <w:rPr>
                  <w:rFonts w:ascii="Cambria Math" w:eastAsia="Times New Roman" w:hAnsi="Times New Roman" w:cs="Times New Roman"/>
                  <w:color w:val="000000" w:themeColor="text1"/>
                  <w:sz w:val="24"/>
                  <w:szCs w:val="24"/>
                </w:rPr>
                <m:t>t</m:t>
              </m:r>
            </m:sub>
          </m:sSub>
          <m:r>
            <w:rPr>
              <w:rFonts w:ascii="Times New Roman" w:eastAsia="Times New Roman" w:hAnsi="Times New Roman" w:cs="Times New Roman"/>
              <w:color w:val="000000" w:themeColor="text1"/>
              <w:sz w:val="24"/>
              <w:szCs w:val="24"/>
            </w:rPr>
            <m:t>-------------</m:t>
          </m:r>
          <m:r>
            <w:rPr>
              <w:rFonts w:ascii="Cambria Math" w:eastAsia="Times New Roman" w:hAnsi="Times New Roman" w:cs="Times New Roman"/>
              <w:color w:val="000000" w:themeColor="text1"/>
              <w:sz w:val="24"/>
              <w:szCs w:val="24"/>
            </w:rPr>
            <m:t>(3)</m:t>
          </m:r>
        </m:oMath>
      </m:oMathPara>
    </w:p>
    <w:p w14:paraId="528F679F" w14:textId="77777777" w:rsidR="004217E3" w:rsidRPr="00BC05AD" w:rsidRDefault="004217E3" w:rsidP="0045397C">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Where: </w:t>
      </w:r>
      <w:r>
        <w:rPr>
          <w:rFonts w:ascii="Times New Roman" w:eastAsia="Times New Roman" w:hAnsi="Times New Roman" w:cs="Times New Roman"/>
          <w:bCs/>
          <w:color w:val="000000" w:themeColor="text1"/>
          <w:sz w:val="24"/>
          <w:szCs w:val="24"/>
        </w:rPr>
        <w:t>Δ</w:t>
      </w:r>
      <w:r>
        <w:rPr>
          <w:rFonts w:ascii="Times New Roman" w:eastAsia="Times New Roman" w:hAnsi="Times New Roman" w:cs="Times New Roman"/>
          <w:color w:val="000000" w:themeColor="text1"/>
          <w:sz w:val="24"/>
          <w:szCs w:val="24"/>
        </w:rPr>
        <w:t xml:space="preserve"> = First</w:t>
      </w:r>
      <w:r>
        <w:rPr>
          <w:rFonts w:ascii="Times New Roman" w:eastAsia="Times New Roman" w:hAnsi="Times New Roman" w:cs="Times New Roman"/>
          <w:color w:val="000000" w:themeColor="text1"/>
          <w:sz w:val="24"/>
          <w:szCs w:val="24"/>
          <w:highlight w:val="yellow"/>
        </w:rPr>
        <w:t>-</w:t>
      </w:r>
      <w:r>
        <w:rPr>
          <w:rFonts w:ascii="Times New Roman" w:eastAsia="Times New Roman" w:hAnsi="Times New Roman" w:cs="Times New Roman"/>
          <w:color w:val="000000" w:themeColor="text1"/>
          <w:sz w:val="24"/>
          <w:szCs w:val="24"/>
        </w:rPr>
        <w:t>difference operator</w:t>
      </w:r>
      <w:r>
        <w:rPr>
          <w:rFonts w:ascii="Times New Roman" w:eastAsia="Times New Roman" w:hAnsi="Times New Roman" w:cs="Times New Roman"/>
          <w:bCs/>
          <w:color w:val="000000" w:themeColor="text1"/>
          <w:sz w:val="24"/>
          <w:szCs w:val="24"/>
        </w:rPr>
        <w:t>; p</w:t>
      </w:r>
      <w:r>
        <w:rPr>
          <w:rFonts w:ascii="Times New Roman" w:eastAsia="Times New Roman" w:hAnsi="Times New Roman" w:cs="Times New Roman"/>
          <w:color w:val="000000" w:themeColor="text1"/>
          <w:sz w:val="24"/>
          <w:szCs w:val="24"/>
        </w:rPr>
        <w:t xml:space="preserve"> = Optimal lag length selected using the Akaike Information Criterion (AIC); </w:t>
      </w:r>
      <w:r>
        <w:rPr>
          <w:rFonts w:ascii="Times New Roman" w:eastAsia="Times New Roman" w:hAnsi="Times New Roman" w:cs="Times New Roman"/>
          <w:bCs/>
          <w:color w:val="000000" w:themeColor="text1"/>
          <w:sz w:val="24"/>
          <w:szCs w:val="24"/>
        </w:rPr>
        <w:t>β</w:t>
      </w:r>
      <w:r>
        <w:rPr>
          <w:rFonts w:ascii="Cambria Math" w:eastAsia="Times New Roman" w:hAnsi="Cambria Math" w:cs="Times New Roman"/>
          <w:bCs/>
          <w:color w:val="000000" w:themeColor="text1"/>
          <w:sz w:val="24"/>
          <w:szCs w:val="24"/>
        </w:rPr>
        <w:t>₀</w:t>
      </w:r>
      <w:r>
        <w:rPr>
          <w:rFonts w:ascii="Times New Roman" w:eastAsia="Times New Roman" w:hAnsi="Times New Roman" w:cs="Times New Roman"/>
          <w:color w:val="000000" w:themeColor="text1"/>
          <w:sz w:val="24"/>
          <w:szCs w:val="24"/>
        </w:rPr>
        <w:t xml:space="preserve"> = Intercept; </w:t>
      </w:r>
      <w:r>
        <w:rPr>
          <w:rFonts w:ascii="Times New Roman" w:eastAsia="Times New Roman" w:hAnsi="Times New Roman" w:cs="Times New Roman"/>
          <w:bCs/>
          <w:color w:val="000000" w:themeColor="text1"/>
          <w:sz w:val="24"/>
          <w:szCs w:val="24"/>
        </w:rPr>
        <w:t>β</w:t>
      </w:r>
      <w:r>
        <w:rPr>
          <w:rFonts w:ascii="Cambria Math" w:eastAsia="Times New Roman" w:hAnsi="Cambria Math" w:cs="Times New Roman"/>
          <w:bCs/>
          <w:color w:val="000000" w:themeColor="text1"/>
          <w:sz w:val="24"/>
          <w:szCs w:val="24"/>
        </w:rPr>
        <w:t>₁</w:t>
      </w:r>
      <w:r>
        <w:rPr>
          <w:rFonts w:ascii="Times New Roman" w:eastAsia="Times New Roman" w:hAnsi="Times New Roman" w:cs="Times New Roman"/>
          <w:bCs/>
          <w:color w:val="000000" w:themeColor="text1"/>
          <w:sz w:val="24"/>
          <w:szCs w:val="24"/>
        </w:rPr>
        <w:t>–β</w:t>
      </w:r>
      <w:r>
        <w:rPr>
          <w:rFonts w:ascii="Times New Roman" w:eastAsia="Times New Roman" w:hAnsi="Times New Roman" w:cs="Times New Roman"/>
          <w:bCs/>
          <w:color w:val="000000" w:themeColor="text1"/>
          <w:sz w:val="24"/>
          <w:szCs w:val="24"/>
          <w:vertAlign w:val="subscript"/>
        </w:rPr>
        <w:t>3</w:t>
      </w:r>
      <w:r>
        <w:rPr>
          <w:rFonts w:ascii="Times New Roman" w:eastAsia="Times New Roman" w:hAnsi="Times New Roman" w:cs="Times New Roman"/>
          <w:color w:val="000000" w:themeColor="text1"/>
          <w:sz w:val="24"/>
          <w:szCs w:val="24"/>
        </w:rPr>
        <w:t xml:space="preserve"> = Short-run dynamic coefficients; </w:t>
      </w:r>
      <w:r>
        <w:rPr>
          <w:rFonts w:ascii="Times New Roman" w:eastAsia="Times New Roman" w:hAnsi="Times New Roman" w:cs="Times New Roman"/>
          <w:bCs/>
          <w:color w:val="000000" w:themeColor="text1"/>
          <w:sz w:val="24"/>
          <w:szCs w:val="24"/>
        </w:rPr>
        <w:t>λ</w:t>
      </w:r>
      <w:r>
        <w:rPr>
          <w:rFonts w:ascii="Cambria Math" w:eastAsia="Times New Roman" w:hAnsi="Cambria Math" w:cs="Times New Roman"/>
          <w:bCs/>
          <w:color w:val="000000" w:themeColor="text1"/>
          <w:sz w:val="24"/>
          <w:szCs w:val="24"/>
        </w:rPr>
        <w:t>₁</w:t>
      </w:r>
      <w:r>
        <w:rPr>
          <w:rFonts w:ascii="Times New Roman" w:eastAsia="Times New Roman" w:hAnsi="Times New Roman" w:cs="Times New Roman"/>
          <w:bCs/>
          <w:color w:val="000000" w:themeColor="text1"/>
          <w:sz w:val="24"/>
          <w:szCs w:val="24"/>
        </w:rPr>
        <w:t>–λ</w:t>
      </w:r>
      <w:r>
        <w:rPr>
          <w:rFonts w:ascii="Cambria Math" w:eastAsia="Times New Roman" w:hAnsi="Cambria Math" w:cs="Times New Roman"/>
          <w:bCs/>
          <w:color w:val="000000" w:themeColor="text1"/>
          <w:sz w:val="24"/>
          <w:szCs w:val="24"/>
        </w:rPr>
        <w:t>₂</w:t>
      </w:r>
      <w:r>
        <w:rPr>
          <w:rFonts w:ascii="Times New Roman" w:eastAsia="Times New Roman" w:hAnsi="Times New Roman" w:cs="Times New Roman"/>
          <w:color w:val="000000" w:themeColor="text1"/>
          <w:sz w:val="24"/>
          <w:szCs w:val="24"/>
        </w:rPr>
        <w:t xml:space="preserve"> = Long-run coefficients; </w:t>
      </w:r>
      <w:proofErr w:type="gramStart"/>
      <w:r>
        <w:rPr>
          <w:rFonts w:ascii="Times New Roman" w:eastAsia="Times New Roman" w:hAnsi="Times New Roman" w:cs="Times New Roman"/>
          <w:color w:val="000000" w:themeColor="text1"/>
          <w:sz w:val="24"/>
          <w:szCs w:val="24"/>
        </w:rPr>
        <w:t>and  =</w:t>
      </w:r>
      <w:proofErr w:type="gramEnd"/>
      <w:r>
        <w:rPr>
          <w:rFonts w:ascii="Times New Roman" w:eastAsia="Times New Roman" w:hAnsi="Times New Roman" w:cs="Times New Roman"/>
          <w:color w:val="000000" w:themeColor="text1"/>
          <w:sz w:val="24"/>
          <w:szCs w:val="24"/>
        </w:rPr>
        <w:t xml:space="preserve"> White-noise error term.</w:t>
      </w:r>
    </w:p>
    <w:p w14:paraId="628731A0" w14:textId="77777777" w:rsidR="00027AC1" w:rsidRPr="00BC05AD" w:rsidRDefault="00836340" w:rsidP="0045397C">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stationar</w:t>
      </w:r>
      <w:r>
        <w:rPr>
          <w:rFonts w:ascii="Times New Roman" w:eastAsia="Times New Roman" w:hAnsi="Times New Roman" w:cs="Times New Roman"/>
          <w:color w:val="000000" w:themeColor="text1"/>
          <w:sz w:val="24"/>
          <w:szCs w:val="24"/>
          <w:highlight w:val="yellow"/>
        </w:rPr>
        <w:t>it</w:t>
      </w:r>
      <w:r>
        <w:rPr>
          <w:rFonts w:ascii="Times New Roman" w:eastAsia="Times New Roman" w:hAnsi="Times New Roman" w:cs="Times New Roman"/>
          <w:color w:val="000000" w:themeColor="text1"/>
          <w:sz w:val="24"/>
          <w:szCs w:val="24"/>
        </w:rPr>
        <w:t xml:space="preserve">y </w:t>
      </w:r>
      <w:r>
        <w:rPr>
          <w:rFonts w:ascii="Times New Roman" w:eastAsia="Times New Roman" w:hAnsi="Times New Roman" w:cs="Times New Roman"/>
          <w:color w:val="000000" w:themeColor="text1"/>
          <w:sz w:val="24"/>
          <w:szCs w:val="24"/>
          <w:highlight w:val="yellow"/>
        </w:rPr>
        <w:t>p</w:t>
      </w:r>
      <w:r>
        <w:rPr>
          <w:rFonts w:ascii="Times New Roman" w:eastAsia="Times New Roman" w:hAnsi="Times New Roman" w:cs="Times New Roman"/>
          <w:color w:val="000000" w:themeColor="text1"/>
          <w:sz w:val="24"/>
          <w:szCs w:val="24"/>
        </w:rPr>
        <w:t>r</w:t>
      </w:r>
      <w:r>
        <w:rPr>
          <w:rFonts w:ascii="Times New Roman" w:eastAsia="Times New Roman" w:hAnsi="Times New Roman" w:cs="Times New Roman"/>
          <w:color w:val="000000" w:themeColor="text1"/>
          <w:sz w:val="24"/>
          <w:szCs w:val="24"/>
          <w:highlight w:val="yellow"/>
        </w:rPr>
        <w:t>op</w:t>
      </w:r>
      <w:r>
        <w:rPr>
          <w:rFonts w:ascii="Times New Roman" w:eastAsia="Times New Roman" w:hAnsi="Times New Roman" w:cs="Times New Roman"/>
          <w:color w:val="000000" w:themeColor="text1"/>
          <w:sz w:val="24"/>
          <w:szCs w:val="24"/>
        </w:rPr>
        <w:t>erti</w:t>
      </w:r>
      <w:r>
        <w:rPr>
          <w:rFonts w:ascii="Times New Roman" w:eastAsia="Times New Roman" w:hAnsi="Times New Roman" w:cs="Times New Roman"/>
          <w:color w:val="000000" w:themeColor="text1"/>
          <w:sz w:val="24"/>
          <w:szCs w:val="24"/>
          <w:highlight w:val="yellow"/>
        </w:rPr>
        <w:t>e</w:t>
      </w:r>
      <w:r>
        <w:rPr>
          <w:rFonts w:ascii="Times New Roman" w:eastAsia="Times New Roman" w:hAnsi="Times New Roman" w:cs="Times New Roman"/>
          <w:color w:val="000000" w:themeColor="text1"/>
          <w:sz w:val="24"/>
          <w:szCs w:val="24"/>
        </w:rPr>
        <w:t xml:space="preserve">s of the variables were first checked to determine </w:t>
      </w:r>
      <w:r>
        <w:rPr>
          <w:rFonts w:ascii="Times New Roman" w:eastAsia="Times New Roman" w:hAnsi="Times New Roman" w:cs="Times New Roman"/>
          <w:color w:val="000000" w:themeColor="text1"/>
          <w:sz w:val="24"/>
          <w:szCs w:val="24"/>
          <w:highlight w:val="yellow"/>
        </w:rPr>
        <w:t>w</w:t>
      </w:r>
      <w:r>
        <w:rPr>
          <w:rFonts w:ascii="Times New Roman" w:eastAsia="Times New Roman" w:hAnsi="Times New Roman" w:cs="Times New Roman"/>
          <w:color w:val="000000" w:themeColor="text1"/>
          <w:sz w:val="24"/>
          <w:szCs w:val="24"/>
        </w:rPr>
        <w:t>h</w:t>
      </w:r>
      <w:r>
        <w:rPr>
          <w:rFonts w:ascii="Times New Roman" w:eastAsia="Times New Roman" w:hAnsi="Times New Roman" w:cs="Times New Roman"/>
          <w:color w:val="000000" w:themeColor="text1"/>
          <w:sz w:val="24"/>
          <w:szCs w:val="24"/>
          <w:highlight w:val="yellow"/>
        </w:rPr>
        <w:t>e</w:t>
      </w:r>
      <w:r>
        <w:rPr>
          <w:rFonts w:ascii="Times New Roman" w:eastAsia="Times New Roman" w:hAnsi="Times New Roman" w:cs="Times New Roman"/>
          <w:color w:val="000000" w:themeColor="text1"/>
          <w:sz w:val="24"/>
          <w:szCs w:val="24"/>
        </w:rPr>
        <w:t>the</w:t>
      </w:r>
      <w:r>
        <w:rPr>
          <w:rFonts w:ascii="Times New Roman" w:eastAsia="Times New Roman" w:hAnsi="Times New Roman" w:cs="Times New Roman"/>
          <w:color w:val="000000" w:themeColor="text1"/>
          <w:sz w:val="24"/>
          <w:szCs w:val="24"/>
          <w:highlight w:val="yellow"/>
        </w:rPr>
        <w:t>r any</w:t>
      </w:r>
      <w:r>
        <w:rPr>
          <w:rFonts w:ascii="Times New Roman" w:eastAsia="Times New Roman" w:hAnsi="Times New Roman" w:cs="Times New Roman"/>
          <w:color w:val="000000" w:themeColor="text1"/>
          <w:sz w:val="24"/>
          <w:szCs w:val="24"/>
        </w:rPr>
        <w:t xml:space="preserve"> variable w</w:t>
      </w:r>
      <w:r>
        <w:rPr>
          <w:rFonts w:ascii="Times New Roman" w:eastAsia="Times New Roman" w:hAnsi="Times New Roman" w:cs="Times New Roman"/>
          <w:color w:val="000000" w:themeColor="text1"/>
          <w:sz w:val="24"/>
          <w:szCs w:val="24"/>
          <w:highlight w:val="yellow"/>
        </w:rPr>
        <w:t>as</w:t>
      </w:r>
      <w:r>
        <w:rPr>
          <w:rFonts w:ascii="Times New Roman" w:eastAsia="Times New Roman" w:hAnsi="Times New Roman" w:cs="Times New Roman"/>
          <w:color w:val="000000" w:themeColor="text1"/>
          <w:sz w:val="24"/>
          <w:szCs w:val="24"/>
        </w:rPr>
        <w:t xml:space="preserve"> integrated </w:t>
      </w:r>
      <w:r>
        <w:rPr>
          <w:rFonts w:ascii="Times New Roman" w:eastAsia="Times New Roman" w:hAnsi="Times New Roman" w:cs="Times New Roman"/>
          <w:color w:val="000000" w:themeColor="text1"/>
          <w:sz w:val="24"/>
          <w:szCs w:val="24"/>
          <w:highlight w:val="yellow"/>
        </w:rPr>
        <w:t>bey</w:t>
      </w:r>
      <w:r>
        <w:rPr>
          <w:rFonts w:ascii="Times New Roman" w:eastAsia="Times New Roman" w:hAnsi="Times New Roman" w:cs="Times New Roman"/>
          <w:color w:val="000000" w:themeColor="text1"/>
          <w:sz w:val="24"/>
          <w:szCs w:val="24"/>
        </w:rPr>
        <w:t>on</w:t>
      </w:r>
      <w:r>
        <w:rPr>
          <w:rFonts w:ascii="Times New Roman" w:eastAsia="Times New Roman" w:hAnsi="Times New Roman" w:cs="Times New Roman"/>
          <w:color w:val="000000" w:themeColor="text1"/>
          <w:sz w:val="24"/>
          <w:szCs w:val="24"/>
          <w:highlight w:val="yellow"/>
        </w:rPr>
        <w:t>d</w:t>
      </w:r>
      <w:r>
        <w:rPr>
          <w:rFonts w:ascii="Times New Roman" w:eastAsia="Times New Roman" w:hAnsi="Times New Roman" w:cs="Times New Roman"/>
          <w:color w:val="000000" w:themeColor="text1"/>
          <w:sz w:val="24"/>
          <w:szCs w:val="24"/>
        </w:rPr>
        <w:t xml:space="preserve"> the first order before estimating the ARDL model, </w:t>
      </w:r>
      <w:r>
        <w:rPr>
          <w:rFonts w:ascii="Times New Roman" w:eastAsia="Times New Roman" w:hAnsi="Times New Roman" w:cs="Times New Roman"/>
          <w:color w:val="000000" w:themeColor="text1"/>
          <w:sz w:val="24"/>
          <w:szCs w:val="24"/>
          <w:highlight w:val="yellow"/>
        </w:rPr>
        <w:t>us</w:t>
      </w:r>
      <w:r>
        <w:rPr>
          <w:rFonts w:ascii="Times New Roman" w:eastAsia="Times New Roman" w:hAnsi="Times New Roman" w:cs="Times New Roman"/>
          <w:color w:val="000000" w:themeColor="text1"/>
          <w:sz w:val="24"/>
          <w:szCs w:val="24"/>
        </w:rPr>
        <w:t>i</w:t>
      </w:r>
      <w:r>
        <w:rPr>
          <w:rFonts w:ascii="Times New Roman" w:eastAsia="Times New Roman" w:hAnsi="Times New Roman" w:cs="Times New Roman"/>
          <w:color w:val="000000" w:themeColor="text1"/>
          <w:sz w:val="24"/>
          <w:szCs w:val="24"/>
          <w:highlight w:val="yellow"/>
        </w:rPr>
        <w:t>ng</w:t>
      </w:r>
      <w:r>
        <w:rPr>
          <w:rFonts w:ascii="Times New Roman" w:eastAsia="Times New Roman" w:hAnsi="Times New Roman" w:cs="Times New Roman"/>
          <w:color w:val="000000" w:themeColor="text1"/>
          <w:sz w:val="24"/>
          <w:szCs w:val="24"/>
        </w:rPr>
        <w:t xml:space="preserve"> the Augmented </w:t>
      </w:r>
      <w:r>
        <w:rPr>
          <w:rFonts w:ascii="Times New Roman" w:eastAsia="Times New Roman" w:hAnsi="Times New Roman" w:cs="Times New Roman"/>
          <w:color w:val="000000" w:themeColor="text1"/>
          <w:sz w:val="24"/>
          <w:szCs w:val="24"/>
        </w:rPr>
        <w:lastRenderedPageBreak/>
        <w:t xml:space="preserve">Dickey–Fuller (ADF) unit root test. Then, the ARDL bounds cointegration test was performed to </w:t>
      </w:r>
      <w:r>
        <w:rPr>
          <w:rFonts w:ascii="Times New Roman" w:eastAsia="Times New Roman" w:hAnsi="Times New Roman" w:cs="Times New Roman"/>
          <w:color w:val="000000" w:themeColor="text1"/>
          <w:sz w:val="24"/>
          <w:szCs w:val="24"/>
          <w:highlight w:val="yellow"/>
        </w:rPr>
        <w:t>t</w:t>
      </w:r>
      <w:r>
        <w:rPr>
          <w:rFonts w:ascii="Times New Roman" w:eastAsia="Times New Roman" w:hAnsi="Times New Roman" w:cs="Times New Roman"/>
          <w:color w:val="000000" w:themeColor="text1"/>
          <w:sz w:val="24"/>
          <w:szCs w:val="24"/>
        </w:rPr>
        <w:t>e</w:t>
      </w:r>
      <w:r>
        <w:rPr>
          <w:rFonts w:ascii="Times New Roman" w:eastAsia="Times New Roman" w:hAnsi="Times New Roman" w:cs="Times New Roman"/>
          <w:color w:val="000000" w:themeColor="text1"/>
          <w:sz w:val="24"/>
          <w:szCs w:val="24"/>
          <w:highlight w:val="yellow"/>
        </w:rPr>
        <w:t>st for</w:t>
      </w:r>
      <w:r>
        <w:rPr>
          <w:rFonts w:ascii="Times New Roman" w:eastAsia="Times New Roman" w:hAnsi="Times New Roman" w:cs="Times New Roman"/>
          <w:color w:val="000000" w:themeColor="text1"/>
          <w:sz w:val="24"/>
          <w:szCs w:val="24"/>
        </w:rPr>
        <w:t xml:space="preserve"> the existence of long-run cointegration between gross capital formation and economic growth. After confirming the cointegration, the long-run coefficients and the Error Correction Model (ECM) were estimated to </w:t>
      </w:r>
      <w:r>
        <w:rPr>
          <w:rFonts w:ascii="Times New Roman" w:eastAsia="Times New Roman" w:hAnsi="Times New Roman" w:cs="Times New Roman"/>
          <w:color w:val="000000" w:themeColor="text1"/>
          <w:sz w:val="24"/>
          <w:szCs w:val="24"/>
          <w:highlight w:val="yellow"/>
        </w:rPr>
        <w:t>ass</w:t>
      </w:r>
      <w:r>
        <w:rPr>
          <w:rFonts w:ascii="Times New Roman" w:eastAsia="Times New Roman" w:hAnsi="Times New Roman" w:cs="Times New Roman"/>
          <w:color w:val="000000" w:themeColor="text1"/>
          <w:sz w:val="24"/>
          <w:szCs w:val="24"/>
        </w:rPr>
        <w:t>es</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the long-run effect of gross capital formation and the speed of adjustment from short-run disturbances to equilibrium. To ensure robustness and reliability of the estimated model, post-estimation diagnostic tests such as the Breusch–Godfrey Serial Correlation LM Test, Breusch–Pagan–Godfrey Heteroskedasticity Test, Jarque–Bera Normality Test and Ramsey RESET Specification Test were c</w:t>
      </w:r>
      <w:r>
        <w:rPr>
          <w:rFonts w:ascii="Times New Roman" w:eastAsia="Times New Roman" w:hAnsi="Times New Roman" w:cs="Times New Roman"/>
          <w:color w:val="000000" w:themeColor="text1"/>
          <w:sz w:val="24"/>
          <w:szCs w:val="24"/>
          <w:highlight w:val="yellow"/>
        </w:rPr>
        <w:t>onduct</w:t>
      </w:r>
      <w:r>
        <w:rPr>
          <w:rFonts w:ascii="Times New Roman" w:eastAsia="Times New Roman" w:hAnsi="Times New Roman" w:cs="Times New Roman"/>
          <w:color w:val="000000" w:themeColor="text1"/>
          <w:sz w:val="24"/>
          <w:szCs w:val="24"/>
        </w:rPr>
        <w:t>ed.</w:t>
      </w:r>
    </w:p>
    <w:p w14:paraId="7787B26B" w14:textId="77777777" w:rsidR="00410FB6" w:rsidRPr="00BC05AD" w:rsidRDefault="00410FB6" w:rsidP="00410FB6">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BC05AD">
        <w:rPr>
          <w:rFonts w:ascii="Times New Roman" w:eastAsia="Times New Roman" w:hAnsi="Times New Roman" w:cs="Times New Roman"/>
          <w:b/>
          <w:color w:val="000000" w:themeColor="text1"/>
          <w:sz w:val="24"/>
          <w:szCs w:val="24"/>
        </w:rPr>
        <w:t>4.0 Results and Discussion</w:t>
      </w:r>
    </w:p>
    <w:p w14:paraId="2BD4B745" w14:textId="77777777" w:rsidR="00410FB6" w:rsidRPr="00BC05AD" w:rsidRDefault="00410FB6" w:rsidP="00410FB6">
      <w:pPr>
        <w:pStyle w:val="Normal1"/>
        <w:spacing w:after="0" w:line="240" w:lineRule="auto"/>
        <w:ind w:left="0" w:right="982" w:firstLine="5"/>
        <w:jc w:val="left"/>
        <w:rPr>
          <w:color w:val="000000" w:themeColor="text1"/>
        </w:rPr>
      </w:pPr>
      <w:r w:rsidRPr="00BC05AD">
        <w:rPr>
          <w:color w:val="000000" w:themeColor="text1"/>
        </w:rPr>
        <w:t xml:space="preserve">Table 1: Descriptive Statistics of the Variables </w:t>
      </w:r>
    </w:p>
    <w:tbl>
      <w:tblPr>
        <w:tblStyle w:val="LightShading1"/>
        <w:tblW w:w="5000" w:type="pct"/>
        <w:tblLook w:val="06A0" w:firstRow="1" w:lastRow="0" w:firstColumn="1" w:lastColumn="0" w:noHBand="1" w:noVBand="1"/>
      </w:tblPr>
      <w:tblGrid>
        <w:gridCol w:w="3070"/>
        <w:gridCol w:w="2315"/>
        <w:gridCol w:w="2314"/>
        <w:gridCol w:w="1877"/>
      </w:tblGrid>
      <w:tr w:rsidR="000950D8" w:rsidRPr="00BC05AD" w14:paraId="0BB12BBB" w14:textId="77777777" w:rsidTr="000950D8">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603" w:type="pct"/>
          </w:tcPr>
          <w:p w14:paraId="1A87AA69" w14:textId="77777777" w:rsidR="000950D8" w:rsidRPr="00BC05AD" w:rsidRDefault="000950D8" w:rsidP="00410FB6">
            <w:pPr>
              <w:pStyle w:val="Normal1"/>
              <w:spacing w:after="0" w:line="240" w:lineRule="auto"/>
              <w:ind w:left="0" w:right="103" w:firstLine="0"/>
              <w:jc w:val="center"/>
              <w:rPr>
                <w:b w:val="0"/>
                <w:color w:val="000000" w:themeColor="text1"/>
              </w:rPr>
            </w:pPr>
          </w:p>
        </w:tc>
        <w:tc>
          <w:tcPr>
            <w:tcW w:w="1209" w:type="pct"/>
          </w:tcPr>
          <w:p w14:paraId="61A1378A" w14:textId="77777777" w:rsidR="000950D8" w:rsidRPr="00BC05AD" w:rsidRDefault="000950D8" w:rsidP="00410FB6">
            <w:pPr>
              <w:pStyle w:val="Normal1"/>
              <w:spacing w:after="0" w:line="240" w:lineRule="auto"/>
              <w:ind w:left="324"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 xml:space="preserve">GR </w:t>
            </w:r>
          </w:p>
        </w:tc>
        <w:tc>
          <w:tcPr>
            <w:tcW w:w="1208" w:type="pct"/>
          </w:tcPr>
          <w:p w14:paraId="00DC8839" w14:textId="77777777" w:rsidR="000950D8" w:rsidRPr="00BC05AD" w:rsidRDefault="000950D8" w:rsidP="00410FB6">
            <w:pPr>
              <w:pStyle w:val="Normal1"/>
              <w:spacing w:after="0" w:line="240" w:lineRule="auto"/>
              <w:ind w:left="259"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 xml:space="preserve">GCF </w:t>
            </w:r>
          </w:p>
        </w:tc>
        <w:tc>
          <w:tcPr>
            <w:tcW w:w="980" w:type="pct"/>
          </w:tcPr>
          <w:p w14:paraId="27629314" w14:textId="77777777" w:rsidR="000950D8" w:rsidRPr="00BC05AD" w:rsidRDefault="000950D8" w:rsidP="00410FB6">
            <w:pPr>
              <w:pStyle w:val="Normal1"/>
              <w:spacing w:after="0" w:line="240" w:lineRule="auto"/>
              <w:ind w:left="248"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 xml:space="preserve">LTR </w:t>
            </w:r>
          </w:p>
        </w:tc>
      </w:tr>
      <w:tr w:rsidR="000950D8" w:rsidRPr="00BC05AD" w14:paraId="55AC2EA0" w14:textId="77777777" w:rsidTr="000950D8">
        <w:trPr>
          <w:trHeight w:val="329"/>
        </w:trPr>
        <w:tc>
          <w:tcPr>
            <w:cnfStyle w:val="001000000000" w:firstRow="0" w:lastRow="0" w:firstColumn="1" w:lastColumn="0" w:oddVBand="0" w:evenVBand="0" w:oddHBand="0" w:evenHBand="0" w:firstRowFirstColumn="0" w:firstRowLastColumn="0" w:lastRowFirstColumn="0" w:lastRowLastColumn="0"/>
            <w:tcW w:w="1603" w:type="pct"/>
          </w:tcPr>
          <w:p w14:paraId="26E74C29" w14:textId="77777777" w:rsidR="000950D8" w:rsidRPr="00BC05AD" w:rsidRDefault="000950D8" w:rsidP="00410FB6">
            <w:pPr>
              <w:pStyle w:val="Normal1"/>
              <w:spacing w:after="0" w:line="240" w:lineRule="auto"/>
              <w:ind w:left="122" w:right="0" w:firstLine="0"/>
              <w:jc w:val="left"/>
              <w:rPr>
                <w:b w:val="0"/>
                <w:color w:val="000000" w:themeColor="text1"/>
              </w:rPr>
            </w:pPr>
            <w:r w:rsidRPr="00BC05AD">
              <w:rPr>
                <w:b w:val="0"/>
                <w:color w:val="000000" w:themeColor="text1"/>
              </w:rPr>
              <w:t xml:space="preserve"> Mean </w:t>
            </w:r>
          </w:p>
        </w:tc>
        <w:tc>
          <w:tcPr>
            <w:tcW w:w="1209" w:type="pct"/>
          </w:tcPr>
          <w:p w14:paraId="12618AF7" w14:textId="77777777" w:rsidR="000950D8" w:rsidRPr="00BC05AD" w:rsidRDefault="000950D8" w:rsidP="00410FB6">
            <w:pPr>
              <w:pStyle w:val="Normal1"/>
              <w:spacing w:after="0" w:line="240" w:lineRule="auto"/>
              <w:ind w:left="8"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5.304762 </w:t>
            </w:r>
          </w:p>
        </w:tc>
        <w:tc>
          <w:tcPr>
            <w:tcW w:w="1208" w:type="pct"/>
          </w:tcPr>
          <w:p w14:paraId="431CDB31" w14:textId="77777777" w:rsidR="000950D8" w:rsidRPr="00BC05AD" w:rsidRDefault="000950D8" w:rsidP="00410FB6">
            <w:pPr>
              <w:pStyle w:val="Normal1"/>
              <w:spacing w:after="0" w:line="240" w:lineRule="auto"/>
              <w:ind w:left="9"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1.954249 </w:t>
            </w:r>
          </w:p>
        </w:tc>
        <w:tc>
          <w:tcPr>
            <w:tcW w:w="980" w:type="pct"/>
          </w:tcPr>
          <w:p w14:paraId="4511C480" w14:textId="77777777" w:rsidR="000950D8" w:rsidRPr="00BC05AD"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91.36721 </w:t>
            </w:r>
          </w:p>
        </w:tc>
      </w:tr>
      <w:tr w:rsidR="000950D8" w:rsidRPr="00BC05AD" w14:paraId="0327E1AC" w14:textId="77777777" w:rsidTr="000950D8">
        <w:trPr>
          <w:trHeight w:val="317"/>
        </w:trPr>
        <w:tc>
          <w:tcPr>
            <w:cnfStyle w:val="001000000000" w:firstRow="0" w:lastRow="0" w:firstColumn="1" w:lastColumn="0" w:oddVBand="0" w:evenVBand="0" w:oddHBand="0" w:evenHBand="0" w:firstRowFirstColumn="0" w:firstRowLastColumn="0" w:lastRowFirstColumn="0" w:lastRowLastColumn="0"/>
            <w:tcW w:w="1603" w:type="pct"/>
          </w:tcPr>
          <w:p w14:paraId="49859EF2" w14:textId="77777777" w:rsidR="000950D8" w:rsidRPr="00BC05AD" w:rsidRDefault="000950D8" w:rsidP="00410FB6">
            <w:pPr>
              <w:pStyle w:val="Normal1"/>
              <w:spacing w:after="0" w:line="240" w:lineRule="auto"/>
              <w:ind w:left="122" w:right="0" w:firstLine="0"/>
              <w:jc w:val="left"/>
              <w:rPr>
                <w:b w:val="0"/>
                <w:color w:val="000000" w:themeColor="text1"/>
              </w:rPr>
            </w:pPr>
            <w:r w:rsidRPr="00BC05AD">
              <w:rPr>
                <w:b w:val="0"/>
                <w:color w:val="000000" w:themeColor="text1"/>
              </w:rPr>
              <w:t xml:space="preserve"> Median </w:t>
            </w:r>
          </w:p>
        </w:tc>
        <w:tc>
          <w:tcPr>
            <w:tcW w:w="1209" w:type="pct"/>
          </w:tcPr>
          <w:p w14:paraId="262F7631" w14:textId="77777777" w:rsidR="000950D8" w:rsidRPr="00BC05AD" w:rsidRDefault="000950D8" w:rsidP="00410FB6">
            <w:pPr>
              <w:pStyle w:val="Normal1"/>
              <w:spacing w:after="0" w:line="240" w:lineRule="auto"/>
              <w:ind w:left="7"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6.100000 </w:t>
            </w:r>
          </w:p>
        </w:tc>
        <w:tc>
          <w:tcPr>
            <w:tcW w:w="1208" w:type="pct"/>
          </w:tcPr>
          <w:p w14:paraId="05D60C32" w14:textId="77777777" w:rsidR="000950D8" w:rsidRPr="00BC05AD" w:rsidRDefault="000950D8" w:rsidP="00410FB6">
            <w:pPr>
              <w:pStyle w:val="Normal1"/>
              <w:spacing w:after="0" w:line="240" w:lineRule="auto"/>
              <w:ind w:left="9"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3.359867 </w:t>
            </w:r>
          </w:p>
        </w:tc>
        <w:tc>
          <w:tcPr>
            <w:tcW w:w="980" w:type="pct"/>
          </w:tcPr>
          <w:p w14:paraId="7F9E9E32" w14:textId="77777777" w:rsidR="000950D8" w:rsidRPr="00BC05AD" w:rsidRDefault="000950D8" w:rsidP="00410FB6">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92.92560 </w:t>
            </w:r>
          </w:p>
        </w:tc>
      </w:tr>
      <w:tr w:rsidR="000950D8" w:rsidRPr="00BC05AD" w14:paraId="4193D333" w14:textId="77777777" w:rsidTr="000950D8">
        <w:trPr>
          <w:trHeight w:val="318"/>
        </w:trPr>
        <w:tc>
          <w:tcPr>
            <w:cnfStyle w:val="001000000000" w:firstRow="0" w:lastRow="0" w:firstColumn="1" w:lastColumn="0" w:oddVBand="0" w:evenVBand="0" w:oddHBand="0" w:evenHBand="0" w:firstRowFirstColumn="0" w:firstRowLastColumn="0" w:lastRowFirstColumn="0" w:lastRowLastColumn="0"/>
            <w:tcW w:w="1603" w:type="pct"/>
          </w:tcPr>
          <w:p w14:paraId="2C09408D" w14:textId="77777777" w:rsidR="000950D8" w:rsidRPr="00BC05AD" w:rsidRDefault="000950D8" w:rsidP="00410FB6">
            <w:pPr>
              <w:pStyle w:val="Normal1"/>
              <w:spacing w:after="0" w:line="240" w:lineRule="auto"/>
              <w:ind w:left="122" w:right="0" w:firstLine="0"/>
              <w:jc w:val="left"/>
              <w:rPr>
                <w:b w:val="0"/>
                <w:color w:val="000000" w:themeColor="text1"/>
              </w:rPr>
            </w:pPr>
            <w:r w:rsidRPr="00BC05AD">
              <w:rPr>
                <w:b w:val="0"/>
                <w:color w:val="000000" w:themeColor="text1"/>
              </w:rPr>
              <w:t xml:space="preserve"> Maximum </w:t>
            </w:r>
          </w:p>
        </w:tc>
        <w:tc>
          <w:tcPr>
            <w:tcW w:w="1209" w:type="pct"/>
          </w:tcPr>
          <w:p w14:paraId="79FE3C7C" w14:textId="77777777" w:rsidR="000950D8" w:rsidRPr="00BC05AD" w:rsidRDefault="000950D8" w:rsidP="00410FB6">
            <w:pPr>
              <w:pStyle w:val="Normal1"/>
              <w:spacing w:after="0" w:line="240" w:lineRule="auto"/>
              <w:ind w:left="8"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15.30000 </w:t>
            </w:r>
          </w:p>
        </w:tc>
        <w:tc>
          <w:tcPr>
            <w:tcW w:w="1208" w:type="pct"/>
          </w:tcPr>
          <w:p w14:paraId="29635B08" w14:textId="77777777" w:rsidR="000950D8" w:rsidRPr="00BC05AD" w:rsidRDefault="000950D8" w:rsidP="00410FB6">
            <w:pPr>
              <w:pStyle w:val="Normal1"/>
              <w:spacing w:after="0" w:line="240" w:lineRule="auto"/>
              <w:ind w:left="1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40.74386 </w:t>
            </w:r>
          </w:p>
        </w:tc>
        <w:tc>
          <w:tcPr>
            <w:tcW w:w="980" w:type="pct"/>
          </w:tcPr>
          <w:p w14:paraId="63A810A7" w14:textId="77777777" w:rsidR="000950D8" w:rsidRPr="00BC05AD"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95.37991 </w:t>
            </w:r>
          </w:p>
        </w:tc>
      </w:tr>
      <w:tr w:rsidR="000950D8" w:rsidRPr="00BC05AD" w14:paraId="7404D709" w14:textId="77777777" w:rsidTr="000950D8">
        <w:trPr>
          <w:trHeight w:val="318"/>
        </w:trPr>
        <w:tc>
          <w:tcPr>
            <w:cnfStyle w:val="001000000000" w:firstRow="0" w:lastRow="0" w:firstColumn="1" w:lastColumn="0" w:oddVBand="0" w:evenVBand="0" w:oddHBand="0" w:evenHBand="0" w:firstRowFirstColumn="0" w:firstRowLastColumn="0" w:lastRowFirstColumn="0" w:lastRowLastColumn="0"/>
            <w:tcW w:w="1603" w:type="pct"/>
          </w:tcPr>
          <w:p w14:paraId="5F1A2105" w14:textId="77777777" w:rsidR="000950D8" w:rsidRPr="00BC05AD" w:rsidRDefault="000950D8" w:rsidP="00410FB6">
            <w:pPr>
              <w:pStyle w:val="Normal1"/>
              <w:spacing w:after="0" w:line="240" w:lineRule="auto"/>
              <w:ind w:left="122" w:right="0" w:firstLine="0"/>
              <w:jc w:val="left"/>
              <w:rPr>
                <w:b w:val="0"/>
                <w:color w:val="000000" w:themeColor="text1"/>
              </w:rPr>
            </w:pPr>
            <w:r w:rsidRPr="00BC05AD">
              <w:rPr>
                <w:b w:val="0"/>
                <w:color w:val="000000" w:themeColor="text1"/>
              </w:rPr>
              <w:t xml:space="preserve"> Minimum </w:t>
            </w:r>
          </w:p>
        </w:tc>
        <w:tc>
          <w:tcPr>
            <w:tcW w:w="1209" w:type="pct"/>
          </w:tcPr>
          <w:p w14:paraId="0871A053" w14:textId="77777777" w:rsidR="000950D8" w:rsidRPr="00BC05AD" w:rsidRDefault="000950D8" w:rsidP="00410FB6">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-1.800000 </w:t>
            </w:r>
          </w:p>
        </w:tc>
        <w:tc>
          <w:tcPr>
            <w:tcW w:w="1208" w:type="pct"/>
          </w:tcPr>
          <w:p w14:paraId="0A204C06" w14:textId="77777777" w:rsidR="000950D8" w:rsidRPr="00BC05AD" w:rsidRDefault="000950D8" w:rsidP="00410FB6">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-22.79282 </w:t>
            </w:r>
          </w:p>
        </w:tc>
        <w:tc>
          <w:tcPr>
            <w:tcW w:w="980" w:type="pct"/>
          </w:tcPr>
          <w:p w14:paraId="14113AAE" w14:textId="77777777" w:rsidR="000950D8" w:rsidRPr="00BC05AD"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76.76000 </w:t>
            </w:r>
          </w:p>
        </w:tc>
      </w:tr>
      <w:tr w:rsidR="000950D8" w:rsidRPr="00BC05AD" w14:paraId="02167A0C" w14:textId="77777777" w:rsidTr="000950D8">
        <w:trPr>
          <w:trHeight w:val="317"/>
        </w:trPr>
        <w:tc>
          <w:tcPr>
            <w:cnfStyle w:val="001000000000" w:firstRow="0" w:lastRow="0" w:firstColumn="1" w:lastColumn="0" w:oddVBand="0" w:evenVBand="0" w:oddHBand="0" w:evenHBand="0" w:firstRowFirstColumn="0" w:firstRowLastColumn="0" w:lastRowFirstColumn="0" w:lastRowLastColumn="0"/>
            <w:tcW w:w="1603" w:type="pct"/>
          </w:tcPr>
          <w:p w14:paraId="78BA6C74" w14:textId="77777777" w:rsidR="000950D8" w:rsidRPr="00BC05AD" w:rsidRDefault="000950D8" w:rsidP="00410FB6">
            <w:pPr>
              <w:pStyle w:val="Normal1"/>
              <w:spacing w:after="0" w:line="240" w:lineRule="auto"/>
              <w:ind w:left="122" w:right="0" w:firstLine="0"/>
              <w:jc w:val="left"/>
              <w:rPr>
                <w:b w:val="0"/>
                <w:color w:val="000000" w:themeColor="text1"/>
              </w:rPr>
            </w:pPr>
            <w:r w:rsidRPr="00BC05AD">
              <w:rPr>
                <w:b w:val="0"/>
                <w:color w:val="000000" w:themeColor="text1"/>
              </w:rPr>
              <w:t xml:space="preserve"> Std. Dev. </w:t>
            </w:r>
          </w:p>
        </w:tc>
        <w:tc>
          <w:tcPr>
            <w:tcW w:w="1209" w:type="pct"/>
          </w:tcPr>
          <w:p w14:paraId="22DF8578" w14:textId="77777777" w:rsidR="000950D8" w:rsidRPr="00BC05AD" w:rsidRDefault="000950D8" w:rsidP="00410FB6">
            <w:pPr>
              <w:pStyle w:val="Normal1"/>
              <w:spacing w:after="0" w:line="240" w:lineRule="auto"/>
              <w:ind w:left="8"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3.815688 </w:t>
            </w:r>
          </w:p>
        </w:tc>
        <w:tc>
          <w:tcPr>
            <w:tcW w:w="1208" w:type="pct"/>
          </w:tcPr>
          <w:p w14:paraId="741012A6" w14:textId="77777777" w:rsidR="000950D8" w:rsidRPr="00BC05AD" w:rsidRDefault="000950D8" w:rsidP="00410FB6">
            <w:pPr>
              <w:pStyle w:val="Normal1"/>
              <w:spacing w:after="0" w:line="240" w:lineRule="auto"/>
              <w:ind w:left="1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14.71224 </w:t>
            </w:r>
          </w:p>
        </w:tc>
        <w:tc>
          <w:tcPr>
            <w:tcW w:w="980" w:type="pct"/>
          </w:tcPr>
          <w:p w14:paraId="27A86424" w14:textId="77777777" w:rsidR="000950D8" w:rsidRPr="00BC05AD" w:rsidRDefault="000950D8" w:rsidP="00410FB6">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 4.992210 </w:t>
            </w:r>
          </w:p>
        </w:tc>
      </w:tr>
    </w:tbl>
    <w:p w14:paraId="3354BDFB" w14:textId="77777777" w:rsidR="00410FB6" w:rsidRPr="00BC05AD" w:rsidRDefault="00410FB6" w:rsidP="00410FB6">
      <w:pPr>
        <w:spacing w:after="0" w:line="480" w:lineRule="auto"/>
        <w:rPr>
          <w:rFonts w:ascii="Times New Roman" w:eastAsia="Times New Roman" w:hAnsi="Times New Roman" w:cs="Times New Roman"/>
          <w:i/>
          <w:color w:val="000000" w:themeColor="text1"/>
          <w:sz w:val="24"/>
          <w:szCs w:val="24"/>
        </w:rPr>
      </w:pPr>
      <w:r w:rsidRPr="00BC05AD">
        <w:rPr>
          <w:rFonts w:ascii="Times New Roman" w:hAnsi="Times New Roman" w:cs="Times New Roman"/>
          <w:i/>
          <w:color w:val="000000" w:themeColor="text1"/>
          <w:sz w:val="24"/>
          <w:szCs w:val="24"/>
        </w:rPr>
        <w:t>Source: Author’s computation from EViews 10 (2026)</w:t>
      </w:r>
    </w:p>
    <w:p w14:paraId="550912B0" w14:textId="77777777" w:rsidR="00410FB6" w:rsidRPr="00BC05AD" w:rsidRDefault="00B40184" w:rsidP="0045397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results presented in Table 1 showed that Nigeria's economic growth rate (GR) was the highest at 15.30% in 2006 and the lowest at −1.80% in 2009, with an average of 5.30% during the study period, which showed that Nigeria's economy experienced a high level of macroeconomic shocks both in its domestic economy and from the external sector. </w:t>
      </w:r>
      <w:r>
        <w:rPr>
          <w:rFonts w:ascii="Times New Roman" w:hAnsi="Times New Roman" w:cs="Times New Roman"/>
          <w:color w:val="000000" w:themeColor="text1"/>
          <w:sz w:val="24"/>
          <w:szCs w:val="24"/>
          <w:highlight w:val="yellow"/>
        </w:rPr>
        <w:t>E</w:t>
      </w:r>
      <w:r>
        <w:rPr>
          <w:rFonts w:ascii="Times New Roman" w:hAnsi="Times New Roman" w:cs="Times New Roman"/>
          <w:color w:val="000000" w:themeColor="text1"/>
          <w:sz w:val="24"/>
          <w:szCs w:val="24"/>
        </w:rPr>
        <w:t>conomic growth was also relatively unstable, with a high standard deviation of 3.82. GCF exhibited a relatively high standard deviation of 14.71, indicating that investment</w:t>
      </w:r>
      <w:r>
        <w:rPr>
          <w:rFonts w:ascii="Times New Roman" w:hAnsi="Times New Roman" w:cs="Times New Roman"/>
          <w:color w:val="000000" w:themeColor="text1"/>
          <w:sz w:val="24"/>
          <w:szCs w:val="24"/>
          <w:highlight w:val="yellow"/>
        </w:rPr>
        <w:t xml:space="preserve"> activity</w:t>
      </w:r>
      <w:r>
        <w:rPr>
          <w:rFonts w:ascii="Times New Roman" w:hAnsi="Times New Roman" w:cs="Times New Roman"/>
          <w:color w:val="000000" w:themeColor="text1"/>
          <w:sz w:val="24"/>
          <w:szCs w:val="24"/>
        </w:rPr>
        <w:t xml:space="preserve"> was volatile, with a mean value of 1.95% ranging from −22.79% to 40.74%. </w:t>
      </w:r>
      <w:r>
        <w:rPr>
          <w:rFonts w:ascii="Times New Roman" w:hAnsi="Times New Roman" w:cs="Times New Roman"/>
          <w:color w:val="000000" w:themeColor="text1"/>
          <w:sz w:val="24"/>
          <w:szCs w:val="24"/>
          <w:highlight w:val="yellow"/>
        </w:rPr>
        <w:t>H</w:t>
      </w:r>
      <w:r>
        <w:rPr>
          <w:rFonts w:ascii="Times New Roman" w:hAnsi="Times New Roman" w:cs="Times New Roman"/>
          <w:color w:val="000000" w:themeColor="text1"/>
          <w:sz w:val="24"/>
          <w:szCs w:val="24"/>
        </w:rPr>
        <w:t xml:space="preserve">uman capital development improved gradually, with </w:t>
      </w:r>
      <w:r>
        <w:rPr>
          <w:rFonts w:ascii="Times New Roman" w:hAnsi="Times New Roman" w:cs="Times New Roman"/>
          <w:color w:val="000000" w:themeColor="text1"/>
          <w:sz w:val="24"/>
          <w:szCs w:val="24"/>
          <w:highlight w:val="yellow"/>
        </w:rPr>
        <w:t>a</w:t>
      </w:r>
      <w:r>
        <w:rPr>
          <w:rFonts w:ascii="Times New Roman" w:hAnsi="Times New Roman" w:cs="Times New Roman"/>
          <w:color w:val="000000" w:themeColor="text1"/>
          <w:sz w:val="24"/>
          <w:szCs w:val="24"/>
        </w:rPr>
        <w:t xml:space="preserve"> mean literacy rate (LTR) of 91.37%</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ranging from 76.76% to 95.38% and a standard deviation of 4.99. Overall, the descriptive statistics show</w:t>
      </w:r>
      <w:r>
        <w:rPr>
          <w:rFonts w:ascii="Times New Roman" w:hAnsi="Times New Roman" w:cs="Times New Roman"/>
          <w:color w:val="000000" w:themeColor="text1"/>
          <w:sz w:val="24"/>
          <w:szCs w:val="24"/>
          <w:highlight w:val="yellow"/>
        </w:rPr>
        <w:t>ed</w:t>
      </w:r>
      <w:r>
        <w:rPr>
          <w:rFonts w:ascii="Times New Roman" w:hAnsi="Times New Roman" w:cs="Times New Roman"/>
          <w:color w:val="000000" w:themeColor="text1"/>
          <w:sz w:val="24"/>
          <w:szCs w:val="24"/>
        </w:rPr>
        <w:t xml:space="preserve"> that the gross capital formation and economic growth were more variable than </w:t>
      </w:r>
      <w:proofErr w:type="spellStart"/>
      <w:r>
        <w:rPr>
          <w:rFonts w:ascii="Times New Roman" w:hAnsi="Times New Roman" w:cs="Times New Roman"/>
          <w:color w:val="000000" w:themeColor="text1"/>
          <w:sz w:val="24"/>
          <w:szCs w:val="24"/>
        </w:rPr>
        <w:t>labour</w:t>
      </w:r>
      <w:proofErr w:type="spellEnd"/>
      <w:r>
        <w:rPr>
          <w:rFonts w:ascii="Times New Roman" w:hAnsi="Times New Roman" w:cs="Times New Roman"/>
          <w:color w:val="000000" w:themeColor="text1"/>
          <w:sz w:val="24"/>
          <w:szCs w:val="24"/>
        </w:rPr>
        <w:t xml:space="preserve"> force participation and literacy rate, suggesting that there was variation sufficient for econometric estimation. The stationarity properties of the variables were then </w:t>
      </w:r>
      <w:proofErr w:type="spellStart"/>
      <w:r>
        <w:rPr>
          <w:rFonts w:ascii="Times New Roman" w:hAnsi="Times New Roman" w:cs="Times New Roman"/>
          <w:color w:val="000000" w:themeColor="text1"/>
          <w:sz w:val="24"/>
          <w:szCs w:val="24"/>
        </w:rPr>
        <w:t>analy</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ed</w:t>
      </w:r>
      <w:proofErr w:type="spellEnd"/>
      <w:r>
        <w:rPr>
          <w:rFonts w:ascii="Times New Roman" w:hAnsi="Times New Roman" w:cs="Times New Roman"/>
          <w:color w:val="000000" w:themeColor="text1"/>
          <w:sz w:val="24"/>
          <w:szCs w:val="24"/>
        </w:rPr>
        <w:t xml:space="preserve"> using the Augmented Dickey–Fuller (ADF) unit root test (Table 2).</w:t>
      </w:r>
    </w:p>
    <w:p w14:paraId="581EC5E0" w14:textId="77777777" w:rsidR="00A13D53" w:rsidRPr="00BC05AD" w:rsidRDefault="00410FB6" w:rsidP="00A13D53">
      <w:pPr>
        <w:pStyle w:val="Normal1"/>
        <w:spacing w:after="0" w:line="240" w:lineRule="auto"/>
        <w:ind w:left="0" w:right="982" w:firstLine="5"/>
        <w:jc w:val="left"/>
        <w:rPr>
          <w:color w:val="000000" w:themeColor="text1"/>
        </w:rPr>
      </w:pPr>
      <w:r w:rsidRPr="00BC05AD">
        <w:rPr>
          <w:color w:val="000000" w:themeColor="text1"/>
        </w:rPr>
        <w:t xml:space="preserve">Table 2: Results of Augmented Dickey Fuller unit root test </w:t>
      </w:r>
    </w:p>
    <w:tbl>
      <w:tblPr>
        <w:tblStyle w:val="LightShading1"/>
        <w:tblW w:w="9420" w:type="dxa"/>
        <w:tblLayout w:type="fixed"/>
        <w:tblLook w:val="06A0" w:firstRow="1" w:lastRow="0" w:firstColumn="1" w:lastColumn="0" w:noHBand="1" w:noVBand="1"/>
      </w:tblPr>
      <w:tblGrid>
        <w:gridCol w:w="1640"/>
        <w:gridCol w:w="1366"/>
        <w:gridCol w:w="1289"/>
        <w:gridCol w:w="1426"/>
        <w:gridCol w:w="1299"/>
        <w:gridCol w:w="1008"/>
        <w:gridCol w:w="1392"/>
      </w:tblGrid>
      <w:tr w:rsidR="00A13D53" w:rsidRPr="00BC05AD" w14:paraId="21EBEEEB" w14:textId="77777777" w:rsidTr="00A13D53">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640" w:type="dxa"/>
          </w:tcPr>
          <w:p w14:paraId="2F99F758" w14:textId="77777777" w:rsidR="00A13D53" w:rsidRPr="00BC05AD" w:rsidRDefault="00A13D53" w:rsidP="00A13D53">
            <w:pPr>
              <w:pStyle w:val="Normal1"/>
              <w:spacing w:after="0" w:line="240" w:lineRule="auto"/>
              <w:ind w:left="0" w:right="0" w:firstLine="0"/>
              <w:jc w:val="left"/>
              <w:rPr>
                <w:b w:val="0"/>
                <w:color w:val="000000" w:themeColor="text1"/>
              </w:rPr>
            </w:pPr>
            <w:r w:rsidRPr="00BC05AD">
              <w:rPr>
                <w:b w:val="0"/>
                <w:color w:val="000000" w:themeColor="text1"/>
              </w:rPr>
              <w:lastRenderedPageBreak/>
              <w:t>Variable</w:t>
            </w:r>
          </w:p>
        </w:tc>
        <w:tc>
          <w:tcPr>
            <w:tcW w:w="1366" w:type="dxa"/>
          </w:tcPr>
          <w:p w14:paraId="40B2C40F" w14:textId="77777777" w:rsidR="00A13D53" w:rsidRPr="00BC05AD" w:rsidRDefault="00A13D53" w:rsidP="00A13D53">
            <w:pPr>
              <w:pStyle w:val="Normal1"/>
              <w:spacing w:after="0" w:line="240" w:lineRule="auto"/>
              <w:ind w:left="1"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Level</w:t>
            </w:r>
          </w:p>
        </w:tc>
        <w:tc>
          <w:tcPr>
            <w:tcW w:w="1289" w:type="dxa"/>
          </w:tcPr>
          <w:p w14:paraId="25184C2B" w14:textId="77777777" w:rsidR="00A13D53" w:rsidRPr="00BC05AD" w:rsidRDefault="00A13D53" w:rsidP="00A13D53">
            <w:pPr>
              <w:pStyle w:val="Normal1"/>
              <w:spacing w:after="0" w:line="240" w:lineRule="auto"/>
              <w:ind w:left="0"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ADF critical value</w:t>
            </w:r>
          </w:p>
        </w:tc>
        <w:tc>
          <w:tcPr>
            <w:tcW w:w="1426" w:type="dxa"/>
          </w:tcPr>
          <w:p w14:paraId="302EC37F" w14:textId="77777777" w:rsidR="00A13D53" w:rsidRPr="00BC05AD" w:rsidRDefault="00A13D53" w:rsidP="00A13D53">
            <w:pPr>
              <w:pStyle w:val="Normal1"/>
              <w:spacing w:after="0" w:line="240" w:lineRule="auto"/>
              <w:ind w:left="2"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1</w:t>
            </w:r>
            <w:r w:rsidRPr="00BC05AD">
              <w:rPr>
                <w:b w:val="0"/>
                <w:color w:val="000000" w:themeColor="text1"/>
                <w:vertAlign w:val="superscript"/>
              </w:rPr>
              <w:t>st</w:t>
            </w:r>
            <w:r w:rsidRPr="00BC05AD">
              <w:rPr>
                <w:b w:val="0"/>
                <w:color w:val="000000" w:themeColor="text1"/>
              </w:rPr>
              <w:t xml:space="preserve"> difference critical value</w:t>
            </w:r>
          </w:p>
        </w:tc>
        <w:tc>
          <w:tcPr>
            <w:tcW w:w="1299" w:type="dxa"/>
          </w:tcPr>
          <w:p w14:paraId="0D0EA99E" w14:textId="77777777" w:rsidR="00A13D53" w:rsidRPr="00BC05AD" w:rsidRDefault="00A13D53" w:rsidP="00A13D53">
            <w:pPr>
              <w:pStyle w:val="Normal1"/>
              <w:spacing w:after="0" w:line="240" w:lineRule="auto"/>
              <w:ind w:left="2"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ADF</w:t>
            </w:r>
          </w:p>
        </w:tc>
        <w:tc>
          <w:tcPr>
            <w:tcW w:w="1008" w:type="dxa"/>
          </w:tcPr>
          <w:p w14:paraId="068DDB02" w14:textId="77777777" w:rsidR="00A13D53" w:rsidRPr="00BC05AD" w:rsidRDefault="00A13D53" w:rsidP="00A13D53">
            <w:pPr>
              <w:pStyle w:val="Normal1"/>
              <w:spacing w:after="0" w:line="240" w:lineRule="auto"/>
              <w:ind w:left="0" w:right="0" w:firstLine="0"/>
              <w:jc w:val="left"/>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Order</w:t>
            </w:r>
          </w:p>
        </w:tc>
        <w:tc>
          <w:tcPr>
            <w:tcW w:w="1392" w:type="dxa"/>
          </w:tcPr>
          <w:p w14:paraId="0B178F95" w14:textId="77777777" w:rsidR="00A13D53" w:rsidRPr="00BC05AD" w:rsidRDefault="00A13D53" w:rsidP="00A13D53">
            <w:pPr>
              <w:pStyle w:val="Normal1"/>
              <w:spacing w:after="0" w:line="240" w:lineRule="auto"/>
              <w:ind w:left="1" w:right="0" w:firstLine="0"/>
              <w:cnfStyle w:val="100000000000" w:firstRow="1" w:lastRow="0" w:firstColumn="0" w:lastColumn="0" w:oddVBand="0" w:evenVBand="0" w:oddHBand="0" w:evenHBand="0" w:firstRowFirstColumn="0" w:firstRowLastColumn="0" w:lastRowFirstColumn="0" w:lastRowLastColumn="0"/>
              <w:rPr>
                <w:b w:val="0"/>
                <w:color w:val="000000" w:themeColor="text1"/>
              </w:rPr>
            </w:pPr>
            <w:r w:rsidRPr="00BC05AD">
              <w:rPr>
                <w:b w:val="0"/>
                <w:color w:val="000000" w:themeColor="text1"/>
              </w:rPr>
              <w:t>Remark</w:t>
            </w:r>
          </w:p>
        </w:tc>
      </w:tr>
      <w:tr w:rsidR="00A13D53" w:rsidRPr="00BC05AD" w14:paraId="3A3439B8" w14:textId="77777777" w:rsidTr="00A13D53">
        <w:trPr>
          <w:trHeight w:val="269"/>
        </w:trPr>
        <w:tc>
          <w:tcPr>
            <w:cnfStyle w:val="001000000000" w:firstRow="0" w:lastRow="0" w:firstColumn="1" w:lastColumn="0" w:oddVBand="0" w:evenVBand="0" w:oddHBand="0" w:evenHBand="0" w:firstRowFirstColumn="0" w:firstRowLastColumn="0" w:lastRowFirstColumn="0" w:lastRowLastColumn="0"/>
            <w:tcW w:w="1640" w:type="dxa"/>
          </w:tcPr>
          <w:p w14:paraId="73397227" w14:textId="77777777" w:rsidR="00A13D53" w:rsidRPr="00BC05AD" w:rsidRDefault="00A13D53" w:rsidP="00A13D53">
            <w:pPr>
              <w:pStyle w:val="Normal1"/>
              <w:spacing w:after="0" w:line="240" w:lineRule="auto"/>
              <w:ind w:left="0" w:right="0" w:firstLine="0"/>
              <w:jc w:val="left"/>
              <w:rPr>
                <w:b w:val="0"/>
                <w:color w:val="000000" w:themeColor="text1"/>
              </w:rPr>
            </w:pPr>
            <w:r w:rsidRPr="00BC05AD">
              <w:rPr>
                <w:b w:val="0"/>
                <w:color w:val="000000" w:themeColor="text1"/>
              </w:rPr>
              <w:t xml:space="preserve">GR </w:t>
            </w:r>
          </w:p>
        </w:tc>
        <w:tc>
          <w:tcPr>
            <w:tcW w:w="1366" w:type="dxa"/>
          </w:tcPr>
          <w:p w14:paraId="7DDD38A0" w14:textId="77777777" w:rsidR="00A13D53" w:rsidRPr="00BC05AD"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0.251289 </w:t>
            </w:r>
          </w:p>
        </w:tc>
        <w:tc>
          <w:tcPr>
            <w:tcW w:w="1289" w:type="dxa"/>
          </w:tcPr>
          <w:p w14:paraId="2AD25913" w14:textId="77777777" w:rsidR="00A13D53" w:rsidRPr="00BC05AD"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-3.052169 </w:t>
            </w:r>
          </w:p>
        </w:tc>
        <w:tc>
          <w:tcPr>
            <w:tcW w:w="1426" w:type="dxa"/>
          </w:tcPr>
          <w:p w14:paraId="62AFE69F" w14:textId="77777777" w:rsidR="00A13D53" w:rsidRPr="00BC05AD" w:rsidRDefault="00A13D53" w:rsidP="00A13D53">
            <w:pPr>
              <w:pStyle w:val="Normal1"/>
              <w:spacing w:after="0" w:line="240" w:lineRule="auto"/>
              <w:ind w:left="2"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-3.999773 </w:t>
            </w:r>
          </w:p>
        </w:tc>
        <w:tc>
          <w:tcPr>
            <w:tcW w:w="1299" w:type="dxa"/>
          </w:tcPr>
          <w:p w14:paraId="112F4EDC" w14:textId="77777777" w:rsidR="00A13D53" w:rsidRPr="00BC05AD" w:rsidRDefault="00A13D53" w:rsidP="00A13D53">
            <w:pPr>
              <w:pStyle w:val="Normal1"/>
              <w:spacing w:after="0" w:line="240" w:lineRule="auto"/>
              <w:ind w:left="2"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-3.052169 </w:t>
            </w:r>
          </w:p>
        </w:tc>
        <w:tc>
          <w:tcPr>
            <w:tcW w:w="1008" w:type="dxa"/>
          </w:tcPr>
          <w:p w14:paraId="5EF11361" w14:textId="77777777" w:rsidR="00A13D53" w:rsidRPr="00BC05AD"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proofErr w:type="gramStart"/>
            <w:r w:rsidRPr="00BC05AD">
              <w:rPr>
                <w:color w:val="000000" w:themeColor="text1"/>
              </w:rPr>
              <w:t>I(</w:t>
            </w:r>
            <w:proofErr w:type="gramEnd"/>
            <w:r w:rsidRPr="00BC05AD">
              <w:rPr>
                <w:color w:val="000000" w:themeColor="text1"/>
              </w:rPr>
              <w:t xml:space="preserve">1) </w:t>
            </w:r>
          </w:p>
        </w:tc>
        <w:tc>
          <w:tcPr>
            <w:tcW w:w="1392" w:type="dxa"/>
          </w:tcPr>
          <w:p w14:paraId="618158B0" w14:textId="77777777" w:rsidR="00A13D53" w:rsidRPr="00BC05AD" w:rsidRDefault="00A13D53" w:rsidP="00A13D53">
            <w:pPr>
              <w:pStyle w:val="Normal1"/>
              <w:spacing w:after="0" w:line="240" w:lineRule="auto"/>
              <w:ind w:left="1" w:righ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Stationary </w:t>
            </w:r>
          </w:p>
        </w:tc>
      </w:tr>
      <w:tr w:rsidR="00A13D53" w:rsidRPr="00BC05AD" w14:paraId="0D4338C1" w14:textId="77777777" w:rsidTr="00A13D53">
        <w:trPr>
          <w:trHeight w:val="317"/>
        </w:trPr>
        <w:tc>
          <w:tcPr>
            <w:cnfStyle w:val="001000000000" w:firstRow="0" w:lastRow="0" w:firstColumn="1" w:lastColumn="0" w:oddVBand="0" w:evenVBand="0" w:oddHBand="0" w:evenHBand="0" w:firstRowFirstColumn="0" w:firstRowLastColumn="0" w:lastRowFirstColumn="0" w:lastRowLastColumn="0"/>
            <w:tcW w:w="1640" w:type="dxa"/>
          </w:tcPr>
          <w:p w14:paraId="00972343" w14:textId="77777777" w:rsidR="00A13D53" w:rsidRPr="00BC05AD" w:rsidRDefault="00A13D53" w:rsidP="00A13D53">
            <w:pPr>
              <w:pStyle w:val="Normal1"/>
              <w:spacing w:after="0" w:line="240" w:lineRule="auto"/>
              <w:ind w:left="0" w:right="0" w:firstLine="0"/>
              <w:jc w:val="left"/>
              <w:rPr>
                <w:b w:val="0"/>
                <w:color w:val="000000" w:themeColor="text1"/>
              </w:rPr>
            </w:pPr>
            <w:r w:rsidRPr="00BC05AD">
              <w:rPr>
                <w:b w:val="0"/>
                <w:color w:val="000000" w:themeColor="text1"/>
              </w:rPr>
              <w:t xml:space="preserve">GCF </w:t>
            </w:r>
          </w:p>
        </w:tc>
        <w:tc>
          <w:tcPr>
            <w:tcW w:w="1366" w:type="dxa"/>
          </w:tcPr>
          <w:p w14:paraId="41306588" w14:textId="77777777" w:rsidR="00A13D53" w:rsidRPr="00BC05AD"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-5.799085 </w:t>
            </w:r>
          </w:p>
        </w:tc>
        <w:tc>
          <w:tcPr>
            <w:tcW w:w="1289" w:type="dxa"/>
          </w:tcPr>
          <w:p w14:paraId="78B3E1FA" w14:textId="77777777" w:rsidR="00A13D53" w:rsidRPr="00BC05AD"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-3.029970 </w:t>
            </w:r>
          </w:p>
        </w:tc>
        <w:tc>
          <w:tcPr>
            <w:tcW w:w="1426" w:type="dxa"/>
          </w:tcPr>
          <w:p w14:paraId="27F13BBE" w14:textId="77777777" w:rsidR="00A13D53" w:rsidRPr="00BC05AD"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-9.086122 </w:t>
            </w:r>
          </w:p>
        </w:tc>
        <w:tc>
          <w:tcPr>
            <w:tcW w:w="1299" w:type="dxa"/>
          </w:tcPr>
          <w:p w14:paraId="6C8DAEAE" w14:textId="77777777" w:rsidR="00A13D53" w:rsidRPr="00BC05AD"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-3.052169 </w:t>
            </w:r>
          </w:p>
        </w:tc>
        <w:tc>
          <w:tcPr>
            <w:tcW w:w="1008" w:type="dxa"/>
          </w:tcPr>
          <w:p w14:paraId="12732E11" w14:textId="77777777" w:rsidR="00A13D53" w:rsidRPr="00BC05AD" w:rsidRDefault="00A13D53" w:rsidP="00A13D53">
            <w:pPr>
              <w:pStyle w:val="Normal1"/>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proofErr w:type="gramStart"/>
            <w:r w:rsidRPr="00BC05AD">
              <w:rPr>
                <w:color w:val="000000" w:themeColor="text1"/>
              </w:rPr>
              <w:t>I(</w:t>
            </w:r>
            <w:proofErr w:type="gramEnd"/>
            <w:r w:rsidRPr="00BC05AD">
              <w:rPr>
                <w:color w:val="000000" w:themeColor="text1"/>
              </w:rPr>
              <w:t xml:space="preserve">0) </w:t>
            </w:r>
          </w:p>
        </w:tc>
        <w:tc>
          <w:tcPr>
            <w:tcW w:w="1392" w:type="dxa"/>
          </w:tcPr>
          <w:p w14:paraId="67BB0888" w14:textId="77777777" w:rsidR="00A13D53" w:rsidRPr="00BC05AD" w:rsidRDefault="00A13D53" w:rsidP="00A13D53">
            <w:pPr>
              <w:pStyle w:val="Normal1"/>
              <w:spacing w:after="0" w:line="240" w:lineRule="auto"/>
              <w:ind w:left="1" w:righ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Stationary </w:t>
            </w:r>
          </w:p>
        </w:tc>
      </w:tr>
      <w:tr w:rsidR="00A13D53" w:rsidRPr="00BC05AD" w14:paraId="23AE8E65" w14:textId="77777777" w:rsidTr="00A13D53">
        <w:trPr>
          <w:trHeight w:val="267"/>
        </w:trPr>
        <w:tc>
          <w:tcPr>
            <w:cnfStyle w:val="001000000000" w:firstRow="0" w:lastRow="0" w:firstColumn="1" w:lastColumn="0" w:oddVBand="0" w:evenVBand="0" w:oddHBand="0" w:evenHBand="0" w:firstRowFirstColumn="0" w:firstRowLastColumn="0" w:lastRowFirstColumn="0" w:lastRowLastColumn="0"/>
            <w:tcW w:w="1640" w:type="dxa"/>
          </w:tcPr>
          <w:p w14:paraId="66E4F471" w14:textId="77777777" w:rsidR="00A13D53" w:rsidRPr="00BC05AD" w:rsidRDefault="00A13D53" w:rsidP="00A13D53">
            <w:pPr>
              <w:pStyle w:val="Normal1"/>
              <w:spacing w:after="0" w:line="240" w:lineRule="auto"/>
              <w:ind w:left="0" w:right="0" w:firstLine="0"/>
              <w:jc w:val="left"/>
              <w:rPr>
                <w:b w:val="0"/>
                <w:color w:val="000000" w:themeColor="text1"/>
              </w:rPr>
            </w:pPr>
            <w:r w:rsidRPr="00BC05AD">
              <w:rPr>
                <w:b w:val="0"/>
                <w:color w:val="000000" w:themeColor="text1"/>
              </w:rPr>
              <w:t xml:space="preserve">LTR </w:t>
            </w:r>
          </w:p>
        </w:tc>
        <w:tc>
          <w:tcPr>
            <w:tcW w:w="1366" w:type="dxa"/>
          </w:tcPr>
          <w:p w14:paraId="788272F5" w14:textId="77777777" w:rsidR="00A13D53" w:rsidRPr="00BC05AD"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-0.985543 </w:t>
            </w:r>
          </w:p>
        </w:tc>
        <w:tc>
          <w:tcPr>
            <w:tcW w:w="1289" w:type="dxa"/>
          </w:tcPr>
          <w:p w14:paraId="3F810E06" w14:textId="77777777" w:rsidR="00A13D53" w:rsidRPr="00BC05AD"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-3.020686 </w:t>
            </w:r>
          </w:p>
        </w:tc>
        <w:tc>
          <w:tcPr>
            <w:tcW w:w="1426" w:type="dxa"/>
          </w:tcPr>
          <w:p w14:paraId="5503E11B" w14:textId="77777777" w:rsidR="00A13D53" w:rsidRPr="00BC05AD"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-4.523820 </w:t>
            </w:r>
          </w:p>
        </w:tc>
        <w:tc>
          <w:tcPr>
            <w:tcW w:w="1299" w:type="dxa"/>
          </w:tcPr>
          <w:p w14:paraId="10DFBC5A" w14:textId="77777777" w:rsidR="00A13D53" w:rsidRPr="00BC05AD" w:rsidRDefault="00A13D53" w:rsidP="00A13D53">
            <w:pPr>
              <w:pStyle w:val="Normal1"/>
              <w:spacing w:after="0" w:line="240" w:lineRule="auto"/>
              <w:ind w:left="1"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-3.029970 </w:t>
            </w:r>
          </w:p>
        </w:tc>
        <w:tc>
          <w:tcPr>
            <w:tcW w:w="1008" w:type="dxa"/>
          </w:tcPr>
          <w:p w14:paraId="72497F9D" w14:textId="77777777" w:rsidR="00A13D53" w:rsidRPr="00BC05AD" w:rsidRDefault="00A13D53" w:rsidP="00A13D53">
            <w:pPr>
              <w:pStyle w:val="Normal1"/>
              <w:spacing w:after="0" w:line="240" w:lineRule="auto"/>
              <w:ind w:left="36" w:right="0" w:firstLine="0"/>
              <w:jc w:val="left"/>
              <w:cnfStyle w:val="000000000000" w:firstRow="0" w:lastRow="0" w:firstColumn="0" w:lastColumn="0" w:oddVBand="0" w:evenVBand="0" w:oddHBand="0" w:evenHBand="0" w:firstRowFirstColumn="0" w:firstRowLastColumn="0" w:lastRowFirstColumn="0" w:lastRowLastColumn="0"/>
              <w:rPr>
                <w:color w:val="000000" w:themeColor="text1"/>
              </w:rPr>
            </w:pPr>
            <w:proofErr w:type="gramStart"/>
            <w:r w:rsidRPr="00BC05AD">
              <w:rPr>
                <w:color w:val="000000" w:themeColor="text1"/>
              </w:rPr>
              <w:t>I(</w:t>
            </w:r>
            <w:proofErr w:type="gramEnd"/>
            <w:r w:rsidRPr="00BC05AD">
              <w:rPr>
                <w:color w:val="000000" w:themeColor="text1"/>
              </w:rPr>
              <w:t xml:space="preserve">1) </w:t>
            </w:r>
          </w:p>
        </w:tc>
        <w:tc>
          <w:tcPr>
            <w:tcW w:w="1392" w:type="dxa"/>
          </w:tcPr>
          <w:p w14:paraId="08B1AFB6" w14:textId="77777777" w:rsidR="00A13D53" w:rsidRPr="00BC05AD" w:rsidRDefault="00A13D53" w:rsidP="00A13D53">
            <w:pPr>
              <w:pStyle w:val="Normal1"/>
              <w:spacing w:after="0" w:line="240" w:lineRule="auto"/>
              <w:ind w:left="35" w:righ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BC05AD">
              <w:rPr>
                <w:color w:val="000000" w:themeColor="text1"/>
              </w:rPr>
              <w:t xml:space="preserve">Stationary </w:t>
            </w:r>
          </w:p>
        </w:tc>
      </w:tr>
    </w:tbl>
    <w:p w14:paraId="7A9971C9" w14:textId="77777777" w:rsidR="00410FB6" w:rsidRPr="00BC05AD" w:rsidRDefault="00410FB6" w:rsidP="00A13D53">
      <w:pPr>
        <w:pStyle w:val="Normal1"/>
        <w:spacing w:after="0" w:line="240" w:lineRule="auto"/>
        <w:ind w:left="0" w:right="1028" w:firstLine="5"/>
        <w:jc w:val="left"/>
        <w:rPr>
          <w:color w:val="000000" w:themeColor="text1"/>
        </w:rPr>
      </w:pPr>
      <w:r w:rsidRPr="00BC05AD">
        <w:rPr>
          <w:color w:val="000000" w:themeColor="text1"/>
        </w:rPr>
        <w:t xml:space="preserve">Note: 5% critical value was used for ADF test  </w:t>
      </w:r>
    </w:p>
    <w:p w14:paraId="6BAF1597" w14:textId="77777777" w:rsidR="00410FB6" w:rsidRPr="00BC05AD" w:rsidRDefault="00410FB6" w:rsidP="00A13D53">
      <w:pPr>
        <w:pStyle w:val="Normal1"/>
        <w:spacing w:after="0" w:line="240" w:lineRule="auto"/>
        <w:ind w:left="9" w:right="0" w:firstLine="4"/>
        <w:rPr>
          <w:color w:val="000000" w:themeColor="text1"/>
        </w:rPr>
      </w:pPr>
      <w:r w:rsidRPr="00BC05AD">
        <w:rPr>
          <w:rStyle w:val="Emphasis"/>
          <w:color w:val="000000" w:themeColor="text1"/>
        </w:rPr>
        <w:t>Source: Author's Computation from EViews 10 (2026)</w:t>
      </w:r>
    </w:p>
    <w:p w14:paraId="36DC3F83" w14:textId="77777777" w:rsidR="00410FB6" w:rsidRPr="00BC05AD" w:rsidRDefault="009D27AE" w:rsidP="0045397C">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Table 2 showed that the ADF test statistic </w:t>
      </w:r>
      <w:r>
        <w:rPr>
          <w:rFonts w:ascii="Times New Roman" w:hAnsi="Times New Roman" w:cs="Times New Roman"/>
          <w:color w:val="000000" w:themeColor="text1"/>
          <w:sz w:val="24"/>
          <w:szCs w:val="24"/>
          <w:highlight w:val="yellow"/>
        </w:rPr>
        <w:t>f</w:t>
      </w:r>
      <w:r>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highlight w:val="yellow"/>
        </w:rPr>
        <w:t>r</w:t>
      </w:r>
      <w:r>
        <w:rPr>
          <w:rFonts w:ascii="Times New Roman" w:hAnsi="Times New Roman" w:cs="Times New Roman"/>
          <w:color w:val="000000" w:themeColor="text1"/>
          <w:sz w:val="24"/>
          <w:szCs w:val="24"/>
        </w:rPr>
        <w:t xml:space="preserve"> gross capital formation (GCF) </w:t>
      </w:r>
      <w:r>
        <w:rPr>
          <w:rFonts w:ascii="Times New Roman" w:hAnsi="Times New Roman" w:cs="Times New Roman"/>
          <w:color w:val="000000" w:themeColor="text1"/>
          <w:sz w:val="24"/>
          <w:szCs w:val="24"/>
          <w:highlight w:val="yellow"/>
        </w:rPr>
        <w:t>wa</w:t>
      </w:r>
      <w:r>
        <w:rPr>
          <w:rFonts w:ascii="Times New Roman" w:hAnsi="Times New Roman" w:cs="Times New Roman"/>
          <w:color w:val="000000" w:themeColor="text1"/>
          <w:sz w:val="24"/>
          <w:szCs w:val="24"/>
        </w:rPr>
        <w:t xml:space="preserve">s −5.799085, which is higher than the 5% critical value in absolute value (−3.029970). </w:t>
      </w:r>
      <w:r>
        <w:rPr>
          <w:rFonts w:ascii="Times New Roman" w:hAnsi="Times New Roman" w:cs="Times New Roman"/>
          <w:color w:val="000000" w:themeColor="text1"/>
          <w:sz w:val="24"/>
          <w:szCs w:val="24"/>
          <w:highlight w:val="yellow"/>
        </w:rPr>
        <w:t>By</w:t>
      </w:r>
      <w:r>
        <w:rPr>
          <w:rFonts w:ascii="Times New Roman" w:hAnsi="Times New Roman" w:cs="Times New Roman"/>
          <w:color w:val="000000" w:themeColor="text1"/>
          <w:sz w:val="24"/>
          <w:szCs w:val="24"/>
        </w:rPr>
        <w:t xml:space="preserve"> contra</w:t>
      </w:r>
      <w:r>
        <w:rPr>
          <w:rFonts w:ascii="Times New Roman" w:hAnsi="Times New Roman" w:cs="Times New Roman"/>
          <w:color w:val="000000" w:themeColor="text1"/>
          <w:sz w:val="24"/>
          <w:szCs w:val="24"/>
          <w:highlight w:val="yellow"/>
        </w:rPr>
        <w:t>st</w:t>
      </w:r>
      <w:r>
        <w:rPr>
          <w:rFonts w:ascii="Times New Roman" w:hAnsi="Times New Roman" w:cs="Times New Roman"/>
          <w:color w:val="000000" w:themeColor="text1"/>
          <w:sz w:val="24"/>
          <w:szCs w:val="24"/>
        </w:rPr>
        <w:t xml:space="preserve">, economic growth (GR) and literacy rate (LTR) were </w:t>
      </w:r>
      <w:r>
        <w:rPr>
          <w:rFonts w:ascii="Times New Roman" w:hAnsi="Times New Roman" w:cs="Times New Roman"/>
          <w:color w:val="000000" w:themeColor="text1"/>
          <w:sz w:val="24"/>
          <w:szCs w:val="24"/>
          <w:highlight w:val="yellow"/>
        </w:rPr>
        <w:t>foun</w:t>
      </w:r>
      <w:r>
        <w:rPr>
          <w:rFonts w:ascii="Times New Roman" w:hAnsi="Times New Roman" w:cs="Times New Roman"/>
          <w:color w:val="000000" w:themeColor="text1"/>
          <w:sz w:val="24"/>
          <w:szCs w:val="24"/>
        </w:rPr>
        <w:t xml:space="preserve">d </w:t>
      </w:r>
      <w:r>
        <w:rPr>
          <w:rFonts w:ascii="Times New Roman" w:hAnsi="Times New Roman" w:cs="Times New Roman"/>
          <w:color w:val="000000" w:themeColor="text1"/>
          <w:sz w:val="24"/>
          <w:szCs w:val="24"/>
          <w:highlight w:val="yellow"/>
        </w:rPr>
        <w:t>to be</w:t>
      </w:r>
      <w:r>
        <w:rPr>
          <w:rFonts w:ascii="Times New Roman" w:hAnsi="Times New Roman" w:cs="Times New Roman"/>
          <w:color w:val="000000" w:themeColor="text1"/>
          <w:sz w:val="24"/>
          <w:szCs w:val="24"/>
        </w:rPr>
        <w:t xml:space="preserve"> non-stationary at level, but they became stationary after first differencing, which means that they are integrated of order one </w:t>
      </w:r>
      <w:proofErr w:type="gramStart"/>
      <w:r>
        <w:rPr>
          <w:rFonts w:ascii="Times New Roman" w:hAnsi="Times New Roman" w:cs="Times New Roman"/>
          <w:color w:val="000000" w:themeColor="text1"/>
          <w:sz w:val="24"/>
          <w:szCs w:val="24"/>
        </w:rPr>
        <w:t>I(</w:t>
      </w:r>
      <w:proofErr w:type="gramEnd"/>
      <w:r>
        <w:rPr>
          <w:rFonts w:ascii="Times New Roman" w:hAnsi="Times New Roman" w:cs="Times New Roman"/>
          <w:color w:val="000000" w:themeColor="text1"/>
          <w:sz w:val="24"/>
          <w:szCs w:val="24"/>
        </w:rPr>
        <w:t>1). The ADF statistics for GR (−3.999773) and LTR (−4.523820) were greater than their respective 5% critical value</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 xml:space="preserve"> in absolute value, suggesting that they are stationary after differencing. The fundamental assumption </w:t>
      </w:r>
      <w:r>
        <w:rPr>
          <w:rFonts w:ascii="Times New Roman" w:hAnsi="Times New Roman" w:cs="Times New Roman"/>
          <w:color w:val="000000" w:themeColor="text1"/>
          <w:sz w:val="24"/>
          <w:szCs w:val="24"/>
          <w:highlight w:val="yellow"/>
        </w:rPr>
        <w:t>f</w:t>
      </w:r>
      <w:r>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highlight w:val="yellow"/>
        </w:rPr>
        <w:t>r</w:t>
      </w:r>
      <w:r>
        <w:rPr>
          <w:rFonts w:ascii="Times New Roman" w:hAnsi="Times New Roman" w:cs="Times New Roman"/>
          <w:color w:val="000000" w:themeColor="text1"/>
          <w:sz w:val="24"/>
          <w:szCs w:val="24"/>
        </w:rPr>
        <w:t xml:space="preserve"> appl</w:t>
      </w:r>
      <w:r>
        <w:rPr>
          <w:rFonts w:ascii="Times New Roman" w:hAnsi="Times New Roman" w:cs="Times New Roman"/>
          <w:color w:val="000000" w:themeColor="text1"/>
          <w:sz w:val="24"/>
          <w:szCs w:val="24"/>
          <w:highlight w:val="yellow"/>
        </w:rPr>
        <w:t>y</w:t>
      </w:r>
      <w:r>
        <w:rPr>
          <w:rFonts w:ascii="Times New Roman" w:hAnsi="Times New Roman" w:cs="Times New Roman"/>
          <w:color w:val="000000" w:themeColor="text1"/>
          <w:sz w:val="24"/>
          <w:szCs w:val="24"/>
        </w:rPr>
        <w:t>in</w:t>
      </w:r>
      <w:r>
        <w:rPr>
          <w:rFonts w:ascii="Times New Roman" w:hAnsi="Times New Roman" w:cs="Times New Roman"/>
          <w:color w:val="000000" w:themeColor="text1"/>
          <w:sz w:val="24"/>
          <w:szCs w:val="24"/>
          <w:highlight w:val="yellow"/>
        </w:rPr>
        <w:t>g</w:t>
      </w:r>
      <w:r>
        <w:rPr>
          <w:rFonts w:ascii="Times New Roman" w:hAnsi="Times New Roman" w:cs="Times New Roman"/>
          <w:color w:val="000000" w:themeColor="text1"/>
          <w:sz w:val="24"/>
          <w:szCs w:val="24"/>
        </w:rPr>
        <w:t xml:space="preserve"> the Autoregressive Distributed Lag (ARDL) </w:t>
      </w:r>
      <w:r>
        <w:rPr>
          <w:rFonts w:ascii="Times New Roman" w:hAnsi="Times New Roman" w:cs="Times New Roman"/>
          <w:color w:val="000000" w:themeColor="text1"/>
          <w:sz w:val="24"/>
          <w:szCs w:val="24"/>
          <w:highlight w:val="yellow"/>
        </w:rPr>
        <w:t>b</w:t>
      </w:r>
      <w:r>
        <w:rPr>
          <w:rFonts w:ascii="Times New Roman" w:hAnsi="Times New Roman" w:cs="Times New Roman"/>
          <w:color w:val="000000" w:themeColor="text1"/>
          <w:sz w:val="24"/>
          <w:szCs w:val="24"/>
        </w:rPr>
        <w:t>ounds</w:t>
      </w:r>
      <w:r>
        <w:rPr>
          <w:rFonts w:ascii="Times New Roman" w:hAnsi="Times New Roman" w:cs="Times New Roman"/>
          <w:color w:val="000000" w:themeColor="text1"/>
          <w:sz w:val="24"/>
          <w:szCs w:val="24"/>
          <w:highlight w:val="yellow"/>
        </w:rPr>
        <w:t>-t</w:t>
      </w:r>
      <w:r>
        <w:rPr>
          <w:rFonts w:ascii="Times New Roman" w:hAnsi="Times New Roman" w:cs="Times New Roman"/>
          <w:color w:val="000000" w:themeColor="text1"/>
          <w:sz w:val="24"/>
          <w:szCs w:val="24"/>
        </w:rPr>
        <w:t xml:space="preserve">esting approach of </w:t>
      </w:r>
      <w:proofErr w:type="spellStart"/>
      <w:r>
        <w:rPr>
          <w:rFonts w:ascii="Times New Roman" w:hAnsi="Times New Roman" w:cs="Times New Roman"/>
          <w:color w:val="000000" w:themeColor="text1"/>
          <w:sz w:val="24"/>
          <w:szCs w:val="24"/>
        </w:rPr>
        <w:t>Pesaran</w:t>
      </w:r>
      <w:proofErr w:type="spellEnd"/>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highlight w:val="yellow"/>
        </w:rPr>
        <w:t>et</w:t>
      </w:r>
      <w:r>
        <w:rPr>
          <w:rFonts w:ascii="Times New Roman" w:hAnsi="Times New Roman" w:cs="Times New Roman"/>
          <w:color w:val="000000" w:themeColor="text1"/>
          <w:sz w:val="24"/>
          <w:szCs w:val="24"/>
        </w:rPr>
        <w:t xml:space="preserve"> a</w:t>
      </w:r>
      <w:r>
        <w:rPr>
          <w:rFonts w:ascii="Times New Roman" w:hAnsi="Times New Roman" w:cs="Times New Roman"/>
          <w:color w:val="000000" w:themeColor="text1"/>
          <w:sz w:val="24"/>
          <w:szCs w:val="24"/>
          <w:highlight w:val="yellow"/>
        </w:rPr>
        <w:t>l.</w:t>
      </w:r>
      <w:r>
        <w:rPr>
          <w:rFonts w:ascii="Times New Roman" w:hAnsi="Times New Roman" w:cs="Times New Roman"/>
          <w:color w:val="000000" w:themeColor="text1"/>
          <w:sz w:val="24"/>
          <w:szCs w:val="24"/>
        </w:rPr>
        <w:t xml:space="preserve"> (2001) </w:t>
      </w:r>
      <w:r>
        <w:rPr>
          <w:rFonts w:ascii="Times New Roman" w:hAnsi="Times New Roman" w:cs="Times New Roman"/>
          <w:color w:val="000000" w:themeColor="text1"/>
          <w:sz w:val="24"/>
          <w:szCs w:val="24"/>
          <w:highlight w:val="yellow"/>
        </w:rPr>
        <w:t>was sat</w:t>
      </w:r>
      <w:r>
        <w:rPr>
          <w:rFonts w:ascii="Times New Roman" w:hAnsi="Times New Roman" w:cs="Times New Roman"/>
          <w:color w:val="000000" w:themeColor="text1"/>
          <w:sz w:val="24"/>
          <w:szCs w:val="24"/>
        </w:rPr>
        <w:t>is</w:t>
      </w:r>
      <w:r>
        <w:rPr>
          <w:rFonts w:ascii="Times New Roman" w:hAnsi="Times New Roman" w:cs="Times New Roman"/>
          <w:color w:val="000000" w:themeColor="text1"/>
          <w:sz w:val="24"/>
          <w:szCs w:val="24"/>
          <w:highlight w:val="yellow"/>
        </w:rPr>
        <w:t>fi</w:t>
      </w:r>
      <w:r>
        <w:rPr>
          <w:rFonts w:ascii="Times New Roman" w:hAnsi="Times New Roman" w:cs="Times New Roman"/>
          <w:color w:val="000000" w:themeColor="text1"/>
          <w:sz w:val="24"/>
          <w:szCs w:val="24"/>
        </w:rPr>
        <w:t xml:space="preserve">ed for the series because none of the variables are integrated of order two </w:t>
      </w:r>
      <w:proofErr w:type="gramStart"/>
      <w:r>
        <w:rPr>
          <w:rFonts w:ascii="Times New Roman" w:hAnsi="Times New Roman" w:cs="Times New Roman"/>
          <w:color w:val="000000" w:themeColor="text1"/>
          <w:sz w:val="24"/>
          <w:szCs w:val="24"/>
        </w:rPr>
        <w:t>I(</w:t>
      </w:r>
      <w:proofErr w:type="gramEnd"/>
      <w:r>
        <w:rPr>
          <w:rFonts w:ascii="Times New Roman" w:hAnsi="Times New Roman" w:cs="Times New Roman"/>
          <w:color w:val="000000" w:themeColor="text1"/>
          <w:sz w:val="24"/>
          <w:szCs w:val="24"/>
        </w:rPr>
        <w:t xml:space="preserve">2). Based on the result of the unit root test, the ARDL method is suitable for </w:t>
      </w:r>
      <w:proofErr w:type="spellStart"/>
      <w:r>
        <w:rPr>
          <w:rFonts w:ascii="Times New Roman" w:hAnsi="Times New Roman" w:cs="Times New Roman"/>
          <w:color w:val="000000" w:themeColor="text1"/>
          <w:sz w:val="24"/>
          <w:szCs w:val="24"/>
        </w:rPr>
        <w:t>analysing</w:t>
      </w:r>
      <w:proofErr w:type="spellEnd"/>
      <w:r>
        <w:rPr>
          <w:rFonts w:ascii="Times New Roman" w:hAnsi="Times New Roman" w:cs="Times New Roman"/>
          <w:color w:val="000000" w:themeColor="text1"/>
          <w:sz w:val="24"/>
          <w:szCs w:val="24"/>
        </w:rPr>
        <w:t xml:space="preserve"> the short-run and long-run relationship</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 xml:space="preserve"> among the variables under study, gross capital formation, </w:t>
      </w:r>
      <w:proofErr w:type="spellStart"/>
      <w:r>
        <w:rPr>
          <w:rFonts w:ascii="Times New Roman" w:hAnsi="Times New Roman" w:cs="Times New Roman"/>
          <w:color w:val="000000" w:themeColor="text1"/>
          <w:sz w:val="24"/>
          <w:szCs w:val="24"/>
        </w:rPr>
        <w:t>labour</w:t>
      </w:r>
      <w:proofErr w:type="spellEnd"/>
      <w:r>
        <w:rPr>
          <w:rFonts w:ascii="Times New Roman" w:hAnsi="Times New Roman" w:cs="Times New Roman"/>
          <w:color w:val="000000" w:themeColor="text1"/>
          <w:sz w:val="24"/>
          <w:szCs w:val="24"/>
        </w:rPr>
        <w:t xml:space="preserve"> force participation, literacy rate and economic growth in Nigeria. After the stationarity test, the optimal lag value</w:t>
      </w:r>
      <w:r>
        <w:rPr>
          <w:rFonts w:ascii="Times New Roman" w:hAnsi="Times New Roman" w:cs="Times New Roman"/>
          <w:color w:val="000000" w:themeColor="text1"/>
          <w:sz w:val="24"/>
          <w:szCs w:val="24"/>
          <w:highlight w:val="yellow"/>
        </w:rPr>
        <w:t>, k</w:t>
      </w:r>
      <w:r>
        <w:rPr>
          <w:rFonts w:ascii="Times New Roman" w:hAnsi="Times New Roman" w:cs="Times New Roman"/>
          <w:color w:val="000000" w:themeColor="text1"/>
          <w:sz w:val="24"/>
          <w:szCs w:val="24"/>
        </w:rPr>
        <w:t xml:space="preserve"> was chosen by the Akaike Information Criterion (AIC), and the results are shown in Table 3.</w:t>
      </w:r>
    </w:p>
    <w:p w14:paraId="3A7D4F98" w14:textId="77777777" w:rsidR="00410FB6" w:rsidRPr="00BC05AD" w:rsidRDefault="00410FB6" w:rsidP="00410FB6">
      <w:pPr>
        <w:spacing w:after="0" w:line="240" w:lineRule="auto"/>
        <w:jc w:val="both"/>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Table 3 Lag Order Selection Criteria</w:t>
      </w:r>
    </w:p>
    <w:p w14:paraId="74634D3D" w14:textId="77777777" w:rsidR="000950D8" w:rsidRPr="00BC05AD" w:rsidRDefault="000950D8" w:rsidP="000950D8">
      <w:pPr>
        <w:autoSpaceDE w:val="0"/>
        <w:autoSpaceDN w:val="0"/>
        <w:adjustRightInd w:val="0"/>
        <w:spacing w:after="0" w:line="240" w:lineRule="auto"/>
        <w:rPr>
          <w:rFonts w:ascii="Times New Roman" w:hAnsi="Times New Roman" w:cs="Times New Roman"/>
          <w:color w:val="000000" w:themeColor="text1"/>
          <w:sz w:val="24"/>
          <w:szCs w:val="24"/>
        </w:rPr>
      </w:pPr>
    </w:p>
    <w:tbl>
      <w:tblPr>
        <w:tblStyle w:val="LightShading1"/>
        <w:tblW w:w="5000" w:type="pct"/>
        <w:tblLook w:val="06A0" w:firstRow="1" w:lastRow="0" w:firstColumn="1" w:lastColumn="0" w:noHBand="1" w:noVBand="1"/>
      </w:tblPr>
      <w:tblGrid>
        <w:gridCol w:w="1103"/>
        <w:gridCol w:w="1413"/>
        <w:gridCol w:w="1412"/>
        <w:gridCol w:w="1413"/>
        <w:gridCol w:w="1412"/>
        <w:gridCol w:w="1413"/>
        <w:gridCol w:w="1410"/>
      </w:tblGrid>
      <w:tr w:rsidR="000950D8" w:rsidRPr="00BC05AD" w14:paraId="4BB55A69" w14:textId="77777777" w:rsidTr="000950D8">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76" w:type="pct"/>
          </w:tcPr>
          <w:p w14:paraId="209700E4" w14:textId="77777777" w:rsidR="000950D8" w:rsidRPr="00BC05AD" w:rsidRDefault="000950D8" w:rsidP="000950D8">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 Lag</w:t>
            </w:r>
          </w:p>
        </w:tc>
        <w:tc>
          <w:tcPr>
            <w:tcW w:w="738" w:type="pct"/>
          </w:tcPr>
          <w:p w14:paraId="5C09FBAD" w14:textId="77777777" w:rsidR="000950D8" w:rsidRPr="00BC05AD"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proofErr w:type="spellStart"/>
            <w:r w:rsidRPr="00BC05AD">
              <w:rPr>
                <w:rFonts w:ascii="Times New Roman" w:hAnsi="Times New Roman" w:cs="Times New Roman"/>
                <w:b w:val="0"/>
                <w:color w:val="000000" w:themeColor="text1"/>
                <w:sz w:val="24"/>
                <w:szCs w:val="24"/>
              </w:rPr>
              <w:t>LogL</w:t>
            </w:r>
            <w:proofErr w:type="spellEnd"/>
          </w:p>
        </w:tc>
        <w:tc>
          <w:tcPr>
            <w:tcW w:w="737" w:type="pct"/>
          </w:tcPr>
          <w:p w14:paraId="0608F551" w14:textId="77777777" w:rsidR="000950D8" w:rsidRPr="00BC05AD"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LR</w:t>
            </w:r>
          </w:p>
        </w:tc>
        <w:tc>
          <w:tcPr>
            <w:tcW w:w="738" w:type="pct"/>
          </w:tcPr>
          <w:p w14:paraId="20B7D342" w14:textId="77777777" w:rsidR="000950D8" w:rsidRPr="00BC05AD"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FPE</w:t>
            </w:r>
          </w:p>
        </w:tc>
        <w:tc>
          <w:tcPr>
            <w:tcW w:w="737" w:type="pct"/>
          </w:tcPr>
          <w:p w14:paraId="4730529C" w14:textId="77777777" w:rsidR="000950D8" w:rsidRPr="00BC05AD"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AIC</w:t>
            </w:r>
          </w:p>
        </w:tc>
        <w:tc>
          <w:tcPr>
            <w:tcW w:w="738" w:type="pct"/>
          </w:tcPr>
          <w:p w14:paraId="23DDF707" w14:textId="77777777" w:rsidR="000950D8" w:rsidRPr="00BC05AD"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SC</w:t>
            </w:r>
          </w:p>
        </w:tc>
        <w:tc>
          <w:tcPr>
            <w:tcW w:w="737" w:type="pct"/>
          </w:tcPr>
          <w:p w14:paraId="155A7E8B" w14:textId="77777777" w:rsidR="000950D8" w:rsidRPr="00BC05AD" w:rsidRDefault="000950D8" w:rsidP="000950D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HQ</w:t>
            </w:r>
          </w:p>
        </w:tc>
      </w:tr>
      <w:tr w:rsidR="000950D8" w:rsidRPr="00BC05AD" w14:paraId="13A8E877" w14:textId="77777777" w:rsidTr="000950D8">
        <w:trPr>
          <w:trHeight w:val="225"/>
        </w:trPr>
        <w:tc>
          <w:tcPr>
            <w:cnfStyle w:val="001000000000" w:firstRow="0" w:lastRow="0" w:firstColumn="1" w:lastColumn="0" w:oddVBand="0" w:evenVBand="0" w:oddHBand="0" w:evenHBand="0" w:firstRowFirstColumn="0" w:firstRowLastColumn="0" w:lastRowFirstColumn="0" w:lastRowLastColumn="0"/>
            <w:tcW w:w="576" w:type="pct"/>
          </w:tcPr>
          <w:p w14:paraId="075A45AA" w14:textId="77777777" w:rsidR="000950D8" w:rsidRPr="00BC05AD" w:rsidRDefault="000950D8" w:rsidP="000950D8">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0</w:t>
            </w:r>
          </w:p>
        </w:tc>
        <w:tc>
          <w:tcPr>
            <w:tcW w:w="738" w:type="pct"/>
          </w:tcPr>
          <w:p w14:paraId="2D2F443B"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-196.8362</w:t>
            </w:r>
          </w:p>
        </w:tc>
        <w:tc>
          <w:tcPr>
            <w:tcW w:w="737" w:type="pct"/>
          </w:tcPr>
          <w:p w14:paraId="09594B20"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NA </w:t>
            </w:r>
          </w:p>
        </w:tc>
        <w:tc>
          <w:tcPr>
            <w:tcW w:w="738" w:type="pct"/>
          </w:tcPr>
          <w:p w14:paraId="41A3CD3D"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95821.02</w:t>
            </w:r>
          </w:p>
        </w:tc>
        <w:tc>
          <w:tcPr>
            <w:tcW w:w="737" w:type="pct"/>
          </w:tcPr>
          <w:p w14:paraId="440562FE"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19.98362</w:t>
            </w:r>
          </w:p>
        </w:tc>
        <w:tc>
          <w:tcPr>
            <w:tcW w:w="738" w:type="pct"/>
          </w:tcPr>
          <w:p w14:paraId="1DB38F34"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20.13298*</w:t>
            </w:r>
          </w:p>
        </w:tc>
        <w:tc>
          <w:tcPr>
            <w:tcW w:w="737" w:type="pct"/>
          </w:tcPr>
          <w:p w14:paraId="0C898B12"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20.01277</w:t>
            </w:r>
          </w:p>
        </w:tc>
      </w:tr>
      <w:tr w:rsidR="000950D8" w:rsidRPr="00BC05AD" w14:paraId="479376A4" w14:textId="77777777" w:rsidTr="000950D8">
        <w:trPr>
          <w:trHeight w:val="225"/>
        </w:trPr>
        <w:tc>
          <w:tcPr>
            <w:cnfStyle w:val="001000000000" w:firstRow="0" w:lastRow="0" w:firstColumn="1" w:lastColumn="0" w:oddVBand="0" w:evenVBand="0" w:oddHBand="0" w:evenHBand="0" w:firstRowFirstColumn="0" w:firstRowLastColumn="0" w:lastRowFirstColumn="0" w:lastRowLastColumn="0"/>
            <w:tcW w:w="576" w:type="pct"/>
          </w:tcPr>
          <w:p w14:paraId="51EAD62D" w14:textId="77777777" w:rsidR="000950D8" w:rsidRPr="00BC05AD" w:rsidRDefault="000950D8" w:rsidP="000950D8">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1</w:t>
            </w:r>
          </w:p>
        </w:tc>
        <w:tc>
          <w:tcPr>
            <w:tcW w:w="738" w:type="pct"/>
          </w:tcPr>
          <w:p w14:paraId="392757FC"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-185.0432</w:t>
            </w:r>
          </w:p>
        </w:tc>
        <w:tc>
          <w:tcPr>
            <w:tcW w:w="737" w:type="pct"/>
          </w:tcPr>
          <w:p w14:paraId="35673E02"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18.86881*</w:t>
            </w:r>
          </w:p>
        </w:tc>
        <w:tc>
          <w:tcPr>
            <w:tcW w:w="738" w:type="pct"/>
          </w:tcPr>
          <w:p w14:paraId="54C295F0"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73650.18*</w:t>
            </w:r>
          </w:p>
        </w:tc>
        <w:tc>
          <w:tcPr>
            <w:tcW w:w="737" w:type="pct"/>
          </w:tcPr>
          <w:p w14:paraId="47FEEF67"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19.70432*</w:t>
            </w:r>
          </w:p>
        </w:tc>
        <w:tc>
          <w:tcPr>
            <w:tcW w:w="738" w:type="pct"/>
          </w:tcPr>
          <w:p w14:paraId="1A332CBE"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20.30176</w:t>
            </w:r>
          </w:p>
        </w:tc>
        <w:tc>
          <w:tcPr>
            <w:tcW w:w="737" w:type="pct"/>
          </w:tcPr>
          <w:p w14:paraId="38484533" w14:textId="77777777" w:rsidR="000950D8" w:rsidRPr="00BC05AD" w:rsidRDefault="000950D8" w:rsidP="000950D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  19.82094*</w:t>
            </w:r>
          </w:p>
        </w:tc>
      </w:tr>
    </w:tbl>
    <w:p w14:paraId="7F3B457F" w14:textId="77777777" w:rsidR="00410FB6" w:rsidRPr="00BC05AD" w:rsidRDefault="00410FB6" w:rsidP="00410FB6">
      <w:pPr>
        <w:pStyle w:val="ds-markdown-paragraph"/>
        <w:shd w:val="clear" w:color="auto" w:fill="FFFFFF"/>
        <w:spacing w:before="0" w:beforeAutospacing="0" w:after="0" w:afterAutospacing="0"/>
        <w:rPr>
          <w:color w:val="000000" w:themeColor="text1"/>
        </w:rPr>
      </w:pPr>
      <w:r w:rsidRPr="00BC05AD">
        <w:rPr>
          <w:rStyle w:val="Emphasis"/>
          <w:color w:val="000000" w:themeColor="text1"/>
        </w:rPr>
        <w:t>Source: Author's Computation from EViews 10 (2026)</w:t>
      </w:r>
    </w:p>
    <w:p w14:paraId="1FE603C3" w14:textId="77777777" w:rsidR="00410FB6" w:rsidRPr="00BC05AD" w:rsidRDefault="009D27AE" w:rsidP="0045397C">
      <w:pPr>
        <w:spacing w:before="100" w:beforeAutospacing="1" w:after="100" w:afterAutospacing="1"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Based on the results of Table 3, lag one (1) a</w:t>
      </w:r>
      <w:r>
        <w:rPr>
          <w:rFonts w:ascii="Times New Roman" w:hAnsi="Times New Roman" w:cs="Times New Roman"/>
          <w:color w:val="000000" w:themeColor="text1"/>
          <w:sz w:val="24"/>
          <w:szCs w:val="24"/>
          <w:highlight w:val="yellow"/>
        </w:rPr>
        <w:t>ppear</w:t>
      </w:r>
      <w:r>
        <w:rPr>
          <w:rFonts w:ascii="Times New Roman" w:hAnsi="Times New Roman" w:cs="Times New Roman"/>
          <w:color w:val="000000" w:themeColor="text1"/>
          <w:sz w:val="24"/>
          <w:szCs w:val="24"/>
        </w:rPr>
        <w:t xml:space="preserve">ed </w:t>
      </w:r>
      <w:r>
        <w:rPr>
          <w:rFonts w:ascii="Times New Roman" w:hAnsi="Times New Roman" w:cs="Times New Roman"/>
          <w:color w:val="000000" w:themeColor="text1"/>
          <w:sz w:val="24"/>
          <w:szCs w:val="24"/>
          <w:highlight w:val="yellow"/>
        </w:rPr>
        <w:t>to be</w:t>
      </w:r>
      <w:r>
        <w:rPr>
          <w:rFonts w:ascii="Times New Roman" w:hAnsi="Times New Roman" w:cs="Times New Roman"/>
          <w:color w:val="000000" w:themeColor="text1"/>
          <w:sz w:val="24"/>
          <w:szCs w:val="24"/>
        </w:rPr>
        <w:t xml:space="preserve"> the optimum lag length in the system, as it had the minimum value for all three criteria, that is, AIC, Hannan–Quinn (</w:t>
      </w:r>
      <w:proofErr w:type="spellStart"/>
      <w:r>
        <w:rPr>
          <w:rFonts w:ascii="Times New Roman" w:hAnsi="Times New Roman" w:cs="Times New Roman"/>
          <w:color w:val="000000" w:themeColor="text1"/>
          <w:sz w:val="24"/>
          <w:szCs w:val="24"/>
        </w:rPr>
        <w:t>AICc</w:t>
      </w:r>
      <w:proofErr w:type="spellEnd"/>
      <w:r>
        <w:rPr>
          <w:rFonts w:ascii="Times New Roman" w:hAnsi="Times New Roman" w:cs="Times New Roman"/>
          <w:color w:val="000000" w:themeColor="text1"/>
          <w:sz w:val="24"/>
          <w:szCs w:val="24"/>
        </w:rPr>
        <w:t xml:space="preserve">) and Schwarz (BIC). The selection of the optimal lag length is crucial since it </w:t>
      </w:r>
      <w:r>
        <w:rPr>
          <w:rFonts w:ascii="Times New Roman" w:hAnsi="Times New Roman" w:cs="Times New Roman"/>
          <w:color w:val="000000" w:themeColor="text1"/>
          <w:sz w:val="24"/>
          <w:szCs w:val="24"/>
          <w:highlight w:val="yellow"/>
        </w:rPr>
        <w:t>he</w:t>
      </w:r>
      <w:r>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highlight w:val="yellow"/>
        </w:rPr>
        <w:t>ps</w:t>
      </w:r>
      <w:r>
        <w:rPr>
          <w:rFonts w:ascii="Times New Roman" w:hAnsi="Times New Roman" w:cs="Times New Roman"/>
          <w:color w:val="000000" w:themeColor="text1"/>
          <w:sz w:val="24"/>
          <w:szCs w:val="24"/>
        </w:rPr>
        <w:t xml:space="preserve"> ensure that the estimated </w:t>
      </w:r>
      <w:r>
        <w:rPr>
          <w:rFonts w:ascii="Times New Roman" w:hAnsi="Times New Roman" w:cs="Times New Roman"/>
          <w:color w:val="000000" w:themeColor="text1"/>
          <w:sz w:val="24"/>
          <w:szCs w:val="24"/>
          <w:highlight w:val="yellow"/>
        </w:rPr>
        <w:t>mode</w:t>
      </w:r>
      <w:r>
        <w:rPr>
          <w:rFonts w:ascii="Times New Roman" w:hAnsi="Times New Roman" w:cs="Times New Roman"/>
          <w:color w:val="000000" w:themeColor="text1"/>
          <w:sz w:val="24"/>
          <w:szCs w:val="24"/>
        </w:rPr>
        <w:t>l reflects the dynamic relationship between the variables and avoid</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 xml:space="preserve"> over-</w:t>
      </w:r>
      <w:proofErr w:type="spellStart"/>
      <w:r>
        <w:rPr>
          <w:rFonts w:ascii="Times New Roman" w:hAnsi="Times New Roman" w:cs="Times New Roman"/>
          <w:color w:val="000000" w:themeColor="text1"/>
          <w:sz w:val="24"/>
          <w:szCs w:val="24"/>
        </w:rPr>
        <w:t>parameteri</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ation</w:t>
      </w:r>
      <w:proofErr w:type="spellEnd"/>
      <w:r>
        <w:rPr>
          <w:rFonts w:ascii="Times New Roman" w:hAnsi="Times New Roman" w:cs="Times New Roman"/>
          <w:color w:val="000000" w:themeColor="text1"/>
          <w:sz w:val="24"/>
          <w:szCs w:val="24"/>
        </w:rPr>
        <w:t xml:space="preserve"> and residual serial correlation problems. Thus, the choice of lag length 1 is a good basis for the next ARDL bounds cointegration analysis and the estimation of the short-run </w:t>
      </w:r>
      <w:r>
        <w:rPr>
          <w:rFonts w:ascii="Times New Roman" w:hAnsi="Times New Roman" w:cs="Times New Roman"/>
          <w:color w:val="000000" w:themeColor="text1"/>
          <w:sz w:val="24"/>
          <w:szCs w:val="24"/>
        </w:rPr>
        <w:lastRenderedPageBreak/>
        <w:t xml:space="preserve">and long-run effects of new business density on economic growth in Nigeria. Hence, the series are </w:t>
      </w:r>
      <w:proofErr w:type="gramStart"/>
      <w:r>
        <w:rPr>
          <w:rFonts w:ascii="Times New Roman" w:hAnsi="Times New Roman" w:cs="Times New Roman"/>
          <w:color w:val="000000" w:themeColor="text1"/>
          <w:sz w:val="24"/>
          <w:szCs w:val="24"/>
        </w:rPr>
        <w:t>I(</w:t>
      </w:r>
      <w:proofErr w:type="gramEnd"/>
      <w:r>
        <w:rPr>
          <w:rFonts w:ascii="Times New Roman" w:hAnsi="Times New Roman" w:cs="Times New Roman"/>
          <w:color w:val="000000" w:themeColor="text1"/>
          <w:sz w:val="24"/>
          <w:szCs w:val="24"/>
        </w:rPr>
        <w:t xml:space="preserve">0) and </w:t>
      </w:r>
      <w:proofErr w:type="gramStart"/>
      <w:r>
        <w:rPr>
          <w:rFonts w:ascii="Times New Roman" w:hAnsi="Times New Roman" w:cs="Times New Roman"/>
          <w:color w:val="000000" w:themeColor="text1"/>
          <w:sz w:val="24"/>
          <w:szCs w:val="24"/>
        </w:rPr>
        <w:t>I(</w:t>
      </w:r>
      <w:proofErr w:type="gramEnd"/>
      <w:r>
        <w:rPr>
          <w:rFonts w:ascii="Times New Roman" w:hAnsi="Times New Roman" w:cs="Times New Roman"/>
          <w:color w:val="000000" w:themeColor="text1"/>
          <w:sz w:val="24"/>
          <w:szCs w:val="24"/>
        </w:rPr>
        <w:t>1), and the bound cointegration test is presented in Table 4.</w:t>
      </w:r>
    </w:p>
    <w:p w14:paraId="562B1599" w14:textId="77777777" w:rsidR="00410FB6" w:rsidRPr="00BC05AD" w:rsidRDefault="00410FB6" w:rsidP="00410FB6">
      <w:pPr>
        <w:pStyle w:val="Normal1"/>
        <w:spacing w:after="0" w:line="240" w:lineRule="auto"/>
        <w:ind w:left="0" w:right="982" w:firstLine="5"/>
        <w:jc w:val="left"/>
        <w:rPr>
          <w:color w:val="000000" w:themeColor="text1"/>
        </w:rPr>
      </w:pPr>
      <w:r w:rsidRPr="00BC05AD">
        <w:rPr>
          <w:color w:val="000000" w:themeColor="text1"/>
        </w:rPr>
        <w:t xml:space="preserve">Table 4: Co-integration Bound Test Result </w:t>
      </w:r>
    </w:p>
    <w:tbl>
      <w:tblPr>
        <w:tblW w:w="9590" w:type="dxa"/>
        <w:tblInd w:w="-118" w:type="dxa"/>
        <w:tblLayout w:type="fixed"/>
        <w:tblLook w:val="0400" w:firstRow="0" w:lastRow="0" w:firstColumn="0" w:lastColumn="0" w:noHBand="0" w:noVBand="1"/>
      </w:tblPr>
      <w:tblGrid>
        <w:gridCol w:w="2036"/>
        <w:gridCol w:w="4038"/>
        <w:gridCol w:w="3516"/>
      </w:tblGrid>
      <w:tr w:rsidR="00410FB6" w:rsidRPr="00BC05AD" w14:paraId="43B4E0DD" w14:textId="77777777" w:rsidTr="005011BF">
        <w:trPr>
          <w:cantSplit/>
          <w:trHeight w:val="338"/>
          <w:tblHeader/>
        </w:trPr>
        <w:tc>
          <w:tcPr>
            <w:tcW w:w="2036" w:type="dxa"/>
            <w:tcBorders>
              <w:top w:val="single" w:sz="8" w:space="0" w:color="000000"/>
              <w:left w:val="nil"/>
              <w:bottom w:val="single" w:sz="8" w:space="0" w:color="000000"/>
              <w:right w:val="nil"/>
            </w:tcBorders>
          </w:tcPr>
          <w:p w14:paraId="4DE86C8B" w14:textId="77777777" w:rsidR="00410FB6" w:rsidRPr="00BC05AD" w:rsidRDefault="00410FB6" w:rsidP="005011BF">
            <w:pPr>
              <w:pStyle w:val="Normal1"/>
              <w:spacing w:after="0" w:line="240" w:lineRule="auto"/>
              <w:ind w:left="122" w:right="0" w:firstLine="0"/>
              <w:jc w:val="left"/>
              <w:rPr>
                <w:color w:val="000000" w:themeColor="text1"/>
              </w:rPr>
            </w:pPr>
            <w:r w:rsidRPr="00BC05AD">
              <w:rPr>
                <w:color w:val="000000" w:themeColor="text1"/>
              </w:rPr>
              <w:t xml:space="preserve">Test Statistic </w:t>
            </w:r>
          </w:p>
        </w:tc>
        <w:tc>
          <w:tcPr>
            <w:tcW w:w="4038" w:type="dxa"/>
            <w:tcBorders>
              <w:top w:val="single" w:sz="8" w:space="0" w:color="000000"/>
              <w:left w:val="nil"/>
              <w:bottom w:val="single" w:sz="8" w:space="0" w:color="000000"/>
              <w:right w:val="nil"/>
            </w:tcBorders>
          </w:tcPr>
          <w:p w14:paraId="6898E1CB" w14:textId="77777777" w:rsidR="00410FB6" w:rsidRPr="00BC05AD" w:rsidRDefault="00410FB6" w:rsidP="005011BF">
            <w:pPr>
              <w:pStyle w:val="Normal1"/>
              <w:tabs>
                <w:tab w:val="center" w:pos="1916"/>
              </w:tabs>
              <w:spacing w:after="0" w:line="240" w:lineRule="auto"/>
              <w:ind w:left="0" w:right="0" w:firstLine="0"/>
              <w:jc w:val="left"/>
              <w:rPr>
                <w:color w:val="000000" w:themeColor="text1"/>
              </w:rPr>
            </w:pPr>
            <w:r w:rsidRPr="00BC05AD">
              <w:rPr>
                <w:color w:val="000000" w:themeColor="text1"/>
              </w:rPr>
              <w:t>Value</w:t>
            </w:r>
            <w:r w:rsidRPr="00BC05AD">
              <w:rPr>
                <w:color w:val="000000" w:themeColor="text1"/>
              </w:rPr>
              <w:tab/>
            </w:r>
          </w:p>
        </w:tc>
        <w:tc>
          <w:tcPr>
            <w:tcW w:w="3516" w:type="dxa"/>
            <w:tcBorders>
              <w:top w:val="single" w:sz="8" w:space="0" w:color="000000"/>
              <w:left w:val="nil"/>
              <w:bottom w:val="single" w:sz="8" w:space="0" w:color="000000"/>
              <w:right w:val="nil"/>
            </w:tcBorders>
          </w:tcPr>
          <w:p w14:paraId="4C1B05A8" w14:textId="77777777" w:rsidR="00410FB6" w:rsidRPr="00BC05AD" w:rsidRDefault="00410FB6" w:rsidP="005011BF">
            <w:pPr>
              <w:pStyle w:val="Normal1"/>
              <w:spacing w:after="0" w:line="240" w:lineRule="auto"/>
              <w:ind w:left="206" w:right="0" w:firstLine="0"/>
              <w:jc w:val="center"/>
              <w:rPr>
                <w:color w:val="000000" w:themeColor="text1"/>
              </w:rPr>
            </w:pPr>
            <w:r w:rsidRPr="00BC05AD">
              <w:rPr>
                <w:color w:val="000000" w:themeColor="text1"/>
              </w:rPr>
              <w:t xml:space="preserve">K </w:t>
            </w:r>
          </w:p>
        </w:tc>
      </w:tr>
      <w:tr w:rsidR="00410FB6" w:rsidRPr="00BC05AD" w14:paraId="22D0EF3B" w14:textId="77777777" w:rsidTr="005011BF">
        <w:trPr>
          <w:cantSplit/>
          <w:trHeight w:val="646"/>
          <w:tblHeader/>
        </w:trPr>
        <w:tc>
          <w:tcPr>
            <w:tcW w:w="2036" w:type="dxa"/>
            <w:tcBorders>
              <w:top w:val="single" w:sz="8" w:space="0" w:color="000000"/>
              <w:left w:val="nil"/>
              <w:bottom w:val="nil"/>
              <w:right w:val="nil"/>
            </w:tcBorders>
          </w:tcPr>
          <w:p w14:paraId="0D23482B" w14:textId="77777777" w:rsidR="00410FB6" w:rsidRPr="00BC05AD" w:rsidRDefault="00410FB6" w:rsidP="005011BF">
            <w:pPr>
              <w:pStyle w:val="Normal1"/>
              <w:spacing w:after="0" w:line="240" w:lineRule="auto"/>
              <w:ind w:left="122" w:right="0" w:firstLine="0"/>
              <w:jc w:val="left"/>
              <w:rPr>
                <w:color w:val="000000" w:themeColor="text1"/>
              </w:rPr>
            </w:pPr>
            <w:r w:rsidRPr="00BC05AD">
              <w:rPr>
                <w:color w:val="000000" w:themeColor="text1"/>
              </w:rPr>
              <w:t xml:space="preserve">F-statistics </w:t>
            </w:r>
          </w:p>
        </w:tc>
        <w:tc>
          <w:tcPr>
            <w:tcW w:w="4038" w:type="dxa"/>
            <w:tcBorders>
              <w:top w:val="single" w:sz="8" w:space="0" w:color="000000"/>
              <w:left w:val="nil"/>
              <w:bottom w:val="nil"/>
              <w:right w:val="nil"/>
            </w:tcBorders>
          </w:tcPr>
          <w:p w14:paraId="1D9450D8" w14:textId="77777777" w:rsidR="00410FB6" w:rsidRPr="00BC05AD" w:rsidRDefault="00410FB6" w:rsidP="005011BF">
            <w:pPr>
              <w:pStyle w:val="Normal1"/>
              <w:tabs>
                <w:tab w:val="center" w:pos="1914"/>
              </w:tabs>
              <w:spacing w:after="0" w:line="240" w:lineRule="auto"/>
              <w:ind w:left="0" w:right="0" w:firstLine="0"/>
              <w:jc w:val="left"/>
              <w:rPr>
                <w:color w:val="000000" w:themeColor="text1"/>
              </w:rPr>
            </w:pPr>
            <w:r w:rsidRPr="00BC05AD">
              <w:rPr>
                <w:color w:val="000000" w:themeColor="text1"/>
              </w:rPr>
              <w:t> </w:t>
            </w:r>
            <w:r w:rsidR="00DA7B0A" w:rsidRPr="00BC05AD">
              <w:rPr>
                <w:color w:val="000000" w:themeColor="text1"/>
              </w:rPr>
              <w:t>2.008399</w:t>
            </w:r>
            <w:r w:rsidRPr="00BC05AD">
              <w:rPr>
                <w:color w:val="000000" w:themeColor="text1"/>
              </w:rPr>
              <w:tab/>
            </w:r>
          </w:p>
          <w:p w14:paraId="5DEE4349" w14:textId="77777777" w:rsidR="00410FB6" w:rsidRPr="00BC05AD" w:rsidRDefault="00410FB6" w:rsidP="005011BF">
            <w:pPr>
              <w:pStyle w:val="Normal1"/>
              <w:spacing w:after="0" w:line="240" w:lineRule="auto"/>
              <w:ind w:left="0" w:right="73" w:firstLine="0"/>
              <w:jc w:val="right"/>
              <w:rPr>
                <w:color w:val="000000" w:themeColor="text1"/>
              </w:rPr>
            </w:pPr>
            <w:r w:rsidRPr="00BC05AD">
              <w:rPr>
                <w:color w:val="000000" w:themeColor="text1"/>
              </w:rPr>
              <w:t xml:space="preserve">Critical Bounds Value </w:t>
            </w:r>
          </w:p>
        </w:tc>
        <w:tc>
          <w:tcPr>
            <w:tcW w:w="3516" w:type="dxa"/>
            <w:tcBorders>
              <w:top w:val="single" w:sz="8" w:space="0" w:color="000000"/>
              <w:left w:val="nil"/>
              <w:bottom w:val="nil"/>
              <w:right w:val="nil"/>
            </w:tcBorders>
          </w:tcPr>
          <w:p w14:paraId="1898390A" w14:textId="77777777" w:rsidR="00410FB6" w:rsidRPr="00BC05AD" w:rsidRDefault="00410FB6" w:rsidP="005011BF">
            <w:pPr>
              <w:pStyle w:val="Normal1"/>
              <w:spacing w:after="0" w:line="240" w:lineRule="auto"/>
              <w:ind w:left="148" w:right="0" w:firstLine="0"/>
              <w:jc w:val="center"/>
              <w:rPr>
                <w:color w:val="000000" w:themeColor="text1"/>
              </w:rPr>
            </w:pPr>
            <w:r w:rsidRPr="00BC05AD">
              <w:rPr>
                <w:color w:val="000000" w:themeColor="text1"/>
              </w:rPr>
              <w:t xml:space="preserve">2 </w:t>
            </w:r>
          </w:p>
        </w:tc>
      </w:tr>
      <w:tr w:rsidR="00410FB6" w:rsidRPr="00BC05AD" w14:paraId="4174FD9D" w14:textId="77777777" w:rsidTr="005011BF">
        <w:trPr>
          <w:cantSplit/>
          <w:trHeight w:val="318"/>
          <w:tblHeader/>
        </w:trPr>
        <w:tc>
          <w:tcPr>
            <w:tcW w:w="2036" w:type="dxa"/>
            <w:tcBorders>
              <w:top w:val="nil"/>
              <w:left w:val="nil"/>
              <w:bottom w:val="nil"/>
              <w:right w:val="nil"/>
            </w:tcBorders>
          </w:tcPr>
          <w:p w14:paraId="44765F8F" w14:textId="77777777" w:rsidR="00410FB6" w:rsidRPr="00BC05AD" w:rsidRDefault="00410FB6" w:rsidP="005011BF">
            <w:pPr>
              <w:pStyle w:val="Normal1"/>
              <w:spacing w:after="0" w:line="240" w:lineRule="auto"/>
              <w:ind w:left="122" w:right="0" w:firstLine="0"/>
              <w:jc w:val="left"/>
              <w:rPr>
                <w:color w:val="000000" w:themeColor="text1"/>
              </w:rPr>
            </w:pPr>
            <w:r w:rsidRPr="00BC05AD">
              <w:rPr>
                <w:color w:val="000000" w:themeColor="text1"/>
              </w:rPr>
              <w:t xml:space="preserve">Significance level </w:t>
            </w:r>
          </w:p>
        </w:tc>
        <w:tc>
          <w:tcPr>
            <w:tcW w:w="4038" w:type="dxa"/>
            <w:tcBorders>
              <w:top w:val="nil"/>
              <w:left w:val="nil"/>
              <w:bottom w:val="nil"/>
              <w:right w:val="nil"/>
            </w:tcBorders>
          </w:tcPr>
          <w:p w14:paraId="0C3CC27A" w14:textId="77777777" w:rsidR="00410FB6" w:rsidRPr="00BC05AD" w:rsidRDefault="00410FB6" w:rsidP="005011BF">
            <w:pPr>
              <w:pStyle w:val="Normal1"/>
              <w:spacing w:after="0" w:line="240" w:lineRule="auto"/>
              <w:ind w:left="620" w:right="0" w:firstLine="0"/>
              <w:jc w:val="center"/>
              <w:rPr>
                <w:color w:val="000000" w:themeColor="text1"/>
              </w:rPr>
            </w:pPr>
            <w:r w:rsidRPr="00BC05AD">
              <w:rPr>
                <w:color w:val="000000" w:themeColor="text1"/>
              </w:rPr>
              <w:t xml:space="preserve">Lower bound </w:t>
            </w:r>
            <w:proofErr w:type="gramStart"/>
            <w:r w:rsidRPr="00BC05AD">
              <w:rPr>
                <w:color w:val="000000" w:themeColor="text1"/>
              </w:rPr>
              <w:t>I(</w:t>
            </w:r>
            <w:proofErr w:type="gramEnd"/>
            <w:r w:rsidRPr="00BC05AD">
              <w:rPr>
                <w:color w:val="000000" w:themeColor="text1"/>
              </w:rPr>
              <w:t>0)</w:t>
            </w:r>
          </w:p>
        </w:tc>
        <w:tc>
          <w:tcPr>
            <w:tcW w:w="3516" w:type="dxa"/>
            <w:tcBorders>
              <w:top w:val="nil"/>
              <w:left w:val="nil"/>
              <w:bottom w:val="nil"/>
              <w:right w:val="nil"/>
            </w:tcBorders>
          </w:tcPr>
          <w:p w14:paraId="11FD676A" w14:textId="77777777" w:rsidR="00410FB6" w:rsidRPr="00BC05AD" w:rsidRDefault="00410FB6" w:rsidP="005011BF">
            <w:pPr>
              <w:pStyle w:val="Normal1"/>
              <w:spacing w:after="0" w:line="240" w:lineRule="auto"/>
              <w:ind w:left="0" w:right="0" w:firstLine="0"/>
              <w:jc w:val="center"/>
              <w:rPr>
                <w:color w:val="000000" w:themeColor="text1"/>
              </w:rPr>
            </w:pPr>
            <w:r w:rsidRPr="00BC05AD">
              <w:rPr>
                <w:color w:val="000000" w:themeColor="text1"/>
              </w:rPr>
              <w:t xml:space="preserve">Upper bound </w:t>
            </w:r>
            <w:proofErr w:type="gramStart"/>
            <w:r w:rsidRPr="00BC05AD">
              <w:rPr>
                <w:color w:val="000000" w:themeColor="text1"/>
              </w:rPr>
              <w:t>I(</w:t>
            </w:r>
            <w:proofErr w:type="gramEnd"/>
            <w:r w:rsidRPr="00BC05AD">
              <w:rPr>
                <w:color w:val="000000" w:themeColor="text1"/>
              </w:rPr>
              <w:t>1)</w:t>
            </w:r>
          </w:p>
        </w:tc>
      </w:tr>
      <w:tr w:rsidR="00410FB6" w:rsidRPr="00BC05AD" w14:paraId="3779A4D4" w14:textId="77777777" w:rsidTr="005011BF">
        <w:trPr>
          <w:cantSplit/>
          <w:trHeight w:val="318"/>
          <w:tblHeader/>
        </w:trPr>
        <w:tc>
          <w:tcPr>
            <w:tcW w:w="2036" w:type="dxa"/>
            <w:tcBorders>
              <w:top w:val="nil"/>
              <w:left w:val="nil"/>
              <w:bottom w:val="nil"/>
              <w:right w:val="nil"/>
            </w:tcBorders>
          </w:tcPr>
          <w:p w14:paraId="40323B0A" w14:textId="77777777" w:rsidR="00410FB6" w:rsidRPr="00BC05AD" w:rsidRDefault="00410FB6" w:rsidP="005011BF">
            <w:pPr>
              <w:pStyle w:val="Normal1"/>
              <w:spacing w:after="0" w:line="240" w:lineRule="auto"/>
              <w:ind w:left="122" w:right="0" w:firstLine="0"/>
              <w:jc w:val="left"/>
              <w:rPr>
                <w:color w:val="000000" w:themeColor="text1"/>
              </w:rPr>
            </w:pPr>
            <w:r w:rsidRPr="00BC05AD">
              <w:rPr>
                <w:color w:val="000000" w:themeColor="text1"/>
              </w:rPr>
              <w:t xml:space="preserve">10% </w:t>
            </w:r>
          </w:p>
        </w:tc>
        <w:tc>
          <w:tcPr>
            <w:tcW w:w="4038" w:type="dxa"/>
            <w:tcBorders>
              <w:top w:val="nil"/>
              <w:left w:val="nil"/>
              <w:bottom w:val="nil"/>
              <w:right w:val="nil"/>
            </w:tcBorders>
            <w:vAlign w:val="bottom"/>
          </w:tcPr>
          <w:p w14:paraId="620FC1A7"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2.63</w:t>
            </w:r>
          </w:p>
        </w:tc>
        <w:tc>
          <w:tcPr>
            <w:tcW w:w="3516" w:type="dxa"/>
            <w:tcBorders>
              <w:top w:val="nil"/>
              <w:left w:val="nil"/>
              <w:bottom w:val="nil"/>
              <w:right w:val="nil"/>
            </w:tcBorders>
            <w:vAlign w:val="bottom"/>
          </w:tcPr>
          <w:p w14:paraId="11850767"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3.35</w:t>
            </w:r>
          </w:p>
        </w:tc>
      </w:tr>
      <w:tr w:rsidR="00410FB6" w:rsidRPr="00BC05AD" w14:paraId="64BC9E01" w14:textId="77777777" w:rsidTr="005011BF">
        <w:trPr>
          <w:cantSplit/>
          <w:trHeight w:val="317"/>
          <w:tblHeader/>
        </w:trPr>
        <w:tc>
          <w:tcPr>
            <w:tcW w:w="2036" w:type="dxa"/>
            <w:tcBorders>
              <w:top w:val="nil"/>
              <w:left w:val="nil"/>
              <w:bottom w:val="nil"/>
              <w:right w:val="nil"/>
            </w:tcBorders>
          </w:tcPr>
          <w:p w14:paraId="50B52B83" w14:textId="77777777" w:rsidR="00410FB6" w:rsidRPr="00BC05AD" w:rsidRDefault="00410FB6" w:rsidP="005011BF">
            <w:pPr>
              <w:pStyle w:val="Normal1"/>
              <w:spacing w:after="0" w:line="240" w:lineRule="auto"/>
              <w:ind w:left="122" w:right="0" w:firstLine="0"/>
              <w:jc w:val="left"/>
              <w:rPr>
                <w:color w:val="000000" w:themeColor="text1"/>
              </w:rPr>
            </w:pPr>
            <w:r w:rsidRPr="00BC05AD">
              <w:rPr>
                <w:color w:val="000000" w:themeColor="text1"/>
              </w:rPr>
              <w:t xml:space="preserve">5% </w:t>
            </w:r>
          </w:p>
        </w:tc>
        <w:tc>
          <w:tcPr>
            <w:tcW w:w="4038" w:type="dxa"/>
            <w:tcBorders>
              <w:top w:val="nil"/>
              <w:left w:val="nil"/>
              <w:bottom w:val="nil"/>
              <w:right w:val="nil"/>
            </w:tcBorders>
            <w:vAlign w:val="bottom"/>
          </w:tcPr>
          <w:p w14:paraId="515319E7"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3.1</w:t>
            </w:r>
          </w:p>
        </w:tc>
        <w:tc>
          <w:tcPr>
            <w:tcW w:w="3516" w:type="dxa"/>
            <w:tcBorders>
              <w:top w:val="nil"/>
              <w:left w:val="nil"/>
              <w:bottom w:val="nil"/>
              <w:right w:val="nil"/>
            </w:tcBorders>
            <w:vAlign w:val="bottom"/>
          </w:tcPr>
          <w:p w14:paraId="7C15A089"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3.87</w:t>
            </w:r>
          </w:p>
        </w:tc>
      </w:tr>
      <w:tr w:rsidR="00410FB6" w:rsidRPr="00BC05AD" w14:paraId="2E975C50" w14:textId="77777777" w:rsidTr="005011BF">
        <w:trPr>
          <w:cantSplit/>
          <w:trHeight w:val="317"/>
          <w:tblHeader/>
        </w:trPr>
        <w:tc>
          <w:tcPr>
            <w:tcW w:w="2036" w:type="dxa"/>
            <w:tcBorders>
              <w:top w:val="nil"/>
              <w:left w:val="nil"/>
              <w:bottom w:val="nil"/>
              <w:right w:val="nil"/>
            </w:tcBorders>
          </w:tcPr>
          <w:p w14:paraId="33067E7B" w14:textId="77777777" w:rsidR="00410FB6" w:rsidRPr="00BC05AD" w:rsidRDefault="00410FB6" w:rsidP="005011BF">
            <w:pPr>
              <w:pStyle w:val="Normal1"/>
              <w:spacing w:after="0" w:line="240" w:lineRule="auto"/>
              <w:ind w:left="122" w:right="0" w:firstLine="0"/>
              <w:jc w:val="left"/>
              <w:rPr>
                <w:color w:val="000000" w:themeColor="text1"/>
              </w:rPr>
            </w:pPr>
            <w:r w:rsidRPr="00BC05AD">
              <w:rPr>
                <w:color w:val="000000" w:themeColor="text1"/>
              </w:rPr>
              <w:t xml:space="preserve">2.5% </w:t>
            </w:r>
          </w:p>
        </w:tc>
        <w:tc>
          <w:tcPr>
            <w:tcW w:w="4038" w:type="dxa"/>
            <w:tcBorders>
              <w:top w:val="nil"/>
              <w:left w:val="nil"/>
              <w:bottom w:val="nil"/>
              <w:right w:val="nil"/>
            </w:tcBorders>
            <w:vAlign w:val="bottom"/>
          </w:tcPr>
          <w:p w14:paraId="1B2F00AA"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3.55</w:t>
            </w:r>
          </w:p>
        </w:tc>
        <w:tc>
          <w:tcPr>
            <w:tcW w:w="3516" w:type="dxa"/>
            <w:tcBorders>
              <w:top w:val="nil"/>
              <w:left w:val="nil"/>
              <w:bottom w:val="nil"/>
              <w:right w:val="nil"/>
            </w:tcBorders>
            <w:vAlign w:val="bottom"/>
          </w:tcPr>
          <w:p w14:paraId="75393446"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4.38</w:t>
            </w:r>
          </w:p>
        </w:tc>
      </w:tr>
      <w:tr w:rsidR="00410FB6" w:rsidRPr="00BC05AD" w14:paraId="70DD367F" w14:textId="77777777" w:rsidTr="005011BF">
        <w:trPr>
          <w:cantSplit/>
          <w:trHeight w:val="326"/>
          <w:tblHeader/>
        </w:trPr>
        <w:tc>
          <w:tcPr>
            <w:tcW w:w="2036" w:type="dxa"/>
            <w:tcBorders>
              <w:top w:val="nil"/>
              <w:left w:val="nil"/>
              <w:bottom w:val="single" w:sz="8" w:space="0" w:color="000000"/>
              <w:right w:val="nil"/>
            </w:tcBorders>
          </w:tcPr>
          <w:p w14:paraId="7FBD3EB4" w14:textId="77777777" w:rsidR="00410FB6" w:rsidRPr="00BC05AD" w:rsidRDefault="00410FB6" w:rsidP="005011BF">
            <w:pPr>
              <w:pStyle w:val="Normal1"/>
              <w:spacing w:after="0" w:line="240" w:lineRule="auto"/>
              <w:ind w:left="122" w:right="0" w:firstLine="0"/>
              <w:jc w:val="left"/>
              <w:rPr>
                <w:color w:val="000000" w:themeColor="text1"/>
              </w:rPr>
            </w:pPr>
            <w:r w:rsidRPr="00BC05AD">
              <w:rPr>
                <w:color w:val="000000" w:themeColor="text1"/>
              </w:rPr>
              <w:t xml:space="preserve">1% </w:t>
            </w:r>
          </w:p>
        </w:tc>
        <w:tc>
          <w:tcPr>
            <w:tcW w:w="4038" w:type="dxa"/>
            <w:tcBorders>
              <w:top w:val="nil"/>
              <w:left w:val="nil"/>
              <w:bottom w:val="single" w:sz="8" w:space="0" w:color="000000"/>
              <w:right w:val="nil"/>
            </w:tcBorders>
            <w:vAlign w:val="bottom"/>
          </w:tcPr>
          <w:p w14:paraId="1A1B70D6"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4.13</w:t>
            </w:r>
          </w:p>
        </w:tc>
        <w:tc>
          <w:tcPr>
            <w:tcW w:w="3516" w:type="dxa"/>
            <w:tcBorders>
              <w:top w:val="nil"/>
              <w:left w:val="nil"/>
              <w:bottom w:val="single" w:sz="8" w:space="0" w:color="000000"/>
              <w:right w:val="nil"/>
            </w:tcBorders>
            <w:vAlign w:val="bottom"/>
          </w:tcPr>
          <w:p w14:paraId="29C47585" w14:textId="77777777" w:rsidR="00410FB6" w:rsidRPr="00BC05AD" w:rsidRDefault="00410FB6" w:rsidP="005011BF">
            <w:pPr>
              <w:autoSpaceDE w:val="0"/>
              <w:autoSpaceDN w:val="0"/>
              <w:adjustRightInd w:val="0"/>
              <w:spacing w:after="0" w:line="240" w:lineRule="auto"/>
              <w:ind w:right="10"/>
              <w:jc w:val="center"/>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5</w:t>
            </w:r>
          </w:p>
        </w:tc>
      </w:tr>
    </w:tbl>
    <w:p w14:paraId="71809567" w14:textId="77777777" w:rsidR="00410FB6" w:rsidRPr="00BC05AD" w:rsidRDefault="00410FB6" w:rsidP="00410FB6">
      <w:pPr>
        <w:pStyle w:val="ds-markdown-paragraph"/>
        <w:shd w:val="clear" w:color="auto" w:fill="FFFFFF"/>
        <w:spacing w:before="0" w:beforeAutospacing="0" w:after="0" w:afterAutospacing="0"/>
        <w:rPr>
          <w:color w:val="000000" w:themeColor="text1"/>
        </w:rPr>
      </w:pPr>
      <w:r w:rsidRPr="00BC05AD">
        <w:rPr>
          <w:rStyle w:val="Emphasis"/>
          <w:color w:val="000000" w:themeColor="text1"/>
        </w:rPr>
        <w:t>Note: K = Number of Variables</w:t>
      </w:r>
    </w:p>
    <w:p w14:paraId="6CF08694" w14:textId="77777777" w:rsidR="003E2170" w:rsidRPr="00BC05AD" w:rsidRDefault="00410FB6" w:rsidP="003E2170">
      <w:pPr>
        <w:pStyle w:val="ds-markdown-paragraph"/>
        <w:shd w:val="clear" w:color="auto" w:fill="FFFFFF"/>
        <w:spacing w:before="0" w:beforeAutospacing="0" w:after="0" w:afterAutospacing="0" w:line="480" w:lineRule="auto"/>
        <w:rPr>
          <w:rStyle w:val="Emphasis"/>
          <w:color w:val="000000" w:themeColor="text1"/>
        </w:rPr>
      </w:pPr>
      <w:r w:rsidRPr="00BC05AD">
        <w:rPr>
          <w:rStyle w:val="Emphasis"/>
          <w:color w:val="000000" w:themeColor="text1"/>
        </w:rPr>
        <w:t>Source: Author's Computation from EViews 10 (2026)</w:t>
      </w:r>
    </w:p>
    <w:p w14:paraId="6267C6D6" w14:textId="77777777" w:rsidR="00410FB6" w:rsidRPr="00BC05AD" w:rsidRDefault="00504F78" w:rsidP="003E2170">
      <w:pPr>
        <w:pStyle w:val="ds-markdown-paragraph"/>
        <w:shd w:val="clear" w:color="auto" w:fill="FFFFFF"/>
        <w:spacing w:before="0" w:beforeAutospacing="0" w:after="0" w:afterAutospacing="0" w:line="360" w:lineRule="auto"/>
        <w:jc w:val="both"/>
        <w:rPr>
          <w:color w:val="000000" w:themeColor="text1"/>
        </w:rPr>
      </w:pPr>
      <w:r>
        <w:rPr>
          <w:color w:val="000000" w:themeColor="text1"/>
        </w:rPr>
        <w:t xml:space="preserve">The ARDL </w:t>
      </w:r>
      <w:r>
        <w:rPr>
          <w:color w:val="000000" w:themeColor="text1"/>
          <w:highlight w:val="yellow"/>
        </w:rPr>
        <w:t>b</w:t>
      </w:r>
      <w:r>
        <w:rPr>
          <w:color w:val="000000" w:themeColor="text1"/>
        </w:rPr>
        <w:t xml:space="preserve">ounds </w:t>
      </w:r>
      <w:r>
        <w:rPr>
          <w:color w:val="000000" w:themeColor="text1"/>
          <w:highlight w:val="yellow"/>
        </w:rPr>
        <w:t>t</w:t>
      </w:r>
      <w:r>
        <w:rPr>
          <w:color w:val="000000" w:themeColor="text1"/>
        </w:rPr>
        <w:t>est suggest</w:t>
      </w:r>
      <w:r>
        <w:rPr>
          <w:color w:val="000000" w:themeColor="text1"/>
          <w:highlight w:val="yellow"/>
        </w:rPr>
        <w:t>ed</w:t>
      </w:r>
      <w:r>
        <w:rPr>
          <w:color w:val="000000" w:themeColor="text1"/>
        </w:rPr>
        <w:t xml:space="preserve"> that the calculated F-statistic is below the lower bound critical value for all conventional significance levels. Thus, the null hypothesis (no long-run relationship) is accepted, suggesting that there w</w:t>
      </w:r>
      <w:r>
        <w:rPr>
          <w:color w:val="000000" w:themeColor="text1"/>
          <w:highlight w:val="yellow"/>
        </w:rPr>
        <w:t>as</w:t>
      </w:r>
      <w:r>
        <w:rPr>
          <w:color w:val="000000" w:themeColor="text1"/>
        </w:rPr>
        <w:t xml:space="preserve"> no stable long-run equilibrium relationship between economic growth, gross capital formation and literacy rate within the period of study. </w:t>
      </w:r>
      <w:r>
        <w:rPr>
          <w:color w:val="000000" w:themeColor="text1"/>
          <w:highlight w:val="yellow"/>
        </w:rPr>
        <w:t>Giv</w:t>
      </w:r>
      <w:r>
        <w:rPr>
          <w:color w:val="000000" w:themeColor="text1"/>
        </w:rPr>
        <w:t>e</w:t>
      </w:r>
      <w:r>
        <w:rPr>
          <w:color w:val="000000" w:themeColor="text1"/>
          <w:highlight w:val="yellow"/>
        </w:rPr>
        <w:t>n</w:t>
      </w:r>
      <w:r>
        <w:rPr>
          <w:color w:val="000000" w:themeColor="text1"/>
        </w:rPr>
        <w:t xml:space="preserve"> the a</w:t>
      </w:r>
      <w:r>
        <w:rPr>
          <w:color w:val="000000" w:themeColor="text1"/>
          <w:highlight w:val="yellow"/>
        </w:rPr>
        <w:t>bsen</w:t>
      </w:r>
      <w:r>
        <w:rPr>
          <w:color w:val="000000" w:themeColor="text1"/>
        </w:rPr>
        <w:t>c</w:t>
      </w:r>
      <w:r>
        <w:rPr>
          <w:color w:val="000000" w:themeColor="text1"/>
          <w:highlight w:val="yellow"/>
        </w:rPr>
        <w:t>e</w:t>
      </w:r>
      <w:r>
        <w:rPr>
          <w:color w:val="000000" w:themeColor="text1"/>
        </w:rPr>
        <w:t xml:space="preserve"> of cointegration, the estimation and interpretation of an Error Correction Model (ECM) </w:t>
      </w:r>
      <w:r>
        <w:rPr>
          <w:color w:val="000000" w:themeColor="text1"/>
          <w:highlight w:val="yellow"/>
        </w:rPr>
        <w:t>are</w:t>
      </w:r>
      <w:r>
        <w:rPr>
          <w:color w:val="000000" w:themeColor="text1"/>
        </w:rPr>
        <w:t xml:space="preserve"> not </w:t>
      </w:r>
      <w:r>
        <w:rPr>
          <w:color w:val="000000" w:themeColor="text1"/>
          <w:highlight w:val="yellow"/>
        </w:rPr>
        <w:t>econometr</w:t>
      </w:r>
      <w:r>
        <w:rPr>
          <w:color w:val="000000" w:themeColor="text1"/>
        </w:rPr>
        <w:t>i</w:t>
      </w:r>
      <w:r>
        <w:rPr>
          <w:color w:val="000000" w:themeColor="text1"/>
          <w:highlight w:val="yellow"/>
        </w:rPr>
        <w:t>cally appropria</w:t>
      </w:r>
      <w:r>
        <w:rPr>
          <w:color w:val="000000" w:themeColor="text1"/>
        </w:rPr>
        <w:t xml:space="preserve">te. For this reason, the following analysis is limited to the short-run ARDL estimates and post-estimation diagnostic tests, and any implications </w:t>
      </w:r>
      <w:r>
        <w:rPr>
          <w:color w:val="000000" w:themeColor="text1"/>
          <w:highlight w:val="yellow"/>
        </w:rPr>
        <w:t>reg</w:t>
      </w:r>
      <w:r>
        <w:rPr>
          <w:color w:val="000000" w:themeColor="text1"/>
        </w:rPr>
        <w:t>a</w:t>
      </w:r>
      <w:r>
        <w:rPr>
          <w:color w:val="000000" w:themeColor="text1"/>
          <w:highlight w:val="yellow"/>
        </w:rPr>
        <w:t>rding</w:t>
      </w:r>
      <w:r>
        <w:rPr>
          <w:color w:val="000000" w:themeColor="text1"/>
        </w:rPr>
        <w:t xml:space="preserve"> long-run coefficients and the speed of adjustment are excluded as can be seen in Table 5.</w:t>
      </w:r>
    </w:p>
    <w:p w14:paraId="4243EF50" w14:textId="77777777" w:rsidR="00410FB6" w:rsidRPr="00BC05AD" w:rsidRDefault="00410FB6" w:rsidP="00410FB6">
      <w:pPr>
        <w:shd w:val="clear" w:color="auto" w:fill="FFFFFF"/>
        <w:spacing w:after="0" w:line="240" w:lineRule="auto"/>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bCs/>
          <w:color w:val="000000" w:themeColor="text1"/>
          <w:sz w:val="24"/>
          <w:szCs w:val="24"/>
        </w:rPr>
        <w:t>Table 5: Diagnostic Test Results</w:t>
      </w:r>
    </w:p>
    <w:tbl>
      <w:tblPr>
        <w:tblW w:w="5000" w:type="pct"/>
        <w:tblBorders>
          <w:top w:val="single" w:sz="8" w:space="0" w:color="000000"/>
          <w:bottom w:val="single" w:sz="8" w:space="0" w:color="000000"/>
        </w:tblBorders>
        <w:tblLook w:val="06A0" w:firstRow="1" w:lastRow="0" w:firstColumn="1" w:lastColumn="0" w:noHBand="1" w:noVBand="1"/>
      </w:tblPr>
      <w:tblGrid>
        <w:gridCol w:w="6150"/>
        <w:gridCol w:w="1967"/>
        <w:gridCol w:w="1459"/>
      </w:tblGrid>
      <w:tr w:rsidR="00410FB6" w:rsidRPr="00BC05AD" w14:paraId="7D97DD59" w14:textId="77777777" w:rsidTr="005011BF">
        <w:tc>
          <w:tcPr>
            <w:tcW w:w="3211" w:type="pct"/>
            <w:tcBorders>
              <w:top w:val="single" w:sz="8" w:space="0" w:color="000000"/>
              <w:left w:val="nil"/>
              <w:bottom w:val="single" w:sz="8" w:space="0" w:color="000000"/>
              <w:right w:val="nil"/>
            </w:tcBorders>
            <w:hideMark/>
          </w:tcPr>
          <w:p w14:paraId="4340954C" w14:textId="77777777" w:rsidR="00410FB6" w:rsidRPr="00BC05AD" w:rsidRDefault="00410FB6" w:rsidP="005011BF">
            <w:pPr>
              <w:spacing w:after="0" w:line="240" w:lineRule="auto"/>
              <w:rPr>
                <w:rFonts w:ascii="Times New Roman" w:eastAsia="Times New Roman" w:hAnsi="Times New Roman" w:cs="Times New Roman"/>
                <w:bCs/>
                <w:color w:val="000000" w:themeColor="text1"/>
                <w:sz w:val="24"/>
                <w:szCs w:val="24"/>
              </w:rPr>
            </w:pPr>
            <w:r w:rsidRPr="00BC05AD">
              <w:rPr>
                <w:rFonts w:ascii="Times New Roman" w:eastAsia="Times New Roman" w:hAnsi="Times New Roman" w:cs="Times New Roman"/>
                <w:bCs/>
                <w:color w:val="000000" w:themeColor="text1"/>
                <w:sz w:val="24"/>
                <w:szCs w:val="24"/>
              </w:rPr>
              <w:t>Diagnostic Tests</w:t>
            </w:r>
          </w:p>
        </w:tc>
        <w:tc>
          <w:tcPr>
            <w:tcW w:w="1027" w:type="pct"/>
            <w:tcBorders>
              <w:top w:val="single" w:sz="8" w:space="0" w:color="000000"/>
              <w:left w:val="nil"/>
              <w:bottom w:val="single" w:sz="8" w:space="0" w:color="000000"/>
              <w:right w:val="nil"/>
            </w:tcBorders>
            <w:hideMark/>
          </w:tcPr>
          <w:p w14:paraId="1FAC5828" w14:textId="77777777" w:rsidR="00410FB6" w:rsidRPr="00BC05AD" w:rsidRDefault="00410FB6" w:rsidP="005011BF">
            <w:pPr>
              <w:spacing w:after="0" w:line="240" w:lineRule="auto"/>
              <w:rPr>
                <w:rFonts w:ascii="Times New Roman" w:eastAsia="Times New Roman" w:hAnsi="Times New Roman" w:cs="Times New Roman"/>
                <w:bCs/>
                <w:color w:val="000000" w:themeColor="text1"/>
                <w:sz w:val="24"/>
                <w:szCs w:val="24"/>
              </w:rPr>
            </w:pPr>
            <w:r w:rsidRPr="00BC05AD">
              <w:rPr>
                <w:rFonts w:ascii="Times New Roman" w:eastAsia="Times New Roman" w:hAnsi="Times New Roman" w:cs="Times New Roman"/>
                <w:bCs/>
                <w:color w:val="000000" w:themeColor="text1"/>
                <w:sz w:val="24"/>
                <w:szCs w:val="24"/>
              </w:rPr>
              <w:t>F-statistics</w:t>
            </w:r>
          </w:p>
        </w:tc>
        <w:tc>
          <w:tcPr>
            <w:tcW w:w="762" w:type="pct"/>
            <w:tcBorders>
              <w:top w:val="single" w:sz="8" w:space="0" w:color="000000"/>
              <w:left w:val="nil"/>
              <w:bottom w:val="single" w:sz="8" w:space="0" w:color="000000"/>
              <w:right w:val="nil"/>
            </w:tcBorders>
            <w:hideMark/>
          </w:tcPr>
          <w:p w14:paraId="31BEBE50" w14:textId="77777777" w:rsidR="00410FB6" w:rsidRPr="00BC05AD" w:rsidRDefault="00410FB6" w:rsidP="005011BF">
            <w:pPr>
              <w:spacing w:after="0" w:line="240" w:lineRule="auto"/>
              <w:rPr>
                <w:rFonts w:ascii="Times New Roman" w:eastAsia="Times New Roman" w:hAnsi="Times New Roman" w:cs="Times New Roman"/>
                <w:bCs/>
                <w:color w:val="000000" w:themeColor="text1"/>
                <w:sz w:val="24"/>
                <w:szCs w:val="24"/>
              </w:rPr>
            </w:pPr>
            <w:r w:rsidRPr="00BC05AD">
              <w:rPr>
                <w:rFonts w:ascii="Times New Roman" w:eastAsia="Times New Roman" w:hAnsi="Times New Roman" w:cs="Times New Roman"/>
                <w:bCs/>
                <w:color w:val="000000" w:themeColor="text1"/>
                <w:sz w:val="24"/>
                <w:szCs w:val="24"/>
              </w:rPr>
              <w:t>Probability</w:t>
            </w:r>
          </w:p>
        </w:tc>
      </w:tr>
      <w:tr w:rsidR="00410FB6" w:rsidRPr="00BC05AD" w14:paraId="2355A4A7" w14:textId="77777777" w:rsidTr="005011BF">
        <w:tc>
          <w:tcPr>
            <w:tcW w:w="3211" w:type="pct"/>
            <w:hideMark/>
          </w:tcPr>
          <w:p w14:paraId="46139AD0" w14:textId="77777777" w:rsidR="00410FB6" w:rsidRPr="00BC05AD" w:rsidRDefault="00410FB6" w:rsidP="005011BF">
            <w:pPr>
              <w:spacing w:after="0" w:line="240" w:lineRule="auto"/>
              <w:rPr>
                <w:rFonts w:ascii="Times New Roman" w:eastAsia="Times New Roman" w:hAnsi="Times New Roman" w:cs="Times New Roman"/>
                <w:bCs/>
                <w:color w:val="000000" w:themeColor="text1"/>
                <w:sz w:val="24"/>
                <w:szCs w:val="24"/>
              </w:rPr>
            </w:pPr>
            <w:r w:rsidRPr="00BC05AD">
              <w:rPr>
                <w:rFonts w:ascii="Times New Roman" w:eastAsia="Times New Roman" w:hAnsi="Times New Roman" w:cs="Times New Roman"/>
                <w:bCs/>
                <w:color w:val="000000" w:themeColor="text1"/>
                <w:sz w:val="24"/>
                <w:szCs w:val="24"/>
              </w:rPr>
              <w:t>Jarque-Bera</w:t>
            </w:r>
          </w:p>
        </w:tc>
        <w:tc>
          <w:tcPr>
            <w:tcW w:w="1027" w:type="pct"/>
            <w:hideMark/>
          </w:tcPr>
          <w:p w14:paraId="79270496" w14:textId="77777777" w:rsidR="00410FB6" w:rsidRPr="00BC05AD" w:rsidRDefault="00410FB6" w:rsidP="00DA7B0A">
            <w:pPr>
              <w:spacing w:after="0" w:line="240" w:lineRule="auto"/>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color w:val="000000" w:themeColor="text1"/>
                <w:sz w:val="24"/>
                <w:szCs w:val="24"/>
              </w:rPr>
              <w:t>0.</w:t>
            </w:r>
            <w:r w:rsidR="00DA7B0A" w:rsidRPr="00BC05AD">
              <w:rPr>
                <w:rFonts w:ascii="Times New Roman" w:eastAsia="Times New Roman" w:hAnsi="Times New Roman" w:cs="Times New Roman"/>
                <w:color w:val="000000" w:themeColor="text1"/>
                <w:sz w:val="24"/>
                <w:szCs w:val="24"/>
              </w:rPr>
              <w:t>515261</w:t>
            </w:r>
          </w:p>
        </w:tc>
        <w:tc>
          <w:tcPr>
            <w:tcW w:w="762" w:type="pct"/>
            <w:hideMark/>
          </w:tcPr>
          <w:p w14:paraId="68E7E554" w14:textId="77777777" w:rsidR="00410FB6" w:rsidRPr="00BC05AD" w:rsidRDefault="00410FB6" w:rsidP="00DA7B0A">
            <w:pPr>
              <w:spacing w:after="0" w:line="240" w:lineRule="auto"/>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color w:val="000000" w:themeColor="text1"/>
                <w:sz w:val="24"/>
                <w:szCs w:val="24"/>
              </w:rPr>
              <w:t>0.7</w:t>
            </w:r>
            <w:r w:rsidR="00DA7B0A" w:rsidRPr="00BC05AD">
              <w:rPr>
                <w:rFonts w:ascii="Times New Roman" w:eastAsia="Times New Roman" w:hAnsi="Times New Roman" w:cs="Times New Roman"/>
                <w:color w:val="000000" w:themeColor="text1"/>
                <w:sz w:val="24"/>
                <w:szCs w:val="24"/>
              </w:rPr>
              <w:t>728</w:t>
            </w:r>
          </w:p>
        </w:tc>
      </w:tr>
      <w:tr w:rsidR="00410FB6" w:rsidRPr="00BC05AD" w14:paraId="71ADAB39" w14:textId="77777777" w:rsidTr="005011BF">
        <w:tc>
          <w:tcPr>
            <w:tcW w:w="3211" w:type="pct"/>
            <w:hideMark/>
          </w:tcPr>
          <w:p w14:paraId="279A6C0B" w14:textId="77777777" w:rsidR="00410FB6" w:rsidRPr="00BC05AD" w:rsidRDefault="00410FB6" w:rsidP="005011BF">
            <w:pPr>
              <w:spacing w:after="0" w:line="240" w:lineRule="auto"/>
              <w:rPr>
                <w:rFonts w:ascii="Times New Roman" w:eastAsia="Times New Roman" w:hAnsi="Times New Roman" w:cs="Times New Roman"/>
                <w:bCs/>
                <w:color w:val="000000" w:themeColor="text1"/>
                <w:sz w:val="24"/>
                <w:szCs w:val="24"/>
              </w:rPr>
            </w:pPr>
            <w:r w:rsidRPr="00BC05AD">
              <w:rPr>
                <w:rFonts w:ascii="Times New Roman" w:eastAsia="Times New Roman" w:hAnsi="Times New Roman" w:cs="Times New Roman"/>
                <w:bCs/>
                <w:color w:val="000000" w:themeColor="text1"/>
                <w:sz w:val="24"/>
                <w:szCs w:val="24"/>
              </w:rPr>
              <w:t>Breusch-Godfrey Serial Correlation LM Test</w:t>
            </w:r>
          </w:p>
        </w:tc>
        <w:tc>
          <w:tcPr>
            <w:tcW w:w="1027" w:type="pct"/>
            <w:hideMark/>
          </w:tcPr>
          <w:p w14:paraId="6A2F9F83" w14:textId="77777777" w:rsidR="00410FB6" w:rsidRPr="00BC05AD" w:rsidRDefault="00DA7B0A" w:rsidP="005011BF">
            <w:pPr>
              <w:spacing w:after="0" w:line="240" w:lineRule="auto"/>
              <w:rPr>
                <w:rFonts w:ascii="Times New Roman" w:eastAsia="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0.099568</w:t>
            </w:r>
          </w:p>
        </w:tc>
        <w:tc>
          <w:tcPr>
            <w:tcW w:w="762" w:type="pct"/>
            <w:hideMark/>
          </w:tcPr>
          <w:p w14:paraId="4007434D" w14:textId="77777777" w:rsidR="00410FB6" w:rsidRPr="00BC05AD" w:rsidRDefault="00410FB6" w:rsidP="00DA7B0A">
            <w:pPr>
              <w:spacing w:after="0" w:line="240" w:lineRule="auto"/>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color w:val="000000" w:themeColor="text1"/>
                <w:sz w:val="24"/>
                <w:szCs w:val="24"/>
              </w:rPr>
              <w:t>0.</w:t>
            </w:r>
            <w:r w:rsidR="00DA7B0A" w:rsidRPr="00BC05AD">
              <w:rPr>
                <w:rFonts w:ascii="Times New Roman" w:eastAsia="Times New Roman" w:hAnsi="Times New Roman" w:cs="Times New Roman"/>
                <w:color w:val="000000" w:themeColor="text1"/>
                <w:sz w:val="24"/>
                <w:szCs w:val="24"/>
              </w:rPr>
              <w:t>9063</w:t>
            </w:r>
          </w:p>
        </w:tc>
      </w:tr>
      <w:tr w:rsidR="00410FB6" w:rsidRPr="00BC05AD" w14:paraId="1131598B" w14:textId="77777777" w:rsidTr="005011BF">
        <w:tc>
          <w:tcPr>
            <w:tcW w:w="3211" w:type="pct"/>
            <w:hideMark/>
          </w:tcPr>
          <w:p w14:paraId="2E8EAA23" w14:textId="77777777" w:rsidR="00410FB6" w:rsidRPr="00BC05AD" w:rsidRDefault="00410FB6" w:rsidP="005011BF">
            <w:pPr>
              <w:spacing w:after="0" w:line="240" w:lineRule="auto"/>
              <w:rPr>
                <w:rFonts w:ascii="Times New Roman" w:eastAsia="Times New Roman" w:hAnsi="Times New Roman" w:cs="Times New Roman"/>
                <w:bCs/>
                <w:color w:val="000000" w:themeColor="text1"/>
                <w:sz w:val="24"/>
                <w:szCs w:val="24"/>
              </w:rPr>
            </w:pPr>
            <w:r w:rsidRPr="00BC05AD">
              <w:rPr>
                <w:rFonts w:ascii="Times New Roman" w:eastAsia="Times New Roman" w:hAnsi="Times New Roman" w:cs="Times New Roman"/>
                <w:bCs/>
                <w:color w:val="000000" w:themeColor="text1"/>
                <w:sz w:val="24"/>
                <w:szCs w:val="24"/>
              </w:rPr>
              <w:t>Heteroskedasticity Test: Breusch-Pagan-Godfrey</w:t>
            </w:r>
          </w:p>
        </w:tc>
        <w:tc>
          <w:tcPr>
            <w:tcW w:w="1027" w:type="pct"/>
            <w:hideMark/>
          </w:tcPr>
          <w:p w14:paraId="3221C114" w14:textId="77777777" w:rsidR="00410FB6" w:rsidRPr="00BC05AD" w:rsidRDefault="00DA7B0A" w:rsidP="005011BF">
            <w:pPr>
              <w:spacing w:after="0" w:line="240" w:lineRule="auto"/>
              <w:rPr>
                <w:rFonts w:ascii="Times New Roman" w:eastAsia="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0.498866</w:t>
            </w:r>
          </w:p>
        </w:tc>
        <w:tc>
          <w:tcPr>
            <w:tcW w:w="762" w:type="pct"/>
            <w:hideMark/>
          </w:tcPr>
          <w:p w14:paraId="53F8F73A" w14:textId="77777777" w:rsidR="00410FB6" w:rsidRPr="00BC05AD" w:rsidRDefault="00410FB6" w:rsidP="00DA7B0A">
            <w:pPr>
              <w:spacing w:after="0" w:line="240" w:lineRule="auto"/>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color w:val="000000" w:themeColor="text1"/>
                <w:sz w:val="24"/>
                <w:szCs w:val="24"/>
              </w:rPr>
              <w:t>0.8</w:t>
            </w:r>
            <w:r w:rsidR="00DA7B0A" w:rsidRPr="00BC05AD">
              <w:rPr>
                <w:rFonts w:ascii="Times New Roman" w:eastAsia="Times New Roman" w:hAnsi="Times New Roman" w:cs="Times New Roman"/>
                <w:color w:val="000000" w:themeColor="text1"/>
                <w:sz w:val="24"/>
                <w:szCs w:val="24"/>
              </w:rPr>
              <w:t>318</w:t>
            </w:r>
          </w:p>
        </w:tc>
      </w:tr>
      <w:tr w:rsidR="00410FB6" w:rsidRPr="00BC05AD" w14:paraId="4EEB8B99" w14:textId="77777777" w:rsidTr="005011BF">
        <w:tc>
          <w:tcPr>
            <w:tcW w:w="3211" w:type="pct"/>
            <w:hideMark/>
          </w:tcPr>
          <w:p w14:paraId="2D44EB6F" w14:textId="77777777" w:rsidR="00410FB6" w:rsidRPr="00BC05AD" w:rsidRDefault="00410FB6" w:rsidP="005011BF">
            <w:pPr>
              <w:spacing w:after="0" w:line="240" w:lineRule="auto"/>
              <w:rPr>
                <w:rFonts w:ascii="Times New Roman" w:eastAsia="Times New Roman" w:hAnsi="Times New Roman" w:cs="Times New Roman"/>
                <w:bCs/>
                <w:color w:val="000000" w:themeColor="text1"/>
                <w:sz w:val="24"/>
                <w:szCs w:val="24"/>
              </w:rPr>
            </w:pPr>
            <w:r w:rsidRPr="00BC05AD">
              <w:rPr>
                <w:rFonts w:ascii="Times New Roman" w:eastAsia="Times New Roman" w:hAnsi="Times New Roman" w:cs="Times New Roman"/>
                <w:bCs/>
                <w:color w:val="000000" w:themeColor="text1"/>
                <w:sz w:val="24"/>
                <w:szCs w:val="24"/>
              </w:rPr>
              <w:t>Ramsey RESET Test</w:t>
            </w:r>
          </w:p>
        </w:tc>
        <w:tc>
          <w:tcPr>
            <w:tcW w:w="1027" w:type="pct"/>
            <w:hideMark/>
          </w:tcPr>
          <w:p w14:paraId="4808D52B" w14:textId="77777777" w:rsidR="00410FB6" w:rsidRPr="00BC05AD" w:rsidRDefault="00DA7B0A" w:rsidP="005011BF">
            <w:pPr>
              <w:spacing w:after="0" w:line="240" w:lineRule="auto"/>
              <w:rPr>
                <w:rFonts w:ascii="Times New Roman" w:eastAsia="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0.622762</w:t>
            </w:r>
          </w:p>
        </w:tc>
        <w:tc>
          <w:tcPr>
            <w:tcW w:w="762" w:type="pct"/>
            <w:hideMark/>
          </w:tcPr>
          <w:p w14:paraId="15E6B647" w14:textId="77777777" w:rsidR="00410FB6" w:rsidRPr="00BC05AD" w:rsidRDefault="00410FB6" w:rsidP="00DA7B0A">
            <w:pPr>
              <w:spacing w:after="0" w:line="240" w:lineRule="auto"/>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color w:val="000000" w:themeColor="text1"/>
                <w:sz w:val="24"/>
                <w:szCs w:val="24"/>
              </w:rPr>
              <w:t>0.45</w:t>
            </w:r>
            <w:r w:rsidR="00DA7B0A" w:rsidRPr="00BC05AD">
              <w:rPr>
                <w:rFonts w:ascii="Times New Roman" w:eastAsia="Times New Roman" w:hAnsi="Times New Roman" w:cs="Times New Roman"/>
                <w:color w:val="000000" w:themeColor="text1"/>
                <w:sz w:val="24"/>
                <w:szCs w:val="24"/>
              </w:rPr>
              <w:t>03</w:t>
            </w:r>
          </w:p>
        </w:tc>
      </w:tr>
    </w:tbl>
    <w:p w14:paraId="3D574333" w14:textId="77777777" w:rsidR="00410FB6" w:rsidRPr="00BC05AD" w:rsidRDefault="00410FB6" w:rsidP="00410FB6">
      <w:pPr>
        <w:shd w:val="clear" w:color="auto" w:fill="FFFFFF"/>
        <w:spacing w:after="0" w:line="240" w:lineRule="auto"/>
        <w:rPr>
          <w:rFonts w:ascii="Times New Roman" w:eastAsia="Times New Roman" w:hAnsi="Times New Roman" w:cs="Times New Roman"/>
          <w:color w:val="000000" w:themeColor="text1"/>
          <w:sz w:val="24"/>
          <w:szCs w:val="24"/>
        </w:rPr>
      </w:pPr>
      <w:r w:rsidRPr="00BC05AD">
        <w:rPr>
          <w:rFonts w:ascii="Times New Roman" w:eastAsia="Times New Roman" w:hAnsi="Times New Roman" w:cs="Times New Roman"/>
          <w:i/>
          <w:iCs/>
          <w:color w:val="000000" w:themeColor="text1"/>
          <w:sz w:val="24"/>
          <w:szCs w:val="24"/>
        </w:rPr>
        <w:t>Source: Author's Computation from EViews 10 (2026)</w:t>
      </w:r>
    </w:p>
    <w:p w14:paraId="57B9D477" w14:textId="77777777" w:rsidR="00410FB6" w:rsidRPr="00BC05AD" w:rsidRDefault="00CB56EB" w:rsidP="003E2170">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results of the diagnostic test</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 xml:space="preserve"> for the reliability of the estimated ARDL model are shown in Table 5. </w:t>
      </w:r>
      <w:r>
        <w:rPr>
          <w:rFonts w:ascii="Times New Roman" w:hAnsi="Times New Roman" w:cs="Times New Roman"/>
          <w:color w:val="000000" w:themeColor="text1"/>
          <w:sz w:val="24"/>
          <w:szCs w:val="24"/>
          <w:highlight w:val="yellow"/>
        </w:rPr>
        <w:t>The</w:t>
      </w:r>
      <w:r>
        <w:rPr>
          <w:rFonts w:ascii="Times New Roman" w:hAnsi="Times New Roman" w:cs="Times New Roman"/>
          <w:color w:val="000000" w:themeColor="text1"/>
          <w:sz w:val="24"/>
          <w:szCs w:val="24"/>
        </w:rPr>
        <w:t xml:space="preserve"> Jarque–Bera test (Prob. = 0.7728) show</w:t>
      </w:r>
      <w:r>
        <w:rPr>
          <w:rFonts w:ascii="Times New Roman" w:hAnsi="Times New Roman" w:cs="Times New Roman"/>
          <w:color w:val="000000" w:themeColor="text1"/>
          <w:sz w:val="24"/>
          <w:szCs w:val="24"/>
          <w:highlight w:val="yellow"/>
        </w:rPr>
        <w:t>ed that</w:t>
      </w:r>
      <w:r>
        <w:rPr>
          <w:rFonts w:ascii="Times New Roman" w:hAnsi="Times New Roman" w:cs="Times New Roman"/>
          <w:color w:val="000000" w:themeColor="text1"/>
          <w:sz w:val="24"/>
          <w:szCs w:val="24"/>
        </w:rPr>
        <w:t xml:space="preserve"> the residuals ha</w:t>
      </w:r>
      <w:r>
        <w:rPr>
          <w:rFonts w:ascii="Times New Roman" w:hAnsi="Times New Roman" w:cs="Times New Roman"/>
          <w:color w:val="000000" w:themeColor="text1"/>
          <w:sz w:val="24"/>
          <w:szCs w:val="24"/>
          <w:highlight w:val="yellow"/>
        </w:rPr>
        <w:t>d</w:t>
      </w:r>
      <w:r>
        <w:rPr>
          <w:rFonts w:ascii="Times New Roman" w:hAnsi="Times New Roman" w:cs="Times New Roman"/>
          <w:color w:val="000000" w:themeColor="text1"/>
          <w:sz w:val="24"/>
          <w:szCs w:val="24"/>
        </w:rPr>
        <w:t xml:space="preserve"> a normal distribution, and a Breusch–Godfrey Serial Correlation LM Test (Prob. = 0.9063) suggest</w:t>
      </w:r>
      <w:r>
        <w:rPr>
          <w:rFonts w:ascii="Times New Roman" w:hAnsi="Times New Roman" w:cs="Times New Roman"/>
          <w:color w:val="000000" w:themeColor="text1"/>
          <w:sz w:val="24"/>
          <w:szCs w:val="24"/>
          <w:highlight w:val="yellow"/>
        </w:rPr>
        <w:t>ed that</w:t>
      </w:r>
      <w:r>
        <w:rPr>
          <w:rFonts w:ascii="Times New Roman" w:hAnsi="Times New Roman" w:cs="Times New Roman"/>
          <w:color w:val="000000" w:themeColor="text1"/>
          <w:sz w:val="24"/>
          <w:szCs w:val="24"/>
        </w:rPr>
        <w:t xml:space="preserve"> there </w:t>
      </w:r>
      <w:r>
        <w:rPr>
          <w:rFonts w:ascii="Times New Roman" w:hAnsi="Times New Roman" w:cs="Times New Roman"/>
          <w:color w:val="000000" w:themeColor="text1"/>
          <w:sz w:val="24"/>
          <w:szCs w:val="24"/>
          <w:highlight w:val="yellow"/>
        </w:rPr>
        <w:t>wa</w:t>
      </w:r>
      <w:r>
        <w:rPr>
          <w:rFonts w:ascii="Times New Roman" w:hAnsi="Times New Roman" w:cs="Times New Roman"/>
          <w:color w:val="000000" w:themeColor="text1"/>
          <w:sz w:val="24"/>
          <w:szCs w:val="24"/>
        </w:rPr>
        <w:t xml:space="preserve">s no serial correlation among the residuals. Likewise, the Breusch–Pagan–Godfrey test </w:t>
      </w:r>
      <w:r>
        <w:rPr>
          <w:rFonts w:ascii="Times New Roman" w:hAnsi="Times New Roman" w:cs="Times New Roman"/>
          <w:color w:val="000000" w:themeColor="text1"/>
          <w:sz w:val="24"/>
          <w:szCs w:val="24"/>
        </w:rPr>
        <w:lastRenderedPageBreak/>
        <w:t>for heteroskedasticity (Prob. = 0.8318) show</w:t>
      </w:r>
      <w:r>
        <w:rPr>
          <w:rFonts w:ascii="Times New Roman" w:hAnsi="Times New Roman" w:cs="Times New Roman"/>
          <w:color w:val="000000" w:themeColor="text1"/>
          <w:sz w:val="24"/>
          <w:szCs w:val="24"/>
          <w:highlight w:val="yellow"/>
        </w:rPr>
        <w:t>ed</w:t>
      </w:r>
      <w:r>
        <w:rPr>
          <w:rFonts w:ascii="Times New Roman" w:hAnsi="Times New Roman" w:cs="Times New Roman"/>
          <w:color w:val="000000" w:themeColor="text1"/>
          <w:sz w:val="24"/>
          <w:szCs w:val="24"/>
        </w:rPr>
        <w:t xml:space="preserve"> that the residuals </w:t>
      </w:r>
      <w:r>
        <w:rPr>
          <w:rFonts w:ascii="Times New Roman" w:hAnsi="Times New Roman" w:cs="Times New Roman"/>
          <w:color w:val="000000" w:themeColor="text1"/>
          <w:sz w:val="24"/>
          <w:szCs w:val="24"/>
          <w:highlight w:val="yellow"/>
        </w:rPr>
        <w:t>we</w:t>
      </w:r>
      <w:r>
        <w:rPr>
          <w:rFonts w:ascii="Times New Roman" w:hAnsi="Times New Roman" w:cs="Times New Roman"/>
          <w:color w:val="000000" w:themeColor="text1"/>
          <w:sz w:val="24"/>
          <w:szCs w:val="24"/>
        </w:rPr>
        <w:t xml:space="preserve">re </w:t>
      </w:r>
      <w:proofErr w:type="spellStart"/>
      <w:r>
        <w:rPr>
          <w:rFonts w:ascii="Times New Roman" w:hAnsi="Times New Roman" w:cs="Times New Roman"/>
          <w:color w:val="000000" w:themeColor="text1"/>
          <w:sz w:val="24"/>
          <w:szCs w:val="24"/>
        </w:rPr>
        <w:t>homoskedastic</w:t>
      </w:r>
      <w:proofErr w:type="spellEnd"/>
      <w:r>
        <w:rPr>
          <w:rFonts w:ascii="Times New Roman" w:hAnsi="Times New Roman" w:cs="Times New Roman"/>
          <w:color w:val="000000" w:themeColor="text1"/>
          <w:sz w:val="24"/>
          <w:szCs w:val="24"/>
        </w:rPr>
        <w:t>, and the Ramsey RESET test (Prob. = 0.4503) indicate</w:t>
      </w:r>
      <w:r>
        <w:rPr>
          <w:rFonts w:ascii="Times New Roman" w:hAnsi="Times New Roman" w:cs="Times New Roman"/>
          <w:color w:val="000000" w:themeColor="text1"/>
          <w:sz w:val="24"/>
          <w:szCs w:val="24"/>
          <w:highlight w:val="yellow"/>
        </w:rPr>
        <w:t>d</w:t>
      </w:r>
      <w:r>
        <w:rPr>
          <w:rFonts w:ascii="Times New Roman" w:hAnsi="Times New Roman" w:cs="Times New Roman"/>
          <w:color w:val="000000" w:themeColor="text1"/>
          <w:sz w:val="24"/>
          <w:szCs w:val="24"/>
        </w:rPr>
        <w:t xml:space="preserve"> that the estimated model </w:t>
      </w:r>
      <w:r>
        <w:rPr>
          <w:rFonts w:ascii="Times New Roman" w:hAnsi="Times New Roman" w:cs="Times New Roman"/>
          <w:color w:val="000000" w:themeColor="text1"/>
          <w:sz w:val="24"/>
          <w:szCs w:val="24"/>
          <w:highlight w:val="yellow"/>
        </w:rPr>
        <w:t>wa</w:t>
      </w:r>
      <w:r>
        <w:rPr>
          <w:rFonts w:ascii="Times New Roman" w:hAnsi="Times New Roman" w:cs="Times New Roman"/>
          <w:color w:val="000000" w:themeColor="text1"/>
          <w:sz w:val="24"/>
          <w:szCs w:val="24"/>
        </w:rPr>
        <w:t xml:space="preserve">s sufficiently specified. These diagnostic results </w:t>
      </w:r>
      <w:r>
        <w:rPr>
          <w:rFonts w:ascii="Times New Roman" w:hAnsi="Times New Roman" w:cs="Times New Roman"/>
          <w:color w:val="000000" w:themeColor="text1"/>
          <w:sz w:val="24"/>
          <w:szCs w:val="24"/>
          <w:highlight w:val="yellow"/>
        </w:rPr>
        <w:t>suppor</w:t>
      </w:r>
      <w:r>
        <w:rPr>
          <w:rFonts w:ascii="Times New Roman" w:hAnsi="Times New Roman" w:cs="Times New Roman"/>
          <w:color w:val="000000" w:themeColor="text1"/>
          <w:sz w:val="24"/>
          <w:szCs w:val="24"/>
        </w:rPr>
        <w:t>t the robustness</w:t>
      </w:r>
      <w:r>
        <w:rPr>
          <w:rFonts w:ascii="Times New Roman" w:hAnsi="Times New Roman" w:cs="Times New Roman"/>
          <w:color w:val="000000" w:themeColor="text1"/>
          <w:sz w:val="24"/>
          <w:szCs w:val="24"/>
          <w:highlight w:val="yellow"/>
        </w:rPr>
        <w:t xml:space="preserve"> and</w:t>
      </w:r>
      <w:r>
        <w:rPr>
          <w:rFonts w:ascii="Times New Roman" w:hAnsi="Times New Roman" w:cs="Times New Roman"/>
          <w:color w:val="000000" w:themeColor="text1"/>
          <w:sz w:val="24"/>
          <w:szCs w:val="24"/>
        </w:rPr>
        <w:t xml:space="preserve"> reliability of the estimated ARDL model for econometric inference. Table 6 shows the results of the ARDL estimates.</w:t>
      </w:r>
    </w:p>
    <w:p w14:paraId="0F18CA60" w14:textId="77777777" w:rsidR="00410FB6" w:rsidRPr="00BC05AD" w:rsidRDefault="00410FB6" w:rsidP="00410FB6">
      <w:pPr>
        <w:spacing w:after="0" w:line="240" w:lineRule="auto"/>
        <w:jc w:val="both"/>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Table 6 ARDL Estimated Results</w:t>
      </w:r>
    </w:p>
    <w:tbl>
      <w:tblPr>
        <w:tblStyle w:val="LightShading1"/>
        <w:tblW w:w="5000" w:type="pct"/>
        <w:tblLook w:val="06A0" w:firstRow="1" w:lastRow="0" w:firstColumn="1" w:lastColumn="0" w:noHBand="1" w:noVBand="1"/>
      </w:tblPr>
      <w:tblGrid>
        <w:gridCol w:w="3164"/>
        <w:gridCol w:w="1567"/>
        <w:gridCol w:w="1714"/>
        <w:gridCol w:w="1716"/>
        <w:gridCol w:w="1415"/>
      </w:tblGrid>
      <w:tr w:rsidR="00DA7B0A" w:rsidRPr="00BC05AD" w14:paraId="1D4A950B" w14:textId="77777777" w:rsidTr="00DA7B0A">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52" w:type="pct"/>
          </w:tcPr>
          <w:p w14:paraId="451882FE" w14:textId="77777777" w:rsidR="00DA7B0A" w:rsidRPr="00BC05AD"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Variable</w:t>
            </w:r>
          </w:p>
        </w:tc>
        <w:tc>
          <w:tcPr>
            <w:tcW w:w="818" w:type="pct"/>
          </w:tcPr>
          <w:p w14:paraId="58661400" w14:textId="77777777" w:rsidR="00DA7B0A" w:rsidRPr="00BC05AD"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Coefficient</w:t>
            </w:r>
          </w:p>
        </w:tc>
        <w:tc>
          <w:tcPr>
            <w:tcW w:w="895" w:type="pct"/>
          </w:tcPr>
          <w:p w14:paraId="5F1A3A03" w14:textId="77777777" w:rsidR="00DA7B0A" w:rsidRPr="00BC05AD"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Std. Error</w:t>
            </w:r>
          </w:p>
        </w:tc>
        <w:tc>
          <w:tcPr>
            <w:tcW w:w="896" w:type="pct"/>
          </w:tcPr>
          <w:p w14:paraId="0C306227" w14:textId="77777777" w:rsidR="00DA7B0A" w:rsidRPr="00BC05AD"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t-Statistic</w:t>
            </w:r>
          </w:p>
        </w:tc>
        <w:tc>
          <w:tcPr>
            <w:tcW w:w="739" w:type="pct"/>
          </w:tcPr>
          <w:p w14:paraId="37323C93" w14:textId="77777777" w:rsidR="00DA7B0A" w:rsidRPr="00BC05AD" w:rsidRDefault="00DA7B0A" w:rsidP="005011BF">
            <w:pPr>
              <w:autoSpaceDE w:val="0"/>
              <w:autoSpaceDN w:val="0"/>
              <w:adjustRightInd w:val="0"/>
              <w:ind w:right="1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Prob.   </w:t>
            </w:r>
          </w:p>
        </w:tc>
      </w:tr>
      <w:tr w:rsidR="00DA7B0A" w:rsidRPr="00BC05AD" w14:paraId="52E7E169"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51447EF8" w14:textId="77777777" w:rsidR="00DA7B0A" w:rsidRPr="00BC05AD"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D(</w:t>
            </w:r>
            <w:proofErr w:type="gramStart"/>
            <w:r w:rsidRPr="00BC05AD">
              <w:rPr>
                <w:rFonts w:ascii="Times New Roman" w:hAnsi="Times New Roman" w:cs="Times New Roman"/>
                <w:b w:val="0"/>
                <w:color w:val="000000" w:themeColor="text1"/>
                <w:sz w:val="24"/>
                <w:szCs w:val="24"/>
              </w:rPr>
              <w:t>GR(</w:t>
            </w:r>
            <w:proofErr w:type="gramEnd"/>
            <w:r w:rsidRPr="00BC05AD">
              <w:rPr>
                <w:rFonts w:ascii="Times New Roman" w:hAnsi="Times New Roman" w:cs="Times New Roman"/>
                <w:b w:val="0"/>
                <w:color w:val="000000" w:themeColor="text1"/>
                <w:sz w:val="24"/>
                <w:szCs w:val="24"/>
              </w:rPr>
              <w:t>-1))</w:t>
            </w:r>
          </w:p>
        </w:tc>
        <w:tc>
          <w:tcPr>
            <w:tcW w:w="818" w:type="pct"/>
          </w:tcPr>
          <w:p w14:paraId="4BC7BDDE"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0.132559</w:t>
            </w:r>
          </w:p>
        </w:tc>
        <w:tc>
          <w:tcPr>
            <w:tcW w:w="895" w:type="pct"/>
          </w:tcPr>
          <w:p w14:paraId="48CBDC51"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0.262964</w:t>
            </w:r>
          </w:p>
        </w:tc>
        <w:tc>
          <w:tcPr>
            <w:tcW w:w="896" w:type="pct"/>
          </w:tcPr>
          <w:p w14:paraId="4FCFF421"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0.504095</w:t>
            </w:r>
          </w:p>
        </w:tc>
        <w:tc>
          <w:tcPr>
            <w:tcW w:w="739" w:type="pct"/>
          </w:tcPr>
          <w:p w14:paraId="77D5749F"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0.6251</w:t>
            </w:r>
          </w:p>
        </w:tc>
      </w:tr>
      <w:tr w:rsidR="00DA7B0A" w:rsidRPr="00BC05AD" w14:paraId="3EAC86B1"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24BF577B" w14:textId="77777777" w:rsidR="00DA7B0A" w:rsidRPr="00BC05AD"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D(GCF)</w:t>
            </w:r>
          </w:p>
        </w:tc>
        <w:tc>
          <w:tcPr>
            <w:tcW w:w="818" w:type="pct"/>
          </w:tcPr>
          <w:p w14:paraId="5B8BD775"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-0.059613</w:t>
            </w:r>
          </w:p>
        </w:tc>
        <w:tc>
          <w:tcPr>
            <w:tcW w:w="895" w:type="pct"/>
          </w:tcPr>
          <w:p w14:paraId="1ED5922D"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0.043538</w:t>
            </w:r>
          </w:p>
        </w:tc>
        <w:tc>
          <w:tcPr>
            <w:tcW w:w="896" w:type="pct"/>
          </w:tcPr>
          <w:p w14:paraId="025586B1"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-1.369215</w:t>
            </w:r>
          </w:p>
        </w:tc>
        <w:tc>
          <w:tcPr>
            <w:tcW w:w="739" w:type="pct"/>
          </w:tcPr>
          <w:p w14:paraId="261CEC93"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0.2009</w:t>
            </w:r>
          </w:p>
        </w:tc>
      </w:tr>
      <w:tr w:rsidR="00DA7B0A" w:rsidRPr="00BC05AD" w14:paraId="422F615D"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7BB8031F" w14:textId="77777777" w:rsidR="00DA7B0A" w:rsidRPr="00BC05AD"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D(</w:t>
            </w:r>
            <w:proofErr w:type="gramStart"/>
            <w:r w:rsidRPr="00BC05AD">
              <w:rPr>
                <w:rFonts w:ascii="Times New Roman" w:hAnsi="Times New Roman" w:cs="Times New Roman"/>
                <w:b w:val="0"/>
                <w:color w:val="000000" w:themeColor="text1"/>
                <w:sz w:val="24"/>
                <w:szCs w:val="24"/>
              </w:rPr>
              <w:t>GCF(</w:t>
            </w:r>
            <w:proofErr w:type="gramEnd"/>
            <w:r w:rsidRPr="00BC05AD">
              <w:rPr>
                <w:rFonts w:ascii="Times New Roman" w:hAnsi="Times New Roman" w:cs="Times New Roman"/>
                <w:b w:val="0"/>
                <w:color w:val="000000" w:themeColor="text1"/>
                <w:sz w:val="24"/>
                <w:szCs w:val="24"/>
              </w:rPr>
              <w:t>-1))</w:t>
            </w:r>
          </w:p>
        </w:tc>
        <w:tc>
          <w:tcPr>
            <w:tcW w:w="818" w:type="pct"/>
          </w:tcPr>
          <w:p w14:paraId="5D5CBFC2"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0.059965</w:t>
            </w:r>
          </w:p>
        </w:tc>
        <w:tc>
          <w:tcPr>
            <w:tcW w:w="895" w:type="pct"/>
          </w:tcPr>
          <w:p w14:paraId="4A356D49"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0.037548</w:t>
            </w:r>
          </w:p>
        </w:tc>
        <w:tc>
          <w:tcPr>
            <w:tcW w:w="896" w:type="pct"/>
          </w:tcPr>
          <w:p w14:paraId="7EAE745D"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1.597019</w:t>
            </w:r>
          </w:p>
        </w:tc>
        <w:tc>
          <w:tcPr>
            <w:tcW w:w="739" w:type="pct"/>
          </w:tcPr>
          <w:p w14:paraId="05B314BE"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0.1413</w:t>
            </w:r>
          </w:p>
        </w:tc>
      </w:tr>
      <w:tr w:rsidR="00DA7B0A" w:rsidRPr="00BC05AD" w14:paraId="01FD658D"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2EB70A4C" w14:textId="77777777" w:rsidR="00DA7B0A" w:rsidRPr="00BC05AD" w:rsidRDefault="00DA7B0A" w:rsidP="00DA7B0A">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D(LTR)</w:t>
            </w:r>
          </w:p>
        </w:tc>
        <w:tc>
          <w:tcPr>
            <w:tcW w:w="818" w:type="pct"/>
          </w:tcPr>
          <w:p w14:paraId="3F12D376"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-0.042499</w:t>
            </w:r>
          </w:p>
        </w:tc>
        <w:tc>
          <w:tcPr>
            <w:tcW w:w="895" w:type="pct"/>
          </w:tcPr>
          <w:p w14:paraId="50472524"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0.149471</w:t>
            </w:r>
          </w:p>
        </w:tc>
        <w:tc>
          <w:tcPr>
            <w:tcW w:w="896" w:type="pct"/>
          </w:tcPr>
          <w:p w14:paraId="5468B6A9"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-0.284328</w:t>
            </w:r>
          </w:p>
        </w:tc>
        <w:tc>
          <w:tcPr>
            <w:tcW w:w="739" w:type="pct"/>
          </w:tcPr>
          <w:p w14:paraId="50345067"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0.7820</w:t>
            </w:r>
          </w:p>
        </w:tc>
      </w:tr>
      <w:tr w:rsidR="00DA7B0A" w:rsidRPr="00BC05AD" w14:paraId="6976114F"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712D7570" w14:textId="77777777" w:rsidR="00DA7B0A" w:rsidRPr="00BC05AD" w:rsidRDefault="00DA7B0A" w:rsidP="005011BF">
            <w:pPr>
              <w:autoSpaceDE w:val="0"/>
              <w:autoSpaceDN w:val="0"/>
              <w:adjustRightInd w:val="0"/>
              <w:jc w:val="center"/>
              <w:rPr>
                <w:rFonts w:ascii="Times New Roman" w:hAnsi="Times New Roman" w:cs="Times New Roman"/>
                <w:b w:val="0"/>
                <w:color w:val="000000" w:themeColor="text1"/>
                <w:sz w:val="24"/>
                <w:szCs w:val="24"/>
              </w:rPr>
            </w:pPr>
            <w:r w:rsidRPr="00BC05AD">
              <w:rPr>
                <w:rFonts w:ascii="Times New Roman" w:hAnsi="Times New Roman" w:cs="Times New Roman"/>
                <w:b w:val="0"/>
                <w:color w:val="000000" w:themeColor="text1"/>
                <w:sz w:val="24"/>
                <w:szCs w:val="24"/>
              </w:rPr>
              <w:t>D(</w:t>
            </w:r>
            <w:proofErr w:type="gramStart"/>
            <w:r w:rsidRPr="00BC05AD">
              <w:rPr>
                <w:rFonts w:ascii="Times New Roman" w:hAnsi="Times New Roman" w:cs="Times New Roman"/>
                <w:b w:val="0"/>
                <w:color w:val="000000" w:themeColor="text1"/>
                <w:sz w:val="24"/>
                <w:szCs w:val="24"/>
              </w:rPr>
              <w:t>LTR(</w:t>
            </w:r>
            <w:proofErr w:type="gramEnd"/>
            <w:r w:rsidRPr="00BC05AD">
              <w:rPr>
                <w:rFonts w:ascii="Times New Roman" w:hAnsi="Times New Roman" w:cs="Times New Roman"/>
                <w:b w:val="0"/>
                <w:color w:val="000000" w:themeColor="text1"/>
                <w:sz w:val="24"/>
                <w:szCs w:val="24"/>
              </w:rPr>
              <w:t>-1))</w:t>
            </w:r>
          </w:p>
        </w:tc>
        <w:tc>
          <w:tcPr>
            <w:tcW w:w="818" w:type="pct"/>
          </w:tcPr>
          <w:p w14:paraId="77FF31C3"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1.915897</w:t>
            </w:r>
          </w:p>
        </w:tc>
        <w:tc>
          <w:tcPr>
            <w:tcW w:w="895" w:type="pct"/>
          </w:tcPr>
          <w:p w14:paraId="14250226"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0.564082</w:t>
            </w:r>
          </w:p>
        </w:tc>
        <w:tc>
          <w:tcPr>
            <w:tcW w:w="896" w:type="pct"/>
          </w:tcPr>
          <w:p w14:paraId="6AD02C77"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3.396487</w:t>
            </w:r>
          </w:p>
        </w:tc>
        <w:tc>
          <w:tcPr>
            <w:tcW w:w="739" w:type="pct"/>
          </w:tcPr>
          <w:p w14:paraId="4F46C811"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0.0068</w:t>
            </w:r>
          </w:p>
        </w:tc>
      </w:tr>
      <w:tr w:rsidR="00DA7B0A" w:rsidRPr="00BC05AD" w14:paraId="06AEFDB7" w14:textId="77777777" w:rsidTr="00DA7B0A">
        <w:trPr>
          <w:trHeight w:val="225"/>
        </w:trPr>
        <w:tc>
          <w:tcPr>
            <w:cnfStyle w:val="001000000000" w:firstRow="0" w:lastRow="0" w:firstColumn="1" w:lastColumn="0" w:oddVBand="0" w:evenVBand="0" w:oddHBand="0" w:evenHBand="0" w:firstRowFirstColumn="0" w:firstRowLastColumn="0" w:lastRowFirstColumn="0" w:lastRowLastColumn="0"/>
            <w:tcW w:w="1652" w:type="pct"/>
          </w:tcPr>
          <w:p w14:paraId="7182FB6F" w14:textId="77777777" w:rsidR="00DA7B0A" w:rsidRPr="00BC05AD" w:rsidRDefault="00DA7B0A" w:rsidP="005011BF">
            <w:pPr>
              <w:autoSpaceDE w:val="0"/>
              <w:autoSpaceDN w:val="0"/>
              <w:adjustRightInd w:val="0"/>
              <w:jc w:val="center"/>
              <w:rPr>
                <w:rFonts w:ascii="Times New Roman" w:hAnsi="Times New Roman" w:cs="Times New Roman"/>
                <w:b w:val="0"/>
                <w:color w:val="000000" w:themeColor="text1"/>
                <w:sz w:val="24"/>
                <w:szCs w:val="24"/>
              </w:rPr>
            </w:pPr>
            <w:proofErr w:type="spellStart"/>
            <w:proofErr w:type="gramStart"/>
            <w:r w:rsidRPr="00BC05AD">
              <w:rPr>
                <w:rFonts w:ascii="Times New Roman" w:hAnsi="Times New Roman" w:cs="Times New Roman"/>
                <w:b w:val="0"/>
                <w:color w:val="000000" w:themeColor="text1"/>
                <w:sz w:val="24"/>
                <w:szCs w:val="24"/>
              </w:rPr>
              <w:t>CointEq</w:t>
            </w:r>
            <w:proofErr w:type="spellEnd"/>
            <w:r w:rsidRPr="00BC05AD">
              <w:rPr>
                <w:rFonts w:ascii="Times New Roman" w:hAnsi="Times New Roman" w:cs="Times New Roman"/>
                <w:b w:val="0"/>
                <w:color w:val="000000" w:themeColor="text1"/>
                <w:sz w:val="24"/>
                <w:szCs w:val="24"/>
              </w:rPr>
              <w:t>(</w:t>
            </w:r>
            <w:proofErr w:type="gramEnd"/>
            <w:r w:rsidRPr="00BC05AD">
              <w:rPr>
                <w:rFonts w:ascii="Times New Roman" w:hAnsi="Times New Roman" w:cs="Times New Roman"/>
                <w:b w:val="0"/>
                <w:color w:val="000000" w:themeColor="text1"/>
                <w:sz w:val="24"/>
                <w:szCs w:val="24"/>
              </w:rPr>
              <w:t>-</w:t>
            </w:r>
            <w:proofErr w:type="gramStart"/>
            <w:r w:rsidRPr="00BC05AD">
              <w:rPr>
                <w:rFonts w:ascii="Times New Roman" w:hAnsi="Times New Roman" w:cs="Times New Roman"/>
                <w:b w:val="0"/>
                <w:color w:val="000000" w:themeColor="text1"/>
                <w:sz w:val="24"/>
                <w:szCs w:val="24"/>
              </w:rPr>
              <w:t>1)*</w:t>
            </w:r>
            <w:proofErr w:type="gramEnd"/>
          </w:p>
        </w:tc>
        <w:tc>
          <w:tcPr>
            <w:tcW w:w="818" w:type="pct"/>
          </w:tcPr>
          <w:p w14:paraId="48F4B534"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-1.018267</w:t>
            </w:r>
          </w:p>
        </w:tc>
        <w:tc>
          <w:tcPr>
            <w:tcW w:w="895" w:type="pct"/>
          </w:tcPr>
          <w:p w14:paraId="6ED86AAC"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0.315090</w:t>
            </w:r>
          </w:p>
        </w:tc>
        <w:tc>
          <w:tcPr>
            <w:tcW w:w="896" w:type="pct"/>
          </w:tcPr>
          <w:p w14:paraId="7F814011"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-3.231667</w:t>
            </w:r>
          </w:p>
        </w:tc>
        <w:tc>
          <w:tcPr>
            <w:tcW w:w="739" w:type="pct"/>
          </w:tcPr>
          <w:p w14:paraId="1C83C87C" w14:textId="77777777" w:rsidR="00DA7B0A" w:rsidRPr="00BC05AD" w:rsidRDefault="00DA7B0A" w:rsidP="005011BF">
            <w:pPr>
              <w:autoSpaceDE w:val="0"/>
              <w:autoSpaceDN w:val="0"/>
              <w:adjustRightInd w:val="0"/>
              <w:ind w:right="1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C05AD">
              <w:rPr>
                <w:rFonts w:ascii="Times New Roman" w:hAnsi="Times New Roman" w:cs="Times New Roman"/>
                <w:color w:val="000000" w:themeColor="text1"/>
                <w:sz w:val="24"/>
                <w:szCs w:val="24"/>
              </w:rPr>
              <w:t>0.0090</w:t>
            </w:r>
          </w:p>
        </w:tc>
      </w:tr>
    </w:tbl>
    <w:p w14:paraId="0247FF98" w14:textId="77777777" w:rsidR="00410FB6" w:rsidRPr="00BC05AD" w:rsidRDefault="00410FB6" w:rsidP="00410FB6">
      <w:pPr>
        <w:shd w:val="clear" w:color="auto" w:fill="FFFFFF"/>
        <w:spacing w:after="0" w:line="480" w:lineRule="auto"/>
        <w:rPr>
          <w:rFonts w:ascii="Times New Roman" w:eastAsia="Times New Roman" w:hAnsi="Times New Roman" w:cs="Times New Roman"/>
          <w:iCs/>
          <w:color w:val="000000" w:themeColor="text1"/>
          <w:sz w:val="24"/>
          <w:szCs w:val="24"/>
        </w:rPr>
      </w:pPr>
      <w:r w:rsidRPr="00BC05AD">
        <w:rPr>
          <w:rFonts w:ascii="Times New Roman" w:eastAsia="Times New Roman" w:hAnsi="Times New Roman" w:cs="Times New Roman"/>
          <w:i/>
          <w:iCs/>
          <w:color w:val="000000" w:themeColor="text1"/>
          <w:sz w:val="24"/>
          <w:szCs w:val="24"/>
        </w:rPr>
        <w:t>Source: Author's Computation from EViews 10 (2026)</w:t>
      </w:r>
    </w:p>
    <w:p w14:paraId="1F2520D8" w14:textId="77777777" w:rsidR="00D900DB" w:rsidRPr="00BC05AD" w:rsidRDefault="00926671" w:rsidP="003E2170">
      <w:pPr>
        <w:pStyle w:val="isselectedend"/>
        <w:spacing w:line="360" w:lineRule="auto"/>
        <w:jc w:val="both"/>
        <w:rPr>
          <w:color w:val="000000" w:themeColor="text1"/>
        </w:rPr>
      </w:pPr>
      <w:r>
        <w:rPr>
          <w:color w:val="000000" w:themeColor="text1"/>
        </w:rPr>
        <w:t xml:space="preserve">The results showed that the error correction coefficient </w:t>
      </w:r>
      <w:r>
        <w:rPr>
          <w:color w:val="000000" w:themeColor="text1"/>
          <w:highlight w:val="yellow"/>
        </w:rPr>
        <w:t>wa</w:t>
      </w:r>
      <w:r>
        <w:rPr>
          <w:color w:val="000000" w:themeColor="text1"/>
        </w:rPr>
        <w:t xml:space="preserve">s negative and statistically significant, with a value of β = −1.0183 and p = 0.0090, </w:t>
      </w:r>
      <w:r>
        <w:rPr>
          <w:color w:val="000000" w:themeColor="text1"/>
          <w:highlight w:val="yellow"/>
        </w:rPr>
        <w:t>ind</w:t>
      </w:r>
      <w:r>
        <w:rPr>
          <w:color w:val="000000" w:themeColor="text1"/>
        </w:rPr>
        <w:t>ica</w:t>
      </w:r>
      <w:r>
        <w:rPr>
          <w:color w:val="000000" w:themeColor="text1"/>
          <w:highlight w:val="yellow"/>
        </w:rPr>
        <w:t>ti</w:t>
      </w:r>
      <w:r>
        <w:rPr>
          <w:color w:val="000000" w:themeColor="text1"/>
        </w:rPr>
        <w:t>n</w:t>
      </w:r>
      <w:r>
        <w:rPr>
          <w:color w:val="000000" w:themeColor="text1"/>
          <w:highlight w:val="yellow"/>
        </w:rPr>
        <w:t>g</w:t>
      </w:r>
      <w:r>
        <w:rPr>
          <w:color w:val="000000" w:themeColor="text1"/>
        </w:rPr>
        <w:t xml:space="preserve"> that short-run deviations </w:t>
      </w:r>
      <w:r>
        <w:rPr>
          <w:color w:val="000000" w:themeColor="text1"/>
          <w:highlight w:val="yellow"/>
        </w:rPr>
        <w:t>we</w:t>
      </w:r>
      <w:r>
        <w:rPr>
          <w:color w:val="000000" w:themeColor="text1"/>
        </w:rPr>
        <w:t xml:space="preserve">re </w:t>
      </w:r>
      <w:r>
        <w:rPr>
          <w:color w:val="000000" w:themeColor="text1"/>
          <w:highlight w:val="yellow"/>
        </w:rPr>
        <w:t>rap</w:t>
      </w:r>
      <w:r>
        <w:rPr>
          <w:color w:val="000000" w:themeColor="text1"/>
        </w:rPr>
        <w:t>i</w:t>
      </w:r>
      <w:r>
        <w:rPr>
          <w:color w:val="000000" w:themeColor="text1"/>
          <w:highlight w:val="yellow"/>
        </w:rPr>
        <w:t>d</w:t>
      </w:r>
      <w:r>
        <w:rPr>
          <w:color w:val="000000" w:themeColor="text1"/>
        </w:rPr>
        <w:t xml:space="preserve">ly corrected towards the long-run equilibrium path. The coefficient indicates that about 101.8% of the deviations from equilibrium </w:t>
      </w:r>
      <w:r>
        <w:rPr>
          <w:color w:val="000000" w:themeColor="text1"/>
          <w:highlight w:val="yellow"/>
        </w:rPr>
        <w:t>we</w:t>
      </w:r>
      <w:r>
        <w:rPr>
          <w:color w:val="000000" w:themeColor="text1"/>
        </w:rPr>
        <w:t xml:space="preserve">re </w:t>
      </w:r>
      <w:r>
        <w:rPr>
          <w:color w:val="000000" w:themeColor="text1"/>
          <w:highlight w:val="yellow"/>
        </w:rPr>
        <w:t>cor</w:t>
      </w:r>
      <w:r>
        <w:rPr>
          <w:color w:val="000000" w:themeColor="text1"/>
        </w:rPr>
        <w:t>re</w:t>
      </w:r>
      <w:r>
        <w:rPr>
          <w:color w:val="000000" w:themeColor="text1"/>
          <w:highlight w:val="yellow"/>
        </w:rPr>
        <w:t>ct</w:t>
      </w:r>
      <w:r>
        <w:rPr>
          <w:color w:val="000000" w:themeColor="text1"/>
        </w:rPr>
        <w:t xml:space="preserve">ed in one period, indicating a very short period of adjustment after the short-run economic shocks. The negative and significant error correction term </w:t>
      </w:r>
      <w:r>
        <w:rPr>
          <w:color w:val="000000" w:themeColor="text1"/>
          <w:highlight w:val="yellow"/>
        </w:rPr>
        <w:t>indicat</w:t>
      </w:r>
      <w:r>
        <w:rPr>
          <w:color w:val="000000" w:themeColor="text1"/>
        </w:rPr>
        <w:t>e</w:t>
      </w:r>
      <w:r>
        <w:rPr>
          <w:color w:val="000000" w:themeColor="text1"/>
          <w:highlight w:val="yellow"/>
        </w:rPr>
        <w:t>d</w:t>
      </w:r>
      <w:r>
        <w:rPr>
          <w:color w:val="000000" w:themeColor="text1"/>
        </w:rPr>
        <w:t xml:space="preserve"> the presence of a meaningful error correction mechanism in the estimated ARDL model and suggest</w:t>
      </w:r>
      <w:r>
        <w:rPr>
          <w:color w:val="000000" w:themeColor="text1"/>
          <w:highlight w:val="yellow"/>
        </w:rPr>
        <w:t>ed</w:t>
      </w:r>
      <w:r>
        <w:rPr>
          <w:color w:val="000000" w:themeColor="text1"/>
        </w:rPr>
        <w:t xml:space="preserve"> that the economy rapidly realign</w:t>
      </w:r>
      <w:r>
        <w:rPr>
          <w:color w:val="000000" w:themeColor="text1"/>
          <w:highlight w:val="yellow"/>
        </w:rPr>
        <w:t>ed</w:t>
      </w:r>
      <w:r>
        <w:rPr>
          <w:color w:val="000000" w:themeColor="text1"/>
        </w:rPr>
        <w:t xml:space="preserve"> itself with the equilibrium path when faced with short-run disturbances.</w:t>
      </w:r>
    </w:p>
    <w:p w14:paraId="6E69C1E7" w14:textId="77777777" w:rsidR="00D900DB" w:rsidRPr="00BC05AD" w:rsidRDefault="00926671" w:rsidP="003E2170">
      <w:pPr>
        <w:pStyle w:val="isselectedend"/>
        <w:spacing w:line="360" w:lineRule="auto"/>
        <w:jc w:val="both"/>
        <w:rPr>
          <w:color w:val="000000" w:themeColor="text1"/>
        </w:rPr>
      </w:pPr>
      <w:r>
        <w:rPr>
          <w:color w:val="000000" w:themeColor="text1"/>
        </w:rPr>
        <w:t xml:space="preserve">The results in Table 6 indicated that the short-run effect of gross capital formation (GCF) on economic growth in Nigeria </w:t>
      </w:r>
      <w:r>
        <w:rPr>
          <w:color w:val="000000" w:themeColor="text1"/>
          <w:highlight w:val="yellow"/>
        </w:rPr>
        <w:t>wa</w:t>
      </w:r>
      <w:r>
        <w:rPr>
          <w:color w:val="000000" w:themeColor="text1"/>
        </w:rPr>
        <w:t xml:space="preserve">s negative but statistically insignificant (β = −0.0596, p = 0.2009). This implies that higher investment spending does not necessarily lead to an immediate rise in output growth, which may be because capital investment takes a long time to become productive. This </w:t>
      </w:r>
      <w:r>
        <w:rPr>
          <w:color w:val="000000" w:themeColor="text1"/>
          <w:highlight w:val="yellow"/>
        </w:rPr>
        <w:t>fin</w:t>
      </w:r>
      <w:r>
        <w:rPr>
          <w:color w:val="000000" w:themeColor="text1"/>
        </w:rPr>
        <w:t>di</w:t>
      </w:r>
      <w:r>
        <w:rPr>
          <w:color w:val="000000" w:themeColor="text1"/>
          <w:highlight w:val="yellow"/>
        </w:rPr>
        <w:t>ng</w:t>
      </w:r>
      <w:r>
        <w:rPr>
          <w:color w:val="000000" w:themeColor="text1"/>
        </w:rPr>
        <w:t xml:space="preserve"> suggests that implementation</w:t>
      </w:r>
      <w:r>
        <w:rPr>
          <w:color w:val="000000" w:themeColor="text1"/>
          <w:highlight w:val="yellow"/>
        </w:rPr>
        <w:t xml:space="preserve"> delays</w:t>
      </w:r>
      <w:r>
        <w:rPr>
          <w:color w:val="000000" w:themeColor="text1"/>
        </w:rPr>
        <w:t>, poor infrastructure, policy uncertaint</w:t>
      </w:r>
      <w:r>
        <w:rPr>
          <w:color w:val="000000" w:themeColor="text1"/>
          <w:highlight w:val="yellow"/>
        </w:rPr>
        <w:t>y</w:t>
      </w:r>
      <w:r>
        <w:rPr>
          <w:color w:val="000000" w:themeColor="text1"/>
        </w:rPr>
        <w:t xml:space="preserve">, inflation, and allocation inefficiencies can lead to a reduced impact of investment on economic growth. The result is in line with Nweke </w:t>
      </w:r>
      <w:r>
        <w:rPr>
          <w:color w:val="000000" w:themeColor="text1"/>
          <w:highlight w:val="yellow"/>
        </w:rPr>
        <w:t>et</w:t>
      </w:r>
      <w:r>
        <w:rPr>
          <w:color w:val="000000" w:themeColor="text1"/>
        </w:rPr>
        <w:t xml:space="preserve"> a</w:t>
      </w:r>
      <w:r>
        <w:rPr>
          <w:color w:val="000000" w:themeColor="text1"/>
          <w:highlight w:val="yellow"/>
        </w:rPr>
        <w:t>l.</w:t>
      </w:r>
      <w:r>
        <w:rPr>
          <w:color w:val="000000" w:themeColor="text1"/>
        </w:rPr>
        <w:t xml:space="preserve"> (2017), wh</w:t>
      </w:r>
      <w:r>
        <w:rPr>
          <w:color w:val="000000" w:themeColor="text1"/>
          <w:highlight w:val="yellow"/>
        </w:rPr>
        <w:t>o</w:t>
      </w:r>
      <w:r>
        <w:rPr>
          <w:color w:val="000000" w:themeColor="text1"/>
        </w:rPr>
        <w:t xml:space="preserve"> found that an increase in gross capital formation in both the short and long run had a positive but statistically insignificant effect on real GDP. Likewise, </w:t>
      </w:r>
      <w:r>
        <w:rPr>
          <w:color w:val="222222"/>
          <w:shd w:val="clear" w:color="auto" w:fill="FFFFFF"/>
        </w:rPr>
        <w:t xml:space="preserve">Kong </w:t>
      </w:r>
      <w:r>
        <w:rPr>
          <w:i/>
          <w:color w:val="222222"/>
          <w:shd w:val="clear" w:color="auto" w:fill="FFFFFF"/>
        </w:rPr>
        <w:t>et al.</w:t>
      </w:r>
      <w:r>
        <w:rPr>
          <w:color w:val="222222"/>
          <w:shd w:val="clear" w:color="auto" w:fill="FFFFFF"/>
        </w:rPr>
        <w:t xml:space="preserve"> (2020)</w:t>
      </w:r>
      <w:r>
        <w:rPr>
          <w:color w:val="000000" w:themeColor="text1"/>
        </w:rPr>
        <w:t xml:space="preserve"> concluded that gross fixed capital formation had a short-run negative effect on economic growth, indicating that the adjustment costs of </w:t>
      </w:r>
      <w:r>
        <w:rPr>
          <w:color w:val="000000" w:themeColor="text1"/>
        </w:rPr>
        <w:lastRenderedPageBreak/>
        <w:t xml:space="preserve">investment can lead to a temporary decline in economic activity before productive effects are </w:t>
      </w:r>
      <w:proofErr w:type="spellStart"/>
      <w:r>
        <w:rPr>
          <w:color w:val="000000" w:themeColor="text1"/>
        </w:rPr>
        <w:t>realised</w:t>
      </w:r>
      <w:proofErr w:type="spellEnd"/>
      <w:r>
        <w:rPr>
          <w:color w:val="000000" w:themeColor="text1"/>
        </w:rPr>
        <w:t>. This contradicts the work of Bakare (2011) and Adegboyega and Odusanya (2014), who found a positive and statistically significant relationship between capital formation and economic growth in Nigeria.</w:t>
      </w:r>
    </w:p>
    <w:p w14:paraId="6A40BE0A" w14:textId="77777777" w:rsidR="00926671" w:rsidRPr="00BC05AD" w:rsidRDefault="00926671" w:rsidP="003E2170">
      <w:pPr>
        <w:pStyle w:val="isselectedend"/>
        <w:spacing w:line="360" w:lineRule="auto"/>
        <w:jc w:val="both"/>
        <w:rPr>
          <w:color w:val="000000" w:themeColor="text1"/>
        </w:rPr>
      </w:pPr>
      <w:r>
        <w:rPr>
          <w:color w:val="000000" w:themeColor="text1"/>
          <w:highlight w:val="yellow"/>
        </w:rPr>
        <w:t>T</w:t>
      </w:r>
      <w:r>
        <w:rPr>
          <w:color w:val="000000" w:themeColor="text1"/>
        </w:rPr>
        <w:t>he lagged value of gross capital formation</w:t>
      </w:r>
      <w:r>
        <w:rPr>
          <w:color w:val="000000" w:themeColor="text1"/>
          <w:highlight w:val="yellow"/>
        </w:rPr>
        <w:t>,</w:t>
      </w:r>
      <w:r>
        <w:rPr>
          <w:color w:val="000000" w:themeColor="text1"/>
        </w:rPr>
        <w:t xml:space="preserve"> D(</w:t>
      </w:r>
      <w:proofErr w:type="gramStart"/>
      <w:r>
        <w:rPr>
          <w:color w:val="000000" w:themeColor="text1"/>
        </w:rPr>
        <w:t>GCF(</w:t>
      </w:r>
      <w:proofErr w:type="gramEnd"/>
      <w:r>
        <w:rPr>
          <w:color w:val="000000" w:themeColor="text1"/>
        </w:rPr>
        <w:t>-1))</w:t>
      </w:r>
      <w:r>
        <w:rPr>
          <w:color w:val="000000" w:themeColor="text1"/>
          <w:highlight w:val="yellow"/>
        </w:rPr>
        <w:t>,</w:t>
      </w:r>
      <w:r>
        <w:rPr>
          <w:color w:val="000000" w:themeColor="text1"/>
        </w:rPr>
        <w:t xml:space="preserve"> </w:t>
      </w:r>
      <w:r>
        <w:rPr>
          <w:color w:val="000000" w:themeColor="text1"/>
          <w:highlight w:val="yellow"/>
        </w:rPr>
        <w:t>wa</w:t>
      </w:r>
      <w:r>
        <w:rPr>
          <w:color w:val="000000" w:themeColor="text1"/>
        </w:rPr>
        <w:t xml:space="preserve">s positive (β = 0.0600, p = 0.1413), suggesting that past investments support economic activity, but the effect is not large enough to be statistically significant within the period of the study. This </w:t>
      </w:r>
      <w:r>
        <w:rPr>
          <w:color w:val="000000" w:themeColor="text1"/>
          <w:highlight w:val="yellow"/>
        </w:rPr>
        <w:t>finding i</w:t>
      </w:r>
      <w:r>
        <w:rPr>
          <w:color w:val="000000" w:themeColor="text1"/>
        </w:rPr>
        <w:t xml:space="preserve">s </w:t>
      </w:r>
      <w:r>
        <w:rPr>
          <w:color w:val="000000" w:themeColor="text1"/>
          <w:highlight w:val="yellow"/>
        </w:rPr>
        <w:t>consist</w:t>
      </w:r>
      <w:r>
        <w:rPr>
          <w:color w:val="000000" w:themeColor="text1"/>
        </w:rPr>
        <w:t>en</w:t>
      </w:r>
      <w:r>
        <w:rPr>
          <w:color w:val="000000" w:themeColor="text1"/>
          <w:highlight w:val="yellow"/>
        </w:rPr>
        <w:t>t</w:t>
      </w:r>
      <w:r>
        <w:rPr>
          <w:color w:val="000000" w:themeColor="text1"/>
        </w:rPr>
        <w:t xml:space="preserve"> </w:t>
      </w:r>
      <w:r>
        <w:rPr>
          <w:color w:val="000000" w:themeColor="text1"/>
          <w:highlight w:val="yellow"/>
        </w:rPr>
        <w:t>wi</w:t>
      </w:r>
      <w:r>
        <w:rPr>
          <w:color w:val="000000" w:themeColor="text1"/>
        </w:rPr>
        <w:t xml:space="preserve">th the Solow Neoclassical Growth theory, which suggests that capital can increase productive capacity and output but only if other factors are present, such as technological progress, efficient use of resources, and institutional quality. The outcome further echoes </w:t>
      </w:r>
      <w:proofErr w:type="spellStart"/>
      <w:r>
        <w:rPr>
          <w:color w:val="000000" w:themeColor="text1"/>
        </w:rPr>
        <w:t>Ugwuegbe</w:t>
      </w:r>
      <w:proofErr w:type="spellEnd"/>
      <w:r>
        <w:rPr>
          <w:color w:val="000000" w:themeColor="text1"/>
        </w:rPr>
        <w:t xml:space="preserve"> and </w:t>
      </w:r>
      <w:proofErr w:type="spellStart"/>
      <w:r>
        <w:rPr>
          <w:color w:val="000000" w:themeColor="text1"/>
        </w:rPr>
        <w:t>Urakpa</w:t>
      </w:r>
      <w:proofErr w:type="spellEnd"/>
      <w:r>
        <w:rPr>
          <w:color w:val="000000" w:themeColor="text1"/>
        </w:rPr>
        <w:t xml:space="preserve"> (2013), who noted that while investment ha</w:t>
      </w:r>
      <w:r>
        <w:rPr>
          <w:color w:val="000000" w:themeColor="text1"/>
          <w:highlight w:val="yellow"/>
        </w:rPr>
        <w:t>s</w:t>
      </w:r>
      <w:r>
        <w:rPr>
          <w:color w:val="000000" w:themeColor="text1"/>
        </w:rPr>
        <w:t xml:space="preserve"> the potential to boost growth, i</w:t>
      </w:r>
      <w:r>
        <w:rPr>
          <w:color w:val="000000" w:themeColor="text1"/>
          <w:highlight w:val="yellow"/>
        </w:rPr>
        <w:t>ts effec</w:t>
      </w:r>
      <w:r>
        <w:rPr>
          <w:color w:val="000000" w:themeColor="text1"/>
        </w:rPr>
        <w:t xml:space="preserve">t is frequently limited due to poor infrastructure and macroeconomic conditions. This result contrasts with those of </w:t>
      </w:r>
      <w:proofErr w:type="spellStart"/>
      <w:r>
        <w:rPr>
          <w:color w:val="000000" w:themeColor="text1"/>
        </w:rPr>
        <w:t>Anagun</w:t>
      </w:r>
      <w:proofErr w:type="spellEnd"/>
      <w:r>
        <w:rPr>
          <w:color w:val="000000" w:themeColor="text1"/>
        </w:rPr>
        <w:t xml:space="preserve"> and </w:t>
      </w:r>
      <w:proofErr w:type="spellStart"/>
      <w:r>
        <w:rPr>
          <w:color w:val="000000" w:themeColor="text1"/>
        </w:rPr>
        <w:t>Sokunbi</w:t>
      </w:r>
      <w:proofErr w:type="spellEnd"/>
      <w:r>
        <w:rPr>
          <w:color w:val="000000" w:themeColor="text1"/>
        </w:rPr>
        <w:t xml:space="preserve"> (2024), who used the ARDL model and concluded that disaggregated physical capital formation </w:t>
      </w:r>
      <w:r>
        <w:rPr>
          <w:color w:val="000000" w:themeColor="text1"/>
          <w:highlight w:val="yellow"/>
        </w:rPr>
        <w:t xml:space="preserve">had a </w:t>
      </w:r>
      <w:r>
        <w:rPr>
          <w:color w:val="000000" w:themeColor="text1"/>
        </w:rPr>
        <w:t>positive</w:t>
      </w:r>
      <w:r>
        <w:rPr>
          <w:color w:val="000000" w:themeColor="text1"/>
          <w:highlight w:val="yellow"/>
        </w:rPr>
        <w:t xml:space="preserve"> and significant</w:t>
      </w:r>
      <w:r>
        <w:rPr>
          <w:color w:val="000000" w:themeColor="text1"/>
        </w:rPr>
        <w:t xml:space="preserve"> influence</w:t>
      </w:r>
      <w:r>
        <w:rPr>
          <w:color w:val="000000" w:themeColor="text1"/>
          <w:highlight w:val="yellow"/>
        </w:rPr>
        <w:t xml:space="preserve"> on</w:t>
      </w:r>
      <w:r>
        <w:rPr>
          <w:color w:val="000000" w:themeColor="text1"/>
        </w:rPr>
        <w:t xml:space="preserve"> Nigeria's long-run economic growth, while gross capital formation had a strong influence on output in the long run, as reported by </w:t>
      </w:r>
      <w:proofErr w:type="spellStart"/>
      <w:r>
        <w:rPr>
          <w:color w:val="000000" w:themeColor="text1"/>
        </w:rPr>
        <w:t>Uremadu</w:t>
      </w:r>
      <w:proofErr w:type="spellEnd"/>
      <w:r>
        <w:rPr>
          <w:color w:val="000000" w:themeColor="text1"/>
        </w:rPr>
        <w:t xml:space="preserve"> et al. (2024).</w:t>
      </w:r>
    </w:p>
    <w:p w14:paraId="50C7810A" w14:textId="77777777" w:rsidR="00655CDF" w:rsidRPr="00BC05AD" w:rsidRDefault="00655CDF" w:rsidP="003E2170">
      <w:pPr>
        <w:pStyle w:val="isselectedend"/>
        <w:spacing w:line="360" w:lineRule="auto"/>
        <w:jc w:val="both"/>
        <w:rPr>
          <w:color w:val="000000" w:themeColor="text1"/>
        </w:rPr>
      </w:pPr>
      <w:r>
        <w:rPr>
          <w:color w:val="000000" w:themeColor="text1"/>
        </w:rPr>
        <w:t xml:space="preserve">The insignificant role played by gross capital formation in the Nigerian economy indicates that the current investments in the economy have not necessarily been matched </w:t>
      </w:r>
      <w:r>
        <w:rPr>
          <w:color w:val="000000" w:themeColor="text1"/>
          <w:highlight w:val="yellow"/>
        </w:rPr>
        <w:t>by</w:t>
      </w:r>
      <w:r>
        <w:rPr>
          <w:color w:val="000000" w:themeColor="text1"/>
        </w:rPr>
        <w:t xml:space="preserve"> corresponding productive output. The inefficiency in allocating investment resources, lack of infrastructure and project implementation, or institutional constraints affecting capital productivity </w:t>
      </w:r>
      <w:r>
        <w:rPr>
          <w:color w:val="000000" w:themeColor="text1"/>
          <w:highlight w:val="yellow"/>
        </w:rPr>
        <w:t>may exp</w:t>
      </w:r>
      <w:r>
        <w:rPr>
          <w:color w:val="000000" w:themeColor="text1"/>
        </w:rPr>
        <w:t>l</w:t>
      </w:r>
      <w:r>
        <w:rPr>
          <w:color w:val="000000" w:themeColor="text1"/>
          <w:highlight w:val="yellow"/>
        </w:rPr>
        <w:t>ain</w:t>
      </w:r>
      <w:r>
        <w:rPr>
          <w:color w:val="000000" w:themeColor="text1"/>
        </w:rPr>
        <w:t xml:space="preserve"> th</w:t>
      </w:r>
      <w:r>
        <w:rPr>
          <w:color w:val="000000" w:themeColor="text1"/>
          <w:highlight w:val="yellow"/>
        </w:rPr>
        <w:t>is</w:t>
      </w:r>
      <w:r>
        <w:rPr>
          <w:color w:val="000000" w:themeColor="text1"/>
        </w:rPr>
        <w:t xml:space="preserve"> res</w:t>
      </w:r>
      <w:r>
        <w:rPr>
          <w:color w:val="000000" w:themeColor="text1"/>
          <w:highlight w:val="yellow"/>
        </w:rPr>
        <w:t>ult</w:t>
      </w:r>
      <w:r>
        <w:rPr>
          <w:color w:val="000000" w:themeColor="text1"/>
        </w:rPr>
        <w:t xml:space="preserve">. The outcome is </w:t>
      </w:r>
      <w:r>
        <w:rPr>
          <w:color w:val="000000" w:themeColor="text1"/>
          <w:highlight w:val="yellow"/>
        </w:rPr>
        <w:t>con</w:t>
      </w:r>
      <w:r>
        <w:rPr>
          <w:color w:val="000000" w:themeColor="text1"/>
        </w:rPr>
        <w:t>si</w:t>
      </w:r>
      <w:r>
        <w:rPr>
          <w:color w:val="000000" w:themeColor="text1"/>
          <w:highlight w:val="yellow"/>
        </w:rPr>
        <w:t>stent w</w:t>
      </w:r>
      <w:r>
        <w:rPr>
          <w:color w:val="000000" w:themeColor="text1"/>
        </w:rPr>
        <w:t>it</w:t>
      </w:r>
      <w:r>
        <w:rPr>
          <w:color w:val="000000" w:themeColor="text1"/>
          <w:highlight w:val="yellow"/>
        </w:rPr>
        <w:t>h</w:t>
      </w:r>
      <w:r>
        <w:rPr>
          <w:color w:val="000000" w:themeColor="text1"/>
        </w:rPr>
        <w:t xml:space="preserve"> Abdulkarim (2023)</w:t>
      </w:r>
      <w:r>
        <w:rPr>
          <w:color w:val="000000" w:themeColor="text1"/>
          <w:highlight w:val="yellow"/>
        </w:rPr>
        <w:t>,</w:t>
      </w:r>
      <w:r>
        <w:rPr>
          <w:color w:val="000000" w:themeColor="text1"/>
        </w:rPr>
        <w:t xml:space="preserve"> who </w:t>
      </w:r>
      <w:r>
        <w:rPr>
          <w:color w:val="000000" w:themeColor="text1"/>
          <w:highlight w:val="yellow"/>
        </w:rPr>
        <w:t>argue</w:t>
      </w:r>
      <w:r>
        <w:rPr>
          <w:color w:val="000000" w:themeColor="text1"/>
        </w:rPr>
        <w:t>d that investment can only advance economic development in the presence of efficient governance and effective use of productive resources. Similarly, the positive lagged effect of the literacy rate suggests that while the impact of improvements in human capital on economic performance is not immediate, t</w:t>
      </w:r>
      <w:r>
        <w:rPr>
          <w:color w:val="000000" w:themeColor="text1"/>
          <w:highlight w:val="yellow"/>
        </w:rPr>
        <w:t>he</w:t>
      </w:r>
      <w:r>
        <w:rPr>
          <w:color w:val="000000" w:themeColor="text1"/>
        </w:rPr>
        <w:t xml:space="preserve"> e</w:t>
      </w:r>
      <w:r>
        <w:rPr>
          <w:color w:val="000000" w:themeColor="text1"/>
          <w:highlight w:val="yellow"/>
        </w:rPr>
        <w:t>ffect</w:t>
      </w:r>
      <w:r>
        <w:rPr>
          <w:color w:val="000000" w:themeColor="text1"/>
        </w:rPr>
        <w:t xml:space="preserve"> take</w:t>
      </w:r>
      <w:r>
        <w:rPr>
          <w:color w:val="000000" w:themeColor="text1"/>
          <w:highlight w:val="yellow"/>
        </w:rPr>
        <w:t>s</w:t>
      </w:r>
      <w:r>
        <w:rPr>
          <w:color w:val="000000" w:themeColor="text1"/>
        </w:rPr>
        <w:t xml:space="preserve"> time</w:t>
      </w:r>
      <w:r>
        <w:rPr>
          <w:color w:val="000000" w:themeColor="text1"/>
          <w:highlight w:val="yellow"/>
        </w:rPr>
        <w:t xml:space="preserve"> to emerge</w:t>
      </w:r>
      <w:r>
        <w:rPr>
          <w:color w:val="000000" w:themeColor="text1"/>
        </w:rPr>
        <w:t xml:space="preserve"> and therefore reinforces the endogenous growth theory, which places a strong emphasis on education as a driver of technological progress and productivity improvement.</w:t>
      </w:r>
    </w:p>
    <w:p w14:paraId="10AE3CB2" w14:textId="77777777" w:rsidR="00926671" w:rsidRPr="00BC05AD" w:rsidRDefault="00926671" w:rsidP="003E2170">
      <w:pPr>
        <w:pStyle w:val="isselectedend"/>
        <w:spacing w:line="360" w:lineRule="auto"/>
        <w:jc w:val="both"/>
        <w:rPr>
          <w:color w:val="000000" w:themeColor="text1"/>
        </w:rPr>
      </w:pPr>
      <w:r>
        <w:rPr>
          <w:color w:val="000000" w:themeColor="text1"/>
        </w:rPr>
        <w:t xml:space="preserve">The coefficient for the contemporaneous literacy rate (LTR) is negative and not statistically significant (β = −0.0425, p = 0.7820), </w:t>
      </w:r>
      <w:r>
        <w:rPr>
          <w:color w:val="000000" w:themeColor="text1"/>
          <w:highlight w:val="yellow"/>
        </w:rPr>
        <w:t>indic</w:t>
      </w:r>
      <w:r>
        <w:rPr>
          <w:color w:val="000000" w:themeColor="text1"/>
        </w:rPr>
        <w:t>a</w:t>
      </w:r>
      <w:r>
        <w:rPr>
          <w:color w:val="000000" w:themeColor="text1"/>
          <w:highlight w:val="yellow"/>
        </w:rPr>
        <w:t>t</w:t>
      </w:r>
      <w:r>
        <w:rPr>
          <w:color w:val="000000" w:themeColor="text1"/>
        </w:rPr>
        <w:t xml:space="preserve">ing that there is no immediate positive relationship </w:t>
      </w:r>
      <w:r>
        <w:rPr>
          <w:color w:val="000000" w:themeColor="text1"/>
        </w:rPr>
        <w:lastRenderedPageBreak/>
        <w:t xml:space="preserve">between an improvement in literacy and an increase in economic growth. This result may be due to the fact that education alone is not enough to boost productivity unless there are skills, technologies, entrepreneurship and a conducive business climate. The finding is, therefore, partly in agreement with the endogenous growth theory that focuses on the role of human capital in growth, specifically its ability to produce knowledge, innovate, and enhance productivity, </w:t>
      </w:r>
      <w:r>
        <w:rPr>
          <w:color w:val="000000" w:themeColor="text1"/>
          <w:highlight w:val="yellow"/>
        </w:rPr>
        <w:t>ra</w:t>
      </w:r>
      <w:r>
        <w:rPr>
          <w:color w:val="000000" w:themeColor="text1"/>
        </w:rPr>
        <w:t>t</w:t>
      </w:r>
      <w:r>
        <w:rPr>
          <w:color w:val="000000" w:themeColor="text1"/>
          <w:highlight w:val="yellow"/>
        </w:rPr>
        <w:t>her</w:t>
      </w:r>
      <w:r>
        <w:rPr>
          <w:color w:val="000000" w:themeColor="text1"/>
        </w:rPr>
        <w:t xml:space="preserve"> t</w:t>
      </w:r>
      <w:r>
        <w:rPr>
          <w:color w:val="000000" w:themeColor="text1"/>
          <w:highlight w:val="yellow"/>
        </w:rPr>
        <w:t>han</w:t>
      </w:r>
      <w:r>
        <w:rPr>
          <w:color w:val="000000" w:themeColor="text1"/>
        </w:rPr>
        <w:t xml:space="preserve"> education alone. The finding is also consistent with the result obtained by Kong et al. (2020), which concluded that government spending on education did not have a positive immediate impact on economic growth.</w:t>
      </w:r>
    </w:p>
    <w:p w14:paraId="075B26E6" w14:textId="77777777" w:rsidR="00836340" w:rsidRPr="00BC05AD" w:rsidRDefault="00926671" w:rsidP="003E2170">
      <w:pPr>
        <w:pStyle w:val="isselectedend"/>
        <w:spacing w:line="360" w:lineRule="auto"/>
        <w:jc w:val="both"/>
        <w:rPr>
          <w:color w:val="000000" w:themeColor="text1"/>
        </w:rPr>
      </w:pPr>
      <w:r>
        <w:rPr>
          <w:color w:val="000000" w:themeColor="text1"/>
        </w:rPr>
        <w:t>The lagged literacy rate D(</w:t>
      </w:r>
      <w:proofErr w:type="gramStart"/>
      <w:r>
        <w:rPr>
          <w:color w:val="000000" w:themeColor="text1"/>
        </w:rPr>
        <w:t>LTR(</w:t>
      </w:r>
      <w:proofErr w:type="gramEnd"/>
      <w:r>
        <w:rPr>
          <w:color w:val="000000" w:themeColor="text1"/>
        </w:rPr>
        <w:t xml:space="preserve">-1)), on the other hand, has a statistically significant and positive influence on economic growth (β = 1.9159, p = 0.0068). This means that the payoffs of human capital </w:t>
      </w:r>
      <w:proofErr w:type="spellStart"/>
      <w:r>
        <w:rPr>
          <w:color w:val="000000" w:themeColor="text1"/>
        </w:rPr>
        <w:t>utili</w:t>
      </w:r>
      <w:r>
        <w:rPr>
          <w:color w:val="000000" w:themeColor="text1"/>
          <w:highlight w:val="yellow"/>
        </w:rPr>
        <w:t>s</w:t>
      </w:r>
      <w:r>
        <w:rPr>
          <w:color w:val="000000" w:themeColor="text1"/>
        </w:rPr>
        <w:t>ation</w:t>
      </w:r>
      <w:proofErr w:type="spellEnd"/>
      <w:r>
        <w:rPr>
          <w:color w:val="000000" w:themeColor="text1"/>
        </w:rPr>
        <w:t xml:space="preserve"> are not immediate but e</w:t>
      </w:r>
      <w:r>
        <w:rPr>
          <w:color w:val="000000" w:themeColor="text1"/>
          <w:highlight w:val="yellow"/>
        </w:rPr>
        <w:t>merge</w:t>
      </w:r>
      <w:r>
        <w:rPr>
          <w:color w:val="000000" w:themeColor="text1"/>
        </w:rPr>
        <w:t xml:space="preserve"> over time</w:t>
      </w:r>
      <w:r>
        <w:rPr>
          <w:color w:val="000000" w:themeColor="text1"/>
          <w:highlight w:val="yellow"/>
        </w:rPr>
        <w:t>,</w:t>
      </w:r>
      <w:r>
        <w:rPr>
          <w:color w:val="000000" w:themeColor="text1"/>
        </w:rPr>
        <w:t xml:space="preserve"> as risin</w:t>
      </w:r>
      <w:r>
        <w:rPr>
          <w:color w:val="000000" w:themeColor="text1"/>
          <w:highlight w:val="yellow"/>
        </w:rPr>
        <w:t>g</w:t>
      </w:r>
      <w:r>
        <w:rPr>
          <w:color w:val="000000" w:themeColor="text1"/>
        </w:rPr>
        <w:t xml:space="preserve"> literacy levels </w:t>
      </w:r>
      <w:r>
        <w:rPr>
          <w:color w:val="000000" w:themeColor="text1"/>
          <w:highlight w:val="yellow"/>
        </w:rPr>
        <w:t>gradua</w:t>
      </w:r>
      <w:r>
        <w:rPr>
          <w:color w:val="000000" w:themeColor="text1"/>
        </w:rPr>
        <w:t xml:space="preserve">lly increase </w:t>
      </w:r>
      <w:proofErr w:type="spellStart"/>
      <w:r>
        <w:rPr>
          <w:color w:val="000000" w:themeColor="text1"/>
        </w:rPr>
        <w:t>labour</w:t>
      </w:r>
      <w:proofErr w:type="spellEnd"/>
      <w:r>
        <w:rPr>
          <w:color w:val="000000" w:themeColor="text1"/>
        </w:rPr>
        <w:t xml:space="preserve"> productivity, innovation capacity, technological adoption and the overall efficiency of production. The result supports the endogenous growth theory proposed by Romer (1986) and Lucas (1988) that sustained investment in human capital can lead to knowledge spillovers and increasing returns that can foster long-run economic growth. This finding also corroborates that of </w:t>
      </w:r>
      <w:proofErr w:type="spellStart"/>
      <w:r>
        <w:rPr>
          <w:color w:val="000000" w:themeColor="text1"/>
        </w:rPr>
        <w:t>Onwiodiokit</w:t>
      </w:r>
      <w:proofErr w:type="spellEnd"/>
      <w:r>
        <w:rPr>
          <w:color w:val="000000" w:themeColor="text1"/>
        </w:rPr>
        <w:t xml:space="preserve"> and </w:t>
      </w:r>
      <w:proofErr w:type="spellStart"/>
      <w:r>
        <w:rPr>
          <w:color w:val="000000" w:themeColor="text1"/>
        </w:rPr>
        <w:t>Otolorin</w:t>
      </w:r>
      <w:proofErr w:type="spellEnd"/>
      <w:r>
        <w:rPr>
          <w:color w:val="000000" w:themeColor="text1"/>
        </w:rPr>
        <w:t xml:space="preserve"> (2021), who reported a positive influence of human capital formation on economic growth in Nigeria, w</w:t>
      </w:r>
      <w:r>
        <w:rPr>
          <w:color w:val="000000" w:themeColor="text1"/>
          <w:highlight w:val="yellow"/>
        </w:rPr>
        <w:t>h</w:t>
      </w:r>
      <w:r>
        <w:rPr>
          <w:color w:val="000000" w:themeColor="text1"/>
        </w:rPr>
        <w:t>i</w:t>
      </w:r>
      <w:r>
        <w:rPr>
          <w:color w:val="000000" w:themeColor="text1"/>
          <w:highlight w:val="yellow"/>
        </w:rPr>
        <w:t>le</w:t>
      </w:r>
      <w:r>
        <w:rPr>
          <w:color w:val="000000" w:themeColor="text1"/>
        </w:rPr>
        <w:t xml:space="preserve"> gross capital formation </w:t>
      </w:r>
      <w:r>
        <w:rPr>
          <w:color w:val="000000" w:themeColor="text1"/>
          <w:highlight w:val="yellow"/>
        </w:rPr>
        <w:t>show</w:t>
      </w:r>
      <w:r>
        <w:rPr>
          <w:color w:val="000000" w:themeColor="text1"/>
        </w:rPr>
        <w:t>e</w:t>
      </w:r>
      <w:r>
        <w:rPr>
          <w:color w:val="000000" w:themeColor="text1"/>
          <w:highlight w:val="yellow"/>
        </w:rPr>
        <w:t>d</w:t>
      </w:r>
      <w:r>
        <w:rPr>
          <w:color w:val="000000" w:themeColor="text1"/>
        </w:rPr>
        <w:t xml:space="preserve"> a </w:t>
      </w:r>
      <w:r>
        <w:rPr>
          <w:color w:val="000000" w:themeColor="text1"/>
          <w:highlight w:val="yellow"/>
        </w:rPr>
        <w:t>w</w:t>
      </w:r>
      <w:r>
        <w:rPr>
          <w:color w:val="000000" w:themeColor="text1"/>
        </w:rPr>
        <w:t>e</w:t>
      </w:r>
      <w:r>
        <w:rPr>
          <w:color w:val="000000" w:themeColor="text1"/>
          <w:highlight w:val="yellow"/>
        </w:rPr>
        <w:t>ak</w:t>
      </w:r>
      <w:r>
        <w:rPr>
          <w:color w:val="000000" w:themeColor="text1"/>
        </w:rPr>
        <w:t>er or negative e</w:t>
      </w:r>
      <w:r>
        <w:rPr>
          <w:color w:val="000000" w:themeColor="text1"/>
          <w:highlight w:val="yellow"/>
        </w:rPr>
        <w:t>ffec</w:t>
      </w:r>
      <w:r>
        <w:rPr>
          <w:color w:val="000000" w:themeColor="text1"/>
        </w:rPr>
        <w:t>t. The results thus highlight the need to ensure that investments are accompanied</w:t>
      </w:r>
      <w:r>
        <w:rPr>
          <w:color w:val="000000" w:themeColor="text1"/>
          <w:highlight w:val="yellow"/>
        </w:rPr>
        <w:t xml:space="preserve"> not only</w:t>
      </w:r>
      <w:r>
        <w:rPr>
          <w:color w:val="000000" w:themeColor="text1"/>
        </w:rPr>
        <w:t xml:space="preserve"> by continuous investment in human capital but also </w:t>
      </w:r>
      <w:r>
        <w:rPr>
          <w:color w:val="000000" w:themeColor="text1"/>
          <w:highlight w:val="yellow"/>
        </w:rPr>
        <w:t>by</w:t>
      </w:r>
      <w:r>
        <w:rPr>
          <w:color w:val="000000" w:themeColor="text1"/>
        </w:rPr>
        <w:t xml:space="preserve"> institutional strengthening, infrastructure development, and macroeconomic stability </w:t>
      </w:r>
      <w:r>
        <w:rPr>
          <w:color w:val="000000" w:themeColor="text1"/>
          <w:highlight w:val="yellow"/>
        </w:rPr>
        <w:t>t</w:t>
      </w:r>
      <w:r>
        <w:rPr>
          <w:color w:val="000000" w:themeColor="text1"/>
        </w:rPr>
        <w:t>o</w:t>
      </w:r>
      <w:r>
        <w:rPr>
          <w:color w:val="000000" w:themeColor="text1"/>
          <w:highlight w:val="yellow"/>
        </w:rPr>
        <w:t xml:space="preserve"> t</w:t>
      </w:r>
      <w:r>
        <w:rPr>
          <w:color w:val="000000" w:themeColor="text1"/>
        </w:rPr>
        <w:t>ra</w:t>
      </w:r>
      <w:r>
        <w:rPr>
          <w:color w:val="000000" w:themeColor="text1"/>
          <w:highlight w:val="yellow"/>
        </w:rPr>
        <w:t>n</w:t>
      </w:r>
      <w:r>
        <w:rPr>
          <w:color w:val="000000" w:themeColor="text1"/>
        </w:rPr>
        <w:t>s</w:t>
      </w:r>
      <w:r>
        <w:rPr>
          <w:color w:val="000000" w:themeColor="text1"/>
          <w:highlight w:val="yellow"/>
        </w:rPr>
        <w:t>la</w:t>
      </w:r>
      <w:r>
        <w:rPr>
          <w:color w:val="000000" w:themeColor="text1"/>
        </w:rPr>
        <w:t>t</w:t>
      </w:r>
      <w:r>
        <w:rPr>
          <w:color w:val="000000" w:themeColor="text1"/>
          <w:highlight w:val="yellow"/>
        </w:rPr>
        <w:t>e</w:t>
      </w:r>
      <w:r>
        <w:rPr>
          <w:color w:val="000000" w:themeColor="text1"/>
        </w:rPr>
        <w:t xml:space="preserve"> capital accumulation </w:t>
      </w:r>
      <w:r>
        <w:rPr>
          <w:color w:val="000000" w:themeColor="text1"/>
          <w:highlight w:val="yellow"/>
        </w:rPr>
        <w:t>in</w:t>
      </w:r>
      <w:r>
        <w:rPr>
          <w:color w:val="000000" w:themeColor="text1"/>
        </w:rPr>
        <w:t>to sustainable economic growth.</w:t>
      </w:r>
    </w:p>
    <w:p w14:paraId="4EEFFBCD" w14:textId="77777777" w:rsidR="00836340" w:rsidRPr="00BC05AD" w:rsidRDefault="00836340" w:rsidP="003E2170">
      <w:pPr>
        <w:spacing w:before="100" w:beforeAutospacing="1" w:after="100" w:afterAutospacing="1" w:line="360" w:lineRule="auto"/>
        <w:outlineLvl w:val="1"/>
        <w:rPr>
          <w:rFonts w:ascii="Times New Roman" w:eastAsia="Times New Roman" w:hAnsi="Times New Roman" w:cs="Times New Roman"/>
          <w:b/>
          <w:bCs/>
          <w:color w:val="000000" w:themeColor="text1"/>
          <w:sz w:val="24"/>
          <w:szCs w:val="24"/>
        </w:rPr>
      </w:pPr>
      <w:r w:rsidRPr="00BC05AD">
        <w:rPr>
          <w:rFonts w:ascii="Times New Roman" w:eastAsia="Times New Roman" w:hAnsi="Times New Roman" w:cs="Times New Roman"/>
          <w:b/>
          <w:bCs/>
          <w:color w:val="000000" w:themeColor="text1"/>
          <w:sz w:val="24"/>
          <w:szCs w:val="24"/>
        </w:rPr>
        <w:t>5.0 Conclusion and Recommendations</w:t>
      </w:r>
    </w:p>
    <w:p w14:paraId="679BD4CA" w14:textId="77777777" w:rsidR="00AB32C5" w:rsidRPr="00BC05AD" w:rsidRDefault="00877A87" w:rsidP="003E2170">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study explored the relationship between gross capital formation and economic growth in Nigeria </w:t>
      </w:r>
      <w:r>
        <w:rPr>
          <w:rFonts w:ascii="Times New Roman" w:eastAsia="Times New Roman" w:hAnsi="Times New Roman" w:cs="Times New Roman"/>
          <w:color w:val="000000" w:themeColor="text1"/>
          <w:sz w:val="24"/>
          <w:szCs w:val="24"/>
          <w:highlight w:val="yellow"/>
        </w:rPr>
        <w:t>using</w:t>
      </w:r>
      <w:r>
        <w:rPr>
          <w:rFonts w:ascii="Times New Roman" w:eastAsia="Times New Roman" w:hAnsi="Times New Roman" w:cs="Times New Roman"/>
          <w:color w:val="000000" w:themeColor="text1"/>
          <w:sz w:val="24"/>
          <w:szCs w:val="24"/>
        </w:rPr>
        <w:t xml:space="preserve"> the autoregressive distributed lag model. The empirical results reveal that gross capital formation did not significantly affect economic growth over the period of study </w:t>
      </w:r>
      <w:r>
        <w:rPr>
          <w:rFonts w:ascii="Times New Roman" w:eastAsia="Times New Roman" w:hAnsi="Times New Roman" w:cs="Times New Roman"/>
          <w:color w:val="000000" w:themeColor="text1"/>
          <w:sz w:val="24"/>
          <w:szCs w:val="24"/>
          <w:highlight w:val="yellow"/>
        </w:rPr>
        <w:t>while</w:t>
      </w:r>
      <w:r>
        <w:rPr>
          <w:rFonts w:ascii="Times New Roman" w:eastAsia="Times New Roman" w:hAnsi="Times New Roman" w:cs="Times New Roman"/>
          <w:color w:val="000000" w:themeColor="text1"/>
          <w:sz w:val="24"/>
          <w:szCs w:val="24"/>
        </w:rPr>
        <w:t xml:space="preserve"> the lagged coefficient </w:t>
      </w:r>
      <w:r>
        <w:rPr>
          <w:rFonts w:ascii="Times New Roman" w:eastAsia="Times New Roman" w:hAnsi="Times New Roman" w:cs="Times New Roman"/>
          <w:color w:val="000000" w:themeColor="text1"/>
          <w:sz w:val="24"/>
          <w:szCs w:val="24"/>
          <w:highlight w:val="yellow"/>
        </w:rPr>
        <w:t>wa</w:t>
      </w:r>
      <w:r>
        <w:rPr>
          <w:rFonts w:ascii="Times New Roman" w:eastAsia="Times New Roman" w:hAnsi="Times New Roman" w:cs="Times New Roman"/>
          <w:color w:val="000000" w:themeColor="text1"/>
          <w:sz w:val="24"/>
          <w:szCs w:val="24"/>
        </w:rPr>
        <w:t xml:space="preserve">s positive, as would be expected. The results also indicate that sustainable economic growth </w:t>
      </w:r>
      <w:r>
        <w:rPr>
          <w:rFonts w:ascii="Times New Roman" w:eastAsia="Times New Roman" w:hAnsi="Times New Roman" w:cs="Times New Roman"/>
          <w:color w:val="000000" w:themeColor="text1"/>
          <w:sz w:val="24"/>
          <w:szCs w:val="24"/>
          <w:highlight w:val="yellow"/>
        </w:rPr>
        <w:t>requ</w:t>
      </w:r>
      <w:r>
        <w:rPr>
          <w:rFonts w:ascii="Times New Roman" w:eastAsia="Times New Roman" w:hAnsi="Times New Roman" w:cs="Times New Roman"/>
          <w:color w:val="000000" w:themeColor="text1"/>
          <w:sz w:val="24"/>
          <w:szCs w:val="24"/>
        </w:rPr>
        <w:t>i</w:t>
      </w:r>
      <w:r>
        <w:rPr>
          <w:rFonts w:ascii="Times New Roman" w:eastAsia="Times New Roman" w:hAnsi="Times New Roman" w:cs="Times New Roman"/>
          <w:color w:val="000000" w:themeColor="text1"/>
          <w:sz w:val="24"/>
          <w:szCs w:val="24"/>
          <w:highlight w:val="yellow"/>
        </w:rPr>
        <w:t>re</w:t>
      </w:r>
      <w:r>
        <w:rPr>
          <w:rFonts w:ascii="Times New Roman" w:eastAsia="Times New Roman" w:hAnsi="Times New Roman" w:cs="Times New Roman"/>
          <w:color w:val="000000" w:themeColor="text1"/>
          <w:sz w:val="24"/>
          <w:szCs w:val="24"/>
        </w:rPr>
        <w:t>s capital accumulation alongside complementary improvement</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in institutional quality, investment efficiency, and human capital development. The aim of policy should therefore not only be to increase the volume of investment spending but also to enhance </w:t>
      </w:r>
      <w:r>
        <w:rPr>
          <w:rFonts w:ascii="Times New Roman" w:eastAsia="Times New Roman" w:hAnsi="Times New Roman" w:cs="Times New Roman"/>
          <w:color w:val="000000" w:themeColor="text1"/>
          <w:sz w:val="24"/>
          <w:szCs w:val="24"/>
        </w:rPr>
        <w:lastRenderedPageBreak/>
        <w:t xml:space="preserve">the productivity and efficiency </w:t>
      </w:r>
      <w:r>
        <w:rPr>
          <w:rFonts w:ascii="Times New Roman" w:eastAsia="Times New Roman" w:hAnsi="Times New Roman" w:cs="Times New Roman"/>
          <w:color w:val="000000" w:themeColor="text1"/>
          <w:sz w:val="24"/>
          <w:szCs w:val="24"/>
          <w:highlight w:val="yellow"/>
        </w:rPr>
        <w:t>with which</w:t>
      </w:r>
      <w:r>
        <w:rPr>
          <w:rFonts w:ascii="Times New Roman" w:eastAsia="Times New Roman" w:hAnsi="Times New Roman" w:cs="Times New Roman"/>
          <w:color w:val="000000" w:themeColor="text1"/>
          <w:sz w:val="24"/>
          <w:szCs w:val="24"/>
        </w:rPr>
        <w:t xml:space="preserve"> investments</w:t>
      </w:r>
      <w:r>
        <w:rPr>
          <w:rFonts w:ascii="Times New Roman" w:eastAsia="Times New Roman" w:hAnsi="Times New Roman" w:cs="Times New Roman"/>
          <w:color w:val="000000" w:themeColor="text1"/>
          <w:sz w:val="24"/>
          <w:szCs w:val="24"/>
          <w:highlight w:val="yellow"/>
        </w:rPr>
        <w:t xml:space="preserve"> are</w:t>
      </w:r>
      <w:r>
        <w:rPr>
          <w:rFonts w:ascii="Times New Roman" w:eastAsia="Times New Roman" w:hAnsi="Times New Roman" w:cs="Times New Roman"/>
          <w:color w:val="000000" w:themeColor="text1"/>
          <w:sz w:val="24"/>
          <w:szCs w:val="24"/>
        </w:rPr>
        <w:t xml:space="preserve"> use</w:t>
      </w:r>
      <w:r>
        <w:rPr>
          <w:rFonts w:ascii="Times New Roman" w:eastAsia="Times New Roman" w:hAnsi="Times New Roman" w:cs="Times New Roman"/>
          <w:color w:val="000000" w:themeColor="text1"/>
          <w:sz w:val="24"/>
          <w:szCs w:val="24"/>
          <w:highlight w:val="yellow"/>
        </w:rPr>
        <w:t>d</w:t>
      </w:r>
      <w:r>
        <w:rPr>
          <w:rFonts w:ascii="Times New Roman" w:eastAsia="Times New Roman" w:hAnsi="Times New Roman" w:cs="Times New Roman"/>
          <w:color w:val="000000" w:themeColor="text1"/>
          <w:sz w:val="24"/>
          <w:szCs w:val="24"/>
        </w:rPr>
        <w:t>. The study suggests that the following should be done:</w:t>
      </w:r>
    </w:p>
    <w:p w14:paraId="603F4A1C" w14:textId="77777777" w:rsidR="00AB32C5" w:rsidRPr="00BC05AD" w:rsidRDefault="008C4CF5" w:rsidP="003E2170">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Federal Ministry of Finance, Federal Ministry of Budget and Economic Planning, Central Bank of Nigeria (CBN), and Nigerian Investment Promotion Commission (NIPC) should strengthen policies to promote productive public and private investment through improvement</w:t>
      </w:r>
      <w:r>
        <w:rPr>
          <w:rFonts w:ascii="Times New Roman" w:eastAsia="Times New Roman" w:hAnsi="Times New Roman" w:cs="Times New Roman"/>
          <w:color w:val="000000" w:themeColor="text1"/>
          <w:sz w:val="24"/>
          <w:szCs w:val="24"/>
          <w:highlight w:val="yellow"/>
        </w:rPr>
        <w:t>s</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highlight w:val="yellow"/>
        </w:rPr>
        <w:t>in</w:t>
      </w:r>
      <w:r>
        <w:rPr>
          <w:rFonts w:ascii="Times New Roman" w:eastAsia="Times New Roman" w:hAnsi="Times New Roman" w:cs="Times New Roman"/>
          <w:color w:val="000000" w:themeColor="text1"/>
          <w:sz w:val="24"/>
          <w:szCs w:val="24"/>
        </w:rPr>
        <w:t xml:space="preserve"> infrastructure, efficient allocation of capital expenditure, </w:t>
      </w:r>
      <w:r>
        <w:rPr>
          <w:rFonts w:ascii="Times New Roman" w:eastAsia="Times New Roman" w:hAnsi="Times New Roman" w:cs="Times New Roman"/>
          <w:color w:val="000000" w:themeColor="text1"/>
          <w:sz w:val="24"/>
          <w:szCs w:val="24"/>
          <w:highlight w:val="yellow"/>
        </w:rPr>
        <w:t xml:space="preserve">an </w:t>
      </w:r>
      <w:r>
        <w:rPr>
          <w:rFonts w:ascii="Times New Roman" w:eastAsia="Times New Roman" w:hAnsi="Times New Roman" w:cs="Times New Roman"/>
          <w:color w:val="000000" w:themeColor="text1"/>
          <w:sz w:val="24"/>
          <w:szCs w:val="24"/>
        </w:rPr>
        <w:t>improve</w:t>
      </w:r>
      <w:r>
        <w:rPr>
          <w:rFonts w:ascii="Times New Roman" w:eastAsia="Times New Roman" w:hAnsi="Times New Roman" w:cs="Times New Roman"/>
          <w:color w:val="000000" w:themeColor="text1"/>
          <w:sz w:val="24"/>
          <w:szCs w:val="24"/>
          <w:highlight w:val="yellow"/>
        </w:rPr>
        <w:t>d</w:t>
      </w:r>
      <w:r>
        <w:rPr>
          <w:rFonts w:ascii="Times New Roman" w:eastAsia="Times New Roman" w:hAnsi="Times New Roman" w:cs="Times New Roman"/>
          <w:color w:val="000000" w:themeColor="text1"/>
          <w:sz w:val="24"/>
          <w:szCs w:val="24"/>
        </w:rPr>
        <w:t xml:space="preserve"> investment climate and provision of incentives for domestic and foreign investment in productive sectors of the economy. This will i</w:t>
      </w:r>
      <w:r>
        <w:rPr>
          <w:rFonts w:ascii="Times New Roman" w:eastAsia="Times New Roman" w:hAnsi="Times New Roman" w:cs="Times New Roman"/>
          <w:color w:val="000000" w:themeColor="text1"/>
          <w:sz w:val="24"/>
          <w:szCs w:val="24"/>
          <w:highlight w:val="yellow"/>
        </w:rPr>
        <w:t>mprov</w:t>
      </w:r>
      <w:r>
        <w:rPr>
          <w:rFonts w:ascii="Times New Roman" w:eastAsia="Times New Roman" w:hAnsi="Times New Roman" w:cs="Times New Roman"/>
          <w:color w:val="000000" w:themeColor="text1"/>
          <w:sz w:val="24"/>
          <w:szCs w:val="24"/>
        </w:rPr>
        <w:t>e the efficiency of gross capital formation and increase its effect on sustainable economic growth.</w:t>
      </w:r>
    </w:p>
    <w:p w14:paraId="770AF041" w14:textId="77777777" w:rsidR="00B15DBD" w:rsidRPr="00BC05AD" w:rsidRDefault="008C4CF5" w:rsidP="00B15DBD">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Federal Ministry of Education (FME), National Universities Commission (NUC), National Board for Technical Education (NBTE), National Commission for Colleges of Education (NCCE) and the National Board for Arabic and Islamic Studies (NBAIS) should continue to </w:t>
      </w:r>
      <w:r>
        <w:rPr>
          <w:rFonts w:ascii="Times New Roman" w:eastAsia="Times New Roman" w:hAnsi="Times New Roman" w:cs="Times New Roman"/>
          <w:color w:val="000000" w:themeColor="text1"/>
          <w:sz w:val="24"/>
          <w:szCs w:val="24"/>
          <w:highlight w:val="yellow"/>
        </w:rPr>
        <w:t>im</w:t>
      </w:r>
      <w:r>
        <w:rPr>
          <w:rFonts w:ascii="Times New Roman" w:eastAsia="Times New Roman" w:hAnsi="Times New Roman" w:cs="Times New Roman"/>
          <w:color w:val="000000" w:themeColor="text1"/>
          <w:sz w:val="24"/>
          <w:szCs w:val="24"/>
        </w:rPr>
        <w:t>pr</w:t>
      </w:r>
      <w:r>
        <w:rPr>
          <w:rFonts w:ascii="Times New Roman" w:eastAsia="Times New Roman" w:hAnsi="Times New Roman" w:cs="Times New Roman"/>
          <w:color w:val="000000" w:themeColor="text1"/>
          <w:sz w:val="24"/>
          <w:szCs w:val="24"/>
          <w:highlight w:val="yellow"/>
        </w:rPr>
        <w:t>ov</w:t>
      </w:r>
      <w:r>
        <w:rPr>
          <w:rFonts w:ascii="Times New Roman" w:eastAsia="Times New Roman" w:hAnsi="Times New Roman" w:cs="Times New Roman"/>
          <w:color w:val="000000" w:themeColor="text1"/>
          <w:sz w:val="24"/>
          <w:szCs w:val="24"/>
        </w:rPr>
        <w:t xml:space="preserve">e the quality of education by </w:t>
      </w:r>
      <w:r>
        <w:rPr>
          <w:rFonts w:ascii="Times New Roman" w:eastAsia="Times New Roman" w:hAnsi="Times New Roman" w:cs="Times New Roman"/>
          <w:color w:val="000000" w:themeColor="text1"/>
          <w:sz w:val="24"/>
          <w:szCs w:val="24"/>
          <w:highlight w:val="yellow"/>
        </w:rPr>
        <w:t>str</w:t>
      </w:r>
      <w:r>
        <w:rPr>
          <w:rFonts w:ascii="Times New Roman" w:eastAsia="Times New Roman" w:hAnsi="Times New Roman" w:cs="Times New Roman"/>
          <w:color w:val="000000" w:themeColor="text1"/>
          <w:sz w:val="24"/>
          <w:szCs w:val="24"/>
        </w:rPr>
        <w:t>en</w:t>
      </w:r>
      <w:r>
        <w:rPr>
          <w:rFonts w:ascii="Times New Roman" w:eastAsia="Times New Roman" w:hAnsi="Times New Roman" w:cs="Times New Roman"/>
          <w:color w:val="000000" w:themeColor="text1"/>
          <w:sz w:val="24"/>
          <w:szCs w:val="24"/>
          <w:highlight w:val="yellow"/>
        </w:rPr>
        <w:t>gt</w:t>
      </w:r>
      <w:r>
        <w:rPr>
          <w:rFonts w:ascii="Times New Roman" w:eastAsia="Times New Roman" w:hAnsi="Times New Roman" w:cs="Times New Roman"/>
          <w:color w:val="000000" w:themeColor="text1"/>
          <w:sz w:val="24"/>
          <w:szCs w:val="24"/>
        </w:rPr>
        <w:t>h</w:t>
      </w:r>
      <w:r>
        <w:rPr>
          <w:rFonts w:ascii="Times New Roman" w:eastAsia="Times New Roman" w:hAnsi="Times New Roman" w:cs="Times New Roman"/>
          <w:color w:val="000000" w:themeColor="text1"/>
          <w:sz w:val="24"/>
          <w:szCs w:val="24"/>
          <w:highlight w:val="yellow"/>
        </w:rPr>
        <w:t>e</w:t>
      </w:r>
      <w:r>
        <w:rPr>
          <w:rFonts w:ascii="Times New Roman" w:eastAsia="Times New Roman" w:hAnsi="Times New Roman" w:cs="Times New Roman"/>
          <w:color w:val="000000" w:themeColor="text1"/>
          <w:sz w:val="24"/>
          <w:szCs w:val="24"/>
        </w:rPr>
        <w:t xml:space="preserve">ning the </w:t>
      </w:r>
      <w:r>
        <w:rPr>
          <w:rFonts w:ascii="Times New Roman" w:eastAsia="Times New Roman" w:hAnsi="Times New Roman" w:cs="Times New Roman"/>
          <w:color w:val="000000" w:themeColor="text1"/>
          <w:sz w:val="24"/>
          <w:szCs w:val="24"/>
          <w:highlight w:val="yellow"/>
        </w:rPr>
        <w:t>prov</w:t>
      </w:r>
      <w:r>
        <w:rPr>
          <w:rFonts w:ascii="Times New Roman" w:eastAsia="Times New Roman" w:hAnsi="Times New Roman" w:cs="Times New Roman"/>
          <w:color w:val="000000" w:themeColor="text1"/>
          <w:sz w:val="24"/>
          <w:szCs w:val="24"/>
        </w:rPr>
        <w:t>ision of technical, vocational, digital</w:t>
      </w:r>
      <w:r>
        <w:rPr>
          <w:rFonts w:ascii="Times New Roman" w:eastAsia="Times New Roman" w:hAnsi="Times New Roman" w:cs="Times New Roman"/>
          <w:color w:val="000000" w:themeColor="text1"/>
          <w:sz w:val="24"/>
          <w:szCs w:val="24"/>
          <w:highlight w:val="yellow"/>
        </w:rPr>
        <w:t>,</w:t>
      </w:r>
      <w:r>
        <w:rPr>
          <w:rFonts w:ascii="Times New Roman" w:eastAsia="Times New Roman" w:hAnsi="Times New Roman" w:cs="Times New Roman"/>
          <w:color w:val="000000" w:themeColor="text1"/>
          <w:sz w:val="24"/>
          <w:szCs w:val="24"/>
        </w:rPr>
        <w:t xml:space="preserve"> and innovation skills </w:t>
      </w:r>
      <w:r>
        <w:rPr>
          <w:rFonts w:ascii="Times New Roman" w:eastAsia="Times New Roman" w:hAnsi="Times New Roman" w:cs="Times New Roman"/>
          <w:color w:val="000000" w:themeColor="text1"/>
          <w:sz w:val="24"/>
          <w:szCs w:val="24"/>
          <w:highlight w:val="yellow"/>
        </w:rPr>
        <w:t>across</w:t>
      </w:r>
      <w:r>
        <w:rPr>
          <w:rFonts w:ascii="Times New Roman" w:eastAsia="Times New Roman" w:hAnsi="Times New Roman" w:cs="Times New Roman"/>
          <w:color w:val="000000" w:themeColor="text1"/>
          <w:sz w:val="24"/>
          <w:szCs w:val="24"/>
        </w:rPr>
        <w:t xml:space="preserve"> education and training systems and </w:t>
      </w:r>
      <w:r>
        <w:rPr>
          <w:rFonts w:ascii="Times New Roman" w:eastAsia="Times New Roman" w:hAnsi="Times New Roman" w:cs="Times New Roman"/>
          <w:color w:val="000000" w:themeColor="text1"/>
          <w:sz w:val="24"/>
          <w:szCs w:val="24"/>
          <w:highlight w:val="yellow"/>
        </w:rPr>
        <w:t xml:space="preserve">by </w:t>
      </w:r>
      <w:r>
        <w:rPr>
          <w:rFonts w:ascii="Times New Roman" w:eastAsia="Times New Roman" w:hAnsi="Times New Roman" w:cs="Times New Roman"/>
          <w:color w:val="000000" w:themeColor="text1"/>
          <w:sz w:val="24"/>
          <w:szCs w:val="24"/>
        </w:rPr>
        <w:t>align</w:t>
      </w:r>
      <w:r>
        <w:rPr>
          <w:rFonts w:ascii="Times New Roman" w:eastAsia="Times New Roman" w:hAnsi="Times New Roman" w:cs="Times New Roman"/>
          <w:color w:val="000000" w:themeColor="text1"/>
          <w:sz w:val="24"/>
          <w:szCs w:val="24"/>
          <w:highlight w:val="yellow"/>
        </w:rPr>
        <w:t>ing</w:t>
      </w:r>
      <w:r>
        <w:rPr>
          <w:rFonts w:ascii="Times New Roman" w:eastAsia="Times New Roman" w:hAnsi="Times New Roman" w:cs="Times New Roman"/>
          <w:color w:val="000000" w:themeColor="text1"/>
          <w:sz w:val="24"/>
          <w:szCs w:val="24"/>
        </w:rPr>
        <w:t xml:space="preserve"> educational curricula with the needs of the </w:t>
      </w:r>
      <w:proofErr w:type="spellStart"/>
      <w:r>
        <w:rPr>
          <w:rFonts w:ascii="Times New Roman" w:eastAsia="Times New Roman" w:hAnsi="Times New Roman" w:cs="Times New Roman"/>
          <w:color w:val="000000" w:themeColor="text1"/>
          <w:sz w:val="24"/>
          <w:szCs w:val="24"/>
        </w:rPr>
        <w:t>labour</w:t>
      </w:r>
      <w:proofErr w:type="spellEnd"/>
      <w:r>
        <w:rPr>
          <w:rFonts w:ascii="Times New Roman" w:eastAsia="Times New Roman" w:hAnsi="Times New Roman" w:cs="Times New Roman"/>
          <w:color w:val="000000" w:themeColor="text1"/>
          <w:sz w:val="24"/>
          <w:szCs w:val="24"/>
        </w:rPr>
        <w:t xml:space="preserve"> market. This will help to ensure that the gains achieved in literacy lead to increased </w:t>
      </w:r>
      <w:proofErr w:type="spellStart"/>
      <w:r>
        <w:rPr>
          <w:rFonts w:ascii="Times New Roman" w:eastAsia="Times New Roman" w:hAnsi="Times New Roman" w:cs="Times New Roman"/>
          <w:color w:val="000000" w:themeColor="text1"/>
          <w:sz w:val="24"/>
          <w:szCs w:val="24"/>
        </w:rPr>
        <w:t>labour</w:t>
      </w:r>
      <w:proofErr w:type="spellEnd"/>
      <w:r>
        <w:rPr>
          <w:rFonts w:ascii="Times New Roman" w:eastAsia="Times New Roman" w:hAnsi="Times New Roman" w:cs="Times New Roman"/>
          <w:color w:val="000000" w:themeColor="text1"/>
          <w:sz w:val="24"/>
          <w:szCs w:val="24"/>
        </w:rPr>
        <w:t xml:space="preserve"> productivity, technological innovation and continued economic growth in Nigeria.</w:t>
      </w:r>
    </w:p>
    <w:p w14:paraId="79AFF6E1" w14:textId="77777777" w:rsidR="00877A87" w:rsidRPr="00BC05AD" w:rsidRDefault="00877A87" w:rsidP="00877A87">
      <w:pPr>
        <w:spacing w:after="160" w:line="360" w:lineRule="auto"/>
        <w:ind w:left="360"/>
        <w:jc w:val="both"/>
        <w:rPr>
          <w:rFonts w:ascii="Times New Roman" w:hAnsi="Times New Roman" w:cs="Times New Roman"/>
          <w:b/>
          <w:sz w:val="24"/>
          <w:szCs w:val="24"/>
        </w:rPr>
      </w:pPr>
      <w:bookmarkStart w:id="0" w:name="_Hlk234486585"/>
      <w:bookmarkStart w:id="1" w:name="_Hlk232755622"/>
      <w:r w:rsidRPr="00BC05AD">
        <w:rPr>
          <w:rFonts w:ascii="Times New Roman" w:hAnsi="Times New Roman" w:cs="Times New Roman"/>
          <w:b/>
          <w:sz w:val="24"/>
          <w:szCs w:val="24"/>
        </w:rPr>
        <w:t>5.1 Limitations of the Study</w:t>
      </w:r>
    </w:p>
    <w:p w14:paraId="6E9F0CF2" w14:textId="77777777" w:rsidR="00877A87" w:rsidRPr="00BC05AD" w:rsidRDefault="00877A87" w:rsidP="00877A87">
      <w:pPr>
        <w:spacing w:after="160" w:line="360" w:lineRule="auto"/>
        <w:ind w:left="360"/>
        <w:jc w:val="both"/>
        <w:rPr>
          <w:rFonts w:ascii="Times New Roman" w:hAnsi="Times New Roman" w:cs="Times New Roman"/>
          <w:sz w:val="24"/>
          <w:szCs w:val="24"/>
        </w:rPr>
      </w:pPr>
      <w:r>
        <w:rPr>
          <w:rFonts w:ascii="Times New Roman" w:hAnsi="Times New Roman" w:cs="Times New Roman"/>
          <w:sz w:val="24"/>
          <w:szCs w:val="24"/>
        </w:rPr>
        <w:t>The analysis was based on secondary annual time</w:t>
      </w:r>
      <w:r>
        <w:rPr>
          <w:rFonts w:ascii="Times New Roman" w:hAnsi="Times New Roman" w:cs="Times New Roman"/>
          <w:sz w:val="24"/>
          <w:szCs w:val="24"/>
          <w:highlight w:val="yellow"/>
        </w:rPr>
        <w:t>-</w:t>
      </w:r>
      <w:r>
        <w:rPr>
          <w:rFonts w:ascii="Times New Roman" w:hAnsi="Times New Roman" w:cs="Times New Roman"/>
          <w:sz w:val="24"/>
          <w:szCs w:val="24"/>
        </w:rPr>
        <w:t>series</w:t>
      </w:r>
      <w:r>
        <w:rPr>
          <w:rFonts w:ascii="Times New Roman" w:hAnsi="Times New Roman" w:cs="Times New Roman"/>
          <w:sz w:val="24"/>
          <w:szCs w:val="24"/>
          <w:highlight w:val="yellow"/>
        </w:rPr>
        <w:t xml:space="preserve"> data</w:t>
      </w:r>
      <w:r>
        <w:rPr>
          <w:rFonts w:ascii="Times New Roman" w:hAnsi="Times New Roman" w:cs="Times New Roman"/>
          <w:sz w:val="24"/>
          <w:szCs w:val="24"/>
        </w:rPr>
        <w:t xml:space="preserve">, meaning that other factors, such as qualitative institutional factors </w:t>
      </w:r>
      <w:r>
        <w:rPr>
          <w:rFonts w:ascii="Times New Roman" w:hAnsi="Times New Roman" w:cs="Times New Roman"/>
          <w:sz w:val="24"/>
          <w:szCs w:val="24"/>
          <w:highlight w:val="yellow"/>
        </w:rPr>
        <w:t>t</w:t>
      </w:r>
      <w:r>
        <w:rPr>
          <w:rFonts w:ascii="Times New Roman" w:hAnsi="Times New Roman" w:cs="Times New Roman"/>
          <w:sz w:val="24"/>
          <w:szCs w:val="24"/>
        </w:rPr>
        <w:t>h</w:t>
      </w:r>
      <w:r>
        <w:rPr>
          <w:rFonts w:ascii="Times New Roman" w:hAnsi="Times New Roman" w:cs="Times New Roman"/>
          <w:sz w:val="24"/>
          <w:szCs w:val="24"/>
          <w:highlight w:val="yellow"/>
        </w:rPr>
        <w:t>at</w:t>
      </w:r>
      <w:r>
        <w:rPr>
          <w:rFonts w:ascii="Times New Roman" w:hAnsi="Times New Roman" w:cs="Times New Roman"/>
          <w:sz w:val="24"/>
          <w:szCs w:val="24"/>
        </w:rPr>
        <w:t xml:space="preserve"> might affect the relationship between gross capital formation and economic growth, were not included. </w:t>
      </w:r>
      <w:r>
        <w:rPr>
          <w:rFonts w:ascii="Times New Roman" w:hAnsi="Times New Roman" w:cs="Times New Roman"/>
          <w:sz w:val="24"/>
          <w:szCs w:val="24"/>
          <w:highlight w:val="yellow"/>
        </w:rPr>
        <w:t>In additi</w:t>
      </w:r>
      <w:r>
        <w:rPr>
          <w:rFonts w:ascii="Times New Roman" w:hAnsi="Times New Roman" w:cs="Times New Roman"/>
          <w:sz w:val="24"/>
          <w:szCs w:val="24"/>
        </w:rPr>
        <w:t>o</w:t>
      </w:r>
      <w:r>
        <w:rPr>
          <w:rFonts w:ascii="Times New Roman" w:hAnsi="Times New Roman" w:cs="Times New Roman"/>
          <w:sz w:val="24"/>
          <w:szCs w:val="24"/>
          <w:highlight w:val="yellow"/>
        </w:rPr>
        <w:t>n</w:t>
      </w:r>
      <w:r>
        <w:rPr>
          <w:rFonts w:ascii="Times New Roman" w:hAnsi="Times New Roman" w:cs="Times New Roman"/>
          <w:sz w:val="24"/>
          <w:szCs w:val="24"/>
        </w:rPr>
        <w:t>, gross capital formation was used as the main measure of investment, and it does not necessarily di</w:t>
      </w:r>
      <w:r>
        <w:rPr>
          <w:rFonts w:ascii="Times New Roman" w:hAnsi="Times New Roman" w:cs="Times New Roman"/>
          <w:sz w:val="24"/>
          <w:szCs w:val="24"/>
          <w:highlight w:val="yellow"/>
        </w:rPr>
        <w:t>s</w:t>
      </w:r>
      <w:r>
        <w:rPr>
          <w:rFonts w:ascii="Times New Roman" w:hAnsi="Times New Roman" w:cs="Times New Roman"/>
          <w:sz w:val="24"/>
          <w:szCs w:val="24"/>
        </w:rPr>
        <w:t>ti</w:t>
      </w:r>
      <w:r>
        <w:rPr>
          <w:rFonts w:ascii="Times New Roman" w:hAnsi="Times New Roman" w:cs="Times New Roman"/>
          <w:sz w:val="24"/>
          <w:szCs w:val="24"/>
          <w:highlight w:val="yellow"/>
        </w:rPr>
        <w:t>nguish</w:t>
      </w:r>
      <w:r>
        <w:rPr>
          <w:rFonts w:ascii="Times New Roman" w:hAnsi="Times New Roman" w:cs="Times New Roman"/>
          <w:sz w:val="24"/>
          <w:szCs w:val="24"/>
        </w:rPr>
        <w:t xml:space="preserve"> between productive and unproductive investment. The results a</w:t>
      </w:r>
      <w:r>
        <w:rPr>
          <w:rFonts w:ascii="Times New Roman" w:hAnsi="Times New Roman" w:cs="Times New Roman"/>
          <w:sz w:val="24"/>
          <w:szCs w:val="24"/>
          <w:highlight w:val="yellow"/>
        </w:rPr>
        <w:t>pply</w:t>
      </w:r>
      <w:r>
        <w:rPr>
          <w:rFonts w:ascii="Times New Roman" w:hAnsi="Times New Roman" w:cs="Times New Roman"/>
          <w:sz w:val="24"/>
          <w:szCs w:val="24"/>
        </w:rPr>
        <w:t xml:space="preserve"> only to Nigeria and may not be directly </w:t>
      </w:r>
      <w:proofErr w:type="spellStart"/>
      <w:r>
        <w:rPr>
          <w:rFonts w:ascii="Times New Roman" w:hAnsi="Times New Roman" w:cs="Times New Roman"/>
          <w:sz w:val="24"/>
          <w:szCs w:val="24"/>
        </w:rPr>
        <w:t>generalised</w:t>
      </w:r>
      <w:proofErr w:type="spellEnd"/>
      <w:r>
        <w:rPr>
          <w:rFonts w:ascii="Times New Roman" w:hAnsi="Times New Roman" w:cs="Times New Roman"/>
          <w:sz w:val="24"/>
          <w:szCs w:val="24"/>
        </w:rPr>
        <w:t xml:space="preserve"> to other developing economies that have different macroeconomic and institutional contexts. Other indicators of investment should be taken into account, as well as sectoral analysis and comparative panel studies of investment in the African economies.</w:t>
      </w:r>
    </w:p>
    <w:p w14:paraId="66C09FD1" w14:textId="77777777" w:rsidR="00AD2FA3" w:rsidRPr="00BC05AD" w:rsidRDefault="00AD2FA3" w:rsidP="00877A87">
      <w:pPr>
        <w:spacing w:after="160" w:line="360" w:lineRule="auto"/>
        <w:ind w:left="360"/>
        <w:rPr>
          <w:rFonts w:ascii="Times New Roman" w:hAnsi="Times New Roman" w:cs="Times New Roman"/>
          <w:b/>
          <w:sz w:val="24"/>
          <w:szCs w:val="24"/>
        </w:rPr>
      </w:pPr>
      <w:r w:rsidRPr="00BC05AD">
        <w:rPr>
          <w:rFonts w:ascii="Times New Roman" w:hAnsi="Times New Roman" w:cs="Times New Roman"/>
          <w:b/>
          <w:sz w:val="24"/>
          <w:szCs w:val="24"/>
        </w:rPr>
        <w:t>Declaration of AI Use</w:t>
      </w:r>
    </w:p>
    <w:p w14:paraId="06BFF12B" w14:textId="77777777" w:rsidR="00AD2FA3" w:rsidRPr="00BC05AD" w:rsidRDefault="00AD2FA3" w:rsidP="00877A87">
      <w:pPr>
        <w:spacing w:after="160" w:line="360" w:lineRule="auto"/>
        <w:ind w:left="360"/>
        <w:rPr>
          <w:rFonts w:ascii="Times New Roman" w:hAnsi="Times New Roman" w:cs="Times New Roman"/>
          <w:sz w:val="24"/>
          <w:szCs w:val="24"/>
        </w:rPr>
      </w:pPr>
      <w:bookmarkStart w:id="2" w:name="_Hlk234486575"/>
      <w:bookmarkEnd w:id="0"/>
    </w:p>
    <w:p w14:paraId="0C93A2BD" w14:textId="77777777" w:rsidR="00AD2FA3" w:rsidRPr="00BC05AD" w:rsidRDefault="00AD2FA3" w:rsidP="00877A87">
      <w:pPr>
        <w:spacing w:after="160"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bookmarkEnd w:id="1"/>
    <w:bookmarkEnd w:id="2"/>
    <w:p w14:paraId="16D6F545" w14:textId="77777777" w:rsidR="00AD2FA3" w:rsidRPr="00BC05AD" w:rsidRDefault="00AD2FA3" w:rsidP="00AD2FA3">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p>
    <w:p w14:paraId="4F8C0BEB" w14:textId="77777777" w:rsidR="00AC3154" w:rsidRPr="00BC05AD" w:rsidRDefault="00AC3154" w:rsidP="00B15DBD">
      <w:pPr>
        <w:spacing w:before="100" w:beforeAutospacing="1" w:after="100" w:afterAutospacing="1" w:line="360" w:lineRule="auto"/>
        <w:jc w:val="center"/>
        <w:rPr>
          <w:rFonts w:ascii="Times New Roman" w:eastAsia="Times New Roman" w:hAnsi="Times New Roman" w:cs="Times New Roman"/>
          <w:b/>
          <w:color w:val="000000" w:themeColor="text1"/>
          <w:sz w:val="24"/>
          <w:szCs w:val="24"/>
        </w:rPr>
      </w:pPr>
    </w:p>
    <w:p w14:paraId="4AB20485" w14:textId="77777777" w:rsidR="00AC3154" w:rsidRPr="00BC05AD" w:rsidRDefault="00AC3154" w:rsidP="00B15DBD">
      <w:pPr>
        <w:spacing w:before="100" w:beforeAutospacing="1" w:after="100" w:afterAutospacing="1" w:line="360" w:lineRule="auto"/>
        <w:jc w:val="center"/>
        <w:rPr>
          <w:rFonts w:ascii="Times New Roman" w:eastAsia="Times New Roman" w:hAnsi="Times New Roman" w:cs="Times New Roman"/>
          <w:b/>
          <w:color w:val="000000" w:themeColor="text1"/>
          <w:sz w:val="24"/>
          <w:szCs w:val="24"/>
        </w:rPr>
      </w:pPr>
    </w:p>
    <w:p w14:paraId="2A644D77" w14:textId="77777777" w:rsidR="00AC3154" w:rsidRPr="00BC05AD" w:rsidRDefault="00AC3154" w:rsidP="00B15DBD">
      <w:pPr>
        <w:spacing w:before="100" w:beforeAutospacing="1" w:after="100" w:afterAutospacing="1" w:line="360" w:lineRule="auto"/>
        <w:jc w:val="center"/>
        <w:rPr>
          <w:rFonts w:ascii="Times New Roman" w:eastAsia="Times New Roman" w:hAnsi="Times New Roman" w:cs="Times New Roman"/>
          <w:b/>
          <w:color w:val="000000" w:themeColor="text1"/>
          <w:sz w:val="24"/>
          <w:szCs w:val="24"/>
        </w:rPr>
      </w:pPr>
    </w:p>
    <w:p w14:paraId="64FC9E54" w14:textId="77777777" w:rsidR="00AC3154" w:rsidRPr="00BC05AD" w:rsidRDefault="00AC3154" w:rsidP="00B15DBD">
      <w:pPr>
        <w:spacing w:before="100" w:beforeAutospacing="1" w:after="100" w:afterAutospacing="1" w:line="360" w:lineRule="auto"/>
        <w:jc w:val="center"/>
        <w:rPr>
          <w:rFonts w:ascii="Times New Roman" w:eastAsia="Times New Roman" w:hAnsi="Times New Roman" w:cs="Times New Roman"/>
          <w:b/>
          <w:color w:val="000000" w:themeColor="text1"/>
          <w:sz w:val="24"/>
          <w:szCs w:val="24"/>
        </w:rPr>
      </w:pPr>
    </w:p>
    <w:p w14:paraId="4A52DD06" w14:textId="77777777" w:rsidR="00AC3154" w:rsidRPr="00BC05AD" w:rsidRDefault="00AC3154" w:rsidP="00B15DBD">
      <w:pPr>
        <w:spacing w:before="100" w:beforeAutospacing="1" w:after="100" w:afterAutospacing="1" w:line="360" w:lineRule="auto"/>
        <w:jc w:val="center"/>
        <w:rPr>
          <w:rFonts w:ascii="Times New Roman" w:eastAsia="Times New Roman" w:hAnsi="Times New Roman" w:cs="Times New Roman"/>
          <w:b/>
          <w:color w:val="000000" w:themeColor="text1"/>
          <w:sz w:val="24"/>
          <w:szCs w:val="24"/>
        </w:rPr>
      </w:pPr>
    </w:p>
    <w:p w14:paraId="67F60738" w14:textId="77777777" w:rsidR="00AC3154" w:rsidRPr="00BC05AD" w:rsidRDefault="00AC3154" w:rsidP="00B15DBD">
      <w:pPr>
        <w:spacing w:before="100" w:beforeAutospacing="1" w:after="100" w:afterAutospacing="1" w:line="360" w:lineRule="auto"/>
        <w:jc w:val="center"/>
        <w:rPr>
          <w:rFonts w:ascii="Times New Roman" w:eastAsia="Times New Roman" w:hAnsi="Times New Roman" w:cs="Times New Roman"/>
          <w:b/>
          <w:color w:val="000000" w:themeColor="text1"/>
          <w:sz w:val="24"/>
          <w:szCs w:val="24"/>
        </w:rPr>
      </w:pPr>
    </w:p>
    <w:p w14:paraId="647FD997" w14:textId="77777777" w:rsidR="00B15DBD" w:rsidRDefault="00B15DBD" w:rsidP="00B15DBD">
      <w:pPr>
        <w:spacing w:before="100" w:beforeAutospacing="1" w:after="100" w:afterAutospacing="1" w:line="360" w:lineRule="auto"/>
        <w:jc w:val="center"/>
        <w:rPr>
          <w:rFonts w:ascii="Times New Roman" w:eastAsia="Times New Roman" w:hAnsi="Times New Roman" w:cs="Times New Roman"/>
          <w:b/>
          <w:color w:val="000000" w:themeColor="text1"/>
          <w:sz w:val="24"/>
          <w:szCs w:val="24"/>
        </w:rPr>
      </w:pPr>
      <w:r w:rsidRPr="00BC05AD">
        <w:rPr>
          <w:rFonts w:ascii="Times New Roman" w:eastAsia="Times New Roman" w:hAnsi="Times New Roman" w:cs="Times New Roman"/>
          <w:b/>
          <w:color w:val="000000" w:themeColor="text1"/>
          <w:sz w:val="24"/>
          <w:szCs w:val="24"/>
        </w:rPr>
        <w:t>REFERENCES</w:t>
      </w:r>
    </w:p>
    <w:p w14:paraId="7D6371DD"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Abdulkarim, Y. (2023). A systematic review of investment indicators and economic growth in Nigeria. </w:t>
      </w:r>
      <w:r w:rsidRPr="00A02752">
        <w:rPr>
          <w:rFonts w:ascii="Times New Roman" w:eastAsia="Times New Roman" w:hAnsi="Times New Roman" w:cs="Times New Roman"/>
          <w:i/>
          <w:iCs/>
          <w:sz w:val="24"/>
          <w:szCs w:val="24"/>
        </w:rPr>
        <w:t>Humanities and Social Sciences Communications, 10</w:t>
      </w:r>
      <w:r w:rsidRPr="00A02752">
        <w:rPr>
          <w:rFonts w:ascii="Times New Roman" w:eastAsia="Times New Roman" w:hAnsi="Times New Roman" w:cs="Times New Roman"/>
          <w:sz w:val="24"/>
          <w:szCs w:val="24"/>
        </w:rPr>
        <w:t xml:space="preserve">, Article 500. </w:t>
      </w:r>
      <w:hyperlink r:id="rId7" w:history="1">
        <w:r w:rsidRPr="00A02752">
          <w:rPr>
            <w:rFonts w:ascii="Times New Roman" w:eastAsia="Times New Roman" w:hAnsi="Times New Roman" w:cs="Times New Roman"/>
            <w:color w:val="0000FF"/>
            <w:sz w:val="24"/>
            <w:szCs w:val="24"/>
            <w:u w:val="single"/>
          </w:rPr>
          <w:t>https://doi.org/10.1057/s41599-023-02009-x</w:t>
        </w:r>
      </w:hyperlink>
    </w:p>
    <w:p w14:paraId="6B141D8C"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Adegboyega, S. B., &amp; Odusanya, I. A. (2014). Empirical analysis of trade </w:t>
      </w:r>
      <w:proofErr w:type="spellStart"/>
      <w:r w:rsidRPr="00A02752">
        <w:rPr>
          <w:rFonts w:ascii="Times New Roman" w:eastAsia="Times New Roman" w:hAnsi="Times New Roman" w:cs="Times New Roman"/>
          <w:sz w:val="24"/>
          <w:szCs w:val="24"/>
        </w:rPr>
        <w:t>opennes</w:t>
      </w:r>
      <w:proofErr w:type="spellEnd"/>
      <w:r w:rsidRPr="00A02752">
        <w:rPr>
          <w:rFonts w:ascii="Times New Roman" w:eastAsia="Times New Roman" w:hAnsi="Times New Roman" w:cs="Times New Roman"/>
          <w:sz w:val="24"/>
          <w:szCs w:val="24"/>
        </w:rPr>
        <w:t xml:space="preserve">, capital formation, FDI, and economic growth: Nigeria experience. </w:t>
      </w:r>
      <w:r w:rsidRPr="00A02752">
        <w:rPr>
          <w:rFonts w:ascii="Times New Roman" w:eastAsia="Times New Roman" w:hAnsi="Times New Roman" w:cs="Times New Roman"/>
          <w:i/>
          <w:iCs/>
          <w:sz w:val="24"/>
          <w:szCs w:val="24"/>
        </w:rPr>
        <w:t>International Journal of Social Sciences and Humanities Invention, 1</w:t>
      </w:r>
      <w:r w:rsidRPr="00A02752">
        <w:rPr>
          <w:rFonts w:ascii="Times New Roman" w:eastAsia="Times New Roman" w:hAnsi="Times New Roman" w:cs="Times New Roman"/>
          <w:sz w:val="24"/>
          <w:szCs w:val="24"/>
        </w:rPr>
        <w:t xml:space="preserve">(1), 36–50. </w:t>
      </w:r>
      <w:hyperlink r:id="rId8" w:history="1">
        <w:r w:rsidRPr="00A02752">
          <w:rPr>
            <w:rFonts w:ascii="Times New Roman" w:eastAsia="Times New Roman" w:hAnsi="Times New Roman" w:cs="Times New Roman"/>
            <w:color w:val="0000FF"/>
            <w:sz w:val="24"/>
            <w:szCs w:val="24"/>
            <w:u w:val="single"/>
          </w:rPr>
          <w:t>https://valleyinternational.net/index.php/theijsshi/article/view/4</w:t>
        </w:r>
      </w:hyperlink>
    </w:p>
    <w:p w14:paraId="7DBE8435"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Amaegberi</w:t>
      </w:r>
      <w:proofErr w:type="spellEnd"/>
      <w:r w:rsidRPr="00A02752">
        <w:rPr>
          <w:rFonts w:ascii="Times New Roman" w:eastAsia="Times New Roman" w:hAnsi="Times New Roman" w:cs="Times New Roman"/>
          <w:sz w:val="24"/>
          <w:szCs w:val="24"/>
        </w:rPr>
        <w:t xml:space="preserve">, M., &amp; Krokeyi, W. S. (2025). Capital formation and economic growth in Nigeria. </w:t>
      </w:r>
      <w:r w:rsidRPr="00A02752">
        <w:rPr>
          <w:rFonts w:ascii="Times New Roman" w:eastAsia="Times New Roman" w:hAnsi="Times New Roman" w:cs="Times New Roman"/>
          <w:i/>
          <w:iCs/>
          <w:sz w:val="24"/>
          <w:szCs w:val="24"/>
        </w:rPr>
        <w:t>International Journal of Innovative Research in Education, Technology &amp; Social Strategies, 12</w:t>
      </w:r>
      <w:r w:rsidRPr="00A02752">
        <w:rPr>
          <w:rFonts w:ascii="Times New Roman" w:eastAsia="Times New Roman" w:hAnsi="Times New Roman" w:cs="Times New Roman"/>
          <w:sz w:val="24"/>
          <w:szCs w:val="24"/>
        </w:rPr>
        <w:t xml:space="preserve">(2), 153–171. </w:t>
      </w:r>
      <w:hyperlink r:id="rId9" w:history="1">
        <w:r w:rsidRPr="00A02752">
          <w:rPr>
            <w:rFonts w:ascii="Times New Roman" w:eastAsia="Times New Roman" w:hAnsi="Times New Roman" w:cs="Times New Roman"/>
            <w:color w:val="0000FF"/>
            <w:sz w:val="24"/>
            <w:szCs w:val="24"/>
            <w:u w:val="single"/>
          </w:rPr>
          <w:t>https://doi.org/10.48028/iiprds/ijiretss.v12.i2.12</w:t>
        </w:r>
      </w:hyperlink>
    </w:p>
    <w:p w14:paraId="10E2EB4E"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lastRenderedPageBreak/>
        <w:t>Anagun</w:t>
      </w:r>
      <w:proofErr w:type="spellEnd"/>
      <w:r w:rsidRPr="00A02752">
        <w:rPr>
          <w:rFonts w:ascii="Times New Roman" w:eastAsia="Times New Roman" w:hAnsi="Times New Roman" w:cs="Times New Roman"/>
          <w:sz w:val="24"/>
          <w:szCs w:val="24"/>
        </w:rPr>
        <w:t xml:space="preserve">, A. M., &amp; </w:t>
      </w:r>
      <w:proofErr w:type="spellStart"/>
      <w:r w:rsidRPr="00A02752">
        <w:rPr>
          <w:rFonts w:ascii="Times New Roman" w:eastAsia="Times New Roman" w:hAnsi="Times New Roman" w:cs="Times New Roman"/>
          <w:sz w:val="24"/>
          <w:szCs w:val="24"/>
        </w:rPr>
        <w:t>Sokunbi</w:t>
      </w:r>
      <w:proofErr w:type="spellEnd"/>
      <w:r w:rsidRPr="00A02752">
        <w:rPr>
          <w:rFonts w:ascii="Times New Roman" w:eastAsia="Times New Roman" w:hAnsi="Times New Roman" w:cs="Times New Roman"/>
          <w:sz w:val="24"/>
          <w:szCs w:val="24"/>
        </w:rPr>
        <w:t xml:space="preserve">, G. M. (2024). A disaggregated ARDL analysis of capital formation on economic growth in Nigeria: Evidence from the endogenous growth model. </w:t>
      </w:r>
      <w:proofErr w:type="spellStart"/>
      <w:r w:rsidRPr="00A02752">
        <w:rPr>
          <w:rFonts w:ascii="Times New Roman" w:eastAsia="Times New Roman" w:hAnsi="Times New Roman" w:cs="Times New Roman"/>
          <w:i/>
          <w:iCs/>
          <w:sz w:val="24"/>
          <w:szCs w:val="24"/>
        </w:rPr>
        <w:t>Ekonomika</w:t>
      </w:r>
      <w:proofErr w:type="spellEnd"/>
      <w:r w:rsidRPr="00A02752">
        <w:rPr>
          <w:rFonts w:ascii="Times New Roman" w:eastAsia="Times New Roman" w:hAnsi="Times New Roman" w:cs="Times New Roman"/>
          <w:i/>
          <w:iCs/>
          <w:sz w:val="24"/>
          <w:szCs w:val="24"/>
        </w:rPr>
        <w:t xml:space="preserve"> a </w:t>
      </w:r>
      <w:proofErr w:type="spellStart"/>
      <w:r w:rsidRPr="00A02752">
        <w:rPr>
          <w:rFonts w:ascii="Times New Roman" w:eastAsia="Times New Roman" w:hAnsi="Times New Roman" w:cs="Times New Roman"/>
          <w:i/>
          <w:iCs/>
          <w:sz w:val="24"/>
          <w:szCs w:val="24"/>
        </w:rPr>
        <w:t>Spoločnosť</w:t>
      </w:r>
      <w:proofErr w:type="spellEnd"/>
      <w:r w:rsidRPr="00A02752">
        <w:rPr>
          <w:rFonts w:ascii="Times New Roman" w:eastAsia="Times New Roman" w:hAnsi="Times New Roman" w:cs="Times New Roman"/>
          <w:i/>
          <w:iCs/>
          <w:sz w:val="24"/>
          <w:szCs w:val="24"/>
        </w:rPr>
        <w:t>, 25</w:t>
      </w:r>
      <w:r w:rsidRPr="00A02752">
        <w:rPr>
          <w:rFonts w:ascii="Times New Roman" w:eastAsia="Times New Roman" w:hAnsi="Times New Roman" w:cs="Times New Roman"/>
          <w:sz w:val="24"/>
          <w:szCs w:val="24"/>
        </w:rPr>
        <w:t xml:space="preserve">(2), 5–24. </w:t>
      </w:r>
      <w:hyperlink r:id="rId10" w:history="1">
        <w:r w:rsidRPr="00A02752">
          <w:rPr>
            <w:rFonts w:ascii="Times New Roman" w:eastAsia="Times New Roman" w:hAnsi="Times New Roman" w:cs="Times New Roman"/>
            <w:color w:val="0000FF"/>
            <w:sz w:val="24"/>
            <w:szCs w:val="24"/>
            <w:u w:val="single"/>
          </w:rPr>
          <w:t>https://doi.org/10.24040/eas.2024.25.2.5-24</w:t>
        </w:r>
      </w:hyperlink>
    </w:p>
    <w:p w14:paraId="6C69C129"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Arrow, K. J. (1962). The economic implications of learning by doing. </w:t>
      </w:r>
      <w:r w:rsidRPr="00A02752">
        <w:rPr>
          <w:rFonts w:ascii="Times New Roman" w:eastAsia="Times New Roman" w:hAnsi="Times New Roman" w:cs="Times New Roman"/>
          <w:i/>
          <w:iCs/>
          <w:sz w:val="24"/>
          <w:szCs w:val="24"/>
        </w:rPr>
        <w:t>The Review of Economic Studies, 29</w:t>
      </w:r>
      <w:r w:rsidRPr="00A02752">
        <w:rPr>
          <w:rFonts w:ascii="Times New Roman" w:eastAsia="Times New Roman" w:hAnsi="Times New Roman" w:cs="Times New Roman"/>
          <w:sz w:val="24"/>
          <w:szCs w:val="24"/>
        </w:rPr>
        <w:t xml:space="preserve">(3), 155–173. </w:t>
      </w:r>
      <w:hyperlink r:id="rId11" w:history="1">
        <w:r w:rsidRPr="00A02752">
          <w:rPr>
            <w:rFonts w:ascii="Times New Roman" w:eastAsia="Times New Roman" w:hAnsi="Times New Roman" w:cs="Times New Roman"/>
            <w:color w:val="0000FF"/>
            <w:sz w:val="24"/>
            <w:szCs w:val="24"/>
            <w:u w:val="single"/>
          </w:rPr>
          <w:t>https://doi.org/10.2307/2295952</w:t>
        </w:r>
      </w:hyperlink>
    </w:p>
    <w:p w14:paraId="30243A15"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Bakare, A. S. (2011). A theoretical analysis of capital formation and growth in Nigeria. </w:t>
      </w:r>
      <w:r w:rsidRPr="00A02752">
        <w:rPr>
          <w:rFonts w:ascii="Times New Roman" w:eastAsia="Times New Roman" w:hAnsi="Times New Roman" w:cs="Times New Roman"/>
          <w:i/>
          <w:iCs/>
          <w:sz w:val="24"/>
          <w:szCs w:val="24"/>
        </w:rPr>
        <w:t>Far East Journal of Psychology and Business, 3</w:t>
      </w:r>
      <w:r w:rsidRPr="00A02752">
        <w:rPr>
          <w:rFonts w:ascii="Times New Roman" w:eastAsia="Times New Roman" w:hAnsi="Times New Roman" w:cs="Times New Roman"/>
          <w:sz w:val="24"/>
          <w:szCs w:val="24"/>
        </w:rPr>
        <w:t xml:space="preserve">(2), 11–24. </w:t>
      </w:r>
      <w:hyperlink r:id="rId12" w:history="1">
        <w:r w:rsidRPr="00A02752">
          <w:rPr>
            <w:rFonts w:ascii="Times New Roman" w:eastAsia="Times New Roman" w:hAnsi="Times New Roman" w:cs="Times New Roman"/>
            <w:color w:val="0000FF"/>
            <w:sz w:val="24"/>
            <w:szCs w:val="24"/>
            <w:u w:val="single"/>
          </w:rPr>
          <w:t>https://ideas.repec.org/a/fej/articl/v3ay2011i2p11-24.html</w:t>
        </w:r>
      </w:hyperlink>
    </w:p>
    <w:p w14:paraId="78D4F897"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Chirwa, T. G., &amp; Odhiambo, N. M. (2018). Exogenous and endogenous growth models: A critical review. </w:t>
      </w:r>
      <w:r w:rsidRPr="00A02752">
        <w:rPr>
          <w:rFonts w:ascii="Times New Roman" w:eastAsia="Times New Roman" w:hAnsi="Times New Roman" w:cs="Times New Roman"/>
          <w:i/>
          <w:iCs/>
          <w:sz w:val="24"/>
          <w:szCs w:val="24"/>
        </w:rPr>
        <w:t>Comparative Economic Research. Central and Eastern Europe, 21</w:t>
      </w:r>
      <w:r w:rsidRPr="00A02752">
        <w:rPr>
          <w:rFonts w:ascii="Times New Roman" w:eastAsia="Times New Roman" w:hAnsi="Times New Roman" w:cs="Times New Roman"/>
          <w:sz w:val="24"/>
          <w:szCs w:val="24"/>
        </w:rPr>
        <w:t xml:space="preserve">(4), 63–84. </w:t>
      </w:r>
      <w:hyperlink r:id="rId13" w:history="1">
        <w:r w:rsidRPr="00A02752">
          <w:rPr>
            <w:rFonts w:ascii="Times New Roman" w:eastAsia="Times New Roman" w:hAnsi="Times New Roman" w:cs="Times New Roman"/>
            <w:color w:val="0000FF"/>
            <w:sz w:val="24"/>
            <w:szCs w:val="24"/>
            <w:u w:val="single"/>
          </w:rPr>
          <w:t>https://doi.org/10.2478/cer-2018-0027</w:t>
        </w:r>
      </w:hyperlink>
    </w:p>
    <w:p w14:paraId="1D51A534"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Haller, A. P. (2012). Concepts of economic growth and development. Challenges of crisis and of knowledge. </w:t>
      </w:r>
      <w:r w:rsidRPr="00A02752">
        <w:rPr>
          <w:rFonts w:ascii="Times New Roman" w:eastAsia="Times New Roman" w:hAnsi="Times New Roman" w:cs="Times New Roman"/>
          <w:i/>
          <w:iCs/>
          <w:sz w:val="24"/>
          <w:szCs w:val="24"/>
        </w:rPr>
        <w:t xml:space="preserve">Economy </w:t>
      </w:r>
      <w:proofErr w:type="spellStart"/>
      <w:r w:rsidRPr="00A02752">
        <w:rPr>
          <w:rFonts w:ascii="Times New Roman" w:eastAsia="Times New Roman" w:hAnsi="Times New Roman" w:cs="Times New Roman"/>
          <w:i/>
          <w:iCs/>
          <w:sz w:val="24"/>
          <w:szCs w:val="24"/>
        </w:rPr>
        <w:t>Transdisciplinarity</w:t>
      </w:r>
      <w:proofErr w:type="spellEnd"/>
      <w:r w:rsidRPr="00A02752">
        <w:rPr>
          <w:rFonts w:ascii="Times New Roman" w:eastAsia="Times New Roman" w:hAnsi="Times New Roman" w:cs="Times New Roman"/>
          <w:i/>
          <w:iCs/>
          <w:sz w:val="24"/>
          <w:szCs w:val="24"/>
        </w:rPr>
        <w:t xml:space="preserve"> Cognition, 15</w:t>
      </w:r>
      <w:r w:rsidRPr="00A02752">
        <w:rPr>
          <w:rFonts w:ascii="Times New Roman" w:eastAsia="Times New Roman" w:hAnsi="Times New Roman" w:cs="Times New Roman"/>
          <w:sz w:val="24"/>
          <w:szCs w:val="24"/>
        </w:rPr>
        <w:t xml:space="preserve">(1), 66–71. </w:t>
      </w:r>
      <w:hyperlink r:id="rId14" w:history="1">
        <w:r w:rsidRPr="00A02752">
          <w:rPr>
            <w:rFonts w:ascii="Times New Roman" w:eastAsia="Times New Roman" w:hAnsi="Times New Roman" w:cs="Times New Roman"/>
            <w:color w:val="0000FF"/>
            <w:sz w:val="24"/>
            <w:szCs w:val="24"/>
            <w:u w:val="single"/>
          </w:rPr>
          <w:t>https://www.ugb.ro/etc/etc2012no1/09fa.pdf</w:t>
        </w:r>
      </w:hyperlink>
    </w:p>
    <w:p w14:paraId="603B888A"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Kong, Y., Nketia, E. B., Antwi, S. K., &amp; Musah, M. (2020). Scrutinizing the complex relationship between financial development gross fixed capital formation and economic growth in Africa by adopting CCEMG and AMG estimation techniques. </w:t>
      </w:r>
      <w:r w:rsidRPr="00A02752">
        <w:rPr>
          <w:rFonts w:ascii="Times New Roman" w:eastAsia="Times New Roman" w:hAnsi="Times New Roman" w:cs="Times New Roman"/>
          <w:i/>
          <w:iCs/>
          <w:sz w:val="24"/>
          <w:szCs w:val="24"/>
        </w:rPr>
        <w:t>International Journal of Science and Business, 4</w:t>
      </w:r>
      <w:r w:rsidRPr="00A02752">
        <w:rPr>
          <w:rFonts w:ascii="Times New Roman" w:eastAsia="Times New Roman" w:hAnsi="Times New Roman" w:cs="Times New Roman"/>
          <w:sz w:val="24"/>
          <w:szCs w:val="24"/>
        </w:rPr>
        <w:t xml:space="preserve">(11), 160–174. </w:t>
      </w:r>
      <w:hyperlink r:id="rId15" w:history="1">
        <w:r w:rsidRPr="00A02752">
          <w:rPr>
            <w:rFonts w:ascii="Times New Roman" w:eastAsia="Times New Roman" w:hAnsi="Times New Roman" w:cs="Times New Roman"/>
            <w:color w:val="0000FF"/>
            <w:sz w:val="24"/>
            <w:szCs w:val="24"/>
            <w:u w:val="single"/>
          </w:rPr>
          <w:t>https://doi.org/10.5281/zenodo.4282943</w:t>
        </w:r>
      </w:hyperlink>
    </w:p>
    <w:p w14:paraId="66F20F5D"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Lucas, R. E., Jr. (1988). On the mechanics of economic development. </w:t>
      </w:r>
      <w:r w:rsidRPr="00A02752">
        <w:rPr>
          <w:rFonts w:ascii="Times New Roman" w:eastAsia="Times New Roman" w:hAnsi="Times New Roman" w:cs="Times New Roman"/>
          <w:i/>
          <w:iCs/>
          <w:sz w:val="24"/>
          <w:szCs w:val="24"/>
        </w:rPr>
        <w:t>Journal of Monetary Economics, 22</w:t>
      </w:r>
      <w:r w:rsidRPr="00A02752">
        <w:rPr>
          <w:rFonts w:ascii="Times New Roman" w:eastAsia="Times New Roman" w:hAnsi="Times New Roman" w:cs="Times New Roman"/>
          <w:sz w:val="24"/>
          <w:szCs w:val="24"/>
        </w:rPr>
        <w:t xml:space="preserve">(1), 3–42. </w:t>
      </w:r>
      <w:hyperlink r:id="rId16" w:history="1">
        <w:r w:rsidRPr="00A02752">
          <w:rPr>
            <w:rFonts w:ascii="Times New Roman" w:eastAsia="Times New Roman" w:hAnsi="Times New Roman" w:cs="Times New Roman"/>
            <w:color w:val="0000FF"/>
            <w:sz w:val="24"/>
            <w:szCs w:val="24"/>
            <w:u w:val="single"/>
          </w:rPr>
          <w:t>https://doi.org/10.1016/0304-3932(88)90168-7</w:t>
        </w:r>
      </w:hyperlink>
    </w:p>
    <w:p w14:paraId="6F445EF0"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Mohamed, A. A., &amp; Abdi, A. H. (2024). Exploring the dynamics of inflation, unemployment, and economic growth in Somalia: A VECM analysis. </w:t>
      </w:r>
      <w:r w:rsidRPr="00A02752">
        <w:rPr>
          <w:rFonts w:ascii="Times New Roman" w:eastAsia="Times New Roman" w:hAnsi="Times New Roman" w:cs="Times New Roman"/>
          <w:i/>
          <w:iCs/>
          <w:sz w:val="24"/>
          <w:szCs w:val="24"/>
        </w:rPr>
        <w:t>Cogent Economics &amp; Finance, 12</w:t>
      </w:r>
      <w:r w:rsidRPr="00A02752">
        <w:rPr>
          <w:rFonts w:ascii="Times New Roman" w:eastAsia="Times New Roman" w:hAnsi="Times New Roman" w:cs="Times New Roman"/>
          <w:sz w:val="24"/>
          <w:szCs w:val="24"/>
        </w:rPr>
        <w:t xml:space="preserve">(1), Article 2385644. </w:t>
      </w:r>
      <w:hyperlink r:id="rId17" w:history="1">
        <w:r w:rsidRPr="00A02752">
          <w:rPr>
            <w:rFonts w:ascii="Times New Roman" w:eastAsia="Times New Roman" w:hAnsi="Times New Roman" w:cs="Times New Roman"/>
            <w:color w:val="0000FF"/>
            <w:sz w:val="24"/>
            <w:szCs w:val="24"/>
            <w:u w:val="single"/>
          </w:rPr>
          <w:t>https://doi.org/10.1080/23322039.2024.2385644</w:t>
        </w:r>
      </w:hyperlink>
    </w:p>
    <w:p w14:paraId="2CFB1C91"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Nwabenu</w:t>
      </w:r>
      <w:proofErr w:type="spellEnd"/>
      <w:r w:rsidRPr="00A02752">
        <w:rPr>
          <w:rFonts w:ascii="Times New Roman" w:eastAsia="Times New Roman" w:hAnsi="Times New Roman" w:cs="Times New Roman"/>
          <w:sz w:val="24"/>
          <w:szCs w:val="24"/>
        </w:rPr>
        <w:t xml:space="preserve">, D. C., </w:t>
      </w:r>
      <w:proofErr w:type="spellStart"/>
      <w:r w:rsidRPr="00A02752">
        <w:rPr>
          <w:rFonts w:ascii="Times New Roman" w:eastAsia="Times New Roman" w:hAnsi="Times New Roman" w:cs="Times New Roman"/>
          <w:sz w:val="24"/>
          <w:szCs w:val="24"/>
        </w:rPr>
        <w:t>Igabari</w:t>
      </w:r>
      <w:proofErr w:type="spellEnd"/>
      <w:r w:rsidRPr="00A02752">
        <w:rPr>
          <w:rFonts w:ascii="Times New Roman" w:eastAsia="Times New Roman" w:hAnsi="Times New Roman" w:cs="Times New Roman"/>
          <w:sz w:val="24"/>
          <w:szCs w:val="24"/>
        </w:rPr>
        <w:t xml:space="preserve">, J. N., &amp; Christopher, K. C. (2025). An analysis of economic growth indices in Nigeria using the Solow’s model. </w:t>
      </w:r>
      <w:r w:rsidRPr="00A02752">
        <w:rPr>
          <w:rFonts w:ascii="Times New Roman" w:eastAsia="Times New Roman" w:hAnsi="Times New Roman" w:cs="Times New Roman"/>
          <w:i/>
          <w:iCs/>
          <w:sz w:val="24"/>
          <w:szCs w:val="24"/>
        </w:rPr>
        <w:t>Asian Research Journal of Current Science, 7</w:t>
      </w:r>
      <w:r w:rsidRPr="00A02752">
        <w:rPr>
          <w:rFonts w:ascii="Times New Roman" w:eastAsia="Times New Roman" w:hAnsi="Times New Roman" w:cs="Times New Roman"/>
          <w:sz w:val="24"/>
          <w:szCs w:val="24"/>
        </w:rPr>
        <w:t xml:space="preserve">(1), 331–347. </w:t>
      </w:r>
      <w:hyperlink r:id="rId18" w:history="1">
        <w:r w:rsidRPr="00A02752">
          <w:rPr>
            <w:rFonts w:ascii="Times New Roman" w:eastAsia="Times New Roman" w:hAnsi="Times New Roman" w:cs="Times New Roman"/>
            <w:color w:val="0000FF"/>
            <w:sz w:val="24"/>
            <w:szCs w:val="24"/>
            <w:u w:val="single"/>
          </w:rPr>
          <w:t>https://doi.org/10.56557/arjocs/2025/v7i1155</w:t>
        </w:r>
      </w:hyperlink>
    </w:p>
    <w:p w14:paraId="3883B86C"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Nweke, G. O., Odo, S. I., &amp; Anoke, C. I. (2017). Effect of capital formation on economic growth in Nigeria. </w:t>
      </w:r>
      <w:r w:rsidRPr="00A02752">
        <w:rPr>
          <w:rFonts w:ascii="Times New Roman" w:eastAsia="Times New Roman" w:hAnsi="Times New Roman" w:cs="Times New Roman"/>
          <w:i/>
          <w:iCs/>
          <w:sz w:val="24"/>
          <w:szCs w:val="24"/>
        </w:rPr>
        <w:t>Asian Journal of Economics, Business and Accounting, 5</w:t>
      </w:r>
      <w:r w:rsidRPr="00A02752">
        <w:rPr>
          <w:rFonts w:ascii="Times New Roman" w:eastAsia="Times New Roman" w:hAnsi="Times New Roman" w:cs="Times New Roman"/>
          <w:sz w:val="24"/>
          <w:szCs w:val="24"/>
        </w:rPr>
        <w:t xml:space="preserve">(1), 1–16. </w:t>
      </w:r>
      <w:hyperlink r:id="rId19" w:history="1">
        <w:r w:rsidRPr="00A02752">
          <w:rPr>
            <w:rFonts w:ascii="Times New Roman" w:eastAsia="Times New Roman" w:hAnsi="Times New Roman" w:cs="Times New Roman"/>
            <w:color w:val="0000FF"/>
            <w:sz w:val="24"/>
            <w:szCs w:val="24"/>
            <w:u w:val="single"/>
          </w:rPr>
          <w:t>https://doi.org/10.9734/AJEBA/2017/36075</w:t>
        </w:r>
      </w:hyperlink>
    </w:p>
    <w:p w14:paraId="3046E798"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Onwiodiokit</w:t>
      </w:r>
      <w:proofErr w:type="spellEnd"/>
      <w:r w:rsidRPr="00A02752">
        <w:rPr>
          <w:rFonts w:ascii="Times New Roman" w:eastAsia="Times New Roman" w:hAnsi="Times New Roman" w:cs="Times New Roman"/>
          <w:sz w:val="24"/>
          <w:szCs w:val="24"/>
        </w:rPr>
        <w:t xml:space="preserve">, E. A., &amp; </w:t>
      </w:r>
      <w:proofErr w:type="spellStart"/>
      <w:r w:rsidRPr="00A02752">
        <w:rPr>
          <w:rFonts w:ascii="Times New Roman" w:eastAsia="Times New Roman" w:hAnsi="Times New Roman" w:cs="Times New Roman"/>
          <w:sz w:val="24"/>
          <w:szCs w:val="24"/>
        </w:rPr>
        <w:t>Otolorin</w:t>
      </w:r>
      <w:proofErr w:type="spellEnd"/>
      <w:r w:rsidRPr="00A02752">
        <w:rPr>
          <w:rFonts w:ascii="Times New Roman" w:eastAsia="Times New Roman" w:hAnsi="Times New Roman" w:cs="Times New Roman"/>
          <w:sz w:val="24"/>
          <w:szCs w:val="24"/>
        </w:rPr>
        <w:t xml:space="preserve">, G. E. (2021). Capital formation and economic growth in Nigeria: An empirical re-examination. </w:t>
      </w:r>
      <w:r w:rsidRPr="00A02752">
        <w:rPr>
          <w:rFonts w:ascii="Times New Roman" w:eastAsia="Times New Roman" w:hAnsi="Times New Roman" w:cs="Times New Roman"/>
          <w:i/>
          <w:iCs/>
          <w:sz w:val="24"/>
          <w:szCs w:val="24"/>
        </w:rPr>
        <w:t>Bullion, 45</w:t>
      </w:r>
      <w:r w:rsidRPr="00A02752">
        <w:rPr>
          <w:rFonts w:ascii="Times New Roman" w:eastAsia="Times New Roman" w:hAnsi="Times New Roman" w:cs="Times New Roman"/>
          <w:sz w:val="24"/>
          <w:szCs w:val="24"/>
        </w:rPr>
        <w:t xml:space="preserve">(2), 58–72. </w:t>
      </w:r>
      <w:hyperlink r:id="rId20" w:history="1">
        <w:r w:rsidRPr="00A02752">
          <w:rPr>
            <w:rFonts w:ascii="Times New Roman" w:eastAsia="Times New Roman" w:hAnsi="Times New Roman" w:cs="Times New Roman"/>
            <w:color w:val="0000FF"/>
            <w:sz w:val="24"/>
            <w:szCs w:val="24"/>
            <w:u w:val="single"/>
          </w:rPr>
          <w:t>https://doi.org/10.33429/0331-7919.1493</w:t>
        </w:r>
      </w:hyperlink>
    </w:p>
    <w:p w14:paraId="2B2F7C53"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Opadeji</w:t>
      </w:r>
      <w:proofErr w:type="spellEnd"/>
      <w:r w:rsidRPr="00A02752">
        <w:rPr>
          <w:rFonts w:ascii="Times New Roman" w:eastAsia="Times New Roman" w:hAnsi="Times New Roman" w:cs="Times New Roman"/>
          <w:sz w:val="24"/>
          <w:szCs w:val="24"/>
        </w:rPr>
        <w:t xml:space="preserve">, A. S., Olaniyi, O. A., Adekanmbi, A. M., &amp; </w:t>
      </w:r>
      <w:proofErr w:type="spellStart"/>
      <w:r w:rsidRPr="00A02752">
        <w:rPr>
          <w:rFonts w:ascii="Times New Roman" w:eastAsia="Times New Roman" w:hAnsi="Times New Roman" w:cs="Times New Roman"/>
          <w:sz w:val="24"/>
          <w:szCs w:val="24"/>
        </w:rPr>
        <w:t>Olubitan</w:t>
      </w:r>
      <w:proofErr w:type="spellEnd"/>
      <w:r w:rsidRPr="00A02752">
        <w:rPr>
          <w:rFonts w:ascii="Times New Roman" w:eastAsia="Times New Roman" w:hAnsi="Times New Roman" w:cs="Times New Roman"/>
          <w:sz w:val="24"/>
          <w:szCs w:val="24"/>
        </w:rPr>
        <w:t xml:space="preserve">, J. O. (2023). Gross capital formation, infrastructure and economic development in Nigeria. </w:t>
      </w:r>
      <w:r w:rsidRPr="00A02752">
        <w:rPr>
          <w:rFonts w:ascii="Times New Roman" w:eastAsia="Times New Roman" w:hAnsi="Times New Roman" w:cs="Times New Roman"/>
          <w:i/>
          <w:iCs/>
          <w:sz w:val="24"/>
          <w:szCs w:val="24"/>
        </w:rPr>
        <w:t>Asian Journal of Economics, Business and Accounting, 23</w:t>
      </w:r>
      <w:r w:rsidRPr="00A02752">
        <w:rPr>
          <w:rFonts w:ascii="Times New Roman" w:eastAsia="Times New Roman" w:hAnsi="Times New Roman" w:cs="Times New Roman"/>
          <w:sz w:val="24"/>
          <w:szCs w:val="24"/>
        </w:rPr>
        <w:t xml:space="preserve">(22), 275–285. </w:t>
      </w:r>
      <w:hyperlink r:id="rId21" w:history="1">
        <w:r w:rsidRPr="00A02752">
          <w:rPr>
            <w:rFonts w:ascii="Times New Roman" w:eastAsia="Times New Roman" w:hAnsi="Times New Roman" w:cs="Times New Roman"/>
            <w:color w:val="0000FF"/>
            <w:sz w:val="24"/>
            <w:szCs w:val="24"/>
            <w:u w:val="single"/>
          </w:rPr>
          <w:t>https://doi.org/10.9734/ajeba/2023/v23i221152</w:t>
        </w:r>
      </w:hyperlink>
    </w:p>
    <w:p w14:paraId="2CFEBA9D" w14:textId="49590078"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lastRenderedPageBreak/>
        <w:t>Organisation</w:t>
      </w:r>
      <w:proofErr w:type="spellEnd"/>
      <w:r w:rsidRPr="00A02752">
        <w:rPr>
          <w:rFonts w:ascii="Times New Roman" w:eastAsia="Times New Roman" w:hAnsi="Times New Roman" w:cs="Times New Roman"/>
          <w:sz w:val="24"/>
          <w:szCs w:val="24"/>
        </w:rPr>
        <w:t xml:space="preserve"> for Economic Co-operation and Development. (2015). </w:t>
      </w:r>
      <w:r w:rsidRPr="00A02752">
        <w:rPr>
          <w:rFonts w:ascii="Times New Roman" w:eastAsia="Times New Roman" w:hAnsi="Times New Roman" w:cs="Times New Roman"/>
          <w:i/>
          <w:iCs/>
          <w:sz w:val="24"/>
          <w:szCs w:val="24"/>
        </w:rPr>
        <w:t>National accounts at a glance 2015</w:t>
      </w:r>
      <w:r w:rsidRPr="00A02752">
        <w:rPr>
          <w:rFonts w:ascii="Times New Roman" w:eastAsia="Times New Roman" w:hAnsi="Times New Roman" w:cs="Times New Roman"/>
          <w:sz w:val="24"/>
          <w:szCs w:val="24"/>
        </w:rPr>
        <w:t xml:space="preserve">. OECD Publishing. </w:t>
      </w:r>
      <w:hyperlink r:id="rId22" w:history="1">
        <w:r w:rsidRPr="00A02752">
          <w:rPr>
            <w:rFonts w:ascii="Times New Roman" w:eastAsia="Times New Roman" w:hAnsi="Times New Roman" w:cs="Times New Roman"/>
            <w:color w:val="0000FF"/>
            <w:sz w:val="24"/>
            <w:szCs w:val="24"/>
            <w:u w:val="single"/>
          </w:rPr>
          <w:t>https://doi.org/10.1787/na_glance-2015-en</w:t>
        </w:r>
      </w:hyperlink>
    </w:p>
    <w:p w14:paraId="4349E550"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Osuma</w:t>
      </w:r>
      <w:proofErr w:type="spellEnd"/>
      <w:r w:rsidRPr="00A02752">
        <w:rPr>
          <w:rFonts w:ascii="Times New Roman" w:eastAsia="Times New Roman" w:hAnsi="Times New Roman" w:cs="Times New Roman"/>
          <w:sz w:val="24"/>
          <w:szCs w:val="24"/>
        </w:rPr>
        <w:t xml:space="preserve">, G., Ayinde, A., Nzimande, N., &amp; </w:t>
      </w:r>
      <w:proofErr w:type="spellStart"/>
      <w:r w:rsidRPr="00A02752">
        <w:rPr>
          <w:rFonts w:ascii="Times New Roman" w:eastAsia="Times New Roman" w:hAnsi="Times New Roman" w:cs="Times New Roman"/>
          <w:sz w:val="24"/>
          <w:szCs w:val="24"/>
        </w:rPr>
        <w:t>Ehikioya</w:t>
      </w:r>
      <w:proofErr w:type="spellEnd"/>
      <w:r w:rsidRPr="00A02752">
        <w:rPr>
          <w:rFonts w:ascii="Times New Roman" w:eastAsia="Times New Roman" w:hAnsi="Times New Roman" w:cs="Times New Roman"/>
          <w:sz w:val="24"/>
          <w:szCs w:val="24"/>
        </w:rPr>
        <w:t xml:space="preserve">, B. (2024). Evaluating the impact of systemic corruption and political risk on foreign direct investment inflows in Nigeria: An analysis of key determinants. </w:t>
      </w:r>
      <w:r w:rsidRPr="00A02752">
        <w:rPr>
          <w:rFonts w:ascii="Times New Roman" w:eastAsia="Times New Roman" w:hAnsi="Times New Roman" w:cs="Times New Roman"/>
          <w:i/>
          <w:iCs/>
          <w:sz w:val="24"/>
          <w:szCs w:val="24"/>
        </w:rPr>
        <w:t>Discover Sustainability, 5</w:t>
      </w:r>
      <w:r w:rsidRPr="00A02752">
        <w:rPr>
          <w:rFonts w:ascii="Times New Roman" w:eastAsia="Times New Roman" w:hAnsi="Times New Roman" w:cs="Times New Roman"/>
          <w:sz w:val="24"/>
          <w:szCs w:val="24"/>
        </w:rPr>
        <w:t xml:space="preserve">, Article 432. </w:t>
      </w:r>
      <w:hyperlink r:id="rId23" w:history="1">
        <w:r w:rsidRPr="00A02752">
          <w:rPr>
            <w:rFonts w:ascii="Times New Roman" w:eastAsia="Times New Roman" w:hAnsi="Times New Roman" w:cs="Times New Roman"/>
            <w:color w:val="0000FF"/>
            <w:sz w:val="24"/>
            <w:szCs w:val="24"/>
            <w:u w:val="single"/>
          </w:rPr>
          <w:t>https://doi.org/10.1007/s43621-024-00676-7</w:t>
        </w:r>
      </w:hyperlink>
    </w:p>
    <w:p w14:paraId="04EF0475"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Pesaran</w:t>
      </w:r>
      <w:proofErr w:type="spellEnd"/>
      <w:r w:rsidRPr="00A02752">
        <w:rPr>
          <w:rFonts w:ascii="Times New Roman" w:eastAsia="Times New Roman" w:hAnsi="Times New Roman" w:cs="Times New Roman"/>
          <w:sz w:val="24"/>
          <w:szCs w:val="24"/>
        </w:rPr>
        <w:t xml:space="preserve">, M. H., Shin, Y., &amp; Smith, R. J. (2001). Bounds testing approaches to the analysis of level relationships. </w:t>
      </w:r>
      <w:r w:rsidRPr="00A02752">
        <w:rPr>
          <w:rFonts w:ascii="Times New Roman" w:eastAsia="Times New Roman" w:hAnsi="Times New Roman" w:cs="Times New Roman"/>
          <w:i/>
          <w:iCs/>
          <w:sz w:val="24"/>
          <w:szCs w:val="24"/>
        </w:rPr>
        <w:t>Journal of Applied Econometrics, 16</w:t>
      </w:r>
      <w:r w:rsidRPr="00A02752">
        <w:rPr>
          <w:rFonts w:ascii="Times New Roman" w:eastAsia="Times New Roman" w:hAnsi="Times New Roman" w:cs="Times New Roman"/>
          <w:sz w:val="24"/>
          <w:szCs w:val="24"/>
        </w:rPr>
        <w:t xml:space="preserve">(3), 289–326. </w:t>
      </w:r>
      <w:hyperlink r:id="rId24" w:history="1">
        <w:r w:rsidRPr="00A02752">
          <w:rPr>
            <w:rFonts w:ascii="Times New Roman" w:eastAsia="Times New Roman" w:hAnsi="Times New Roman" w:cs="Times New Roman"/>
            <w:color w:val="0000FF"/>
            <w:sz w:val="24"/>
            <w:szCs w:val="24"/>
            <w:u w:val="single"/>
          </w:rPr>
          <w:t>https://doi.org/10.1002/jae.616</w:t>
        </w:r>
      </w:hyperlink>
    </w:p>
    <w:p w14:paraId="608AC08A"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Ricardo, D. (1817). </w:t>
      </w:r>
      <w:r w:rsidRPr="00A02752">
        <w:rPr>
          <w:rFonts w:ascii="Times New Roman" w:eastAsia="Times New Roman" w:hAnsi="Times New Roman" w:cs="Times New Roman"/>
          <w:i/>
          <w:iCs/>
          <w:sz w:val="24"/>
          <w:szCs w:val="24"/>
        </w:rPr>
        <w:t>On the principles of political economy and taxation</w:t>
      </w:r>
      <w:r w:rsidRPr="00A02752">
        <w:rPr>
          <w:rFonts w:ascii="Times New Roman" w:eastAsia="Times New Roman" w:hAnsi="Times New Roman" w:cs="Times New Roman"/>
          <w:sz w:val="24"/>
          <w:szCs w:val="24"/>
        </w:rPr>
        <w:t xml:space="preserve">. John Murray. </w:t>
      </w:r>
      <w:hyperlink r:id="rId25" w:history="1">
        <w:r w:rsidRPr="00A02752">
          <w:rPr>
            <w:rFonts w:ascii="Times New Roman" w:eastAsia="Times New Roman" w:hAnsi="Times New Roman" w:cs="Times New Roman"/>
            <w:color w:val="0000FF"/>
            <w:sz w:val="24"/>
            <w:szCs w:val="24"/>
            <w:u w:val="single"/>
          </w:rPr>
          <w:t>https://www.econlib.org/library/Ricardo/ricP.html</w:t>
        </w:r>
      </w:hyperlink>
    </w:p>
    <w:p w14:paraId="46094546"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Romer, P. M. (1986). Increasing returns and long-run growth. </w:t>
      </w:r>
      <w:r w:rsidRPr="00A02752">
        <w:rPr>
          <w:rFonts w:ascii="Times New Roman" w:eastAsia="Times New Roman" w:hAnsi="Times New Roman" w:cs="Times New Roman"/>
          <w:i/>
          <w:iCs/>
          <w:sz w:val="24"/>
          <w:szCs w:val="24"/>
        </w:rPr>
        <w:t>Journal of Political Economy, 94</w:t>
      </w:r>
      <w:r w:rsidRPr="00A02752">
        <w:rPr>
          <w:rFonts w:ascii="Times New Roman" w:eastAsia="Times New Roman" w:hAnsi="Times New Roman" w:cs="Times New Roman"/>
          <w:sz w:val="24"/>
          <w:szCs w:val="24"/>
        </w:rPr>
        <w:t xml:space="preserve">(5), 1002–1037. </w:t>
      </w:r>
      <w:hyperlink r:id="rId26" w:history="1">
        <w:r w:rsidRPr="00A02752">
          <w:rPr>
            <w:rFonts w:ascii="Times New Roman" w:eastAsia="Times New Roman" w:hAnsi="Times New Roman" w:cs="Times New Roman"/>
            <w:color w:val="0000FF"/>
            <w:sz w:val="24"/>
            <w:szCs w:val="24"/>
            <w:u w:val="single"/>
          </w:rPr>
          <w:t>https://doi.org/10.1086/261420</w:t>
        </w:r>
      </w:hyperlink>
    </w:p>
    <w:p w14:paraId="6CB371C8"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Romer, P. M. (1994). The origins of endogenous growth. </w:t>
      </w:r>
      <w:r w:rsidRPr="00A02752">
        <w:rPr>
          <w:rFonts w:ascii="Times New Roman" w:eastAsia="Times New Roman" w:hAnsi="Times New Roman" w:cs="Times New Roman"/>
          <w:i/>
          <w:iCs/>
          <w:sz w:val="24"/>
          <w:szCs w:val="24"/>
        </w:rPr>
        <w:t>Journal of Economic Perspectives, 8</w:t>
      </w:r>
      <w:r w:rsidRPr="00A02752">
        <w:rPr>
          <w:rFonts w:ascii="Times New Roman" w:eastAsia="Times New Roman" w:hAnsi="Times New Roman" w:cs="Times New Roman"/>
          <w:sz w:val="24"/>
          <w:szCs w:val="24"/>
        </w:rPr>
        <w:t xml:space="preserve">(1), 3–22. </w:t>
      </w:r>
      <w:hyperlink r:id="rId27" w:history="1">
        <w:r w:rsidRPr="00A02752">
          <w:rPr>
            <w:rFonts w:ascii="Times New Roman" w:eastAsia="Times New Roman" w:hAnsi="Times New Roman" w:cs="Times New Roman"/>
            <w:color w:val="0000FF"/>
            <w:sz w:val="24"/>
            <w:szCs w:val="24"/>
            <w:u w:val="single"/>
          </w:rPr>
          <w:t>https://doi.org/10.1257/jep.8.1.3</w:t>
        </w:r>
      </w:hyperlink>
    </w:p>
    <w:p w14:paraId="3B210051"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Salaudeen, M. B., &amp; Emmanuel, P. M. (2024). The growth effect of crude oil revenue and capital investment: The Nigerian perspective. </w:t>
      </w:r>
      <w:r w:rsidRPr="00A02752">
        <w:rPr>
          <w:rFonts w:ascii="Times New Roman" w:eastAsia="Times New Roman" w:hAnsi="Times New Roman" w:cs="Times New Roman"/>
          <w:i/>
          <w:iCs/>
          <w:sz w:val="24"/>
          <w:szCs w:val="24"/>
        </w:rPr>
        <w:t>OPEC Energy Review, 48</w:t>
      </w:r>
      <w:r w:rsidRPr="00A02752">
        <w:rPr>
          <w:rFonts w:ascii="Times New Roman" w:eastAsia="Times New Roman" w:hAnsi="Times New Roman" w:cs="Times New Roman"/>
          <w:sz w:val="24"/>
          <w:szCs w:val="24"/>
        </w:rPr>
        <w:t xml:space="preserve">(4), 181–195. </w:t>
      </w:r>
      <w:hyperlink r:id="rId28" w:history="1">
        <w:r w:rsidRPr="00A02752">
          <w:rPr>
            <w:rFonts w:ascii="Times New Roman" w:eastAsia="Times New Roman" w:hAnsi="Times New Roman" w:cs="Times New Roman"/>
            <w:color w:val="0000FF"/>
            <w:sz w:val="24"/>
            <w:szCs w:val="24"/>
            <w:u w:val="single"/>
          </w:rPr>
          <w:t>https://doi.org/10.1111/opec.12303</w:t>
        </w:r>
      </w:hyperlink>
    </w:p>
    <w:p w14:paraId="7C15E43C"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Sijabat</w:t>
      </w:r>
      <w:proofErr w:type="spellEnd"/>
      <w:r w:rsidRPr="00A02752">
        <w:rPr>
          <w:rFonts w:ascii="Times New Roman" w:eastAsia="Times New Roman" w:hAnsi="Times New Roman" w:cs="Times New Roman"/>
          <w:sz w:val="24"/>
          <w:szCs w:val="24"/>
        </w:rPr>
        <w:t xml:space="preserve">, R. (2022). The association of economic growth, foreign aid, foreign direct investment and gross capital formation in Indonesia: Evidence from the Toda–Yamamoto approach. </w:t>
      </w:r>
      <w:r w:rsidRPr="00A02752">
        <w:rPr>
          <w:rFonts w:ascii="Times New Roman" w:eastAsia="Times New Roman" w:hAnsi="Times New Roman" w:cs="Times New Roman"/>
          <w:i/>
          <w:iCs/>
          <w:sz w:val="24"/>
          <w:szCs w:val="24"/>
        </w:rPr>
        <w:t>Economies, 10</w:t>
      </w:r>
      <w:r w:rsidRPr="00A02752">
        <w:rPr>
          <w:rFonts w:ascii="Times New Roman" w:eastAsia="Times New Roman" w:hAnsi="Times New Roman" w:cs="Times New Roman"/>
          <w:sz w:val="24"/>
          <w:szCs w:val="24"/>
        </w:rPr>
        <w:t xml:space="preserve">(4), Article 93. </w:t>
      </w:r>
      <w:hyperlink r:id="rId29" w:history="1">
        <w:r w:rsidRPr="00A02752">
          <w:rPr>
            <w:rFonts w:ascii="Times New Roman" w:eastAsia="Times New Roman" w:hAnsi="Times New Roman" w:cs="Times New Roman"/>
            <w:color w:val="0000FF"/>
            <w:sz w:val="24"/>
            <w:szCs w:val="24"/>
            <w:u w:val="single"/>
          </w:rPr>
          <w:t>https://doi.org/10.3390/economies10040093</w:t>
        </w:r>
      </w:hyperlink>
    </w:p>
    <w:p w14:paraId="6EE1D691"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Smith, A. (1776). </w:t>
      </w:r>
      <w:r w:rsidRPr="00A02752">
        <w:rPr>
          <w:rFonts w:ascii="Times New Roman" w:eastAsia="Times New Roman" w:hAnsi="Times New Roman" w:cs="Times New Roman"/>
          <w:i/>
          <w:iCs/>
          <w:sz w:val="24"/>
          <w:szCs w:val="24"/>
        </w:rPr>
        <w:t>An inquiry into the nature and causes of the wealth of nations</w:t>
      </w:r>
      <w:r w:rsidRPr="00A02752">
        <w:rPr>
          <w:rFonts w:ascii="Times New Roman" w:eastAsia="Times New Roman" w:hAnsi="Times New Roman" w:cs="Times New Roman"/>
          <w:sz w:val="24"/>
          <w:szCs w:val="24"/>
        </w:rPr>
        <w:t xml:space="preserve">. W. Strahan and T. Cadell. </w:t>
      </w:r>
      <w:hyperlink r:id="rId30" w:history="1">
        <w:r w:rsidRPr="00A02752">
          <w:rPr>
            <w:rFonts w:ascii="Times New Roman" w:eastAsia="Times New Roman" w:hAnsi="Times New Roman" w:cs="Times New Roman"/>
            <w:color w:val="0000FF"/>
            <w:sz w:val="24"/>
            <w:szCs w:val="24"/>
            <w:u w:val="single"/>
          </w:rPr>
          <w:t>https://www.gutenberg.org/ebooks/3300</w:t>
        </w:r>
      </w:hyperlink>
    </w:p>
    <w:p w14:paraId="68F173C8"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Solow, R. M. (1956). A contribution to the theory of economic growth. </w:t>
      </w:r>
      <w:r w:rsidRPr="00A02752">
        <w:rPr>
          <w:rFonts w:ascii="Times New Roman" w:eastAsia="Times New Roman" w:hAnsi="Times New Roman" w:cs="Times New Roman"/>
          <w:i/>
          <w:iCs/>
          <w:sz w:val="24"/>
          <w:szCs w:val="24"/>
        </w:rPr>
        <w:t>The Quarterly Journal of Economics, 70</w:t>
      </w:r>
      <w:r w:rsidRPr="00A02752">
        <w:rPr>
          <w:rFonts w:ascii="Times New Roman" w:eastAsia="Times New Roman" w:hAnsi="Times New Roman" w:cs="Times New Roman"/>
          <w:sz w:val="24"/>
          <w:szCs w:val="24"/>
        </w:rPr>
        <w:t xml:space="preserve">(1), 65–94. </w:t>
      </w:r>
      <w:hyperlink r:id="rId31" w:history="1">
        <w:r w:rsidRPr="00A02752">
          <w:rPr>
            <w:rFonts w:ascii="Times New Roman" w:eastAsia="Times New Roman" w:hAnsi="Times New Roman" w:cs="Times New Roman"/>
            <w:color w:val="0000FF"/>
            <w:sz w:val="24"/>
            <w:szCs w:val="24"/>
            <w:u w:val="single"/>
          </w:rPr>
          <w:t>https://doi.org/10.2307/1884513</w:t>
        </w:r>
      </w:hyperlink>
    </w:p>
    <w:p w14:paraId="11F3AA48"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t xml:space="preserve">Todaro, M. P., &amp; Smith, S. C. (2020). </w:t>
      </w:r>
      <w:r w:rsidRPr="00A02752">
        <w:rPr>
          <w:rFonts w:ascii="Times New Roman" w:eastAsia="Times New Roman" w:hAnsi="Times New Roman" w:cs="Times New Roman"/>
          <w:i/>
          <w:iCs/>
          <w:sz w:val="24"/>
          <w:szCs w:val="24"/>
        </w:rPr>
        <w:t>Economic development</w:t>
      </w:r>
      <w:r w:rsidRPr="00A02752">
        <w:rPr>
          <w:rFonts w:ascii="Times New Roman" w:eastAsia="Times New Roman" w:hAnsi="Times New Roman" w:cs="Times New Roman"/>
          <w:sz w:val="24"/>
          <w:szCs w:val="24"/>
        </w:rPr>
        <w:t xml:space="preserve"> (13th ed.). Pearson Education. </w:t>
      </w:r>
      <w:hyperlink r:id="rId32" w:history="1">
        <w:r w:rsidRPr="00A02752">
          <w:rPr>
            <w:rFonts w:ascii="Times New Roman" w:eastAsia="Times New Roman" w:hAnsi="Times New Roman" w:cs="Times New Roman"/>
            <w:color w:val="0000FF"/>
            <w:sz w:val="24"/>
            <w:szCs w:val="24"/>
            <w:u w:val="single"/>
          </w:rPr>
          <w:t>https://books.google.com/books?id=VU0WyQEACAAJ</w:t>
        </w:r>
      </w:hyperlink>
    </w:p>
    <w:p w14:paraId="44C87C19"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Ugwuegbe</w:t>
      </w:r>
      <w:proofErr w:type="spellEnd"/>
      <w:r w:rsidRPr="00A02752">
        <w:rPr>
          <w:rFonts w:ascii="Times New Roman" w:eastAsia="Times New Roman" w:hAnsi="Times New Roman" w:cs="Times New Roman"/>
          <w:sz w:val="24"/>
          <w:szCs w:val="24"/>
        </w:rPr>
        <w:t xml:space="preserve">, S. U., &amp; </w:t>
      </w:r>
      <w:proofErr w:type="spellStart"/>
      <w:r w:rsidRPr="00A02752">
        <w:rPr>
          <w:rFonts w:ascii="Times New Roman" w:eastAsia="Times New Roman" w:hAnsi="Times New Roman" w:cs="Times New Roman"/>
          <w:sz w:val="24"/>
          <w:szCs w:val="24"/>
        </w:rPr>
        <w:t>Uruakpa</w:t>
      </w:r>
      <w:proofErr w:type="spellEnd"/>
      <w:r w:rsidRPr="00A02752">
        <w:rPr>
          <w:rFonts w:ascii="Times New Roman" w:eastAsia="Times New Roman" w:hAnsi="Times New Roman" w:cs="Times New Roman"/>
          <w:sz w:val="24"/>
          <w:szCs w:val="24"/>
        </w:rPr>
        <w:t xml:space="preserve">, P. C. (2013). The impact of capital formation on the growth of Nigerian economy. </w:t>
      </w:r>
      <w:r w:rsidRPr="00A02752">
        <w:rPr>
          <w:rFonts w:ascii="Times New Roman" w:eastAsia="Times New Roman" w:hAnsi="Times New Roman" w:cs="Times New Roman"/>
          <w:i/>
          <w:iCs/>
          <w:sz w:val="24"/>
          <w:szCs w:val="24"/>
        </w:rPr>
        <w:t>Research Journal of Finance and Accounting, 4</w:t>
      </w:r>
      <w:r w:rsidRPr="00A02752">
        <w:rPr>
          <w:rFonts w:ascii="Times New Roman" w:eastAsia="Times New Roman" w:hAnsi="Times New Roman" w:cs="Times New Roman"/>
          <w:sz w:val="24"/>
          <w:szCs w:val="24"/>
        </w:rPr>
        <w:t xml:space="preserve">(9), 36–42. </w:t>
      </w:r>
      <w:hyperlink r:id="rId33" w:history="1">
        <w:r w:rsidRPr="00A02752">
          <w:rPr>
            <w:rFonts w:ascii="Times New Roman" w:eastAsia="Times New Roman" w:hAnsi="Times New Roman" w:cs="Times New Roman"/>
            <w:color w:val="0000FF"/>
            <w:sz w:val="24"/>
            <w:szCs w:val="24"/>
            <w:u w:val="single"/>
          </w:rPr>
          <w:t>https://www.iiste.org/Journals/index.php/RJFA/article/view/6707</w:t>
        </w:r>
      </w:hyperlink>
    </w:p>
    <w:p w14:paraId="5A4DA080"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proofErr w:type="spellStart"/>
      <w:r w:rsidRPr="00A02752">
        <w:rPr>
          <w:rFonts w:ascii="Times New Roman" w:eastAsia="Times New Roman" w:hAnsi="Times New Roman" w:cs="Times New Roman"/>
          <w:sz w:val="24"/>
          <w:szCs w:val="24"/>
        </w:rPr>
        <w:t>Uremadu</w:t>
      </w:r>
      <w:proofErr w:type="spellEnd"/>
      <w:r w:rsidRPr="00A02752">
        <w:rPr>
          <w:rFonts w:ascii="Times New Roman" w:eastAsia="Times New Roman" w:hAnsi="Times New Roman" w:cs="Times New Roman"/>
          <w:sz w:val="24"/>
          <w:szCs w:val="24"/>
        </w:rPr>
        <w:t xml:space="preserve">, S. O., </w:t>
      </w:r>
      <w:proofErr w:type="spellStart"/>
      <w:r w:rsidRPr="00A02752">
        <w:rPr>
          <w:rFonts w:ascii="Times New Roman" w:eastAsia="Times New Roman" w:hAnsi="Times New Roman" w:cs="Times New Roman"/>
          <w:sz w:val="24"/>
          <w:szCs w:val="24"/>
        </w:rPr>
        <w:t>Umezurike</w:t>
      </w:r>
      <w:proofErr w:type="spellEnd"/>
      <w:r w:rsidRPr="00A02752">
        <w:rPr>
          <w:rFonts w:ascii="Times New Roman" w:eastAsia="Times New Roman" w:hAnsi="Times New Roman" w:cs="Times New Roman"/>
          <w:sz w:val="24"/>
          <w:szCs w:val="24"/>
        </w:rPr>
        <w:t xml:space="preserve">, I. N., &amp; </w:t>
      </w:r>
      <w:proofErr w:type="spellStart"/>
      <w:r w:rsidRPr="00A02752">
        <w:rPr>
          <w:rFonts w:ascii="Times New Roman" w:eastAsia="Times New Roman" w:hAnsi="Times New Roman" w:cs="Times New Roman"/>
          <w:sz w:val="24"/>
          <w:szCs w:val="24"/>
        </w:rPr>
        <w:t>Onyele</w:t>
      </w:r>
      <w:proofErr w:type="spellEnd"/>
      <w:r w:rsidRPr="00A02752">
        <w:rPr>
          <w:rFonts w:ascii="Times New Roman" w:eastAsia="Times New Roman" w:hAnsi="Times New Roman" w:cs="Times New Roman"/>
          <w:sz w:val="24"/>
          <w:szCs w:val="24"/>
        </w:rPr>
        <w:t xml:space="preserve">, K. O. (2024). Effects of budget deficit financing on the economy of Nigeria. </w:t>
      </w:r>
      <w:r w:rsidRPr="00A02752">
        <w:rPr>
          <w:rFonts w:ascii="Times New Roman" w:eastAsia="Times New Roman" w:hAnsi="Times New Roman" w:cs="Times New Roman"/>
          <w:i/>
          <w:iCs/>
          <w:sz w:val="24"/>
          <w:szCs w:val="24"/>
        </w:rPr>
        <w:t>AKSU Journal of Administration and Corporate Governance, 4</w:t>
      </w:r>
      <w:r w:rsidRPr="00A02752">
        <w:rPr>
          <w:rFonts w:ascii="Times New Roman" w:eastAsia="Times New Roman" w:hAnsi="Times New Roman" w:cs="Times New Roman"/>
          <w:sz w:val="24"/>
          <w:szCs w:val="24"/>
        </w:rPr>
        <w:t xml:space="preserve">(2), 166–190. </w:t>
      </w:r>
      <w:hyperlink r:id="rId34" w:history="1">
        <w:r w:rsidRPr="00A02752">
          <w:rPr>
            <w:rFonts w:ascii="Times New Roman" w:eastAsia="Times New Roman" w:hAnsi="Times New Roman" w:cs="Times New Roman"/>
            <w:color w:val="0000FF"/>
            <w:sz w:val="24"/>
            <w:szCs w:val="24"/>
            <w:u w:val="single"/>
          </w:rPr>
          <w:t>https://doi.org/10.61090/aksujacog.2024.028</w:t>
        </w:r>
      </w:hyperlink>
    </w:p>
    <w:p w14:paraId="6F132B09" w14:textId="77777777" w:rsidR="00A02752" w:rsidRPr="00A02752" w:rsidRDefault="00A02752" w:rsidP="00A02752">
      <w:pPr>
        <w:spacing w:before="100" w:beforeAutospacing="1" w:after="100" w:afterAutospacing="1" w:line="240" w:lineRule="auto"/>
        <w:rPr>
          <w:rFonts w:ascii="Times New Roman" w:eastAsia="Times New Roman" w:hAnsi="Times New Roman" w:cs="Times New Roman"/>
          <w:sz w:val="24"/>
          <w:szCs w:val="24"/>
        </w:rPr>
      </w:pPr>
      <w:r w:rsidRPr="00A02752">
        <w:rPr>
          <w:rFonts w:ascii="Times New Roman" w:eastAsia="Times New Roman" w:hAnsi="Times New Roman" w:cs="Times New Roman"/>
          <w:sz w:val="24"/>
          <w:szCs w:val="24"/>
        </w:rPr>
        <w:lastRenderedPageBreak/>
        <w:t xml:space="preserve">World Bank. (2024). </w:t>
      </w:r>
      <w:r w:rsidRPr="00A02752">
        <w:rPr>
          <w:rFonts w:ascii="Times New Roman" w:eastAsia="Times New Roman" w:hAnsi="Times New Roman" w:cs="Times New Roman"/>
          <w:i/>
          <w:iCs/>
          <w:sz w:val="24"/>
          <w:szCs w:val="24"/>
        </w:rPr>
        <w:t>World development indicators</w:t>
      </w:r>
      <w:r w:rsidRPr="00A02752">
        <w:rPr>
          <w:rFonts w:ascii="Times New Roman" w:eastAsia="Times New Roman" w:hAnsi="Times New Roman" w:cs="Times New Roman"/>
          <w:sz w:val="24"/>
          <w:szCs w:val="24"/>
        </w:rPr>
        <w:t xml:space="preserve"> [Data set]. </w:t>
      </w:r>
      <w:hyperlink r:id="rId35" w:history="1">
        <w:r w:rsidRPr="00A02752">
          <w:rPr>
            <w:rFonts w:ascii="Times New Roman" w:eastAsia="Times New Roman" w:hAnsi="Times New Roman" w:cs="Times New Roman"/>
            <w:color w:val="0000FF"/>
            <w:sz w:val="24"/>
            <w:szCs w:val="24"/>
            <w:u w:val="single"/>
          </w:rPr>
          <w:t>https://databank.worldbank.org/source/world-development-indicators</w:t>
        </w:r>
      </w:hyperlink>
    </w:p>
    <w:p w14:paraId="55889E3E" w14:textId="77777777" w:rsidR="00A02752" w:rsidRPr="00BC05AD" w:rsidRDefault="00A02752" w:rsidP="00B15DBD">
      <w:pPr>
        <w:spacing w:before="100" w:beforeAutospacing="1" w:after="100" w:afterAutospacing="1" w:line="360" w:lineRule="auto"/>
        <w:jc w:val="center"/>
        <w:rPr>
          <w:rFonts w:ascii="Times New Roman" w:eastAsia="Times New Roman" w:hAnsi="Times New Roman" w:cs="Times New Roman"/>
          <w:color w:val="000000" w:themeColor="text1"/>
          <w:sz w:val="24"/>
          <w:szCs w:val="24"/>
        </w:rPr>
      </w:pPr>
    </w:p>
    <w:sectPr w:rsidR="00A02752" w:rsidRPr="00BC05AD" w:rsidSect="001E7D18">
      <w:headerReference w:type="even" r:id="rId36"/>
      <w:headerReference w:type="default" r:id="rId37"/>
      <w:footerReference w:type="even" r:id="rId38"/>
      <w:footerReference w:type="default" r:id="rId39"/>
      <w:headerReference w:type="first" r:id="rId40"/>
      <w:footerReference w:type="firs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BF958" w14:textId="77777777" w:rsidR="009A7DF0" w:rsidRDefault="009A7DF0" w:rsidP="00D73C8D">
      <w:pPr>
        <w:spacing w:after="0" w:line="240" w:lineRule="auto"/>
      </w:pPr>
      <w:r>
        <w:separator/>
      </w:r>
    </w:p>
  </w:endnote>
  <w:endnote w:type="continuationSeparator" w:id="0">
    <w:p w14:paraId="5251533E" w14:textId="77777777" w:rsidR="009A7DF0" w:rsidRDefault="009A7DF0" w:rsidP="00D73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A793" w14:textId="77777777" w:rsidR="00D73C8D" w:rsidRDefault="00D73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3EC2" w14:textId="77777777" w:rsidR="00D73C8D" w:rsidRDefault="00D73C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B73F" w14:textId="77777777" w:rsidR="00D73C8D" w:rsidRDefault="00D73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982FC" w14:textId="77777777" w:rsidR="009A7DF0" w:rsidRDefault="009A7DF0" w:rsidP="00D73C8D">
      <w:pPr>
        <w:spacing w:after="0" w:line="240" w:lineRule="auto"/>
      </w:pPr>
      <w:r>
        <w:separator/>
      </w:r>
    </w:p>
  </w:footnote>
  <w:footnote w:type="continuationSeparator" w:id="0">
    <w:p w14:paraId="252503D2" w14:textId="77777777" w:rsidR="009A7DF0" w:rsidRDefault="009A7DF0" w:rsidP="00D73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28B2" w14:textId="77777777" w:rsidR="00D73C8D" w:rsidRDefault="00000000">
    <w:pPr>
      <w:pStyle w:val="Header"/>
    </w:pPr>
    <w:r>
      <w:rPr>
        <w:noProof/>
      </w:rPr>
      <w:pict w14:anchorId="3FA5DC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457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9278" w14:textId="77777777" w:rsidR="00D73C8D" w:rsidRDefault="00000000">
    <w:pPr>
      <w:pStyle w:val="Header"/>
    </w:pPr>
    <w:r>
      <w:rPr>
        <w:noProof/>
      </w:rPr>
      <w:pict w14:anchorId="5917F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457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F776" w14:textId="77777777" w:rsidR="00D73C8D" w:rsidRDefault="00000000">
    <w:pPr>
      <w:pStyle w:val="Header"/>
    </w:pPr>
    <w:r>
      <w:rPr>
        <w:noProof/>
      </w:rPr>
      <w:pict w14:anchorId="089C39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457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D6BDB"/>
    <w:multiLevelType w:val="hybridMultilevel"/>
    <w:tmpl w:val="E0D013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78567B"/>
    <w:multiLevelType w:val="hybridMultilevel"/>
    <w:tmpl w:val="E54C2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59455">
    <w:abstractNumId w:val="1"/>
  </w:num>
  <w:num w:numId="2" w16cid:durableId="1026371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185D"/>
    <w:rsid w:val="00027AC1"/>
    <w:rsid w:val="00037314"/>
    <w:rsid w:val="0004703C"/>
    <w:rsid w:val="00047AD9"/>
    <w:rsid w:val="00075F6D"/>
    <w:rsid w:val="00091419"/>
    <w:rsid w:val="000950D8"/>
    <w:rsid w:val="000A3591"/>
    <w:rsid w:val="000D033F"/>
    <w:rsid w:val="000E007E"/>
    <w:rsid w:val="000E1E53"/>
    <w:rsid w:val="000E2DFB"/>
    <w:rsid w:val="000E3699"/>
    <w:rsid w:val="00116894"/>
    <w:rsid w:val="0012185D"/>
    <w:rsid w:val="00175C90"/>
    <w:rsid w:val="001C607D"/>
    <w:rsid w:val="001E7D18"/>
    <w:rsid w:val="00222619"/>
    <w:rsid w:val="00244B19"/>
    <w:rsid w:val="002A3C7F"/>
    <w:rsid w:val="002B5F04"/>
    <w:rsid w:val="002E6010"/>
    <w:rsid w:val="002E71D9"/>
    <w:rsid w:val="003051FA"/>
    <w:rsid w:val="00344440"/>
    <w:rsid w:val="00352172"/>
    <w:rsid w:val="003D2B83"/>
    <w:rsid w:val="003E2170"/>
    <w:rsid w:val="003F5724"/>
    <w:rsid w:val="00410FB6"/>
    <w:rsid w:val="004217E3"/>
    <w:rsid w:val="0045397C"/>
    <w:rsid w:val="004664F9"/>
    <w:rsid w:val="00482BD1"/>
    <w:rsid w:val="00487C37"/>
    <w:rsid w:val="00494672"/>
    <w:rsid w:val="004A31B9"/>
    <w:rsid w:val="004F33EB"/>
    <w:rsid w:val="00504F78"/>
    <w:rsid w:val="0051200F"/>
    <w:rsid w:val="00523083"/>
    <w:rsid w:val="00523501"/>
    <w:rsid w:val="005264D3"/>
    <w:rsid w:val="005419D8"/>
    <w:rsid w:val="00554B98"/>
    <w:rsid w:val="00570D26"/>
    <w:rsid w:val="00577278"/>
    <w:rsid w:val="005B26CC"/>
    <w:rsid w:val="005B3A64"/>
    <w:rsid w:val="005C72D2"/>
    <w:rsid w:val="005D15AA"/>
    <w:rsid w:val="006010BA"/>
    <w:rsid w:val="00602178"/>
    <w:rsid w:val="006078A4"/>
    <w:rsid w:val="00622845"/>
    <w:rsid w:val="00624054"/>
    <w:rsid w:val="0065266B"/>
    <w:rsid w:val="00655CDF"/>
    <w:rsid w:val="006E76E5"/>
    <w:rsid w:val="007028DB"/>
    <w:rsid w:val="00712546"/>
    <w:rsid w:val="00714D77"/>
    <w:rsid w:val="00716F34"/>
    <w:rsid w:val="00727FE6"/>
    <w:rsid w:val="00780F78"/>
    <w:rsid w:val="007A54AB"/>
    <w:rsid w:val="007E4680"/>
    <w:rsid w:val="007F1901"/>
    <w:rsid w:val="007F21D9"/>
    <w:rsid w:val="00823AB2"/>
    <w:rsid w:val="00830BE4"/>
    <w:rsid w:val="00836340"/>
    <w:rsid w:val="00846723"/>
    <w:rsid w:val="00847641"/>
    <w:rsid w:val="00852F90"/>
    <w:rsid w:val="00876BC2"/>
    <w:rsid w:val="00877A87"/>
    <w:rsid w:val="00883733"/>
    <w:rsid w:val="008A54AD"/>
    <w:rsid w:val="008C1C66"/>
    <w:rsid w:val="008C4CF5"/>
    <w:rsid w:val="00900F60"/>
    <w:rsid w:val="00926671"/>
    <w:rsid w:val="00932EF2"/>
    <w:rsid w:val="00963B07"/>
    <w:rsid w:val="00965719"/>
    <w:rsid w:val="009A7DF0"/>
    <w:rsid w:val="009B6E9A"/>
    <w:rsid w:val="009C1B83"/>
    <w:rsid w:val="009D27AE"/>
    <w:rsid w:val="009D71AB"/>
    <w:rsid w:val="009F4EC8"/>
    <w:rsid w:val="009F6ABA"/>
    <w:rsid w:val="00A02752"/>
    <w:rsid w:val="00A07FF0"/>
    <w:rsid w:val="00A115C6"/>
    <w:rsid w:val="00A13D53"/>
    <w:rsid w:val="00A3325C"/>
    <w:rsid w:val="00A51D55"/>
    <w:rsid w:val="00A71CE0"/>
    <w:rsid w:val="00AB32C5"/>
    <w:rsid w:val="00AC3154"/>
    <w:rsid w:val="00AD2FA3"/>
    <w:rsid w:val="00B03AEC"/>
    <w:rsid w:val="00B114C7"/>
    <w:rsid w:val="00B15A8D"/>
    <w:rsid w:val="00B15DBD"/>
    <w:rsid w:val="00B27E17"/>
    <w:rsid w:val="00B40184"/>
    <w:rsid w:val="00B46767"/>
    <w:rsid w:val="00B529A1"/>
    <w:rsid w:val="00BA5658"/>
    <w:rsid w:val="00BB676A"/>
    <w:rsid w:val="00BC05AD"/>
    <w:rsid w:val="00C43B6B"/>
    <w:rsid w:val="00C97043"/>
    <w:rsid w:val="00CA3326"/>
    <w:rsid w:val="00CB56EB"/>
    <w:rsid w:val="00CC36F6"/>
    <w:rsid w:val="00D112A4"/>
    <w:rsid w:val="00D606D3"/>
    <w:rsid w:val="00D73C8D"/>
    <w:rsid w:val="00D770B7"/>
    <w:rsid w:val="00D83526"/>
    <w:rsid w:val="00D86261"/>
    <w:rsid w:val="00D900DB"/>
    <w:rsid w:val="00D96C55"/>
    <w:rsid w:val="00DA7B0A"/>
    <w:rsid w:val="00E000DA"/>
    <w:rsid w:val="00E15563"/>
    <w:rsid w:val="00E26612"/>
    <w:rsid w:val="00F5218E"/>
    <w:rsid w:val="00F9030A"/>
    <w:rsid w:val="00FE05B6"/>
    <w:rsid w:val="00FF12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200A0"/>
  <w15:docId w15:val="{3FACBC70-19F5-473E-819B-58203BD3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D18"/>
  </w:style>
  <w:style w:type="paragraph" w:styleId="Heading1">
    <w:name w:val="heading 1"/>
    <w:basedOn w:val="Normal"/>
    <w:link w:val="Heading1Char"/>
    <w:uiPriority w:val="9"/>
    <w:qFormat/>
    <w:rsid w:val="001218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218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E1E5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1E5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qFormat/>
    <w:rsid w:val="0065266B"/>
    <w:rPr>
      <w:rFonts w:ascii="Times New Roman" w:hAnsi="Times New Roman"/>
      <w:sz w:val="22"/>
      <w:vertAlign w:val="superscript"/>
    </w:rPr>
  </w:style>
  <w:style w:type="character" w:customStyle="1" w:styleId="Heading1Char">
    <w:name w:val="Heading 1 Char"/>
    <w:basedOn w:val="DefaultParagraphFont"/>
    <w:link w:val="Heading1"/>
    <w:uiPriority w:val="9"/>
    <w:rsid w:val="0012185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2185D"/>
    <w:rPr>
      <w:rFonts w:ascii="Times New Roman" w:eastAsia="Times New Roman" w:hAnsi="Times New Roman" w:cs="Times New Roman"/>
      <w:b/>
      <w:bCs/>
      <w:sz w:val="36"/>
      <w:szCs w:val="36"/>
    </w:rPr>
  </w:style>
  <w:style w:type="character" w:styleId="Strong">
    <w:name w:val="Strong"/>
    <w:basedOn w:val="DefaultParagraphFont"/>
    <w:uiPriority w:val="22"/>
    <w:qFormat/>
    <w:rsid w:val="0012185D"/>
    <w:rPr>
      <w:b/>
      <w:bCs/>
    </w:rPr>
  </w:style>
  <w:style w:type="paragraph" w:styleId="NormalWeb">
    <w:name w:val="Normal (Web)"/>
    <w:basedOn w:val="Normal"/>
    <w:uiPriority w:val="99"/>
    <w:unhideWhenUsed/>
    <w:rsid w:val="001218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0E1E5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1E53"/>
    <w:rPr>
      <w:rFonts w:asciiTheme="majorHAnsi" w:eastAsiaTheme="majorEastAsia" w:hAnsiTheme="majorHAnsi" w:cstheme="majorBidi"/>
      <w:b/>
      <w:bCs/>
      <w:i/>
      <w:iCs/>
      <w:color w:val="4F81BD" w:themeColor="accent1"/>
    </w:rPr>
  </w:style>
  <w:style w:type="character" w:customStyle="1" w:styleId="katex-mathml">
    <w:name w:val="katex-mathml"/>
    <w:basedOn w:val="DefaultParagraphFont"/>
    <w:rsid w:val="00027AC1"/>
  </w:style>
  <w:style w:type="character" w:customStyle="1" w:styleId="mord">
    <w:name w:val="mord"/>
    <w:basedOn w:val="DefaultParagraphFont"/>
    <w:rsid w:val="00027AC1"/>
  </w:style>
  <w:style w:type="character" w:customStyle="1" w:styleId="mrel">
    <w:name w:val="mrel"/>
    <w:basedOn w:val="DefaultParagraphFont"/>
    <w:rsid w:val="00027AC1"/>
  </w:style>
  <w:style w:type="character" w:customStyle="1" w:styleId="mopen">
    <w:name w:val="mopen"/>
    <w:basedOn w:val="DefaultParagraphFont"/>
    <w:rsid w:val="00027AC1"/>
  </w:style>
  <w:style w:type="character" w:customStyle="1" w:styleId="mclose">
    <w:name w:val="mclose"/>
    <w:basedOn w:val="DefaultParagraphFont"/>
    <w:rsid w:val="00027AC1"/>
  </w:style>
  <w:style w:type="character" w:customStyle="1" w:styleId="vlist-s">
    <w:name w:val="vlist-s"/>
    <w:basedOn w:val="DefaultParagraphFont"/>
    <w:rsid w:val="00027AC1"/>
  </w:style>
  <w:style w:type="character" w:customStyle="1" w:styleId="mbin">
    <w:name w:val="mbin"/>
    <w:basedOn w:val="DefaultParagraphFont"/>
    <w:rsid w:val="00027AC1"/>
  </w:style>
  <w:style w:type="character" w:customStyle="1" w:styleId="mop">
    <w:name w:val="mop"/>
    <w:basedOn w:val="DefaultParagraphFont"/>
    <w:rsid w:val="00027AC1"/>
  </w:style>
  <w:style w:type="character" w:styleId="Emphasis">
    <w:name w:val="Emphasis"/>
    <w:basedOn w:val="DefaultParagraphFont"/>
    <w:uiPriority w:val="20"/>
    <w:qFormat/>
    <w:rsid w:val="00027AC1"/>
    <w:rPr>
      <w:i/>
      <w:iCs/>
    </w:rPr>
  </w:style>
  <w:style w:type="paragraph" w:customStyle="1" w:styleId="Normal1">
    <w:name w:val="Normal1"/>
    <w:rsid w:val="00410FB6"/>
    <w:pPr>
      <w:spacing w:after="195" w:line="483" w:lineRule="auto"/>
      <w:ind w:left="15" w:right="1450" w:hanging="10"/>
      <w:jc w:val="both"/>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410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markdown-paragraph">
    <w:name w:val="ds-markdown-paragraph"/>
    <w:basedOn w:val="Normal"/>
    <w:rsid w:val="00410FB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1">
    <w:name w:val="Light Shading1"/>
    <w:basedOn w:val="TableNormal"/>
    <w:uiPriority w:val="60"/>
    <w:rsid w:val="00410FB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410FB6"/>
    <w:rPr>
      <w:color w:val="808080"/>
    </w:rPr>
  </w:style>
  <w:style w:type="paragraph" w:styleId="BalloonText">
    <w:name w:val="Balloon Text"/>
    <w:basedOn w:val="Normal"/>
    <w:link w:val="BalloonTextChar"/>
    <w:uiPriority w:val="99"/>
    <w:semiHidden/>
    <w:unhideWhenUsed/>
    <w:rsid w:val="00410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FB6"/>
    <w:rPr>
      <w:rFonts w:ascii="Tahoma" w:hAnsi="Tahoma" w:cs="Tahoma"/>
      <w:sz w:val="16"/>
      <w:szCs w:val="16"/>
    </w:rPr>
  </w:style>
  <w:style w:type="paragraph" w:customStyle="1" w:styleId="isselectedend">
    <w:name w:val="isselectedend"/>
    <w:basedOn w:val="Normal"/>
    <w:rsid w:val="0083634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B32C5"/>
    <w:pPr>
      <w:ind w:left="720"/>
      <w:contextualSpacing/>
    </w:pPr>
  </w:style>
  <w:style w:type="character" w:styleId="Hyperlink">
    <w:name w:val="Hyperlink"/>
    <w:basedOn w:val="DefaultParagraphFont"/>
    <w:uiPriority w:val="99"/>
    <w:unhideWhenUsed/>
    <w:rsid w:val="00B15DBD"/>
    <w:rPr>
      <w:color w:val="0000FF"/>
      <w:u w:val="single"/>
    </w:rPr>
  </w:style>
  <w:style w:type="character" w:customStyle="1" w:styleId="UnresolvedMention1">
    <w:name w:val="Unresolved Mention1"/>
    <w:basedOn w:val="DefaultParagraphFont"/>
    <w:uiPriority w:val="99"/>
    <w:semiHidden/>
    <w:unhideWhenUsed/>
    <w:rsid w:val="003F5724"/>
    <w:rPr>
      <w:color w:val="605E5C"/>
      <w:shd w:val="clear" w:color="auto" w:fill="E1DFDD"/>
    </w:rPr>
  </w:style>
  <w:style w:type="paragraph" w:styleId="Header">
    <w:name w:val="header"/>
    <w:basedOn w:val="Normal"/>
    <w:link w:val="HeaderChar"/>
    <w:uiPriority w:val="99"/>
    <w:unhideWhenUsed/>
    <w:rsid w:val="00D73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C8D"/>
  </w:style>
  <w:style w:type="paragraph" w:styleId="Footer">
    <w:name w:val="footer"/>
    <w:basedOn w:val="Normal"/>
    <w:link w:val="FooterChar"/>
    <w:uiPriority w:val="99"/>
    <w:unhideWhenUsed/>
    <w:rsid w:val="00D73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30677">
      <w:bodyDiv w:val="1"/>
      <w:marLeft w:val="0"/>
      <w:marRight w:val="0"/>
      <w:marTop w:val="0"/>
      <w:marBottom w:val="0"/>
      <w:divBdr>
        <w:top w:val="none" w:sz="0" w:space="0" w:color="auto"/>
        <w:left w:val="none" w:sz="0" w:space="0" w:color="auto"/>
        <w:bottom w:val="none" w:sz="0" w:space="0" w:color="auto"/>
        <w:right w:val="none" w:sz="0" w:space="0" w:color="auto"/>
      </w:divBdr>
    </w:div>
    <w:div w:id="269051394">
      <w:bodyDiv w:val="1"/>
      <w:marLeft w:val="0"/>
      <w:marRight w:val="0"/>
      <w:marTop w:val="0"/>
      <w:marBottom w:val="0"/>
      <w:divBdr>
        <w:top w:val="none" w:sz="0" w:space="0" w:color="auto"/>
        <w:left w:val="none" w:sz="0" w:space="0" w:color="auto"/>
        <w:bottom w:val="none" w:sz="0" w:space="0" w:color="auto"/>
        <w:right w:val="none" w:sz="0" w:space="0" w:color="auto"/>
      </w:divBdr>
    </w:div>
    <w:div w:id="290746101">
      <w:bodyDiv w:val="1"/>
      <w:marLeft w:val="0"/>
      <w:marRight w:val="0"/>
      <w:marTop w:val="0"/>
      <w:marBottom w:val="0"/>
      <w:divBdr>
        <w:top w:val="none" w:sz="0" w:space="0" w:color="auto"/>
        <w:left w:val="none" w:sz="0" w:space="0" w:color="auto"/>
        <w:bottom w:val="none" w:sz="0" w:space="0" w:color="auto"/>
        <w:right w:val="none" w:sz="0" w:space="0" w:color="auto"/>
      </w:divBdr>
      <w:divsChild>
        <w:div w:id="898441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783086">
      <w:bodyDiv w:val="1"/>
      <w:marLeft w:val="0"/>
      <w:marRight w:val="0"/>
      <w:marTop w:val="0"/>
      <w:marBottom w:val="0"/>
      <w:divBdr>
        <w:top w:val="none" w:sz="0" w:space="0" w:color="auto"/>
        <w:left w:val="none" w:sz="0" w:space="0" w:color="auto"/>
        <w:bottom w:val="none" w:sz="0" w:space="0" w:color="auto"/>
        <w:right w:val="none" w:sz="0" w:space="0" w:color="auto"/>
      </w:divBdr>
    </w:div>
    <w:div w:id="946158942">
      <w:bodyDiv w:val="1"/>
      <w:marLeft w:val="0"/>
      <w:marRight w:val="0"/>
      <w:marTop w:val="0"/>
      <w:marBottom w:val="0"/>
      <w:divBdr>
        <w:top w:val="none" w:sz="0" w:space="0" w:color="auto"/>
        <w:left w:val="none" w:sz="0" w:space="0" w:color="auto"/>
        <w:bottom w:val="none" w:sz="0" w:space="0" w:color="auto"/>
        <w:right w:val="none" w:sz="0" w:space="0" w:color="auto"/>
      </w:divBdr>
    </w:div>
    <w:div w:id="1034423561">
      <w:bodyDiv w:val="1"/>
      <w:marLeft w:val="0"/>
      <w:marRight w:val="0"/>
      <w:marTop w:val="0"/>
      <w:marBottom w:val="0"/>
      <w:divBdr>
        <w:top w:val="none" w:sz="0" w:space="0" w:color="auto"/>
        <w:left w:val="none" w:sz="0" w:space="0" w:color="auto"/>
        <w:bottom w:val="none" w:sz="0" w:space="0" w:color="auto"/>
        <w:right w:val="none" w:sz="0" w:space="0" w:color="auto"/>
      </w:divBdr>
    </w:div>
    <w:div w:id="1112480319">
      <w:bodyDiv w:val="1"/>
      <w:marLeft w:val="0"/>
      <w:marRight w:val="0"/>
      <w:marTop w:val="0"/>
      <w:marBottom w:val="0"/>
      <w:divBdr>
        <w:top w:val="none" w:sz="0" w:space="0" w:color="auto"/>
        <w:left w:val="none" w:sz="0" w:space="0" w:color="auto"/>
        <w:bottom w:val="none" w:sz="0" w:space="0" w:color="auto"/>
        <w:right w:val="none" w:sz="0" w:space="0" w:color="auto"/>
      </w:divBdr>
    </w:div>
    <w:div w:id="1231575360">
      <w:bodyDiv w:val="1"/>
      <w:marLeft w:val="0"/>
      <w:marRight w:val="0"/>
      <w:marTop w:val="0"/>
      <w:marBottom w:val="0"/>
      <w:divBdr>
        <w:top w:val="none" w:sz="0" w:space="0" w:color="auto"/>
        <w:left w:val="none" w:sz="0" w:space="0" w:color="auto"/>
        <w:bottom w:val="none" w:sz="0" w:space="0" w:color="auto"/>
        <w:right w:val="none" w:sz="0" w:space="0" w:color="auto"/>
      </w:divBdr>
    </w:div>
    <w:div w:id="1442064598">
      <w:bodyDiv w:val="1"/>
      <w:marLeft w:val="0"/>
      <w:marRight w:val="0"/>
      <w:marTop w:val="0"/>
      <w:marBottom w:val="0"/>
      <w:divBdr>
        <w:top w:val="none" w:sz="0" w:space="0" w:color="auto"/>
        <w:left w:val="none" w:sz="0" w:space="0" w:color="auto"/>
        <w:bottom w:val="none" w:sz="0" w:space="0" w:color="auto"/>
        <w:right w:val="none" w:sz="0" w:space="0" w:color="auto"/>
      </w:divBdr>
    </w:div>
    <w:div w:id="1491747755">
      <w:bodyDiv w:val="1"/>
      <w:marLeft w:val="0"/>
      <w:marRight w:val="0"/>
      <w:marTop w:val="0"/>
      <w:marBottom w:val="0"/>
      <w:divBdr>
        <w:top w:val="none" w:sz="0" w:space="0" w:color="auto"/>
        <w:left w:val="none" w:sz="0" w:space="0" w:color="auto"/>
        <w:bottom w:val="none" w:sz="0" w:space="0" w:color="auto"/>
        <w:right w:val="none" w:sz="0" w:space="0" w:color="auto"/>
      </w:divBdr>
    </w:div>
    <w:div w:id="1608078464">
      <w:bodyDiv w:val="1"/>
      <w:marLeft w:val="0"/>
      <w:marRight w:val="0"/>
      <w:marTop w:val="0"/>
      <w:marBottom w:val="0"/>
      <w:divBdr>
        <w:top w:val="none" w:sz="0" w:space="0" w:color="auto"/>
        <w:left w:val="none" w:sz="0" w:space="0" w:color="auto"/>
        <w:bottom w:val="none" w:sz="0" w:space="0" w:color="auto"/>
        <w:right w:val="none" w:sz="0" w:space="0" w:color="auto"/>
      </w:divBdr>
    </w:div>
    <w:div w:id="1701205386">
      <w:bodyDiv w:val="1"/>
      <w:marLeft w:val="0"/>
      <w:marRight w:val="0"/>
      <w:marTop w:val="0"/>
      <w:marBottom w:val="0"/>
      <w:divBdr>
        <w:top w:val="none" w:sz="0" w:space="0" w:color="auto"/>
        <w:left w:val="none" w:sz="0" w:space="0" w:color="auto"/>
        <w:bottom w:val="none" w:sz="0" w:space="0" w:color="auto"/>
        <w:right w:val="none" w:sz="0" w:space="0" w:color="auto"/>
      </w:divBdr>
    </w:div>
    <w:div w:id="1735008153">
      <w:bodyDiv w:val="1"/>
      <w:marLeft w:val="0"/>
      <w:marRight w:val="0"/>
      <w:marTop w:val="0"/>
      <w:marBottom w:val="0"/>
      <w:divBdr>
        <w:top w:val="none" w:sz="0" w:space="0" w:color="auto"/>
        <w:left w:val="none" w:sz="0" w:space="0" w:color="auto"/>
        <w:bottom w:val="none" w:sz="0" w:space="0" w:color="auto"/>
        <w:right w:val="none" w:sz="0" w:space="0" w:color="auto"/>
      </w:divBdr>
    </w:div>
    <w:div w:id="195207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2478/cer-2018-0027" TargetMode="External"/><Relationship Id="rId18" Type="http://schemas.openxmlformats.org/officeDocument/2006/relationships/hyperlink" Target="https://doi.org/10.56557/arjocs/2025/v7i1155" TargetMode="External"/><Relationship Id="rId26" Type="http://schemas.openxmlformats.org/officeDocument/2006/relationships/hyperlink" Target="https://doi.org/10.1086/261420" TargetMode="External"/><Relationship Id="rId39" Type="http://schemas.openxmlformats.org/officeDocument/2006/relationships/footer" Target="footer2.xml"/><Relationship Id="rId21" Type="http://schemas.openxmlformats.org/officeDocument/2006/relationships/hyperlink" Target="https://doi.org/10.9734/ajeba/2023/v23i221152" TargetMode="External"/><Relationship Id="rId34" Type="http://schemas.openxmlformats.org/officeDocument/2006/relationships/hyperlink" Target="https://doi.org/10.61090/aksujacog.2024.028" TargetMode="External"/><Relationship Id="rId42" Type="http://schemas.openxmlformats.org/officeDocument/2006/relationships/fontTable" Target="fontTable.xml"/><Relationship Id="rId7" Type="http://schemas.openxmlformats.org/officeDocument/2006/relationships/hyperlink" Target="https://doi.org/10.1057/s41599-023-02009-x" TargetMode="External"/><Relationship Id="rId2" Type="http://schemas.openxmlformats.org/officeDocument/2006/relationships/styles" Target="styles.xml"/><Relationship Id="rId16" Type="http://schemas.openxmlformats.org/officeDocument/2006/relationships/hyperlink" Target="https://doi.org/10.1016/0304-3932(88)90168-7" TargetMode="External"/><Relationship Id="rId20" Type="http://schemas.openxmlformats.org/officeDocument/2006/relationships/hyperlink" Target="https://doi.org/10.33429/0331-7919.1493" TargetMode="External"/><Relationship Id="rId29" Type="http://schemas.openxmlformats.org/officeDocument/2006/relationships/hyperlink" Target="https://doi.org/10.3390/economies10040093"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307/2295952" TargetMode="External"/><Relationship Id="rId24" Type="http://schemas.openxmlformats.org/officeDocument/2006/relationships/hyperlink" Target="https://doi.org/10.1002/jae.616" TargetMode="External"/><Relationship Id="rId32" Type="http://schemas.openxmlformats.org/officeDocument/2006/relationships/hyperlink" Target="https://books.google.com/books?id=VU0WyQEACAAJ"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5281/zenodo.4282943" TargetMode="External"/><Relationship Id="rId23" Type="http://schemas.openxmlformats.org/officeDocument/2006/relationships/hyperlink" Target="https://doi.org/10.1007/s43621-024-00676-7" TargetMode="External"/><Relationship Id="rId28" Type="http://schemas.openxmlformats.org/officeDocument/2006/relationships/hyperlink" Target="https://doi.org/10.1111/opec.12303" TargetMode="External"/><Relationship Id="rId36" Type="http://schemas.openxmlformats.org/officeDocument/2006/relationships/header" Target="header1.xml"/><Relationship Id="rId10" Type="http://schemas.openxmlformats.org/officeDocument/2006/relationships/hyperlink" Target="https://doi.org/10.24040/eas.2024.25.2.5-24" TargetMode="External"/><Relationship Id="rId19" Type="http://schemas.openxmlformats.org/officeDocument/2006/relationships/hyperlink" Target="https://doi.org/10.9734/AJEBA/2017/36075" TargetMode="External"/><Relationship Id="rId31" Type="http://schemas.openxmlformats.org/officeDocument/2006/relationships/hyperlink" Target="https://doi.org/10.2307/1884513" TargetMode="External"/><Relationship Id="rId4" Type="http://schemas.openxmlformats.org/officeDocument/2006/relationships/webSettings" Target="webSettings.xml"/><Relationship Id="rId9" Type="http://schemas.openxmlformats.org/officeDocument/2006/relationships/hyperlink" Target="https://doi.org/10.48028/iiprds/ijiretss.v12.i2.12" TargetMode="External"/><Relationship Id="rId14" Type="http://schemas.openxmlformats.org/officeDocument/2006/relationships/hyperlink" Target="https://www.ugb.ro/etc/etc2012no1/09fa.pdf" TargetMode="External"/><Relationship Id="rId22" Type="http://schemas.openxmlformats.org/officeDocument/2006/relationships/hyperlink" Target="https://doi.org/10.1787/na_glance-2015-en" TargetMode="External"/><Relationship Id="rId27" Type="http://schemas.openxmlformats.org/officeDocument/2006/relationships/hyperlink" Target="https://doi.org/10.1257/jep.8.1.3" TargetMode="External"/><Relationship Id="rId30" Type="http://schemas.openxmlformats.org/officeDocument/2006/relationships/hyperlink" Target="https://www.gutenberg.org/ebooks/3300" TargetMode="External"/><Relationship Id="rId35" Type="http://schemas.openxmlformats.org/officeDocument/2006/relationships/hyperlink" Target="https://databank.worldbank.org/source/world-development-indicators" TargetMode="External"/><Relationship Id="rId43" Type="http://schemas.openxmlformats.org/officeDocument/2006/relationships/theme" Target="theme/theme1.xml"/><Relationship Id="rId8" Type="http://schemas.openxmlformats.org/officeDocument/2006/relationships/hyperlink" Target="https://valleyinternational.net/index.php/theijsshi/article/view/4" TargetMode="External"/><Relationship Id="rId3" Type="http://schemas.openxmlformats.org/officeDocument/2006/relationships/settings" Target="settings.xml"/><Relationship Id="rId12" Type="http://schemas.openxmlformats.org/officeDocument/2006/relationships/hyperlink" Target="https://ideas.repec.org/a/fej/articl/v3ay2011i2p11-24.html" TargetMode="External"/><Relationship Id="rId17" Type="http://schemas.openxmlformats.org/officeDocument/2006/relationships/hyperlink" Target="https://doi.org/10.1080/23322039.2024.2385644" TargetMode="External"/><Relationship Id="rId25" Type="http://schemas.openxmlformats.org/officeDocument/2006/relationships/hyperlink" Target="https://www.econlib.org/library/Ricardo/ricP.html" TargetMode="External"/><Relationship Id="rId33" Type="http://schemas.openxmlformats.org/officeDocument/2006/relationships/hyperlink" Target="https://www.iiste.org/Journals/index.php/RJFA/article/view/6707"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22</Pages>
  <Words>7721</Words>
  <Characters>44011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1087</cp:lastModifiedBy>
  <cp:revision>18</cp:revision>
  <dcterms:created xsi:type="dcterms:W3CDTF">2026-07-27T16:46:00Z</dcterms:created>
  <dcterms:modified xsi:type="dcterms:W3CDTF">2026-08-08T10:15:00Z</dcterms:modified>
</cp:coreProperties>
</file>