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FD19D" w14:textId="77777777" w:rsidR="00472922" w:rsidRPr="00831711" w:rsidRDefault="00B5152B">
      <w:pPr>
        <w:spacing w:after="280" w:line="240" w:lineRule="auto"/>
        <w:jc w:val="center"/>
        <w:rPr>
          <w:rFonts w:ascii="Times New Roman" w:eastAsia="Times New Roman" w:hAnsi="Times New Roman" w:cs="Times New Roman"/>
          <w:b/>
          <w:bCs/>
          <w:color w:val="000000" w:themeColor="text1"/>
          <w:sz w:val="24"/>
          <w:szCs w:val="24"/>
        </w:rPr>
      </w:pPr>
      <w:r w:rsidRPr="00831711">
        <w:rPr>
          <w:rFonts w:ascii="Times New Roman" w:eastAsia="Times New Roman" w:hAnsi="Times New Roman" w:cs="Times New Roman"/>
          <w:b/>
          <w:bCs/>
          <w:color w:val="000000" w:themeColor="text1"/>
          <w:sz w:val="24"/>
          <w:szCs w:val="24"/>
        </w:rPr>
        <w:t>IMPACT OF NEW BUSINESS DENSITY ON ECONOMIC GROWTH IN NIGERIA: EVIDENCE FROM THE AUTOREGRESSIVE DISTRIBUTED LAG (ARDL) APPROACH</w:t>
      </w:r>
    </w:p>
    <w:p w14:paraId="2029639B" w14:textId="77777777" w:rsidR="00472922" w:rsidRPr="00831711" w:rsidRDefault="00B5152B">
      <w:pPr>
        <w:spacing w:before="280" w:after="280" w:line="240" w:lineRule="auto"/>
        <w:rPr>
          <w:rFonts w:ascii="Times New Roman" w:eastAsia="Times New Roman" w:hAnsi="Times New Roman" w:cs="Times New Roman"/>
          <w:b/>
          <w:bCs/>
          <w:color w:val="000000" w:themeColor="text1"/>
          <w:sz w:val="24"/>
          <w:szCs w:val="24"/>
        </w:rPr>
      </w:pPr>
      <w:r w:rsidRPr="00831711">
        <w:rPr>
          <w:rFonts w:ascii="Times New Roman" w:eastAsia="Times New Roman" w:hAnsi="Times New Roman" w:cs="Times New Roman"/>
          <w:b/>
          <w:bCs/>
          <w:color w:val="000000" w:themeColor="text1"/>
          <w:sz w:val="24"/>
          <w:szCs w:val="24"/>
        </w:rPr>
        <w:t>ABSTRACT</w:t>
      </w:r>
    </w:p>
    <w:p w14:paraId="6EDEF68A" w14:textId="77777777" w:rsidR="00472922" w:rsidRPr="00831711" w:rsidRDefault="00B5152B">
      <w:pPr>
        <w:spacing w:before="280" w:after="280" w:line="24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Entrepreneurship is gaining increasing importance as a major contributor to economic development because it involves business creation, innovation and job creation. Despite the various entrepreneurship-promotion initiatives undertaken in Nigeria, the role of formal business start-ups in economic growth remains poorly understood. This study used the Autoregressive Distributed Lag (ARDL) model to empirically examine the effect of new business density on economic growth in Nigeria between 2004 and 2025. Data were sourced from the World Development Indicators (WDI). The results showed that, in the long run, new business density had a positive but statistically insignificant relationship with economic growth, whereas, in the short run, its negative effect on economic growth was statistically significant. Similarly, the literacy rate had a negative and statistically significant long-run effect on economic growth but a positive and significant lagged effect in the short run, suggesting that the growth-enhancing benefits of literacy materialise over time. The study concludes that, to promote sustainable economic growth, simply encouraging businesses to register is insufficient; attention should also be given to the structural challenges faced by new businesses and the quality of human capital. The study suggests improving the entrepreneurial ecosystem by easing business registration procedures, increasing access to business support services and providing low-cost financing for start-ups through the Federal Ministry of Industry, Trade and Investment, the Corporate Affairs Commission, the Small and Medium Enterprises Development Agency of Nigeria and the Bank of Industry. It also calls on the Federal Ministry of Education, the National Universities Commission, the National Board for Technical Education and the National Commission for Colleges of Education to strengthen entrepreneurship education and skills development in order to enhance the productive contribution of human capital to economic growth.</w:t>
      </w:r>
    </w:p>
    <w:p w14:paraId="0176845B" w14:textId="0F8F37E7" w:rsidR="004B285C" w:rsidRDefault="004B285C">
      <w:pPr>
        <w:spacing w:before="280" w:after="280" w:line="240" w:lineRule="auto"/>
        <w:jc w:val="both"/>
      </w:pPr>
      <w:r>
        <w:rPr>
          <w:rStyle w:val="Strong"/>
        </w:rPr>
        <w:t>Keywords:</w:t>
      </w:r>
      <w:r>
        <w:t xml:space="preserve"> New business density; Economic growth; Entrepreneurship; Autoregressive Distributed Lag; Bounds cointegration; Literacy rate; Business formation; Human capital</w:t>
      </w:r>
    </w:p>
    <w:p w14:paraId="7C828C40" w14:textId="77777777" w:rsidR="004B285C" w:rsidRDefault="004B285C">
      <w:pPr>
        <w:spacing w:before="280" w:after="280" w:line="240" w:lineRule="auto"/>
        <w:jc w:val="both"/>
      </w:pPr>
    </w:p>
    <w:p w14:paraId="27E59BDB" w14:textId="3AC040CB" w:rsidR="00472922" w:rsidRPr="00831711" w:rsidRDefault="00B5152B">
      <w:pPr>
        <w:spacing w:before="280" w:after="280" w:line="24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b/>
          <w:bCs/>
          <w:color w:val="000000" w:themeColor="text1"/>
          <w:sz w:val="24"/>
          <w:szCs w:val="24"/>
        </w:rPr>
        <w:t>JEL Classification:</w:t>
      </w:r>
      <w:r w:rsidRPr="00831711">
        <w:rPr>
          <w:rFonts w:ascii="Times New Roman" w:eastAsia="Times New Roman" w:hAnsi="Times New Roman" w:cs="Times New Roman"/>
          <w:color w:val="000000" w:themeColor="text1"/>
          <w:sz w:val="24"/>
          <w:szCs w:val="24"/>
        </w:rPr>
        <w:t xml:space="preserve"> L26, O40, O43, O55, C22</w:t>
      </w:r>
    </w:p>
    <w:p w14:paraId="2E98DB87" w14:textId="77777777" w:rsidR="00472922" w:rsidRPr="00831711" w:rsidRDefault="00B5152B">
      <w:pPr>
        <w:spacing w:before="280" w:after="280" w:line="240" w:lineRule="auto"/>
        <w:jc w:val="both"/>
        <w:rPr>
          <w:rFonts w:ascii="Times New Roman" w:eastAsia="Times New Roman" w:hAnsi="Times New Roman" w:cs="Times New Roman"/>
          <w:b/>
          <w:bCs/>
          <w:color w:val="000000" w:themeColor="text1"/>
          <w:sz w:val="24"/>
          <w:szCs w:val="24"/>
        </w:rPr>
      </w:pPr>
      <w:r w:rsidRPr="00831711">
        <w:rPr>
          <w:rFonts w:ascii="Times New Roman" w:eastAsia="Times New Roman" w:hAnsi="Times New Roman" w:cs="Times New Roman"/>
          <w:b/>
          <w:bCs/>
          <w:color w:val="000000" w:themeColor="text1"/>
          <w:sz w:val="24"/>
          <w:szCs w:val="24"/>
        </w:rPr>
        <w:t>1.0 Introduction</w:t>
      </w:r>
    </w:p>
    <w:p w14:paraId="392AA202" w14:textId="77777777" w:rsidR="00472922" w:rsidRPr="00831711" w:rsidRDefault="00B5152B">
      <w:pPr>
        <w:shd w:val="clear" w:color="auto" w:fill="FFFFFF"/>
        <w:spacing w:before="274" w:after="274"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Attaining steady economic growth and development remains a primary goal of developing economies globally. Emerging nations face several issues, including high inflation, trade imbalances, slow growth, and high levels of poverty and unemployment, all of which slow the rate of economic growth (Muritala et al., 2012). Industrialisation, output growth and the creation of productive employment are important indicators of growth, often measured by Gross Domestic Product (GDP) per capita, national income, equitable income distribution and the </w:t>
      </w:r>
      <w:r w:rsidRPr="00831711">
        <w:rPr>
          <w:rFonts w:ascii="Times New Roman" w:eastAsia="Times New Roman" w:hAnsi="Times New Roman" w:cs="Times New Roman"/>
          <w:color w:val="000000" w:themeColor="text1"/>
          <w:sz w:val="24"/>
          <w:szCs w:val="24"/>
        </w:rPr>
        <w:lastRenderedPageBreak/>
        <w:t>welfare and living standards of citizens. Entrepreneurship has become a widespread tool in both developed and developing countries in their pursuit of economic growth (Schumpeter, 1934).</w:t>
      </w:r>
    </w:p>
    <w:p w14:paraId="33960A02" w14:textId="77777777" w:rsidR="00472922" w:rsidRPr="00831711" w:rsidRDefault="00B5152B">
      <w:pPr>
        <w:shd w:val="clear" w:color="auto" w:fill="FFFFFF"/>
        <w:spacing w:before="274" w:after="274"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There is widespread international support for the catalytic role of entrepreneurship in economic transformation. The successful growth paths of countries such as the USA have been associated with strong support for small businesses, which are outcomes of entrepreneurship development. According to Oberlo (2020), small businesses in the USA accounted for about 60.6 million employees and 47.1% of the country's workforce as of 2020, with 31.7 million small businesses in operation, representing 44% of all economic activity. Likewise, India's small businesses account for around 106 million jobs, about 40% of total employment and 40% of GDP (Rastogi, 2020), with an estimated 63.385 million small businesses. Credit and market development support, as well as sufficient government incentives, have been cited as reasons for the growth of these entrepreneurial ventures (Organisation for Economic Co-operation and Development [OECD], 2020). Over time, these businesses have become dynamic and vibrant economic actors of change (Carree &amp; Thurik, 2010).</w:t>
      </w:r>
    </w:p>
    <w:p w14:paraId="1E0ABC0E" w14:textId="77777777" w:rsidR="00472922" w:rsidRPr="00831711" w:rsidRDefault="00B5152B">
      <w:pPr>
        <w:shd w:val="clear" w:color="auto" w:fill="FFFFFF"/>
        <w:spacing w:before="274" w:after="274"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The contribution of small businesses to job creation is very significant, as they enable the industrialisation of rural areas and make a significant contribution to economic diversification. In developing countries, small enterprises account for a large share of the workforce – 98% in Indonesia, 78% in Thailand, 87% in Bangladesh, 80% in South Africa, 30% in Ghana, 65% in Singapore and 75% in Egypt (World Bank, 2016). Government policies in favour of small business operations had a significant impact on the high rate of unemployment in Mauritius in 1983, which dropped to 1.6% in 1996 (Roopchund, 2020). In addition, small enterprises accounted for more than 55% of the GDP of the USA, 17% of the economies of the Asia-Pacific region, 50% of Africa and 57% of Australia (Ussif &amp; Salifu, 2020). Brazil's footwear industry has developed prominent clusters of small and medium-sized firms, including in the Sinos Valley and Franca (Schmitz, 1995; Tristão et al., 2013).</w:t>
      </w:r>
    </w:p>
    <w:p w14:paraId="1CDD29F3" w14:textId="77777777" w:rsidR="00472922" w:rsidRPr="00831711" w:rsidRDefault="00B5152B">
      <w:pPr>
        <w:shd w:val="clear" w:color="auto" w:fill="FFFFFF"/>
        <w:spacing w:before="274" w:after="274"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Nigeria is endowed with natural and human resources and has many business opportunities. The potential for infrastructural growth has been stunted, however, because of the limited resources provided by successive governments (Okpara, 2011). Theft, embezzlement and corruption have negatively affected policy measures aimed at stimulating infrastructural development through </w:t>
      </w:r>
      <w:r w:rsidRPr="00831711">
        <w:rPr>
          <w:rFonts w:ascii="Times New Roman" w:eastAsia="Times New Roman" w:hAnsi="Times New Roman" w:cs="Times New Roman"/>
          <w:color w:val="000000" w:themeColor="text1"/>
          <w:sz w:val="24"/>
          <w:szCs w:val="24"/>
        </w:rPr>
        <w:lastRenderedPageBreak/>
        <w:t>investment, thus creating significant infrastructural deficits, insufficient food supplies and food service deficits (Fasoranti, 2012). Entrepreneurship development is a major aspect of economic diversification in Nigeria. Industrialisation and productive employment through entrepreneurship are fundamental to achieving Nigeria's growth potential in terms of income per capita, capital formation, equitable distribution of income, welfare and quality of life. Entrepreneurship has demonstrated the capacity to generate economic growth through industrialisation, GDP growth, wealth creation, efficient use of resources, job creation and poverty reduction (Carree &amp; Thurik, 2010).</w:t>
      </w:r>
    </w:p>
    <w:p w14:paraId="6B9EFFFA" w14:textId="77777777" w:rsidR="00472922" w:rsidRPr="00831711" w:rsidRDefault="00B5152B">
      <w:pPr>
        <w:shd w:val="clear" w:color="auto" w:fill="FFFFFF"/>
        <w:spacing w:before="274" w:after="274"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Entrepreneurship is acknowledged worldwide as a factor that contributes to long-term economic development (Central Bank of Nigeria [CBN], 2004). Its importance in raising output, creating jobs, spreading income and ensuring wealth generation is gradually being recognised (Nigerian Institute of Social and Economic Research [NISER], 2004). Roughly 87% of the total number of businesses in Nigeria are entrepreneurial businesses operated as small and medium-sized enterprises (SMEs) (USAID PRISMS, 2005). While SMEs contribute around 40% of GDP in industrialised countries (McKernan &amp; Chen, 2005), developing countries such as Indonesia, Thailand and India are also estimated to have SME contributions exceeding 20% of GDP (Small and Medium Enterprises Development Agency of Nigeria [SMEDAN], 2007). Entrepreneurship is important to Nigeria's socioeconomic life, although entrepreneurs encounter many challenges that hinder their optimal contribution to the country's economic development (National Council on Industry [NCI], 2001).</w:t>
      </w:r>
    </w:p>
    <w:p w14:paraId="4DCF1C92" w14:textId="77777777" w:rsidR="00472922" w:rsidRPr="00831711" w:rsidRDefault="00B5152B">
      <w:pPr>
        <w:shd w:val="clear" w:color="auto" w:fill="FFFFFF"/>
        <w:spacing w:before="274" w:after="274"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Successive Nigerian governments have adopted a number of policies and programmes that emphasise the importance of entrepreneurship as a driver of economic development and seek to improve conditions for entrepreneurs. Yet, Ojo (2003) contended that none of these programmes had been successful in fostering the development of SMEs. According to Tumkella (2003), the reasons for the inability of these programmes to achieve their objectives include abuses, inadequate project evaluation and monitoring, and moral hazards in spending public funds on private-sector enterprises. Variyam and Kraybill (1994) hypothesised that many entrepreneurship-development programmes in Sub-Saharan African countries, implemented through cooperative services, mutual-help associations, business planning and technology adoption, were not achieving sustained small-business growth and development. The factors </w:t>
      </w:r>
      <w:r w:rsidRPr="00831711">
        <w:rPr>
          <w:rFonts w:ascii="Times New Roman" w:eastAsia="Times New Roman" w:hAnsi="Times New Roman" w:cs="Times New Roman"/>
          <w:color w:val="000000" w:themeColor="text1"/>
          <w:sz w:val="24"/>
          <w:szCs w:val="24"/>
        </w:rPr>
        <w:lastRenderedPageBreak/>
        <w:t>mentioned included the vulnerability of small businesses to economic failure because of challenges related to business and managerial skills, access to finance and macroeconomic policy.</w:t>
      </w:r>
    </w:p>
    <w:p w14:paraId="1D87E588" w14:textId="77777777" w:rsidR="00472922" w:rsidRPr="00831711" w:rsidRDefault="00B5152B">
      <w:pPr>
        <w:shd w:val="clear" w:color="auto" w:fill="FFFFFF"/>
        <w:spacing w:before="274" w:after="274"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Following the creation of the Small and Medium Enterprise Development Agency of Nigeria (SMEDAN) in 2003, the level of entrepreneurship and the contribution of business activities to the economy increased. While substantial funds have been injected into entrepreneurial skills development, the economy has remained volatile, Nigeria has not created an investor-friendly environment, and the economic growth rate has not improved consistently. Growth increased from 5% in 2000 to 8% in 2010 and fell to -1.8 in 2020, mainly because of the COVID-19 pandemic, resulting in economic contraction. Given this context, this research focuses on the effect of entrepreneurship on economic growth in Nigeria.</w:t>
      </w:r>
    </w:p>
    <w:p w14:paraId="017D59BE" w14:textId="77777777" w:rsidR="00472922" w:rsidRPr="00831711" w:rsidRDefault="00B5152B">
      <w:pPr>
        <w:shd w:val="clear" w:color="auto" w:fill="FFFFFF"/>
        <w:spacing w:before="274" w:after="274"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New business density is one of the most popular indicators of entrepreneurship because it measures the rate of formal business formation, reflecting entrepreneurial dynamism, innovation, investment confidence and the quality of the business environment (World Bank, 2023). According to the Innovation Theory (Schumpeter, 1934) and the Economic Theory of Entrepreneurship (Harris, 1971; Papanek, 1962), favourable economic conditions support entrepreneurial efforts that increase productivity and economic growth. Most studies in Nigeria, however, have been based on primary survey data and have focused on SME financing, entrepreneurship programmes or employment, while empirical evidence on the impact of new business density on economic growth in Nigeria remains limited. </w:t>
      </w:r>
      <w:r w:rsidRPr="00831711">
        <w:rPr>
          <w:rFonts w:ascii="Times New Roman" w:eastAsia="Times New Roman" w:hAnsi="Times New Roman" w:cs="Times New Roman"/>
          <w:b/>
          <w:color w:val="000000" w:themeColor="text1"/>
          <w:sz w:val="24"/>
          <w:szCs w:val="24"/>
        </w:rPr>
        <w:t xml:space="preserve">Recent cross-country evidence indicates that regulatory and institutional conditions can influence progression into new entrepreneurship and formal business entry, reinforcing the importance of the business environment when interpreting formal start-up indicators (Alvarez et al., 2025; Bilan &amp; Apostoaie, 2025). The distinction between formal and informal entrepreneurial entry further suggests that registered-firm measures capture only one segment of entrepreneurial activity (Estrin et al., 2024). In Nigeria, evidence also links ease-of-doing-business conditions with entrepreneurial growth and microfinance with small-business development, highlighting the relevance of the operating and financing environment to enterprise performance (Odiche, 2023; Ogbonna et al., 2024). Accordingly, a specific empirical gap remains regarding whether new business density is associated with Nigeria's </w:t>
      </w:r>
      <w:r w:rsidRPr="00831711">
        <w:rPr>
          <w:rFonts w:ascii="Times New Roman" w:eastAsia="Times New Roman" w:hAnsi="Times New Roman" w:cs="Times New Roman"/>
          <w:b/>
          <w:color w:val="000000" w:themeColor="text1"/>
          <w:sz w:val="24"/>
          <w:szCs w:val="24"/>
        </w:rPr>
        <w:lastRenderedPageBreak/>
        <w:t xml:space="preserve">economic growth differently in the short run and the long run within a single ARDL framework. </w:t>
      </w:r>
      <w:r w:rsidRPr="00831711">
        <w:rPr>
          <w:rFonts w:ascii="Times New Roman" w:eastAsia="Times New Roman" w:hAnsi="Times New Roman" w:cs="Times New Roman"/>
          <w:color w:val="000000" w:themeColor="text1"/>
          <w:sz w:val="24"/>
          <w:szCs w:val="24"/>
        </w:rPr>
        <w:t xml:space="preserve">The study attempts to fill this gap by examining the long- and short-run impacts of new business density on economic growth in Nigeria using the autoregressive distributed lag (ARDL) modelling technique to provide empirical evidence to guide entrepreneurship policy and enterprise development. </w:t>
      </w:r>
    </w:p>
    <w:p w14:paraId="40E87E81" w14:textId="77777777" w:rsidR="00472922" w:rsidRPr="00831711" w:rsidRDefault="00B5152B">
      <w:pPr>
        <w:pStyle w:val="Heading2"/>
        <w:spacing w:after="0"/>
        <w:rPr>
          <w:color w:val="000000" w:themeColor="text1"/>
          <w:sz w:val="24"/>
          <w:szCs w:val="24"/>
        </w:rPr>
      </w:pPr>
      <w:r w:rsidRPr="00831711">
        <w:rPr>
          <w:color w:val="000000" w:themeColor="text1"/>
          <w:sz w:val="24"/>
          <w:szCs w:val="24"/>
        </w:rPr>
        <w:t>2.0 Literature Review</w:t>
      </w:r>
    </w:p>
    <w:p w14:paraId="3249E259" w14:textId="77777777" w:rsidR="00472922" w:rsidRPr="00831711" w:rsidRDefault="00B5152B">
      <w:pPr>
        <w:pStyle w:val="Heading3"/>
        <w:spacing w:before="0" w:line="240" w:lineRule="auto"/>
        <w:rPr>
          <w:rFonts w:ascii="Times New Roman" w:eastAsia="Times New Roman" w:hAnsi="Times New Roman" w:cs="Times New Roman"/>
          <w:i/>
          <w:iCs/>
          <w:color w:val="000000" w:themeColor="text1"/>
          <w:sz w:val="24"/>
          <w:szCs w:val="24"/>
        </w:rPr>
      </w:pPr>
      <w:r w:rsidRPr="00831711">
        <w:rPr>
          <w:rFonts w:ascii="Times New Roman" w:eastAsia="Times New Roman" w:hAnsi="Times New Roman" w:cs="Times New Roman"/>
          <w:i/>
          <w:iCs/>
          <w:color w:val="000000" w:themeColor="text1"/>
          <w:sz w:val="24"/>
          <w:szCs w:val="24"/>
        </w:rPr>
        <w:t>2.1 Conceptual Review</w:t>
      </w:r>
    </w:p>
    <w:p w14:paraId="577D3A36" w14:textId="77777777" w:rsidR="00472922" w:rsidRPr="00831711" w:rsidRDefault="00B5152B">
      <w:pPr>
        <w:pStyle w:val="Heading3"/>
        <w:spacing w:after="200" w:line="360" w:lineRule="auto"/>
        <w:rPr>
          <w:rFonts w:ascii="Times New Roman" w:eastAsia="Times New Roman" w:hAnsi="Times New Roman" w:cs="Times New Roman"/>
          <w:i/>
          <w:iCs/>
          <w:color w:val="000000" w:themeColor="text1"/>
          <w:sz w:val="24"/>
          <w:szCs w:val="24"/>
        </w:rPr>
      </w:pPr>
      <w:r w:rsidRPr="00831711">
        <w:rPr>
          <w:rFonts w:ascii="Times New Roman" w:eastAsia="Times New Roman" w:hAnsi="Times New Roman" w:cs="Times New Roman"/>
          <w:i/>
          <w:iCs/>
          <w:color w:val="000000" w:themeColor="text1"/>
          <w:sz w:val="24"/>
          <w:szCs w:val="24"/>
        </w:rPr>
        <w:t>New Business Density</w:t>
      </w:r>
    </w:p>
    <w:p w14:paraId="7A2F0733" w14:textId="77777777" w:rsidR="00472922" w:rsidRPr="00831711" w:rsidRDefault="00B5152B">
      <w:pPr>
        <w:spacing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The number of new businesses, typically defined by the number of new limited liability companies per 1,000 working-age adults, is a well-established measure of entrepreneurial activity because it captures the creation of new businesses in the formal sector and its relationship with business dynamism, investor confidence and the quality of the business environment (World Bank, 2023). More new businesses per person may also lead to increases in innovation, job creation, productivity and economic formalisation because they allow companies to access finance, government assistance and broader markets (OECD, 2021). In developing economies, however, regulatory barriers, poor infrastructure, weak institutions, political instability and lack of access to finance may limit the ability to register businesses. Despite reforms in the country, such as online company registration and the simplification of company-incorporation procedures through the Corporate Affairs Commission (CAC), these structural challenges persist and continue to hinder formal business creation. Therefore, continued efforts to improve the business climate are critical to increasing new business density and strengthening its role in sustainable economic development.</w:t>
      </w:r>
    </w:p>
    <w:p w14:paraId="79342AB5" w14:textId="77777777" w:rsidR="00472922" w:rsidRPr="00831711" w:rsidRDefault="00B5152B">
      <w:pPr>
        <w:spacing w:line="360" w:lineRule="auto"/>
        <w:jc w:val="both"/>
        <w:rPr>
          <w:rFonts w:ascii="Times New Roman" w:eastAsia="Times New Roman" w:hAnsi="Times New Roman" w:cs="Times New Roman"/>
          <w:i/>
          <w:iCs/>
          <w:color w:val="000000" w:themeColor="text1"/>
          <w:sz w:val="24"/>
          <w:szCs w:val="24"/>
        </w:rPr>
      </w:pPr>
      <w:r w:rsidRPr="00831711">
        <w:rPr>
          <w:rFonts w:ascii="Times New Roman" w:eastAsia="Times New Roman" w:hAnsi="Times New Roman" w:cs="Times New Roman"/>
          <w:b/>
          <w:bCs/>
          <w:i/>
          <w:iCs/>
          <w:color w:val="000000" w:themeColor="text1"/>
          <w:sz w:val="24"/>
          <w:szCs w:val="24"/>
        </w:rPr>
        <w:t>Economic Growth</w:t>
      </w:r>
    </w:p>
    <w:p w14:paraId="61575345" w14:textId="77777777" w:rsidR="00472922" w:rsidRPr="00831711" w:rsidRDefault="00B5152B">
      <w:pPr>
        <w:pBdr>
          <w:top w:val="nil"/>
          <w:left w:val="nil"/>
          <w:bottom w:val="nil"/>
          <w:right w:val="nil"/>
          <w:between w:val="nil"/>
        </w:pBdr>
        <w:spacing w:before="280"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Economic growth is an increase in the productive capacity of the economy over time, as measured by rising levels of national output, income, jobs and living standards (Haller, 2012; Todaro &amp; Smith, 2020). It is caused by factors such as capital accumulation, technological advancement, human capital accumulation, institutional quality and entrepreneurship, among which innovation and knowledge production are emphasised by endogenous growth theory, which argues that the creation of new knowledge is one of the most important factors affecting </w:t>
      </w:r>
      <w:r w:rsidRPr="00831711">
        <w:rPr>
          <w:rFonts w:ascii="Times New Roman" w:eastAsia="Times New Roman" w:hAnsi="Times New Roman" w:cs="Times New Roman"/>
          <w:color w:val="000000" w:themeColor="text1"/>
          <w:sz w:val="24"/>
          <w:szCs w:val="24"/>
        </w:rPr>
        <w:lastRenderedPageBreak/>
        <w:t>long-run growth (Lucas, 1988; Romer, 1986). The most widely accepted measure of economic growth in empirical studies is the growth rate of aggregate output represented by real Gross Domestic Product (GDP).</w:t>
      </w:r>
    </w:p>
    <w:p w14:paraId="6E225F19" w14:textId="77777777" w:rsidR="00472922" w:rsidRPr="00831711" w:rsidRDefault="00B5152B">
      <w:pPr>
        <w:shd w:val="clear" w:color="auto" w:fill="FFFFFF"/>
        <w:spacing w:before="274" w:line="360" w:lineRule="auto"/>
        <w:jc w:val="both"/>
        <w:rPr>
          <w:rFonts w:ascii="Times New Roman" w:eastAsia="Times New Roman" w:hAnsi="Times New Roman" w:cs="Times New Roman"/>
          <w:b/>
          <w:bCs/>
          <w:i/>
          <w:iCs/>
          <w:color w:val="000000" w:themeColor="text1"/>
          <w:sz w:val="24"/>
          <w:szCs w:val="24"/>
        </w:rPr>
      </w:pPr>
      <w:r w:rsidRPr="00831711">
        <w:rPr>
          <w:rFonts w:ascii="Times New Roman" w:eastAsia="Times New Roman" w:hAnsi="Times New Roman" w:cs="Times New Roman"/>
          <w:b/>
          <w:bCs/>
          <w:i/>
          <w:iCs/>
          <w:color w:val="000000" w:themeColor="text1"/>
          <w:sz w:val="24"/>
          <w:szCs w:val="24"/>
        </w:rPr>
        <w:t xml:space="preserve">2.2 Theoretical Framework </w:t>
      </w:r>
    </w:p>
    <w:p w14:paraId="37A7248A" w14:textId="77777777" w:rsidR="00472922" w:rsidRPr="00831711" w:rsidRDefault="00B5152B">
      <w:pPr>
        <w:shd w:val="clear" w:color="auto" w:fill="FFFFFF"/>
        <w:spacing w:before="274"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The Economic Theory of Entrepreneurship and the Endogenous Growth Theory are the two theories on which this study is based. Papanek (1962) and Harris (1971) advanced the Economic Theory of Entrepreneurship, which suggests that entrepreneurial behaviour is motivated by economic incentives and favourable macroeconomic factors, such as access to bank credit, capital formation, the availability of loanable funds at low interest rates, increased consumer demand, the availability of productive resources and the effectiveness of fiscal and monetary policies. The theory's analytical power stems from its clear focus on the importance of an economic environment that enables entrepreneurship to flourish, with capital formation, credit availability and macroeconomic stability all being directly relevant to the operationalisation of entrepreneurship in the study through gross capital formation, new business density and labour force participation. On the other hand, the Endogenous Growth Theory advanced by Arrow (1962), Romer (1986) and Lucas (1988) has been offered to account for long-run economic growth, namely the increased benefits of investment in human capital, research and development, and technological innovation, which create growing returns and spillovers (Romer, 1994). The theory incorporates human capital, governance and institutional quality into the growth equation and thus offers a theoretical rationale for examining literacy rate as a proxy for human capital development and labour force participation as a measure of productive capacity.</w:t>
      </w:r>
    </w:p>
    <w:p w14:paraId="22318FB0" w14:textId="77777777" w:rsidR="00472922" w:rsidRPr="00831711" w:rsidRDefault="00B5152B">
      <w:pPr>
        <w:shd w:val="clear" w:color="auto" w:fill="FFFFFF"/>
        <w:spacing w:before="274" w:after="274" w:line="360" w:lineRule="auto"/>
        <w:jc w:val="both"/>
        <w:rPr>
          <w:rFonts w:ascii="Times New Roman" w:eastAsia="Times New Roman" w:hAnsi="Times New Roman" w:cs="Times New Roman"/>
          <w:b/>
          <w:bCs/>
          <w:color w:val="000000" w:themeColor="text1"/>
          <w:sz w:val="24"/>
          <w:szCs w:val="24"/>
        </w:rPr>
      </w:pPr>
      <w:r w:rsidRPr="00831711">
        <w:rPr>
          <w:rFonts w:ascii="Times New Roman" w:eastAsia="Times New Roman" w:hAnsi="Times New Roman" w:cs="Times New Roman"/>
          <w:color w:val="000000" w:themeColor="text1"/>
          <w:sz w:val="24"/>
          <w:szCs w:val="24"/>
        </w:rPr>
        <w:t xml:space="preserve">The theories are complementary, enabling them to provide a comprehensive analytical framework at both the micro-level of entrepreneurial processes (economic theory) and the macro-level of growth dynamics (endogenous growth theory). Both theories clearly identify the key roles of capital accumulation, labour utilisation and knowledge building in economic performance. The theories are applicable to the Nigerian environment, as various structural factors, such as poor infrastructure, credit constraints and institutional quality, have inhibited entrepreneurial development in the country. The Endogenous Growth Theory's policy emphasis offers a theoretical foundation for policy recommendations, while the economic theory of </w:t>
      </w:r>
      <w:r w:rsidRPr="00831711">
        <w:rPr>
          <w:rFonts w:ascii="Times New Roman" w:eastAsia="Times New Roman" w:hAnsi="Times New Roman" w:cs="Times New Roman"/>
          <w:color w:val="000000" w:themeColor="text1"/>
          <w:sz w:val="24"/>
          <w:szCs w:val="24"/>
        </w:rPr>
        <w:lastRenderedPageBreak/>
        <w:t>entrepreneurship's treatment of economic incentives describes the patterns of entrepreneurial activity observed under various economic conditions. The theories provide a strong basis for understanding the linkage between entrepreneurship and economic growth in Nigeria, including the enabling factors that foster entrepreneurship and the trajectory through which this activity leads to sustained economic growth.</w:t>
      </w:r>
    </w:p>
    <w:p w14:paraId="62620656" w14:textId="77777777" w:rsidR="00472922" w:rsidRPr="00831711" w:rsidRDefault="00B5152B">
      <w:pPr>
        <w:pStyle w:val="Heading2"/>
        <w:rPr>
          <w:i/>
          <w:iCs/>
          <w:color w:val="000000" w:themeColor="text1"/>
          <w:sz w:val="24"/>
          <w:szCs w:val="24"/>
        </w:rPr>
      </w:pPr>
      <w:r w:rsidRPr="00831711">
        <w:rPr>
          <w:i/>
          <w:iCs/>
          <w:color w:val="000000" w:themeColor="text1"/>
          <w:sz w:val="24"/>
          <w:szCs w:val="24"/>
        </w:rPr>
        <w:t>2.3 Empirical Review</w:t>
      </w:r>
    </w:p>
    <w:p w14:paraId="659A024F" w14:textId="77777777" w:rsidR="0040575B" w:rsidRPr="00831711" w:rsidRDefault="0040575B" w:rsidP="0040575B">
      <w:pPr>
        <w:jc w:val="both"/>
        <w:rPr>
          <w:rFonts w:ascii="Times New Roman" w:hAnsi="Times New Roman" w:cs="Times New Roman"/>
          <w:color w:val="000000" w:themeColor="text1"/>
          <w:sz w:val="24"/>
          <w:szCs w:val="24"/>
          <w:shd w:val="clear" w:color="auto" w:fill="FFFFFF"/>
        </w:rPr>
      </w:pPr>
      <w:r w:rsidRPr="00831711">
        <w:rPr>
          <w:rFonts w:ascii="Times New Roman" w:hAnsi="Times New Roman" w:cs="Times New Roman"/>
          <w:color w:val="000000" w:themeColor="text1"/>
          <w:sz w:val="24"/>
          <w:szCs w:val="24"/>
          <w:shd w:val="clear" w:color="auto" w:fill="FFFFFF"/>
        </w:rPr>
        <w:t>Using data from 14 countries with the highest new business density, Cakiroglu et al. (2025) investigated the nexus between carbon dioxide (CO</w:t>
      </w:r>
      <w:r w:rsidRPr="00831711">
        <w:rPr>
          <w:rFonts w:ascii="Times New Roman" w:hAnsi="Times New Roman" w:cs="Times New Roman"/>
          <w:color w:val="000000" w:themeColor="text1"/>
          <w:sz w:val="24"/>
          <w:szCs w:val="24"/>
          <w:shd w:val="clear" w:color="auto" w:fill="FFFFFF"/>
          <w:vertAlign w:val="subscript"/>
        </w:rPr>
        <w:t>2</w:t>
      </w:r>
      <w:r w:rsidRPr="00831711">
        <w:rPr>
          <w:rFonts w:ascii="Times New Roman" w:hAnsi="Times New Roman" w:cs="Times New Roman"/>
          <w:color w:val="000000" w:themeColor="text1"/>
          <w:sz w:val="24"/>
          <w:szCs w:val="24"/>
          <w:shd w:val="clear" w:color="auto" w:fill="FFFFFF"/>
        </w:rPr>
        <w:t>) emissions and new business density in Cyprus, Hong Kong, Estonia, Malta, the United Kingdom, New Zealand, Australia, Iceland, Botswana, Mauritius, Latvia, Norway, Georgia and Sweden from 2006 to 2020. The paper applied the Method of Moments Quantile Regression approach. The findings indicated that increased CO</w:t>
      </w:r>
      <w:r w:rsidRPr="00831711">
        <w:rPr>
          <w:rFonts w:ascii="Times New Roman" w:hAnsi="Times New Roman" w:cs="Times New Roman"/>
          <w:color w:val="000000" w:themeColor="text1"/>
          <w:sz w:val="24"/>
          <w:szCs w:val="24"/>
          <w:shd w:val="clear" w:color="auto" w:fill="FFFFFF"/>
          <w:vertAlign w:val="subscript"/>
        </w:rPr>
        <w:t>2</w:t>
      </w:r>
      <w:r w:rsidRPr="00831711">
        <w:rPr>
          <w:rFonts w:ascii="Times New Roman" w:hAnsi="Times New Roman" w:cs="Times New Roman"/>
          <w:color w:val="000000" w:themeColor="text1"/>
          <w:sz w:val="24"/>
          <w:szCs w:val="24"/>
          <w:shd w:val="clear" w:color="auto" w:fill="FFFFFF"/>
        </w:rPr>
        <w:t xml:space="preserve"> emissions were associated with countries with higher NBD. An inverted U-shaped relationship between economic growth and environmental degradation was also found, and renewable energy consumption and population growth were reported to mitigate the effect on CO</w:t>
      </w:r>
      <w:r w:rsidRPr="00831711">
        <w:rPr>
          <w:rFonts w:ascii="Times New Roman" w:hAnsi="Times New Roman" w:cs="Times New Roman"/>
          <w:color w:val="000000" w:themeColor="text1"/>
          <w:sz w:val="24"/>
          <w:szCs w:val="24"/>
          <w:shd w:val="clear" w:color="auto" w:fill="FFFFFF"/>
          <w:vertAlign w:val="subscript"/>
        </w:rPr>
        <w:t>2</w:t>
      </w:r>
      <w:r w:rsidRPr="00831711">
        <w:rPr>
          <w:rFonts w:ascii="Times New Roman" w:hAnsi="Times New Roman" w:cs="Times New Roman"/>
          <w:color w:val="000000" w:themeColor="text1"/>
          <w:sz w:val="24"/>
          <w:szCs w:val="24"/>
          <w:shd w:val="clear" w:color="auto" w:fill="FFFFFF"/>
        </w:rPr>
        <w:t xml:space="preserve"> emissions.</w:t>
      </w:r>
    </w:p>
    <w:p w14:paraId="60576E35" w14:textId="77777777" w:rsidR="0040575B" w:rsidRPr="00831711" w:rsidRDefault="0040575B" w:rsidP="0040575B">
      <w:pPr>
        <w:jc w:val="both"/>
        <w:rPr>
          <w:rFonts w:ascii="Times New Roman" w:hAnsi="Times New Roman" w:cs="Times New Roman"/>
          <w:color w:val="000000" w:themeColor="text1"/>
          <w:sz w:val="24"/>
          <w:szCs w:val="24"/>
          <w:shd w:val="clear" w:color="auto" w:fill="FFFFFF"/>
        </w:rPr>
      </w:pPr>
      <w:r w:rsidRPr="00831711">
        <w:rPr>
          <w:rFonts w:ascii="Times New Roman" w:hAnsi="Times New Roman" w:cs="Times New Roman"/>
          <w:color w:val="000000" w:themeColor="text1"/>
          <w:sz w:val="24"/>
          <w:szCs w:val="24"/>
          <w:shd w:val="clear" w:color="auto" w:fill="FFFFFF"/>
        </w:rPr>
        <w:t>International Monetary Fund [IMF] (2024) investigated the importance of entrepreneurship, private-sector development and structural reforms for sustainable economic growth in Sub-Saharan Africa. The study confirmed that, with sound macroeconomic policies, an improved financial sector and human capital, entrepreneurship plays a crucial role in long-term economic growth, based on cross-country macroeconomic analysis and panel econometric estimation. The results also revealed that weak institutions, restricted access to financial resources and macroeconomic instability significantly diminish the positive impact of entrepreneurship on growth.</w:t>
      </w:r>
    </w:p>
    <w:p w14:paraId="152BDB78" w14:textId="77777777" w:rsidR="0040575B" w:rsidRPr="00831711" w:rsidRDefault="0040575B" w:rsidP="0040575B">
      <w:pPr>
        <w:jc w:val="both"/>
        <w:rPr>
          <w:rFonts w:ascii="Times New Roman" w:hAnsi="Times New Roman" w:cs="Times New Roman"/>
          <w:color w:val="000000" w:themeColor="text1"/>
          <w:sz w:val="24"/>
          <w:szCs w:val="24"/>
          <w:shd w:val="clear" w:color="auto" w:fill="FFFFFF"/>
        </w:rPr>
      </w:pPr>
      <w:r w:rsidRPr="00831711">
        <w:rPr>
          <w:rFonts w:ascii="Times New Roman" w:hAnsi="Times New Roman" w:cs="Times New Roman"/>
          <w:color w:val="000000" w:themeColor="text1"/>
          <w:sz w:val="24"/>
          <w:szCs w:val="24"/>
          <w:shd w:val="clear" w:color="auto" w:fill="FFFFFF"/>
        </w:rPr>
        <w:t>World Bank (2023) evaluated the correlation between the number of businesses and economic development in developing economies, with a specific focus on Africa. Applying panel regression methods, the study concluded that higher new business density had a positive impact on private-sector development, investment inflows and economic robustness. The research also showed, however, that the benefits of business creation for economic growth were dependent on institutional quality, the efficiency of regulatory processes and access to finance.</w:t>
      </w:r>
    </w:p>
    <w:p w14:paraId="4E8F59DE" w14:textId="77777777" w:rsidR="0040575B" w:rsidRPr="00831711" w:rsidRDefault="0040575B" w:rsidP="0040575B">
      <w:pPr>
        <w:jc w:val="both"/>
        <w:rPr>
          <w:rFonts w:ascii="Times New Roman" w:hAnsi="Times New Roman" w:cs="Times New Roman"/>
          <w:color w:val="000000" w:themeColor="text1"/>
          <w:sz w:val="24"/>
          <w:szCs w:val="24"/>
          <w:shd w:val="clear" w:color="auto" w:fill="FFFFFF"/>
        </w:rPr>
      </w:pPr>
      <w:r w:rsidRPr="00831711">
        <w:rPr>
          <w:rFonts w:ascii="Times New Roman" w:hAnsi="Times New Roman" w:cs="Times New Roman"/>
          <w:color w:val="000000" w:themeColor="text1"/>
          <w:sz w:val="24"/>
          <w:szCs w:val="24"/>
          <w:shd w:val="clear" w:color="auto" w:fill="FFFFFF"/>
        </w:rPr>
        <w:t>The contribution of business creation and entrepreneurial ecosystems to productivity and employment growth among OECD and partner countries was analysed by the OECD (2021). Using comparative cross-country descriptive and econometric analysis, it was found that economies with more robust business registration systems, greater availability of financing and favourable entrepreneurship policies had higher rates of firm formation, innovation, employment creation and productivity growth. The report found that policy changes that significantly enhance the entrepreneurial environment have a positive impact on long-run economic performance.</w:t>
      </w:r>
    </w:p>
    <w:p w14:paraId="6C777A3B" w14:textId="77777777" w:rsidR="0040575B" w:rsidRPr="00831711" w:rsidRDefault="0040575B" w:rsidP="0040575B">
      <w:pPr>
        <w:jc w:val="both"/>
        <w:rPr>
          <w:rFonts w:ascii="Times New Roman" w:hAnsi="Times New Roman" w:cs="Times New Roman"/>
          <w:color w:val="000000" w:themeColor="text1"/>
          <w:sz w:val="24"/>
          <w:szCs w:val="24"/>
          <w:shd w:val="clear" w:color="auto" w:fill="FFFFFF"/>
        </w:rPr>
      </w:pPr>
      <w:r w:rsidRPr="00831711">
        <w:rPr>
          <w:rFonts w:ascii="Times New Roman" w:hAnsi="Times New Roman" w:cs="Times New Roman"/>
          <w:color w:val="000000" w:themeColor="text1"/>
          <w:sz w:val="24"/>
          <w:szCs w:val="24"/>
          <w:shd w:val="clear" w:color="auto" w:fill="FFFFFF"/>
        </w:rPr>
        <w:lastRenderedPageBreak/>
        <w:t>Adeosun and Shittu (2022) examined the nexus between entrepreneurship through small and medium enterprise (SME) business formation and Nigeria's economic growth from 1990 to 2016. Utilising Johansen cointegration and error correction model techniques, the findings revealed that increased SME formation resulted in economic growth, although the increasing number of SMEs did not contribute to economic development to the same extent as existing businesses. Employment elasticity positively and significantly contributed to reducing unemployment and advancing economic growth.</w:t>
      </w:r>
    </w:p>
    <w:p w14:paraId="3E990871" w14:textId="77777777" w:rsidR="0040575B" w:rsidRPr="00831711" w:rsidRDefault="0040575B" w:rsidP="0040575B">
      <w:pPr>
        <w:shd w:val="clear" w:color="auto" w:fill="FFFFFF"/>
        <w:spacing w:before="274" w:after="274" w:line="360" w:lineRule="auto"/>
        <w:jc w:val="both"/>
        <w:rPr>
          <w:rFonts w:ascii="Times New Roman" w:hAnsi="Times New Roman" w:cs="Times New Roman"/>
          <w:color w:val="000000" w:themeColor="text1"/>
          <w:sz w:val="24"/>
          <w:szCs w:val="24"/>
          <w:shd w:val="clear" w:color="auto" w:fill="FFFFFF"/>
        </w:rPr>
      </w:pPr>
      <w:r w:rsidRPr="00831711">
        <w:rPr>
          <w:rFonts w:ascii="Times New Roman" w:hAnsi="Times New Roman" w:cs="Times New Roman"/>
          <w:color w:val="000000" w:themeColor="text1"/>
          <w:sz w:val="24"/>
          <w:szCs w:val="24"/>
          <w:shd w:val="clear" w:color="auto" w:fill="FFFFFF"/>
        </w:rPr>
        <w:t>Acs et al. (2018) analysed the link between the quality of entrepreneurial ecosystems and productive entrepreneurship in developed and emerging economies. Using panel data from the Global Entrepreneurship Monitor (GEM) and fixed-effects panel regression analysis, the study found that the quality of the entrepreneurial ecosystem had a significant impact on the level of productive entrepreneurial activity, innovation and long-run growth. The findings also showed that institutional quality, firm innovativeness and the capacity to create new businesses were each related to national productivity and sustainable economic development.</w:t>
      </w:r>
    </w:p>
    <w:p w14:paraId="0FE5BD2E" w14:textId="77777777" w:rsidR="00472922" w:rsidRPr="00831711" w:rsidRDefault="00B5152B" w:rsidP="0040575B">
      <w:pPr>
        <w:shd w:val="clear" w:color="auto" w:fill="FFFFFF"/>
        <w:spacing w:before="274" w:after="274"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Ussif and Salifu (2020) studied the role of SMEs in the economic development of Sub-Saharan countries with regard to job creation and access to credit. The research used data from 200 respondents across the three countries of Ghana, Nigeria and Togo and was analysed with SPSS using statistical tools such as tables, charts, frequencies and percentages. The findings showed that SMEs contributed significantly to job creation, GDP generation, poverty reduction, women's empowerment and support for large companies. Roopchund (2020) conducted a descriptive analysis of SMEs' contribution to the Mauritian economy using macroeconomic variables such as economic growth rates, unemployment and SME growth rates. The findings indicated that, between 2007 and 2013, SME employment grew by 15%, from 229,700 to 264,900, and the SME contribution to total employment rose from 46% to 48%.</w:t>
      </w:r>
    </w:p>
    <w:p w14:paraId="7B97574A" w14:textId="77777777" w:rsidR="00472922" w:rsidRPr="00831711" w:rsidRDefault="00B5152B">
      <w:pPr>
        <w:shd w:val="clear" w:color="auto" w:fill="FFFFFF"/>
        <w:spacing w:before="274" w:after="274"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Ihejiamaizu (2019) examined the role of entrepreneurship in rural development in Cross River State, Nigeria, using the Keynesian Classical Theory approach. Primary data were collected using a survey research design with cluster sampling and simple random sampling techniques and self-administered four-point Likert-scale questionnaires. It was found that entrepreneurship was a key determinant of rural economic development, leading to improved living standards, employment creation, poverty alleviation, utilisation of local resources and a decrease in rural-urban migration. Farouq and Dadwal (2018) studied the effect of entrepreneurship on economic </w:t>
      </w:r>
      <w:r w:rsidRPr="00831711">
        <w:rPr>
          <w:rFonts w:ascii="Times New Roman" w:eastAsia="Times New Roman" w:hAnsi="Times New Roman" w:cs="Times New Roman"/>
          <w:color w:val="000000" w:themeColor="text1"/>
          <w:sz w:val="24"/>
          <w:szCs w:val="24"/>
        </w:rPr>
        <w:lastRenderedPageBreak/>
        <w:t>growth in the United Kingdom and developed a regression model in which the dependent variable was the annual change in GDP per capita. The analysis identified the unemployment rate as the most important variable negatively influencing economic growth. The study concluded that entrepreneurship had no significant influence on economic growth.</w:t>
      </w:r>
    </w:p>
    <w:p w14:paraId="77FC99F5" w14:textId="77777777" w:rsidR="00472922" w:rsidRPr="00831711" w:rsidRDefault="00B5152B">
      <w:pPr>
        <w:shd w:val="clear" w:color="auto" w:fill="FFFFFF"/>
        <w:spacing w:before="274" w:after="274"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Ogunlana (2018) also investigated the role of entrepreneurship in economic growth, employing the narrative-textual case study approach and simple percentages to analyse responses to self-designed questionnaires. The study revealed that entrepreneurship played an important role in achieving economic growth, employment, innovation, diversification of economic revenue sources, production and SME development. Eze and Okpala (2015) used multiple regression with the ordinary least squares (OLS) method to quantitatively examine the effects of SMEs on Nigeria's economic growth for the period 1993–2011. The Johansen cointegration test showed evidence of a long-run equilibrium relationship between SMEs and economic growth. The findings, however, revealed that SMEs' contribution to Nigeria's economic growth was insignificant.</w:t>
      </w:r>
    </w:p>
    <w:p w14:paraId="30AB3162" w14:textId="77777777" w:rsidR="00472922" w:rsidRPr="00831711" w:rsidRDefault="00B5152B">
      <w:pPr>
        <w:shd w:val="clear" w:color="auto" w:fill="FFFFFF"/>
        <w:spacing w:before="274" w:after="274"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Diyoke (2014) studied entrepreneurship development in Nigeria and the challenges facing the growth of private businesses in Nigeria. Primary data were analysed using mean scores and percentages, while secondary data were analysed using the chi-square test. The results showed that, apart from lack of funds and management skills, epileptic power supply, violent clashes, kidnapping and poor road networks were also problems. Afolabi (2015), using the narrative-textual case study method, examined the impact of entrepreneurship on economic growth and development in Nigeria. The research revealed that, in the preceding decade, Nigeria's economy had improved, with the real GDP growth rate in the region of 7%, indicating that entrepreneurship could contribute to economic improvement by enhancing employment generation and promoting the development of MSMEs.</w:t>
      </w:r>
    </w:p>
    <w:p w14:paraId="32924D4D" w14:textId="77777777" w:rsidR="00472922" w:rsidRPr="00831711" w:rsidRDefault="00B5152B">
      <w:pPr>
        <w:shd w:val="clear" w:color="auto" w:fill="FFFFFF"/>
        <w:spacing w:before="274" w:after="274"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Ilegbinosa and Jumbo (2015) employed OLS, cointegration and error correction models to analyse the contribution of new and existing enterprises to economic growth from 1970 to 2012. The variables used were GDP (dependent variable) and finance availability, interest rate and inflation rate (independent variables). The results indicated that finance availability had a positive relationship with economic growth, interest rate had a negative relationship with </w:t>
      </w:r>
      <w:r w:rsidRPr="00831711">
        <w:rPr>
          <w:rFonts w:ascii="Times New Roman" w:eastAsia="Times New Roman" w:hAnsi="Times New Roman" w:cs="Times New Roman"/>
          <w:color w:val="000000" w:themeColor="text1"/>
          <w:sz w:val="24"/>
          <w:szCs w:val="24"/>
        </w:rPr>
        <w:lastRenderedPageBreak/>
        <w:t>economic growth, and inflation rate had a positive relationship with economic growth. Chughtai (2014) studied the impact of business enterprises using two linear regression equations for Pakistan from 1981 to 2013, focusing on the impact of process innovation on SMEs and economic growth. The findings revealed that process innovation was positive and statistically significant and was positively correlated with SME growth, implying a positive and significant relationship between process innovation and SME growth.</w:t>
      </w:r>
    </w:p>
    <w:p w14:paraId="31AC4E80" w14:textId="77777777" w:rsidR="00472922" w:rsidRPr="00831711" w:rsidRDefault="00B5152B">
      <w:pPr>
        <w:pBdr>
          <w:top w:val="nil"/>
          <w:left w:val="nil"/>
          <w:bottom w:val="nil"/>
          <w:right w:val="nil"/>
          <w:between w:val="nil"/>
        </w:pBdr>
        <w:spacing w:before="280"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Gerçeker et al. (2014) examined the relationship between entrepreneurship and economic growth between 1988 and 2012. Incorporating control variables such as employment and savings, the study applied the ARDL technique. The bounds test results indicated a positive and significant long-run relationship between economic growth and entrepreneurship. Most previous studies measured entrepreneurship using indicators other than new business density, relied largely on primary data, and produced inconsistent findings because of differences in methodology and measurement. Few studies have specifically investigated the effect of new business density on economic growth in Nigeria using the Autoregressive Distributed Lag (ARDL) framework, which is capable of estimating both short-run and long-run dynamics.</w:t>
      </w:r>
    </w:p>
    <w:p w14:paraId="3A4C61F0" w14:textId="77777777" w:rsidR="00472922" w:rsidRPr="00831711" w:rsidRDefault="00B5152B">
      <w:pPr>
        <w:spacing w:before="280" w:line="360" w:lineRule="auto"/>
        <w:rPr>
          <w:rFonts w:ascii="Times New Roman" w:eastAsia="Times New Roman" w:hAnsi="Times New Roman" w:cs="Times New Roman"/>
          <w:b/>
          <w:bCs/>
          <w:color w:val="000000" w:themeColor="text1"/>
          <w:sz w:val="24"/>
          <w:szCs w:val="24"/>
        </w:rPr>
      </w:pPr>
      <w:r w:rsidRPr="00831711">
        <w:rPr>
          <w:rFonts w:ascii="Times New Roman" w:eastAsia="Times New Roman" w:hAnsi="Times New Roman" w:cs="Times New Roman"/>
          <w:b/>
          <w:bCs/>
          <w:color w:val="000000" w:themeColor="text1"/>
          <w:sz w:val="24"/>
          <w:szCs w:val="24"/>
        </w:rPr>
        <w:t>3.0 Methodology</w:t>
      </w:r>
    </w:p>
    <w:p w14:paraId="1F55FB12" w14:textId="77777777" w:rsidR="00472922" w:rsidRPr="00831711" w:rsidRDefault="00B5152B">
      <w:pPr>
        <w:spacing w:before="280"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The paper used an ex-post facto research design based on data obtained from secondary sources and gathered from reliable international databases, specifically the World Development Indicators (WDI). The selection of this design was informed by the need to analyse existing macroeconomic and financial data without manipulation. The study covers the period from 2004 to 2025, which was marked by renewed interest in entrepreneurship development among successive Nigerian governments, numerous policy initiatives aimed at diversifying the economic base away from oil dependence towards entrepreneurship development, and increasing recognition of the entrepreneurial sector as a contributor to employment creation and poverty alleviation. Nigeria is used as a case study because of the country's rich natural and human resources; however, it continues to experience persistent economic problems such as high unemployment, inadequate infrastructure and volatile growth rates. The relevance of Nigeria to this study is due to its entrepreneurial environment, numerous government intervention programmes and the enormous but untapped potential of the small and medium enterprises </w:t>
      </w:r>
      <w:r w:rsidRPr="00831711">
        <w:rPr>
          <w:rFonts w:ascii="Times New Roman" w:eastAsia="Times New Roman" w:hAnsi="Times New Roman" w:cs="Times New Roman"/>
          <w:color w:val="000000" w:themeColor="text1"/>
          <w:sz w:val="24"/>
          <w:szCs w:val="24"/>
        </w:rPr>
        <w:lastRenderedPageBreak/>
        <w:t>(SMEs) sector to generate economic growth. Therefore, the functional form of the model is expressed as:</w:t>
      </w:r>
    </w:p>
    <w:p w14:paraId="408DB4EF" w14:textId="77777777" w:rsidR="00472922" w:rsidRPr="00831711" w:rsidRDefault="00B5152B">
      <w:pPr>
        <w:spacing w:line="360" w:lineRule="auto"/>
        <w:rPr>
          <w:rFonts w:ascii="Times New Roman" w:eastAsia="Times New Roman" w:hAnsi="Times New Roman" w:cs="Times New Roman"/>
          <w:color w:val="000000" w:themeColor="text1"/>
          <w:sz w:val="24"/>
          <w:szCs w:val="24"/>
        </w:rPr>
      </w:pPr>
      <m:oMathPara>
        <m:oMath>
          <m:r>
            <w:rPr>
              <w:rFonts w:ascii="Cambria Math" w:eastAsia="Cambria Math" w:hAnsi="Cambria Math" w:cs="Times New Roman"/>
              <w:color w:val="000000" w:themeColor="text1"/>
              <w:sz w:val="24"/>
              <w:szCs w:val="24"/>
            </w:rPr>
            <m:t>GR</m:t>
          </m:r>
          <m:r>
            <w:rPr>
              <w:rFonts w:ascii="Cambria Math" w:eastAsia="Cambria Math" w:hAnsi="Times New Roman" w:cs="Times New Roman"/>
              <w:color w:val="000000" w:themeColor="text1"/>
              <w:sz w:val="24"/>
              <w:szCs w:val="24"/>
            </w:rPr>
            <m:t>=</m:t>
          </m:r>
          <m:r>
            <w:rPr>
              <w:rFonts w:ascii="Cambria Math" w:eastAsia="Cambria Math" w:hAnsi="Cambria Math" w:cs="Times New Roman"/>
              <w:color w:val="000000" w:themeColor="text1"/>
              <w:sz w:val="24"/>
              <w:szCs w:val="24"/>
            </w:rPr>
            <m:t>f</m:t>
          </m:r>
          <m:d>
            <m:dPr>
              <m:ctrlPr>
                <w:rPr>
                  <w:rFonts w:ascii="Cambria Math" w:eastAsia="Cambria Math" w:hAnsi="Times New Roman" w:cs="Times New Roman"/>
                  <w:color w:val="000000" w:themeColor="text1"/>
                  <w:sz w:val="24"/>
                  <w:szCs w:val="24"/>
                </w:rPr>
              </m:ctrlPr>
            </m:dPr>
            <m:e>
              <m:r>
                <w:rPr>
                  <w:rFonts w:ascii="Cambria Math" w:eastAsia="Cambria Math" w:hAnsi="Cambria Math" w:cs="Times New Roman"/>
                  <w:color w:val="000000" w:themeColor="text1"/>
                  <w:sz w:val="24"/>
                  <w:szCs w:val="24"/>
                </w:rPr>
                <m:t>NBD</m:t>
              </m:r>
              <m:r>
                <w:rPr>
                  <w:rFonts w:ascii="Cambria Math" w:eastAsia="Cambria Math" w:hAnsi="Times New Roman" w:cs="Times New Roman"/>
                  <w:color w:val="000000" w:themeColor="text1"/>
                  <w:sz w:val="24"/>
                  <w:szCs w:val="24"/>
                </w:rPr>
                <m:t xml:space="preserve">, </m:t>
              </m:r>
              <m:r>
                <w:rPr>
                  <w:rFonts w:ascii="Cambria Math" w:eastAsia="Cambria Math" w:hAnsi="Cambria Math" w:cs="Times New Roman"/>
                  <w:color w:val="000000" w:themeColor="text1"/>
                  <w:sz w:val="24"/>
                  <w:szCs w:val="24"/>
                </w:rPr>
                <m:t>ALR</m:t>
              </m:r>
            </m:e>
          </m:d>
          <m:r>
            <w:rPr>
              <w:rFonts w:ascii="Times New Roman" w:eastAsia="Times New Roman" w:hAnsi="Times New Roman" w:cs="Times New Roman"/>
              <w:color w:val="000000" w:themeColor="text1"/>
              <w:sz w:val="24"/>
              <w:szCs w:val="24"/>
            </w:rPr>
            <m:t>---------------------------</m:t>
          </m:r>
          <m:r>
            <w:rPr>
              <w:rFonts w:ascii="Cambria Math" w:eastAsia="Cambria Math" w:hAnsi="Times New Roman" w:cs="Times New Roman"/>
              <w:color w:val="000000" w:themeColor="text1"/>
              <w:sz w:val="24"/>
              <w:szCs w:val="24"/>
            </w:rPr>
            <m:t>(1)</m:t>
          </m:r>
        </m:oMath>
      </m:oMathPara>
    </w:p>
    <w:p w14:paraId="17631509" w14:textId="77777777" w:rsidR="00472922" w:rsidRPr="00831711" w:rsidRDefault="00B5152B">
      <w:pPr>
        <w:spacing w:before="280" w:line="36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Equation (1) is expressed econometrically as:</w:t>
      </w:r>
    </w:p>
    <w:p w14:paraId="4F2AB670" w14:textId="77777777" w:rsidR="00472922" w:rsidRPr="00831711" w:rsidRDefault="00B5152B">
      <w:pPr>
        <w:spacing w:line="360" w:lineRule="auto"/>
        <w:rPr>
          <w:rFonts w:ascii="Times New Roman" w:eastAsia="Times New Roman" w:hAnsi="Times New Roman" w:cs="Times New Roman"/>
          <w:color w:val="000000" w:themeColor="text1"/>
          <w:sz w:val="24"/>
          <w:szCs w:val="24"/>
        </w:rPr>
      </w:pPr>
      <m:oMathPara>
        <m:oMath>
          <m:r>
            <w:rPr>
              <w:rFonts w:ascii="Cambria Math" w:eastAsia="Cambria Math" w:hAnsi="Cambria Math" w:cs="Times New Roman"/>
              <w:color w:val="000000" w:themeColor="text1"/>
              <w:sz w:val="24"/>
              <w:szCs w:val="24"/>
            </w:rPr>
            <m:t>GR</m:t>
          </m:r>
          <m:r>
            <w:rPr>
              <w:rFonts w:ascii="Cambria Math" w:eastAsia="Cambria Math" w:hAnsi="Times New Roman" w:cs="Times New Roman"/>
              <w:color w:val="000000" w:themeColor="text1"/>
              <w:sz w:val="24"/>
              <w:szCs w:val="24"/>
            </w:rPr>
            <m:t>=</m:t>
          </m:r>
          <m:r>
            <w:rPr>
              <w:rFonts w:ascii="Cambria Math" w:eastAsia="Cambria Math" w:hAnsi="Cambria Math" w:cs="Times New Roman"/>
              <w:color w:val="000000" w:themeColor="text1"/>
              <w:sz w:val="24"/>
              <w:szCs w:val="24"/>
            </w:rPr>
            <m:t>β</m:t>
          </m:r>
          <m:r>
            <w:rPr>
              <w:rFonts w:ascii="Cambria Math" w:eastAsia="Cambria Math" w:hAnsi="Times New Roman" w:cs="Times New Roman"/>
              <w:color w:val="000000" w:themeColor="text1"/>
              <w:sz w:val="24"/>
              <w:szCs w:val="24"/>
            </w:rPr>
            <m:t>0+</m:t>
          </m:r>
          <m:r>
            <w:rPr>
              <w:rFonts w:ascii="Cambria Math" w:eastAsia="Cambria Math" w:hAnsi="Cambria Math" w:cs="Times New Roman"/>
              <w:color w:val="000000" w:themeColor="text1"/>
              <w:sz w:val="24"/>
              <w:szCs w:val="24"/>
            </w:rPr>
            <m:t>β</m:t>
          </m:r>
          <m:r>
            <w:rPr>
              <w:rFonts w:ascii="Cambria Math" w:eastAsia="Cambria Math" w:hAnsi="Times New Roman" w:cs="Times New Roman"/>
              <w:color w:val="000000" w:themeColor="text1"/>
              <w:sz w:val="24"/>
              <w:szCs w:val="24"/>
            </w:rPr>
            <m:t>1</m:t>
          </m:r>
          <m:r>
            <w:rPr>
              <w:rFonts w:ascii="Cambria Math" w:eastAsia="Cambria Math" w:hAnsi="Cambria Math" w:cs="Times New Roman"/>
              <w:color w:val="000000" w:themeColor="text1"/>
              <w:sz w:val="24"/>
              <w:szCs w:val="24"/>
            </w:rPr>
            <m:t>NBD</m:t>
          </m:r>
          <m:r>
            <w:rPr>
              <w:rFonts w:ascii="Cambria Math" w:eastAsia="Cambria Math" w:hAnsi="Times New Roman" w:cs="Times New Roman"/>
              <w:color w:val="000000" w:themeColor="text1"/>
              <w:sz w:val="24"/>
              <w:szCs w:val="24"/>
            </w:rPr>
            <m:t>+</m:t>
          </m:r>
          <m:r>
            <w:rPr>
              <w:rFonts w:ascii="Cambria Math" w:eastAsia="Cambria Math" w:hAnsi="Cambria Math" w:cs="Times New Roman"/>
              <w:color w:val="000000" w:themeColor="text1"/>
              <w:sz w:val="24"/>
              <w:szCs w:val="24"/>
            </w:rPr>
            <m:t>β</m:t>
          </m:r>
          <m:r>
            <w:rPr>
              <w:rFonts w:ascii="Cambria Math" w:eastAsia="Cambria Math" w:hAnsi="Times New Roman" w:cs="Times New Roman"/>
              <w:color w:val="000000" w:themeColor="text1"/>
              <w:sz w:val="24"/>
              <w:szCs w:val="24"/>
            </w:rPr>
            <m:t>2</m:t>
          </m:r>
          <m:r>
            <w:rPr>
              <w:rFonts w:ascii="Cambria Math" w:eastAsia="Cambria Math" w:hAnsi="Cambria Math" w:cs="Times New Roman"/>
              <w:color w:val="000000" w:themeColor="text1"/>
              <w:sz w:val="24"/>
              <w:szCs w:val="24"/>
            </w:rPr>
            <m:t>ALR</m:t>
          </m:r>
          <m:r>
            <w:rPr>
              <w:rFonts w:ascii="Cambria Math" w:eastAsia="Cambria Math" w:hAnsi="Times New Roman" w:cs="Times New Roman"/>
              <w:color w:val="000000" w:themeColor="text1"/>
              <w:sz w:val="24"/>
              <w:szCs w:val="24"/>
            </w:rPr>
            <m:t xml:space="preserve"> +</m:t>
          </m:r>
          <m:r>
            <w:rPr>
              <w:rFonts w:ascii="Cambria Math" w:eastAsia="Cambria Math" w:hAnsi="Cambria Math" w:cs="Times New Roman"/>
              <w:color w:val="000000" w:themeColor="text1"/>
              <w:sz w:val="24"/>
              <w:szCs w:val="24"/>
            </w:rPr>
            <m:t>εt</m:t>
          </m:r>
          <m:r>
            <w:rPr>
              <w:rFonts w:ascii="Times New Roman" w:eastAsia="Times New Roman" w:hAnsi="Times New Roman" w:cs="Times New Roman"/>
              <w:color w:val="000000" w:themeColor="text1"/>
              <w:sz w:val="24"/>
              <w:szCs w:val="24"/>
            </w:rPr>
            <m:t>---------------------</m:t>
          </m:r>
          <m:r>
            <w:rPr>
              <w:rFonts w:ascii="Cambria Math" w:eastAsia="Cambria Math" w:hAnsi="Times New Roman" w:cs="Times New Roman"/>
              <w:color w:val="000000" w:themeColor="text1"/>
              <w:sz w:val="24"/>
              <w:szCs w:val="24"/>
            </w:rPr>
            <m:t>(2)</m:t>
          </m:r>
        </m:oMath>
      </m:oMathPara>
    </w:p>
    <w:p w14:paraId="34A5BB0F" w14:textId="77777777" w:rsidR="00472922" w:rsidRPr="00831711" w:rsidRDefault="00B5152B">
      <w:pPr>
        <w:spacing w:before="280" w:line="36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where: GR = Economic growth rate measured by real Gross Domestic Product (GDP) growth rate; NBD = New business density measured by the number of newly registered businesses per 1,000 working-age population; ALR = Literacy Rate; β</w:t>
      </w:r>
      <w:r w:rsidRPr="00831711">
        <w:rPr>
          <w:rFonts w:ascii="Times New Roman" w:eastAsia="Cambria Math" w:hAnsi="Cambria Math" w:cs="Times New Roman"/>
          <w:color w:val="000000" w:themeColor="text1"/>
          <w:sz w:val="24"/>
          <w:szCs w:val="24"/>
        </w:rPr>
        <w:t>₀</w:t>
      </w:r>
      <w:r w:rsidRPr="00831711">
        <w:rPr>
          <w:rFonts w:ascii="Times New Roman" w:eastAsia="Times New Roman" w:hAnsi="Times New Roman" w:cs="Times New Roman"/>
          <w:color w:val="000000" w:themeColor="text1"/>
          <w:sz w:val="24"/>
          <w:szCs w:val="24"/>
        </w:rPr>
        <w:t xml:space="preserve"> = Constant term; β</w:t>
      </w:r>
      <w:r w:rsidRPr="00831711">
        <w:rPr>
          <w:rFonts w:ascii="Cambria Math" w:eastAsia="Cambria Math" w:hAnsi="Cambria Math" w:cs="Times New Roman"/>
          <w:color w:val="000000" w:themeColor="text1"/>
          <w:sz w:val="24"/>
          <w:szCs w:val="24"/>
        </w:rPr>
        <w:t>₁</w:t>
      </w:r>
      <w:r w:rsidRPr="00831711">
        <w:rPr>
          <w:rFonts w:ascii="Times New Roman" w:eastAsia="Times New Roman" w:hAnsi="Times New Roman" w:cs="Times New Roman"/>
          <w:color w:val="000000" w:themeColor="text1"/>
          <w:sz w:val="24"/>
          <w:szCs w:val="24"/>
        </w:rPr>
        <w:t>- β</w:t>
      </w:r>
      <w:r w:rsidRPr="00831711">
        <w:rPr>
          <w:rFonts w:ascii="Times New Roman" w:eastAsia="Times New Roman" w:hAnsi="Times New Roman" w:cs="Times New Roman"/>
          <w:color w:val="000000" w:themeColor="text1"/>
          <w:sz w:val="24"/>
          <w:szCs w:val="24"/>
          <w:vertAlign w:val="subscript"/>
        </w:rPr>
        <w:t>2</w:t>
      </w:r>
      <w:r w:rsidRPr="00831711">
        <w:rPr>
          <w:rFonts w:ascii="Times New Roman" w:eastAsia="Times New Roman" w:hAnsi="Times New Roman" w:cs="Times New Roman"/>
          <w:color w:val="000000" w:themeColor="text1"/>
          <w:sz w:val="24"/>
          <w:szCs w:val="24"/>
        </w:rPr>
        <w:t xml:space="preserve"> = Parameter estimate of new business density; and εt = Stochastic error term.</w:t>
      </w:r>
    </w:p>
    <w:p w14:paraId="5505F628" w14:textId="77777777" w:rsidR="00472922" w:rsidRPr="00831711" w:rsidRDefault="00B5152B">
      <w:pPr>
        <w:spacing w:before="280"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The empirical model was estimated using the Autoregressive Distributed Lag (ARDL) bounds testing approach suggested by Pesaran et al. (2001). Because the ARDL estimation method allows for variables integrated at level (I(0)) and at first order (I(1)), the method was deemed appropriate because it does not require all variables to have the same order of integration. The method is also applicable to relatively small sample sizes and provides estimates of both short- and long-run relationships, as well as short-run dynamics. In view of this, the unrestricted ARDL error correction model estimated in this study is specified as:</w:t>
      </w:r>
    </w:p>
    <w:p w14:paraId="60C12FDA" w14:textId="77777777" w:rsidR="00472922" w:rsidRPr="00831711" w:rsidRDefault="00000000">
      <w:pPr>
        <w:rPr>
          <w:rFonts w:ascii="Times New Roman" w:eastAsia="Cambria Math" w:hAnsi="Times New Roman" w:cs="Times New Roman"/>
          <w:color w:val="000000" w:themeColor="text1"/>
          <w:sz w:val="24"/>
          <w:szCs w:val="24"/>
        </w:rPr>
      </w:pPr>
      <m:oMathPara>
        <m:oMath>
          <m:sSub>
            <m:sSubPr>
              <m:ctrlPr>
                <w:rPr>
                  <w:rFonts w:ascii="Cambria Math" w:eastAsia="Cambria Math" w:hAnsi="Times New Roman" w:cs="Times New Roman"/>
                  <w:color w:val="000000" w:themeColor="text1"/>
                  <w:sz w:val="24"/>
                  <w:szCs w:val="24"/>
                </w:rPr>
              </m:ctrlPr>
            </m:sSubPr>
            <m:e>
              <m:r>
                <w:rPr>
                  <w:rFonts w:ascii="Cambria Math" w:hAnsi="Cambria Math" w:cs="Times New Roman"/>
                  <w:color w:val="000000" w:themeColor="text1"/>
                  <w:sz w:val="24"/>
                  <w:szCs w:val="24"/>
                </w:rPr>
                <m:t>Δ</m:t>
              </m:r>
              <m:r>
                <w:rPr>
                  <w:rFonts w:ascii="Cambria Math" w:eastAsia="Cambria Math" w:hAnsi="Cambria Math" w:cs="Times New Roman"/>
                  <w:color w:val="000000" w:themeColor="text1"/>
                  <w:sz w:val="24"/>
                  <w:szCs w:val="24"/>
                </w:rPr>
                <m:t>GR</m:t>
              </m:r>
            </m:e>
            <m:sub>
              <m:r>
                <w:rPr>
                  <w:rFonts w:ascii="Cambria Math" w:eastAsia="Cambria Math" w:hAnsi="Cambria Math" w:cs="Times New Roman"/>
                  <w:color w:val="000000" w:themeColor="text1"/>
                  <w:sz w:val="24"/>
                  <w:szCs w:val="24"/>
                </w:rPr>
                <m:t>t</m:t>
              </m:r>
            </m:sub>
          </m:sSub>
          <m:r>
            <w:rPr>
              <w:rFonts w:ascii="Cambria Math" w:eastAsia="Cambria Math" w:hAnsi="Times New Roman" w:cs="Times New Roman"/>
              <w:color w:val="000000" w:themeColor="text1"/>
              <w:sz w:val="24"/>
              <w:szCs w:val="24"/>
            </w:rPr>
            <m:t>=</m:t>
          </m:r>
          <m:sSub>
            <m:sSubPr>
              <m:ctrlPr>
                <w:rPr>
                  <w:rFonts w:ascii="Cambria Math" w:eastAsia="Cambria Math" w:hAnsi="Times New Roman" w:cs="Times New Roman"/>
                  <w:color w:val="000000" w:themeColor="text1"/>
                  <w:sz w:val="24"/>
                  <w:szCs w:val="24"/>
                </w:rPr>
              </m:ctrlPr>
            </m:sSubPr>
            <m:e>
              <m:r>
                <w:rPr>
                  <w:rFonts w:ascii="Cambria Math" w:eastAsia="Cambria Math" w:hAnsi="Cambria Math" w:cs="Times New Roman"/>
                  <w:color w:val="000000" w:themeColor="text1"/>
                  <w:sz w:val="24"/>
                  <w:szCs w:val="24"/>
                </w:rPr>
                <m:t>β</m:t>
              </m:r>
            </m:e>
            <m:sub>
              <m:r>
                <w:rPr>
                  <w:rFonts w:ascii="Cambria Math" w:eastAsia="Cambria Math" w:hAnsi="Times New Roman" w:cs="Times New Roman"/>
                  <w:color w:val="000000" w:themeColor="text1"/>
                  <w:sz w:val="24"/>
                  <w:szCs w:val="24"/>
                </w:rPr>
                <m:t>0</m:t>
              </m:r>
            </m:sub>
          </m:sSub>
          <m:r>
            <w:rPr>
              <w:rFonts w:ascii="Cambria Math" w:eastAsia="Cambria Math" w:hAnsi="Times New Roman" w:cs="Times New Roman"/>
              <w:color w:val="000000" w:themeColor="text1"/>
              <w:sz w:val="24"/>
              <w:szCs w:val="24"/>
            </w:rPr>
            <m:t>+</m:t>
          </m:r>
          <m:nary>
            <m:naryPr>
              <m:chr m:val="∑"/>
              <m:ctrlPr>
                <w:rPr>
                  <w:rFonts w:ascii="Cambria Math" w:eastAsia="Cambria Math" w:hAnsi="Times New Roman" w:cs="Times New Roman"/>
                  <w:color w:val="000000" w:themeColor="text1"/>
                  <w:sz w:val="24"/>
                  <w:szCs w:val="24"/>
                </w:rPr>
              </m:ctrlPr>
            </m:naryPr>
            <m:sub>
              <m:r>
                <w:rPr>
                  <w:rFonts w:ascii="Cambria Math" w:eastAsia="Cambria Math" w:hAnsi="Cambria Math" w:cs="Times New Roman"/>
                  <w:color w:val="000000" w:themeColor="text1"/>
                  <w:sz w:val="24"/>
                  <w:szCs w:val="24"/>
                </w:rPr>
                <m:t>i</m:t>
              </m:r>
              <m:r>
                <w:rPr>
                  <w:rFonts w:ascii="Cambria Math" w:eastAsia="Cambria Math" w:hAnsi="Times New Roman" w:cs="Times New Roman"/>
                  <w:color w:val="000000" w:themeColor="text1"/>
                  <w:sz w:val="24"/>
                  <w:szCs w:val="24"/>
                </w:rPr>
                <m:t>=1</m:t>
              </m:r>
            </m:sub>
            <m:sup>
              <m:r>
                <w:rPr>
                  <w:rFonts w:ascii="Cambria Math" w:eastAsia="Cambria Math" w:hAnsi="Cambria Math" w:cs="Times New Roman"/>
                  <w:color w:val="000000" w:themeColor="text1"/>
                  <w:sz w:val="24"/>
                  <w:szCs w:val="24"/>
                </w:rPr>
                <m:t>p</m:t>
              </m:r>
            </m:sup>
            <m:e/>
          </m:nary>
          <m:sSub>
            <m:sSubPr>
              <m:ctrlPr>
                <w:rPr>
                  <w:rFonts w:ascii="Cambria Math" w:eastAsia="Cambria Math" w:hAnsi="Times New Roman" w:cs="Times New Roman"/>
                  <w:color w:val="000000" w:themeColor="text1"/>
                  <w:sz w:val="24"/>
                  <w:szCs w:val="24"/>
                </w:rPr>
              </m:ctrlPr>
            </m:sSubPr>
            <m:e>
              <m:r>
                <w:rPr>
                  <w:rFonts w:ascii="Cambria Math" w:eastAsia="Cambria Math" w:hAnsi="Cambria Math" w:cs="Times New Roman"/>
                  <w:color w:val="000000" w:themeColor="text1"/>
                  <w:sz w:val="24"/>
                  <w:szCs w:val="24"/>
                </w:rPr>
                <m:t>β</m:t>
              </m:r>
            </m:e>
            <m:sub>
              <m:r>
                <w:rPr>
                  <w:rFonts w:ascii="Cambria Math" w:eastAsia="Cambria Math" w:hAnsi="Times New Roman" w:cs="Times New Roman"/>
                  <w:color w:val="000000" w:themeColor="text1"/>
                  <w:sz w:val="24"/>
                  <w:szCs w:val="24"/>
                </w:rPr>
                <m:t>1</m:t>
              </m:r>
            </m:sub>
          </m:sSub>
          <m:sSub>
            <m:sSubPr>
              <m:ctrlPr>
                <w:rPr>
                  <w:rFonts w:ascii="Cambria Math" w:eastAsia="Cambria Math" w:hAnsi="Times New Roman" w:cs="Times New Roman"/>
                  <w:color w:val="000000" w:themeColor="text1"/>
                  <w:sz w:val="24"/>
                  <w:szCs w:val="24"/>
                </w:rPr>
              </m:ctrlPr>
            </m:sSubPr>
            <m:e>
              <m:r>
                <w:rPr>
                  <w:rFonts w:ascii="Cambria Math" w:eastAsia="Cambria Math" w:hAnsi="Cambria Math" w:cs="Times New Roman"/>
                  <w:color w:val="000000" w:themeColor="text1"/>
                  <w:sz w:val="24"/>
                  <w:szCs w:val="24"/>
                </w:rPr>
                <m:t>ΔGR</m:t>
              </m:r>
            </m:e>
            <m:sub>
              <m:r>
                <w:rPr>
                  <w:rFonts w:ascii="Cambria Math" w:eastAsia="Cambria Math" w:hAnsi="Cambria Math" w:cs="Times New Roman"/>
                  <w:color w:val="000000" w:themeColor="text1"/>
                  <w:sz w:val="24"/>
                  <w:szCs w:val="24"/>
                </w:rPr>
                <m:t>t</m:t>
              </m:r>
              <m:r>
                <w:rPr>
                  <w:rFonts w:ascii="Times New Roman" w:eastAsia="Times New Roman" w:hAnsi="Times New Roman" w:cs="Times New Roman"/>
                  <w:color w:val="000000" w:themeColor="text1"/>
                  <w:sz w:val="24"/>
                  <w:szCs w:val="24"/>
                </w:rPr>
                <m:t>-</m:t>
              </m:r>
              <m:r>
                <w:rPr>
                  <w:rFonts w:ascii="Cambria Math" w:eastAsia="Cambria Math" w:hAnsi="Cambria Math" w:cs="Times New Roman"/>
                  <w:color w:val="000000" w:themeColor="text1"/>
                  <w:sz w:val="24"/>
                  <w:szCs w:val="24"/>
                </w:rPr>
                <m:t>i</m:t>
              </m:r>
            </m:sub>
          </m:sSub>
          <m:r>
            <w:rPr>
              <w:rFonts w:ascii="Cambria Math" w:eastAsia="Cambria Math" w:hAnsi="Times New Roman" w:cs="Times New Roman"/>
              <w:color w:val="000000" w:themeColor="text1"/>
              <w:sz w:val="24"/>
              <w:szCs w:val="24"/>
            </w:rPr>
            <m:t>+</m:t>
          </m:r>
          <m:nary>
            <m:naryPr>
              <m:chr m:val="∑"/>
              <m:ctrlPr>
                <w:rPr>
                  <w:rFonts w:ascii="Cambria Math" w:eastAsia="Cambria Math" w:hAnsi="Times New Roman" w:cs="Times New Roman"/>
                  <w:color w:val="000000" w:themeColor="text1"/>
                  <w:sz w:val="24"/>
                  <w:szCs w:val="24"/>
                </w:rPr>
              </m:ctrlPr>
            </m:naryPr>
            <m:sub>
              <m:r>
                <w:rPr>
                  <w:rFonts w:ascii="Cambria Math" w:eastAsia="Cambria Math" w:hAnsi="Cambria Math" w:cs="Times New Roman"/>
                  <w:color w:val="000000" w:themeColor="text1"/>
                  <w:sz w:val="24"/>
                  <w:szCs w:val="24"/>
                </w:rPr>
                <m:t>i</m:t>
              </m:r>
              <m:r>
                <w:rPr>
                  <w:rFonts w:ascii="Cambria Math" w:eastAsia="Cambria Math" w:hAnsi="Times New Roman" w:cs="Times New Roman"/>
                  <w:color w:val="000000" w:themeColor="text1"/>
                  <w:sz w:val="24"/>
                  <w:szCs w:val="24"/>
                </w:rPr>
                <m:t>=1</m:t>
              </m:r>
            </m:sub>
            <m:sup>
              <m:r>
                <w:rPr>
                  <w:rFonts w:ascii="Cambria Math" w:eastAsia="Cambria Math" w:hAnsi="Cambria Math" w:cs="Times New Roman"/>
                  <w:color w:val="000000" w:themeColor="text1"/>
                  <w:sz w:val="24"/>
                  <w:szCs w:val="24"/>
                </w:rPr>
                <m:t>p</m:t>
              </m:r>
            </m:sup>
            <m:e/>
          </m:nary>
          <m:sSub>
            <m:sSubPr>
              <m:ctrlPr>
                <w:rPr>
                  <w:rFonts w:ascii="Cambria Math" w:eastAsia="Cambria Math" w:hAnsi="Times New Roman" w:cs="Times New Roman"/>
                  <w:color w:val="000000" w:themeColor="text1"/>
                  <w:sz w:val="24"/>
                  <w:szCs w:val="24"/>
                </w:rPr>
              </m:ctrlPr>
            </m:sSubPr>
            <m:e>
              <m:r>
                <w:rPr>
                  <w:rFonts w:ascii="Cambria Math" w:eastAsia="Cambria Math" w:hAnsi="Cambria Math" w:cs="Times New Roman"/>
                  <w:color w:val="000000" w:themeColor="text1"/>
                  <w:sz w:val="24"/>
                  <w:szCs w:val="24"/>
                </w:rPr>
                <m:t>β</m:t>
              </m:r>
            </m:e>
            <m:sub>
              <m:r>
                <w:rPr>
                  <w:rFonts w:ascii="Cambria Math" w:eastAsia="Cambria Math" w:hAnsi="Times New Roman" w:cs="Times New Roman"/>
                  <w:color w:val="000000" w:themeColor="text1"/>
                  <w:sz w:val="24"/>
                  <w:szCs w:val="24"/>
                </w:rPr>
                <m:t>2</m:t>
              </m:r>
            </m:sub>
          </m:sSub>
          <m:sSub>
            <m:sSubPr>
              <m:ctrlPr>
                <w:rPr>
                  <w:rFonts w:ascii="Cambria Math" w:eastAsia="Cambria Math" w:hAnsi="Times New Roman" w:cs="Times New Roman"/>
                  <w:color w:val="000000" w:themeColor="text1"/>
                  <w:sz w:val="24"/>
                  <w:szCs w:val="24"/>
                </w:rPr>
              </m:ctrlPr>
            </m:sSubPr>
            <m:e>
              <m:r>
                <w:rPr>
                  <w:rFonts w:ascii="Cambria Math" w:eastAsia="Cambria Math" w:hAnsi="Cambria Math" w:cs="Times New Roman"/>
                  <w:color w:val="000000" w:themeColor="text1"/>
                  <w:sz w:val="24"/>
                  <w:szCs w:val="24"/>
                </w:rPr>
                <m:t>ΔNBD</m:t>
              </m:r>
            </m:e>
            <m:sub>
              <m:r>
                <w:rPr>
                  <w:rFonts w:ascii="Cambria Math" w:eastAsia="Cambria Math" w:hAnsi="Cambria Math" w:cs="Times New Roman"/>
                  <w:color w:val="000000" w:themeColor="text1"/>
                  <w:sz w:val="24"/>
                  <w:szCs w:val="24"/>
                </w:rPr>
                <m:t>t</m:t>
              </m:r>
              <m:r>
                <w:rPr>
                  <w:rFonts w:ascii="Times New Roman" w:eastAsia="Times New Roman" w:hAnsi="Times New Roman" w:cs="Times New Roman"/>
                  <w:color w:val="000000" w:themeColor="text1"/>
                  <w:sz w:val="24"/>
                  <w:szCs w:val="24"/>
                </w:rPr>
                <m:t>-</m:t>
              </m:r>
              <m:r>
                <w:rPr>
                  <w:rFonts w:ascii="Cambria Math" w:eastAsia="Cambria Math" w:hAnsi="Cambria Math" w:cs="Times New Roman"/>
                  <w:color w:val="000000" w:themeColor="text1"/>
                  <w:sz w:val="24"/>
                  <w:szCs w:val="24"/>
                </w:rPr>
                <m:t>i</m:t>
              </m:r>
            </m:sub>
          </m:sSub>
          <m:r>
            <w:rPr>
              <w:rFonts w:ascii="Cambria Math" w:eastAsia="Cambria Math" w:hAnsi="Times New Roman" w:cs="Times New Roman"/>
              <w:color w:val="000000" w:themeColor="text1"/>
              <w:sz w:val="24"/>
              <w:szCs w:val="24"/>
            </w:rPr>
            <m:t>+</m:t>
          </m:r>
          <m:nary>
            <m:naryPr>
              <m:chr m:val="∑"/>
              <m:ctrlPr>
                <w:rPr>
                  <w:rFonts w:ascii="Cambria Math" w:eastAsia="Cambria Math" w:hAnsi="Times New Roman" w:cs="Times New Roman"/>
                  <w:color w:val="000000" w:themeColor="text1"/>
                  <w:sz w:val="24"/>
                  <w:szCs w:val="24"/>
                </w:rPr>
              </m:ctrlPr>
            </m:naryPr>
            <m:sub>
              <m:r>
                <w:rPr>
                  <w:rFonts w:ascii="Cambria Math" w:eastAsia="Cambria Math" w:hAnsi="Cambria Math" w:cs="Times New Roman"/>
                  <w:color w:val="000000" w:themeColor="text1"/>
                  <w:sz w:val="24"/>
                  <w:szCs w:val="24"/>
                </w:rPr>
                <m:t>i</m:t>
              </m:r>
              <m:r>
                <w:rPr>
                  <w:rFonts w:ascii="Cambria Math" w:eastAsia="Cambria Math" w:hAnsi="Times New Roman" w:cs="Times New Roman"/>
                  <w:color w:val="000000" w:themeColor="text1"/>
                  <w:sz w:val="24"/>
                  <w:szCs w:val="24"/>
                </w:rPr>
                <m:t>=1</m:t>
              </m:r>
            </m:sub>
            <m:sup>
              <m:r>
                <w:rPr>
                  <w:rFonts w:ascii="Cambria Math" w:eastAsia="Cambria Math" w:hAnsi="Cambria Math" w:cs="Times New Roman"/>
                  <w:color w:val="000000" w:themeColor="text1"/>
                  <w:sz w:val="24"/>
                  <w:szCs w:val="24"/>
                </w:rPr>
                <m:t>p</m:t>
              </m:r>
            </m:sup>
            <m:e/>
          </m:nary>
          <m:sSub>
            <m:sSubPr>
              <m:ctrlPr>
                <w:rPr>
                  <w:rFonts w:ascii="Cambria Math" w:eastAsia="Cambria Math" w:hAnsi="Times New Roman" w:cs="Times New Roman"/>
                  <w:color w:val="000000" w:themeColor="text1"/>
                  <w:sz w:val="24"/>
                  <w:szCs w:val="24"/>
                </w:rPr>
              </m:ctrlPr>
            </m:sSubPr>
            <m:e>
              <m:r>
                <w:rPr>
                  <w:rFonts w:ascii="Cambria Math" w:eastAsia="Cambria Math" w:hAnsi="Cambria Math" w:cs="Times New Roman"/>
                  <w:color w:val="000000" w:themeColor="text1"/>
                  <w:sz w:val="24"/>
                  <w:szCs w:val="24"/>
                </w:rPr>
                <m:t>β</m:t>
              </m:r>
            </m:e>
            <m:sub>
              <m:r>
                <w:rPr>
                  <w:rFonts w:ascii="Cambria Math" w:eastAsia="Cambria Math" w:hAnsi="Times New Roman" w:cs="Times New Roman"/>
                  <w:color w:val="000000" w:themeColor="text1"/>
                  <w:sz w:val="24"/>
                  <w:szCs w:val="24"/>
                </w:rPr>
                <m:t>3</m:t>
              </m:r>
            </m:sub>
          </m:sSub>
          <m:sSub>
            <m:sSubPr>
              <m:ctrlPr>
                <w:rPr>
                  <w:rFonts w:ascii="Cambria Math" w:eastAsia="Cambria Math" w:hAnsi="Times New Roman" w:cs="Times New Roman"/>
                  <w:color w:val="000000" w:themeColor="text1"/>
                  <w:sz w:val="24"/>
                  <w:szCs w:val="24"/>
                </w:rPr>
              </m:ctrlPr>
            </m:sSubPr>
            <m:e>
              <m:r>
                <w:rPr>
                  <w:rFonts w:ascii="Cambria Math" w:eastAsia="Cambria Math" w:hAnsi="Cambria Math" w:cs="Times New Roman"/>
                  <w:color w:val="000000" w:themeColor="text1"/>
                  <w:sz w:val="24"/>
                  <w:szCs w:val="24"/>
                </w:rPr>
                <m:t>ΔALR</m:t>
              </m:r>
            </m:e>
            <m:sub>
              <m:r>
                <w:rPr>
                  <w:rFonts w:ascii="Cambria Math" w:eastAsia="Cambria Math" w:hAnsi="Cambria Math" w:cs="Times New Roman"/>
                  <w:color w:val="000000" w:themeColor="text1"/>
                  <w:sz w:val="24"/>
                  <w:szCs w:val="24"/>
                </w:rPr>
                <m:t>t</m:t>
              </m:r>
              <m:r>
                <w:rPr>
                  <w:rFonts w:ascii="Times New Roman" w:eastAsia="Times New Roman" w:hAnsi="Times New Roman" w:cs="Times New Roman"/>
                  <w:color w:val="000000" w:themeColor="text1"/>
                  <w:sz w:val="24"/>
                  <w:szCs w:val="24"/>
                </w:rPr>
                <m:t>-</m:t>
              </m:r>
              <m:r>
                <w:rPr>
                  <w:rFonts w:ascii="Cambria Math" w:eastAsia="Cambria Math" w:hAnsi="Cambria Math" w:cs="Times New Roman"/>
                  <w:color w:val="000000" w:themeColor="text1"/>
                  <w:sz w:val="24"/>
                  <w:szCs w:val="24"/>
                </w:rPr>
                <m:t>i</m:t>
              </m:r>
            </m:sub>
          </m:sSub>
          <m:r>
            <w:rPr>
              <w:rFonts w:ascii="Cambria Math" w:eastAsia="Cambria Math" w:hAnsi="Times New Roman" w:cs="Times New Roman"/>
              <w:color w:val="000000" w:themeColor="text1"/>
              <w:sz w:val="24"/>
              <w:szCs w:val="24"/>
            </w:rPr>
            <m:t>+</m:t>
          </m:r>
          <m:sSub>
            <m:sSubPr>
              <m:ctrlPr>
                <w:rPr>
                  <w:rFonts w:ascii="Cambria Math" w:eastAsia="Cambria Math" w:hAnsi="Times New Roman" w:cs="Times New Roman"/>
                  <w:color w:val="000000" w:themeColor="text1"/>
                  <w:sz w:val="24"/>
                  <w:szCs w:val="24"/>
                </w:rPr>
              </m:ctrlPr>
            </m:sSubPr>
            <m:e>
              <m:sSub>
                <m:sSubPr>
                  <m:ctrlPr>
                    <w:rPr>
                      <w:rFonts w:ascii="Cambria Math" w:eastAsia="Cambria Math" w:hAnsi="Times New Roman" w:cs="Times New Roman"/>
                      <w:color w:val="000000" w:themeColor="text1"/>
                      <w:sz w:val="24"/>
                      <w:szCs w:val="24"/>
                    </w:rPr>
                  </m:ctrlPr>
                </m:sSubPr>
                <m:e>
                  <m:r>
                    <w:rPr>
                      <w:rFonts w:ascii="Cambria Math" w:eastAsia="Cambria Math" w:hAnsi="Cambria Math" w:cs="Times New Roman"/>
                      <w:color w:val="000000" w:themeColor="text1"/>
                      <w:sz w:val="24"/>
                      <w:szCs w:val="24"/>
                    </w:rPr>
                    <m:t>λ</m:t>
                  </m:r>
                </m:e>
                <m:sub>
                  <m:r>
                    <w:rPr>
                      <w:rFonts w:ascii="Cambria Math" w:eastAsia="Cambria Math" w:hAnsi="Times New Roman" w:cs="Times New Roman"/>
                      <w:color w:val="000000" w:themeColor="text1"/>
                      <w:sz w:val="24"/>
                      <w:szCs w:val="24"/>
                    </w:rPr>
                    <m:t>1</m:t>
                  </m:r>
                </m:sub>
              </m:sSub>
              <m:r>
                <w:rPr>
                  <w:rFonts w:ascii="Cambria Math" w:eastAsia="Cambria Math" w:hAnsi="Cambria Math" w:cs="Times New Roman"/>
                  <w:color w:val="000000" w:themeColor="text1"/>
                  <w:sz w:val="24"/>
                  <w:szCs w:val="24"/>
                </w:rPr>
                <m:t>ΔGR</m:t>
              </m:r>
            </m:e>
            <m:sub>
              <m:r>
                <w:rPr>
                  <w:rFonts w:ascii="Cambria Math" w:eastAsia="Cambria Math" w:hAnsi="Cambria Math" w:cs="Times New Roman"/>
                  <w:color w:val="000000" w:themeColor="text1"/>
                  <w:sz w:val="24"/>
                  <w:szCs w:val="24"/>
                </w:rPr>
                <m:t>t</m:t>
              </m:r>
              <m:r>
                <w:rPr>
                  <w:rFonts w:ascii="Times New Roman" w:eastAsia="Times New Roman" w:hAnsi="Times New Roman" w:cs="Times New Roman"/>
                  <w:color w:val="000000" w:themeColor="text1"/>
                  <w:sz w:val="24"/>
                  <w:szCs w:val="24"/>
                </w:rPr>
                <m:t>-</m:t>
              </m:r>
              <m:r>
                <w:rPr>
                  <w:rFonts w:ascii="Cambria Math" w:eastAsia="Cambria Math" w:hAnsi="Times New Roman" w:cs="Times New Roman"/>
                  <w:color w:val="000000" w:themeColor="text1"/>
                  <w:sz w:val="24"/>
                  <w:szCs w:val="24"/>
                </w:rPr>
                <m:t>1</m:t>
              </m:r>
            </m:sub>
          </m:sSub>
          <m:r>
            <w:rPr>
              <w:rFonts w:ascii="Cambria Math" w:eastAsia="Cambria Math" w:hAnsi="Times New Roman" w:cs="Times New Roman"/>
              <w:color w:val="000000" w:themeColor="text1"/>
              <w:sz w:val="24"/>
              <w:szCs w:val="24"/>
            </w:rPr>
            <m:t>+</m:t>
          </m:r>
          <m:sSub>
            <m:sSubPr>
              <m:ctrlPr>
                <w:rPr>
                  <w:rFonts w:ascii="Cambria Math" w:eastAsia="Cambria Math" w:hAnsi="Times New Roman" w:cs="Times New Roman"/>
                  <w:color w:val="000000" w:themeColor="text1"/>
                  <w:sz w:val="24"/>
                  <w:szCs w:val="24"/>
                </w:rPr>
              </m:ctrlPr>
            </m:sSubPr>
            <m:e>
              <m:sSub>
                <m:sSubPr>
                  <m:ctrlPr>
                    <w:rPr>
                      <w:rFonts w:ascii="Cambria Math" w:eastAsia="Cambria Math" w:hAnsi="Times New Roman" w:cs="Times New Roman"/>
                      <w:color w:val="000000" w:themeColor="text1"/>
                      <w:sz w:val="24"/>
                      <w:szCs w:val="24"/>
                    </w:rPr>
                  </m:ctrlPr>
                </m:sSubPr>
                <m:e>
                  <m:r>
                    <w:rPr>
                      <w:rFonts w:ascii="Cambria Math" w:eastAsia="Cambria Math" w:hAnsi="Cambria Math" w:cs="Times New Roman"/>
                      <w:color w:val="000000" w:themeColor="text1"/>
                      <w:sz w:val="24"/>
                      <w:szCs w:val="24"/>
                    </w:rPr>
                    <m:t>λ</m:t>
                  </m:r>
                </m:e>
                <m:sub>
                  <m:r>
                    <w:rPr>
                      <w:rFonts w:ascii="Cambria Math" w:eastAsia="Cambria Math" w:hAnsi="Times New Roman" w:cs="Times New Roman"/>
                      <w:color w:val="000000" w:themeColor="text1"/>
                      <w:sz w:val="24"/>
                      <w:szCs w:val="24"/>
                    </w:rPr>
                    <m:t>2</m:t>
                  </m:r>
                </m:sub>
              </m:sSub>
              <m:r>
                <w:rPr>
                  <w:rFonts w:ascii="Cambria Math" w:eastAsia="Cambria Math" w:hAnsi="Cambria Math" w:cs="Times New Roman"/>
                  <w:color w:val="000000" w:themeColor="text1"/>
                  <w:sz w:val="24"/>
                  <w:szCs w:val="24"/>
                </w:rPr>
                <m:t>ΔNBD</m:t>
              </m:r>
            </m:e>
            <m:sub>
              <m:r>
                <w:rPr>
                  <w:rFonts w:ascii="Cambria Math" w:eastAsia="Cambria Math" w:hAnsi="Cambria Math" w:cs="Times New Roman"/>
                  <w:color w:val="000000" w:themeColor="text1"/>
                  <w:sz w:val="24"/>
                  <w:szCs w:val="24"/>
                </w:rPr>
                <m:t>t</m:t>
              </m:r>
              <m:r>
                <w:rPr>
                  <w:rFonts w:ascii="Times New Roman" w:eastAsia="Times New Roman" w:hAnsi="Times New Roman" w:cs="Times New Roman"/>
                  <w:color w:val="000000" w:themeColor="text1"/>
                  <w:sz w:val="24"/>
                  <w:szCs w:val="24"/>
                </w:rPr>
                <m:t>-</m:t>
              </m:r>
              <m:r>
                <w:rPr>
                  <w:rFonts w:ascii="Cambria Math" w:eastAsia="Cambria Math" w:hAnsi="Times New Roman" w:cs="Times New Roman"/>
                  <w:color w:val="000000" w:themeColor="text1"/>
                  <w:sz w:val="24"/>
                  <w:szCs w:val="24"/>
                </w:rPr>
                <m:t>1</m:t>
              </m:r>
            </m:sub>
          </m:sSub>
          <m:r>
            <w:rPr>
              <w:rFonts w:ascii="Cambria Math" w:eastAsia="Cambria Math" w:hAnsi="Times New Roman" w:cs="Times New Roman"/>
              <w:color w:val="000000" w:themeColor="text1"/>
              <w:sz w:val="24"/>
              <w:szCs w:val="24"/>
            </w:rPr>
            <m:t>+</m:t>
          </m:r>
          <m:sSub>
            <m:sSubPr>
              <m:ctrlPr>
                <w:rPr>
                  <w:rFonts w:ascii="Cambria Math" w:eastAsia="Cambria Math" w:hAnsi="Times New Roman" w:cs="Times New Roman"/>
                  <w:color w:val="000000" w:themeColor="text1"/>
                  <w:sz w:val="24"/>
                  <w:szCs w:val="24"/>
                </w:rPr>
              </m:ctrlPr>
            </m:sSubPr>
            <m:e>
              <m:sSub>
                <m:sSubPr>
                  <m:ctrlPr>
                    <w:rPr>
                      <w:rFonts w:ascii="Cambria Math" w:eastAsia="Cambria Math" w:hAnsi="Times New Roman" w:cs="Times New Roman"/>
                      <w:color w:val="000000" w:themeColor="text1"/>
                      <w:sz w:val="24"/>
                      <w:szCs w:val="24"/>
                    </w:rPr>
                  </m:ctrlPr>
                </m:sSubPr>
                <m:e>
                  <m:r>
                    <w:rPr>
                      <w:rFonts w:ascii="Cambria Math" w:eastAsia="Cambria Math" w:hAnsi="Cambria Math" w:cs="Times New Roman"/>
                      <w:color w:val="000000" w:themeColor="text1"/>
                      <w:sz w:val="24"/>
                      <w:szCs w:val="24"/>
                    </w:rPr>
                    <m:t>λ</m:t>
                  </m:r>
                </m:e>
                <m:sub>
                  <m:r>
                    <w:rPr>
                      <w:rFonts w:ascii="Cambria Math" w:eastAsia="Cambria Math" w:hAnsi="Times New Roman" w:cs="Times New Roman"/>
                      <w:color w:val="000000" w:themeColor="text1"/>
                      <w:sz w:val="24"/>
                      <w:szCs w:val="24"/>
                    </w:rPr>
                    <m:t>3</m:t>
                  </m:r>
                </m:sub>
              </m:sSub>
              <m:r>
                <w:rPr>
                  <w:rFonts w:ascii="Cambria Math" w:eastAsia="Cambria Math" w:hAnsi="Cambria Math" w:cs="Times New Roman"/>
                  <w:color w:val="000000" w:themeColor="text1"/>
                  <w:sz w:val="24"/>
                  <w:szCs w:val="24"/>
                </w:rPr>
                <m:t>ΔALR</m:t>
              </m:r>
            </m:e>
            <m:sub>
              <m:r>
                <w:rPr>
                  <w:rFonts w:ascii="Cambria Math" w:eastAsia="Cambria Math" w:hAnsi="Cambria Math" w:cs="Times New Roman"/>
                  <w:color w:val="000000" w:themeColor="text1"/>
                  <w:sz w:val="24"/>
                  <w:szCs w:val="24"/>
                </w:rPr>
                <m:t>t</m:t>
              </m:r>
              <m:r>
                <w:rPr>
                  <w:rFonts w:ascii="Times New Roman" w:eastAsia="Times New Roman" w:hAnsi="Times New Roman" w:cs="Times New Roman"/>
                  <w:color w:val="000000" w:themeColor="text1"/>
                  <w:sz w:val="24"/>
                  <w:szCs w:val="24"/>
                </w:rPr>
                <m:t>-</m:t>
              </m:r>
              <m:r>
                <w:rPr>
                  <w:rFonts w:ascii="Cambria Math" w:eastAsia="Cambria Math" w:hAnsi="Times New Roman" w:cs="Times New Roman"/>
                  <w:color w:val="000000" w:themeColor="text1"/>
                  <w:sz w:val="24"/>
                  <w:szCs w:val="24"/>
                </w:rPr>
                <m:t>1</m:t>
              </m:r>
            </m:sub>
          </m:sSub>
          <m:r>
            <w:rPr>
              <w:rFonts w:ascii="Cambria Math" w:eastAsia="Cambria Math" w:hAnsi="Times New Roman" w:cs="Times New Roman"/>
              <w:color w:val="000000" w:themeColor="text1"/>
              <w:sz w:val="24"/>
              <w:szCs w:val="24"/>
            </w:rPr>
            <m:t>+</m:t>
          </m:r>
          <m:sSub>
            <m:sSubPr>
              <m:ctrlPr>
                <w:rPr>
                  <w:rFonts w:ascii="Cambria Math" w:eastAsia="Cambria Math" w:hAnsi="Times New Roman" w:cs="Times New Roman"/>
                  <w:color w:val="000000" w:themeColor="text1"/>
                  <w:sz w:val="24"/>
                  <w:szCs w:val="24"/>
                </w:rPr>
              </m:ctrlPr>
            </m:sSubPr>
            <m:e>
              <m:r>
                <w:rPr>
                  <w:rFonts w:ascii="Cambria Math" w:eastAsia="Cambria Math" w:hAnsi="Cambria Math" w:cs="Times New Roman"/>
                  <w:color w:val="000000" w:themeColor="text1"/>
                  <w:sz w:val="24"/>
                  <w:szCs w:val="24"/>
                </w:rPr>
                <m:t>ε</m:t>
              </m:r>
            </m:e>
            <m:sub>
              <m:r>
                <w:rPr>
                  <w:rFonts w:ascii="Cambria Math" w:eastAsia="Cambria Math" w:hAnsi="Cambria Math" w:cs="Times New Roman"/>
                  <w:color w:val="000000" w:themeColor="text1"/>
                  <w:sz w:val="24"/>
                  <w:szCs w:val="24"/>
                </w:rPr>
                <m:t>t</m:t>
              </m:r>
            </m:sub>
          </m:sSub>
          <m:r>
            <w:rPr>
              <w:rFonts w:ascii="Times New Roman" w:eastAsia="Times New Roman" w:hAnsi="Times New Roman" w:cs="Times New Roman"/>
              <w:color w:val="000000" w:themeColor="text1"/>
              <w:sz w:val="24"/>
              <w:szCs w:val="24"/>
            </w:rPr>
            <m:t>----------------------</m:t>
          </m:r>
          <m:r>
            <w:rPr>
              <w:rFonts w:ascii="Cambria Math" w:eastAsia="Cambria Math" w:hAnsi="Times New Roman" w:cs="Times New Roman"/>
              <w:color w:val="000000" w:themeColor="text1"/>
              <w:sz w:val="24"/>
              <w:szCs w:val="24"/>
            </w:rPr>
            <m:t>(3)</m:t>
          </m:r>
        </m:oMath>
      </m:oMathPara>
    </w:p>
    <w:p w14:paraId="6E55976F" w14:textId="77777777" w:rsidR="00472922" w:rsidRPr="00831711" w:rsidRDefault="00B5152B">
      <w:pPr>
        <w:spacing w:before="280"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Where: Δ = First difference operator; GR = Economic growth rate; NBD = New business density; ALR = Literacy Rate; p = Optimal lag length selected using the Akaike Information Criterion (AIC); β</w:t>
      </w:r>
      <w:r w:rsidRPr="00831711">
        <w:rPr>
          <w:rFonts w:ascii="Times New Roman" w:eastAsia="Cambria Math" w:hAnsi="Cambria Math" w:cs="Times New Roman"/>
          <w:color w:val="000000" w:themeColor="text1"/>
          <w:sz w:val="24"/>
          <w:szCs w:val="24"/>
        </w:rPr>
        <w:t>₀</w:t>
      </w:r>
      <w:r w:rsidRPr="00831711">
        <w:rPr>
          <w:rFonts w:ascii="Times New Roman" w:eastAsia="Times New Roman" w:hAnsi="Times New Roman" w:cs="Times New Roman"/>
          <w:color w:val="000000" w:themeColor="text1"/>
          <w:sz w:val="24"/>
          <w:szCs w:val="24"/>
        </w:rPr>
        <w:t xml:space="preserve"> = Intercept; β</w:t>
      </w:r>
      <w:r w:rsidRPr="00831711">
        <w:rPr>
          <w:rFonts w:ascii="Cambria Math" w:eastAsia="Cambria Math" w:hAnsi="Cambria Math" w:cs="Times New Roman"/>
          <w:color w:val="000000" w:themeColor="text1"/>
          <w:sz w:val="24"/>
          <w:szCs w:val="24"/>
        </w:rPr>
        <w:t>₁</w:t>
      </w:r>
      <w:r w:rsidRPr="00831711">
        <w:rPr>
          <w:rFonts w:ascii="Times New Roman" w:eastAsia="Times New Roman" w:hAnsi="Times New Roman" w:cs="Times New Roman"/>
          <w:color w:val="000000" w:themeColor="text1"/>
          <w:sz w:val="24"/>
          <w:szCs w:val="24"/>
        </w:rPr>
        <w:t>–β</w:t>
      </w:r>
      <w:r w:rsidRPr="00831711">
        <w:rPr>
          <w:rFonts w:ascii="Cambria Math" w:eastAsia="Cambria Math" w:hAnsi="Cambria Math" w:cs="Times New Roman"/>
          <w:color w:val="000000" w:themeColor="text1"/>
          <w:sz w:val="24"/>
          <w:szCs w:val="24"/>
        </w:rPr>
        <w:t>₂</w:t>
      </w:r>
      <w:r w:rsidRPr="00831711">
        <w:rPr>
          <w:rFonts w:ascii="Times New Roman" w:eastAsia="Times New Roman" w:hAnsi="Times New Roman" w:cs="Times New Roman"/>
          <w:color w:val="000000" w:themeColor="text1"/>
          <w:sz w:val="24"/>
          <w:szCs w:val="24"/>
        </w:rPr>
        <w:t xml:space="preserve"> = Short-run dynamic coefficients; λ</w:t>
      </w:r>
      <w:r w:rsidRPr="00831711">
        <w:rPr>
          <w:rFonts w:ascii="Cambria Math" w:eastAsia="Cambria Math" w:hAnsi="Cambria Math" w:cs="Times New Roman"/>
          <w:color w:val="000000" w:themeColor="text1"/>
          <w:sz w:val="24"/>
          <w:szCs w:val="24"/>
        </w:rPr>
        <w:t>₁</w:t>
      </w:r>
      <w:r w:rsidRPr="00831711">
        <w:rPr>
          <w:rFonts w:ascii="Times New Roman" w:eastAsia="Times New Roman" w:hAnsi="Times New Roman" w:cs="Times New Roman"/>
          <w:color w:val="000000" w:themeColor="text1"/>
          <w:sz w:val="24"/>
          <w:szCs w:val="24"/>
        </w:rPr>
        <w:t>–λ</w:t>
      </w:r>
      <w:r w:rsidRPr="00831711">
        <w:rPr>
          <w:rFonts w:ascii="Cambria Math" w:eastAsia="Cambria Math" w:hAnsi="Cambria Math" w:cs="Times New Roman"/>
          <w:color w:val="000000" w:themeColor="text1"/>
          <w:sz w:val="24"/>
          <w:szCs w:val="24"/>
        </w:rPr>
        <w:t>₂</w:t>
      </w:r>
      <w:r w:rsidRPr="00831711">
        <w:rPr>
          <w:rFonts w:ascii="Times New Roman" w:eastAsia="Times New Roman" w:hAnsi="Times New Roman" w:cs="Times New Roman"/>
          <w:color w:val="000000" w:themeColor="text1"/>
          <w:sz w:val="24"/>
          <w:szCs w:val="24"/>
        </w:rPr>
        <w:t xml:space="preserve"> = Long-run coefficients; and </w:t>
      </w:r>
      <m:oMath>
        <m:sSub>
          <m:sSubPr>
            <m:ctrlPr>
              <w:rPr>
                <w:rFonts w:ascii="Cambria Math" w:eastAsia="Cambria Math" w:hAnsi="Times New Roman" w:cs="Times New Roman"/>
                <w:color w:val="000000" w:themeColor="text1"/>
                <w:sz w:val="24"/>
                <w:szCs w:val="24"/>
              </w:rPr>
            </m:ctrlPr>
          </m:sSubPr>
          <m:e>
            <m:r>
              <w:rPr>
                <w:rFonts w:ascii="Cambria Math" w:hAnsi="Cambria Math" w:cs="Times New Roman"/>
                <w:color w:val="000000" w:themeColor="text1"/>
                <w:sz w:val="24"/>
                <w:szCs w:val="24"/>
              </w:rPr>
              <m:t>ε</m:t>
            </m:r>
          </m:e>
          <m:sub>
            <m:r>
              <w:rPr>
                <w:rFonts w:ascii="Cambria Math" w:eastAsia="Cambria Math" w:hAnsi="Cambria Math" w:cs="Times New Roman"/>
                <w:color w:val="000000" w:themeColor="text1"/>
                <w:sz w:val="24"/>
                <w:szCs w:val="24"/>
              </w:rPr>
              <m:t>t</m:t>
            </m:r>
          </m:sub>
        </m:sSub>
      </m:oMath>
      <w:r w:rsidRPr="00831711">
        <w:rPr>
          <w:rFonts w:ascii="Times New Roman" w:eastAsia="Times New Roman" w:hAnsi="Times New Roman" w:cs="Times New Roman"/>
          <w:color w:val="000000" w:themeColor="text1"/>
          <w:sz w:val="24"/>
          <w:szCs w:val="24"/>
        </w:rPr>
        <w:t xml:space="preserve"> = White-noise error term.</w:t>
      </w:r>
    </w:p>
    <w:p w14:paraId="649F63F9" w14:textId="77777777" w:rsidR="00472922" w:rsidRPr="00831711" w:rsidRDefault="00B5152B">
      <w:pPr>
        <w:spacing w:before="280"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The stationarity of the variables was tested before estimating the ARDL model using the Augmented Dickey–Fuller (ADF) unit root test to ensure that no variable was integrated beyond the first order. Next, the ARDL Bounds Cointegration Test was conducted to test for a long-run </w:t>
      </w:r>
      <w:r w:rsidRPr="00831711">
        <w:rPr>
          <w:rFonts w:ascii="Times New Roman" w:eastAsia="Times New Roman" w:hAnsi="Times New Roman" w:cs="Times New Roman"/>
          <w:color w:val="000000" w:themeColor="text1"/>
          <w:sz w:val="24"/>
          <w:szCs w:val="24"/>
        </w:rPr>
        <w:lastRenderedPageBreak/>
        <w:t>equilibrium relationship between new business density and economic growth. Cointegration was confirmed, and the long-run coefficients and corresponding Error Correction Model (ECM) were estimated. The robustness of the estimated model was also assessed using the following diagnostic tests: Breusch–Godfrey Serial Correlation LM Test, Breusch–Pagan–Godfrey Heteroskedasticity Test, Jarque–Bera Normality Test and Ramsey RESET Specification Test.</w:t>
      </w:r>
    </w:p>
    <w:p w14:paraId="51CB41F7" w14:textId="77777777" w:rsidR="00472922" w:rsidRPr="00831711" w:rsidRDefault="00B5152B">
      <w:pPr>
        <w:spacing w:before="280" w:after="280" w:line="240" w:lineRule="auto"/>
        <w:rPr>
          <w:rFonts w:ascii="Times New Roman" w:eastAsia="Times New Roman" w:hAnsi="Times New Roman" w:cs="Times New Roman"/>
          <w:b/>
          <w:bCs/>
          <w:color w:val="000000" w:themeColor="text1"/>
          <w:sz w:val="24"/>
          <w:szCs w:val="24"/>
        </w:rPr>
      </w:pPr>
      <w:r w:rsidRPr="00831711">
        <w:rPr>
          <w:rFonts w:ascii="Times New Roman" w:eastAsia="Times New Roman" w:hAnsi="Times New Roman" w:cs="Times New Roman"/>
          <w:b/>
          <w:bCs/>
          <w:color w:val="000000" w:themeColor="text1"/>
          <w:sz w:val="24"/>
          <w:szCs w:val="24"/>
        </w:rPr>
        <w:t>4.0 Results and Discussion</w:t>
      </w:r>
    </w:p>
    <w:p w14:paraId="7DAE79E4" w14:textId="77777777" w:rsidR="00472922" w:rsidRPr="00831711" w:rsidRDefault="00B5152B">
      <w:pPr>
        <w:pBdr>
          <w:top w:val="nil"/>
          <w:left w:val="nil"/>
          <w:bottom w:val="nil"/>
          <w:right w:val="nil"/>
          <w:between w:val="nil"/>
        </w:pBdr>
        <w:spacing w:after="0" w:line="240" w:lineRule="auto"/>
        <w:ind w:right="982" w:firstLine="5"/>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Table 1: Descriptive Statistics of the Variables </w:t>
      </w:r>
    </w:p>
    <w:tbl>
      <w:tblPr>
        <w:tblStyle w:val="a"/>
        <w:tblW w:w="9576" w:type="dxa"/>
        <w:tblInd w:w="-115" w:type="dxa"/>
        <w:tblLayout w:type="fixed"/>
        <w:tblLook w:val="0400" w:firstRow="0" w:lastRow="0" w:firstColumn="0" w:lastColumn="0" w:noHBand="0" w:noVBand="1"/>
      </w:tblPr>
      <w:tblGrid>
        <w:gridCol w:w="3078"/>
        <w:gridCol w:w="2323"/>
        <w:gridCol w:w="2294"/>
        <w:gridCol w:w="1881"/>
      </w:tblGrid>
      <w:tr w:rsidR="00472922" w:rsidRPr="00831711" w14:paraId="32D69C37" w14:textId="77777777">
        <w:trPr>
          <w:cantSplit/>
          <w:trHeight w:val="338"/>
          <w:tblHeader/>
        </w:trPr>
        <w:tc>
          <w:tcPr>
            <w:tcW w:w="3078" w:type="dxa"/>
            <w:tcBorders>
              <w:top w:val="single" w:sz="8" w:space="0" w:color="000000"/>
              <w:left w:val="nil"/>
              <w:bottom w:val="single" w:sz="8" w:space="0" w:color="000000"/>
              <w:right w:val="nil"/>
            </w:tcBorders>
          </w:tcPr>
          <w:p w14:paraId="298725E0" w14:textId="77777777" w:rsidR="00472922" w:rsidRPr="00831711" w:rsidRDefault="00472922">
            <w:pPr>
              <w:pBdr>
                <w:top w:val="nil"/>
                <w:left w:val="nil"/>
                <w:bottom w:val="nil"/>
                <w:right w:val="nil"/>
                <w:between w:val="nil"/>
              </w:pBdr>
              <w:spacing w:after="0" w:line="240" w:lineRule="auto"/>
              <w:ind w:right="103"/>
              <w:jc w:val="center"/>
              <w:rPr>
                <w:rFonts w:ascii="Times New Roman" w:eastAsia="Times New Roman" w:hAnsi="Times New Roman" w:cs="Times New Roman"/>
                <w:color w:val="000000" w:themeColor="text1"/>
                <w:sz w:val="24"/>
                <w:szCs w:val="24"/>
              </w:rPr>
            </w:pPr>
          </w:p>
        </w:tc>
        <w:tc>
          <w:tcPr>
            <w:tcW w:w="2323" w:type="dxa"/>
            <w:tcBorders>
              <w:top w:val="single" w:sz="8" w:space="0" w:color="000000"/>
              <w:left w:val="nil"/>
              <w:bottom w:val="single" w:sz="8" w:space="0" w:color="000000"/>
              <w:right w:val="nil"/>
            </w:tcBorders>
          </w:tcPr>
          <w:p w14:paraId="40C4DA91" w14:textId="77777777" w:rsidR="00472922" w:rsidRPr="00831711" w:rsidRDefault="00B5152B">
            <w:pPr>
              <w:pBdr>
                <w:top w:val="nil"/>
                <w:left w:val="nil"/>
                <w:bottom w:val="nil"/>
                <w:right w:val="nil"/>
                <w:between w:val="nil"/>
              </w:pBdr>
              <w:spacing w:after="0" w:line="240" w:lineRule="auto"/>
              <w:ind w:left="324"/>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GR </w:t>
            </w:r>
          </w:p>
        </w:tc>
        <w:tc>
          <w:tcPr>
            <w:tcW w:w="2294" w:type="dxa"/>
            <w:tcBorders>
              <w:top w:val="single" w:sz="8" w:space="0" w:color="000000"/>
              <w:left w:val="nil"/>
              <w:bottom w:val="single" w:sz="8" w:space="0" w:color="000000"/>
              <w:right w:val="nil"/>
            </w:tcBorders>
          </w:tcPr>
          <w:p w14:paraId="5B01BE7F" w14:textId="77777777" w:rsidR="00472922" w:rsidRPr="00831711" w:rsidRDefault="00B5152B">
            <w:pPr>
              <w:pBdr>
                <w:top w:val="nil"/>
                <w:left w:val="nil"/>
                <w:bottom w:val="nil"/>
                <w:right w:val="nil"/>
                <w:between w:val="nil"/>
              </w:pBdr>
              <w:spacing w:after="0" w:line="240" w:lineRule="auto"/>
              <w:ind w:left="229"/>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NBD </w:t>
            </w:r>
          </w:p>
        </w:tc>
        <w:tc>
          <w:tcPr>
            <w:tcW w:w="1881" w:type="dxa"/>
            <w:tcBorders>
              <w:top w:val="single" w:sz="8" w:space="0" w:color="000000"/>
              <w:left w:val="nil"/>
              <w:bottom w:val="single" w:sz="8" w:space="0" w:color="000000"/>
              <w:right w:val="nil"/>
            </w:tcBorders>
          </w:tcPr>
          <w:p w14:paraId="6CF5F576" w14:textId="77777777" w:rsidR="00472922" w:rsidRPr="00831711" w:rsidRDefault="00B5152B">
            <w:pPr>
              <w:pBdr>
                <w:top w:val="nil"/>
                <w:left w:val="nil"/>
                <w:bottom w:val="nil"/>
                <w:right w:val="nil"/>
                <w:between w:val="nil"/>
              </w:pBdr>
              <w:spacing w:after="0" w:line="240" w:lineRule="auto"/>
              <w:ind w:left="248"/>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ALR </w:t>
            </w:r>
          </w:p>
        </w:tc>
      </w:tr>
      <w:tr w:rsidR="00472922" w:rsidRPr="00831711" w14:paraId="4D996E21" w14:textId="77777777">
        <w:trPr>
          <w:cantSplit/>
          <w:trHeight w:val="329"/>
          <w:tblHeader/>
        </w:trPr>
        <w:tc>
          <w:tcPr>
            <w:tcW w:w="3078" w:type="dxa"/>
            <w:tcBorders>
              <w:top w:val="single" w:sz="8" w:space="0" w:color="000000"/>
              <w:left w:val="nil"/>
              <w:bottom w:val="nil"/>
              <w:right w:val="nil"/>
            </w:tcBorders>
          </w:tcPr>
          <w:p w14:paraId="6E33B6A1" w14:textId="77777777" w:rsidR="00472922" w:rsidRPr="00831711"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 Mean </w:t>
            </w:r>
          </w:p>
        </w:tc>
        <w:tc>
          <w:tcPr>
            <w:tcW w:w="2323" w:type="dxa"/>
            <w:tcBorders>
              <w:top w:val="single" w:sz="8" w:space="0" w:color="000000"/>
              <w:left w:val="nil"/>
              <w:bottom w:val="nil"/>
              <w:right w:val="nil"/>
            </w:tcBorders>
          </w:tcPr>
          <w:p w14:paraId="50F237B9" w14:textId="77777777" w:rsidR="00472922" w:rsidRPr="00831711" w:rsidRDefault="00B5152B">
            <w:pPr>
              <w:pBdr>
                <w:top w:val="nil"/>
                <w:left w:val="nil"/>
                <w:bottom w:val="nil"/>
                <w:right w:val="nil"/>
                <w:between w:val="nil"/>
              </w:pBdr>
              <w:spacing w:after="0" w:line="240" w:lineRule="auto"/>
              <w:ind w:left="8"/>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 5.304762 </w:t>
            </w:r>
          </w:p>
        </w:tc>
        <w:tc>
          <w:tcPr>
            <w:tcW w:w="2294" w:type="dxa"/>
            <w:tcBorders>
              <w:top w:val="single" w:sz="8" w:space="0" w:color="000000"/>
              <w:left w:val="nil"/>
              <w:bottom w:val="nil"/>
              <w:right w:val="nil"/>
            </w:tcBorders>
          </w:tcPr>
          <w:p w14:paraId="77508A26" w14:textId="77777777" w:rsidR="00472922" w:rsidRPr="00831711" w:rsidRDefault="00B5152B">
            <w:pPr>
              <w:pBdr>
                <w:top w:val="nil"/>
                <w:left w:val="nil"/>
                <w:bottom w:val="nil"/>
                <w:right w:val="nil"/>
                <w:between w:val="nil"/>
              </w:pBdr>
              <w:spacing w:after="0" w:line="240" w:lineRule="auto"/>
              <w:ind w:left="2"/>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 0.774667 </w:t>
            </w:r>
          </w:p>
        </w:tc>
        <w:tc>
          <w:tcPr>
            <w:tcW w:w="1881" w:type="dxa"/>
            <w:tcBorders>
              <w:top w:val="single" w:sz="8" w:space="0" w:color="000000"/>
              <w:left w:val="nil"/>
              <w:bottom w:val="nil"/>
              <w:right w:val="nil"/>
            </w:tcBorders>
          </w:tcPr>
          <w:p w14:paraId="67D0BAC1" w14:textId="77777777" w:rsidR="00472922" w:rsidRPr="00831711" w:rsidRDefault="00B5152B">
            <w:pPr>
              <w:pBdr>
                <w:top w:val="nil"/>
                <w:left w:val="nil"/>
                <w:bottom w:val="nil"/>
                <w:right w:val="nil"/>
                <w:between w:val="nil"/>
              </w:pBdr>
              <w:spacing w:after="0" w:line="240" w:lineRule="auto"/>
              <w:ind w:left="1"/>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 91.36721 </w:t>
            </w:r>
          </w:p>
        </w:tc>
      </w:tr>
      <w:tr w:rsidR="00472922" w:rsidRPr="00831711" w14:paraId="42FEEE34" w14:textId="77777777">
        <w:trPr>
          <w:cantSplit/>
          <w:trHeight w:val="317"/>
          <w:tblHeader/>
        </w:trPr>
        <w:tc>
          <w:tcPr>
            <w:tcW w:w="3078" w:type="dxa"/>
            <w:tcBorders>
              <w:top w:val="nil"/>
              <w:left w:val="nil"/>
              <w:bottom w:val="nil"/>
              <w:right w:val="nil"/>
            </w:tcBorders>
          </w:tcPr>
          <w:p w14:paraId="1222D709" w14:textId="77777777" w:rsidR="00472922" w:rsidRPr="00831711"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 Median </w:t>
            </w:r>
          </w:p>
        </w:tc>
        <w:tc>
          <w:tcPr>
            <w:tcW w:w="2323" w:type="dxa"/>
            <w:tcBorders>
              <w:top w:val="nil"/>
              <w:left w:val="nil"/>
              <w:bottom w:val="nil"/>
              <w:right w:val="nil"/>
            </w:tcBorders>
          </w:tcPr>
          <w:p w14:paraId="5DA02F16" w14:textId="77777777" w:rsidR="00472922" w:rsidRPr="00831711" w:rsidRDefault="00B5152B">
            <w:pPr>
              <w:pBdr>
                <w:top w:val="nil"/>
                <w:left w:val="nil"/>
                <w:bottom w:val="nil"/>
                <w:right w:val="nil"/>
                <w:between w:val="nil"/>
              </w:pBdr>
              <w:spacing w:after="0" w:line="240" w:lineRule="auto"/>
              <w:ind w:left="7"/>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 6.100000 </w:t>
            </w:r>
          </w:p>
        </w:tc>
        <w:tc>
          <w:tcPr>
            <w:tcW w:w="2294" w:type="dxa"/>
            <w:tcBorders>
              <w:top w:val="nil"/>
              <w:left w:val="nil"/>
              <w:bottom w:val="nil"/>
              <w:right w:val="nil"/>
            </w:tcBorders>
          </w:tcPr>
          <w:p w14:paraId="653B4F62" w14:textId="77777777" w:rsidR="00472922" w:rsidRPr="00831711" w:rsidRDefault="00B5152B">
            <w:pPr>
              <w:pBdr>
                <w:top w:val="nil"/>
                <w:left w:val="nil"/>
                <w:bottom w:val="nil"/>
                <w:right w:val="nil"/>
                <w:between w:val="nil"/>
              </w:pBdr>
              <w:spacing w:after="0" w:line="240" w:lineRule="auto"/>
              <w:ind w:left="1"/>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 0.800000 </w:t>
            </w:r>
          </w:p>
        </w:tc>
        <w:tc>
          <w:tcPr>
            <w:tcW w:w="1881" w:type="dxa"/>
            <w:tcBorders>
              <w:top w:val="nil"/>
              <w:left w:val="nil"/>
              <w:bottom w:val="nil"/>
              <w:right w:val="nil"/>
            </w:tcBorders>
          </w:tcPr>
          <w:p w14:paraId="2F614E20" w14:textId="77777777" w:rsidR="00472922" w:rsidRPr="00831711" w:rsidRDefault="00B5152B">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 92.92560 </w:t>
            </w:r>
          </w:p>
        </w:tc>
      </w:tr>
      <w:tr w:rsidR="00472922" w:rsidRPr="00831711" w14:paraId="3743E3BC" w14:textId="77777777">
        <w:trPr>
          <w:cantSplit/>
          <w:trHeight w:val="318"/>
          <w:tblHeader/>
        </w:trPr>
        <w:tc>
          <w:tcPr>
            <w:tcW w:w="3078" w:type="dxa"/>
            <w:tcBorders>
              <w:top w:val="nil"/>
              <w:left w:val="nil"/>
              <w:bottom w:val="nil"/>
              <w:right w:val="nil"/>
            </w:tcBorders>
          </w:tcPr>
          <w:p w14:paraId="49050CCB" w14:textId="77777777" w:rsidR="00472922" w:rsidRPr="00831711"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 Maximum </w:t>
            </w:r>
          </w:p>
        </w:tc>
        <w:tc>
          <w:tcPr>
            <w:tcW w:w="2323" w:type="dxa"/>
            <w:tcBorders>
              <w:top w:val="nil"/>
              <w:left w:val="nil"/>
              <w:bottom w:val="nil"/>
              <w:right w:val="nil"/>
            </w:tcBorders>
          </w:tcPr>
          <w:p w14:paraId="61C8A1A9" w14:textId="77777777" w:rsidR="00472922" w:rsidRPr="00831711" w:rsidRDefault="00B5152B">
            <w:pPr>
              <w:pBdr>
                <w:top w:val="nil"/>
                <w:left w:val="nil"/>
                <w:bottom w:val="nil"/>
                <w:right w:val="nil"/>
                <w:between w:val="nil"/>
              </w:pBdr>
              <w:spacing w:after="0" w:line="240" w:lineRule="auto"/>
              <w:ind w:left="8"/>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 15.30000 </w:t>
            </w:r>
          </w:p>
        </w:tc>
        <w:tc>
          <w:tcPr>
            <w:tcW w:w="2294" w:type="dxa"/>
            <w:tcBorders>
              <w:top w:val="nil"/>
              <w:left w:val="nil"/>
              <w:bottom w:val="nil"/>
              <w:right w:val="nil"/>
            </w:tcBorders>
          </w:tcPr>
          <w:p w14:paraId="68EEA908" w14:textId="77777777" w:rsidR="00472922" w:rsidRPr="00831711" w:rsidRDefault="00B5152B">
            <w:pPr>
              <w:pBdr>
                <w:top w:val="nil"/>
                <w:left w:val="nil"/>
                <w:bottom w:val="nil"/>
                <w:right w:val="nil"/>
                <w:between w:val="nil"/>
              </w:pBdr>
              <w:spacing w:after="0" w:line="240" w:lineRule="auto"/>
              <w:ind w:left="2"/>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 0.910000 </w:t>
            </w:r>
          </w:p>
        </w:tc>
        <w:tc>
          <w:tcPr>
            <w:tcW w:w="1881" w:type="dxa"/>
            <w:tcBorders>
              <w:top w:val="nil"/>
              <w:left w:val="nil"/>
              <w:bottom w:val="nil"/>
              <w:right w:val="nil"/>
            </w:tcBorders>
          </w:tcPr>
          <w:p w14:paraId="26D7938A" w14:textId="77777777" w:rsidR="00472922" w:rsidRPr="00831711" w:rsidRDefault="00B5152B">
            <w:pPr>
              <w:pBdr>
                <w:top w:val="nil"/>
                <w:left w:val="nil"/>
                <w:bottom w:val="nil"/>
                <w:right w:val="nil"/>
                <w:between w:val="nil"/>
              </w:pBdr>
              <w:spacing w:after="0" w:line="240" w:lineRule="auto"/>
              <w:ind w:left="1"/>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 95.37991 </w:t>
            </w:r>
          </w:p>
        </w:tc>
      </w:tr>
      <w:tr w:rsidR="00472922" w:rsidRPr="00831711" w14:paraId="2517994D" w14:textId="77777777">
        <w:trPr>
          <w:cantSplit/>
          <w:trHeight w:val="318"/>
          <w:tblHeader/>
        </w:trPr>
        <w:tc>
          <w:tcPr>
            <w:tcW w:w="3078" w:type="dxa"/>
            <w:tcBorders>
              <w:top w:val="nil"/>
              <w:left w:val="nil"/>
              <w:bottom w:val="nil"/>
              <w:right w:val="nil"/>
            </w:tcBorders>
          </w:tcPr>
          <w:p w14:paraId="42846B87" w14:textId="77777777" w:rsidR="00472922" w:rsidRPr="00831711"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 Minimum </w:t>
            </w:r>
          </w:p>
        </w:tc>
        <w:tc>
          <w:tcPr>
            <w:tcW w:w="2323" w:type="dxa"/>
            <w:tcBorders>
              <w:top w:val="nil"/>
              <w:left w:val="nil"/>
              <w:bottom w:val="nil"/>
              <w:right w:val="nil"/>
            </w:tcBorders>
          </w:tcPr>
          <w:p w14:paraId="6D1DF7C7" w14:textId="77777777" w:rsidR="00472922" w:rsidRPr="00831711" w:rsidRDefault="00B5152B">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-1.800000 </w:t>
            </w:r>
          </w:p>
        </w:tc>
        <w:tc>
          <w:tcPr>
            <w:tcW w:w="2294" w:type="dxa"/>
            <w:tcBorders>
              <w:top w:val="nil"/>
              <w:left w:val="nil"/>
              <w:bottom w:val="nil"/>
              <w:right w:val="nil"/>
            </w:tcBorders>
          </w:tcPr>
          <w:p w14:paraId="31B7700D" w14:textId="77777777" w:rsidR="00472922" w:rsidRPr="00831711" w:rsidRDefault="00B5152B">
            <w:pPr>
              <w:pBdr>
                <w:top w:val="nil"/>
                <w:left w:val="nil"/>
                <w:bottom w:val="nil"/>
                <w:right w:val="nil"/>
                <w:between w:val="nil"/>
              </w:pBdr>
              <w:spacing w:after="0" w:line="240" w:lineRule="auto"/>
              <w:ind w:left="2"/>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 0.500000 </w:t>
            </w:r>
          </w:p>
        </w:tc>
        <w:tc>
          <w:tcPr>
            <w:tcW w:w="1881" w:type="dxa"/>
            <w:tcBorders>
              <w:top w:val="nil"/>
              <w:left w:val="nil"/>
              <w:bottom w:val="nil"/>
              <w:right w:val="nil"/>
            </w:tcBorders>
          </w:tcPr>
          <w:p w14:paraId="655265C8" w14:textId="77777777" w:rsidR="00472922" w:rsidRPr="00831711" w:rsidRDefault="00B5152B">
            <w:pPr>
              <w:pBdr>
                <w:top w:val="nil"/>
                <w:left w:val="nil"/>
                <w:bottom w:val="nil"/>
                <w:right w:val="nil"/>
                <w:between w:val="nil"/>
              </w:pBdr>
              <w:spacing w:after="0" w:line="240" w:lineRule="auto"/>
              <w:ind w:left="1"/>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 76.76000 </w:t>
            </w:r>
          </w:p>
        </w:tc>
      </w:tr>
      <w:tr w:rsidR="00472922" w:rsidRPr="00831711" w14:paraId="6442035A" w14:textId="77777777">
        <w:trPr>
          <w:cantSplit/>
          <w:trHeight w:val="317"/>
          <w:tblHeader/>
        </w:trPr>
        <w:tc>
          <w:tcPr>
            <w:tcW w:w="3078" w:type="dxa"/>
            <w:tcBorders>
              <w:top w:val="nil"/>
              <w:left w:val="nil"/>
              <w:bottom w:val="nil"/>
              <w:right w:val="nil"/>
            </w:tcBorders>
          </w:tcPr>
          <w:p w14:paraId="1560EB2D" w14:textId="77777777" w:rsidR="00472922" w:rsidRPr="00831711"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 Std. Dev. </w:t>
            </w:r>
          </w:p>
        </w:tc>
        <w:tc>
          <w:tcPr>
            <w:tcW w:w="2323" w:type="dxa"/>
            <w:tcBorders>
              <w:top w:val="nil"/>
              <w:left w:val="nil"/>
              <w:bottom w:val="nil"/>
              <w:right w:val="nil"/>
            </w:tcBorders>
          </w:tcPr>
          <w:p w14:paraId="422AECC6" w14:textId="77777777" w:rsidR="00472922" w:rsidRPr="00831711" w:rsidRDefault="00B5152B">
            <w:pPr>
              <w:pBdr>
                <w:top w:val="nil"/>
                <w:left w:val="nil"/>
                <w:bottom w:val="nil"/>
                <w:right w:val="nil"/>
                <w:between w:val="nil"/>
              </w:pBdr>
              <w:spacing w:after="0" w:line="240" w:lineRule="auto"/>
              <w:ind w:left="8"/>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 3.815688 </w:t>
            </w:r>
          </w:p>
        </w:tc>
        <w:tc>
          <w:tcPr>
            <w:tcW w:w="2294" w:type="dxa"/>
            <w:tcBorders>
              <w:top w:val="nil"/>
              <w:left w:val="nil"/>
              <w:bottom w:val="nil"/>
              <w:right w:val="nil"/>
            </w:tcBorders>
          </w:tcPr>
          <w:p w14:paraId="03CA3017" w14:textId="77777777" w:rsidR="00472922" w:rsidRPr="00831711" w:rsidRDefault="00B5152B">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 0.104394 </w:t>
            </w:r>
          </w:p>
        </w:tc>
        <w:tc>
          <w:tcPr>
            <w:tcW w:w="1881" w:type="dxa"/>
            <w:tcBorders>
              <w:top w:val="nil"/>
              <w:left w:val="nil"/>
              <w:bottom w:val="nil"/>
              <w:right w:val="nil"/>
            </w:tcBorders>
          </w:tcPr>
          <w:p w14:paraId="7EA392C1" w14:textId="77777777" w:rsidR="00472922" w:rsidRPr="00831711" w:rsidRDefault="00B5152B">
            <w:pPr>
              <w:pBdr>
                <w:top w:val="nil"/>
                <w:left w:val="nil"/>
                <w:bottom w:val="nil"/>
                <w:right w:val="nil"/>
                <w:between w:val="nil"/>
              </w:pBdr>
              <w:spacing w:after="0" w:line="240" w:lineRule="auto"/>
              <w:ind w:left="1"/>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 4.992210 </w:t>
            </w:r>
          </w:p>
        </w:tc>
      </w:tr>
      <w:tr w:rsidR="00472922" w:rsidRPr="00831711" w14:paraId="5780CB15" w14:textId="77777777">
        <w:trPr>
          <w:cantSplit/>
          <w:trHeight w:val="326"/>
          <w:tblHeader/>
        </w:trPr>
        <w:tc>
          <w:tcPr>
            <w:tcW w:w="3078" w:type="dxa"/>
            <w:tcBorders>
              <w:top w:val="nil"/>
              <w:left w:val="nil"/>
              <w:bottom w:val="single" w:sz="8" w:space="0" w:color="000000"/>
              <w:right w:val="nil"/>
            </w:tcBorders>
          </w:tcPr>
          <w:p w14:paraId="53877CAB" w14:textId="77777777" w:rsidR="00472922" w:rsidRPr="00831711"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 Observations </w:t>
            </w:r>
          </w:p>
        </w:tc>
        <w:tc>
          <w:tcPr>
            <w:tcW w:w="2323" w:type="dxa"/>
            <w:tcBorders>
              <w:top w:val="nil"/>
              <w:left w:val="nil"/>
              <w:bottom w:val="single" w:sz="8" w:space="0" w:color="000000"/>
              <w:right w:val="nil"/>
            </w:tcBorders>
          </w:tcPr>
          <w:p w14:paraId="0FC69852" w14:textId="77777777" w:rsidR="00472922" w:rsidRPr="00831711" w:rsidRDefault="00B5152B">
            <w:pPr>
              <w:pBdr>
                <w:top w:val="nil"/>
                <w:left w:val="nil"/>
                <w:bottom w:val="nil"/>
                <w:right w:val="nil"/>
                <w:between w:val="nil"/>
              </w:pBdr>
              <w:spacing w:after="0" w:line="240" w:lineRule="auto"/>
              <w:ind w:left="338"/>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 21 </w:t>
            </w:r>
          </w:p>
        </w:tc>
        <w:tc>
          <w:tcPr>
            <w:tcW w:w="2294" w:type="dxa"/>
            <w:tcBorders>
              <w:top w:val="nil"/>
              <w:left w:val="nil"/>
              <w:bottom w:val="single" w:sz="8" w:space="0" w:color="000000"/>
              <w:right w:val="nil"/>
            </w:tcBorders>
          </w:tcPr>
          <w:p w14:paraId="50CE405A" w14:textId="77777777" w:rsidR="00472922" w:rsidRPr="00831711" w:rsidRDefault="00B5152B">
            <w:pPr>
              <w:pBdr>
                <w:top w:val="nil"/>
                <w:left w:val="nil"/>
                <w:bottom w:val="nil"/>
                <w:right w:val="nil"/>
                <w:between w:val="nil"/>
              </w:pBdr>
              <w:spacing w:after="0" w:line="240" w:lineRule="auto"/>
              <w:ind w:left="33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 15 </w:t>
            </w:r>
          </w:p>
        </w:tc>
        <w:tc>
          <w:tcPr>
            <w:tcW w:w="1881" w:type="dxa"/>
            <w:tcBorders>
              <w:top w:val="nil"/>
              <w:left w:val="nil"/>
              <w:bottom w:val="single" w:sz="8" w:space="0" w:color="000000"/>
              <w:right w:val="nil"/>
            </w:tcBorders>
          </w:tcPr>
          <w:p w14:paraId="1387B03D" w14:textId="77777777" w:rsidR="00472922" w:rsidRPr="00831711" w:rsidRDefault="00B5152B">
            <w:pPr>
              <w:pBdr>
                <w:top w:val="nil"/>
                <w:left w:val="nil"/>
                <w:bottom w:val="nil"/>
                <w:right w:val="nil"/>
                <w:between w:val="nil"/>
              </w:pBdr>
              <w:spacing w:after="0" w:line="240" w:lineRule="auto"/>
              <w:ind w:left="334"/>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 21 </w:t>
            </w:r>
          </w:p>
        </w:tc>
      </w:tr>
    </w:tbl>
    <w:p w14:paraId="02FBC3F1" w14:textId="77777777" w:rsidR="00472922" w:rsidRPr="00831711" w:rsidRDefault="00B5152B">
      <w:pPr>
        <w:spacing w:after="0" w:line="480" w:lineRule="auto"/>
        <w:rPr>
          <w:rFonts w:ascii="Times New Roman" w:eastAsia="Times New Roman" w:hAnsi="Times New Roman" w:cs="Times New Roman"/>
          <w:i/>
          <w:iCs/>
          <w:color w:val="000000" w:themeColor="text1"/>
          <w:sz w:val="24"/>
          <w:szCs w:val="24"/>
        </w:rPr>
      </w:pPr>
      <w:r w:rsidRPr="00831711">
        <w:rPr>
          <w:rFonts w:ascii="Times New Roman" w:eastAsia="Times New Roman" w:hAnsi="Times New Roman" w:cs="Times New Roman"/>
          <w:i/>
          <w:iCs/>
          <w:color w:val="000000" w:themeColor="text1"/>
          <w:sz w:val="24"/>
          <w:szCs w:val="24"/>
        </w:rPr>
        <w:t>Source: Author’s computation from EViews 10 (2026)</w:t>
      </w:r>
    </w:p>
    <w:p w14:paraId="0F98A9D4" w14:textId="77777777" w:rsidR="00472922" w:rsidRPr="00831711" w:rsidRDefault="00000000">
      <w:pPr>
        <w:spacing w:before="280" w:after="280" w:line="360" w:lineRule="auto"/>
        <w:jc w:val="both"/>
        <w:rPr>
          <w:rFonts w:ascii="Times New Roman" w:eastAsia="Times New Roman" w:hAnsi="Times New Roman" w:cs="Times New Roman"/>
          <w:color w:val="000000" w:themeColor="text1"/>
          <w:sz w:val="24"/>
          <w:szCs w:val="24"/>
        </w:rPr>
      </w:pPr>
      <w:sdt>
        <w:sdtPr>
          <w:rPr>
            <w:rFonts w:ascii="Times New Roman" w:hAnsi="Times New Roman" w:cs="Times New Roman"/>
            <w:color w:val="000000" w:themeColor="text1"/>
            <w:sz w:val="24"/>
            <w:szCs w:val="24"/>
          </w:rPr>
          <w:tag w:val="goog_rdk_0"/>
          <w:id w:val="-864489357"/>
        </w:sdtPr>
        <w:sdtContent>
          <w:r w:rsidR="00B5152B" w:rsidRPr="00831711">
            <w:rPr>
              <w:rFonts w:ascii="Times New Roman" w:eastAsia="Gungsuh" w:hAnsi="Times New Roman" w:cs="Times New Roman"/>
              <w:color w:val="000000" w:themeColor="text1"/>
              <w:sz w:val="24"/>
              <w:szCs w:val="24"/>
            </w:rPr>
            <w:t>The findings in Table 1 revealed that Nigeria's economic growth rate (GR) during the study period ranged from a maximum of 15.30% to a minimum of −1.80%, with an average of 5.30%, showing a high level of macroeconomic volatility caused by internal and external shocks. Economic growth was also relatively unstable, as further indicated by a high standard deviation of 3.82. The mean value for new business density (NBD) was 0.77 newly registered businesses per 1,000 working-age population, ranging from 0.50 to 0.91, with a relatively low standard deviation of 0.10, indicating that the level of business registration was relatively stable despite fluctuations in economic performance. The mean literacy rate (ALR) was 91.37% (ranging from 76.76% to 95.38%) and had a standard deviation of 4.99, indicating slight improvements in human capital development over the period. The descriptive statistics show that there was adequate variation in the variables for econometric estimation and that new business density and literacy were relatively stable over the years, while economic growth remained volatile. After the descriptive analysis, a stationarity test was performed, as illustrated in Table 2.</w:t>
          </w:r>
        </w:sdtContent>
      </w:sdt>
    </w:p>
    <w:p w14:paraId="6EB7E31C" w14:textId="77777777" w:rsidR="00472922" w:rsidRPr="00831711" w:rsidRDefault="00B5152B">
      <w:pPr>
        <w:pBdr>
          <w:top w:val="nil"/>
          <w:left w:val="nil"/>
          <w:bottom w:val="nil"/>
          <w:right w:val="nil"/>
          <w:between w:val="nil"/>
        </w:pBdr>
        <w:spacing w:after="0" w:line="265" w:lineRule="auto"/>
        <w:ind w:right="982" w:firstLine="5"/>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Table 2: Results of Augmented Dickey Fuller unit root test </w:t>
      </w:r>
    </w:p>
    <w:tbl>
      <w:tblPr>
        <w:tblStyle w:val="a0"/>
        <w:tblW w:w="9576" w:type="dxa"/>
        <w:tblInd w:w="-115" w:type="dxa"/>
        <w:tblBorders>
          <w:top w:val="single" w:sz="8" w:space="0" w:color="000000"/>
          <w:bottom w:val="single" w:sz="8" w:space="0" w:color="000000"/>
        </w:tblBorders>
        <w:tblLayout w:type="fixed"/>
        <w:tblLook w:val="0600" w:firstRow="0" w:lastRow="0" w:firstColumn="0" w:lastColumn="0" w:noHBand="1" w:noVBand="1"/>
      </w:tblPr>
      <w:tblGrid>
        <w:gridCol w:w="1641"/>
        <w:gridCol w:w="1366"/>
        <w:gridCol w:w="1287"/>
        <w:gridCol w:w="1427"/>
        <w:gridCol w:w="1297"/>
        <w:gridCol w:w="1320"/>
        <w:gridCol w:w="1238"/>
      </w:tblGrid>
      <w:tr w:rsidR="00472922" w:rsidRPr="00831711" w14:paraId="1C6112E6" w14:textId="77777777">
        <w:trPr>
          <w:trHeight w:val="269"/>
        </w:trPr>
        <w:tc>
          <w:tcPr>
            <w:tcW w:w="1641" w:type="dxa"/>
            <w:tcBorders>
              <w:top w:val="single" w:sz="8" w:space="0" w:color="000000"/>
              <w:left w:val="nil"/>
              <w:bottom w:val="single" w:sz="8" w:space="0" w:color="000000"/>
              <w:right w:val="nil"/>
            </w:tcBorders>
          </w:tcPr>
          <w:p w14:paraId="1F90A9C0" w14:textId="77777777" w:rsidR="00472922" w:rsidRPr="00831711" w:rsidRDefault="00B5152B">
            <w:pPr>
              <w:pBdr>
                <w:top w:val="nil"/>
                <w:left w:val="nil"/>
                <w:bottom w:val="nil"/>
                <w:right w:val="nil"/>
                <w:between w:val="nil"/>
              </w:pBdr>
              <w:spacing w:after="195"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Variable</w:t>
            </w:r>
          </w:p>
        </w:tc>
        <w:tc>
          <w:tcPr>
            <w:tcW w:w="1366" w:type="dxa"/>
            <w:tcBorders>
              <w:top w:val="single" w:sz="8" w:space="0" w:color="000000"/>
              <w:left w:val="nil"/>
              <w:bottom w:val="single" w:sz="8" w:space="0" w:color="000000"/>
              <w:right w:val="nil"/>
            </w:tcBorders>
          </w:tcPr>
          <w:p w14:paraId="0BCCF8E7" w14:textId="77777777" w:rsidR="00472922" w:rsidRPr="00831711" w:rsidRDefault="00B5152B">
            <w:pPr>
              <w:pBdr>
                <w:top w:val="nil"/>
                <w:left w:val="nil"/>
                <w:bottom w:val="nil"/>
                <w:right w:val="nil"/>
                <w:between w:val="nil"/>
              </w:pBdr>
              <w:spacing w:after="195" w:line="240" w:lineRule="auto"/>
              <w:ind w:left="1"/>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Level</w:t>
            </w:r>
          </w:p>
        </w:tc>
        <w:tc>
          <w:tcPr>
            <w:tcW w:w="1287" w:type="dxa"/>
            <w:tcBorders>
              <w:top w:val="single" w:sz="8" w:space="0" w:color="000000"/>
              <w:left w:val="nil"/>
              <w:bottom w:val="single" w:sz="8" w:space="0" w:color="000000"/>
              <w:right w:val="nil"/>
            </w:tcBorders>
          </w:tcPr>
          <w:p w14:paraId="51757AB4" w14:textId="77777777" w:rsidR="00472922" w:rsidRPr="00831711" w:rsidRDefault="00B5152B">
            <w:pPr>
              <w:pBdr>
                <w:top w:val="nil"/>
                <w:left w:val="nil"/>
                <w:bottom w:val="nil"/>
                <w:right w:val="nil"/>
                <w:between w:val="nil"/>
              </w:pBdr>
              <w:spacing w:after="195"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ADF critical </w:t>
            </w:r>
            <w:r w:rsidRPr="00831711">
              <w:rPr>
                <w:rFonts w:ascii="Times New Roman" w:eastAsia="Times New Roman" w:hAnsi="Times New Roman" w:cs="Times New Roman"/>
                <w:color w:val="000000" w:themeColor="text1"/>
                <w:sz w:val="24"/>
                <w:szCs w:val="24"/>
              </w:rPr>
              <w:lastRenderedPageBreak/>
              <w:t>value</w:t>
            </w:r>
          </w:p>
        </w:tc>
        <w:tc>
          <w:tcPr>
            <w:tcW w:w="1427" w:type="dxa"/>
            <w:tcBorders>
              <w:top w:val="single" w:sz="8" w:space="0" w:color="000000"/>
              <w:left w:val="nil"/>
              <w:bottom w:val="single" w:sz="8" w:space="0" w:color="000000"/>
              <w:right w:val="nil"/>
            </w:tcBorders>
          </w:tcPr>
          <w:p w14:paraId="22F11B7E" w14:textId="77777777" w:rsidR="00472922" w:rsidRPr="00831711" w:rsidRDefault="00B5152B">
            <w:pPr>
              <w:pBdr>
                <w:top w:val="nil"/>
                <w:left w:val="nil"/>
                <w:bottom w:val="nil"/>
                <w:right w:val="nil"/>
                <w:between w:val="nil"/>
              </w:pBdr>
              <w:spacing w:after="195" w:line="240" w:lineRule="auto"/>
              <w:ind w:left="2"/>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lastRenderedPageBreak/>
              <w:t>1</w:t>
            </w:r>
            <w:r w:rsidRPr="00831711">
              <w:rPr>
                <w:rFonts w:ascii="Times New Roman" w:eastAsia="Times New Roman" w:hAnsi="Times New Roman" w:cs="Times New Roman"/>
                <w:color w:val="000000" w:themeColor="text1"/>
                <w:sz w:val="24"/>
                <w:szCs w:val="24"/>
                <w:vertAlign w:val="superscript"/>
              </w:rPr>
              <w:t>st</w:t>
            </w:r>
            <w:r w:rsidRPr="00831711">
              <w:rPr>
                <w:rFonts w:ascii="Times New Roman" w:eastAsia="Times New Roman" w:hAnsi="Times New Roman" w:cs="Times New Roman"/>
                <w:color w:val="000000" w:themeColor="text1"/>
                <w:sz w:val="24"/>
                <w:szCs w:val="24"/>
              </w:rPr>
              <w:t xml:space="preserve"> </w:t>
            </w:r>
            <w:r w:rsidRPr="00831711">
              <w:rPr>
                <w:rFonts w:ascii="Times New Roman" w:eastAsia="Times New Roman" w:hAnsi="Times New Roman" w:cs="Times New Roman"/>
                <w:color w:val="000000" w:themeColor="text1"/>
                <w:sz w:val="24"/>
                <w:szCs w:val="24"/>
              </w:rPr>
              <w:lastRenderedPageBreak/>
              <w:t xml:space="preserve">difference </w:t>
            </w:r>
          </w:p>
        </w:tc>
        <w:tc>
          <w:tcPr>
            <w:tcW w:w="1297" w:type="dxa"/>
            <w:tcBorders>
              <w:top w:val="single" w:sz="8" w:space="0" w:color="000000"/>
              <w:left w:val="nil"/>
              <w:bottom w:val="single" w:sz="8" w:space="0" w:color="000000"/>
              <w:right w:val="nil"/>
            </w:tcBorders>
          </w:tcPr>
          <w:p w14:paraId="16B86AEC" w14:textId="77777777" w:rsidR="00472922" w:rsidRPr="00831711" w:rsidRDefault="00B5152B">
            <w:pPr>
              <w:pBdr>
                <w:top w:val="nil"/>
                <w:left w:val="nil"/>
                <w:bottom w:val="nil"/>
                <w:right w:val="nil"/>
                <w:between w:val="nil"/>
              </w:pBdr>
              <w:spacing w:after="195" w:line="240" w:lineRule="auto"/>
              <w:ind w:left="2"/>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lastRenderedPageBreak/>
              <w:t xml:space="preserve">ADF critical </w:t>
            </w:r>
            <w:r w:rsidRPr="00831711">
              <w:rPr>
                <w:rFonts w:ascii="Times New Roman" w:eastAsia="Times New Roman" w:hAnsi="Times New Roman" w:cs="Times New Roman"/>
                <w:color w:val="000000" w:themeColor="text1"/>
                <w:sz w:val="24"/>
                <w:szCs w:val="24"/>
              </w:rPr>
              <w:lastRenderedPageBreak/>
              <w:t>value</w:t>
            </w:r>
          </w:p>
        </w:tc>
        <w:tc>
          <w:tcPr>
            <w:tcW w:w="1320" w:type="dxa"/>
            <w:tcBorders>
              <w:top w:val="single" w:sz="8" w:space="0" w:color="000000"/>
              <w:left w:val="nil"/>
              <w:bottom w:val="single" w:sz="8" w:space="0" w:color="000000"/>
              <w:right w:val="nil"/>
            </w:tcBorders>
          </w:tcPr>
          <w:p w14:paraId="3BEA916A" w14:textId="77777777" w:rsidR="00472922" w:rsidRPr="00831711" w:rsidRDefault="00472922">
            <w:pPr>
              <w:pBdr>
                <w:top w:val="nil"/>
                <w:left w:val="nil"/>
                <w:bottom w:val="nil"/>
                <w:right w:val="nil"/>
                <w:between w:val="nil"/>
              </w:pBdr>
              <w:spacing w:after="195" w:line="240" w:lineRule="auto"/>
              <w:rPr>
                <w:rFonts w:ascii="Times New Roman" w:eastAsia="Times New Roman" w:hAnsi="Times New Roman" w:cs="Times New Roman"/>
                <w:color w:val="000000" w:themeColor="text1"/>
                <w:sz w:val="24"/>
                <w:szCs w:val="24"/>
              </w:rPr>
            </w:pPr>
          </w:p>
        </w:tc>
        <w:tc>
          <w:tcPr>
            <w:tcW w:w="1238" w:type="dxa"/>
            <w:tcBorders>
              <w:top w:val="single" w:sz="8" w:space="0" w:color="000000"/>
              <w:left w:val="nil"/>
              <w:bottom w:val="single" w:sz="8" w:space="0" w:color="000000"/>
              <w:right w:val="nil"/>
            </w:tcBorders>
          </w:tcPr>
          <w:p w14:paraId="30D95365" w14:textId="77777777" w:rsidR="00472922" w:rsidRPr="00831711" w:rsidRDefault="00472922">
            <w:pPr>
              <w:pBdr>
                <w:top w:val="nil"/>
                <w:left w:val="nil"/>
                <w:bottom w:val="nil"/>
                <w:right w:val="nil"/>
                <w:between w:val="nil"/>
              </w:pBdr>
              <w:spacing w:after="195" w:line="240" w:lineRule="auto"/>
              <w:ind w:left="1"/>
              <w:jc w:val="both"/>
              <w:rPr>
                <w:rFonts w:ascii="Times New Roman" w:eastAsia="Times New Roman" w:hAnsi="Times New Roman" w:cs="Times New Roman"/>
                <w:color w:val="000000" w:themeColor="text1"/>
                <w:sz w:val="24"/>
                <w:szCs w:val="24"/>
              </w:rPr>
            </w:pPr>
          </w:p>
        </w:tc>
      </w:tr>
      <w:tr w:rsidR="00472922" w:rsidRPr="00831711" w14:paraId="6ED595FC" w14:textId="77777777">
        <w:trPr>
          <w:trHeight w:val="269"/>
        </w:trPr>
        <w:tc>
          <w:tcPr>
            <w:tcW w:w="1641" w:type="dxa"/>
          </w:tcPr>
          <w:p w14:paraId="531EC6CA" w14:textId="77777777" w:rsidR="00472922" w:rsidRPr="00831711" w:rsidRDefault="00B5152B">
            <w:pPr>
              <w:pBdr>
                <w:top w:val="nil"/>
                <w:left w:val="nil"/>
                <w:bottom w:val="nil"/>
                <w:right w:val="nil"/>
                <w:between w:val="nil"/>
              </w:pBdr>
              <w:spacing w:after="195"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GR </w:t>
            </w:r>
          </w:p>
        </w:tc>
        <w:tc>
          <w:tcPr>
            <w:tcW w:w="1366" w:type="dxa"/>
          </w:tcPr>
          <w:p w14:paraId="5EBD06ED" w14:textId="77777777" w:rsidR="00472922" w:rsidRPr="00831711" w:rsidRDefault="00B5152B">
            <w:pPr>
              <w:pBdr>
                <w:top w:val="nil"/>
                <w:left w:val="nil"/>
                <w:bottom w:val="nil"/>
                <w:right w:val="nil"/>
                <w:between w:val="nil"/>
              </w:pBdr>
              <w:spacing w:after="195" w:line="240" w:lineRule="auto"/>
              <w:ind w:left="1"/>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0.251289 </w:t>
            </w:r>
          </w:p>
        </w:tc>
        <w:tc>
          <w:tcPr>
            <w:tcW w:w="1287" w:type="dxa"/>
          </w:tcPr>
          <w:p w14:paraId="14BFA03F" w14:textId="77777777" w:rsidR="00472922" w:rsidRPr="00831711" w:rsidRDefault="00B5152B">
            <w:pPr>
              <w:pBdr>
                <w:top w:val="nil"/>
                <w:left w:val="nil"/>
                <w:bottom w:val="nil"/>
                <w:right w:val="nil"/>
                <w:between w:val="nil"/>
              </w:pBdr>
              <w:spacing w:after="195"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-3.052169 </w:t>
            </w:r>
          </w:p>
        </w:tc>
        <w:tc>
          <w:tcPr>
            <w:tcW w:w="1427" w:type="dxa"/>
          </w:tcPr>
          <w:p w14:paraId="167344D1" w14:textId="77777777" w:rsidR="00472922" w:rsidRPr="00831711" w:rsidRDefault="00B5152B">
            <w:pPr>
              <w:pBdr>
                <w:top w:val="nil"/>
                <w:left w:val="nil"/>
                <w:bottom w:val="nil"/>
                <w:right w:val="nil"/>
                <w:between w:val="nil"/>
              </w:pBdr>
              <w:spacing w:after="195" w:line="240" w:lineRule="auto"/>
              <w:ind w:left="2"/>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-3.999773 </w:t>
            </w:r>
          </w:p>
        </w:tc>
        <w:tc>
          <w:tcPr>
            <w:tcW w:w="1297" w:type="dxa"/>
          </w:tcPr>
          <w:p w14:paraId="5F23B4AE" w14:textId="77777777" w:rsidR="00472922" w:rsidRPr="00831711" w:rsidRDefault="00B5152B">
            <w:pPr>
              <w:pBdr>
                <w:top w:val="nil"/>
                <w:left w:val="nil"/>
                <w:bottom w:val="nil"/>
                <w:right w:val="nil"/>
                <w:between w:val="nil"/>
              </w:pBdr>
              <w:spacing w:after="195" w:line="240" w:lineRule="auto"/>
              <w:ind w:left="2"/>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-3.052169 </w:t>
            </w:r>
          </w:p>
        </w:tc>
        <w:tc>
          <w:tcPr>
            <w:tcW w:w="1320" w:type="dxa"/>
          </w:tcPr>
          <w:p w14:paraId="77D75E3C" w14:textId="77777777" w:rsidR="00472922" w:rsidRPr="00831711" w:rsidRDefault="00B5152B">
            <w:pPr>
              <w:pBdr>
                <w:top w:val="nil"/>
                <w:left w:val="nil"/>
                <w:bottom w:val="nil"/>
                <w:right w:val="nil"/>
                <w:between w:val="nil"/>
              </w:pBdr>
              <w:spacing w:after="195"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I(1) </w:t>
            </w:r>
          </w:p>
        </w:tc>
        <w:tc>
          <w:tcPr>
            <w:tcW w:w="1238" w:type="dxa"/>
          </w:tcPr>
          <w:p w14:paraId="1C471AA3" w14:textId="77777777" w:rsidR="00472922" w:rsidRPr="00831711" w:rsidRDefault="00B5152B">
            <w:pPr>
              <w:pBdr>
                <w:top w:val="nil"/>
                <w:left w:val="nil"/>
                <w:bottom w:val="nil"/>
                <w:right w:val="nil"/>
                <w:between w:val="nil"/>
              </w:pBdr>
              <w:spacing w:after="195" w:line="240" w:lineRule="auto"/>
              <w:ind w:left="1"/>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Stationary </w:t>
            </w:r>
          </w:p>
        </w:tc>
      </w:tr>
      <w:tr w:rsidR="00472922" w:rsidRPr="00831711" w14:paraId="6ACE3D19" w14:textId="77777777">
        <w:trPr>
          <w:trHeight w:val="318"/>
        </w:trPr>
        <w:tc>
          <w:tcPr>
            <w:tcW w:w="1641" w:type="dxa"/>
          </w:tcPr>
          <w:p w14:paraId="12E7DC49" w14:textId="77777777" w:rsidR="00472922" w:rsidRPr="00831711" w:rsidRDefault="00B5152B">
            <w:pPr>
              <w:pBdr>
                <w:top w:val="nil"/>
                <w:left w:val="nil"/>
                <w:bottom w:val="nil"/>
                <w:right w:val="nil"/>
                <w:between w:val="nil"/>
              </w:pBdr>
              <w:spacing w:after="195"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NBD </w:t>
            </w:r>
          </w:p>
        </w:tc>
        <w:tc>
          <w:tcPr>
            <w:tcW w:w="1366" w:type="dxa"/>
          </w:tcPr>
          <w:p w14:paraId="63FA9A2F" w14:textId="77777777" w:rsidR="00472922" w:rsidRPr="00831711" w:rsidRDefault="00B5152B">
            <w:pPr>
              <w:pBdr>
                <w:top w:val="nil"/>
                <w:left w:val="nil"/>
                <w:bottom w:val="nil"/>
                <w:right w:val="nil"/>
                <w:between w:val="nil"/>
              </w:pBdr>
              <w:spacing w:after="195" w:line="240" w:lineRule="auto"/>
              <w:ind w:left="2"/>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-3.879074 </w:t>
            </w:r>
          </w:p>
        </w:tc>
        <w:tc>
          <w:tcPr>
            <w:tcW w:w="1287" w:type="dxa"/>
          </w:tcPr>
          <w:p w14:paraId="1FF9E9B9" w14:textId="77777777" w:rsidR="00472922" w:rsidRPr="00831711" w:rsidRDefault="00B5152B">
            <w:pPr>
              <w:pBdr>
                <w:top w:val="nil"/>
                <w:left w:val="nil"/>
                <w:bottom w:val="nil"/>
                <w:right w:val="nil"/>
                <w:between w:val="nil"/>
              </w:pBdr>
              <w:spacing w:after="195" w:line="240" w:lineRule="auto"/>
              <w:ind w:left="2"/>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-3.119910 </w:t>
            </w:r>
          </w:p>
        </w:tc>
        <w:tc>
          <w:tcPr>
            <w:tcW w:w="1427" w:type="dxa"/>
          </w:tcPr>
          <w:p w14:paraId="51882038" w14:textId="77777777" w:rsidR="00472922" w:rsidRPr="00831711" w:rsidRDefault="00B5152B">
            <w:pPr>
              <w:pBdr>
                <w:top w:val="nil"/>
                <w:left w:val="nil"/>
                <w:bottom w:val="nil"/>
                <w:right w:val="nil"/>
                <w:between w:val="nil"/>
              </w:pBdr>
              <w:spacing w:after="195" w:line="240" w:lineRule="auto"/>
              <w:ind w:left="2"/>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-9.162673 </w:t>
            </w:r>
          </w:p>
        </w:tc>
        <w:tc>
          <w:tcPr>
            <w:tcW w:w="1297" w:type="dxa"/>
          </w:tcPr>
          <w:p w14:paraId="6E48DF28" w14:textId="77777777" w:rsidR="00472922" w:rsidRPr="00831711" w:rsidRDefault="00B5152B">
            <w:pPr>
              <w:pBdr>
                <w:top w:val="nil"/>
                <w:left w:val="nil"/>
                <w:bottom w:val="nil"/>
                <w:right w:val="nil"/>
                <w:between w:val="nil"/>
              </w:pBdr>
              <w:spacing w:after="195" w:line="240" w:lineRule="auto"/>
              <w:ind w:left="2"/>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-2.971853 </w:t>
            </w:r>
          </w:p>
        </w:tc>
        <w:tc>
          <w:tcPr>
            <w:tcW w:w="1320" w:type="dxa"/>
          </w:tcPr>
          <w:p w14:paraId="7CA5E110" w14:textId="77777777" w:rsidR="00472922" w:rsidRPr="00831711" w:rsidRDefault="00B5152B">
            <w:pPr>
              <w:pBdr>
                <w:top w:val="nil"/>
                <w:left w:val="nil"/>
                <w:bottom w:val="nil"/>
                <w:right w:val="nil"/>
                <w:between w:val="nil"/>
              </w:pBdr>
              <w:spacing w:after="195"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I(0) </w:t>
            </w:r>
          </w:p>
        </w:tc>
        <w:tc>
          <w:tcPr>
            <w:tcW w:w="1238" w:type="dxa"/>
          </w:tcPr>
          <w:p w14:paraId="02B8136F" w14:textId="77777777" w:rsidR="00472922" w:rsidRPr="00831711" w:rsidRDefault="00B5152B">
            <w:pPr>
              <w:pBdr>
                <w:top w:val="nil"/>
                <w:left w:val="nil"/>
                <w:bottom w:val="nil"/>
                <w:right w:val="nil"/>
                <w:between w:val="nil"/>
              </w:pBdr>
              <w:spacing w:after="195" w:line="240" w:lineRule="auto"/>
              <w:ind w:left="1"/>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Stationary </w:t>
            </w:r>
          </w:p>
        </w:tc>
      </w:tr>
      <w:tr w:rsidR="00472922" w:rsidRPr="00831711" w14:paraId="09BBC01E" w14:textId="77777777">
        <w:trPr>
          <w:trHeight w:val="267"/>
        </w:trPr>
        <w:tc>
          <w:tcPr>
            <w:tcW w:w="1641" w:type="dxa"/>
          </w:tcPr>
          <w:p w14:paraId="050AD5A2" w14:textId="77777777" w:rsidR="00472922" w:rsidRPr="00831711" w:rsidRDefault="00B5152B">
            <w:pPr>
              <w:pBdr>
                <w:top w:val="nil"/>
                <w:left w:val="nil"/>
                <w:bottom w:val="nil"/>
                <w:right w:val="nil"/>
                <w:between w:val="nil"/>
              </w:pBdr>
              <w:spacing w:after="195"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LR </w:t>
            </w:r>
          </w:p>
        </w:tc>
        <w:tc>
          <w:tcPr>
            <w:tcW w:w="1366" w:type="dxa"/>
          </w:tcPr>
          <w:p w14:paraId="0BB2617A" w14:textId="77777777" w:rsidR="00472922" w:rsidRPr="00831711" w:rsidRDefault="00B5152B">
            <w:pPr>
              <w:pBdr>
                <w:top w:val="nil"/>
                <w:left w:val="nil"/>
                <w:bottom w:val="nil"/>
                <w:right w:val="nil"/>
                <w:between w:val="nil"/>
              </w:pBdr>
              <w:spacing w:after="195" w:line="240" w:lineRule="auto"/>
              <w:ind w:left="1"/>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-0.985543 </w:t>
            </w:r>
          </w:p>
        </w:tc>
        <w:tc>
          <w:tcPr>
            <w:tcW w:w="1287" w:type="dxa"/>
          </w:tcPr>
          <w:p w14:paraId="55522C95" w14:textId="77777777" w:rsidR="00472922" w:rsidRPr="00831711" w:rsidRDefault="00B5152B">
            <w:pPr>
              <w:pBdr>
                <w:top w:val="nil"/>
                <w:left w:val="nil"/>
                <w:bottom w:val="nil"/>
                <w:right w:val="nil"/>
                <w:between w:val="nil"/>
              </w:pBdr>
              <w:spacing w:after="195" w:line="240" w:lineRule="auto"/>
              <w:ind w:left="1"/>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-3.020686 </w:t>
            </w:r>
          </w:p>
        </w:tc>
        <w:tc>
          <w:tcPr>
            <w:tcW w:w="1427" w:type="dxa"/>
          </w:tcPr>
          <w:p w14:paraId="4C8530DC" w14:textId="77777777" w:rsidR="00472922" w:rsidRPr="00831711" w:rsidRDefault="00B5152B">
            <w:pPr>
              <w:pBdr>
                <w:top w:val="nil"/>
                <w:left w:val="nil"/>
                <w:bottom w:val="nil"/>
                <w:right w:val="nil"/>
                <w:between w:val="nil"/>
              </w:pBdr>
              <w:spacing w:after="195" w:line="240" w:lineRule="auto"/>
              <w:ind w:left="1"/>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-4.523820 </w:t>
            </w:r>
          </w:p>
        </w:tc>
        <w:tc>
          <w:tcPr>
            <w:tcW w:w="1297" w:type="dxa"/>
          </w:tcPr>
          <w:p w14:paraId="2CB054DE" w14:textId="77777777" w:rsidR="00472922" w:rsidRPr="00831711" w:rsidRDefault="00B5152B">
            <w:pPr>
              <w:pBdr>
                <w:top w:val="nil"/>
                <w:left w:val="nil"/>
                <w:bottom w:val="nil"/>
                <w:right w:val="nil"/>
                <w:between w:val="nil"/>
              </w:pBdr>
              <w:spacing w:after="195" w:line="240" w:lineRule="auto"/>
              <w:ind w:left="1"/>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-3.029970 </w:t>
            </w:r>
          </w:p>
        </w:tc>
        <w:tc>
          <w:tcPr>
            <w:tcW w:w="1320" w:type="dxa"/>
          </w:tcPr>
          <w:p w14:paraId="03B4A68A" w14:textId="77777777" w:rsidR="00472922" w:rsidRPr="00831711" w:rsidRDefault="00B5152B">
            <w:pPr>
              <w:pBdr>
                <w:top w:val="nil"/>
                <w:left w:val="nil"/>
                <w:bottom w:val="nil"/>
                <w:right w:val="nil"/>
                <w:between w:val="nil"/>
              </w:pBdr>
              <w:spacing w:after="195" w:line="240" w:lineRule="auto"/>
              <w:ind w:left="36"/>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I(1) </w:t>
            </w:r>
          </w:p>
        </w:tc>
        <w:tc>
          <w:tcPr>
            <w:tcW w:w="1238" w:type="dxa"/>
          </w:tcPr>
          <w:p w14:paraId="4465A019" w14:textId="77777777" w:rsidR="00472922" w:rsidRPr="00831711" w:rsidRDefault="00B5152B">
            <w:pPr>
              <w:pBdr>
                <w:top w:val="nil"/>
                <w:left w:val="nil"/>
                <w:bottom w:val="nil"/>
                <w:right w:val="nil"/>
                <w:between w:val="nil"/>
              </w:pBdr>
              <w:spacing w:after="195" w:line="240" w:lineRule="auto"/>
              <w:ind w:left="35"/>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Stationary </w:t>
            </w:r>
          </w:p>
        </w:tc>
      </w:tr>
    </w:tbl>
    <w:p w14:paraId="02C5FAFF" w14:textId="77777777" w:rsidR="00472922" w:rsidRPr="00831711" w:rsidRDefault="00B5152B">
      <w:pPr>
        <w:pBdr>
          <w:top w:val="nil"/>
          <w:left w:val="nil"/>
          <w:bottom w:val="nil"/>
          <w:right w:val="nil"/>
          <w:between w:val="nil"/>
        </w:pBdr>
        <w:spacing w:after="9" w:line="240" w:lineRule="auto"/>
        <w:ind w:right="1028" w:firstLine="5"/>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Note: 5% critical value was used for ADF test  </w:t>
      </w:r>
    </w:p>
    <w:p w14:paraId="003AAFAE" w14:textId="77777777" w:rsidR="00472922" w:rsidRPr="00831711" w:rsidRDefault="00B5152B">
      <w:pPr>
        <w:pBdr>
          <w:top w:val="nil"/>
          <w:left w:val="nil"/>
          <w:bottom w:val="nil"/>
          <w:right w:val="nil"/>
          <w:between w:val="nil"/>
        </w:pBdr>
        <w:spacing w:after="0" w:line="240" w:lineRule="auto"/>
        <w:ind w:left="9" w:firstLine="4"/>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i/>
          <w:iCs/>
          <w:color w:val="000000" w:themeColor="text1"/>
          <w:sz w:val="24"/>
          <w:szCs w:val="24"/>
        </w:rPr>
        <w:t>Source: Author's Computation from EViews 10 (2026)</w:t>
      </w:r>
    </w:p>
    <w:p w14:paraId="66724BAD" w14:textId="77777777" w:rsidR="00472922" w:rsidRPr="00831711" w:rsidRDefault="00000000">
      <w:pPr>
        <w:spacing w:before="280" w:after="280" w:line="360" w:lineRule="auto"/>
        <w:jc w:val="both"/>
        <w:rPr>
          <w:rFonts w:ascii="Times New Roman" w:eastAsia="Times New Roman" w:hAnsi="Times New Roman" w:cs="Times New Roman"/>
          <w:color w:val="000000" w:themeColor="text1"/>
          <w:sz w:val="24"/>
          <w:szCs w:val="24"/>
        </w:rPr>
      </w:pPr>
      <w:sdt>
        <w:sdtPr>
          <w:rPr>
            <w:rFonts w:ascii="Times New Roman" w:hAnsi="Times New Roman" w:cs="Times New Roman"/>
            <w:color w:val="000000" w:themeColor="text1"/>
            <w:sz w:val="24"/>
            <w:szCs w:val="24"/>
          </w:rPr>
          <w:tag w:val="goog_rdk_1"/>
          <w:id w:val="-1137030118"/>
        </w:sdtPr>
        <w:sdtContent>
          <w:r w:rsidR="00B5152B" w:rsidRPr="00831711">
            <w:rPr>
              <w:rFonts w:ascii="Times New Roman" w:eastAsia="Gungsuh" w:hAnsi="Times New Roman" w:cs="Times New Roman"/>
              <w:color w:val="000000" w:themeColor="text1"/>
              <w:sz w:val="24"/>
              <w:szCs w:val="24"/>
            </w:rPr>
            <w:t>The test results in Table 2 indicated that new business density (NBD) is stationary at level and integrated of order zero (I(0)), with a test statistic (−3.879074) that is lower than the 5% critical value (−3.119910). On the other hand, economic growth (GR) and literacy rate (LR) are both non-stationary at level but stationary after first differencing, meaning that both variables are I(1). At first difference, the ADF statistics for GR (−3.999773) and LR (−4.523820) exceed their respective 5% critical values in absolute terms, thus confirming stationarity after differencing. The presence of a mixture of I(0) and I(1) variables ensures that the underlying assumption for applying the bounds testing approach proposed by Pesaran et al. (2001) is not violated, as none of the variables is integrated of order two, I(2). Therefore, the unit root results support the use of the ARDL technique to study the short-run and long-run relationships between new business density, literacy rate and economic growth in Nigeria. A shorter lag length results in a higher-quality model. In this study, the Akaike information criterion (AIC) and Schwarz information criterion (SIC) are considered to determine the appropriate model specification, and the results are presented in Table 3.</w:t>
          </w:r>
        </w:sdtContent>
      </w:sdt>
    </w:p>
    <w:p w14:paraId="49CE15CA" w14:textId="77777777" w:rsidR="00472922" w:rsidRPr="00831711" w:rsidRDefault="00B5152B">
      <w:pPr>
        <w:spacing w:after="0" w:line="24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Table 3 Lag Order Selection Criteria</w:t>
      </w:r>
    </w:p>
    <w:tbl>
      <w:tblPr>
        <w:tblStyle w:val="a1"/>
        <w:tblW w:w="9576" w:type="dxa"/>
        <w:tblInd w:w="-108" w:type="dxa"/>
        <w:tblBorders>
          <w:top w:val="single" w:sz="8" w:space="0" w:color="000000"/>
          <w:bottom w:val="single" w:sz="8" w:space="0" w:color="000000"/>
        </w:tblBorders>
        <w:tblLayout w:type="fixed"/>
        <w:tblLook w:val="06A0" w:firstRow="1" w:lastRow="0" w:firstColumn="1" w:lastColumn="0" w:noHBand="1" w:noVBand="1"/>
      </w:tblPr>
      <w:tblGrid>
        <w:gridCol w:w="1103"/>
        <w:gridCol w:w="1413"/>
        <w:gridCol w:w="1412"/>
        <w:gridCol w:w="1413"/>
        <w:gridCol w:w="1412"/>
        <w:gridCol w:w="1413"/>
        <w:gridCol w:w="1410"/>
      </w:tblGrid>
      <w:tr w:rsidR="00472922" w:rsidRPr="00831711" w14:paraId="22975C25" w14:textId="77777777" w:rsidTr="00472922">
        <w:trPr>
          <w:cnfStyle w:val="100000000000" w:firstRow="1" w:lastRow="0" w:firstColumn="0" w:lastColumn="0" w:oddVBand="0" w:evenVBand="0" w:oddHBand="0"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03" w:type="dxa"/>
          </w:tcPr>
          <w:p w14:paraId="0226D030" w14:textId="77777777" w:rsidR="00472922" w:rsidRPr="00831711" w:rsidRDefault="00B5152B">
            <w:pPr>
              <w:jc w:val="center"/>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b w:val="0"/>
                <w:bCs w:val="0"/>
                <w:color w:val="000000" w:themeColor="text1"/>
                <w:sz w:val="24"/>
                <w:szCs w:val="24"/>
              </w:rPr>
              <w:t> Lag</w:t>
            </w:r>
          </w:p>
        </w:tc>
        <w:tc>
          <w:tcPr>
            <w:tcW w:w="1413" w:type="dxa"/>
          </w:tcPr>
          <w:p w14:paraId="260D60D6" w14:textId="77777777" w:rsidR="00472922" w:rsidRPr="00831711" w:rsidRDefault="00B515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b w:val="0"/>
                <w:bCs w:val="0"/>
                <w:color w:val="000000" w:themeColor="text1"/>
                <w:sz w:val="24"/>
                <w:szCs w:val="24"/>
              </w:rPr>
              <w:t>LogL</w:t>
            </w:r>
          </w:p>
        </w:tc>
        <w:tc>
          <w:tcPr>
            <w:tcW w:w="1412" w:type="dxa"/>
          </w:tcPr>
          <w:p w14:paraId="6A48A957" w14:textId="77777777" w:rsidR="00472922" w:rsidRPr="00831711" w:rsidRDefault="00B515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b w:val="0"/>
                <w:bCs w:val="0"/>
                <w:color w:val="000000" w:themeColor="text1"/>
                <w:sz w:val="24"/>
                <w:szCs w:val="24"/>
              </w:rPr>
              <w:t>LR</w:t>
            </w:r>
          </w:p>
        </w:tc>
        <w:tc>
          <w:tcPr>
            <w:tcW w:w="1413" w:type="dxa"/>
          </w:tcPr>
          <w:p w14:paraId="009556E9" w14:textId="77777777" w:rsidR="00472922" w:rsidRPr="00831711" w:rsidRDefault="00B515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b w:val="0"/>
                <w:bCs w:val="0"/>
                <w:color w:val="000000" w:themeColor="text1"/>
                <w:sz w:val="24"/>
                <w:szCs w:val="24"/>
              </w:rPr>
              <w:t>FPE</w:t>
            </w:r>
          </w:p>
        </w:tc>
        <w:tc>
          <w:tcPr>
            <w:tcW w:w="1412" w:type="dxa"/>
          </w:tcPr>
          <w:p w14:paraId="7C33D61F" w14:textId="77777777" w:rsidR="00472922" w:rsidRPr="00831711" w:rsidRDefault="00B515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b w:val="0"/>
                <w:bCs w:val="0"/>
                <w:color w:val="000000" w:themeColor="text1"/>
                <w:sz w:val="24"/>
                <w:szCs w:val="24"/>
              </w:rPr>
              <w:t>AIC</w:t>
            </w:r>
          </w:p>
        </w:tc>
        <w:tc>
          <w:tcPr>
            <w:tcW w:w="1413" w:type="dxa"/>
          </w:tcPr>
          <w:p w14:paraId="6BAA6D47" w14:textId="77777777" w:rsidR="00472922" w:rsidRPr="00831711" w:rsidRDefault="00B515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b w:val="0"/>
                <w:bCs w:val="0"/>
                <w:color w:val="000000" w:themeColor="text1"/>
                <w:sz w:val="24"/>
                <w:szCs w:val="24"/>
              </w:rPr>
              <w:t>SC</w:t>
            </w:r>
          </w:p>
        </w:tc>
        <w:tc>
          <w:tcPr>
            <w:tcW w:w="1410" w:type="dxa"/>
          </w:tcPr>
          <w:p w14:paraId="042F3881" w14:textId="77777777" w:rsidR="00472922" w:rsidRPr="00831711" w:rsidRDefault="00B515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b w:val="0"/>
                <w:bCs w:val="0"/>
                <w:color w:val="000000" w:themeColor="text1"/>
                <w:sz w:val="24"/>
                <w:szCs w:val="24"/>
              </w:rPr>
              <w:t>HQ</w:t>
            </w:r>
          </w:p>
        </w:tc>
      </w:tr>
      <w:tr w:rsidR="00472922" w:rsidRPr="00831711" w14:paraId="1B747E77"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1103" w:type="dxa"/>
          </w:tcPr>
          <w:p w14:paraId="23B6C286" w14:textId="77777777" w:rsidR="00472922" w:rsidRPr="00831711" w:rsidRDefault="00B5152B">
            <w:pPr>
              <w:jc w:val="center"/>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b w:val="0"/>
                <w:bCs w:val="0"/>
                <w:color w:val="000000" w:themeColor="text1"/>
                <w:sz w:val="24"/>
                <w:szCs w:val="24"/>
              </w:rPr>
              <w:t>0</w:t>
            </w:r>
          </w:p>
        </w:tc>
        <w:tc>
          <w:tcPr>
            <w:tcW w:w="1413" w:type="dxa"/>
          </w:tcPr>
          <w:p w14:paraId="3551424E" w14:textId="77777777" w:rsidR="00472922" w:rsidRPr="00831711"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-61.94301</w:t>
            </w:r>
          </w:p>
        </w:tc>
        <w:tc>
          <w:tcPr>
            <w:tcW w:w="1412" w:type="dxa"/>
          </w:tcPr>
          <w:p w14:paraId="096989F3" w14:textId="77777777" w:rsidR="00472922" w:rsidRPr="00831711"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NA </w:t>
            </w:r>
          </w:p>
        </w:tc>
        <w:tc>
          <w:tcPr>
            <w:tcW w:w="1413" w:type="dxa"/>
          </w:tcPr>
          <w:p w14:paraId="30DDDA10" w14:textId="77777777" w:rsidR="00472922" w:rsidRPr="00831711"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2.148290</w:t>
            </w:r>
          </w:p>
        </w:tc>
        <w:tc>
          <w:tcPr>
            <w:tcW w:w="1412" w:type="dxa"/>
          </w:tcPr>
          <w:p w14:paraId="4A0366C9" w14:textId="77777777" w:rsidR="00472922" w:rsidRPr="00831711"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9.277572</w:t>
            </w:r>
          </w:p>
        </w:tc>
        <w:tc>
          <w:tcPr>
            <w:tcW w:w="1413" w:type="dxa"/>
          </w:tcPr>
          <w:p w14:paraId="7F8B1817" w14:textId="77777777" w:rsidR="00472922" w:rsidRPr="00831711"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9.414513</w:t>
            </w:r>
          </w:p>
        </w:tc>
        <w:tc>
          <w:tcPr>
            <w:tcW w:w="1410" w:type="dxa"/>
          </w:tcPr>
          <w:p w14:paraId="162819DA" w14:textId="77777777" w:rsidR="00472922" w:rsidRPr="00831711"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9.264896</w:t>
            </w:r>
          </w:p>
        </w:tc>
      </w:tr>
      <w:tr w:rsidR="00472922" w:rsidRPr="00831711" w14:paraId="32EDE67C"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1103" w:type="dxa"/>
          </w:tcPr>
          <w:p w14:paraId="5F244C88" w14:textId="77777777" w:rsidR="00472922" w:rsidRPr="00831711" w:rsidRDefault="00B5152B">
            <w:pPr>
              <w:jc w:val="center"/>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b w:val="0"/>
                <w:bCs w:val="0"/>
                <w:color w:val="000000" w:themeColor="text1"/>
                <w:sz w:val="24"/>
                <w:szCs w:val="24"/>
              </w:rPr>
              <w:t>1</w:t>
            </w:r>
          </w:p>
        </w:tc>
        <w:tc>
          <w:tcPr>
            <w:tcW w:w="1413" w:type="dxa"/>
          </w:tcPr>
          <w:p w14:paraId="0E98EB2E" w14:textId="77777777" w:rsidR="00472922" w:rsidRPr="00831711"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-47.18335</w:t>
            </w:r>
          </w:p>
        </w:tc>
        <w:tc>
          <w:tcPr>
            <w:tcW w:w="1412" w:type="dxa"/>
          </w:tcPr>
          <w:p w14:paraId="1B82FB29" w14:textId="77777777" w:rsidR="00472922" w:rsidRPr="00831711"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21.08523*</w:t>
            </w:r>
          </w:p>
        </w:tc>
        <w:tc>
          <w:tcPr>
            <w:tcW w:w="1413" w:type="dxa"/>
          </w:tcPr>
          <w:p w14:paraId="0AEA1742" w14:textId="77777777" w:rsidR="00472922" w:rsidRPr="00831711"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0.990255*</w:t>
            </w:r>
          </w:p>
        </w:tc>
        <w:tc>
          <w:tcPr>
            <w:tcW w:w="1412" w:type="dxa"/>
          </w:tcPr>
          <w:p w14:paraId="518AFDC4" w14:textId="77777777" w:rsidR="00472922" w:rsidRPr="00831711"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8.454764*</w:t>
            </w:r>
          </w:p>
        </w:tc>
        <w:tc>
          <w:tcPr>
            <w:tcW w:w="1413" w:type="dxa"/>
          </w:tcPr>
          <w:p w14:paraId="5C362A48" w14:textId="77777777" w:rsidR="00472922" w:rsidRPr="00831711"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9.002527*</w:t>
            </w:r>
          </w:p>
        </w:tc>
        <w:tc>
          <w:tcPr>
            <w:tcW w:w="1410" w:type="dxa"/>
          </w:tcPr>
          <w:p w14:paraId="25010372" w14:textId="77777777" w:rsidR="00472922" w:rsidRPr="00831711"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8.404058*</w:t>
            </w:r>
          </w:p>
        </w:tc>
      </w:tr>
    </w:tbl>
    <w:p w14:paraId="6BAFF41E" w14:textId="77777777" w:rsidR="00472922" w:rsidRPr="00831711" w:rsidRDefault="00B5152B">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i/>
          <w:iCs/>
          <w:color w:val="000000" w:themeColor="text1"/>
          <w:sz w:val="24"/>
          <w:szCs w:val="24"/>
        </w:rPr>
        <w:t>Source: Author's Computation from EViews 10 (2026)</w:t>
      </w:r>
    </w:p>
    <w:p w14:paraId="58351144" w14:textId="77777777" w:rsidR="00472922" w:rsidRPr="00831711" w:rsidRDefault="00B5152B">
      <w:pPr>
        <w:spacing w:before="280" w:after="280"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The results in Table 3 showed that lag one (1) was selected as the optimal lag length because it yielded the minimum values for all three criteria: the Akaike information criterion, the Schwarz criterion and the Hannan–Quinn criterion. Choosing the optimal lag length is important because it helps ensure that the estimated model correctly represents the dynamic relationship between the variables and prevents problems of over-parameterisation and residual serial correlation. </w:t>
      </w:r>
      <w:r w:rsidRPr="00831711">
        <w:rPr>
          <w:rFonts w:ascii="Times New Roman" w:eastAsia="Times New Roman" w:hAnsi="Times New Roman" w:cs="Times New Roman"/>
          <w:color w:val="000000" w:themeColor="text1"/>
          <w:sz w:val="24"/>
          <w:szCs w:val="24"/>
        </w:rPr>
        <w:lastRenderedPageBreak/>
        <w:t>Thus, lag length 1 provides a basis for the subsequent ARDL bounds cointegration analysis and estimation of the short-run and long-run effects of new business density on economic growth in Nigeria. As the series comprise a mixture of I(0) and I(1) processes, the bounds cointegration test is presented in Table 4.</w:t>
      </w:r>
    </w:p>
    <w:p w14:paraId="06E44CFA" w14:textId="77777777" w:rsidR="00472922" w:rsidRPr="00831711" w:rsidRDefault="00B5152B">
      <w:pPr>
        <w:pBdr>
          <w:top w:val="nil"/>
          <w:left w:val="nil"/>
          <w:bottom w:val="nil"/>
          <w:right w:val="nil"/>
          <w:between w:val="nil"/>
        </w:pBdr>
        <w:spacing w:after="0" w:line="240" w:lineRule="auto"/>
        <w:ind w:right="982" w:firstLine="5"/>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Table 4: Co-integration Bound Test Result </w:t>
      </w:r>
    </w:p>
    <w:tbl>
      <w:tblPr>
        <w:tblStyle w:val="a2"/>
        <w:tblW w:w="9590" w:type="dxa"/>
        <w:tblInd w:w="-233" w:type="dxa"/>
        <w:tblLayout w:type="fixed"/>
        <w:tblLook w:val="0400" w:firstRow="0" w:lastRow="0" w:firstColumn="0" w:lastColumn="0" w:noHBand="0" w:noVBand="1"/>
      </w:tblPr>
      <w:tblGrid>
        <w:gridCol w:w="2036"/>
        <w:gridCol w:w="4038"/>
        <w:gridCol w:w="3516"/>
      </w:tblGrid>
      <w:tr w:rsidR="00472922" w:rsidRPr="00831711" w14:paraId="39920F95" w14:textId="77777777">
        <w:trPr>
          <w:cantSplit/>
          <w:trHeight w:val="338"/>
          <w:tblHeader/>
        </w:trPr>
        <w:tc>
          <w:tcPr>
            <w:tcW w:w="2036" w:type="dxa"/>
            <w:tcBorders>
              <w:top w:val="single" w:sz="8" w:space="0" w:color="000000"/>
              <w:left w:val="nil"/>
              <w:bottom w:val="single" w:sz="8" w:space="0" w:color="000000"/>
              <w:right w:val="nil"/>
            </w:tcBorders>
          </w:tcPr>
          <w:p w14:paraId="7F69BC2D" w14:textId="77777777" w:rsidR="00472922" w:rsidRPr="00831711"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Test Statistic </w:t>
            </w:r>
          </w:p>
        </w:tc>
        <w:tc>
          <w:tcPr>
            <w:tcW w:w="4038" w:type="dxa"/>
            <w:tcBorders>
              <w:top w:val="single" w:sz="8" w:space="0" w:color="000000"/>
              <w:left w:val="nil"/>
              <w:bottom w:val="single" w:sz="8" w:space="0" w:color="000000"/>
              <w:right w:val="nil"/>
            </w:tcBorders>
          </w:tcPr>
          <w:p w14:paraId="166514BE" w14:textId="77777777" w:rsidR="00472922" w:rsidRPr="00831711" w:rsidRDefault="00B5152B">
            <w:pPr>
              <w:pBdr>
                <w:top w:val="nil"/>
                <w:left w:val="nil"/>
                <w:bottom w:val="nil"/>
                <w:right w:val="nil"/>
                <w:between w:val="nil"/>
              </w:pBdr>
              <w:tabs>
                <w:tab w:val="center" w:pos="1916"/>
              </w:tabs>
              <w:spacing w:after="0"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Value</w:t>
            </w:r>
            <w:r w:rsidRPr="00831711">
              <w:rPr>
                <w:rFonts w:ascii="Times New Roman" w:eastAsia="Times New Roman" w:hAnsi="Times New Roman" w:cs="Times New Roman"/>
                <w:color w:val="000000" w:themeColor="text1"/>
                <w:sz w:val="24"/>
                <w:szCs w:val="24"/>
              </w:rPr>
              <w:tab/>
            </w:r>
          </w:p>
        </w:tc>
        <w:tc>
          <w:tcPr>
            <w:tcW w:w="3516" w:type="dxa"/>
            <w:tcBorders>
              <w:top w:val="single" w:sz="8" w:space="0" w:color="000000"/>
              <w:left w:val="nil"/>
              <w:bottom w:val="single" w:sz="8" w:space="0" w:color="000000"/>
              <w:right w:val="nil"/>
            </w:tcBorders>
          </w:tcPr>
          <w:p w14:paraId="3ED98362" w14:textId="77777777" w:rsidR="00472922" w:rsidRPr="00831711" w:rsidRDefault="00B5152B">
            <w:pPr>
              <w:pBdr>
                <w:top w:val="nil"/>
                <w:left w:val="nil"/>
                <w:bottom w:val="nil"/>
                <w:right w:val="nil"/>
                <w:between w:val="nil"/>
              </w:pBdr>
              <w:spacing w:after="0" w:line="240" w:lineRule="auto"/>
              <w:ind w:left="206"/>
              <w:jc w:val="center"/>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K </w:t>
            </w:r>
          </w:p>
        </w:tc>
      </w:tr>
      <w:tr w:rsidR="00472922" w:rsidRPr="00831711" w14:paraId="15642BAC" w14:textId="77777777">
        <w:trPr>
          <w:cantSplit/>
          <w:trHeight w:val="646"/>
          <w:tblHeader/>
        </w:trPr>
        <w:tc>
          <w:tcPr>
            <w:tcW w:w="2036" w:type="dxa"/>
            <w:tcBorders>
              <w:top w:val="single" w:sz="8" w:space="0" w:color="000000"/>
              <w:left w:val="nil"/>
              <w:bottom w:val="nil"/>
              <w:right w:val="nil"/>
            </w:tcBorders>
          </w:tcPr>
          <w:p w14:paraId="336C9DD2" w14:textId="77777777" w:rsidR="00472922" w:rsidRPr="00831711"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F-statistics </w:t>
            </w:r>
          </w:p>
        </w:tc>
        <w:tc>
          <w:tcPr>
            <w:tcW w:w="4038" w:type="dxa"/>
            <w:tcBorders>
              <w:top w:val="single" w:sz="8" w:space="0" w:color="000000"/>
              <w:left w:val="nil"/>
              <w:bottom w:val="nil"/>
              <w:right w:val="nil"/>
            </w:tcBorders>
          </w:tcPr>
          <w:p w14:paraId="68EF6132" w14:textId="77777777" w:rsidR="00472922" w:rsidRPr="00831711" w:rsidRDefault="00B5152B">
            <w:pPr>
              <w:pBdr>
                <w:top w:val="nil"/>
                <w:left w:val="nil"/>
                <w:bottom w:val="nil"/>
                <w:right w:val="nil"/>
                <w:between w:val="nil"/>
              </w:pBdr>
              <w:tabs>
                <w:tab w:val="center" w:pos="1914"/>
              </w:tabs>
              <w:spacing w:after="0"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5.753045</w:t>
            </w:r>
            <w:r w:rsidRPr="00831711">
              <w:rPr>
                <w:rFonts w:ascii="Times New Roman" w:eastAsia="Times New Roman" w:hAnsi="Times New Roman" w:cs="Times New Roman"/>
                <w:color w:val="000000" w:themeColor="text1"/>
                <w:sz w:val="24"/>
                <w:szCs w:val="24"/>
              </w:rPr>
              <w:tab/>
            </w:r>
          </w:p>
          <w:p w14:paraId="4270A82F" w14:textId="77777777" w:rsidR="00472922" w:rsidRPr="00831711" w:rsidRDefault="00B5152B">
            <w:pPr>
              <w:pBdr>
                <w:top w:val="nil"/>
                <w:left w:val="nil"/>
                <w:bottom w:val="nil"/>
                <w:right w:val="nil"/>
                <w:between w:val="nil"/>
              </w:pBdr>
              <w:spacing w:after="0" w:line="240" w:lineRule="auto"/>
              <w:ind w:right="73"/>
              <w:jc w:val="right"/>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Critical Bounds Value </w:t>
            </w:r>
          </w:p>
        </w:tc>
        <w:tc>
          <w:tcPr>
            <w:tcW w:w="3516" w:type="dxa"/>
            <w:tcBorders>
              <w:top w:val="single" w:sz="8" w:space="0" w:color="000000"/>
              <w:left w:val="nil"/>
              <w:bottom w:val="nil"/>
              <w:right w:val="nil"/>
            </w:tcBorders>
          </w:tcPr>
          <w:p w14:paraId="76F0F7ED" w14:textId="77777777" w:rsidR="00472922" w:rsidRPr="00831711" w:rsidRDefault="00B5152B">
            <w:pPr>
              <w:pBdr>
                <w:top w:val="nil"/>
                <w:left w:val="nil"/>
                <w:bottom w:val="nil"/>
                <w:right w:val="nil"/>
                <w:between w:val="nil"/>
              </w:pBdr>
              <w:spacing w:after="0" w:line="240" w:lineRule="auto"/>
              <w:ind w:left="148"/>
              <w:jc w:val="center"/>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2 </w:t>
            </w:r>
          </w:p>
        </w:tc>
      </w:tr>
      <w:tr w:rsidR="00472922" w:rsidRPr="00831711" w14:paraId="6F73DD16" w14:textId="77777777">
        <w:trPr>
          <w:cantSplit/>
          <w:trHeight w:val="318"/>
          <w:tblHeader/>
        </w:trPr>
        <w:tc>
          <w:tcPr>
            <w:tcW w:w="2036" w:type="dxa"/>
            <w:tcBorders>
              <w:top w:val="nil"/>
              <w:left w:val="nil"/>
              <w:bottom w:val="nil"/>
              <w:right w:val="nil"/>
            </w:tcBorders>
          </w:tcPr>
          <w:p w14:paraId="3EEC209A" w14:textId="77777777" w:rsidR="00472922" w:rsidRPr="00831711"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Significance level </w:t>
            </w:r>
          </w:p>
        </w:tc>
        <w:tc>
          <w:tcPr>
            <w:tcW w:w="4038" w:type="dxa"/>
            <w:tcBorders>
              <w:top w:val="nil"/>
              <w:left w:val="nil"/>
              <w:bottom w:val="nil"/>
              <w:right w:val="nil"/>
            </w:tcBorders>
          </w:tcPr>
          <w:p w14:paraId="03AB99DA" w14:textId="77777777" w:rsidR="00472922" w:rsidRPr="00831711" w:rsidRDefault="00B5152B">
            <w:pPr>
              <w:pBdr>
                <w:top w:val="nil"/>
                <w:left w:val="nil"/>
                <w:bottom w:val="nil"/>
                <w:right w:val="nil"/>
                <w:between w:val="nil"/>
              </w:pBdr>
              <w:spacing w:after="0" w:line="240" w:lineRule="auto"/>
              <w:ind w:left="620"/>
              <w:jc w:val="center"/>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Lower bound I(0)</w:t>
            </w:r>
          </w:p>
        </w:tc>
        <w:tc>
          <w:tcPr>
            <w:tcW w:w="3516" w:type="dxa"/>
            <w:tcBorders>
              <w:top w:val="nil"/>
              <w:left w:val="nil"/>
              <w:bottom w:val="nil"/>
              <w:right w:val="nil"/>
            </w:tcBorders>
          </w:tcPr>
          <w:p w14:paraId="6939F4DE" w14:textId="77777777" w:rsidR="00472922" w:rsidRPr="00831711" w:rsidRDefault="00B5152B">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Upper bound I(1)</w:t>
            </w:r>
          </w:p>
        </w:tc>
      </w:tr>
      <w:tr w:rsidR="00472922" w:rsidRPr="00831711" w14:paraId="168773A3" w14:textId="77777777">
        <w:trPr>
          <w:cantSplit/>
          <w:trHeight w:val="318"/>
          <w:tblHeader/>
        </w:trPr>
        <w:tc>
          <w:tcPr>
            <w:tcW w:w="2036" w:type="dxa"/>
            <w:tcBorders>
              <w:top w:val="nil"/>
              <w:left w:val="nil"/>
              <w:bottom w:val="nil"/>
              <w:right w:val="nil"/>
            </w:tcBorders>
          </w:tcPr>
          <w:p w14:paraId="4AF5792C" w14:textId="77777777" w:rsidR="00472922" w:rsidRPr="00831711"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10% </w:t>
            </w:r>
          </w:p>
        </w:tc>
        <w:tc>
          <w:tcPr>
            <w:tcW w:w="4038" w:type="dxa"/>
            <w:tcBorders>
              <w:top w:val="nil"/>
              <w:left w:val="nil"/>
              <w:bottom w:val="nil"/>
              <w:right w:val="nil"/>
            </w:tcBorders>
            <w:vAlign w:val="bottom"/>
          </w:tcPr>
          <w:p w14:paraId="46366147" w14:textId="77777777" w:rsidR="00472922" w:rsidRPr="00831711" w:rsidRDefault="00B5152B">
            <w:pPr>
              <w:spacing w:after="0" w:line="240" w:lineRule="auto"/>
              <w:ind w:right="10"/>
              <w:jc w:val="center"/>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2.63</w:t>
            </w:r>
          </w:p>
        </w:tc>
        <w:tc>
          <w:tcPr>
            <w:tcW w:w="3516" w:type="dxa"/>
            <w:tcBorders>
              <w:top w:val="nil"/>
              <w:left w:val="nil"/>
              <w:bottom w:val="nil"/>
              <w:right w:val="nil"/>
            </w:tcBorders>
            <w:vAlign w:val="bottom"/>
          </w:tcPr>
          <w:p w14:paraId="2F3EC7E5" w14:textId="77777777" w:rsidR="00472922" w:rsidRPr="00831711" w:rsidRDefault="00B5152B">
            <w:pPr>
              <w:spacing w:after="0" w:line="240" w:lineRule="auto"/>
              <w:ind w:right="10"/>
              <w:jc w:val="center"/>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3.35</w:t>
            </w:r>
          </w:p>
        </w:tc>
      </w:tr>
      <w:tr w:rsidR="00472922" w:rsidRPr="00831711" w14:paraId="364DF76C" w14:textId="77777777">
        <w:trPr>
          <w:cantSplit/>
          <w:trHeight w:val="317"/>
          <w:tblHeader/>
        </w:trPr>
        <w:tc>
          <w:tcPr>
            <w:tcW w:w="2036" w:type="dxa"/>
            <w:tcBorders>
              <w:top w:val="nil"/>
              <w:left w:val="nil"/>
              <w:bottom w:val="nil"/>
              <w:right w:val="nil"/>
            </w:tcBorders>
          </w:tcPr>
          <w:p w14:paraId="656BE6B7" w14:textId="77777777" w:rsidR="00472922" w:rsidRPr="00831711"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5% </w:t>
            </w:r>
          </w:p>
        </w:tc>
        <w:tc>
          <w:tcPr>
            <w:tcW w:w="4038" w:type="dxa"/>
            <w:tcBorders>
              <w:top w:val="nil"/>
              <w:left w:val="nil"/>
              <w:bottom w:val="nil"/>
              <w:right w:val="nil"/>
            </w:tcBorders>
            <w:vAlign w:val="bottom"/>
          </w:tcPr>
          <w:p w14:paraId="777EE4A7" w14:textId="77777777" w:rsidR="00472922" w:rsidRPr="00831711" w:rsidRDefault="00B5152B">
            <w:pPr>
              <w:spacing w:after="0" w:line="240" w:lineRule="auto"/>
              <w:ind w:right="10"/>
              <w:jc w:val="center"/>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3.1</w:t>
            </w:r>
          </w:p>
        </w:tc>
        <w:tc>
          <w:tcPr>
            <w:tcW w:w="3516" w:type="dxa"/>
            <w:tcBorders>
              <w:top w:val="nil"/>
              <w:left w:val="nil"/>
              <w:bottom w:val="nil"/>
              <w:right w:val="nil"/>
            </w:tcBorders>
            <w:vAlign w:val="bottom"/>
          </w:tcPr>
          <w:p w14:paraId="5A16C344" w14:textId="77777777" w:rsidR="00472922" w:rsidRPr="00831711" w:rsidRDefault="00B5152B">
            <w:pPr>
              <w:spacing w:after="0" w:line="240" w:lineRule="auto"/>
              <w:ind w:right="10"/>
              <w:jc w:val="center"/>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3.87</w:t>
            </w:r>
          </w:p>
        </w:tc>
      </w:tr>
      <w:tr w:rsidR="00472922" w:rsidRPr="00831711" w14:paraId="59FE05EC" w14:textId="77777777">
        <w:trPr>
          <w:cantSplit/>
          <w:trHeight w:val="317"/>
          <w:tblHeader/>
        </w:trPr>
        <w:tc>
          <w:tcPr>
            <w:tcW w:w="2036" w:type="dxa"/>
            <w:tcBorders>
              <w:top w:val="nil"/>
              <w:left w:val="nil"/>
              <w:bottom w:val="nil"/>
              <w:right w:val="nil"/>
            </w:tcBorders>
          </w:tcPr>
          <w:p w14:paraId="6819BD67" w14:textId="77777777" w:rsidR="00472922" w:rsidRPr="00831711"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2.5% </w:t>
            </w:r>
          </w:p>
        </w:tc>
        <w:tc>
          <w:tcPr>
            <w:tcW w:w="4038" w:type="dxa"/>
            <w:tcBorders>
              <w:top w:val="nil"/>
              <w:left w:val="nil"/>
              <w:bottom w:val="nil"/>
              <w:right w:val="nil"/>
            </w:tcBorders>
            <w:vAlign w:val="bottom"/>
          </w:tcPr>
          <w:p w14:paraId="3E840A16" w14:textId="77777777" w:rsidR="00472922" w:rsidRPr="00831711" w:rsidRDefault="00B5152B">
            <w:pPr>
              <w:spacing w:after="0" w:line="240" w:lineRule="auto"/>
              <w:ind w:right="10"/>
              <w:jc w:val="center"/>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3.55</w:t>
            </w:r>
          </w:p>
        </w:tc>
        <w:tc>
          <w:tcPr>
            <w:tcW w:w="3516" w:type="dxa"/>
            <w:tcBorders>
              <w:top w:val="nil"/>
              <w:left w:val="nil"/>
              <w:bottom w:val="nil"/>
              <w:right w:val="nil"/>
            </w:tcBorders>
            <w:vAlign w:val="bottom"/>
          </w:tcPr>
          <w:p w14:paraId="6A83B685" w14:textId="77777777" w:rsidR="00472922" w:rsidRPr="00831711" w:rsidRDefault="00B5152B">
            <w:pPr>
              <w:spacing w:after="0" w:line="240" w:lineRule="auto"/>
              <w:ind w:right="10"/>
              <w:jc w:val="center"/>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4.38</w:t>
            </w:r>
          </w:p>
        </w:tc>
      </w:tr>
      <w:tr w:rsidR="00472922" w:rsidRPr="00831711" w14:paraId="539C0D4F" w14:textId="77777777">
        <w:trPr>
          <w:cantSplit/>
          <w:trHeight w:val="326"/>
          <w:tblHeader/>
        </w:trPr>
        <w:tc>
          <w:tcPr>
            <w:tcW w:w="2036" w:type="dxa"/>
            <w:tcBorders>
              <w:top w:val="nil"/>
              <w:left w:val="nil"/>
              <w:bottom w:val="single" w:sz="8" w:space="0" w:color="000000"/>
              <w:right w:val="nil"/>
            </w:tcBorders>
          </w:tcPr>
          <w:p w14:paraId="01362760" w14:textId="77777777" w:rsidR="00472922" w:rsidRPr="00831711" w:rsidRDefault="00B5152B">
            <w:pPr>
              <w:pBdr>
                <w:top w:val="nil"/>
                <w:left w:val="nil"/>
                <w:bottom w:val="nil"/>
                <w:right w:val="nil"/>
                <w:between w:val="nil"/>
              </w:pBdr>
              <w:spacing w:after="0" w:line="240" w:lineRule="auto"/>
              <w:ind w:left="122"/>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1% </w:t>
            </w:r>
          </w:p>
        </w:tc>
        <w:tc>
          <w:tcPr>
            <w:tcW w:w="4038" w:type="dxa"/>
            <w:tcBorders>
              <w:top w:val="nil"/>
              <w:left w:val="nil"/>
              <w:bottom w:val="single" w:sz="8" w:space="0" w:color="000000"/>
              <w:right w:val="nil"/>
            </w:tcBorders>
            <w:vAlign w:val="bottom"/>
          </w:tcPr>
          <w:p w14:paraId="15912BED" w14:textId="77777777" w:rsidR="00472922" w:rsidRPr="00831711" w:rsidRDefault="00B5152B">
            <w:pPr>
              <w:spacing w:after="0" w:line="240" w:lineRule="auto"/>
              <w:ind w:right="10"/>
              <w:jc w:val="center"/>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4.13</w:t>
            </w:r>
          </w:p>
        </w:tc>
        <w:tc>
          <w:tcPr>
            <w:tcW w:w="3516" w:type="dxa"/>
            <w:tcBorders>
              <w:top w:val="nil"/>
              <w:left w:val="nil"/>
              <w:bottom w:val="single" w:sz="8" w:space="0" w:color="000000"/>
              <w:right w:val="nil"/>
            </w:tcBorders>
            <w:vAlign w:val="bottom"/>
          </w:tcPr>
          <w:p w14:paraId="7D4ED05A" w14:textId="77777777" w:rsidR="00472922" w:rsidRPr="00831711" w:rsidRDefault="00B5152B">
            <w:pPr>
              <w:spacing w:after="0" w:line="240" w:lineRule="auto"/>
              <w:ind w:right="10"/>
              <w:jc w:val="center"/>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5</w:t>
            </w:r>
          </w:p>
        </w:tc>
      </w:tr>
    </w:tbl>
    <w:p w14:paraId="24B774A1" w14:textId="77777777" w:rsidR="00472922" w:rsidRPr="00831711" w:rsidRDefault="00B5152B">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i/>
          <w:iCs/>
          <w:color w:val="000000" w:themeColor="text1"/>
          <w:sz w:val="24"/>
          <w:szCs w:val="24"/>
        </w:rPr>
        <w:t>Note: K = Number of Variables</w:t>
      </w:r>
    </w:p>
    <w:p w14:paraId="2D0211AA" w14:textId="77777777" w:rsidR="00472922" w:rsidRPr="00831711" w:rsidRDefault="00B5152B">
      <w:pPr>
        <w:pBdr>
          <w:top w:val="nil"/>
          <w:left w:val="nil"/>
          <w:bottom w:val="nil"/>
          <w:right w:val="nil"/>
          <w:between w:val="nil"/>
        </w:pBdr>
        <w:shd w:val="clear" w:color="auto" w:fill="FFFFFF"/>
        <w:spacing w:after="0" w:line="48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i/>
          <w:iCs/>
          <w:color w:val="000000" w:themeColor="text1"/>
          <w:sz w:val="24"/>
          <w:szCs w:val="24"/>
        </w:rPr>
        <w:t>Source: Author's Computation from EViews 10 (2026)</w:t>
      </w:r>
    </w:p>
    <w:p w14:paraId="436C840B" w14:textId="77777777" w:rsidR="00472922" w:rsidRPr="00831711" w:rsidRDefault="00B5152B">
      <w:pPr>
        <w:spacing w:after="0"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The results of the ARDL Bounds Cointegration Test are presented in Table 4. The estimated F-statistic (5.753045) is greater than the critical values at the 10%, 5%, 2.5% and 1% significance levels; thus, the null hypothesis of no cointegration is rejected. This indicates that a stable long-run relationship exists between economic growth, new business density and literacy rate in Nigeria. The result supports the use of the ARDL long-run model and the error correction model (ECM) to study the long-run and short-run behaviour of the relationship. Additional diagnostic testing was also conducted to validate the estimated model and is presented in Table 5.</w:t>
      </w:r>
    </w:p>
    <w:p w14:paraId="3512794E" w14:textId="77777777" w:rsidR="00472922" w:rsidRPr="00831711" w:rsidRDefault="00B5152B">
      <w:pPr>
        <w:shd w:val="clear" w:color="auto" w:fill="FFFFFF"/>
        <w:spacing w:after="0"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Table 5: Diagnostic Test Results</w:t>
      </w:r>
    </w:p>
    <w:tbl>
      <w:tblPr>
        <w:tblStyle w:val="a3"/>
        <w:tblW w:w="9576" w:type="dxa"/>
        <w:tblInd w:w="-115" w:type="dxa"/>
        <w:tblBorders>
          <w:top w:val="single" w:sz="8" w:space="0" w:color="000000"/>
          <w:bottom w:val="single" w:sz="8" w:space="0" w:color="000000"/>
        </w:tblBorders>
        <w:tblLayout w:type="fixed"/>
        <w:tblLook w:val="0600" w:firstRow="0" w:lastRow="0" w:firstColumn="0" w:lastColumn="0" w:noHBand="1" w:noVBand="1"/>
      </w:tblPr>
      <w:tblGrid>
        <w:gridCol w:w="6150"/>
        <w:gridCol w:w="1967"/>
        <w:gridCol w:w="1459"/>
      </w:tblGrid>
      <w:tr w:rsidR="00472922" w:rsidRPr="00831711" w14:paraId="3A9D6459" w14:textId="77777777">
        <w:tc>
          <w:tcPr>
            <w:tcW w:w="6150" w:type="dxa"/>
            <w:tcBorders>
              <w:top w:val="single" w:sz="8" w:space="0" w:color="000000"/>
              <w:left w:val="nil"/>
              <w:bottom w:val="single" w:sz="8" w:space="0" w:color="000000"/>
              <w:right w:val="nil"/>
            </w:tcBorders>
          </w:tcPr>
          <w:p w14:paraId="20C480FA" w14:textId="77777777" w:rsidR="00472922" w:rsidRPr="00831711" w:rsidRDefault="00B5152B">
            <w:pPr>
              <w:spacing w:after="0"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Diagnostic Tests</w:t>
            </w:r>
          </w:p>
        </w:tc>
        <w:tc>
          <w:tcPr>
            <w:tcW w:w="1967" w:type="dxa"/>
            <w:tcBorders>
              <w:top w:val="single" w:sz="8" w:space="0" w:color="000000"/>
              <w:left w:val="nil"/>
              <w:bottom w:val="single" w:sz="8" w:space="0" w:color="000000"/>
              <w:right w:val="nil"/>
            </w:tcBorders>
          </w:tcPr>
          <w:p w14:paraId="2D94AFEB" w14:textId="77777777" w:rsidR="00472922" w:rsidRPr="00831711" w:rsidRDefault="00B5152B">
            <w:pPr>
              <w:spacing w:after="0"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F-statistics</w:t>
            </w:r>
          </w:p>
        </w:tc>
        <w:tc>
          <w:tcPr>
            <w:tcW w:w="1459" w:type="dxa"/>
            <w:tcBorders>
              <w:top w:val="single" w:sz="8" w:space="0" w:color="000000"/>
              <w:left w:val="nil"/>
              <w:bottom w:val="single" w:sz="8" w:space="0" w:color="000000"/>
              <w:right w:val="nil"/>
            </w:tcBorders>
          </w:tcPr>
          <w:p w14:paraId="3C2D8D95" w14:textId="77777777" w:rsidR="00472922" w:rsidRPr="00831711" w:rsidRDefault="00B5152B">
            <w:pPr>
              <w:spacing w:after="0"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Probability</w:t>
            </w:r>
          </w:p>
        </w:tc>
      </w:tr>
      <w:tr w:rsidR="00472922" w:rsidRPr="00831711" w14:paraId="0245B541" w14:textId="77777777">
        <w:tc>
          <w:tcPr>
            <w:tcW w:w="6150" w:type="dxa"/>
          </w:tcPr>
          <w:p w14:paraId="431F6E4B" w14:textId="77777777" w:rsidR="00472922" w:rsidRPr="00831711" w:rsidRDefault="00B5152B">
            <w:pPr>
              <w:spacing w:after="0"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Jarque-Bera</w:t>
            </w:r>
          </w:p>
        </w:tc>
        <w:tc>
          <w:tcPr>
            <w:tcW w:w="1967" w:type="dxa"/>
          </w:tcPr>
          <w:p w14:paraId="27D7036C" w14:textId="77777777" w:rsidR="00472922" w:rsidRPr="00831711" w:rsidRDefault="00B5152B">
            <w:pPr>
              <w:spacing w:after="0"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0.678049</w:t>
            </w:r>
          </w:p>
        </w:tc>
        <w:tc>
          <w:tcPr>
            <w:tcW w:w="1459" w:type="dxa"/>
          </w:tcPr>
          <w:p w14:paraId="7EAB0758" w14:textId="77777777" w:rsidR="00472922" w:rsidRPr="00831711" w:rsidRDefault="00B5152B">
            <w:pPr>
              <w:spacing w:after="0"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0.7124</w:t>
            </w:r>
          </w:p>
        </w:tc>
      </w:tr>
      <w:tr w:rsidR="00472922" w:rsidRPr="00831711" w14:paraId="1CE0D3C5" w14:textId="77777777">
        <w:tc>
          <w:tcPr>
            <w:tcW w:w="6150" w:type="dxa"/>
          </w:tcPr>
          <w:p w14:paraId="474742DF" w14:textId="77777777" w:rsidR="00472922" w:rsidRPr="00831711" w:rsidRDefault="00B5152B">
            <w:pPr>
              <w:spacing w:after="0"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Breusch-Godfrey Serial Correlation LM Test</w:t>
            </w:r>
          </w:p>
        </w:tc>
        <w:tc>
          <w:tcPr>
            <w:tcW w:w="1967" w:type="dxa"/>
          </w:tcPr>
          <w:p w14:paraId="13DD5110" w14:textId="77777777" w:rsidR="00472922" w:rsidRPr="00831711" w:rsidRDefault="00B5152B">
            <w:pPr>
              <w:spacing w:after="0"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5.616898</w:t>
            </w:r>
          </w:p>
        </w:tc>
        <w:tc>
          <w:tcPr>
            <w:tcW w:w="1459" w:type="dxa"/>
          </w:tcPr>
          <w:p w14:paraId="2C7B9A72" w14:textId="77777777" w:rsidR="00472922" w:rsidRPr="00831711" w:rsidRDefault="00B5152B">
            <w:pPr>
              <w:spacing w:after="0"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0.1511</w:t>
            </w:r>
          </w:p>
        </w:tc>
      </w:tr>
      <w:tr w:rsidR="00472922" w:rsidRPr="00831711" w14:paraId="6618CD37" w14:textId="77777777">
        <w:tc>
          <w:tcPr>
            <w:tcW w:w="6150" w:type="dxa"/>
          </w:tcPr>
          <w:p w14:paraId="7828E390" w14:textId="77777777" w:rsidR="00472922" w:rsidRPr="00831711" w:rsidRDefault="00B5152B">
            <w:pPr>
              <w:spacing w:after="0"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Heteroskedasticity Test: Breusch-Pagan-Godfrey</w:t>
            </w:r>
          </w:p>
        </w:tc>
        <w:tc>
          <w:tcPr>
            <w:tcW w:w="1967" w:type="dxa"/>
          </w:tcPr>
          <w:p w14:paraId="53AEF197" w14:textId="77777777" w:rsidR="00472922" w:rsidRPr="00831711" w:rsidRDefault="00B5152B">
            <w:pPr>
              <w:spacing w:after="0"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0.423409</w:t>
            </w:r>
          </w:p>
        </w:tc>
        <w:tc>
          <w:tcPr>
            <w:tcW w:w="1459" w:type="dxa"/>
          </w:tcPr>
          <w:p w14:paraId="79770572" w14:textId="77777777" w:rsidR="00472922" w:rsidRPr="00831711" w:rsidRDefault="00B5152B">
            <w:pPr>
              <w:spacing w:after="0"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0.8601</w:t>
            </w:r>
          </w:p>
        </w:tc>
      </w:tr>
      <w:tr w:rsidR="00472922" w:rsidRPr="00831711" w14:paraId="2B34F59B" w14:textId="77777777">
        <w:tc>
          <w:tcPr>
            <w:tcW w:w="6150" w:type="dxa"/>
          </w:tcPr>
          <w:p w14:paraId="608598E9" w14:textId="77777777" w:rsidR="00472922" w:rsidRPr="00831711" w:rsidRDefault="00B5152B">
            <w:pPr>
              <w:spacing w:after="0"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Ramsey RESET Test</w:t>
            </w:r>
          </w:p>
        </w:tc>
        <w:tc>
          <w:tcPr>
            <w:tcW w:w="1967" w:type="dxa"/>
          </w:tcPr>
          <w:p w14:paraId="00480BFF" w14:textId="77777777" w:rsidR="00472922" w:rsidRPr="00831711" w:rsidRDefault="00B5152B">
            <w:pPr>
              <w:spacing w:after="0"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0.005464</w:t>
            </w:r>
          </w:p>
        </w:tc>
        <w:tc>
          <w:tcPr>
            <w:tcW w:w="1459" w:type="dxa"/>
          </w:tcPr>
          <w:p w14:paraId="6700F7F2" w14:textId="77777777" w:rsidR="00472922" w:rsidRPr="00831711" w:rsidRDefault="00B5152B">
            <w:pPr>
              <w:spacing w:after="0"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0.9457</w:t>
            </w:r>
          </w:p>
        </w:tc>
      </w:tr>
    </w:tbl>
    <w:p w14:paraId="29BEF262" w14:textId="77777777" w:rsidR="00472922" w:rsidRPr="00831711" w:rsidRDefault="00B5152B">
      <w:pPr>
        <w:shd w:val="clear" w:color="auto" w:fill="FFFFFF"/>
        <w:spacing w:after="0" w:line="24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i/>
          <w:iCs/>
          <w:color w:val="000000" w:themeColor="text1"/>
          <w:sz w:val="24"/>
          <w:szCs w:val="24"/>
        </w:rPr>
        <w:t>Source: Author's Computation from EViews 10 (2026)</w:t>
      </w:r>
    </w:p>
    <w:p w14:paraId="1D65607C" w14:textId="77777777" w:rsidR="00472922" w:rsidRPr="00831711" w:rsidRDefault="00B5152B">
      <w:pPr>
        <w:spacing w:before="280" w:after="280"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The diagnostic test results assessing the reliability of the estimated ARDL model are shown in Table 5. The Jarque–Bera test (Prob. = 0.7124) showed that the residuals are normally distributed, and the Breusch–Godfrey Serial Correlation LM Test (Prob. = 0.1511) showed that there was no serial correlation. Similarly, the Breusch–Pagan–Godfrey test (Prob. = 0.8601) </w:t>
      </w:r>
      <w:r w:rsidRPr="00831711">
        <w:rPr>
          <w:rFonts w:ascii="Times New Roman" w:eastAsia="Times New Roman" w:hAnsi="Times New Roman" w:cs="Times New Roman"/>
          <w:color w:val="000000" w:themeColor="text1"/>
          <w:sz w:val="24"/>
          <w:szCs w:val="24"/>
        </w:rPr>
        <w:lastRenderedPageBreak/>
        <w:t>found that the residuals are homoskedastic, and the Ramsey RESET test (Prob. = 0.9457) confirmed that the model is correctly specified. The findings support the conclusion that the estimated ARDL model is robust, reliable and appropriate for making valid statistical inferences. Table 6 presents the long-run (LR) and short-run (SR) ARDL estimates.</w:t>
      </w:r>
    </w:p>
    <w:p w14:paraId="55334871" w14:textId="77777777" w:rsidR="00472922" w:rsidRPr="00831711" w:rsidRDefault="00B5152B">
      <w:pPr>
        <w:spacing w:after="0" w:line="24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Table 6 ARDL Estimated Results</w:t>
      </w:r>
    </w:p>
    <w:tbl>
      <w:tblPr>
        <w:tblStyle w:val="a4"/>
        <w:tblW w:w="9576" w:type="dxa"/>
        <w:tblInd w:w="-108" w:type="dxa"/>
        <w:tblBorders>
          <w:top w:val="single" w:sz="8" w:space="0" w:color="000000"/>
          <w:bottom w:val="single" w:sz="8" w:space="0" w:color="000000"/>
        </w:tblBorders>
        <w:tblLayout w:type="fixed"/>
        <w:tblLook w:val="06A0" w:firstRow="1" w:lastRow="0" w:firstColumn="1" w:lastColumn="0" w:noHBand="1" w:noVBand="1"/>
      </w:tblPr>
      <w:tblGrid>
        <w:gridCol w:w="2353"/>
        <w:gridCol w:w="2353"/>
        <w:gridCol w:w="1306"/>
        <w:gridCol w:w="1263"/>
        <w:gridCol w:w="1263"/>
        <w:gridCol w:w="1038"/>
      </w:tblGrid>
      <w:tr w:rsidR="00472922" w:rsidRPr="00831711" w14:paraId="41B99BA4" w14:textId="77777777" w:rsidTr="00472922">
        <w:trPr>
          <w:cnfStyle w:val="100000000000" w:firstRow="1" w:lastRow="0" w:firstColumn="0" w:lastColumn="0" w:oddVBand="0" w:evenVBand="0" w:oddHBand="0"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2353" w:type="dxa"/>
            <w:vMerge w:val="restart"/>
          </w:tcPr>
          <w:p w14:paraId="2B6EF743" w14:textId="77777777" w:rsidR="00472922" w:rsidRPr="00831711" w:rsidRDefault="00B5152B">
            <w:pPr>
              <w:jc w:val="center"/>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b w:val="0"/>
                <w:bCs w:val="0"/>
                <w:color w:val="000000" w:themeColor="text1"/>
                <w:sz w:val="24"/>
                <w:szCs w:val="24"/>
              </w:rPr>
              <w:t>Long Run Estimated Results</w:t>
            </w:r>
          </w:p>
        </w:tc>
        <w:tc>
          <w:tcPr>
            <w:tcW w:w="2353" w:type="dxa"/>
          </w:tcPr>
          <w:p w14:paraId="5B108182" w14:textId="77777777" w:rsidR="00472922" w:rsidRPr="00831711" w:rsidRDefault="00B515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b w:val="0"/>
                <w:bCs w:val="0"/>
                <w:color w:val="000000" w:themeColor="text1"/>
                <w:sz w:val="24"/>
                <w:szCs w:val="24"/>
              </w:rPr>
              <w:t>Variable</w:t>
            </w:r>
          </w:p>
        </w:tc>
        <w:tc>
          <w:tcPr>
            <w:tcW w:w="1306" w:type="dxa"/>
          </w:tcPr>
          <w:p w14:paraId="23452C99" w14:textId="77777777" w:rsidR="00472922" w:rsidRPr="00831711" w:rsidRDefault="00B5152B">
            <w:pPr>
              <w:ind w:right="10"/>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b w:val="0"/>
                <w:bCs w:val="0"/>
                <w:color w:val="000000" w:themeColor="text1"/>
                <w:sz w:val="24"/>
                <w:szCs w:val="24"/>
              </w:rPr>
              <w:t>Coefficient</w:t>
            </w:r>
          </w:p>
        </w:tc>
        <w:tc>
          <w:tcPr>
            <w:tcW w:w="1263" w:type="dxa"/>
          </w:tcPr>
          <w:p w14:paraId="2FCCB14A" w14:textId="77777777" w:rsidR="00472922" w:rsidRPr="00831711" w:rsidRDefault="00B5152B">
            <w:pPr>
              <w:ind w:right="10"/>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b w:val="0"/>
                <w:bCs w:val="0"/>
                <w:color w:val="000000" w:themeColor="text1"/>
                <w:sz w:val="24"/>
                <w:szCs w:val="24"/>
              </w:rPr>
              <w:t>Std. Error</w:t>
            </w:r>
          </w:p>
        </w:tc>
        <w:tc>
          <w:tcPr>
            <w:tcW w:w="1263" w:type="dxa"/>
          </w:tcPr>
          <w:p w14:paraId="5ABA3734" w14:textId="77777777" w:rsidR="00472922" w:rsidRPr="00831711" w:rsidRDefault="00B5152B">
            <w:pPr>
              <w:ind w:right="10"/>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b w:val="0"/>
                <w:bCs w:val="0"/>
                <w:color w:val="000000" w:themeColor="text1"/>
                <w:sz w:val="24"/>
                <w:szCs w:val="24"/>
              </w:rPr>
              <w:t>t-Statistic</w:t>
            </w:r>
          </w:p>
        </w:tc>
        <w:tc>
          <w:tcPr>
            <w:tcW w:w="1038" w:type="dxa"/>
          </w:tcPr>
          <w:p w14:paraId="34E49F22" w14:textId="77777777" w:rsidR="00472922" w:rsidRPr="00831711" w:rsidRDefault="00B5152B">
            <w:pPr>
              <w:ind w:right="10"/>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b w:val="0"/>
                <w:bCs w:val="0"/>
                <w:color w:val="000000" w:themeColor="text1"/>
                <w:sz w:val="24"/>
                <w:szCs w:val="24"/>
              </w:rPr>
              <w:t>Prob.   </w:t>
            </w:r>
          </w:p>
        </w:tc>
      </w:tr>
      <w:tr w:rsidR="00472922" w:rsidRPr="00831711" w14:paraId="5F41BD6E"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vMerge/>
          </w:tcPr>
          <w:p w14:paraId="0894B694" w14:textId="77777777" w:rsidR="00472922" w:rsidRPr="00831711" w:rsidRDefault="00472922">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4"/>
                <w:szCs w:val="24"/>
              </w:rPr>
            </w:pPr>
          </w:p>
        </w:tc>
        <w:tc>
          <w:tcPr>
            <w:tcW w:w="2353" w:type="dxa"/>
          </w:tcPr>
          <w:p w14:paraId="4C2CF0A1" w14:textId="77777777" w:rsidR="00472922" w:rsidRPr="00831711"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NBD</w:t>
            </w:r>
          </w:p>
        </w:tc>
        <w:tc>
          <w:tcPr>
            <w:tcW w:w="1306" w:type="dxa"/>
          </w:tcPr>
          <w:p w14:paraId="73183869"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10.09451</w:t>
            </w:r>
          </w:p>
        </w:tc>
        <w:tc>
          <w:tcPr>
            <w:tcW w:w="1263" w:type="dxa"/>
          </w:tcPr>
          <w:p w14:paraId="033911E1"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7.393791</w:t>
            </w:r>
          </w:p>
        </w:tc>
        <w:tc>
          <w:tcPr>
            <w:tcW w:w="1263" w:type="dxa"/>
          </w:tcPr>
          <w:p w14:paraId="3F6F906C"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1.365268</w:t>
            </w:r>
          </w:p>
        </w:tc>
        <w:tc>
          <w:tcPr>
            <w:tcW w:w="1038" w:type="dxa"/>
          </w:tcPr>
          <w:p w14:paraId="3604551B"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0.2439</w:t>
            </w:r>
          </w:p>
        </w:tc>
      </w:tr>
      <w:tr w:rsidR="00472922" w:rsidRPr="00831711" w14:paraId="5FCEC484"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tcPr>
          <w:p w14:paraId="780D0FE1" w14:textId="77777777" w:rsidR="00472922" w:rsidRPr="00831711" w:rsidRDefault="00472922">
            <w:pPr>
              <w:jc w:val="center"/>
              <w:rPr>
                <w:rFonts w:ascii="Times New Roman" w:eastAsia="Times New Roman" w:hAnsi="Times New Roman" w:cs="Times New Roman"/>
                <w:color w:val="000000" w:themeColor="text1"/>
                <w:sz w:val="24"/>
                <w:szCs w:val="24"/>
              </w:rPr>
            </w:pPr>
          </w:p>
        </w:tc>
        <w:tc>
          <w:tcPr>
            <w:tcW w:w="2353" w:type="dxa"/>
          </w:tcPr>
          <w:p w14:paraId="282732A9" w14:textId="77777777" w:rsidR="00472922" w:rsidRPr="00831711"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ALR</w:t>
            </w:r>
          </w:p>
        </w:tc>
        <w:tc>
          <w:tcPr>
            <w:tcW w:w="1306" w:type="dxa"/>
          </w:tcPr>
          <w:p w14:paraId="02CF440E"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-2.812466</w:t>
            </w:r>
          </w:p>
        </w:tc>
        <w:tc>
          <w:tcPr>
            <w:tcW w:w="1263" w:type="dxa"/>
          </w:tcPr>
          <w:p w14:paraId="64728B93"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0.513797</w:t>
            </w:r>
          </w:p>
        </w:tc>
        <w:tc>
          <w:tcPr>
            <w:tcW w:w="1263" w:type="dxa"/>
          </w:tcPr>
          <w:p w14:paraId="196172FA"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-5.473887</w:t>
            </w:r>
          </w:p>
        </w:tc>
        <w:tc>
          <w:tcPr>
            <w:tcW w:w="1038" w:type="dxa"/>
          </w:tcPr>
          <w:p w14:paraId="4A84B2DE"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0.0054</w:t>
            </w:r>
          </w:p>
        </w:tc>
      </w:tr>
      <w:tr w:rsidR="00472922" w:rsidRPr="00831711" w14:paraId="4252B603"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tcPr>
          <w:p w14:paraId="1A55DBF0" w14:textId="77777777" w:rsidR="00472922" w:rsidRPr="00831711" w:rsidRDefault="00472922">
            <w:pPr>
              <w:jc w:val="center"/>
              <w:rPr>
                <w:rFonts w:ascii="Times New Roman" w:eastAsia="Times New Roman" w:hAnsi="Times New Roman" w:cs="Times New Roman"/>
                <w:color w:val="000000" w:themeColor="text1"/>
                <w:sz w:val="24"/>
                <w:szCs w:val="24"/>
              </w:rPr>
            </w:pPr>
          </w:p>
        </w:tc>
        <w:tc>
          <w:tcPr>
            <w:tcW w:w="2353" w:type="dxa"/>
          </w:tcPr>
          <w:p w14:paraId="6AE353D0" w14:textId="77777777" w:rsidR="00472922" w:rsidRPr="00831711"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C</w:t>
            </w:r>
          </w:p>
        </w:tc>
        <w:tc>
          <w:tcPr>
            <w:tcW w:w="1306" w:type="dxa"/>
          </w:tcPr>
          <w:p w14:paraId="2E13334C"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260.3524</w:t>
            </w:r>
          </w:p>
        </w:tc>
        <w:tc>
          <w:tcPr>
            <w:tcW w:w="1263" w:type="dxa"/>
          </w:tcPr>
          <w:p w14:paraId="31A3B145"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48.43454</w:t>
            </w:r>
          </w:p>
        </w:tc>
        <w:tc>
          <w:tcPr>
            <w:tcW w:w="1263" w:type="dxa"/>
          </w:tcPr>
          <w:p w14:paraId="6FD4628E"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5.375347</w:t>
            </w:r>
          </w:p>
        </w:tc>
        <w:tc>
          <w:tcPr>
            <w:tcW w:w="1038" w:type="dxa"/>
          </w:tcPr>
          <w:p w14:paraId="41D5CE28"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0.0058</w:t>
            </w:r>
          </w:p>
        </w:tc>
      </w:tr>
      <w:tr w:rsidR="00472922" w:rsidRPr="00831711" w14:paraId="23E789BA"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vMerge w:val="restart"/>
          </w:tcPr>
          <w:p w14:paraId="7A1D76FD" w14:textId="77777777" w:rsidR="00472922" w:rsidRPr="00831711" w:rsidRDefault="00B5152B">
            <w:pPr>
              <w:jc w:val="center"/>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b w:val="0"/>
                <w:bCs w:val="0"/>
                <w:color w:val="000000" w:themeColor="text1"/>
                <w:sz w:val="24"/>
                <w:szCs w:val="24"/>
              </w:rPr>
              <w:t>Short Run Estimated Results</w:t>
            </w:r>
          </w:p>
        </w:tc>
        <w:tc>
          <w:tcPr>
            <w:tcW w:w="2353" w:type="dxa"/>
          </w:tcPr>
          <w:p w14:paraId="576AC94F" w14:textId="77777777" w:rsidR="00472922" w:rsidRPr="00831711"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Variable</w:t>
            </w:r>
          </w:p>
        </w:tc>
        <w:tc>
          <w:tcPr>
            <w:tcW w:w="1306" w:type="dxa"/>
          </w:tcPr>
          <w:p w14:paraId="36B9D037"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Coefficient</w:t>
            </w:r>
          </w:p>
        </w:tc>
        <w:tc>
          <w:tcPr>
            <w:tcW w:w="1263" w:type="dxa"/>
          </w:tcPr>
          <w:p w14:paraId="117592C5"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Std. Error</w:t>
            </w:r>
          </w:p>
        </w:tc>
        <w:tc>
          <w:tcPr>
            <w:tcW w:w="1263" w:type="dxa"/>
          </w:tcPr>
          <w:p w14:paraId="668C394D"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t-Statistic</w:t>
            </w:r>
          </w:p>
        </w:tc>
        <w:tc>
          <w:tcPr>
            <w:tcW w:w="1038" w:type="dxa"/>
          </w:tcPr>
          <w:p w14:paraId="2C7F1F7B"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Prob.   </w:t>
            </w:r>
          </w:p>
        </w:tc>
      </w:tr>
      <w:tr w:rsidR="00472922" w:rsidRPr="00831711" w14:paraId="6F84C33E"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vMerge/>
          </w:tcPr>
          <w:p w14:paraId="049B6876" w14:textId="77777777" w:rsidR="00472922" w:rsidRPr="00831711" w:rsidRDefault="00472922">
            <w:pPr>
              <w:widowControl w:val="0"/>
              <w:pBdr>
                <w:top w:val="nil"/>
                <w:left w:val="nil"/>
                <w:bottom w:val="nil"/>
                <w:right w:val="nil"/>
                <w:between w:val="nil"/>
              </w:pBdr>
              <w:spacing w:line="276" w:lineRule="auto"/>
              <w:rPr>
                <w:rFonts w:ascii="Times New Roman" w:eastAsia="Times New Roman" w:hAnsi="Times New Roman" w:cs="Times New Roman"/>
                <w:color w:val="000000" w:themeColor="text1"/>
                <w:sz w:val="24"/>
                <w:szCs w:val="24"/>
              </w:rPr>
            </w:pPr>
          </w:p>
        </w:tc>
        <w:tc>
          <w:tcPr>
            <w:tcW w:w="2353" w:type="dxa"/>
          </w:tcPr>
          <w:p w14:paraId="590319B5" w14:textId="77777777" w:rsidR="00472922" w:rsidRPr="00831711"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D(GR(-1))</w:t>
            </w:r>
          </w:p>
        </w:tc>
        <w:tc>
          <w:tcPr>
            <w:tcW w:w="1306" w:type="dxa"/>
          </w:tcPr>
          <w:p w14:paraId="66FE2059"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0.692423</w:t>
            </w:r>
          </w:p>
        </w:tc>
        <w:tc>
          <w:tcPr>
            <w:tcW w:w="1263" w:type="dxa"/>
          </w:tcPr>
          <w:p w14:paraId="3E2BF03E"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0.138032</w:t>
            </w:r>
          </w:p>
        </w:tc>
        <w:tc>
          <w:tcPr>
            <w:tcW w:w="1263" w:type="dxa"/>
          </w:tcPr>
          <w:p w14:paraId="36AC424E"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5.016388</w:t>
            </w:r>
          </w:p>
        </w:tc>
        <w:tc>
          <w:tcPr>
            <w:tcW w:w="1038" w:type="dxa"/>
          </w:tcPr>
          <w:p w14:paraId="097884A1"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0.0074</w:t>
            </w:r>
          </w:p>
        </w:tc>
      </w:tr>
      <w:tr w:rsidR="00472922" w:rsidRPr="00831711" w14:paraId="5394827E"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tcPr>
          <w:p w14:paraId="5343088D" w14:textId="77777777" w:rsidR="00472922" w:rsidRPr="00831711" w:rsidRDefault="00472922">
            <w:pPr>
              <w:jc w:val="center"/>
              <w:rPr>
                <w:rFonts w:ascii="Times New Roman" w:eastAsia="Times New Roman" w:hAnsi="Times New Roman" w:cs="Times New Roman"/>
                <w:color w:val="000000" w:themeColor="text1"/>
                <w:sz w:val="24"/>
                <w:szCs w:val="24"/>
              </w:rPr>
            </w:pPr>
          </w:p>
        </w:tc>
        <w:tc>
          <w:tcPr>
            <w:tcW w:w="2353" w:type="dxa"/>
          </w:tcPr>
          <w:p w14:paraId="4DABD9C5" w14:textId="77777777" w:rsidR="00472922" w:rsidRPr="00831711"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D(NBD)</w:t>
            </w:r>
          </w:p>
        </w:tc>
        <w:tc>
          <w:tcPr>
            <w:tcW w:w="1306" w:type="dxa"/>
          </w:tcPr>
          <w:p w14:paraId="54CE3E85"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-10.39124</w:t>
            </w:r>
          </w:p>
        </w:tc>
        <w:tc>
          <w:tcPr>
            <w:tcW w:w="1263" w:type="dxa"/>
          </w:tcPr>
          <w:p w14:paraId="074159FF"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3.480604</w:t>
            </w:r>
          </w:p>
        </w:tc>
        <w:tc>
          <w:tcPr>
            <w:tcW w:w="1263" w:type="dxa"/>
          </w:tcPr>
          <w:p w14:paraId="712651C4"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-2.985471</w:t>
            </w:r>
          </w:p>
        </w:tc>
        <w:tc>
          <w:tcPr>
            <w:tcW w:w="1038" w:type="dxa"/>
          </w:tcPr>
          <w:p w14:paraId="661BCD01"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0.0405</w:t>
            </w:r>
          </w:p>
        </w:tc>
      </w:tr>
      <w:tr w:rsidR="00472922" w:rsidRPr="00831711" w14:paraId="5022ACF4"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tcPr>
          <w:p w14:paraId="035F0188" w14:textId="77777777" w:rsidR="00472922" w:rsidRPr="00831711" w:rsidRDefault="00472922">
            <w:pPr>
              <w:jc w:val="center"/>
              <w:rPr>
                <w:rFonts w:ascii="Times New Roman" w:eastAsia="Times New Roman" w:hAnsi="Times New Roman" w:cs="Times New Roman"/>
                <w:color w:val="000000" w:themeColor="text1"/>
                <w:sz w:val="24"/>
                <w:szCs w:val="24"/>
              </w:rPr>
            </w:pPr>
          </w:p>
        </w:tc>
        <w:tc>
          <w:tcPr>
            <w:tcW w:w="2353" w:type="dxa"/>
          </w:tcPr>
          <w:p w14:paraId="6ECA6524" w14:textId="77777777" w:rsidR="00472922" w:rsidRPr="00831711"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D(NBD(-1))</w:t>
            </w:r>
          </w:p>
        </w:tc>
        <w:tc>
          <w:tcPr>
            <w:tcW w:w="1306" w:type="dxa"/>
          </w:tcPr>
          <w:p w14:paraId="659712C2"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-0.447717</w:t>
            </w:r>
          </w:p>
        </w:tc>
        <w:tc>
          <w:tcPr>
            <w:tcW w:w="1263" w:type="dxa"/>
          </w:tcPr>
          <w:p w14:paraId="6FB77FE7"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4.227260</w:t>
            </w:r>
          </w:p>
        </w:tc>
        <w:tc>
          <w:tcPr>
            <w:tcW w:w="1263" w:type="dxa"/>
          </w:tcPr>
          <w:p w14:paraId="6DB2C28B"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-0.105912</w:t>
            </w:r>
          </w:p>
        </w:tc>
        <w:tc>
          <w:tcPr>
            <w:tcW w:w="1038" w:type="dxa"/>
          </w:tcPr>
          <w:p w14:paraId="7DDE319F"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0.9208</w:t>
            </w:r>
          </w:p>
        </w:tc>
      </w:tr>
      <w:tr w:rsidR="00472922" w:rsidRPr="00831711" w14:paraId="0BD46E86"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tcPr>
          <w:p w14:paraId="5D51E0C9" w14:textId="77777777" w:rsidR="00472922" w:rsidRPr="00831711" w:rsidRDefault="00472922">
            <w:pPr>
              <w:jc w:val="center"/>
              <w:rPr>
                <w:rFonts w:ascii="Times New Roman" w:eastAsia="Times New Roman" w:hAnsi="Times New Roman" w:cs="Times New Roman"/>
                <w:color w:val="000000" w:themeColor="text1"/>
                <w:sz w:val="24"/>
                <w:szCs w:val="24"/>
              </w:rPr>
            </w:pPr>
          </w:p>
        </w:tc>
        <w:tc>
          <w:tcPr>
            <w:tcW w:w="2353" w:type="dxa"/>
          </w:tcPr>
          <w:p w14:paraId="29295830" w14:textId="77777777" w:rsidR="00472922" w:rsidRPr="00831711"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D(ALR)</w:t>
            </w:r>
          </w:p>
        </w:tc>
        <w:tc>
          <w:tcPr>
            <w:tcW w:w="1306" w:type="dxa"/>
          </w:tcPr>
          <w:p w14:paraId="3228E2C2"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0.005095</w:t>
            </w:r>
          </w:p>
        </w:tc>
        <w:tc>
          <w:tcPr>
            <w:tcW w:w="1263" w:type="dxa"/>
          </w:tcPr>
          <w:p w14:paraId="65900497"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0.048173</w:t>
            </w:r>
          </w:p>
        </w:tc>
        <w:tc>
          <w:tcPr>
            <w:tcW w:w="1263" w:type="dxa"/>
          </w:tcPr>
          <w:p w14:paraId="610D0612"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0.105755</w:t>
            </w:r>
          </w:p>
        </w:tc>
        <w:tc>
          <w:tcPr>
            <w:tcW w:w="1038" w:type="dxa"/>
          </w:tcPr>
          <w:p w14:paraId="4BAECBFC"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0.9209</w:t>
            </w:r>
          </w:p>
        </w:tc>
      </w:tr>
      <w:tr w:rsidR="00472922" w:rsidRPr="00831711" w14:paraId="214199B9"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tcPr>
          <w:p w14:paraId="6FA0B456" w14:textId="77777777" w:rsidR="00472922" w:rsidRPr="00831711" w:rsidRDefault="00472922">
            <w:pPr>
              <w:jc w:val="center"/>
              <w:rPr>
                <w:rFonts w:ascii="Times New Roman" w:eastAsia="Times New Roman" w:hAnsi="Times New Roman" w:cs="Times New Roman"/>
                <w:color w:val="000000" w:themeColor="text1"/>
                <w:sz w:val="24"/>
                <w:szCs w:val="24"/>
              </w:rPr>
            </w:pPr>
          </w:p>
        </w:tc>
        <w:tc>
          <w:tcPr>
            <w:tcW w:w="2353" w:type="dxa"/>
          </w:tcPr>
          <w:p w14:paraId="03334726" w14:textId="77777777" w:rsidR="00472922" w:rsidRPr="00831711"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D(ALR(-1))</w:t>
            </w:r>
          </w:p>
        </w:tc>
        <w:tc>
          <w:tcPr>
            <w:tcW w:w="1306" w:type="dxa"/>
          </w:tcPr>
          <w:p w14:paraId="613D32AD"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3.270261</w:t>
            </w:r>
          </w:p>
        </w:tc>
        <w:tc>
          <w:tcPr>
            <w:tcW w:w="1263" w:type="dxa"/>
          </w:tcPr>
          <w:p w14:paraId="03CE07B2"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0.484981</w:t>
            </w:r>
          </w:p>
        </w:tc>
        <w:tc>
          <w:tcPr>
            <w:tcW w:w="1263" w:type="dxa"/>
          </w:tcPr>
          <w:p w14:paraId="1209F0EA"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6.743069</w:t>
            </w:r>
          </w:p>
        </w:tc>
        <w:tc>
          <w:tcPr>
            <w:tcW w:w="1038" w:type="dxa"/>
          </w:tcPr>
          <w:p w14:paraId="226BEBCB"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0.0025</w:t>
            </w:r>
          </w:p>
        </w:tc>
      </w:tr>
      <w:tr w:rsidR="00472922" w:rsidRPr="00831711" w14:paraId="233C05DD" w14:textId="77777777" w:rsidTr="00472922">
        <w:trPr>
          <w:trHeight w:val="225"/>
        </w:trPr>
        <w:tc>
          <w:tcPr>
            <w:cnfStyle w:val="001000000000" w:firstRow="0" w:lastRow="0" w:firstColumn="1" w:lastColumn="0" w:oddVBand="0" w:evenVBand="0" w:oddHBand="0" w:evenHBand="0" w:firstRowFirstColumn="0" w:firstRowLastColumn="0" w:lastRowFirstColumn="0" w:lastRowLastColumn="0"/>
            <w:tcW w:w="2353" w:type="dxa"/>
          </w:tcPr>
          <w:p w14:paraId="6CB312EA" w14:textId="77777777" w:rsidR="00472922" w:rsidRPr="00831711" w:rsidRDefault="00472922">
            <w:pPr>
              <w:jc w:val="center"/>
              <w:rPr>
                <w:rFonts w:ascii="Times New Roman" w:eastAsia="Times New Roman" w:hAnsi="Times New Roman" w:cs="Times New Roman"/>
                <w:color w:val="000000" w:themeColor="text1"/>
                <w:sz w:val="24"/>
                <w:szCs w:val="24"/>
              </w:rPr>
            </w:pPr>
          </w:p>
        </w:tc>
        <w:tc>
          <w:tcPr>
            <w:tcW w:w="2353" w:type="dxa"/>
          </w:tcPr>
          <w:p w14:paraId="2CE98A81" w14:textId="77777777" w:rsidR="00472922" w:rsidRPr="00831711" w:rsidRDefault="00B515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CointEq(-1)*</w:t>
            </w:r>
          </w:p>
        </w:tc>
        <w:tc>
          <w:tcPr>
            <w:tcW w:w="1306" w:type="dxa"/>
          </w:tcPr>
          <w:p w14:paraId="16733522"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-1.126805</w:t>
            </w:r>
          </w:p>
        </w:tc>
        <w:tc>
          <w:tcPr>
            <w:tcW w:w="1263" w:type="dxa"/>
          </w:tcPr>
          <w:p w14:paraId="5CCA0AA7"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0.177562</w:t>
            </w:r>
          </w:p>
        </w:tc>
        <w:tc>
          <w:tcPr>
            <w:tcW w:w="1263" w:type="dxa"/>
          </w:tcPr>
          <w:p w14:paraId="4E079670"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-6.345968</w:t>
            </w:r>
          </w:p>
        </w:tc>
        <w:tc>
          <w:tcPr>
            <w:tcW w:w="1038" w:type="dxa"/>
          </w:tcPr>
          <w:p w14:paraId="14232480" w14:textId="77777777" w:rsidR="00472922" w:rsidRPr="00831711" w:rsidRDefault="00B5152B">
            <w:pPr>
              <w:ind w:right="1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0.0032</w:t>
            </w:r>
          </w:p>
        </w:tc>
      </w:tr>
    </w:tbl>
    <w:p w14:paraId="50B9AE13" w14:textId="77777777" w:rsidR="00472922" w:rsidRPr="00831711" w:rsidRDefault="00B5152B">
      <w:pPr>
        <w:shd w:val="clear" w:color="auto" w:fill="FFFFFF"/>
        <w:spacing w:after="0" w:line="480" w:lineRule="auto"/>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i/>
          <w:iCs/>
          <w:color w:val="000000" w:themeColor="text1"/>
          <w:sz w:val="24"/>
          <w:szCs w:val="24"/>
        </w:rPr>
        <w:t>Source: Author's Computation from EViews 10 (2026)</w:t>
      </w:r>
    </w:p>
    <w:p w14:paraId="7E57F0FB" w14:textId="77777777" w:rsidR="00472922" w:rsidRPr="00831711" w:rsidRDefault="00B5152B">
      <w:pPr>
        <w:pBdr>
          <w:top w:val="nil"/>
          <w:left w:val="nil"/>
          <w:bottom w:val="nil"/>
          <w:right w:val="nil"/>
          <w:between w:val="nil"/>
        </w:pBdr>
        <w:spacing w:before="280" w:after="280"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 xml:space="preserve">The findings presented in Table 6 showed that new business density (NBD) had a positive but statistically insignificant long-run effect on economic growth (β = 10.0945, p = 0.2439) in Nigeria. The positive coefficient indicates that an increase in newly registered enterprises per 1,000 people of working age may be associated with economic growth, but the coefficient is not statistically significant, meaning that business creation may not have contributed significantly to economic growth during the study period. This may be attributed to the many structural problems faced by Nigerian entrepreneurs, such as inadequate infrastructure, inability to access finance, multiple taxation, policy inconsistencies and insecurity, which hinder the growth and productivity of newly established firms. This finding supports the economic theory of entrepreneurship (Harris, 1971; Papanek, 1962), which states that entrepreneurship plays a positive role in the process of economic growth by creating new enterprises, innovating and investing productively in the economy, provided that pre-existing conditions are conducive. This suggests that new businesses continue to play a vital role in economic transition, but their limited contribution indicates that the existing business system has yet to harness their growth potential. The result is in line with Farouq and Dadwal (2018), who reported that an entrepreneur's role did not significantly influence economic growth in the United Kingdom; however, it contrasts with </w:t>
      </w:r>
      <w:r w:rsidRPr="00831711">
        <w:rPr>
          <w:rFonts w:ascii="Times New Roman" w:eastAsia="Times New Roman" w:hAnsi="Times New Roman" w:cs="Times New Roman"/>
          <w:color w:val="000000" w:themeColor="text1"/>
          <w:sz w:val="24"/>
          <w:szCs w:val="24"/>
        </w:rPr>
        <w:lastRenderedPageBreak/>
        <w:t>the results of Wennekers and Thurik (1999), Chughtai (2014) and Gerçeker et al. (2014), who reported that an entrepreneur's role had a positive and significant influence on economic growth. The finding indicates that establishing a business cannot spur sustainable economic development in Nigeria without the survival, growth and enhanced productivity of such businesses. While business registration is an indicator of entrepreneurial activity, many newly registered companies experience problems with financing, poor infrastructure, regulatory uncertainty and insecurity; consequently, their contribution to aggregate output is diminished.</w:t>
      </w:r>
    </w:p>
    <w:p w14:paraId="0EC4C479" w14:textId="77777777" w:rsidR="00472922" w:rsidRPr="00831711" w:rsidRDefault="00000000">
      <w:pPr>
        <w:pBdr>
          <w:top w:val="nil"/>
          <w:left w:val="nil"/>
          <w:bottom w:val="nil"/>
          <w:right w:val="nil"/>
          <w:between w:val="nil"/>
        </w:pBdr>
        <w:spacing w:before="280" w:after="280" w:line="360" w:lineRule="auto"/>
        <w:jc w:val="both"/>
        <w:rPr>
          <w:rFonts w:ascii="Times New Roman" w:eastAsia="Times New Roman" w:hAnsi="Times New Roman" w:cs="Times New Roman"/>
          <w:color w:val="000000" w:themeColor="text1"/>
          <w:sz w:val="24"/>
          <w:szCs w:val="24"/>
        </w:rPr>
      </w:pPr>
      <w:sdt>
        <w:sdtPr>
          <w:rPr>
            <w:rFonts w:ascii="Times New Roman" w:hAnsi="Times New Roman" w:cs="Times New Roman"/>
            <w:color w:val="000000" w:themeColor="text1"/>
            <w:sz w:val="24"/>
            <w:szCs w:val="24"/>
          </w:rPr>
          <w:tag w:val="goog_rdk_2"/>
          <w:id w:val="-1257215107"/>
        </w:sdtPr>
        <w:sdtContent>
          <w:r w:rsidR="00B5152B" w:rsidRPr="00831711">
            <w:rPr>
              <w:rFonts w:ascii="Times New Roman" w:eastAsia="Cardo" w:hAnsi="Times New Roman" w:cs="Times New Roman"/>
              <w:color w:val="000000" w:themeColor="text1"/>
              <w:sz w:val="24"/>
              <w:szCs w:val="24"/>
            </w:rPr>
            <w:t>The results also showed that the literacy rate (ALR) had a negative and statistically significant long-run effect on economic growth (β = −2.8125, p = 0.0054) in Nigeria. The outcome indicates that improvements in literacy skills have not translated into stronger economic growth, which may be related to the fact that the education system has not sufficiently developed the entrepreneurial, technical and innovative skills needed to improve the productivity and competitiveness of enterprises. Therefore, higher literacy rates do not necessarily lead to economic growth if quality education, capability and an enabling business environment are lacking. This result is partially in line with endogenous growth theory, which views human capital as a driver of economic growth through knowledge creation and innovation. However, beyond educational attainment, the theory also emphasises the quality and productive use of human capital, suggesting that literacy may not necessarily have the same growth effects if it is not accompanied by employable and entrepreneurial skills. The negative long-run effect does not imply that education is detrimental to economic growth; instead, it signifies a lack of alignment between education and employment needs, especially when formal education does not provide graduates with entrepreneurial, technological and innovation-oriented skills. Thus, while enhancing literacy may be necessary, it may not be sufficient to ensure economic growth if it is not accompanied by employment opportunities and enterprise development.</w:t>
          </w:r>
        </w:sdtContent>
      </w:sdt>
    </w:p>
    <w:p w14:paraId="2DB21007" w14:textId="77777777" w:rsidR="00472922" w:rsidRPr="00831711" w:rsidRDefault="00B5152B">
      <w:pPr>
        <w:pBdr>
          <w:top w:val="nil"/>
          <w:left w:val="nil"/>
          <w:bottom w:val="nil"/>
          <w:right w:val="nil"/>
          <w:between w:val="nil"/>
        </w:pBdr>
        <w:spacing w:before="280" w:after="280"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However, new business density has a negative and statistically significant relationship with economic growth in the short run, suggesting that an increase in newly registered businesses in the short run would decrease economic growth. This result could be due to the high start-up costs, low survival rates and operational difficulties of newly established businesses during their initial operations before they become productive contributors to the nation's output. This is in line with the study by Farouq and Dadwal (2018). On the other hand, the lagged education-</w:t>
      </w:r>
      <w:r w:rsidRPr="00831711">
        <w:rPr>
          <w:rFonts w:ascii="Times New Roman" w:eastAsia="Times New Roman" w:hAnsi="Times New Roman" w:cs="Times New Roman"/>
          <w:color w:val="000000" w:themeColor="text1"/>
          <w:sz w:val="24"/>
          <w:szCs w:val="24"/>
        </w:rPr>
        <w:lastRenderedPageBreak/>
        <w:t>outcome measure, literacy rate, has a positive and statistically significant impact on economic growth, suggesting that increased educational attainment may take time to yield increases in productivity and economic performance. The significant lagged effect in the short run also suggests that new firms may face adjustment costs and may not positively affect production and employment until they are established. During the initial phase of business establishment, entrepreneurs incur substantial expenses and produce at a relatively low volume. Thus, new firms may make only a small contribution at the macroeconomic level in the short run while they become more efficient and productive. In terms of adult literacy rate, the coefficient is positive but statistically insignificant (β = 0.0051, p = 0.9209), suggesting that the current change in adult literacy rate does not significantly affect economic growth. In addition, the error-correction coefficient is negative and statistically significant, validating the presence of a stable long-run relationship between the variables and suggesting that deviations from the equilibrium level are corrected quickly. The results further highlight that an enabling business environment and education and training in entrepreneurship and skills are crucial to making new business density an accelerator of economic development in Nigeria.</w:t>
      </w:r>
    </w:p>
    <w:p w14:paraId="231DAD9E" w14:textId="77777777" w:rsidR="00472922" w:rsidRPr="00831711" w:rsidRDefault="00B5152B">
      <w:pPr>
        <w:pBdr>
          <w:top w:val="nil"/>
          <w:left w:val="nil"/>
          <w:bottom w:val="nil"/>
          <w:right w:val="nil"/>
          <w:between w:val="nil"/>
        </w:pBdr>
        <w:spacing w:before="280" w:after="280" w:line="360" w:lineRule="auto"/>
        <w:jc w:val="both"/>
        <w:rPr>
          <w:rFonts w:ascii="Times New Roman" w:eastAsia="Times New Roman" w:hAnsi="Times New Roman" w:cs="Times New Roman"/>
          <w:b/>
          <w:bCs/>
          <w:color w:val="000000" w:themeColor="text1"/>
          <w:sz w:val="24"/>
          <w:szCs w:val="24"/>
        </w:rPr>
      </w:pPr>
      <w:r w:rsidRPr="00831711">
        <w:rPr>
          <w:rFonts w:ascii="Times New Roman" w:eastAsia="Times New Roman" w:hAnsi="Times New Roman" w:cs="Times New Roman"/>
          <w:b/>
          <w:bCs/>
          <w:color w:val="000000" w:themeColor="text1"/>
          <w:sz w:val="24"/>
          <w:szCs w:val="24"/>
        </w:rPr>
        <w:t>5.0 Conclusion and Recommendations</w:t>
      </w:r>
    </w:p>
    <w:p w14:paraId="449A4E68" w14:textId="77777777" w:rsidR="00472922" w:rsidRPr="00831711" w:rsidRDefault="00B5152B">
      <w:pPr>
        <w:pBdr>
          <w:top w:val="nil"/>
          <w:left w:val="nil"/>
          <w:bottom w:val="nil"/>
          <w:right w:val="nil"/>
          <w:between w:val="nil"/>
        </w:pBdr>
        <w:spacing w:before="280" w:after="280" w:line="360" w:lineRule="auto"/>
        <w:jc w:val="both"/>
        <w:rPr>
          <w:rFonts w:ascii="Times New Roman" w:eastAsia="Times New Roman" w:hAnsi="Times New Roman" w:cs="Times New Roman"/>
          <w:b/>
          <w:bCs/>
          <w:color w:val="000000" w:themeColor="text1"/>
          <w:sz w:val="24"/>
          <w:szCs w:val="24"/>
        </w:rPr>
      </w:pPr>
      <w:r w:rsidRPr="00831711">
        <w:rPr>
          <w:rFonts w:ascii="Times New Roman" w:eastAsia="Times New Roman" w:hAnsi="Times New Roman" w:cs="Times New Roman"/>
          <w:color w:val="000000" w:themeColor="text1"/>
          <w:sz w:val="24"/>
          <w:szCs w:val="24"/>
        </w:rPr>
        <w:t>The study reveals a positive but statistically insignificant long-run effect and a negative and statistically significant short-run effect of new business density on economic growth. This implies that, while business creation has the capacity to stimulate economic growth through entrepreneurship, innovation and job creation, Nigeria's start-up businesses are constrained in their immediate and long-run contributions to economic growth by various start-up challenges. By contrast, the adult literacy rate is negatively and statistically significantly associated with economic growth in the long run but positively and statistically significantly associated in the short run, suggesting that increases in literacy rate alone are insufficient to contribute to sustainable economic growth unless accompanied by entrepreneurial skills, innovation, quality education and a conducive business environment. The results indicate that entrepreneurship development will play a more significant role in Nigeria's economic growth if it is supported by an enabling business environment, enhanced access to finance and a human capital development system that focuses on skills development that facilitates entrepreneurial activity rather than literacy alone. The study recommends that:</w:t>
      </w:r>
    </w:p>
    <w:p w14:paraId="6EBEB49C" w14:textId="77777777" w:rsidR="00472922" w:rsidRPr="00831711" w:rsidRDefault="00B5152B">
      <w:pPr>
        <w:numPr>
          <w:ilvl w:val="0"/>
          <w:numId w:val="1"/>
        </w:numPr>
        <w:pBdr>
          <w:top w:val="nil"/>
          <w:left w:val="nil"/>
          <w:bottom w:val="nil"/>
          <w:right w:val="nil"/>
          <w:between w:val="nil"/>
        </w:pBdr>
        <w:spacing w:before="280" w:after="0"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lastRenderedPageBreak/>
        <w:t>The Federal Ministry of Industry, Trade and Investment (FMITI), the Corporate Affairs Commission (CAC), the Small and Medium Enterprises Development Agency of Nigeria (SMEDAN) and the Bank of Industry (BOI) should work together to enhance the entrepreneurial ecosystem by decreasing the time and cost of business registration, increasing access to affordable start-up financing and business incubation services, and providing targeted technical support for newly established businesses. This collaboration will enhance the viability of new businesses and help entrepreneurial activities contribute more to Nigeria's economic development.</w:t>
      </w:r>
    </w:p>
    <w:p w14:paraId="2523B3CB" w14:textId="77777777" w:rsidR="00472922" w:rsidRPr="00831711" w:rsidRDefault="00B5152B">
      <w:pPr>
        <w:numPr>
          <w:ilvl w:val="0"/>
          <w:numId w:val="1"/>
        </w:numPr>
        <w:pBdr>
          <w:top w:val="nil"/>
          <w:left w:val="nil"/>
          <w:bottom w:val="nil"/>
          <w:right w:val="nil"/>
          <w:between w:val="nil"/>
        </w:pBdr>
        <w:spacing w:after="280" w:line="360" w:lineRule="auto"/>
        <w:jc w:val="both"/>
        <w:rPr>
          <w:rFonts w:ascii="Times New Roman" w:eastAsia="Times New Roman" w:hAnsi="Times New Roman" w:cs="Times New Roman"/>
          <w:color w:val="000000" w:themeColor="text1"/>
          <w:sz w:val="24"/>
          <w:szCs w:val="24"/>
        </w:rPr>
      </w:pPr>
      <w:r w:rsidRPr="00831711">
        <w:rPr>
          <w:rFonts w:ascii="Times New Roman" w:eastAsia="Times New Roman" w:hAnsi="Times New Roman" w:cs="Times New Roman"/>
          <w:color w:val="000000" w:themeColor="text1"/>
          <w:sz w:val="24"/>
          <w:szCs w:val="24"/>
        </w:rPr>
        <w:t>The Federal Ministry of Education (FME), National Universities Commission (NUC), National Board for Technical Education (NBTE) and National Commission for Colleges of Education (NCCE) need to overhaul the education system by incorporating entrepreneurship, innovation and digital skills into curricula at all levels and enhancing linkages between educational institutions and industry. This will ensure that the gains from literacy are translated into productive entrepreneurial and workforce skills that can sustain economic growth.</w:t>
      </w:r>
    </w:p>
    <w:p w14:paraId="65B5349B" w14:textId="77777777" w:rsidR="00406AD1" w:rsidRPr="00831711" w:rsidRDefault="00406AD1" w:rsidP="00406AD1">
      <w:pPr>
        <w:spacing w:after="160" w:line="360" w:lineRule="auto"/>
        <w:ind w:left="360"/>
        <w:rPr>
          <w:rFonts w:ascii="Times New Roman" w:hAnsi="Times New Roman" w:cs="Times New Roman"/>
          <w:b/>
          <w:color w:val="000000" w:themeColor="text1"/>
          <w:sz w:val="24"/>
          <w:szCs w:val="24"/>
        </w:rPr>
      </w:pPr>
      <w:bookmarkStart w:id="0" w:name="_Hlk234486585"/>
      <w:bookmarkStart w:id="1" w:name="_Hlk234075571"/>
      <w:bookmarkStart w:id="2" w:name="_Hlk232755622"/>
      <w:r w:rsidRPr="00831711">
        <w:rPr>
          <w:rFonts w:ascii="Times New Roman" w:hAnsi="Times New Roman" w:cs="Times New Roman"/>
          <w:b/>
          <w:color w:val="000000" w:themeColor="text1"/>
          <w:sz w:val="24"/>
          <w:szCs w:val="24"/>
        </w:rPr>
        <w:t>5.1 Limitations of the Study</w:t>
      </w:r>
    </w:p>
    <w:p w14:paraId="73B0118C" w14:textId="77777777" w:rsidR="00406AD1" w:rsidRPr="00831711" w:rsidRDefault="00406AD1" w:rsidP="00406AD1">
      <w:pPr>
        <w:spacing w:after="160" w:line="360" w:lineRule="auto"/>
        <w:ind w:left="360"/>
        <w:jc w:val="both"/>
        <w:rPr>
          <w:rFonts w:ascii="Times New Roman" w:hAnsi="Times New Roman" w:cs="Times New Roman"/>
          <w:color w:val="000000" w:themeColor="text1"/>
          <w:sz w:val="24"/>
          <w:szCs w:val="24"/>
        </w:rPr>
      </w:pPr>
      <w:r w:rsidRPr="00831711">
        <w:rPr>
          <w:rFonts w:ascii="Times New Roman" w:hAnsi="Times New Roman" w:cs="Times New Roman"/>
          <w:color w:val="000000" w:themeColor="text1"/>
          <w:sz w:val="24"/>
          <w:szCs w:val="24"/>
        </w:rPr>
        <w:t>The paper's analysis used only secondary data from the World Development Indicators, which are available at annual frequency, thus excluding informal entrepreneurial activities that make up a significant part of business operations in Nigeria. In addition, the definition of entrepreneurship is limited to new business density, which may underestimate entrepreneurial activity in the informal sector. The research is limited to Nigeria; hence, the results may not be generalisable to other developing economies with different institutional and macroeconomic environments. Future research could use panel data for African countries, broaden the definition of entrepreneurship, and include other contextual factors such as financial inclusion, the quality of business regulation and governance quality.</w:t>
      </w:r>
    </w:p>
    <w:p w14:paraId="449E0FA3" w14:textId="77777777" w:rsidR="00B5152B" w:rsidRPr="00831711" w:rsidRDefault="00B5152B" w:rsidP="00406AD1">
      <w:pPr>
        <w:spacing w:after="160" w:line="360" w:lineRule="auto"/>
        <w:ind w:left="360"/>
        <w:rPr>
          <w:rFonts w:ascii="Times New Roman" w:hAnsi="Times New Roman" w:cs="Times New Roman"/>
          <w:b/>
          <w:color w:val="000000" w:themeColor="text1"/>
          <w:sz w:val="24"/>
          <w:szCs w:val="24"/>
        </w:rPr>
      </w:pPr>
      <w:r w:rsidRPr="00831711">
        <w:rPr>
          <w:rFonts w:ascii="Times New Roman" w:hAnsi="Times New Roman" w:cs="Times New Roman"/>
          <w:b/>
          <w:color w:val="000000" w:themeColor="text1"/>
          <w:sz w:val="24"/>
          <w:szCs w:val="24"/>
        </w:rPr>
        <w:t>Declaration of AI Use</w:t>
      </w:r>
    </w:p>
    <w:p w14:paraId="7ECAA9B7" w14:textId="77777777" w:rsidR="00B5152B" w:rsidRPr="00831711" w:rsidRDefault="00B5152B" w:rsidP="00406AD1">
      <w:pPr>
        <w:spacing w:after="160" w:line="360" w:lineRule="auto"/>
        <w:ind w:left="360"/>
        <w:rPr>
          <w:rFonts w:ascii="Times New Roman" w:hAnsi="Times New Roman" w:cs="Times New Roman"/>
          <w:color w:val="000000" w:themeColor="text1"/>
          <w:sz w:val="24"/>
          <w:szCs w:val="24"/>
        </w:rPr>
      </w:pPr>
      <w:bookmarkStart w:id="3" w:name="_Hlk234486575"/>
      <w:bookmarkEnd w:id="0"/>
    </w:p>
    <w:p w14:paraId="3FDDD8F3" w14:textId="77777777" w:rsidR="00B5152B" w:rsidRPr="00831711" w:rsidRDefault="00B5152B" w:rsidP="00406AD1">
      <w:pPr>
        <w:spacing w:after="160" w:line="360" w:lineRule="auto"/>
        <w:ind w:left="360"/>
        <w:jc w:val="both"/>
        <w:rPr>
          <w:rFonts w:ascii="Times New Roman" w:hAnsi="Times New Roman" w:cs="Times New Roman"/>
          <w:color w:val="000000" w:themeColor="text1"/>
          <w:sz w:val="24"/>
          <w:szCs w:val="24"/>
        </w:rPr>
      </w:pPr>
      <w:r w:rsidRPr="00831711">
        <w:rPr>
          <w:rFonts w:ascii="Times New Roman" w:hAnsi="Times New Roman" w:cs="Times New Roman"/>
          <w:color w:val="000000" w:themeColor="text1"/>
          <w:sz w:val="24"/>
          <w:szCs w:val="24"/>
        </w:rPr>
        <w:t xml:space="preserve">This manuscript was prepared through the combined contributions of all author(s), including contributions to the study design, data, content development, results, interpretation, and </w:t>
      </w:r>
      <w:r w:rsidRPr="00831711">
        <w:rPr>
          <w:rFonts w:ascii="Times New Roman" w:hAnsi="Times New Roman" w:cs="Times New Roman"/>
          <w:color w:val="000000" w:themeColor="text1"/>
          <w:sz w:val="24"/>
          <w:szCs w:val="24"/>
        </w:rPr>
        <w:lastRenderedPageBreak/>
        <w:t>related scholarly work. The author(s) acknowledge the use of Grammarly and ChatGPT to assist with grammar checking, language refinement and reference formatting. These AI-assisted tools were not used as authors and did not replace the intellectual contributions or scholarly judgement of the author(s). All AI-assisted outputs, including content, references, and interpretations, were carefully reviewed, revised, verified, and approved by the author(s). The author(s) accept full responsibility for the accuracy, integrity, and final content of the manuscript.</w:t>
      </w:r>
      <w:bookmarkEnd w:id="1"/>
    </w:p>
    <w:bookmarkEnd w:id="2"/>
    <w:bookmarkEnd w:id="3"/>
    <w:p w14:paraId="3CD8CBB4" w14:textId="77777777" w:rsidR="00B5152B" w:rsidRPr="00831711" w:rsidRDefault="00B5152B" w:rsidP="00B5152B">
      <w:pPr>
        <w:pBdr>
          <w:top w:val="nil"/>
          <w:left w:val="nil"/>
          <w:bottom w:val="nil"/>
          <w:right w:val="nil"/>
          <w:between w:val="nil"/>
        </w:pBdr>
        <w:spacing w:after="280" w:line="360" w:lineRule="auto"/>
        <w:jc w:val="both"/>
        <w:rPr>
          <w:rFonts w:ascii="Times New Roman" w:eastAsia="Times New Roman" w:hAnsi="Times New Roman" w:cs="Times New Roman"/>
          <w:color w:val="000000" w:themeColor="text1"/>
          <w:sz w:val="24"/>
          <w:szCs w:val="24"/>
        </w:rPr>
      </w:pPr>
    </w:p>
    <w:p w14:paraId="640B81AB" w14:textId="77777777" w:rsidR="00472922" w:rsidRPr="00831711" w:rsidRDefault="00472922">
      <w:pPr>
        <w:pBdr>
          <w:top w:val="nil"/>
          <w:left w:val="nil"/>
          <w:bottom w:val="nil"/>
          <w:right w:val="nil"/>
          <w:between w:val="nil"/>
        </w:pBdr>
        <w:spacing w:before="280" w:after="280" w:line="360" w:lineRule="auto"/>
        <w:jc w:val="both"/>
        <w:rPr>
          <w:rFonts w:ascii="Times New Roman" w:eastAsia="Times New Roman" w:hAnsi="Times New Roman" w:cs="Times New Roman"/>
          <w:color w:val="000000" w:themeColor="text1"/>
          <w:sz w:val="24"/>
          <w:szCs w:val="24"/>
        </w:rPr>
      </w:pPr>
    </w:p>
    <w:p w14:paraId="287A6FB0" w14:textId="77777777" w:rsidR="004B0232" w:rsidRPr="00831711" w:rsidRDefault="004B0232">
      <w:pPr>
        <w:pBdr>
          <w:top w:val="nil"/>
          <w:left w:val="nil"/>
          <w:bottom w:val="nil"/>
          <w:right w:val="nil"/>
          <w:between w:val="nil"/>
        </w:pBdr>
        <w:spacing w:before="280" w:after="280" w:line="360" w:lineRule="auto"/>
        <w:jc w:val="both"/>
        <w:rPr>
          <w:rFonts w:ascii="Times New Roman" w:eastAsia="Times New Roman" w:hAnsi="Times New Roman" w:cs="Times New Roman"/>
          <w:color w:val="000000" w:themeColor="text1"/>
          <w:sz w:val="24"/>
          <w:szCs w:val="24"/>
        </w:rPr>
      </w:pPr>
    </w:p>
    <w:p w14:paraId="7C1B825C" w14:textId="77777777" w:rsidR="004B0232" w:rsidRPr="00831711" w:rsidRDefault="004B0232">
      <w:pPr>
        <w:pBdr>
          <w:top w:val="nil"/>
          <w:left w:val="nil"/>
          <w:bottom w:val="nil"/>
          <w:right w:val="nil"/>
          <w:between w:val="nil"/>
        </w:pBdr>
        <w:spacing w:before="280" w:after="280" w:line="360" w:lineRule="auto"/>
        <w:jc w:val="both"/>
        <w:rPr>
          <w:rFonts w:ascii="Times New Roman" w:eastAsia="Times New Roman" w:hAnsi="Times New Roman" w:cs="Times New Roman"/>
          <w:color w:val="000000" w:themeColor="text1"/>
          <w:sz w:val="24"/>
          <w:szCs w:val="24"/>
        </w:rPr>
      </w:pPr>
    </w:p>
    <w:p w14:paraId="4664F1F1" w14:textId="77777777" w:rsidR="004B0232" w:rsidRPr="00831711" w:rsidRDefault="004B0232">
      <w:pPr>
        <w:pBdr>
          <w:top w:val="nil"/>
          <w:left w:val="nil"/>
          <w:bottom w:val="nil"/>
          <w:right w:val="nil"/>
          <w:between w:val="nil"/>
        </w:pBdr>
        <w:spacing w:before="280" w:after="280" w:line="360" w:lineRule="auto"/>
        <w:jc w:val="both"/>
        <w:rPr>
          <w:rFonts w:ascii="Times New Roman" w:eastAsia="Times New Roman" w:hAnsi="Times New Roman" w:cs="Times New Roman"/>
          <w:color w:val="000000" w:themeColor="text1"/>
          <w:sz w:val="24"/>
          <w:szCs w:val="24"/>
        </w:rPr>
      </w:pPr>
    </w:p>
    <w:p w14:paraId="29A28165" w14:textId="77777777" w:rsidR="004B0232" w:rsidRPr="00831711" w:rsidRDefault="004B0232">
      <w:pPr>
        <w:pBdr>
          <w:top w:val="nil"/>
          <w:left w:val="nil"/>
          <w:bottom w:val="nil"/>
          <w:right w:val="nil"/>
          <w:between w:val="nil"/>
        </w:pBdr>
        <w:spacing w:before="280" w:after="280" w:line="360" w:lineRule="auto"/>
        <w:jc w:val="both"/>
        <w:rPr>
          <w:rFonts w:ascii="Times New Roman" w:eastAsia="Times New Roman" w:hAnsi="Times New Roman" w:cs="Times New Roman"/>
          <w:color w:val="000000" w:themeColor="text1"/>
          <w:sz w:val="24"/>
          <w:szCs w:val="24"/>
        </w:rPr>
      </w:pPr>
    </w:p>
    <w:p w14:paraId="5A4AC72C" w14:textId="77777777" w:rsidR="004B0232" w:rsidRPr="00831711" w:rsidRDefault="004B0232">
      <w:pPr>
        <w:pBdr>
          <w:top w:val="nil"/>
          <w:left w:val="nil"/>
          <w:bottom w:val="nil"/>
          <w:right w:val="nil"/>
          <w:between w:val="nil"/>
        </w:pBdr>
        <w:spacing w:before="280" w:after="280" w:line="360" w:lineRule="auto"/>
        <w:jc w:val="both"/>
        <w:rPr>
          <w:rFonts w:ascii="Times New Roman" w:eastAsia="Times New Roman" w:hAnsi="Times New Roman" w:cs="Times New Roman"/>
          <w:color w:val="000000" w:themeColor="text1"/>
          <w:sz w:val="24"/>
          <w:szCs w:val="24"/>
        </w:rPr>
      </w:pPr>
    </w:p>
    <w:p w14:paraId="01C7C7C4" w14:textId="77777777" w:rsidR="004B0232" w:rsidRPr="00831711" w:rsidRDefault="004B0232">
      <w:pPr>
        <w:pBdr>
          <w:top w:val="nil"/>
          <w:left w:val="nil"/>
          <w:bottom w:val="nil"/>
          <w:right w:val="nil"/>
          <w:between w:val="nil"/>
        </w:pBdr>
        <w:spacing w:before="280" w:after="280" w:line="360" w:lineRule="auto"/>
        <w:jc w:val="both"/>
        <w:rPr>
          <w:rFonts w:ascii="Times New Roman" w:eastAsia="Times New Roman" w:hAnsi="Times New Roman" w:cs="Times New Roman"/>
          <w:color w:val="000000" w:themeColor="text1"/>
          <w:sz w:val="24"/>
          <w:szCs w:val="24"/>
        </w:rPr>
      </w:pPr>
    </w:p>
    <w:p w14:paraId="68476971" w14:textId="77777777" w:rsidR="004B0232" w:rsidRPr="00831711" w:rsidRDefault="004B0232">
      <w:pPr>
        <w:pBdr>
          <w:top w:val="nil"/>
          <w:left w:val="nil"/>
          <w:bottom w:val="nil"/>
          <w:right w:val="nil"/>
          <w:between w:val="nil"/>
        </w:pBdr>
        <w:spacing w:before="280" w:after="280" w:line="360" w:lineRule="auto"/>
        <w:jc w:val="both"/>
        <w:rPr>
          <w:rFonts w:ascii="Times New Roman" w:eastAsia="Times New Roman" w:hAnsi="Times New Roman" w:cs="Times New Roman"/>
          <w:color w:val="000000" w:themeColor="text1"/>
          <w:sz w:val="24"/>
          <w:szCs w:val="24"/>
        </w:rPr>
      </w:pPr>
    </w:p>
    <w:p w14:paraId="16A4F995" w14:textId="77777777" w:rsidR="004B0232" w:rsidRPr="00831711" w:rsidRDefault="004B0232">
      <w:pPr>
        <w:pBdr>
          <w:top w:val="nil"/>
          <w:left w:val="nil"/>
          <w:bottom w:val="nil"/>
          <w:right w:val="nil"/>
          <w:between w:val="nil"/>
        </w:pBdr>
        <w:spacing w:before="280" w:after="280" w:line="360" w:lineRule="auto"/>
        <w:jc w:val="both"/>
        <w:rPr>
          <w:rFonts w:ascii="Times New Roman" w:eastAsia="Times New Roman" w:hAnsi="Times New Roman" w:cs="Times New Roman"/>
          <w:color w:val="000000" w:themeColor="text1"/>
          <w:sz w:val="24"/>
          <w:szCs w:val="24"/>
        </w:rPr>
      </w:pPr>
    </w:p>
    <w:p w14:paraId="52079854" w14:textId="77777777" w:rsidR="004B0232" w:rsidRPr="00831711" w:rsidRDefault="004B0232">
      <w:pPr>
        <w:pBdr>
          <w:top w:val="nil"/>
          <w:left w:val="nil"/>
          <w:bottom w:val="nil"/>
          <w:right w:val="nil"/>
          <w:between w:val="nil"/>
        </w:pBdr>
        <w:spacing w:before="280" w:after="280" w:line="360" w:lineRule="auto"/>
        <w:jc w:val="both"/>
        <w:rPr>
          <w:rFonts w:ascii="Times New Roman" w:eastAsia="Times New Roman" w:hAnsi="Times New Roman" w:cs="Times New Roman"/>
          <w:color w:val="000000" w:themeColor="text1"/>
          <w:sz w:val="24"/>
          <w:szCs w:val="24"/>
        </w:rPr>
      </w:pPr>
    </w:p>
    <w:p w14:paraId="086BA822" w14:textId="77777777" w:rsidR="004B0232" w:rsidRPr="00831711" w:rsidRDefault="004B0232">
      <w:pPr>
        <w:pBdr>
          <w:top w:val="nil"/>
          <w:left w:val="nil"/>
          <w:bottom w:val="nil"/>
          <w:right w:val="nil"/>
          <w:between w:val="nil"/>
        </w:pBdr>
        <w:spacing w:before="280" w:after="280" w:line="360" w:lineRule="auto"/>
        <w:jc w:val="both"/>
        <w:rPr>
          <w:rFonts w:ascii="Times New Roman" w:eastAsia="Times New Roman" w:hAnsi="Times New Roman" w:cs="Times New Roman"/>
          <w:color w:val="000000" w:themeColor="text1"/>
          <w:sz w:val="24"/>
          <w:szCs w:val="24"/>
        </w:rPr>
      </w:pPr>
    </w:p>
    <w:p w14:paraId="251DDD1F" w14:textId="77777777" w:rsidR="004B0232" w:rsidRPr="00831711" w:rsidRDefault="004B0232">
      <w:pPr>
        <w:pBdr>
          <w:top w:val="nil"/>
          <w:left w:val="nil"/>
          <w:bottom w:val="nil"/>
          <w:right w:val="nil"/>
          <w:between w:val="nil"/>
        </w:pBdr>
        <w:spacing w:before="280" w:after="280" w:line="360" w:lineRule="auto"/>
        <w:jc w:val="both"/>
        <w:rPr>
          <w:rFonts w:ascii="Times New Roman" w:eastAsia="Times New Roman" w:hAnsi="Times New Roman" w:cs="Times New Roman"/>
          <w:color w:val="000000" w:themeColor="text1"/>
          <w:sz w:val="24"/>
          <w:szCs w:val="24"/>
        </w:rPr>
      </w:pPr>
    </w:p>
    <w:p w14:paraId="05B8ADA8" w14:textId="77777777" w:rsidR="00472922" w:rsidRPr="00831711" w:rsidRDefault="00B5152B">
      <w:pPr>
        <w:pBdr>
          <w:top w:val="nil"/>
          <w:left w:val="nil"/>
          <w:bottom w:val="nil"/>
          <w:right w:val="nil"/>
          <w:between w:val="nil"/>
        </w:pBdr>
        <w:spacing w:before="280" w:after="280" w:line="360" w:lineRule="auto"/>
        <w:jc w:val="center"/>
        <w:rPr>
          <w:rFonts w:ascii="Times New Roman" w:eastAsia="Times New Roman" w:hAnsi="Times New Roman" w:cs="Times New Roman"/>
          <w:b/>
          <w:bCs/>
          <w:color w:val="000000" w:themeColor="text1"/>
          <w:sz w:val="24"/>
          <w:szCs w:val="24"/>
        </w:rPr>
      </w:pPr>
      <w:r w:rsidRPr="00831711">
        <w:rPr>
          <w:rFonts w:ascii="Times New Roman" w:eastAsia="Times New Roman" w:hAnsi="Times New Roman" w:cs="Times New Roman"/>
          <w:b/>
          <w:bCs/>
          <w:color w:val="000000" w:themeColor="text1"/>
          <w:sz w:val="24"/>
          <w:szCs w:val="24"/>
        </w:rPr>
        <w:t>REFERENCES</w:t>
      </w:r>
    </w:p>
    <w:p w14:paraId="18EAACC6" w14:textId="77777777" w:rsidR="00D96584" w:rsidRPr="00831711" w:rsidRDefault="00000000">
      <w:pPr>
        <w:spacing w:after="0" w:line="240" w:lineRule="auto"/>
        <w:ind w:left="720" w:hanging="720"/>
        <w:jc w:val="both"/>
      </w:pPr>
      <w:r w:rsidRPr="00831711">
        <w:rPr>
          <w:rFonts w:ascii="Times New Roman" w:hAnsi="Times New Roman"/>
          <w:sz w:val="24"/>
        </w:rPr>
        <w:lastRenderedPageBreak/>
        <w:t xml:space="preserve">Acs, Z. J., Estrin, S., Mickiewicz, T., &amp; Szerb, L. (2018). Entrepreneurship, institutional economics, and economic growth: An ecosystem perspective. </w:t>
      </w:r>
      <w:r w:rsidRPr="00831711">
        <w:rPr>
          <w:rFonts w:ascii="Times New Roman" w:hAnsi="Times New Roman"/>
          <w:i/>
          <w:sz w:val="24"/>
        </w:rPr>
        <w:t>Small Business Economics, 51</w:t>
      </w:r>
      <w:r w:rsidRPr="00831711">
        <w:rPr>
          <w:rFonts w:ascii="Times New Roman" w:hAnsi="Times New Roman"/>
          <w:sz w:val="24"/>
        </w:rPr>
        <w:t xml:space="preserve">(2), 501–514. </w:t>
      </w:r>
      <w:hyperlink r:id="rId8">
        <w:r w:rsidRPr="00831711">
          <w:rPr>
            <w:rFonts w:ascii="Times New Roman" w:hAnsi="Times New Roman"/>
            <w:color w:val="000000"/>
            <w:sz w:val="24"/>
            <w:szCs w:val="24"/>
          </w:rPr>
          <w:t>https://doi.org/10.1007/s11187-018-0013-9</w:t>
        </w:r>
      </w:hyperlink>
    </w:p>
    <w:p w14:paraId="7DF2D7E1" w14:textId="77777777" w:rsidR="00D96584" w:rsidRPr="00831711" w:rsidRDefault="00000000">
      <w:pPr>
        <w:spacing w:after="0" w:line="240" w:lineRule="auto"/>
        <w:ind w:left="720" w:hanging="720"/>
        <w:jc w:val="both"/>
      </w:pPr>
      <w:r w:rsidRPr="00831711">
        <w:rPr>
          <w:rFonts w:ascii="Times New Roman" w:hAnsi="Times New Roman"/>
          <w:sz w:val="24"/>
        </w:rPr>
        <w:t xml:space="preserve">Adeosun, O. T., &amp; Shittu, A. I. (2022). Small–medium enterprise formation and Nigerian economic growth. </w:t>
      </w:r>
      <w:r w:rsidRPr="00831711">
        <w:rPr>
          <w:rFonts w:ascii="Times New Roman" w:hAnsi="Times New Roman"/>
          <w:i/>
          <w:sz w:val="24"/>
        </w:rPr>
        <w:t>Review of Economics and Political Science, 7</w:t>
      </w:r>
      <w:r w:rsidRPr="00831711">
        <w:rPr>
          <w:rFonts w:ascii="Times New Roman" w:hAnsi="Times New Roman"/>
          <w:sz w:val="24"/>
        </w:rPr>
        <w:t xml:space="preserve">(4), 286–301. </w:t>
      </w:r>
      <w:hyperlink r:id="rId9">
        <w:r w:rsidRPr="00831711">
          <w:rPr>
            <w:rFonts w:ascii="Times New Roman" w:hAnsi="Times New Roman"/>
            <w:color w:val="000000"/>
            <w:sz w:val="24"/>
            <w:szCs w:val="24"/>
          </w:rPr>
          <w:t>https://doi.org/10.1108/REPS-07-2020-0089</w:t>
        </w:r>
      </w:hyperlink>
    </w:p>
    <w:p w14:paraId="6850DC87" w14:textId="77777777" w:rsidR="00D96584" w:rsidRPr="00831711" w:rsidRDefault="00000000">
      <w:pPr>
        <w:spacing w:after="0" w:line="240" w:lineRule="auto"/>
        <w:ind w:left="720" w:hanging="720"/>
        <w:jc w:val="both"/>
      </w:pPr>
      <w:r w:rsidRPr="00831711">
        <w:rPr>
          <w:rFonts w:ascii="Times New Roman" w:hAnsi="Times New Roman"/>
          <w:sz w:val="24"/>
        </w:rPr>
        <w:t xml:space="preserve">Afolabi, A. (2015). The effect of entrepreneurship on economy growth and development in Nigeria. </w:t>
      </w:r>
      <w:r w:rsidRPr="00831711">
        <w:rPr>
          <w:rFonts w:ascii="Times New Roman" w:hAnsi="Times New Roman"/>
          <w:i/>
          <w:sz w:val="24"/>
        </w:rPr>
        <w:t>International Journal of Development and Economic Sustainability, 3</w:t>
      </w:r>
      <w:r w:rsidRPr="00831711">
        <w:rPr>
          <w:rFonts w:ascii="Times New Roman" w:hAnsi="Times New Roman"/>
          <w:sz w:val="24"/>
        </w:rPr>
        <w:t xml:space="preserve">(2), 49–65. </w:t>
      </w:r>
      <w:hyperlink r:id="rId10">
        <w:r w:rsidRPr="00831711">
          <w:rPr>
            <w:rFonts w:ascii="Times New Roman" w:hAnsi="Times New Roman"/>
            <w:color w:val="000000"/>
            <w:sz w:val="24"/>
            <w:szCs w:val="24"/>
          </w:rPr>
          <w:t>https://eajournals.org/ijdes/vol-3-no-2may-2015/the-effect-of-entrepreneurship-on-economy-growth-and-development-in-nigeria/</w:t>
        </w:r>
      </w:hyperlink>
    </w:p>
    <w:p w14:paraId="012928BF" w14:textId="77777777" w:rsidR="00D96584" w:rsidRPr="00831711" w:rsidRDefault="00000000">
      <w:pPr>
        <w:spacing w:after="0" w:line="240" w:lineRule="auto"/>
        <w:ind w:left="720" w:hanging="720"/>
        <w:jc w:val="both"/>
      </w:pPr>
      <w:r w:rsidRPr="00831711">
        <w:rPr>
          <w:rFonts w:ascii="Times New Roman" w:hAnsi="Times New Roman"/>
          <w:b/>
          <w:sz w:val="24"/>
        </w:rPr>
        <w:t xml:space="preserve">Alvarez, C., Lopez, T., &amp; Urbano, D. (2025). Do institutional dimensions matter at different stages of the entrepreneurial process? A multi-country study. </w:t>
      </w:r>
      <w:r w:rsidRPr="00831711">
        <w:rPr>
          <w:rFonts w:ascii="Times New Roman" w:hAnsi="Times New Roman"/>
          <w:b/>
          <w:i/>
          <w:sz w:val="24"/>
        </w:rPr>
        <w:t>Small Business Economics, 64</w:t>
      </w:r>
      <w:r w:rsidRPr="00831711">
        <w:rPr>
          <w:rFonts w:ascii="Times New Roman" w:hAnsi="Times New Roman"/>
          <w:b/>
          <w:sz w:val="24"/>
        </w:rPr>
        <w:t>(2), 353–381. https://doi.org/10.1007/s11187-024-00920-4</w:t>
      </w:r>
    </w:p>
    <w:p w14:paraId="230CEAF9" w14:textId="77777777" w:rsidR="00D96584" w:rsidRPr="00831711" w:rsidRDefault="00000000">
      <w:pPr>
        <w:spacing w:after="0" w:line="240" w:lineRule="auto"/>
        <w:ind w:left="720" w:hanging="720"/>
        <w:jc w:val="both"/>
      </w:pPr>
      <w:r w:rsidRPr="00831711">
        <w:rPr>
          <w:rFonts w:ascii="Times New Roman" w:hAnsi="Times New Roman"/>
          <w:sz w:val="24"/>
        </w:rPr>
        <w:t xml:space="preserve">Arrow, K. J. (1962). The economic implications of learning by doing. </w:t>
      </w:r>
      <w:r w:rsidRPr="00831711">
        <w:rPr>
          <w:rFonts w:ascii="Times New Roman" w:hAnsi="Times New Roman"/>
          <w:i/>
          <w:sz w:val="24"/>
        </w:rPr>
        <w:t>The Review of Economic Studies, 29</w:t>
      </w:r>
      <w:r w:rsidRPr="00831711">
        <w:rPr>
          <w:rFonts w:ascii="Times New Roman" w:hAnsi="Times New Roman"/>
          <w:sz w:val="24"/>
        </w:rPr>
        <w:t xml:space="preserve">(3), 155–173. </w:t>
      </w:r>
      <w:hyperlink r:id="rId11">
        <w:r w:rsidRPr="00831711">
          <w:rPr>
            <w:rFonts w:ascii="Times New Roman" w:hAnsi="Times New Roman"/>
            <w:color w:val="000000"/>
            <w:sz w:val="24"/>
            <w:szCs w:val="24"/>
          </w:rPr>
          <w:t>https://doi.org/10.2307/2295952</w:t>
        </w:r>
      </w:hyperlink>
    </w:p>
    <w:p w14:paraId="419F2627" w14:textId="77777777" w:rsidR="00D96584" w:rsidRPr="00831711" w:rsidRDefault="00000000">
      <w:pPr>
        <w:spacing w:after="0" w:line="240" w:lineRule="auto"/>
        <w:ind w:left="720" w:hanging="720"/>
        <w:jc w:val="both"/>
      </w:pPr>
      <w:r w:rsidRPr="00831711">
        <w:rPr>
          <w:rFonts w:ascii="Times New Roman" w:hAnsi="Times New Roman"/>
          <w:b/>
          <w:sz w:val="24"/>
        </w:rPr>
        <w:t xml:space="preserve">Bilan, I., &amp; Apostoaie, C.-M. (2025). Tax policy, corruption, and formal business entry: Cross-country evidence from emerging economies. </w:t>
      </w:r>
      <w:r w:rsidRPr="00831711">
        <w:rPr>
          <w:rFonts w:ascii="Times New Roman" w:hAnsi="Times New Roman"/>
          <w:b/>
          <w:i/>
          <w:sz w:val="24"/>
        </w:rPr>
        <w:t>Economic Change and Restructuring, 58</w:t>
      </w:r>
      <w:r w:rsidRPr="00831711">
        <w:rPr>
          <w:rFonts w:ascii="Times New Roman" w:hAnsi="Times New Roman"/>
          <w:b/>
          <w:sz w:val="24"/>
        </w:rPr>
        <w:t>, 26. https://doi.org/10.1007/s10644-025-09865-4</w:t>
      </w:r>
    </w:p>
    <w:p w14:paraId="11878764" w14:textId="77777777" w:rsidR="00D96584" w:rsidRPr="00831711" w:rsidRDefault="00000000">
      <w:pPr>
        <w:spacing w:after="0" w:line="240" w:lineRule="auto"/>
        <w:ind w:left="720" w:hanging="720"/>
        <w:jc w:val="both"/>
      </w:pPr>
      <w:r w:rsidRPr="00831711">
        <w:rPr>
          <w:rFonts w:ascii="Times New Roman" w:hAnsi="Times New Roman"/>
          <w:sz w:val="24"/>
        </w:rPr>
        <w:t xml:space="preserve">Cakiroglu, K. I., Yildirim, K., Haciimamoglu, T., &amp; Erkan, C. (2025). From entrepreneurship to sustainable futures: Investigating the nexus between new business density, economic growth, and carbon emissions. </w:t>
      </w:r>
      <w:r w:rsidRPr="00831711">
        <w:rPr>
          <w:rFonts w:ascii="Times New Roman" w:hAnsi="Times New Roman"/>
          <w:i/>
          <w:sz w:val="24"/>
        </w:rPr>
        <w:t>Sustainability, 17</w:t>
      </w:r>
      <w:r w:rsidRPr="00831711">
        <w:rPr>
          <w:rFonts w:ascii="Times New Roman" w:hAnsi="Times New Roman"/>
          <w:sz w:val="24"/>
        </w:rPr>
        <w:t xml:space="preserve">(12), 5615. </w:t>
      </w:r>
      <w:hyperlink r:id="rId12">
        <w:r w:rsidRPr="00831711">
          <w:rPr>
            <w:rFonts w:ascii="Times New Roman" w:hAnsi="Times New Roman"/>
            <w:color w:val="000000"/>
            <w:sz w:val="24"/>
            <w:szCs w:val="24"/>
          </w:rPr>
          <w:t>https://doi.org/10.3390/su17125615</w:t>
        </w:r>
      </w:hyperlink>
    </w:p>
    <w:p w14:paraId="1761C1A0" w14:textId="77777777" w:rsidR="00D96584" w:rsidRPr="00831711" w:rsidRDefault="00000000">
      <w:pPr>
        <w:spacing w:after="0" w:line="240" w:lineRule="auto"/>
        <w:ind w:left="720" w:hanging="720"/>
        <w:jc w:val="both"/>
      </w:pPr>
      <w:r w:rsidRPr="00831711">
        <w:rPr>
          <w:rFonts w:ascii="Times New Roman" w:hAnsi="Times New Roman"/>
          <w:sz w:val="24"/>
        </w:rPr>
        <w:t xml:space="preserve">Carree, M. A., &amp; Thurik, A. R. (2010). The impact of entrepreneurship on economic growth. In Z. J. Acs &amp; D. B. Audretsch (Eds.), </w:t>
      </w:r>
      <w:r w:rsidRPr="00831711">
        <w:rPr>
          <w:rFonts w:ascii="Times New Roman" w:hAnsi="Times New Roman"/>
          <w:i/>
          <w:sz w:val="24"/>
        </w:rPr>
        <w:t>Handbook of entrepreneurship research: An interdisciplinary survey and introduction</w:t>
      </w:r>
      <w:r w:rsidRPr="00831711">
        <w:rPr>
          <w:rFonts w:ascii="Times New Roman" w:hAnsi="Times New Roman"/>
          <w:sz w:val="24"/>
        </w:rPr>
        <w:t xml:space="preserve"> (2nd ed., pp. 557–594). Springer. </w:t>
      </w:r>
      <w:hyperlink r:id="rId13">
        <w:r w:rsidRPr="00831711">
          <w:rPr>
            <w:rFonts w:ascii="Times New Roman" w:hAnsi="Times New Roman"/>
            <w:color w:val="000000"/>
            <w:sz w:val="24"/>
            <w:szCs w:val="24"/>
          </w:rPr>
          <w:t>https://doi.org/10.1007/978-1-4419-1191-9_20</w:t>
        </w:r>
      </w:hyperlink>
    </w:p>
    <w:p w14:paraId="1C4DD6BE" w14:textId="77777777" w:rsidR="00D96584" w:rsidRPr="00831711" w:rsidRDefault="00000000">
      <w:pPr>
        <w:spacing w:after="0" w:line="240" w:lineRule="auto"/>
        <w:ind w:left="720" w:hanging="720"/>
        <w:jc w:val="both"/>
      </w:pPr>
      <w:r w:rsidRPr="00831711">
        <w:rPr>
          <w:rFonts w:ascii="Times New Roman" w:hAnsi="Times New Roman"/>
          <w:sz w:val="24"/>
        </w:rPr>
        <w:t xml:space="preserve">Central Bank of Nigeria. (2004). </w:t>
      </w:r>
      <w:r w:rsidRPr="00831711">
        <w:rPr>
          <w:rFonts w:ascii="Times New Roman" w:hAnsi="Times New Roman"/>
          <w:i/>
          <w:sz w:val="24"/>
        </w:rPr>
        <w:t>Draft national microfinance policy and regulatory guidelines for Nigeria</w:t>
      </w:r>
      <w:r w:rsidRPr="00831711">
        <w:rPr>
          <w:rFonts w:ascii="Times New Roman" w:hAnsi="Times New Roman"/>
          <w:sz w:val="24"/>
        </w:rPr>
        <w:t xml:space="preserve">. </w:t>
      </w:r>
      <w:hyperlink r:id="rId14">
        <w:r w:rsidRPr="00831711">
          <w:rPr>
            <w:rFonts w:ascii="Times New Roman" w:hAnsi="Times New Roman"/>
            <w:color w:val="000000"/>
            <w:sz w:val="24"/>
            <w:szCs w:val="24"/>
          </w:rPr>
          <w:t>https://www.cbn.gov.ng/</w:t>
        </w:r>
      </w:hyperlink>
    </w:p>
    <w:p w14:paraId="7133F2AA" w14:textId="77777777" w:rsidR="00D96584" w:rsidRPr="00831711" w:rsidRDefault="00000000">
      <w:pPr>
        <w:spacing w:after="0" w:line="240" w:lineRule="auto"/>
        <w:ind w:left="720" w:hanging="720"/>
        <w:jc w:val="both"/>
      </w:pPr>
      <w:r w:rsidRPr="00831711">
        <w:rPr>
          <w:rFonts w:ascii="Times New Roman" w:hAnsi="Times New Roman"/>
          <w:sz w:val="24"/>
        </w:rPr>
        <w:t xml:space="preserve">Chughtai, M. W. (2014). Impact of small and medium enterprises on economic growth: Evidence from Pakistan. </w:t>
      </w:r>
      <w:r w:rsidRPr="00831711">
        <w:rPr>
          <w:rFonts w:ascii="Times New Roman" w:hAnsi="Times New Roman"/>
          <w:i/>
          <w:sz w:val="24"/>
        </w:rPr>
        <w:t>Standard Research Journal of Business Management, 2</w:t>
      </w:r>
      <w:r w:rsidRPr="00831711">
        <w:rPr>
          <w:rFonts w:ascii="Times New Roman" w:hAnsi="Times New Roman"/>
          <w:sz w:val="24"/>
        </w:rPr>
        <w:t xml:space="preserve">(2), 19–24. </w:t>
      </w:r>
      <w:hyperlink r:id="rId15">
        <w:r w:rsidRPr="00831711">
          <w:rPr>
            <w:rFonts w:ascii="Times New Roman" w:hAnsi="Times New Roman"/>
            <w:color w:val="000000"/>
            <w:sz w:val="24"/>
            <w:szCs w:val="24"/>
          </w:rPr>
          <w:t>https://portal.issn.org/resource/ISSN/2310-7537</w:t>
        </w:r>
      </w:hyperlink>
    </w:p>
    <w:p w14:paraId="70F15413" w14:textId="77777777" w:rsidR="00D96584" w:rsidRPr="00831711" w:rsidRDefault="00000000">
      <w:pPr>
        <w:spacing w:after="0" w:line="240" w:lineRule="auto"/>
        <w:ind w:left="720" w:hanging="720"/>
        <w:jc w:val="both"/>
      </w:pPr>
      <w:r w:rsidRPr="00831711">
        <w:rPr>
          <w:rFonts w:ascii="Times New Roman" w:hAnsi="Times New Roman"/>
          <w:sz w:val="24"/>
        </w:rPr>
        <w:t xml:space="preserve">Diyoke, C. I. (2014). Entrepreneurship development in Nigeria: Issues, problems and prospects. </w:t>
      </w:r>
      <w:r w:rsidRPr="00831711">
        <w:rPr>
          <w:rFonts w:ascii="Times New Roman" w:hAnsi="Times New Roman"/>
          <w:i/>
          <w:sz w:val="24"/>
        </w:rPr>
        <w:t>International Journal of Technical Research and Applications, Special Issue 10</w:t>
      </w:r>
      <w:r w:rsidRPr="00831711">
        <w:rPr>
          <w:rFonts w:ascii="Times New Roman" w:hAnsi="Times New Roman"/>
          <w:sz w:val="24"/>
        </w:rPr>
        <w:t xml:space="preserve">, 19–23. </w:t>
      </w:r>
      <w:hyperlink r:id="rId16">
        <w:r w:rsidRPr="00831711">
          <w:rPr>
            <w:rFonts w:ascii="Times New Roman" w:hAnsi="Times New Roman"/>
            <w:color w:val="000000"/>
            <w:sz w:val="24"/>
            <w:szCs w:val="24"/>
          </w:rPr>
          <w:t>https://www.ijtra.com/special-issue-view/entrepreneurship-development-in-nigeria-issues-problems-and-prospects.pdf</w:t>
        </w:r>
      </w:hyperlink>
    </w:p>
    <w:p w14:paraId="75334187" w14:textId="77777777" w:rsidR="00D96584" w:rsidRPr="00831711" w:rsidRDefault="00000000">
      <w:pPr>
        <w:spacing w:after="0" w:line="240" w:lineRule="auto"/>
        <w:ind w:left="720" w:hanging="720"/>
        <w:jc w:val="both"/>
      </w:pPr>
      <w:r w:rsidRPr="00831711">
        <w:rPr>
          <w:rFonts w:ascii="Times New Roman" w:hAnsi="Times New Roman"/>
          <w:b/>
          <w:sz w:val="24"/>
        </w:rPr>
        <w:t xml:space="preserve">Estrin, S., Guerrero, M., &amp; Mickiewicz, T. (2024). A framework for investigating new firm entry: The (limited) overlap between informal-formal and necessity-opportunity entrepreneurship. </w:t>
      </w:r>
      <w:r w:rsidRPr="00831711">
        <w:rPr>
          <w:rFonts w:ascii="Times New Roman" w:hAnsi="Times New Roman"/>
          <w:b/>
          <w:i/>
          <w:sz w:val="24"/>
        </w:rPr>
        <w:t>Journal of Business Venturing, 39</w:t>
      </w:r>
      <w:r w:rsidRPr="00831711">
        <w:rPr>
          <w:rFonts w:ascii="Times New Roman" w:hAnsi="Times New Roman"/>
          <w:b/>
          <w:sz w:val="24"/>
        </w:rPr>
        <w:t>(4), 106404. https://doi.org/10.1016/j.jbusvent.2024.106404</w:t>
      </w:r>
    </w:p>
    <w:p w14:paraId="4A65D626" w14:textId="77777777" w:rsidR="00D96584" w:rsidRPr="00831711" w:rsidRDefault="00000000">
      <w:pPr>
        <w:spacing w:after="0" w:line="240" w:lineRule="auto"/>
        <w:ind w:left="720" w:hanging="720"/>
        <w:jc w:val="both"/>
      </w:pPr>
      <w:r w:rsidRPr="00831711">
        <w:rPr>
          <w:rFonts w:ascii="Times New Roman" w:hAnsi="Times New Roman"/>
          <w:sz w:val="24"/>
        </w:rPr>
        <w:t xml:space="preserve">Eze, T. C., &amp; Okpala, C. S. (2015). Quantitative analysis of the impact of small and medium scale enterprises on the growth of Nigerian economy: 1993–2011. </w:t>
      </w:r>
      <w:r w:rsidRPr="00831711">
        <w:rPr>
          <w:rFonts w:ascii="Times New Roman" w:hAnsi="Times New Roman"/>
          <w:i/>
          <w:sz w:val="24"/>
        </w:rPr>
        <w:t>International Journal of Developing and Emerging Economies, 3</w:t>
      </w:r>
      <w:r w:rsidRPr="00831711">
        <w:rPr>
          <w:rFonts w:ascii="Times New Roman" w:hAnsi="Times New Roman"/>
          <w:sz w:val="24"/>
        </w:rPr>
        <w:t xml:space="preserve">(1), 26–38. </w:t>
      </w:r>
      <w:hyperlink r:id="rId17">
        <w:r w:rsidRPr="00831711">
          <w:rPr>
            <w:rFonts w:ascii="Times New Roman" w:hAnsi="Times New Roman"/>
            <w:color w:val="000000"/>
            <w:sz w:val="24"/>
            <w:szCs w:val="24"/>
          </w:rPr>
          <w:t>https://eajournals.org/ijdee/tag/economic-growth/page/2/</w:t>
        </w:r>
      </w:hyperlink>
    </w:p>
    <w:p w14:paraId="3FD53E41" w14:textId="77777777" w:rsidR="00D96584" w:rsidRPr="00831711" w:rsidRDefault="00000000">
      <w:pPr>
        <w:spacing w:after="0" w:line="240" w:lineRule="auto"/>
        <w:ind w:left="720" w:hanging="720"/>
        <w:jc w:val="both"/>
      </w:pPr>
      <w:r w:rsidRPr="00831711">
        <w:rPr>
          <w:rFonts w:ascii="Times New Roman" w:hAnsi="Times New Roman"/>
          <w:sz w:val="24"/>
        </w:rPr>
        <w:t xml:space="preserve">Farouq, T., &amp; Dadwal, S. (2018). The impact of entrepreneurship on economic growth and development in the UK. </w:t>
      </w:r>
      <w:r w:rsidRPr="00831711">
        <w:rPr>
          <w:rFonts w:ascii="Times New Roman" w:hAnsi="Times New Roman"/>
          <w:i/>
          <w:sz w:val="24"/>
        </w:rPr>
        <w:t>International Journal of Entrepreneurship Management Innovation and Development, 2</w:t>
      </w:r>
      <w:r w:rsidRPr="00831711">
        <w:rPr>
          <w:rFonts w:ascii="Times New Roman" w:hAnsi="Times New Roman"/>
          <w:sz w:val="24"/>
        </w:rPr>
        <w:t xml:space="preserve">(2), 116–146. </w:t>
      </w:r>
      <w:hyperlink r:id="rId18">
        <w:r w:rsidRPr="00831711">
          <w:rPr>
            <w:rFonts w:ascii="Times New Roman" w:hAnsi="Times New Roman"/>
            <w:color w:val="000000"/>
            <w:sz w:val="24"/>
            <w:szCs w:val="24"/>
          </w:rPr>
          <w:t>https://researchportal.lsbu.ac.uk/en/publications/the-impact-of-entrepreneurship-on-economic-growth-and-development-3/</w:t>
        </w:r>
      </w:hyperlink>
    </w:p>
    <w:p w14:paraId="72C22445" w14:textId="77777777" w:rsidR="00D96584" w:rsidRPr="00831711" w:rsidRDefault="00000000">
      <w:pPr>
        <w:spacing w:after="0" w:line="240" w:lineRule="auto"/>
        <w:ind w:left="720" w:hanging="720"/>
        <w:jc w:val="both"/>
      </w:pPr>
      <w:r w:rsidRPr="00831711">
        <w:rPr>
          <w:rFonts w:ascii="Times New Roman" w:hAnsi="Times New Roman"/>
          <w:sz w:val="24"/>
        </w:rPr>
        <w:t xml:space="preserve">Fasoranti, M. M. (2012). The effect of government expenditure on infrastructure on the growth of the Nigerian economy, 1977–2009. </w:t>
      </w:r>
      <w:r w:rsidRPr="00831711">
        <w:rPr>
          <w:rFonts w:ascii="Times New Roman" w:hAnsi="Times New Roman"/>
          <w:i/>
          <w:sz w:val="24"/>
        </w:rPr>
        <w:t>International Journal of Economics and Financial Issues, 2</w:t>
      </w:r>
      <w:r w:rsidRPr="00831711">
        <w:rPr>
          <w:rFonts w:ascii="Times New Roman" w:hAnsi="Times New Roman"/>
          <w:sz w:val="24"/>
        </w:rPr>
        <w:t xml:space="preserve">(4), 513–518. </w:t>
      </w:r>
      <w:hyperlink r:id="rId19">
        <w:r w:rsidRPr="00831711">
          <w:rPr>
            <w:rFonts w:ascii="Times New Roman" w:hAnsi="Times New Roman"/>
            <w:color w:val="000000"/>
            <w:sz w:val="24"/>
            <w:szCs w:val="24"/>
          </w:rPr>
          <w:t>https://www.econjournals.com/index.php/ijefi/article/view/205</w:t>
        </w:r>
      </w:hyperlink>
    </w:p>
    <w:p w14:paraId="1CF6510C" w14:textId="77777777" w:rsidR="00D96584" w:rsidRPr="00831711" w:rsidRDefault="00000000">
      <w:pPr>
        <w:spacing w:after="0" w:line="240" w:lineRule="auto"/>
        <w:ind w:left="720" w:hanging="720"/>
        <w:jc w:val="both"/>
      </w:pPr>
      <w:r w:rsidRPr="00831711">
        <w:rPr>
          <w:rFonts w:ascii="Times New Roman" w:hAnsi="Times New Roman"/>
          <w:sz w:val="24"/>
        </w:rPr>
        <w:t xml:space="preserve">Gerçeker, M., Özel, B., &amp; Ay, A. (2014). Effects of entrepreneurship on economic growth in Turkey: An empirical analysis. In </w:t>
      </w:r>
      <w:r w:rsidRPr="00831711">
        <w:rPr>
          <w:rFonts w:ascii="Times New Roman" w:hAnsi="Times New Roman"/>
          <w:i/>
          <w:sz w:val="24"/>
        </w:rPr>
        <w:t>Proceedings of the 12th International Academic Conference, Prague</w:t>
      </w:r>
      <w:r w:rsidRPr="00831711">
        <w:rPr>
          <w:rFonts w:ascii="Times New Roman" w:hAnsi="Times New Roman"/>
          <w:sz w:val="24"/>
        </w:rPr>
        <w:t xml:space="preserve"> (pp. 438–451). International Institute of Social and Economic Sciences. </w:t>
      </w:r>
      <w:hyperlink r:id="rId20">
        <w:r w:rsidRPr="00831711">
          <w:rPr>
            <w:rFonts w:ascii="Times New Roman" w:hAnsi="Times New Roman"/>
            <w:color w:val="000000"/>
            <w:sz w:val="24"/>
            <w:szCs w:val="24"/>
          </w:rPr>
          <w:t>https://ideas.repec.org/p/sek/iacpro/0201833.html</w:t>
        </w:r>
      </w:hyperlink>
    </w:p>
    <w:p w14:paraId="308FF514" w14:textId="77777777" w:rsidR="00D96584" w:rsidRPr="00831711" w:rsidRDefault="00000000">
      <w:pPr>
        <w:spacing w:after="0" w:line="240" w:lineRule="auto"/>
        <w:ind w:left="720" w:hanging="720"/>
        <w:jc w:val="both"/>
      </w:pPr>
      <w:r w:rsidRPr="00831711">
        <w:rPr>
          <w:rFonts w:ascii="Times New Roman" w:hAnsi="Times New Roman"/>
          <w:sz w:val="24"/>
        </w:rPr>
        <w:t xml:space="preserve">Haller, A.-P. (2012). Concepts of economic growth and development: Challenges of crisis and of knowledge. </w:t>
      </w:r>
      <w:r w:rsidRPr="00831711">
        <w:rPr>
          <w:rFonts w:ascii="Times New Roman" w:hAnsi="Times New Roman"/>
          <w:i/>
          <w:sz w:val="24"/>
        </w:rPr>
        <w:t>Economy Transdisciplinarity Cognition, 15</w:t>
      </w:r>
      <w:r w:rsidRPr="00831711">
        <w:rPr>
          <w:rFonts w:ascii="Times New Roman" w:hAnsi="Times New Roman"/>
          <w:sz w:val="24"/>
        </w:rPr>
        <w:t xml:space="preserve">(1), 66–71. </w:t>
      </w:r>
      <w:hyperlink r:id="rId21">
        <w:r w:rsidRPr="00831711">
          <w:rPr>
            <w:rFonts w:ascii="Times New Roman" w:hAnsi="Times New Roman"/>
            <w:color w:val="000000"/>
            <w:sz w:val="24"/>
            <w:szCs w:val="24"/>
          </w:rPr>
          <w:t>https://www.ugb.ro/etc/etc2012no1/09fa.pdf</w:t>
        </w:r>
      </w:hyperlink>
    </w:p>
    <w:p w14:paraId="1DB9D131" w14:textId="77777777" w:rsidR="00D96584" w:rsidRPr="00831711" w:rsidRDefault="00000000">
      <w:pPr>
        <w:spacing w:after="0" w:line="240" w:lineRule="auto"/>
        <w:ind w:left="720" w:hanging="720"/>
        <w:jc w:val="both"/>
      </w:pPr>
      <w:r w:rsidRPr="00831711">
        <w:rPr>
          <w:rFonts w:ascii="Times New Roman" w:hAnsi="Times New Roman"/>
          <w:sz w:val="24"/>
        </w:rPr>
        <w:t xml:space="preserve">Harris, J. R. (1971). Nigerian entrepreneurship in industry. In P. Kilby (Ed.), </w:t>
      </w:r>
      <w:r w:rsidRPr="00831711">
        <w:rPr>
          <w:rFonts w:ascii="Times New Roman" w:hAnsi="Times New Roman"/>
          <w:i/>
          <w:sz w:val="24"/>
        </w:rPr>
        <w:t>Entrepreneurship and economic development</w:t>
      </w:r>
      <w:r w:rsidRPr="00831711">
        <w:rPr>
          <w:rFonts w:ascii="Times New Roman" w:hAnsi="Times New Roman"/>
          <w:sz w:val="24"/>
        </w:rPr>
        <w:t xml:space="preserve"> (pp. 331–356). Free Press. </w:t>
      </w:r>
      <w:hyperlink r:id="rId22">
        <w:r w:rsidRPr="00831711">
          <w:rPr>
            <w:rFonts w:ascii="Times New Roman" w:hAnsi="Times New Roman"/>
            <w:color w:val="000000"/>
            <w:sz w:val="24"/>
            <w:szCs w:val="24"/>
          </w:rPr>
          <w:t>https://books.google.com/books?q=Entrepreneurship+and+economic+development+Kilby+1971</w:t>
        </w:r>
      </w:hyperlink>
    </w:p>
    <w:p w14:paraId="7C9AFEDE" w14:textId="77777777" w:rsidR="00D96584" w:rsidRPr="00831711" w:rsidRDefault="00000000">
      <w:pPr>
        <w:spacing w:after="0" w:line="240" w:lineRule="auto"/>
        <w:ind w:left="720" w:hanging="720"/>
        <w:jc w:val="both"/>
      </w:pPr>
      <w:r w:rsidRPr="00831711">
        <w:rPr>
          <w:rFonts w:ascii="Times New Roman" w:hAnsi="Times New Roman"/>
          <w:sz w:val="24"/>
        </w:rPr>
        <w:t xml:space="preserve">Ihejiamaizu, G. C. (2019). The role of entrepreneurship in rural development in Cross River State, Nigeria. </w:t>
      </w:r>
      <w:r w:rsidRPr="00831711">
        <w:rPr>
          <w:rFonts w:ascii="Times New Roman" w:hAnsi="Times New Roman"/>
          <w:i/>
          <w:sz w:val="24"/>
        </w:rPr>
        <w:t>International Journal of Research and Innovation in Social Science, 3</w:t>
      </w:r>
      <w:r w:rsidRPr="00831711">
        <w:rPr>
          <w:rFonts w:ascii="Times New Roman" w:hAnsi="Times New Roman"/>
          <w:sz w:val="24"/>
        </w:rPr>
        <w:t xml:space="preserve">(6), 85–91. </w:t>
      </w:r>
      <w:hyperlink r:id="rId23">
        <w:r w:rsidRPr="00831711">
          <w:rPr>
            <w:rFonts w:ascii="Times New Roman" w:hAnsi="Times New Roman"/>
            <w:color w:val="000000"/>
            <w:sz w:val="24"/>
            <w:szCs w:val="24"/>
          </w:rPr>
          <w:t>https://rsisinternational.org/virtual-library/papers/the-role-of-entrepreneurship-in-rural-development-in-cross-river-state-nigeria/</w:t>
        </w:r>
      </w:hyperlink>
    </w:p>
    <w:p w14:paraId="61308215" w14:textId="77777777" w:rsidR="00D96584" w:rsidRPr="00831711" w:rsidRDefault="00000000">
      <w:pPr>
        <w:spacing w:after="0" w:line="240" w:lineRule="auto"/>
        <w:ind w:left="720" w:hanging="720"/>
        <w:jc w:val="both"/>
      </w:pPr>
      <w:r w:rsidRPr="00831711">
        <w:rPr>
          <w:rFonts w:ascii="Times New Roman" w:hAnsi="Times New Roman"/>
          <w:sz w:val="24"/>
        </w:rPr>
        <w:t xml:space="preserve">Ilegbinosa, I. A., &amp; Jumbo, E. (2015). Small and medium scale enterprises and economic growth in Nigeria: 1975–2012. </w:t>
      </w:r>
      <w:r w:rsidRPr="00831711">
        <w:rPr>
          <w:rFonts w:ascii="Times New Roman" w:hAnsi="Times New Roman"/>
          <w:i/>
          <w:sz w:val="24"/>
        </w:rPr>
        <w:t>International Journal of Business and Management, 10</w:t>
      </w:r>
      <w:r w:rsidRPr="00831711">
        <w:rPr>
          <w:rFonts w:ascii="Times New Roman" w:hAnsi="Times New Roman"/>
          <w:sz w:val="24"/>
        </w:rPr>
        <w:t xml:space="preserve">(3), 203–216. </w:t>
      </w:r>
      <w:hyperlink r:id="rId24">
        <w:r w:rsidRPr="00831711">
          <w:rPr>
            <w:rFonts w:ascii="Times New Roman" w:hAnsi="Times New Roman"/>
            <w:color w:val="000000"/>
            <w:sz w:val="24"/>
            <w:szCs w:val="24"/>
          </w:rPr>
          <w:t>https://doi.org/10.5539/ijbm.v10n3p203</w:t>
        </w:r>
      </w:hyperlink>
    </w:p>
    <w:p w14:paraId="1CFB4E27" w14:textId="77777777" w:rsidR="00D96584" w:rsidRPr="00831711" w:rsidRDefault="00000000">
      <w:pPr>
        <w:spacing w:after="0" w:line="240" w:lineRule="auto"/>
        <w:ind w:left="720" w:hanging="720"/>
        <w:jc w:val="both"/>
      </w:pPr>
      <w:r w:rsidRPr="00831711">
        <w:rPr>
          <w:rFonts w:ascii="Times New Roman" w:hAnsi="Times New Roman"/>
          <w:sz w:val="24"/>
        </w:rPr>
        <w:t xml:space="preserve">International Monetary Fund. (2024). </w:t>
      </w:r>
      <w:r w:rsidRPr="00831711">
        <w:rPr>
          <w:rFonts w:ascii="Times New Roman" w:hAnsi="Times New Roman"/>
          <w:i/>
          <w:sz w:val="24"/>
        </w:rPr>
        <w:t>Regional economic outlook: Sub-Saharan Africa—Reforms amid great expectations</w:t>
      </w:r>
      <w:r w:rsidRPr="00831711">
        <w:rPr>
          <w:rFonts w:ascii="Times New Roman" w:hAnsi="Times New Roman"/>
          <w:sz w:val="24"/>
        </w:rPr>
        <w:t xml:space="preserve">. </w:t>
      </w:r>
      <w:hyperlink r:id="rId25">
        <w:r w:rsidRPr="00831711">
          <w:rPr>
            <w:rFonts w:ascii="Times New Roman" w:hAnsi="Times New Roman"/>
            <w:color w:val="000000"/>
            <w:sz w:val="24"/>
            <w:szCs w:val="24"/>
          </w:rPr>
          <w:t>https://www.imf.org/en/Publications/REO/SSA</w:t>
        </w:r>
      </w:hyperlink>
    </w:p>
    <w:p w14:paraId="6FF1DE92" w14:textId="77777777" w:rsidR="00D96584" w:rsidRPr="00831711" w:rsidRDefault="00000000">
      <w:pPr>
        <w:spacing w:after="0" w:line="240" w:lineRule="auto"/>
        <w:ind w:left="720" w:hanging="720"/>
        <w:jc w:val="both"/>
      </w:pPr>
      <w:r w:rsidRPr="00831711">
        <w:rPr>
          <w:rFonts w:ascii="Times New Roman" w:hAnsi="Times New Roman"/>
          <w:sz w:val="24"/>
        </w:rPr>
        <w:t xml:space="preserve">Lucas, R. E., Jr. (1988). On the mechanics of economic development. </w:t>
      </w:r>
      <w:r w:rsidRPr="00831711">
        <w:rPr>
          <w:rFonts w:ascii="Times New Roman" w:hAnsi="Times New Roman"/>
          <w:i/>
          <w:sz w:val="24"/>
        </w:rPr>
        <w:t>Journal of Monetary Economics, 22</w:t>
      </w:r>
      <w:r w:rsidRPr="00831711">
        <w:rPr>
          <w:rFonts w:ascii="Times New Roman" w:hAnsi="Times New Roman"/>
          <w:sz w:val="24"/>
        </w:rPr>
        <w:t xml:space="preserve">(1), 3–42. </w:t>
      </w:r>
      <w:hyperlink r:id="rId26">
        <w:r w:rsidRPr="00831711">
          <w:rPr>
            <w:rFonts w:ascii="Times New Roman" w:hAnsi="Times New Roman"/>
            <w:color w:val="000000"/>
            <w:sz w:val="24"/>
            <w:szCs w:val="24"/>
          </w:rPr>
          <w:t>https://doi.org/10.1016/0304-3932(88)90168-7</w:t>
        </w:r>
      </w:hyperlink>
    </w:p>
    <w:p w14:paraId="2CF46DEB" w14:textId="77777777" w:rsidR="00D96584" w:rsidRPr="00831711" w:rsidRDefault="00000000">
      <w:pPr>
        <w:spacing w:after="0" w:line="240" w:lineRule="auto"/>
        <w:ind w:left="720" w:hanging="720"/>
        <w:jc w:val="both"/>
      </w:pPr>
      <w:r w:rsidRPr="00831711">
        <w:rPr>
          <w:rFonts w:ascii="Times New Roman" w:hAnsi="Times New Roman"/>
          <w:sz w:val="24"/>
        </w:rPr>
        <w:t xml:space="preserve">McKernan, S.-M., &amp; Chen, H. (2005). </w:t>
      </w:r>
      <w:r w:rsidRPr="00831711">
        <w:rPr>
          <w:rFonts w:ascii="Times New Roman" w:hAnsi="Times New Roman"/>
          <w:i/>
          <w:sz w:val="24"/>
        </w:rPr>
        <w:t>Small business and microenterprise as an opportunity- and asset-building strategy</w:t>
      </w:r>
      <w:r w:rsidRPr="00831711">
        <w:rPr>
          <w:rFonts w:ascii="Times New Roman" w:hAnsi="Times New Roman"/>
          <w:sz w:val="24"/>
        </w:rPr>
        <w:t xml:space="preserve">. Urban Institute. </w:t>
      </w:r>
      <w:hyperlink r:id="rId27">
        <w:r w:rsidRPr="00831711">
          <w:rPr>
            <w:rFonts w:ascii="Times New Roman" w:hAnsi="Times New Roman"/>
            <w:color w:val="000000"/>
            <w:sz w:val="24"/>
            <w:szCs w:val="24"/>
          </w:rPr>
          <w:t>https://www.urban.org/research/publication/small-business-and-microenterprise-opportunity-and-asset-building-strategy</w:t>
        </w:r>
      </w:hyperlink>
    </w:p>
    <w:p w14:paraId="382992FC" w14:textId="77777777" w:rsidR="00D96584" w:rsidRPr="00831711" w:rsidRDefault="00000000">
      <w:pPr>
        <w:spacing w:after="0" w:line="240" w:lineRule="auto"/>
        <w:ind w:left="720" w:hanging="720"/>
        <w:jc w:val="both"/>
      </w:pPr>
      <w:r w:rsidRPr="00831711">
        <w:rPr>
          <w:rFonts w:ascii="Times New Roman" w:hAnsi="Times New Roman"/>
          <w:sz w:val="24"/>
        </w:rPr>
        <w:t xml:space="preserve">Muritala, T. A., Awolaja, A. M., &amp; Bako, Y. A. (2012). Small and medium enterprises and economic growth in Nigeria. </w:t>
      </w:r>
      <w:r w:rsidRPr="00831711">
        <w:rPr>
          <w:rFonts w:ascii="Times New Roman" w:hAnsi="Times New Roman"/>
          <w:i/>
          <w:sz w:val="24"/>
        </w:rPr>
        <w:t>Acta Universitatis Danubius: Œconomica, 8</w:t>
      </w:r>
      <w:r w:rsidRPr="00831711">
        <w:rPr>
          <w:rFonts w:ascii="Times New Roman" w:hAnsi="Times New Roman"/>
          <w:sz w:val="24"/>
        </w:rPr>
        <w:t xml:space="preserve">(3), 45–53. </w:t>
      </w:r>
      <w:hyperlink r:id="rId28">
        <w:r w:rsidRPr="00831711">
          <w:rPr>
            <w:rFonts w:ascii="Times New Roman" w:hAnsi="Times New Roman"/>
            <w:color w:val="000000"/>
            <w:sz w:val="24"/>
            <w:szCs w:val="24"/>
          </w:rPr>
          <w:t>https://journals.univ-danubius.ro/index.php/oeconomica/article/view/1283</w:t>
        </w:r>
      </w:hyperlink>
    </w:p>
    <w:p w14:paraId="2DF89362" w14:textId="77777777" w:rsidR="00D96584" w:rsidRPr="00831711" w:rsidRDefault="00000000">
      <w:pPr>
        <w:spacing w:after="0" w:line="240" w:lineRule="auto"/>
        <w:ind w:left="720" w:hanging="720"/>
        <w:jc w:val="both"/>
      </w:pPr>
      <w:r w:rsidRPr="00831711">
        <w:rPr>
          <w:rFonts w:ascii="Times New Roman" w:hAnsi="Times New Roman"/>
          <w:sz w:val="24"/>
        </w:rPr>
        <w:t xml:space="preserve">National Council on Industry. (2001). </w:t>
      </w:r>
      <w:r w:rsidRPr="00831711">
        <w:rPr>
          <w:rFonts w:ascii="Times New Roman" w:hAnsi="Times New Roman"/>
          <w:i/>
          <w:sz w:val="24"/>
        </w:rPr>
        <w:t>Report of the 13th meeting held in Makurdi, Benue State, July 2001</w:t>
      </w:r>
      <w:r w:rsidRPr="00831711">
        <w:rPr>
          <w:rFonts w:ascii="Times New Roman" w:hAnsi="Times New Roman"/>
          <w:sz w:val="24"/>
        </w:rPr>
        <w:t xml:space="preserve">. </w:t>
      </w:r>
      <w:hyperlink r:id="rId29">
        <w:r w:rsidRPr="00831711">
          <w:rPr>
            <w:rFonts w:ascii="Times New Roman" w:hAnsi="Times New Roman"/>
            <w:color w:val="000000"/>
            <w:sz w:val="24"/>
            <w:szCs w:val="24"/>
          </w:rPr>
          <w:t>https://dc.cbn.gov.ng/</w:t>
        </w:r>
      </w:hyperlink>
    </w:p>
    <w:p w14:paraId="343AD52B" w14:textId="77777777" w:rsidR="00D96584" w:rsidRPr="00831711" w:rsidRDefault="00000000">
      <w:pPr>
        <w:spacing w:after="0" w:line="240" w:lineRule="auto"/>
        <w:ind w:left="720" w:hanging="720"/>
        <w:jc w:val="both"/>
      </w:pPr>
      <w:r w:rsidRPr="00831711">
        <w:rPr>
          <w:rFonts w:ascii="Times New Roman" w:hAnsi="Times New Roman"/>
          <w:sz w:val="24"/>
        </w:rPr>
        <w:t xml:space="preserve">Nigerian Institute of Social and Economic Research. (2004). </w:t>
      </w:r>
      <w:r w:rsidRPr="00831711">
        <w:rPr>
          <w:rFonts w:ascii="Times New Roman" w:hAnsi="Times New Roman"/>
          <w:i/>
          <w:sz w:val="24"/>
        </w:rPr>
        <w:t>Baseline economic survey of small and medium scale industries in Nigeria: National synthesis final report</w:t>
      </w:r>
      <w:r w:rsidRPr="00831711">
        <w:rPr>
          <w:rFonts w:ascii="Times New Roman" w:hAnsi="Times New Roman"/>
          <w:sz w:val="24"/>
        </w:rPr>
        <w:t xml:space="preserve">. </w:t>
      </w:r>
      <w:hyperlink r:id="rId30">
        <w:r w:rsidRPr="00831711">
          <w:rPr>
            <w:rFonts w:ascii="Times New Roman" w:hAnsi="Times New Roman"/>
            <w:color w:val="000000"/>
            <w:sz w:val="24"/>
            <w:szCs w:val="24"/>
          </w:rPr>
          <w:t>https://niser.gov.ng/</w:t>
        </w:r>
      </w:hyperlink>
    </w:p>
    <w:p w14:paraId="50109FCC" w14:textId="77777777" w:rsidR="00D96584" w:rsidRPr="00831711" w:rsidRDefault="00000000">
      <w:pPr>
        <w:spacing w:after="0" w:line="240" w:lineRule="auto"/>
        <w:ind w:left="720" w:hanging="720"/>
        <w:jc w:val="both"/>
      </w:pPr>
      <w:r w:rsidRPr="00831711">
        <w:rPr>
          <w:rFonts w:ascii="Times New Roman" w:hAnsi="Times New Roman"/>
          <w:sz w:val="24"/>
        </w:rPr>
        <w:t xml:space="preserve">Oberlo. (2020). </w:t>
      </w:r>
      <w:r w:rsidRPr="00831711">
        <w:rPr>
          <w:rFonts w:ascii="Times New Roman" w:hAnsi="Times New Roman"/>
          <w:i/>
          <w:sz w:val="24"/>
        </w:rPr>
        <w:t>Small businesses in the USA from 2017 to 2020</w:t>
      </w:r>
      <w:r w:rsidRPr="00831711">
        <w:rPr>
          <w:rFonts w:ascii="Times New Roman" w:hAnsi="Times New Roman"/>
          <w:sz w:val="24"/>
        </w:rPr>
        <w:t xml:space="preserve">. </w:t>
      </w:r>
      <w:hyperlink r:id="rId31">
        <w:r w:rsidRPr="00831711">
          <w:rPr>
            <w:rFonts w:ascii="Times New Roman" w:hAnsi="Times New Roman"/>
            <w:color w:val="000000"/>
            <w:sz w:val="24"/>
            <w:szCs w:val="24"/>
          </w:rPr>
          <w:t>https://ng.oberlo.com/statistics/number-of-small-business-in-the-us</w:t>
        </w:r>
      </w:hyperlink>
    </w:p>
    <w:p w14:paraId="28CF3266" w14:textId="77777777" w:rsidR="00D96584" w:rsidRPr="00831711" w:rsidRDefault="00000000">
      <w:pPr>
        <w:spacing w:after="0" w:line="240" w:lineRule="auto"/>
        <w:ind w:left="720" w:hanging="720"/>
        <w:jc w:val="both"/>
      </w:pPr>
      <w:r w:rsidRPr="00831711">
        <w:rPr>
          <w:rFonts w:ascii="Times New Roman" w:hAnsi="Times New Roman"/>
          <w:b/>
          <w:sz w:val="24"/>
        </w:rPr>
        <w:t xml:space="preserve">Odiche, W. (2023). How important is microfinance to small business development? The case of Nigeria. </w:t>
      </w:r>
      <w:r w:rsidRPr="00831711">
        <w:rPr>
          <w:rFonts w:ascii="Times New Roman" w:hAnsi="Times New Roman"/>
          <w:b/>
          <w:i/>
          <w:sz w:val="24"/>
        </w:rPr>
        <w:t>Journal of Economics and Trade, 8</w:t>
      </w:r>
      <w:r w:rsidRPr="00831711">
        <w:rPr>
          <w:rFonts w:ascii="Times New Roman" w:hAnsi="Times New Roman"/>
          <w:b/>
          <w:sz w:val="24"/>
        </w:rPr>
        <w:t>(1), 45–57. https://doi.org/10.56557/jet/2023/v8i18248</w:t>
      </w:r>
    </w:p>
    <w:p w14:paraId="2FCD2C00" w14:textId="77777777" w:rsidR="00D96584" w:rsidRPr="00831711" w:rsidRDefault="00000000">
      <w:pPr>
        <w:spacing w:after="0" w:line="240" w:lineRule="auto"/>
        <w:ind w:left="720" w:hanging="720"/>
        <w:jc w:val="both"/>
      </w:pPr>
      <w:r w:rsidRPr="00831711">
        <w:rPr>
          <w:rFonts w:ascii="Times New Roman" w:hAnsi="Times New Roman"/>
          <w:b/>
          <w:sz w:val="24"/>
        </w:rPr>
        <w:t xml:space="preserve">Ogbonna, L. J., Lawal, F. C., &amp; Okafor, S. O. (2024). Ease of doing business and entrepreneurial growth in the face of global economic policy uncertainty. </w:t>
      </w:r>
      <w:r w:rsidRPr="00831711">
        <w:rPr>
          <w:rFonts w:ascii="Times New Roman" w:hAnsi="Times New Roman"/>
          <w:b/>
          <w:i/>
          <w:sz w:val="24"/>
        </w:rPr>
        <w:t xml:space="preserve">Archives </w:t>
      </w:r>
      <w:r w:rsidRPr="00831711">
        <w:rPr>
          <w:rFonts w:ascii="Times New Roman" w:hAnsi="Times New Roman"/>
          <w:b/>
          <w:i/>
          <w:sz w:val="24"/>
        </w:rPr>
        <w:lastRenderedPageBreak/>
        <w:t>of Current Research International, 24</w:t>
      </w:r>
      <w:r w:rsidRPr="00831711">
        <w:rPr>
          <w:rFonts w:ascii="Times New Roman" w:hAnsi="Times New Roman"/>
          <w:b/>
          <w:sz w:val="24"/>
        </w:rPr>
        <w:t>(10), 336–348. https://doi.org/10.9734/acri/2024/v24i10936</w:t>
      </w:r>
    </w:p>
    <w:p w14:paraId="6D1DD7A3" w14:textId="77777777" w:rsidR="00D96584" w:rsidRPr="00831711" w:rsidRDefault="00000000">
      <w:pPr>
        <w:spacing w:after="0" w:line="240" w:lineRule="auto"/>
        <w:ind w:left="720" w:hanging="720"/>
        <w:jc w:val="both"/>
      </w:pPr>
      <w:r w:rsidRPr="00831711">
        <w:rPr>
          <w:rFonts w:ascii="Times New Roman" w:hAnsi="Times New Roman"/>
          <w:sz w:val="24"/>
        </w:rPr>
        <w:t xml:space="preserve">Ogunlana, F. (2018). </w:t>
      </w:r>
      <w:r w:rsidRPr="00831711">
        <w:rPr>
          <w:rFonts w:ascii="Times New Roman" w:hAnsi="Times New Roman"/>
          <w:i/>
          <w:sz w:val="24"/>
        </w:rPr>
        <w:t>The role of entrepreneurship as the driver of economic growth</w:t>
      </w:r>
      <w:r w:rsidRPr="00831711">
        <w:rPr>
          <w:rFonts w:ascii="Times New Roman" w:hAnsi="Times New Roman"/>
          <w:sz w:val="24"/>
        </w:rPr>
        <w:t xml:space="preserve"> [Bachelor’s thesis, Centria University of Applied Sciences]. Theseus. </w:t>
      </w:r>
      <w:hyperlink r:id="rId32">
        <w:r w:rsidRPr="00831711">
          <w:rPr>
            <w:rFonts w:ascii="Times New Roman" w:hAnsi="Times New Roman"/>
            <w:color w:val="000000"/>
            <w:sz w:val="24"/>
            <w:szCs w:val="24"/>
          </w:rPr>
          <w:t>https://www.theseus.fi/handle/10024/144309</w:t>
        </w:r>
      </w:hyperlink>
    </w:p>
    <w:p w14:paraId="2CE667AD" w14:textId="77777777" w:rsidR="00D96584" w:rsidRPr="00831711" w:rsidRDefault="00000000">
      <w:pPr>
        <w:spacing w:after="0" w:line="240" w:lineRule="auto"/>
        <w:ind w:left="720" w:hanging="720"/>
        <w:jc w:val="both"/>
      </w:pPr>
      <w:r w:rsidRPr="00831711">
        <w:rPr>
          <w:rFonts w:ascii="Times New Roman" w:hAnsi="Times New Roman"/>
          <w:sz w:val="24"/>
        </w:rPr>
        <w:t xml:space="preserve">Ojo, A. T. (2003). Partnership and strategic alliance for effective SME development. In </w:t>
      </w:r>
      <w:r w:rsidRPr="00831711">
        <w:rPr>
          <w:rFonts w:ascii="Times New Roman" w:hAnsi="Times New Roman"/>
          <w:i/>
          <w:sz w:val="24"/>
        </w:rPr>
        <w:t>Small and medium enterprises development and SMIEIS: Effective implementation strategies</w:t>
      </w:r>
      <w:r w:rsidRPr="00831711">
        <w:rPr>
          <w:rFonts w:ascii="Times New Roman" w:hAnsi="Times New Roman"/>
          <w:sz w:val="24"/>
        </w:rPr>
        <w:t xml:space="preserve">. CIBN Press. </w:t>
      </w:r>
      <w:hyperlink r:id="rId33">
        <w:r w:rsidRPr="00831711">
          <w:rPr>
            <w:rFonts w:ascii="Times New Roman" w:hAnsi="Times New Roman"/>
            <w:color w:val="000000"/>
            <w:sz w:val="24"/>
            <w:szCs w:val="24"/>
          </w:rPr>
          <w:t>https://www.cibng.org/</w:t>
        </w:r>
      </w:hyperlink>
    </w:p>
    <w:p w14:paraId="1E241B36" w14:textId="77777777" w:rsidR="00D96584" w:rsidRPr="00831711" w:rsidRDefault="00000000">
      <w:pPr>
        <w:spacing w:after="0" w:line="240" w:lineRule="auto"/>
        <w:ind w:left="720" w:hanging="720"/>
        <w:jc w:val="both"/>
      </w:pPr>
      <w:r w:rsidRPr="00831711">
        <w:rPr>
          <w:rFonts w:ascii="Times New Roman" w:hAnsi="Times New Roman"/>
          <w:sz w:val="24"/>
        </w:rPr>
        <w:t xml:space="preserve">Okpara, J. O. (2011). Factors constraining the growth and survival of SMEs in Nigeria: Implications for poverty alleviation. </w:t>
      </w:r>
      <w:r w:rsidRPr="00831711">
        <w:rPr>
          <w:rFonts w:ascii="Times New Roman" w:hAnsi="Times New Roman"/>
          <w:i/>
          <w:sz w:val="24"/>
        </w:rPr>
        <w:t>Management Research Review, 34</w:t>
      </w:r>
      <w:r w:rsidRPr="00831711">
        <w:rPr>
          <w:rFonts w:ascii="Times New Roman" w:hAnsi="Times New Roman"/>
          <w:sz w:val="24"/>
        </w:rPr>
        <w:t xml:space="preserve">(2), 156–171. </w:t>
      </w:r>
      <w:hyperlink r:id="rId34">
        <w:r w:rsidRPr="00831711">
          <w:rPr>
            <w:rFonts w:ascii="Times New Roman" w:hAnsi="Times New Roman"/>
            <w:color w:val="000000"/>
            <w:sz w:val="24"/>
            <w:szCs w:val="24"/>
          </w:rPr>
          <w:t>https://doi.org/10.1108/01409171111102786</w:t>
        </w:r>
      </w:hyperlink>
    </w:p>
    <w:p w14:paraId="6A34A568" w14:textId="77777777" w:rsidR="00D96584" w:rsidRPr="00831711" w:rsidRDefault="00000000">
      <w:pPr>
        <w:spacing w:after="0" w:line="240" w:lineRule="auto"/>
        <w:ind w:left="720" w:hanging="720"/>
        <w:jc w:val="both"/>
      </w:pPr>
      <w:r w:rsidRPr="00831711">
        <w:rPr>
          <w:rFonts w:ascii="Times New Roman" w:hAnsi="Times New Roman"/>
          <w:sz w:val="24"/>
        </w:rPr>
        <w:t xml:space="preserve">Organisation for Economic Co-operation and Development. (2020). </w:t>
      </w:r>
      <w:r w:rsidRPr="00831711">
        <w:rPr>
          <w:rFonts w:ascii="Times New Roman" w:hAnsi="Times New Roman"/>
          <w:i/>
          <w:sz w:val="24"/>
        </w:rPr>
        <w:t>Financing SMEs and entrepreneurs 2020: An OECD scoreboard</w:t>
      </w:r>
      <w:r w:rsidRPr="00831711">
        <w:rPr>
          <w:rFonts w:ascii="Times New Roman" w:hAnsi="Times New Roman"/>
          <w:sz w:val="24"/>
        </w:rPr>
        <w:t xml:space="preserve">. OECD Publishing. </w:t>
      </w:r>
      <w:hyperlink r:id="rId35">
        <w:r w:rsidRPr="00831711">
          <w:rPr>
            <w:rFonts w:ascii="Times New Roman" w:hAnsi="Times New Roman"/>
            <w:color w:val="000000"/>
            <w:sz w:val="24"/>
            <w:szCs w:val="24"/>
          </w:rPr>
          <w:t>https://doi.org/10.1787/061fe03d-en</w:t>
        </w:r>
      </w:hyperlink>
    </w:p>
    <w:p w14:paraId="00BA68DE" w14:textId="77777777" w:rsidR="00D96584" w:rsidRPr="00831711" w:rsidRDefault="00000000">
      <w:pPr>
        <w:spacing w:after="0" w:line="240" w:lineRule="auto"/>
        <w:ind w:left="720" w:hanging="720"/>
        <w:jc w:val="both"/>
      </w:pPr>
      <w:r w:rsidRPr="00831711">
        <w:rPr>
          <w:rFonts w:ascii="Times New Roman" w:hAnsi="Times New Roman"/>
          <w:sz w:val="24"/>
        </w:rPr>
        <w:t xml:space="preserve">Organisation for Economic Co-operation and Development. (2021). </w:t>
      </w:r>
      <w:r w:rsidRPr="00831711">
        <w:rPr>
          <w:rFonts w:ascii="Times New Roman" w:hAnsi="Times New Roman"/>
          <w:i/>
          <w:sz w:val="24"/>
        </w:rPr>
        <w:t>OECD SME and entrepreneurship outlook 2021</w:t>
      </w:r>
      <w:r w:rsidRPr="00831711">
        <w:rPr>
          <w:rFonts w:ascii="Times New Roman" w:hAnsi="Times New Roman"/>
          <w:sz w:val="24"/>
        </w:rPr>
        <w:t xml:space="preserve">. OECD Publishing. </w:t>
      </w:r>
      <w:hyperlink r:id="rId36">
        <w:r w:rsidRPr="00831711">
          <w:rPr>
            <w:rFonts w:ascii="Times New Roman" w:hAnsi="Times New Roman"/>
            <w:color w:val="000000"/>
            <w:sz w:val="24"/>
            <w:szCs w:val="24"/>
          </w:rPr>
          <w:t>https://doi.org/10.1787/97a5bbfe-en</w:t>
        </w:r>
      </w:hyperlink>
    </w:p>
    <w:p w14:paraId="0A55B736" w14:textId="77777777" w:rsidR="00D96584" w:rsidRPr="00831711" w:rsidRDefault="00000000">
      <w:pPr>
        <w:spacing w:after="0" w:line="240" w:lineRule="auto"/>
        <w:ind w:left="720" w:hanging="720"/>
        <w:jc w:val="both"/>
      </w:pPr>
      <w:r w:rsidRPr="00831711">
        <w:rPr>
          <w:rFonts w:ascii="Times New Roman" w:hAnsi="Times New Roman"/>
          <w:sz w:val="24"/>
        </w:rPr>
        <w:t xml:space="preserve">Papanek, G. F. (1962). The development of entrepreneurship. </w:t>
      </w:r>
      <w:r w:rsidRPr="00831711">
        <w:rPr>
          <w:rFonts w:ascii="Times New Roman" w:hAnsi="Times New Roman"/>
          <w:i/>
          <w:sz w:val="24"/>
        </w:rPr>
        <w:t>The American Economic Review, 52</w:t>
      </w:r>
      <w:r w:rsidRPr="00831711">
        <w:rPr>
          <w:rFonts w:ascii="Times New Roman" w:hAnsi="Times New Roman"/>
          <w:sz w:val="24"/>
        </w:rPr>
        <w:t xml:space="preserve">(2), 46–58. </w:t>
      </w:r>
      <w:hyperlink r:id="rId37">
        <w:r w:rsidRPr="00831711">
          <w:rPr>
            <w:rFonts w:ascii="Times New Roman" w:hAnsi="Times New Roman"/>
            <w:color w:val="000000"/>
            <w:sz w:val="24"/>
            <w:szCs w:val="24"/>
          </w:rPr>
          <w:t>https://www.jstor.org/stable/i332669</w:t>
        </w:r>
      </w:hyperlink>
    </w:p>
    <w:p w14:paraId="15624CB1" w14:textId="77777777" w:rsidR="00D96584" w:rsidRPr="00831711" w:rsidRDefault="00000000">
      <w:pPr>
        <w:spacing w:after="0" w:line="240" w:lineRule="auto"/>
        <w:ind w:left="720" w:hanging="720"/>
        <w:jc w:val="both"/>
      </w:pPr>
      <w:r w:rsidRPr="00831711">
        <w:rPr>
          <w:rFonts w:ascii="Times New Roman" w:hAnsi="Times New Roman"/>
          <w:sz w:val="24"/>
        </w:rPr>
        <w:t xml:space="preserve">Pesaran, M. H., Shin, Y., &amp; Smith, R. J. (2001). Bounds testing approaches to the analysis of level relationships. </w:t>
      </w:r>
      <w:r w:rsidRPr="00831711">
        <w:rPr>
          <w:rFonts w:ascii="Times New Roman" w:hAnsi="Times New Roman"/>
          <w:i/>
          <w:sz w:val="24"/>
        </w:rPr>
        <w:t>Journal of Applied Econometrics, 16</w:t>
      </w:r>
      <w:r w:rsidRPr="00831711">
        <w:rPr>
          <w:rFonts w:ascii="Times New Roman" w:hAnsi="Times New Roman"/>
          <w:sz w:val="24"/>
        </w:rPr>
        <w:t xml:space="preserve">(3), 289–326. </w:t>
      </w:r>
      <w:hyperlink r:id="rId38">
        <w:r w:rsidRPr="00831711">
          <w:rPr>
            <w:rFonts w:ascii="Times New Roman" w:hAnsi="Times New Roman"/>
            <w:color w:val="000000"/>
            <w:sz w:val="24"/>
            <w:szCs w:val="24"/>
          </w:rPr>
          <w:t>https://doi.org/10.1002/jae.616</w:t>
        </w:r>
      </w:hyperlink>
    </w:p>
    <w:p w14:paraId="7724D882" w14:textId="77777777" w:rsidR="00D96584" w:rsidRPr="00831711" w:rsidRDefault="00000000">
      <w:pPr>
        <w:spacing w:after="0" w:line="240" w:lineRule="auto"/>
        <w:ind w:left="720" w:hanging="720"/>
        <w:jc w:val="both"/>
      </w:pPr>
      <w:r w:rsidRPr="00831711">
        <w:rPr>
          <w:rFonts w:ascii="Times New Roman" w:hAnsi="Times New Roman"/>
          <w:sz w:val="24"/>
        </w:rPr>
        <w:t xml:space="preserve">Rastogi, V. (2020, May 14). </w:t>
      </w:r>
      <w:r w:rsidRPr="00831711">
        <w:rPr>
          <w:rFonts w:ascii="Times New Roman" w:hAnsi="Times New Roman"/>
          <w:i/>
          <w:sz w:val="24"/>
        </w:rPr>
        <w:t>Micro, small, and medium enterprises in India: An explainer</w:t>
      </w:r>
      <w:r w:rsidRPr="00831711">
        <w:rPr>
          <w:rFonts w:ascii="Times New Roman" w:hAnsi="Times New Roman"/>
          <w:sz w:val="24"/>
        </w:rPr>
        <w:t xml:space="preserve">. India Briefing. </w:t>
      </w:r>
      <w:hyperlink r:id="rId39">
        <w:r w:rsidRPr="00831711">
          <w:rPr>
            <w:rFonts w:ascii="Times New Roman" w:hAnsi="Times New Roman"/>
            <w:color w:val="000000"/>
            <w:sz w:val="24"/>
            <w:szCs w:val="24"/>
          </w:rPr>
          <w:t>https://www.india-briefing.com/news/micro-small-medium-enterprises-india-explainer-17887.html</w:t>
        </w:r>
      </w:hyperlink>
    </w:p>
    <w:p w14:paraId="5B92F03E" w14:textId="77777777" w:rsidR="00D96584" w:rsidRPr="00831711" w:rsidRDefault="00000000">
      <w:pPr>
        <w:spacing w:after="0" w:line="240" w:lineRule="auto"/>
        <w:ind w:left="720" w:hanging="720"/>
        <w:jc w:val="both"/>
      </w:pPr>
      <w:r w:rsidRPr="00831711">
        <w:rPr>
          <w:rFonts w:ascii="Times New Roman" w:hAnsi="Times New Roman"/>
          <w:sz w:val="24"/>
        </w:rPr>
        <w:t xml:space="preserve">Romer, P. M. (1986). Increasing returns and long-run growth. </w:t>
      </w:r>
      <w:r w:rsidRPr="00831711">
        <w:rPr>
          <w:rFonts w:ascii="Times New Roman" w:hAnsi="Times New Roman"/>
          <w:i/>
          <w:sz w:val="24"/>
        </w:rPr>
        <w:t>Journal of Political Economy, 94</w:t>
      </w:r>
      <w:r w:rsidRPr="00831711">
        <w:rPr>
          <w:rFonts w:ascii="Times New Roman" w:hAnsi="Times New Roman"/>
          <w:sz w:val="24"/>
        </w:rPr>
        <w:t xml:space="preserve">(5), 1002–1037. </w:t>
      </w:r>
      <w:hyperlink r:id="rId40">
        <w:r w:rsidRPr="00831711">
          <w:rPr>
            <w:rFonts w:ascii="Times New Roman" w:hAnsi="Times New Roman"/>
            <w:color w:val="000000"/>
            <w:sz w:val="24"/>
            <w:szCs w:val="24"/>
          </w:rPr>
          <w:t>https://doi.org/10.1086/261420</w:t>
        </w:r>
      </w:hyperlink>
    </w:p>
    <w:p w14:paraId="2F176A3E" w14:textId="77777777" w:rsidR="00D96584" w:rsidRPr="00831711" w:rsidRDefault="00000000">
      <w:pPr>
        <w:spacing w:after="0" w:line="240" w:lineRule="auto"/>
        <w:ind w:left="720" w:hanging="720"/>
        <w:jc w:val="both"/>
      </w:pPr>
      <w:r w:rsidRPr="00831711">
        <w:rPr>
          <w:rFonts w:ascii="Times New Roman" w:hAnsi="Times New Roman"/>
          <w:sz w:val="24"/>
        </w:rPr>
        <w:t xml:space="preserve">Romer, P. M. (1994). The origins of endogenous growth. </w:t>
      </w:r>
      <w:r w:rsidRPr="00831711">
        <w:rPr>
          <w:rFonts w:ascii="Times New Roman" w:hAnsi="Times New Roman"/>
          <w:i/>
          <w:sz w:val="24"/>
        </w:rPr>
        <w:t>Journal of Economic Perspectives, 8</w:t>
      </w:r>
      <w:r w:rsidRPr="00831711">
        <w:rPr>
          <w:rFonts w:ascii="Times New Roman" w:hAnsi="Times New Roman"/>
          <w:sz w:val="24"/>
        </w:rPr>
        <w:t xml:space="preserve">(1), 3–22. </w:t>
      </w:r>
      <w:hyperlink r:id="rId41">
        <w:r w:rsidRPr="00831711">
          <w:rPr>
            <w:rFonts w:ascii="Times New Roman" w:hAnsi="Times New Roman"/>
            <w:color w:val="000000"/>
            <w:sz w:val="24"/>
            <w:szCs w:val="24"/>
          </w:rPr>
          <w:t>https://doi.org/10.1257/jep.8.1.3</w:t>
        </w:r>
      </w:hyperlink>
    </w:p>
    <w:p w14:paraId="30539FB2" w14:textId="77777777" w:rsidR="00D96584" w:rsidRPr="00831711" w:rsidRDefault="00000000">
      <w:pPr>
        <w:spacing w:after="0" w:line="240" w:lineRule="auto"/>
        <w:ind w:left="720" w:hanging="720"/>
        <w:jc w:val="both"/>
      </w:pPr>
      <w:r w:rsidRPr="00831711">
        <w:rPr>
          <w:rFonts w:ascii="Times New Roman" w:hAnsi="Times New Roman"/>
          <w:sz w:val="24"/>
        </w:rPr>
        <w:t xml:space="preserve">Roopchund, R. (2020). SMEs in Mauritius: Economic growth, employment and entrepreneurial culture. </w:t>
      </w:r>
      <w:r w:rsidRPr="00831711">
        <w:rPr>
          <w:rFonts w:ascii="Times New Roman" w:hAnsi="Times New Roman"/>
          <w:i/>
          <w:sz w:val="24"/>
        </w:rPr>
        <w:t>International Journal of Entrepreneurship and Small Business, 39</w:t>
      </w:r>
      <w:r w:rsidRPr="00831711">
        <w:rPr>
          <w:rFonts w:ascii="Times New Roman" w:hAnsi="Times New Roman"/>
          <w:sz w:val="24"/>
        </w:rPr>
        <w:t xml:space="preserve">(4), 585–596. </w:t>
      </w:r>
      <w:hyperlink r:id="rId42">
        <w:r w:rsidRPr="00831711">
          <w:rPr>
            <w:rFonts w:ascii="Times New Roman" w:hAnsi="Times New Roman"/>
            <w:color w:val="000000"/>
            <w:sz w:val="24"/>
            <w:szCs w:val="24"/>
          </w:rPr>
          <w:t>https://doi.org/10.1504/IJESB.2020.106475</w:t>
        </w:r>
      </w:hyperlink>
    </w:p>
    <w:p w14:paraId="13223AF8" w14:textId="77777777" w:rsidR="00D96584" w:rsidRPr="00831711" w:rsidRDefault="00000000">
      <w:pPr>
        <w:spacing w:after="0" w:line="240" w:lineRule="auto"/>
        <w:ind w:left="720" w:hanging="720"/>
        <w:jc w:val="both"/>
      </w:pPr>
      <w:r w:rsidRPr="00831711">
        <w:rPr>
          <w:rFonts w:ascii="Times New Roman" w:hAnsi="Times New Roman"/>
          <w:sz w:val="24"/>
        </w:rPr>
        <w:t xml:space="preserve">Schmitz, H. (1995). Small shoemakers and Fordist giants: Tale of a supercluster. </w:t>
      </w:r>
      <w:r w:rsidRPr="00831711">
        <w:rPr>
          <w:rFonts w:ascii="Times New Roman" w:hAnsi="Times New Roman"/>
          <w:i/>
          <w:sz w:val="24"/>
        </w:rPr>
        <w:t>World Development, 23</w:t>
      </w:r>
      <w:r w:rsidRPr="00831711">
        <w:rPr>
          <w:rFonts w:ascii="Times New Roman" w:hAnsi="Times New Roman"/>
          <w:sz w:val="24"/>
        </w:rPr>
        <w:t xml:space="preserve">(1), 9–28. </w:t>
      </w:r>
      <w:hyperlink r:id="rId43">
        <w:r w:rsidRPr="00831711">
          <w:rPr>
            <w:rFonts w:ascii="Times New Roman" w:hAnsi="Times New Roman"/>
            <w:color w:val="000000"/>
            <w:sz w:val="24"/>
            <w:szCs w:val="24"/>
          </w:rPr>
          <w:t>https://doi.org/10.1016/0305-750X(94)00110-K</w:t>
        </w:r>
      </w:hyperlink>
    </w:p>
    <w:p w14:paraId="233D04A0" w14:textId="77777777" w:rsidR="00D96584" w:rsidRPr="00831711" w:rsidRDefault="00000000">
      <w:pPr>
        <w:spacing w:after="0" w:line="240" w:lineRule="auto"/>
        <w:ind w:left="720" w:hanging="720"/>
        <w:jc w:val="both"/>
      </w:pPr>
      <w:r w:rsidRPr="00831711">
        <w:rPr>
          <w:rFonts w:ascii="Times New Roman" w:hAnsi="Times New Roman"/>
          <w:sz w:val="24"/>
        </w:rPr>
        <w:t xml:space="preserve">Schumpeter, J. A. (1934). </w:t>
      </w:r>
      <w:r w:rsidRPr="00831711">
        <w:rPr>
          <w:rFonts w:ascii="Times New Roman" w:hAnsi="Times New Roman"/>
          <w:i/>
          <w:sz w:val="24"/>
        </w:rPr>
        <w:t>The theory of economic development: An inquiry into profits, capital, credit, interest, and the business cycle</w:t>
      </w:r>
      <w:r w:rsidRPr="00831711">
        <w:rPr>
          <w:rFonts w:ascii="Times New Roman" w:hAnsi="Times New Roman"/>
          <w:sz w:val="24"/>
        </w:rPr>
        <w:t xml:space="preserve"> (R. Opie, Trans.). Harvard University Press. </w:t>
      </w:r>
      <w:hyperlink r:id="rId44">
        <w:r w:rsidRPr="00831711">
          <w:rPr>
            <w:rFonts w:ascii="Times New Roman" w:hAnsi="Times New Roman"/>
            <w:color w:val="000000"/>
            <w:sz w:val="24"/>
            <w:szCs w:val="24"/>
          </w:rPr>
          <w:t>https://archive.org/details/in.ernet.dli.2015.187354</w:t>
        </w:r>
      </w:hyperlink>
    </w:p>
    <w:p w14:paraId="76E7415E" w14:textId="77777777" w:rsidR="00D96584" w:rsidRPr="00831711" w:rsidRDefault="00000000">
      <w:pPr>
        <w:spacing w:after="0" w:line="240" w:lineRule="auto"/>
        <w:ind w:left="720" w:hanging="720"/>
        <w:jc w:val="both"/>
      </w:pPr>
      <w:r w:rsidRPr="00831711">
        <w:rPr>
          <w:rFonts w:ascii="Times New Roman" w:hAnsi="Times New Roman"/>
          <w:sz w:val="24"/>
        </w:rPr>
        <w:t xml:space="preserve">Small and Medium Enterprises Development Agency of Nigeria. (2007). </w:t>
      </w:r>
      <w:r w:rsidRPr="00831711">
        <w:rPr>
          <w:rFonts w:ascii="Times New Roman" w:hAnsi="Times New Roman"/>
          <w:i/>
          <w:sz w:val="24"/>
        </w:rPr>
        <w:t>National policy on micro, small and medium enterprises</w:t>
      </w:r>
      <w:r w:rsidRPr="00831711">
        <w:rPr>
          <w:rFonts w:ascii="Times New Roman" w:hAnsi="Times New Roman"/>
          <w:sz w:val="24"/>
        </w:rPr>
        <w:t xml:space="preserve">. </w:t>
      </w:r>
      <w:hyperlink r:id="rId45">
        <w:r w:rsidRPr="00831711">
          <w:rPr>
            <w:rFonts w:ascii="Times New Roman" w:hAnsi="Times New Roman"/>
            <w:color w:val="000000"/>
            <w:sz w:val="24"/>
            <w:szCs w:val="24"/>
          </w:rPr>
          <w:t>https://smedan.gov.ng/</w:t>
        </w:r>
      </w:hyperlink>
    </w:p>
    <w:p w14:paraId="20C3ABC9" w14:textId="77777777" w:rsidR="00D96584" w:rsidRPr="00831711" w:rsidRDefault="00000000">
      <w:pPr>
        <w:spacing w:after="0" w:line="240" w:lineRule="auto"/>
        <w:ind w:left="720" w:hanging="720"/>
        <w:jc w:val="both"/>
      </w:pPr>
      <w:r w:rsidRPr="00831711">
        <w:rPr>
          <w:rFonts w:ascii="Times New Roman" w:hAnsi="Times New Roman"/>
          <w:sz w:val="24"/>
        </w:rPr>
        <w:t xml:space="preserve">Todaro, M. P., &amp; Smith, S. C. (2020). </w:t>
      </w:r>
      <w:r w:rsidRPr="00831711">
        <w:rPr>
          <w:rFonts w:ascii="Times New Roman" w:hAnsi="Times New Roman"/>
          <w:i/>
          <w:sz w:val="24"/>
        </w:rPr>
        <w:t>Economic development</w:t>
      </w:r>
      <w:r w:rsidRPr="00831711">
        <w:rPr>
          <w:rFonts w:ascii="Times New Roman" w:hAnsi="Times New Roman"/>
          <w:sz w:val="24"/>
        </w:rPr>
        <w:t xml:space="preserve"> (13th ed.). Pearson. </w:t>
      </w:r>
      <w:hyperlink r:id="rId46">
        <w:r w:rsidRPr="00831711">
          <w:rPr>
            <w:rFonts w:ascii="Times New Roman" w:hAnsi="Times New Roman"/>
            <w:color w:val="000000"/>
            <w:sz w:val="24"/>
            <w:szCs w:val="24"/>
          </w:rPr>
          <w:t>https://www.pearson.com/en-us/subject-catalog/p/economic-development/P200000006447</w:t>
        </w:r>
      </w:hyperlink>
    </w:p>
    <w:p w14:paraId="0DA20295" w14:textId="77777777" w:rsidR="00D96584" w:rsidRPr="00831711" w:rsidRDefault="00000000">
      <w:pPr>
        <w:spacing w:after="0" w:line="240" w:lineRule="auto"/>
        <w:ind w:left="720" w:hanging="720"/>
        <w:jc w:val="both"/>
      </w:pPr>
      <w:r w:rsidRPr="00831711">
        <w:rPr>
          <w:rFonts w:ascii="Times New Roman" w:hAnsi="Times New Roman"/>
          <w:sz w:val="24"/>
        </w:rPr>
        <w:t xml:space="preserve">Tristão, H. M., Oprime, P. C., Jugend, D., &amp; da Silva, S. L. (2013). Innovation in industrial clusters: A survey of footwear companies in Brazil. </w:t>
      </w:r>
      <w:r w:rsidRPr="00831711">
        <w:rPr>
          <w:rFonts w:ascii="Times New Roman" w:hAnsi="Times New Roman"/>
          <w:i/>
          <w:sz w:val="24"/>
        </w:rPr>
        <w:t>Journal of Technology Management &amp; Innovation, 8</w:t>
      </w:r>
      <w:r w:rsidRPr="00831711">
        <w:rPr>
          <w:rFonts w:ascii="Times New Roman" w:hAnsi="Times New Roman"/>
          <w:sz w:val="24"/>
        </w:rPr>
        <w:t xml:space="preserve">(3), 48–56. </w:t>
      </w:r>
      <w:hyperlink r:id="rId47">
        <w:r w:rsidRPr="00831711">
          <w:rPr>
            <w:rFonts w:ascii="Times New Roman" w:hAnsi="Times New Roman"/>
            <w:color w:val="000000"/>
            <w:sz w:val="24"/>
            <w:szCs w:val="24"/>
          </w:rPr>
          <w:t>https://doi.org/10.4067/S0718-27242013000400005</w:t>
        </w:r>
      </w:hyperlink>
    </w:p>
    <w:p w14:paraId="1B49C953" w14:textId="77777777" w:rsidR="00D96584" w:rsidRPr="00831711" w:rsidRDefault="00000000">
      <w:pPr>
        <w:spacing w:after="0" w:line="240" w:lineRule="auto"/>
        <w:ind w:left="720" w:hanging="720"/>
        <w:jc w:val="both"/>
      </w:pPr>
      <w:r w:rsidRPr="00831711">
        <w:rPr>
          <w:rFonts w:ascii="Times New Roman" w:hAnsi="Times New Roman"/>
          <w:sz w:val="24"/>
        </w:rPr>
        <w:t xml:space="preserve">Tumkella, K. (2003, June 10). </w:t>
      </w:r>
      <w:r w:rsidRPr="00831711">
        <w:rPr>
          <w:rFonts w:ascii="Times New Roman" w:hAnsi="Times New Roman"/>
          <w:i/>
          <w:sz w:val="24"/>
        </w:rPr>
        <w:t>The challenge of globalisation and SME sector in Nigeria: Repositioning through technology and innovation</w:t>
      </w:r>
      <w:r w:rsidRPr="00831711">
        <w:rPr>
          <w:rFonts w:ascii="Times New Roman" w:hAnsi="Times New Roman"/>
          <w:sz w:val="24"/>
        </w:rPr>
        <w:t xml:space="preserve"> [Paper presentation]. National Summit </w:t>
      </w:r>
      <w:r w:rsidRPr="00831711">
        <w:rPr>
          <w:rFonts w:ascii="Times New Roman" w:hAnsi="Times New Roman"/>
          <w:sz w:val="24"/>
        </w:rPr>
        <w:lastRenderedPageBreak/>
        <w:t xml:space="preserve">on SMIEIS, Bankers’ Committee and Lagos Chamber of Commerce and Industry, Lagos, Nigeria. </w:t>
      </w:r>
      <w:hyperlink r:id="rId48">
        <w:r w:rsidRPr="00831711">
          <w:rPr>
            <w:rFonts w:ascii="Times New Roman" w:hAnsi="Times New Roman"/>
            <w:color w:val="000000"/>
            <w:sz w:val="24"/>
            <w:szCs w:val="24"/>
          </w:rPr>
          <w:t>https://studylib.net/doc/9029580/--covenant-university-repository</w:t>
        </w:r>
      </w:hyperlink>
    </w:p>
    <w:p w14:paraId="78BD3BA8" w14:textId="77777777" w:rsidR="00D96584" w:rsidRPr="00831711" w:rsidRDefault="00000000">
      <w:pPr>
        <w:spacing w:after="0" w:line="240" w:lineRule="auto"/>
        <w:ind w:left="720" w:hanging="720"/>
        <w:jc w:val="both"/>
      </w:pPr>
      <w:r w:rsidRPr="00831711">
        <w:rPr>
          <w:rFonts w:ascii="Times New Roman" w:hAnsi="Times New Roman"/>
          <w:sz w:val="24"/>
        </w:rPr>
        <w:t xml:space="preserve">USAID PRISMS. (2005). </w:t>
      </w:r>
      <w:r w:rsidRPr="00831711">
        <w:rPr>
          <w:rFonts w:ascii="Times New Roman" w:hAnsi="Times New Roman"/>
          <w:i/>
          <w:sz w:val="24"/>
        </w:rPr>
        <w:t>Nigeria micro, small and medium enterprises (MSMEs) assessment</w:t>
      </w:r>
      <w:r w:rsidRPr="00831711">
        <w:rPr>
          <w:rFonts w:ascii="Times New Roman" w:hAnsi="Times New Roman"/>
          <w:sz w:val="24"/>
        </w:rPr>
        <w:t xml:space="preserve">. USAID/Nigeria PRISMS Project. </w:t>
      </w:r>
      <w:hyperlink r:id="rId49">
        <w:r w:rsidRPr="00831711">
          <w:rPr>
            <w:rFonts w:ascii="Times New Roman" w:hAnsi="Times New Roman"/>
            <w:color w:val="000000"/>
            <w:sz w:val="24"/>
            <w:szCs w:val="24"/>
          </w:rPr>
          <w:t>https://pdf.usaid.gov/</w:t>
        </w:r>
      </w:hyperlink>
    </w:p>
    <w:p w14:paraId="0EA69951" w14:textId="77777777" w:rsidR="00D96584" w:rsidRPr="00831711" w:rsidRDefault="00000000">
      <w:pPr>
        <w:spacing w:after="0" w:line="240" w:lineRule="auto"/>
        <w:ind w:left="720" w:hanging="720"/>
        <w:jc w:val="both"/>
      </w:pPr>
      <w:r w:rsidRPr="00831711">
        <w:rPr>
          <w:rFonts w:ascii="Times New Roman" w:hAnsi="Times New Roman"/>
          <w:sz w:val="24"/>
        </w:rPr>
        <w:t xml:space="preserve">Ussif, R., &amp; Salifu, K. (2020). Contributions of small &amp; medium enterprises to economic developments in Sub-Saharan Africa. </w:t>
      </w:r>
      <w:r w:rsidRPr="00831711">
        <w:rPr>
          <w:rFonts w:ascii="Times New Roman" w:hAnsi="Times New Roman"/>
          <w:i/>
          <w:sz w:val="24"/>
        </w:rPr>
        <w:t>International Journal of Academic Accounting, Finance &amp; Management Research, 4</w:t>
      </w:r>
      <w:r w:rsidRPr="00831711">
        <w:rPr>
          <w:rFonts w:ascii="Times New Roman" w:hAnsi="Times New Roman"/>
          <w:sz w:val="24"/>
        </w:rPr>
        <w:t xml:space="preserve">(3), 63–78. </w:t>
      </w:r>
      <w:hyperlink r:id="rId50">
        <w:r w:rsidRPr="00831711">
          <w:rPr>
            <w:rFonts w:ascii="Times New Roman" w:hAnsi="Times New Roman"/>
            <w:color w:val="000000"/>
            <w:sz w:val="24"/>
            <w:szCs w:val="24"/>
          </w:rPr>
          <w:t>https://ijeais.org/wp-content/uploads/2020/3/IJAAFMR200308.pdf</w:t>
        </w:r>
      </w:hyperlink>
    </w:p>
    <w:p w14:paraId="28546084" w14:textId="77777777" w:rsidR="00D96584" w:rsidRPr="00831711" w:rsidRDefault="00000000">
      <w:pPr>
        <w:spacing w:after="0" w:line="240" w:lineRule="auto"/>
        <w:ind w:left="720" w:hanging="720"/>
        <w:jc w:val="both"/>
      </w:pPr>
      <w:r w:rsidRPr="00831711">
        <w:rPr>
          <w:rFonts w:ascii="Times New Roman" w:hAnsi="Times New Roman"/>
          <w:sz w:val="24"/>
        </w:rPr>
        <w:t xml:space="preserve">Variyam, J. N., &amp; Kraybill, D. S. (1994). Managerial inputs and the growth of rural small firms. </w:t>
      </w:r>
      <w:r w:rsidRPr="00831711">
        <w:rPr>
          <w:rFonts w:ascii="Times New Roman" w:hAnsi="Times New Roman"/>
          <w:i/>
          <w:sz w:val="24"/>
        </w:rPr>
        <w:t>American Journal of Agricultural Economics, 76</w:t>
      </w:r>
      <w:r w:rsidRPr="00831711">
        <w:rPr>
          <w:rFonts w:ascii="Times New Roman" w:hAnsi="Times New Roman"/>
          <w:sz w:val="24"/>
        </w:rPr>
        <w:t xml:space="preserve">(3), 568–575. </w:t>
      </w:r>
      <w:hyperlink r:id="rId51">
        <w:r w:rsidRPr="00831711">
          <w:rPr>
            <w:rFonts w:ascii="Times New Roman" w:hAnsi="Times New Roman"/>
            <w:color w:val="000000"/>
            <w:sz w:val="24"/>
            <w:szCs w:val="24"/>
          </w:rPr>
          <w:t>https://doi.org/10.2307/1243667</w:t>
        </w:r>
      </w:hyperlink>
    </w:p>
    <w:p w14:paraId="4807623F" w14:textId="77777777" w:rsidR="00D96584" w:rsidRPr="00831711" w:rsidRDefault="00000000">
      <w:pPr>
        <w:spacing w:after="0" w:line="240" w:lineRule="auto"/>
        <w:ind w:left="720" w:hanging="720"/>
        <w:jc w:val="both"/>
      </w:pPr>
      <w:r w:rsidRPr="00831711">
        <w:rPr>
          <w:rFonts w:ascii="Times New Roman" w:hAnsi="Times New Roman"/>
          <w:sz w:val="24"/>
        </w:rPr>
        <w:t xml:space="preserve">Wennekers, S., &amp; Thurik, R. (1999). Linking entrepreneurship and economic growth. </w:t>
      </w:r>
      <w:r w:rsidRPr="00831711">
        <w:rPr>
          <w:rFonts w:ascii="Times New Roman" w:hAnsi="Times New Roman"/>
          <w:i/>
          <w:sz w:val="24"/>
        </w:rPr>
        <w:t>Small Business Economics, 13</w:t>
      </w:r>
      <w:r w:rsidRPr="00831711">
        <w:rPr>
          <w:rFonts w:ascii="Times New Roman" w:hAnsi="Times New Roman"/>
          <w:sz w:val="24"/>
        </w:rPr>
        <w:t xml:space="preserve">(1), 27–55. </w:t>
      </w:r>
      <w:hyperlink r:id="rId52">
        <w:r w:rsidRPr="00831711">
          <w:rPr>
            <w:rFonts w:ascii="Times New Roman" w:hAnsi="Times New Roman"/>
            <w:color w:val="000000"/>
            <w:sz w:val="24"/>
            <w:szCs w:val="24"/>
          </w:rPr>
          <w:t>https://doi.org/10.1023/A:1008063200484</w:t>
        </w:r>
      </w:hyperlink>
    </w:p>
    <w:p w14:paraId="5E50F0DD" w14:textId="77777777" w:rsidR="00D96584" w:rsidRPr="00831711" w:rsidRDefault="00000000">
      <w:pPr>
        <w:spacing w:after="0" w:line="240" w:lineRule="auto"/>
        <w:ind w:left="720" w:hanging="720"/>
        <w:jc w:val="both"/>
      </w:pPr>
      <w:r w:rsidRPr="00831711">
        <w:rPr>
          <w:rFonts w:ascii="Times New Roman" w:hAnsi="Times New Roman"/>
          <w:sz w:val="24"/>
        </w:rPr>
        <w:t xml:space="preserve">World Bank. (2016, November 30). </w:t>
      </w:r>
      <w:r w:rsidRPr="00831711">
        <w:rPr>
          <w:rFonts w:ascii="Times New Roman" w:hAnsi="Times New Roman"/>
          <w:i/>
          <w:sz w:val="24"/>
        </w:rPr>
        <w:t>New evidence shows way forward for SME growth and job creation</w:t>
      </w:r>
      <w:r w:rsidRPr="00831711">
        <w:rPr>
          <w:rFonts w:ascii="Times New Roman" w:hAnsi="Times New Roman"/>
          <w:sz w:val="24"/>
        </w:rPr>
        <w:t xml:space="preserve">. </w:t>
      </w:r>
      <w:hyperlink r:id="rId53">
        <w:r w:rsidRPr="00831711">
          <w:rPr>
            <w:rFonts w:ascii="Times New Roman" w:hAnsi="Times New Roman"/>
            <w:color w:val="000000"/>
            <w:sz w:val="24"/>
            <w:szCs w:val="24"/>
          </w:rPr>
          <w:t>https://www.worldbank.org/en/news/feature/2016/11/30/new-evidence-shows-way-forward-for-sme-growth-and-job-creation</w:t>
        </w:r>
      </w:hyperlink>
    </w:p>
    <w:p w14:paraId="6235304A" w14:textId="77777777" w:rsidR="00D96584" w:rsidRDefault="00000000">
      <w:pPr>
        <w:spacing w:after="0" w:line="240" w:lineRule="auto"/>
        <w:ind w:left="720" w:hanging="720"/>
        <w:jc w:val="both"/>
      </w:pPr>
      <w:r w:rsidRPr="00831711">
        <w:rPr>
          <w:rFonts w:ascii="Times New Roman" w:hAnsi="Times New Roman"/>
          <w:sz w:val="24"/>
        </w:rPr>
        <w:t xml:space="preserve">World Bank. (2023). </w:t>
      </w:r>
      <w:r w:rsidRPr="00831711">
        <w:rPr>
          <w:rFonts w:ascii="Times New Roman" w:hAnsi="Times New Roman"/>
          <w:i/>
          <w:sz w:val="24"/>
        </w:rPr>
        <w:t>Entrepreneurship database</w:t>
      </w:r>
      <w:r w:rsidRPr="00831711">
        <w:rPr>
          <w:rFonts w:ascii="Times New Roman" w:hAnsi="Times New Roman"/>
          <w:sz w:val="24"/>
        </w:rPr>
        <w:t xml:space="preserve">. </w:t>
      </w:r>
      <w:hyperlink r:id="rId54">
        <w:r w:rsidRPr="00831711">
          <w:rPr>
            <w:rFonts w:ascii="Times New Roman" w:hAnsi="Times New Roman"/>
            <w:color w:val="000000"/>
            <w:sz w:val="24"/>
            <w:szCs w:val="24"/>
          </w:rPr>
          <w:t>https://www.worldbank.org/en/programs/entrepreneurship</w:t>
        </w:r>
      </w:hyperlink>
    </w:p>
    <w:sectPr w:rsidR="00D96584" w:rsidSect="00A14894">
      <w:headerReference w:type="even" r:id="rId55"/>
      <w:headerReference w:type="default" r:id="rId56"/>
      <w:footerReference w:type="even" r:id="rId57"/>
      <w:footerReference w:type="default" r:id="rId58"/>
      <w:headerReference w:type="first" r:id="rId59"/>
      <w:footerReference w:type="first" r:id="rId6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69E9F" w14:textId="77777777" w:rsidR="00631FDD" w:rsidRDefault="00631FDD" w:rsidP="007008EF">
      <w:pPr>
        <w:spacing w:after="0" w:line="240" w:lineRule="auto"/>
      </w:pPr>
      <w:r>
        <w:separator/>
      </w:r>
    </w:p>
  </w:endnote>
  <w:endnote w:type="continuationSeparator" w:id="0">
    <w:p w14:paraId="36DA64E0" w14:textId="77777777" w:rsidR="00631FDD" w:rsidRDefault="00631FDD" w:rsidP="00700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D0A8625-DA6E-4AB7-B8FC-9339D8223B55}"/>
    <w:embedBold r:id="rId2" w:fontKey="{F1D1B2B5-FC89-4515-9653-5D29EAA1C24B}"/>
    <w:embedItalic r:id="rId3" w:fontKey="{DBEE325C-F9CA-4915-B914-C0B5B957365C}"/>
    <w:embedBoldItalic r:id="rId4" w:fontKey="{87D3B8AA-47DC-4CAB-8F8B-CA6CC00B2485}"/>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0976D605-A65A-45CF-869B-C3E503824CCC}"/>
    <w:embedBold r:id="rId6" w:fontKey="{0E32B5B2-096B-4D4F-A56B-508A96C603DD}"/>
    <w:embedBoldItalic r:id="rId7" w:fontKey="{802EBE74-3A13-44D9-B948-6EE85FC9719D}"/>
  </w:font>
  <w:font w:name="Georgia">
    <w:panose1 w:val="02040502050405020303"/>
    <w:charset w:val="00"/>
    <w:family w:val="roman"/>
    <w:pitch w:val="variable"/>
    <w:sig w:usb0="00000287" w:usb1="00000000" w:usb2="00000000" w:usb3="00000000" w:csb0="0000009F" w:csb1="00000000"/>
    <w:embedItalic r:id="rId8" w:fontKey="{0096C0FD-1E0E-4B88-9409-C64266D384DF}"/>
  </w:font>
  <w:font w:name="Tahoma">
    <w:panose1 w:val="020B0604030504040204"/>
    <w:charset w:val="00"/>
    <w:family w:val="swiss"/>
    <w:pitch w:val="variable"/>
    <w:sig w:usb0="E1002EFF" w:usb1="C000605B" w:usb2="00000029" w:usb3="00000000" w:csb0="000101FF" w:csb1="00000000"/>
    <w:embedRegular r:id="rId9" w:fontKey="{35FC3C2D-2399-4E38-A0D0-A390018A5F8F}"/>
  </w:font>
  <w:font w:name="Cambria Math">
    <w:panose1 w:val="02040503050406030204"/>
    <w:charset w:val="00"/>
    <w:family w:val="roman"/>
    <w:pitch w:val="variable"/>
    <w:sig w:usb0="E00006FF" w:usb1="420024FF" w:usb2="02000000" w:usb3="00000000" w:csb0="0000019F" w:csb1="00000000"/>
    <w:embedRegular r:id="rId10" w:fontKey="{6B0A1806-AC6D-47A1-8E4C-C52FFC15A668}"/>
    <w:embedItalic r:id="rId11" w:fontKey="{727137FA-9612-4382-BC2E-C38B497E41C4}"/>
  </w:font>
  <w:font w:name="Gungsuh">
    <w:charset w:val="81"/>
    <w:family w:val="roman"/>
    <w:pitch w:val="variable"/>
    <w:sig w:usb0="B00002AF" w:usb1="69D77CFB" w:usb2="00000030" w:usb3="00000000" w:csb0="0008009F" w:csb1="00000000"/>
  </w:font>
  <w:font w:name="Cardo">
    <w:charset w:val="00"/>
    <w:family w:val="auto"/>
    <w:pitch w:val="default"/>
    <w:embedRegular r:id="rId12" w:fontKey="{D3C1BDAE-DAED-4FBE-AFD8-0FF81AAB22A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1E06B" w14:textId="77777777" w:rsidR="007008EF" w:rsidRDefault="007008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0FD0A" w14:textId="77777777" w:rsidR="007008EF" w:rsidRDefault="007008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C5CBB" w14:textId="77777777" w:rsidR="007008EF" w:rsidRDefault="007008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238A5" w14:textId="77777777" w:rsidR="00631FDD" w:rsidRDefault="00631FDD" w:rsidP="007008EF">
      <w:pPr>
        <w:spacing w:after="0" w:line="240" w:lineRule="auto"/>
      </w:pPr>
      <w:r>
        <w:separator/>
      </w:r>
    </w:p>
  </w:footnote>
  <w:footnote w:type="continuationSeparator" w:id="0">
    <w:p w14:paraId="7D1FCD05" w14:textId="77777777" w:rsidR="00631FDD" w:rsidRDefault="00631FDD" w:rsidP="007008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405A1" w14:textId="77777777" w:rsidR="007008EF" w:rsidRDefault="00000000">
    <w:pPr>
      <w:pStyle w:val="Header"/>
    </w:pPr>
    <w:r>
      <w:rPr>
        <w:noProof/>
      </w:rPr>
      <w:pict w14:anchorId="6F7E9D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146751"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4457" w14:textId="77777777" w:rsidR="007008EF" w:rsidRDefault="00000000">
    <w:pPr>
      <w:pStyle w:val="Header"/>
    </w:pPr>
    <w:r>
      <w:rPr>
        <w:noProof/>
      </w:rPr>
      <w:pict w14:anchorId="676A37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146752"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95776" w14:textId="77777777" w:rsidR="007008EF" w:rsidRDefault="00000000">
    <w:pPr>
      <w:pStyle w:val="Header"/>
    </w:pPr>
    <w:r>
      <w:rPr>
        <w:noProof/>
      </w:rPr>
      <w:pict w14:anchorId="70DE94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146750"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7624B"/>
    <w:multiLevelType w:val="multilevel"/>
    <w:tmpl w:val="5D50613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02346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C1MLY0sTQ3MTAyMTVQ0lEKTi0uzszPAykwrAUAguCT7CwAAAA="/>
  </w:docVars>
  <w:rsids>
    <w:rsidRoot w:val="00472922"/>
    <w:rsid w:val="00105296"/>
    <w:rsid w:val="001358C4"/>
    <w:rsid w:val="00163E19"/>
    <w:rsid w:val="001C7CC0"/>
    <w:rsid w:val="00206E1D"/>
    <w:rsid w:val="002C25AF"/>
    <w:rsid w:val="00307D1B"/>
    <w:rsid w:val="003917AA"/>
    <w:rsid w:val="003D65CA"/>
    <w:rsid w:val="0040575B"/>
    <w:rsid w:val="00406AD1"/>
    <w:rsid w:val="00472922"/>
    <w:rsid w:val="004B0232"/>
    <w:rsid w:val="004B285C"/>
    <w:rsid w:val="00595E50"/>
    <w:rsid w:val="00631FDD"/>
    <w:rsid w:val="007008EF"/>
    <w:rsid w:val="00831711"/>
    <w:rsid w:val="00A14894"/>
    <w:rsid w:val="00A532C1"/>
    <w:rsid w:val="00B5152B"/>
    <w:rsid w:val="00D96584"/>
    <w:rsid w:val="00E64F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49715"/>
  <w15:docId w15:val="{CBFD67EE-F963-4FAF-9F13-DFF1A6925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894"/>
  </w:style>
  <w:style w:type="paragraph" w:styleId="Heading1">
    <w:name w:val="heading 1"/>
    <w:basedOn w:val="Normal"/>
    <w:next w:val="Normal"/>
    <w:uiPriority w:val="9"/>
    <w:qFormat/>
    <w:rsid w:val="00A14894"/>
    <w:pPr>
      <w:spacing w:line="240" w:lineRule="auto"/>
      <w:outlineLvl w:val="0"/>
    </w:pPr>
    <w:rPr>
      <w:rFonts w:ascii="Times New Roman" w:eastAsia="Times New Roman" w:hAnsi="Times New Roman" w:cs="Times New Roman"/>
      <w:b/>
      <w:bCs/>
      <w:sz w:val="48"/>
      <w:szCs w:val="48"/>
    </w:rPr>
  </w:style>
  <w:style w:type="paragraph" w:styleId="Heading2">
    <w:name w:val="heading 2"/>
    <w:basedOn w:val="Normal"/>
    <w:next w:val="Normal"/>
    <w:uiPriority w:val="9"/>
    <w:unhideWhenUsed/>
    <w:qFormat/>
    <w:rsid w:val="00A14894"/>
    <w:pPr>
      <w:spacing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uiPriority w:val="9"/>
    <w:unhideWhenUsed/>
    <w:qFormat/>
    <w:rsid w:val="00A14894"/>
    <w:pPr>
      <w:keepNext/>
      <w:keepLines/>
      <w:spacing w:before="200" w:after="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rsid w:val="00A14894"/>
    <w:pPr>
      <w:keepNext/>
      <w:keepLines/>
      <w:spacing w:before="200" w:after="0"/>
      <w:outlineLvl w:val="3"/>
    </w:pPr>
    <w:rPr>
      <w:rFonts w:ascii="Cambria" w:eastAsia="Cambria" w:hAnsi="Cambria" w:cs="Cambria"/>
      <w:b/>
      <w:bCs/>
      <w:i/>
      <w:iCs/>
      <w:color w:val="4F81BD"/>
    </w:rPr>
  </w:style>
  <w:style w:type="paragraph" w:styleId="Heading5">
    <w:name w:val="heading 5"/>
    <w:basedOn w:val="Normal"/>
    <w:next w:val="Normal"/>
    <w:uiPriority w:val="9"/>
    <w:semiHidden/>
    <w:unhideWhenUsed/>
    <w:qFormat/>
    <w:rsid w:val="00A14894"/>
    <w:pPr>
      <w:keepNext/>
      <w:keepLines/>
      <w:spacing w:before="220" w:after="40"/>
      <w:outlineLvl w:val="4"/>
    </w:pPr>
    <w:rPr>
      <w:b/>
      <w:bCs/>
    </w:rPr>
  </w:style>
  <w:style w:type="paragraph" w:styleId="Heading6">
    <w:name w:val="heading 6"/>
    <w:basedOn w:val="Normal"/>
    <w:next w:val="Normal"/>
    <w:uiPriority w:val="9"/>
    <w:semiHidden/>
    <w:unhideWhenUsed/>
    <w:qFormat/>
    <w:rsid w:val="00A14894"/>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A14894"/>
    <w:tblPr>
      <w:tblCellMar>
        <w:top w:w="100" w:type="dxa"/>
        <w:left w:w="100" w:type="dxa"/>
        <w:bottom w:w="100" w:type="dxa"/>
        <w:right w:w="100" w:type="dxa"/>
      </w:tblCellMar>
    </w:tblPr>
  </w:style>
  <w:style w:type="paragraph" w:styleId="Title">
    <w:name w:val="Title"/>
    <w:basedOn w:val="Normal"/>
    <w:next w:val="Normal"/>
    <w:uiPriority w:val="10"/>
    <w:qFormat/>
    <w:rsid w:val="00A14894"/>
    <w:pPr>
      <w:keepNext/>
      <w:keepLines/>
      <w:spacing w:before="480" w:after="120"/>
    </w:pPr>
    <w:rPr>
      <w:b/>
      <w:bCs/>
      <w:sz w:val="72"/>
      <w:szCs w:val="72"/>
    </w:rPr>
  </w:style>
  <w:style w:type="paragraph" w:styleId="Subtitle">
    <w:name w:val="Subtitle"/>
    <w:basedOn w:val="Normal"/>
    <w:next w:val="Normal"/>
    <w:uiPriority w:val="11"/>
    <w:qFormat/>
    <w:rsid w:val="00A14894"/>
    <w:pPr>
      <w:keepNext/>
      <w:keepLines/>
      <w:spacing w:before="360" w:after="80"/>
    </w:pPr>
    <w:rPr>
      <w:rFonts w:ascii="Georgia" w:eastAsia="Georgia" w:hAnsi="Georgia" w:cs="Georgia"/>
      <w:i/>
      <w:iCs/>
      <w:color w:val="666666"/>
      <w:sz w:val="48"/>
      <w:szCs w:val="48"/>
    </w:rPr>
  </w:style>
  <w:style w:type="table" w:customStyle="1" w:styleId="a">
    <w:basedOn w:val="TableNormal0"/>
    <w:rsid w:val="00A14894"/>
    <w:tblPr>
      <w:tblStyleRowBandSize w:val="1"/>
      <w:tblStyleColBandSize w:val="1"/>
      <w:tblCellMar>
        <w:top w:w="0" w:type="dxa"/>
        <w:left w:w="115" w:type="dxa"/>
        <w:bottom w:w="0" w:type="dxa"/>
        <w:right w:w="115" w:type="dxa"/>
      </w:tblCellMar>
    </w:tblPr>
  </w:style>
  <w:style w:type="table" w:customStyle="1" w:styleId="a0">
    <w:basedOn w:val="TableNormal0"/>
    <w:rsid w:val="00A14894"/>
    <w:tblPr>
      <w:tblStyleRowBandSize w:val="1"/>
      <w:tblStyleColBandSize w:val="1"/>
      <w:tblCellMar>
        <w:top w:w="0" w:type="dxa"/>
        <w:left w:w="115" w:type="dxa"/>
        <w:bottom w:w="0" w:type="dxa"/>
        <w:right w:w="115" w:type="dxa"/>
      </w:tblCellMar>
    </w:tblPr>
  </w:style>
  <w:style w:type="table" w:customStyle="1" w:styleId="a1">
    <w:basedOn w:val="TableNormal0"/>
    <w:rsid w:val="00A14894"/>
    <w:pPr>
      <w:spacing w:after="0" w:line="240" w:lineRule="auto"/>
    </w:pPr>
    <w:rPr>
      <w:color w:val="000000"/>
    </w:rPr>
    <w:tblPr>
      <w:tblStyleRowBandSize w:val="1"/>
      <w:tblStyleColBandSize w:val="1"/>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2">
    <w:basedOn w:val="TableNormal0"/>
    <w:rsid w:val="00A14894"/>
    <w:tblPr>
      <w:tblStyleRowBandSize w:val="1"/>
      <w:tblStyleColBandSize w:val="1"/>
      <w:tblCellMar>
        <w:top w:w="0" w:type="dxa"/>
        <w:left w:w="115" w:type="dxa"/>
        <w:bottom w:w="0" w:type="dxa"/>
        <w:right w:w="115" w:type="dxa"/>
      </w:tblCellMar>
    </w:tblPr>
  </w:style>
  <w:style w:type="table" w:customStyle="1" w:styleId="a3">
    <w:basedOn w:val="TableNormal0"/>
    <w:rsid w:val="00A14894"/>
    <w:tblPr>
      <w:tblStyleRowBandSize w:val="1"/>
      <w:tblStyleColBandSize w:val="1"/>
      <w:tblCellMar>
        <w:top w:w="0" w:type="dxa"/>
        <w:left w:w="115" w:type="dxa"/>
        <w:bottom w:w="0" w:type="dxa"/>
        <w:right w:w="115" w:type="dxa"/>
      </w:tblCellMar>
    </w:tblPr>
  </w:style>
  <w:style w:type="table" w:customStyle="1" w:styleId="a4">
    <w:basedOn w:val="TableNormal0"/>
    <w:rsid w:val="00A14894"/>
    <w:pPr>
      <w:spacing w:after="0" w:line="240" w:lineRule="auto"/>
    </w:pPr>
    <w:rPr>
      <w:color w:val="000000"/>
    </w:rPr>
    <w:tblPr>
      <w:tblStyleRowBandSize w:val="1"/>
      <w:tblStyleColBandSize w:val="1"/>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ListParagraph">
    <w:name w:val="List Paragraph"/>
    <w:basedOn w:val="Normal"/>
    <w:uiPriority w:val="34"/>
    <w:qFormat/>
    <w:rsid w:val="00B5152B"/>
    <w:pPr>
      <w:ind w:left="720"/>
      <w:contextualSpacing/>
    </w:pPr>
  </w:style>
  <w:style w:type="paragraph" w:styleId="Header">
    <w:name w:val="header"/>
    <w:basedOn w:val="Normal"/>
    <w:link w:val="HeaderChar"/>
    <w:uiPriority w:val="99"/>
    <w:unhideWhenUsed/>
    <w:rsid w:val="007008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08EF"/>
  </w:style>
  <w:style w:type="paragraph" w:styleId="Footer">
    <w:name w:val="footer"/>
    <w:basedOn w:val="Normal"/>
    <w:link w:val="FooterChar"/>
    <w:uiPriority w:val="99"/>
    <w:unhideWhenUsed/>
    <w:rsid w:val="007008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08EF"/>
  </w:style>
  <w:style w:type="paragraph" w:styleId="BalloonText">
    <w:name w:val="Balloon Text"/>
    <w:basedOn w:val="Normal"/>
    <w:link w:val="BalloonTextChar"/>
    <w:uiPriority w:val="99"/>
    <w:semiHidden/>
    <w:unhideWhenUsed/>
    <w:rsid w:val="00163E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3E19"/>
    <w:rPr>
      <w:rFonts w:ascii="Tahoma" w:hAnsi="Tahoma" w:cs="Tahoma"/>
      <w:sz w:val="16"/>
      <w:szCs w:val="16"/>
    </w:rPr>
  </w:style>
  <w:style w:type="character" w:styleId="Strong">
    <w:name w:val="Strong"/>
    <w:basedOn w:val="DefaultParagraphFont"/>
    <w:uiPriority w:val="22"/>
    <w:qFormat/>
    <w:rsid w:val="004B28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007/978-1-4419-1191-9_20" TargetMode="External"/><Relationship Id="rId18" Type="http://schemas.openxmlformats.org/officeDocument/2006/relationships/hyperlink" Target="https://researchportal.lsbu.ac.uk/en/publications/the-impact-of-entrepreneurship-on-economic-growth-and-development-3/" TargetMode="External"/><Relationship Id="rId26" Type="http://schemas.openxmlformats.org/officeDocument/2006/relationships/hyperlink" Target="https://doi.org/10.1016/0304-3932(88)90168-7" TargetMode="External"/><Relationship Id="rId39" Type="http://schemas.openxmlformats.org/officeDocument/2006/relationships/hyperlink" Target="https://www.india-briefing.com/news/micro-small-medium-enterprises-india-explainer-17887.html" TargetMode="External"/><Relationship Id="rId21" Type="http://schemas.openxmlformats.org/officeDocument/2006/relationships/hyperlink" Target="https://www.ugb.ro/etc/etc2012no1/09fa.pdf" TargetMode="External"/><Relationship Id="rId34" Type="http://schemas.openxmlformats.org/officeDocument/2006/relationships/hyperlink" Target="https://doi.org/10.1108/01409171111102786" TargetMode="External"/><Relationship Id="rId42" Type="http://schemas.openxmlformats.org/officeDocument/2006/relationships/hyperlink" Target="https://doi.org/10.1504/IJESB.2020.106475" TargetMode="External"/><Relationship Id="rId47" Type="http://schemas.openxmlformats.org/officeDocument/2006/relationships/hyperlink" Target="https://doi.org/10.4067/S0718-27242013000400005" TargetMode="External"/><Relationship Id="rId50" Type="http://schemas.openxmlformats.org/officeDocument/2006/relationships/hyperlink" Target="https://ijeais.org/wp-content/uploads/2020/3/IJAAFMR200308.pdf" TargetMode="External"/><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jtra.com/special-issue-view/entrepreneurship-development-in-nigeria-issues-problems-and-prospects.pdf" TargetMode="External"/><Relationship Id="rId29" Type="http://schemas.openxmlformats.org/officeDocument/2006/relationships/hyperlink" Target="https://dc.cbn.gov.ng/" TargetMode="External"/><Relationship Id="rId11" Type="http://schemas.openxmlformats.org/officeDocument/2006/relationships/hyperlink" Target="https://doi.org/10.2307/2295952" TargetMode="External"/><Relationship Id="rId24" Type="http://schemas.openxmlformats.org/officeDocument/2006/relationships/hyperlink" Target="https://doi.org/10.5539/ijbm.v10n3p203" TargetMode="External"/><Relationship Id="rId32" Type="http://schemas.openxmlformats.org/officeDocument/2006/relationships/hyperlink" Target="https://www.theseus.fi/handle/10024/144309" TargetMode="External"/><Relationship Id="rId37" Type="http://schemas.openxmlformats.org/officeDocument/2006/relationships/hyperlink" Target="https://www.jstor.org/stable/i332669" TargetMode="External"/><Relationship Id="rId40" Type="http://schemas.openxmlformats.org/officeDocument/2006/relationships/hyperlink" Target="https://doi.org/10.1086/261420" TargetMode="External"/><Relationship Id="rId45" Type="http://schemas.openxmlformats.org/officeDocument/2006/relationships/hyperlink" Target="https://smedan.gov.ng/" TargetMode="External"/><Relationship Id="rId53" Type="http://schemas.openxmlformats.org/officeDocument/2006/relationships/hyperlink" Target="https://www.worldbank.org/en/news/feature/2016/11/30/new-evidence-shows-way-forward-for-sme-growth-and-job-creation" TargetMode="External"/><Relationship Id="rId58"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www.econjournals.com/index.php/ijefi/article/view/205" TargetMode="External"/><Relationship Id="rId14" Type="http://schemas.openxmlformats.org/officeDocument/2006/relationships/hyperlink" Target="https://www.cbn.gov.ng/" TargetMode="External"/><Relationship Id="rId22" Type="http://schemas.openxmlformats.org/officeDocument/2006/relationships/hyperlink" Target="https://books.google.com/books?q=Entrepreneurship+and+economic+development+Kilby+1971" TargetMode="External"/><Relationship Id="rId27" Type="http://schemas.openxmlformats.org/officeDocument/2006/relationships/hyperlink" Target="https://www.urban.org/research/publication/small-business-and-microenterprise-opportunity-and-asset-building-strategy" TargetMode="External"/><Relationship Id="rId30" Type="http://schemas.openxmlformats.org/officeDocument/2006/relationships/hyperlink" Target="https://niser.gov.ng/" TargetMode="External"/><Relationship Id="rId35" Type="http://schemas.openxmlformats.org/officeDocument/2006/relationships/hyperlink" Target="https://doi.org/10.1787/061fe03d-en" TargetMode="External"/><Relationship Id="rId43" Type="http://schemas.openxmlformats.org/officeDocument/2006/relationships/hyperlink" Target="https://doi.org/10.1016/0305-750X(94)00110-K" TargetMode="External"/><Relationship Id="rId48" Type="http://schemas.openxmlformats.org/officeDocument/2006/relationships/hyperlink" Target="https://studylib.net/doc/9029580/--covenant-university-repository" TargetMode="External"/><Relationship Id="rId56" Type="http://schemas.openxmlformats.org/officeDocument/2006/relationships/header" Target="header2.xml"/><Relationship Id="rId8" Type="http://schemas.openxmlformats.org/officeDocument/2006/relationships/hyperlink" Target="https://doi.org/10.1007/s11187-018-0013-9" TargetMode="External"/><Relationship Id="rId51" Type="http://schemas.openxmlformats.org/officeDocument/2006/relationships/hyperlink" Target="https://doi.org/10.2307/1243667" TargetMode="External"/><Relationship Id="rId3" Type="http://schemas.openxmlformats.org/officeDocument/2006/relationships/styles" Target="styles.xml"/><Relationship Id="rId12" Type="http://schemas.openxmlformats.org/officeDocument/2006/relationships/hyperlink" Target="https://doi.org/10.3390/su17125615" TargetMode="External"/><Relationship Id="rId17" Type="http://schemas.openxmlformats.org/officeDocument/2006/relationships/hyperlink" Target="https://eajournals.org/ijdee/tag/economic-growth/page/2/" TargetMode="External"/><Relationship Id="rId25" Type="http://schemas.openxmlformats.org/officeDocument/2006/relationships/hyperlink" Target="https://www.imf.org/en/Publications/REO/SSA" TargetMode="External"/><Relationship Id="rId33" Type="http://schemas.openxmlformats.org/officeDocument/2006/relationships/hyperlink" Target="https://www.cibng.org/" TargetMode="External"/><Relationship Id="rId38" Type="http://schemas.openxmlformats.org/officeDocument/2006/relationships/hyperlink" Target="https://doi.org/10.1002/jae.616" TargetMode="External"/><Relationship Id="rId46" Type="http://schemas.openxmlformats.org/officeDocument/2006/relationships/hyperlink" Target="https://www.pearson.com/en-us/subject-catalog/p/economic-development/P200000006447" TargetMode="External"/><Relationship Id="rId59" Type="http://schemas.openxmlformats.org/officeDocument/2006/relationships/header" Target="header3.xml"/><Relationship Id="rId20" Type="http://schemas.openxmlformats.org/officeDocument/2006/relationships/hyperlink" Target="https://ideas.repec.org/p/sek/iacpro/0201833.html" TargetMode="External"/><Relationship Id="rId41" Type="http://schemas.openxmlformats.org/officeDocument/2006/relationships/hyperlink" Target="https://doi.org/10.1257/jep.8.1.3" TargetMode="External"/><Relationship Id="rId54" Type="http://schemas.openxmlformats.org/officeDocument/2006/relationships/hyperlink" Target="https://www.worldbank.org/en/programs/entrepreneurship"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ortal.issn.org/resource/ISSN/2310-7537" TargetMode="External"/><Relationship Id="rId23" Type="http://schemas.openxmlformats.org/officeDocument/2006/relationships/hyperlink" Target="https://rsisinternational.org/virtual-library/papers/the-role-of-entrepreneurship-in-rural-development-in-cross-river-state-nigeria/" TargetMode="External"/><Relationship Id="rId28" Type="http://schemas.openxmlformats.org/officeDocument/2006/relationships/hyperlink" Target="https://journals.univ-danubius.ro/index.php/oeconomica/article/view/1283" TargetMode="External"/><Relationship Id="rId36" Type="http://schemas.openxmlformats.org/officeDocument/2006/relationships/hyperlink" Target="https://doi.org/10.1787/97a5bbfe-en" TargetMode="External"/><Relationship Id="rId49" Type="http://schemas.openxmlformats.org/officeDocument/2006/relationships/hyperlink" Target="https://pdf.usaid.gov/" TargetMode="External"/><Relationship Id="rId57" Type="http://schemas.openxmlformats.org/officeDocument/2006/relationships/footer" Target="footer1.xml"/><Relationship Id="rId10" Type="http://schemas.openxmlformats.org/officeDocument/2006/relationships/hyperlink" Target="https://eajournals.org/ijdes/vol-3-no-2may-2015/the-effect-of-entrepreneurship-on-economy-growth-and-development-in-nigeria/" TargetMode="External"/><Relationship Id="rId31" Type="http://schemas.openxmlformats.org/officeDocument/2006/relationships/hyperlink" Target="https://ng.oberlo.com/statistics/number-of-small-business-in-the-us" TargetMode="External"/><Relationship Id="rId44" Type="http://schemas.openxmlformats.org/officeDocument/2006/relationships/hyperlink" Target="https://archive.org/details/in.ernet.dli.2015.187354" TargetMode="External"/><Relationship Id="rId52" Type="http://schemas.openxmlformats.org/officeDocument/2006/relationships/hyperlink" Target="https://doi.org/10.1023/A:1008063200484" TargetMode="External"/><Relationship Id="rId6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doi.org/10.1108/REPS-07-2020-0089"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weXUz6o5SM5H0t9KgbYV2WiTvQ==">CgMxLjAaJQoBMBIgCh4IB0IaCg9UaW1lcyBOZXcgUm9tYW4SB0d1bmdzdWgaJQoBMRIgCh4IB0IaCg9UaW1lcyBOZXcgUm9tYW4SB0d1bmdzdWgaIwoBMhIeChwIB0IYCg9UaW1lcyBOZXcgUm9tYW4SBUNhcmRvOAByITFnRFJ6RUVkS2NySV9YRVVhTTV4SWlIdzJtU1o1RmZ4bg==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23</Pages>
  <Words>8949</Words>
  <Characters>51013</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1020</cp:lastModifiedBy>
  <cp:revision>13</cp:revision>
  <dcterms:created xsi:type="dcterms:W3CDTF">2026-07-31T05:45:00Z</dcterms:created>
  <dcterms:modified xsi:type="dcterms:W3CDTF">2026-08-07T13:46:00Z</dcterms:modified>
</cp:coreProperties>
</file>