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C9D54" w14:textId="77777777" w:rsidR="00AB5DCE" w:rsidRPr="00442B0F" w:rsidRDefault="00000000">
      <w:pPr>
        <w:spacing w:after="40"/>
        <w:jc w:val="center"/>
        <w:rPr>
          <w:color w:val="000000" w:themeColor="text1"/>
        </w:rPr>
      </w:pPr>
      <w:r w:rsidRPr="00442B0F">
        <w:rPr>
          <w:rFonts w:ascii="Cambria" w:eastAsia="Cambria" w:hAnsi="Cambria" w:cs="Cambria"/>
          <w:b/>
          <w:bCs/>
          <w:color w:val="000000" w:themeColor="text1"/>
          <w:sz w:val="32"/>
          <w:szCs w:val="32"/>
        </w:rPr>
        <w:t>Tri-Layered Hybrid Privacy Architectures for Deep Neural Networks: Synergizing Split Learning, Differential Privacy, and CKKS Homomorphic Encryption</w:t>
      </w:r>
    </w:p>
    <w:p w14:paraId="2DE8D6CC" w14:textId="78E53DD3" w:rsidR="005B1F34" w:rsidRPr="00442B0F" w:rsidRDefault="005B1F34" w:rsidP="005B1F34">
      <w:pPr>
        <w:spacing w:after="300"/>
        <w:rPr>
          <w:rFonts w:ascii="Cambria" w:eastAsia="Cambria" w:hAnsi="Cambria" w:cs="Cambria"/>
          <w:i/>
          <w:iCs/>
          <w:color w:val="000000" w:themeColor="text1"/>
        </w:rPr>
      </w:pPr>
    </w:p>
    <w:p w14:paraId="7E0245C7" w14:textId="77777777" w:rsidR="00AB5DCE" w:rsidRDefault="00000000">
      <w:pPr>
        <w:spacing w:before="100" w:after="100"/>
      </w:pPr>
      <w:r>
        <w:rPr>
          <w:rFonts w:ascii="Cambria" w:eastAsia="Cambria" w:hAnsi="Cambria" w:cs="Cambria"/>
          <w:b/>
          <w:bCs/>
          <w:sz w:val="22"/>
          <w:szCs w:val="22"/>
        </w:rPr>
        <w:t>Abstract</w:t>
      </w:r>
    </w:p>
    <w:p w14:paraId="7CF56355" w14:textId="68AE23F5" w:rsidR="00AE06F1" w:rsidRPr="00AE06F1" w:rsidRDefault="00AE06F1" w:rsidP="00AE06F1">
      <w:pPr>
        <w:spacing w:after="260"/>
        <w:jc w:val="both"/>
        <w:rPr>
          <w:rFonts w:ascii="Cambria" w:eastAsia="Cambria" w:hAnsi="Cambria" w:cs="Cambria"/>
          <w:sz w:val="22"/>
          <w:szCs w:val="22"/>
        </w:rPr>
      </w:pPr>
      <w:r>
        <w:rPr>
          <w:rFonts w:ascii="Cambria" w:eastAsia="Cambria" w:hAnsi="Cambria" w:cs="Cambria"/>
          <w:sz w:val="22"/>
          <w:szCs w:val="22"/>
        </w:rPr>
        <w:t xml:space="preserve">Deep learning is becoming more collaborative and outsourced, using neural computation to be split between resource-constrained clients and capable servers. While split learning reduces the computational load on the client, the intermediate activations transferred are vulnerable to feature-space reconstruction and model inversion attacks, and the gradient exchanges are vulnerable to membership inference attacks. In this paper, we design, formalize and empirically evaluate a tri-layered hybrid privacy architecture that composes split learning, differential privacy (DP) and Cheon-Kim-Kim-Song (CKKS) fully homomorphic encryption (FHE) into a single coherent pipeline. We demonstrate how each layer neutralizes a different threat class: split learning restricts exposure of raw data, DP bounds statistical leakage from gradients and activations, and CKKS enforces computational indistinguishability over any data that must cross the network boundary. We provide a formal composition of the privacy layers, a reference architecture with client- and server-side responsibilities and an experimental evaluation over three datasets including a seven-class electrical fault diagnosis dataset. Our results demonstrate that the tri-layered configuration achieves 89.9% accuracy at </w:t>
      </w:r>
      <m:oMath>
        <m:r>
          <w:rPr>
            <w:rFonts w:ascii="Cambria Math" w:eastAsia="Cambria" w:hAnsi="Cambria Math" w:cs="Cambria"/>
            <w:sz w:val="22"/>
            <w:szCs w:val="22"/>
          </w:rPr>
          <m:t>ϵ=8</m:t>
        </m:r>
      </m:oMath>
      <w:r>
        <w:rPr>
          <w:rFonts w:ascii="Cambria" w:eastAsia="Cambria" w:hAnsi="Cambria" w:cs="Cambria"/>
          <w:sz w:val="22"/>
          <w:szCs w:val="22"/>
        </w:rPr>
        <w:t xml:space="preserve"> (only 4.7 percentage points below a non-private baseline of 94.6%) with computational security against an honest-but-curious server, at a measured latency overhead of </w:t>
      </w:r>
      <m:oMath>
        <m:r>
          <w:rPr>
            <w:rFonts w:ascii="Cambria Math" w:eastAsia="Cambria" w:hAnsi="Cambria Math" w:cs="Cambria"/>
            <w:sz w:val="22"/>
            <w:szCs w:val="22"/>
          </w:rPr>
          <m:t>≈10.4×</m:t>
        </m:r>
      </m:oMath>
      <w:r>
        <w:rPr>
          <w:rFonts w:ascii="Cambria" w:eastAsia="Cambria" w:hAnsi="Cambria" w:cs="Cambria"/>
          <w:sz w:val="22"/>
          <w:szCs w:val="22"/>
        </w:rPr>
        <w:t xml:space="preserve"> relative to plaintext split inference. We also quantify the marginal contribution of each layer to the overall threat-model coverage, and provide guidance on how to tune the noise multiplier, clipping norm, and CKKS multiplicative depth jointly rather than independently.</w:t>
      </w:r>
    </w:p>
    <w:p w14:paraId="1C29567E" w14:textId="096B9888" w:rsidR="005E78B7" w:rsidRDefault="00905A4D" w:rsidP="005E78B7">
      <w:pPr>
        <w:spacing w:after="260"/>
        <w:rPr>
          <w:rFonts w:ascii="Cambria" w:eastAsia="Cambria" w:hAnsi="Cambria" w:cs="Cambria"/>
          <w:i/>
          <w:iCs/>
        </w:rPr>
      </w:pPr>
      <w:r>
        <w:rPr>
          <w:rFonts w:ascii="Cambria" w:eastAsia="Cambria" w:hAnsi="Cambria" w:cs="Cambria"/>
          <w:b/>
          <w:bCs/>
          <w:i/>
          <w:iCs/>
        </w:rPr>
        <w:t>Keywords—</w:t>
      </w:r>
      <w:r>
        <w:rPr>
          <w:rFonts w:ascii="Cambria" w:eastAsia="Cambria" w:hAnsi="Cambria" w:cs="Cambria"/>
          <w:i/>
          <w:iCs/>
        </w:rPr>
        <w:t>split learning, differential privacy, homomorphic encryption, CKKS, privacy-preserving machine learning, tri-layered architecture, secure inference</w:t>
      </w:r>
    </w:p>
    <w:p w14:paraId="5E74B914" w14:textId="199336AE" w:rsidR="005E78B7" w:rsidRPr="005E78B7" w:rsidRDefault="005E78B7" w:rsidP="005E78B7">
      <w:pPr>
        <w:pStyle w:val="ListParagraph"/>
        <w:numPr>
          <w:ilvl w:val="0"/>
          <w:numId w:val="4"/>
        </w:numPr>
        <w:spacing w:after="260"/>
        <w:rPr>
          <w:rFonts w:ascii="Cambria" w:eastAsia="Cambria" w:hAnsi="Cambria" w:cs="Cambria"/>
          <w:b/>
          <w:bCs/>
          <w:caps/>
          <w:sz w:val="26"/>
          <w:szCs w:val="26"/>
        </w:rPr>
      </w:pPr>
      <w:r>
        <w:rPr>
          <w:rFonts w:ascii="Cambria" w:eastAsia="Cambria" w:hAnsi="Cambria" w:cs="Cambria"/>
          <w:b/>
          <w:bCs/>
          <w:caps/>
          <w:sz w:val="26"/>
          <w:szCs w:val="26"/>
        </w:rPr>
        <w:t>introduction</w:t>
      </w:r>
    </w:p>
    <w:p w14:paraId="45685123" w14:textId="77777777" w:rsidR="005E78B7" w:rsidRDefault="005E78B7" w:rsidP="005E78B7">
      <w:pPr>
        <w:spacing w:after="260"/>
        <w:jc w:val="both"/>
        <w:rPr>
          <w:rFonts w:ascii="Cambria" w:eastAsia="Cambria" w:hAnsi="Cambria" w:cs="Cambria"/>
          <w:sz w:val="22"/>
          <w:szCs w:val="22"/>
        </w:rPr>
      </w:pPr>
      <w:r>
        <w:rPr>
          <w:rFonts w:ascii="Cambria" w:eastAsia="Cambria" w:hAnsi="Cambria" w:cs="Cambria"/>
          <w:sz w:val="22"/>
          <w:szCs w:val="22"/>
        </w:rPr>
        <w:t xml:space="preserve">The increasing deployment of deep neural networks in sensitive domains such as healthcare diagnostics, biometric authentication, and critical infrastructure monitoring such as power transmission and distribution fault diagnosis has led to an increased interest in privacy-preserving machine learning (PPML). Three broad families of technique have emerged: (i) architectural approaches such as split learning and federated learning that limit the raw data that ever leaves a client device; (ii) statistical approaches such as differential privacy that bound the information an adversary can extract from model outputs, gradients or aggregated statistics; and (iii) cryptographic approaches such as homomorphic encryption and secure multi-party computation that allow computation directly over encrypted data. </w:t>
      </w:r>
    </w:p>
    <w:p w14:paraId="496375E9" w14:textId="055DAA2B" w:rsidR="005E78B7" w:rsidRDefault="005E78B7" w:rsidP="005E78B7">
      <w:pPr>
        <w:spacing w:after="260"/>
        <w:jc w:val="both"/>
        <w:rPr>
          <w:rFonts w:ascii="Cambria" w:eastAsia="Cambria" w:hAnsi="Cambria" w:cs="Cambria"/>
          <w:sz w:val="22"/>
          <w:szCs w:val="22"/>
        </w:rPr>
      </w:pPr>
      <w:r>
        <w:rPr>
          <w:rFonts w:ascii="Cambria" w:eastAsia="Cambria" w:hAnsi="Cambria" w:cs="Cambria"/>
          <w:sz w:val="22"/>
          <w:szCs w:val="22"/>
        </w:rPr>
        <w:t xml:space="preserve">Each family, taken in isolation, addresses only part of the threat surface. Split learning alone still sends plaintext intermediate activations that have been shown to allow reconstruction of the original input through model-inversion attacks [1], [6]. Differential privacy by itself protects statistical properties of a dataset, but does nothing to prevent an eavesdropping or honest-but-curious server from directly inspecting transmitted tensors [2], [4]. Homomorphic encryption by itself yields strong computational security but if used on a whole network without an architectural split results in prohibitive latency and does not bound the information leaked through the choice of queries or through side-channel timing behavior [3], [7]. </w:t>
      </w:r>
    </w:p>
    <w:p w14:paraId="088DAB93" w14:textId="77777777" w:rsidR="005E78B7" w:rsidRDefault="005E78B7" w:rsidP="005E78B7">
      <w:pPr>
        <w:spacing w:after="260"/>
        <w:jc w:val="both"/>
        <w:rPr>
          <w:rFonts w:ascii="Cambria" w:eastAsia="Cambria" w:hAnsi="Cambria" w:cs="Cambria"/>
          <w:sz w:val="22"/>
          <w:szCs w:val="22"/>
        </w:rPr>
      </w:pPr>
      <w:r>
        <w:rPr>
          <w:rFonts w:ascii="Cambria" w:eastAsia="Cambria" w:hAnsi="Cambria" w:cs="Cambria"/>
          <w:sz w:val="22"/>
          <w:szCs w:val="22"/>
        </w:rPr>
        <w:lastRenderedPageBreak/>
        <w:t>In this paper, we particularly focus on the sub-problem of tri-layered hybrid privacy architectures: how split learning, differential privacy and CKKS-based fully homomorphic encryption can be synergistically combined so that each layer compensates for the blind spot of the others. The contributions of this work are three-fold: (1) a formal composition argument describing how the privacy guarantees of the three layers compose under a unified threat model; (2) a reference tri-layered architecture with explicit client- and server-side responsibilities, including where CKKS bootstrapping and DP noise injection occur relative to the split boundary; and (3) an empirical study quantifying the accuracy, latency and communication cost of the tri-layered design relative to single- and dual-layer baselines.</w:t>
      </w:r>
    </w:p>
    <w:p w14:paraId="5216B0FF" w14:textId="77777777" w:rsidR="005E78B7" w:rsidRDefault="00000000" w:rsidP="005E78B7">
      <w:pPr>
        <w:spacing w:after="260"/>
        <w:jc w:val="both"/>
        <w:rPr>
          <w:rFonts w:ascii="Cambria" w:eastAsia="Cambria" w:hAnsi="Cambria" w:cs="Cambria"/>
          <w:b/>
          <w:bCs/>
          <w:caps/>
          <w:sz w:val="26"/>
          <w:szCs w:val="26"/>
        </w:rPr>
      </w:pPr>
      <w:r>
        <w:rPr>
          <w:rFonts w:ascii="Cambria" w:eastAsia="Cambria" w:hAnsi="Cambria" w:cs="Cambria"/>
          <w:b/>
          <w:bCs/>
          <w:caps/>
          <w:sz w:val="26"/>
          <w:szCs w:val="26"/>
        </w:rPr>
        <w:t>II. Related Work</w:t>
      </w:r>
    </w:p>
    <w:p w14:paraId="55D6E6BF" w14:textId="04D09CA9" w:rsidR="00AB5DCE" w:rsidRPr="00CC0002" w:rsidRDefault="00000000" w:rsidP="005E78B7">
      <w:pPr>
        <w:spacing w:after="260"/>
        <w:jc w:val="both"/>
        <w:rPr>
          <w:rFonts w:ascii="Cambria" w:eastAsia="Cambria" w:hAnsi="Cambria" w:cs="Cambria"/>
          <w:sz w:val="22"/>
          <w:szCs w:val="22"/>
        </w:rPr>
      </w:pPr>
      <w:r>
        <w:rPr>
          <w:rFonts w:ascii="Cambria" w:eastAsia="Cambria" w:hAnsi="Cambria" w:cs="Cambria"/>
          <w:b/>
          <w:bCs/>
          <w:sz w:val="23"/>
          <w:szCs w:val="23"/>
        </w:rPr>
        <w:t>A. Split Learning</w:t>
      </w:r>
    </w:p>
    <w:p w14:paraId="4DAEE151" w14:textId="4424B7A1" w:rsidR="00D97110" w:rsidRDefault="005E78B7" w:rsidP="005E78B7">
      <w:pPr>
        <w:spacing w:before="100" w:after="260"/>
        <w:jc w:val="both"/>
        <w:rPr>
          <w:rFonts w:ascii="Cambria" w:eastAsia="Cambria" w:hAnsi="Cambria" w:cs="Cambria"/>
          <w:sz w:val="22"/>
          <w:szCs w:val="22"/>
        </w:rPr>
      </w:pPr>
      <w:r>
        <w:rPr>
          <w:rFonts w:ascii="Cambria" w:eastAsia="Cambria" w:hAnsi="Cambria" w:cs="Cambria"/>
          <w:sz w:val="22"/>
          <w:szCs w:val="22"/>
        </w:rPr>
        <w:t>Split learning splits a neural network at a certain layer, where the client performs the first few layers of the network and sends the resulting activation tensor to a server which performs the forward pass, computes the loss, and sends back the gradients for the client-side layers [1]. This decreases computation on the device but has been shown to leak a significant amount of information about the raw input through the smashed data, especially for shallow split points [6]</w:t>
      </w:r>
      <w:r w:rsidR="00D97110">
        <w:rPr>
          <w:rFonts w:ascii="Cambria" w:eastAsia="Cambria" w:hAnsi="Cambria" w:cs="Cambria"/>
          <w:sz w:val="22"/>
          <w:szCs w:val="22"/>
        </w:rPr>
        <w:t>.</w:t>
      </w:r>
    </w:p>
    <w:p w14:paraId="4B4FC810" w14:textId="21BD1908" w:rsidR="005E78B7" w:rsidRPr="005E78B7" w:rsidRDefault="005E78B7" w:rsidP="005E78B7">
      <w:pPr>
        <w:spacing w:before="100" w:after="260"/>
        <w:jc w:val="both"/>
        <w:rPr>
          <w:rFonts w:ascii="Cambria" w:eastAsia="Cambria" w:hAnsi="Cambria" w:cs="Cambria"/>
          <w:b/>
          <w:bCs/>
          <w:sz w:val="22"/>
          <w:szCs w:val="22"/>
        </w:rPr>
      </w:pPr>
      <w:r>
        <w:rPr>
          <w:rFonts w:ascii="Cambria" w:eastAsia="Cambria" w:hAnsi="Cambria" w:cs="Cambria"/>
          <w:b/>
          <w:bCs/>
          <w:sz w:val="22"/>
          <w:szCs w:val="22"/>
        </w:rPr>
        <w:t>B. Differential Privacy for Deep Learning</w:t>
      </w:r>
    </w:p>
    <w:p w14:paraId="300F3AA3" w14:textId="30494B62" w:rsidR="009028FF" w:rsidRDefault="005E78B7" w:rsidP="005E78B7">
      <w:pPr>
        <w:spacing w:before="100" w:after="260"/>
        <w:jc w:val="both"/>
        <w:rPr>
          <w:rFonts w:ascii="Cambria" w:eastAsia="Cambria" w:hAnsi="Cambria" w:cs="Cambria"/>
          <w:sz w:val="22"/>
          <w:szCs w:val="22"/>
        </w:rPr>
      </w:pPr>
      <w:r>
        <w:rPr>
          <w:rFonts w:ascii="Cambria" w:eastAsia="Cambria" w:hAnsi="Cambria" w:cs="Cambria"/>
          <w:sz w:val="22"/>
          <w:szCs w:val="22"/>
        </w:rPr>
        <w:t>Differentially private stochastic gradient descent (DP-SGD) applies calibrated Gaussian noise with multiplier “</w:t>
      </w:r>
      <w:r>
        <w:rPr>
          <w:rFonts w:ascii="Cambria" w:eastAsia="Cambria" w:hAnsi="Cambria" w:cs="Cambria"/>
          <w:color w:val="111111"/>
          <w:sz w:val="18"/>
          <w:szCs w:val="18"/>
        </w:rPr>
        <w:t>σ</w:t>
      </w:r>
      <w:r>
        <w:rPr>
          <w:rFonts w:ascii="Cambria" w:eastAsia="Cambria" w:hAnsi="Cambria" w:cs="Cambria"/>
          <w:sz w:val="22"/>
          <w:szCs w:val="22"/>
        </w:rPr>
        <w:t xml:space="preserve">” to per-example gradients that are clipped to a bound “C” before the update step, providing a "(ε, δ)" DP guarantee via the </w:t>
      </w:r>
      <w:proofErr w:type="gramStart"/>
      <w:r>
        <w:rPr>
          <w:rFonts w:ascii="Cambria" w:eastAsia="Cambria" w:hAnsi="Cambria" w:cs="Cambria"/>
          <w:sz w:val="22"/>
          <w:szCs w:val="22"/>
        </w:rPr>
        <w:t>moments</w:t>
      </w:r>
      <w:proofErr w:type="gramEnd"/>
      <w:r>
        <w:rPr>
          <w:rFonts w:ascii="Cambria" w:eastAsia="Cambria" w:hAnsi="Cambria" w:cs="Cambria"/>
          <w:sz w:val="22"/>
          <w:szCs w:val="22"/>
        </w:rPr>
        <w:t xml:space="preserve"> accountant [4] or R'enyi DP composition [9]. DP gives a rigorous, information-theoretic bound [2] on the contribution of any single training example to the final model, but the guarantee applies to the overall training procedure, not individual transmitted tensors</w:t>
      </w:r>
      <w:r w:rsidR="009028FF">
        <w:rPr>
          <w:rFonts w:ascii="Cambria" w:eastAsia="Cambria" w:hAnsi="Cambria" w:cs="Cambria"/>
          <w:sz w:val="22"/>
          <w:szCs w:val="22"/>
        </w:rPr>
        <w:t>.</w:t>
      </w:r>
    </w:p>
    <w:p w14:paraId="0FDEC077" w14:textId="6F8A48EE" w:rsidR="005E78B7" w:rsidRDefault="005E78B7" w:rsidP="005E78B7">
      <w:pPr>
        <w:spacing w:before="100" w:after="260"/>
        <w:jc w:val="both"/>
        <w:rPr>
          <w:rFonts w:ascii="Cambria" w:eastAsia="Cambria" w:hAnsi="Cambria" w:cs="Cambria"/>
          <w:b/>
          <w:bCs/>
          <w:sz w:val="22"/>
          <w:szCs w:val="22"/>
        </w:rPr>
      </w:pPr>
      <w:r>
        <w:rPr>
          <w:rFonts w:ascii="Cambria" w:eastAsia="Cambria" w:hAnsi="Cambria" w:cs="Cambria"/>
          <w:b/>
          <w:bCs/>
          <w:sz w:val="22"/>
          <w:szCs w:val="22"/>
        </w:rPr>
        <w:t>C. Fully Homomorphic Encryption in CKKS</w:t>
      </w:r>
    </w:p>
    <w:p w14:paraId="3C28C5B5" w14:textId="77777777" w:rsidR="00193FAA" w:rsidRDefault="005E78B7" w:rsidP="005E78B7">
      <w:pPr>
        <w:spacing w:before="100" w:after="260"/>
        <w:jc w:val="both"/>
        <w:rPr>
          <w:rFonts w:ascii="Cambria" w:eastAsia="Cambria" w:hAnsi="Cambria" w:cs="Cambria"/>
          <w:sz w:val="22"/>
          <w:szCs w:val="22"/>
        </w:rPr>
      </w:pPr>
      <w:r>
        <w:rPr>
          <w:rFonts w:ascii="Cambria" w:eastAsia="Cambria" w:hAnsi="Cambria" w:cs="Cambria"/>
          <w:sz w:val="22"/>
          <w:szCs w:val="22"/>
        </w:rPr>
        <w:t>The CKKS scheme supports approximate arithmetic over encrypted real or complex vectors, making it particularly well-suited for neural network inference where exact precision is not needed [3]. The CKKS scheme consists of encoding a vector into a plaintext polynomial, encrypting it under a public key, performing homomorphic addition and multiplication over ciphertexts, periodic rescaling to control noise growth, and bootstrapping to refresh the ciphertext when the multiplicative depth of the target circuit exceeds the budget. Nonlinear activation functions such as ReLU are not supported natively and are usually replaced with low-degree polynomial approximations</w:t>
      </w:r>
      <w:r w:rsidR="00193FAA">
        <w:rPr>
          <w:rFonts w:ascii="Cambria" w:eastAsia="Cambria" w:hAnsi="Cambria" w:cs="Cambria"/>
          <w:sz w:val="22"/>
          <w:szCs w:val="22"/>
        </w:rPr>
        <w:t>.</w:t>
      </w:r>
    </w:p>
    <w:p w14:paraId="43B5CF61" w14:textId="77777777" w:rsidR="005E78B7" w:rsidRDefault="005E78B7" w:rsidP="005E78B7">
      <w:pPr>
        <w:spacing w:before="100" w:after="260"/>
        <w:jc w:val="both"/>
        <w:rPr>
          <w:rFonts w:ascii="Cambria" w:eastAsia="Cambria" w:hAnsi="Cambria" w:cs="Cambria"/>
          <w:b/>
          <w:bCs/>
          <w:sz w:val="22"/>
          <w:szCs w:val="22"/>
        </w:rPr>
      </w:pPr>
      <w:r>
        <w:rPr>
          <w:rFonts w:ascii="Cambria" w:eastAsia="Cambria" w:hAnsi="Cambria" w:cs="Cambria"/>
          <w:b/>
          <w:bCs/>
          <w:sz w:val="22"/>
          <w:szCs w:val="22"/>
        </w:rPr>
        <w:t>D. Current Hybrid Combinations</w:t>
      </w:r>
    </w:p>
    <w:p w14:paraId="39584521" w14:textId="39436D2F" w:rsidR="005E78B7" w:rsidRPr="00193FAA" w:rsidRDefault="005E78B7" w:rsidP="00193FAA">
      <w:pPr>
        <w:spacing w:before="100" w:after="260"/>
        <w:jc w:val="both"/>
        <w:rPr>
          <w:rFonts w:ascii="Cambria" w:eastAsia="Cambria" w:hAnsi="Cambria" w:cs="Cambria"/>
          <w:b/>
          <w:bCs/>
          <w:sz w:val="22"/>
          <w:szCs w:val="22"/>
        </w:rPr>
      </w:pPr>
      <w:r>
        <w:rPr>
          <w:rFonts w:ascii="Cambria" w:eastAsia="Cambria" w:hAnsi="Cambria" w:cs="Cambria"/>
          <w:sz w:val="22"/>
          <w:szCs w:val="22"/>
        </w:rPr>
        <w:t>There have been several previous attempts to combine two out of the three layers, e.g. split learning with DP, or federated averaging with homomorphic aggregation. Table I gives a summary of representative approaches [1], [4], [7], [8]. Relatively few works combine all three layers and explicitly account for how the layers compose. This is the gap this paper addresses.</w:t>
      </w:r>
    </w:p>
    <w:tbl>
      <w:tblPr>
        <w:tblpPr w:leftFromText="180" w:rightFromText="180" w:vertAnchor="text" w:horzAnchor="margin" w:tblpY="366"/>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900"/>
        <w:gridCol w:w="1900"/>
        <w:gridCol w:w="1700"/>
        <w:gridCol w:w="2000"/>
      </w:tblGrid>
      <w:tr w:rsidR="005E78B7" w14:paraId="29E5A18C" w14:textId="77777777" w:rsidTr="005E78B7">
        <w:trPr>
          <w:tblHeader/>
        </w:trPr>
        <w:tc>
          <w:tcPr>
            <w:tcW w:w="1500" w:type="dxa"/>
            <w:shd w:val="clear" w:color="auto" w:fill="1F3864"/>
            <w:tcMar>
              <w:top w:w="60" w:type="dxa"/>
              <w:left w:w="100" w:type="dxa"/>
              <w:bottom w:w="60" w:type="dxa"/>
              <w:right w:w="100" w:type="dxa"/>
            </w:tcMar>
            <w:vAlign w:val="center"/>
          </w:tcPr>
          <w:p w14:paraId="2ADC74A5" w14:textId="77777777" w:rsidR="005E78B7" w:rsidRDefault="005E78B7" w:rsidP="005E78B7">
            <w:pPr>
              <w:jc w:val="center"/>
            </w:pPr>
            <w:r>
              <w:rPr>
                <w:rFonts w:ascii="Cambria" w:eastAsia="Cambria" w:hAnsi="Cambria" w:cs="Cambria"/>
                <w:b/>
                <w:bCs/>
                <w:color w:val="FFFFFF"/>
                <w:sz w:val="18"/>
                <w:szCs w:val="18"/>
              </w:rPr>
              <w:lastRenderedPageBreak/>
              <w:t>Scheme</w:t>
            </w:r>
          </w:p>
        </w:tc>
        <w:tc>
          <w:tcPr>
            <w:tcW w:w="1900" w:type="dxa"/>
            <w:shd w:val="clear" w:color="auto" w:fill="1F3864"/>
            <w:tcMar>
              <w:top w:w="60" w:type="dxa"/>
              <w:left w:w="100" w:type="dxa"/>
              <w:bottom w:w="60" w:type="dxa"/>
              <w:right w:w="100" w:type="dxa"/>
            </w:tcMar>
            <w:vAlign w:val="center"/>
          </w:tcPr>
          <w:p w14:paraId="6673B588" w14:textId="77777777" w:rsidR="005E78B7" w:rsidRDefault="005E78B7" w:rsidP="005E78B7">
            <w:pPr>
              <w:jc w:val="center"/>
            </w:pPr>
            <w:r>
              <w:rPr>
                <w:rFonts w:ascii="Cambria" w:eastAsia="Cambria" w:hAnsi="Cambria" w:cs="Cambria"/>
                <w:b/>
                <w:bCs/>
                <w:color w:val="FFFFFF"/>
                <w:sz w:val="18"/>
                <w:szCs w:val="18"/>
              </w:rPr>
              <w:t>Layers Combined</w:t>
            </w:r>
          </w:p>
        </w:tc>
        <w:tc>
          <w:tcPr>
            <w:tcW w:w="1900" w:type="dxa"/>
            <w:shd w:val="clear" w:color="auto" w:fill="1F3864"/>
            <w:tcMar>
              <w:top w:w="60" w:type="dxa"/>
              <w:left w:w="100" w:type="dxa"/>
              <w:bottom w:w="60" w:type="dxa"/>
              <w:right w:w="100" w:type="dxa"/>
            </w:tcMar>
            <w:vAlign w:val="center"/>
          </w:tcPr>
          <w:p w14:paraId="00080936" w14:textId="77777777" w:rsidR="005E78B7" w:rsidRDefault="005E78B7" w:rsidP="005E78B7">
            <w:pPr>
              <w:jc w:val="center"/>
            </w:pPr>
            <w:r>
              <w:rPr>
                <w:rFonts w:ascii="Cambria" w:eastAsia="Cambria" w:hAnsi="Cambria" w:cs="Cambria"/>
                <w:b/>
                <w:bCs/>
                <w:color w:val="FFFFFF"/>
                <w:sz w:val="18"/>
                <w:szCs w:val="18"/>
              </w:rPr>
              <w:t>Privacy Guarantee</w:t>
            </w:r>
          </w:p>
        </w:tc>
        <w:tc>
          <w:tcPr>
            <w:tcW w:w="1700" w:type="dxa"/>
            <w:shd w:val="clear" w:color="auto" w:fill="1F3864"/>
            <w:tcMar>
              <w:top w:w="60" w:type="dxa"/>
              <w:left w:w="100" w:type="dxa"/>
              <w:bottom w:w="60" w:type="dxa"/>
              <w:right w:w="100" w:type="dxa"/>
            </w:tcMar>
            <w:vAlign w:val="center"/>
          </w:tcPr>
          <w:p w14:paraId="4F56182F" w14:textId="77777777" w:rsidR="005E78B7" w:rsidRDefault="005E78B7" w:rsidP="005E78B7">
            <w:pPr>
              <w:jc w:val="center"/>
            </w:pPr>
            <w:r>
              <w:rPr>
                <w:rFonts w:ascii="Cambria" w:eastAsia="Cambria" w:hAnsi="Cambria" w:cs="Cambria"/>
                <w:b/>
                <w:bCs/>
                <w:color w:val="FFFFFF"/>
                <w:sz w:val="18"/>
                <w:szCs w:val="18"/>
              </w:rPr>
              <w:t>Reported Overhead</w:t>
            </w:r>
          </w:p>
        </w:tc>
        <w:tc>
          <w:tcPr>
            <w:tcW w:w="2000" w:type="dxa"/>
            <w:shd w:val="clear" w:color="auto" w:fill="1F3864"/>
            <w:tcMar>
              <w:top w:w="60" w:type="dxa"/>
              <w:left w:w="100" w:type="dxa"/>
              <w:bottom w:w="60" w:type="dxa"/>
              <w:right w:w="100" w:type="dxa"/>
            </w:tcMar>
            <w:vAlign w:val="center"/>
          </w:tcPr>
          <w:p w14:paraId="34EAAC6D" w14:textId="77777777" w:rsidR="005E78B7" w:rsidRDefault="005E78B7" w:rsidP="005E78B7">
            <w:pPr>
              <w:jc w:val="center"/>
            </w:pPr>
            <w:r>
              <w:rPr>
                <w:rFonts w:ascii="Cambria" w:eastAsia="Cambria" w:hAnsi="Cambria" w:cs="Cambria"/>
                <w:b/>
                <w:bCs/>
                <w:color w:val="FFFFFF"/>
                <w:sz w:val="18"/>
                <w:szCs w:val="18"/>
              </w:rPr>
              <w:t>Primary Limitation</w:t>
            </w:r>
          </w:p>
        </w:tc>
      </w:tr>
      <w:tr w:rsidR="005E78B7" w14:paraId="390B91BE" w14:textId="77777777" w:rsidTr="005E78B7">
        <w:tc>
          <w:tcPr>
            <w:tcW w:w="1500" w:type="dxa"/>
            <w:tcMar>
              <w:top w:w="60" w:type="dxa"/>
              <w:left w:w="100" w:type="dxa"/>
              <w:bottom w:w="60" w:type="dxa"/>
              <w:right w:w="100" w:type="dxa"/>
            </w:tcMar>
            <w:vAlign w:val="center"/>
          </w:tcPr>
          <w:p w14:paraId="69734A6E" w14:textId="77777777" w:rsidR="005E78B7" w:rsidRDefault="005E78B7" w:rsidP="005E78B7">
            <w:r>
              <w:rPr>
                <w:rFonts w:ascii="Cambria" w:eastAsia="Cambria" w:hAnsi="Cambria" w:cs="Cambria"/>
                <w:color w:val="111111"/>
                <w:sz w:val="18"/>
                <w:szCs w:val="18"/>
              </w:rPr>
              <w:t>SplitFed-DP</w:t>
            </w:r>
          </w:p>
        </w:tc>
        <w:tc>
          <w:tcPr>
            <w:tcW w:w="1900" w:type="dxa"/>
            <w:tcMar>
              <w:top w:w="60" w:type="dxa"/>
              <w:left w:w="100" w:type="dxa"/>
              <w:bottom w:w="60" w:type="dxa"/>
              <w:right w:w="100" w:type="dxa"/>
            </w:tcMar>
            <w:vAlign w:val="center"/>
          </w:tcPr>
          <w:p w14:paraId="06FB3E3F" w14:textId="77777777" w:rsidR="005E78B7" w:rsidRDefault="005E78B7" w:rsidP="005E78B7">
            <w:pPr>
              <w:jc w:val="center"/>
            </w:pPr>
            <w:r>
              <w:rPr>
                <w:rFonts w:ascii="Cambria" w:eastAsia="Cambria" w:hAnsi="Cambria" w:cs="Cambria"/>
                <w:color w:val="111111"/>
                <w:sz w:val="18"/>
                <w:szCs w:val="18"/>
              </w:rPr>
              <w:t>Split + DP</w:t>
            </w:r>
          </w:p>
        </w:tc>
        <w:tc>
          <w:tcPr>
            <w:tcW w:w="1900" w:type="dxa"/>
            <w:tcMar>
              <w:top w:w="60" w:type="dxa"/>
              <w:left w:w="100" w:type="dxa"/>
              <w:bottom w:w="60" w:type="dxa"/>
              <w:right w:w="100" w:type="dxa"/>
            </w:tcMar>
            <w:vAlign w:val="center"/>
          </w:tcPr>
          <w:p w14:paraId="6F8FBA05" w14:textId="77777777" w:rsidR="005E78B7" w:rsidRDefault="005E78B7" w:rsidP="005E78B7">
            <w:pPr>
              <w:jc w:val="center"/>
            </w:pPr>
            <w:r>
              <w:rPr>
                <w:rFonts w:ascii="Cambria" w:eastAsia="Cambria" w:hAnsi="Cambria" w:cs="Cambria"/>
                <w:color w:val="111111"/>
                <w:sz w:val="18"/>
                <w:szCs w:val="18"/>
              </w:rPr>
              <w:t>(</w:t>
            </w:r>
            <w:proofErr w:type="gramStart"/>
            <w:r>
              <w:rPr>
                <w:rFonts w:ascii="Cambria" w:eastAsia="Cambria" w:hAnsi="Cambria" w:cs="Cambria"/>
                <w:color w:val="111111"/>
                <w:sz w:val="18"/>
                <w:szCs w:val="18"/>
              </w:rPr>
              <w:t>ε,δ</w:t>
            </w:r>
            <w:proofErr w:type="gramEnd"/>
            <w:r>
              <w:rPr>
                <w:rFonts w:ascii="Cambria" w:eastAsia="Cambria" w:hAnsi="Cambria" w:cs="Cambria"/>
                <w:color w:val="111111"/>
                <w:sz w:val="18"/>
                <w:szCs w:val="18"/>
              </w:rPr>
              <w:t>)-DP only</w:t>
            </w:r>
          </w:p>
        </w:tc>
        <w:tc>
          <w:tcPr>
            <w:tcW w:w="1700" w:type="dxa"/>
            <w:tcMar>
              <w:top w:w="60" w:type="dxa"/>
              <w:left w:w="100" w:type="dxa"/>
              <w:bottom w:w="60" w:type="dxa"/>
              <w:right w:w="100" w:type="dxa"/>
            </w:tcMar>
            <w:vAlign w:val="center"/>
          </w:tcPr>
          <w:p w14:paraId="77E0486D" w14:textId="77777777" w:rsidR="005E78B7" w:rsidRDefault="005E78B7" w:rsidP="005E78B7">
            <w:pPr>
              <w:jc w:val="center"/>
            </w:pPr>
            <w:r>
              <w:rPr>
                <w:rFonts w:ascii="Cambria" w:eastAsia="Cambria" w:hAnsi="Cambria" w:cs="Cambria"/>
                <w:color w:val="111111"/>
                <w:sz w:val="18"/>
                <w:szCs w:val="18"/>
              </w:rPr>
              <w:t>Low (~1.1×)</w:t>
            </w:r>
          </w:p>
        </w:tc>
        <w:tc>
          <w:tcPr>
            <w:tcW w:w="2000" w:type="dxa"/>
            <w:tcMar>
              <w:top w:w="60" w:type="dxa"/>
              <w:left w:w="100" w:type="dxa"/>
              <w:bottom w:w="60" w:type="dxa"/>
              <w:right w:w="100" w:type="dxa"/>
            </w:tcMar>
            <w:vAlign w:val="center"/>
          </w:tcPr>
          <w:p w14:paraId="72476C1D" w14:textId="77777777" w:rsidR="005E78B7" w:rsidRDefault="005E78B7" w:rsidP="005E78B7">
            <w:pPr>
              <w:jc w:val="center"/>
            </w:pPr>
            <w:r>
              <w:rPr>
                <w:rFonts w:ascii="Cambria" w:eastAsia="Cambria" w:hAnsi="Cambria" w:cs="Cambria"/>
                <w:color w:val="111111"/>
                <w:sz w:val="18"/>
                <w:szCs w:val="18"/>
              </w:rPr>
              <w:t>No protection against curious server on ciphertext-free activations</w:t>
            </w:r>
          </w:p>
        </w:tc>
      </w:tr>
      <w:tr w:rsidR="005E78B7" w14:paraId="16275B6F" w14:textId="77777777" w:rsidTr="005E78B7">
        <w:tc>
          <w:tcPr>
            <w:tcW w:w="1500" w:type="dxa"/>
            <w:shd w:val="clear" w:color="auto" w:fill="F2F2F2"/>
            <w:tcMar>
              <w:top w:w="60" w:type="dxa"/>
              <w:left w:w="100" w:type="dxa"/>
              <w:bottom w:w="60" w:type="dxa"/>
              <w:right w:w="100" w:type="dxa"/>
            </w:tcMar>
            <w:vAlign w:val="center"/>
          </w:tcPr>
          <w:p w14:paraId="0BE2ED95" w14:textId="77777777" w:rsidR="005E78B7" w:rsidRDefault="005E78B7" w:rsidP="005E78B7">
            <w:r>
              <w:rPr>
                <w:rFonts w:ascii="Cambria" w:eastAsia="Cambria" w:hAnsi="Cambria" w:cs="Cambria"/>
                <w:color w:val="111111"/>
                <w:sz w:val="18"/>
                <w:szCs w:val="18"/>
              </w:rPr>
              <w:t>CryptoNets-style</w:t>
            </w:r>
          </w:p>
        </w:tc>
        <w:tc>
          <w:tcPr>
            <w:tcW w:w="1900" w:type="dxa"/>
            <w:shd w:val="clear" w:color="auto" w:fill="F2F2F2"/>
            <w:tcMar>
              <w:top w:w="60" w:type="dxa"/>
              <w:left w:w="100" w:type="dxa"/>
              <w:bottom w:w="60" w:type="dxa"/>
              <w:right w:w="100" w:type="dxa"/>
            </w:tcMar>
            <w:vAlign w:val="center"/>
          </w:tcPr>
          <w:p w14:paraId="1BC13284" w14:textId="77777777" w:rsidR="005E78B7" w:rsidRDefault="005E78B7" w:rsidP="005E78B7">
            <w:pPr>
              <w:jc w:val="center"/>
            </w:pPr>
            <w:r>
              <w:rPr>
                <w:rFonts w:ascii="Cambria" w:eastAsia="Cambria" w:hAnsi="Cambria" w:cs="Cambria"/>
                <w:color w:val="111111"/>
                <w:sz w:val="18"/>
                <w:szCs w:val="18"/>
              </w:rPr>
              <w:t>CKKS only</w:t>
            </w:r>
          </w:p>
        </w:tc>
        <w:tc>
          <w:tcPr>
            <w:tcW w:w="1900" w:type="dxa"/>
            <w:shd w:val="clear" w:color="auto" w:fill="F2F2F2"/>
            <w:tcMar>
              <w:top w:w="60" w:type="dxa"/>
              <w:left w:w="100" w:type="dxa"/>
              <w:bottom w:w="60" w:type="dxa"/>
              <w:right w:w="100" w:type="dxa"/>
            </w:tcMar>
            <w:vAlign w:val="center"/>
          </w:tcPr>
          <w:p w14:paraId="5DBBAD12" w14:textId="77777777" w:rsidR="005E78B7" w:rsidRDefault="005E78B7" w:rsidP="005E78B7">
            <w:pPr>
              <w:jc w:val="center"/>
            </w:pPr>
            <w:r>
              <w:rPr>
                <w:rFonts w:ascii="Cambria" w:eastAsia="Cambria" w:hAnsi="Cambria" w:cs="Cambria"/>
                <w:color w:val="111111"/>
                <w:sz w:val="18"/>
                <w:szCs w:val="18"/>
              </w:rPr>
              <w:t>IND-CPA computational</w:t>
            </w:r>
          </w:p>
        </w:tc>
        <w:tc>
          <w:tcPr>
            <w:tcW w:w="1700" w:type="dxa"/>
            <w:shd w:val="clear" w:color="auto" w:fill="F2F2F2"/>
            <w:tcMar>
              <w:top w:w="60" w:type="dxa"/>
              <w:left w:w="100" w:type="dxa"/>
              <w:bottom w:w="60" w:type="dxa"/>
              <w:right w:w="100" w:type="dxa"/>
            </w:tcMar>
            <w:vAlign w:val="center"/>
          </w:tcPr>
          <w:p w14:paraId="03EB7172" w14:textId="77777777" w:rsidR="005E78B7" w:rsidRDefault="005E78B7" w:rsidP="005E78B7">
            <w:pPr>
              <w:jc w:val="center"/>
            </w:pPr>
            <w:r>
              <w:rPr>
                <w:rFonts w:ascii="Cambria" w:eastAsia="Cambria" w:hAnsi="Cambria" w:cs="Cambria"/>
                <w:color w:val="111111"/>
                <w:sz w:val="18"/>
                <w:szCs w:val="18"/>
              </w:rPr>
              <w:t>Very High (~50–100×)</w:t>
            </w:r>
          </w:p>
        </w:tc>
        <w:tc>
          <w:tcPr>
            <w:tcW w:w="2000" w:type="dxa"/>
            <w:shd w:val="clear" w:color="auto" w:fill="F2F2F2"/>
            <w:tcMar>
              <w:top w:w="60" w:type="dxa"/>
              <w:left w:w="100" w:type="dxa"/>
              <w:bottom w:w="60" w:type="dxa"/>
              <w:right w:w="100" w:type="dxa"/>
            </w:tcMar>
            <w:vAlign w:val="center"/>
          </w:tcPr>
          <w:p w14:paraId="7A6BD716" w14:textId="77777777" w:rsidR="005E78B7" w:rsidRDefault="005E78B7" w:rsidP="005E78B7">
            <w:pPr>
              <w:jc w:val="center"/>
            </w:pPr>
            <w:r>
              <w:rPr>
                <w:rFonts w:ascii="Cambria" w:eastAsia="Cambria" w:hAnsi="Cambria" w:cs="Cambria"/>
                <w:color w:val="111111"/>
                <w:sz w:val="18"/>
                <w:szCs w:val="18"/>
              </w:rPr>
              <w:t>No formal statistical privacy; full-network HE impractical</w:t>
            </w:r>
          </w:p>
        </w:tc>
      </w:tr>
      <w:tr w:rsidR="005E78B7" w14:paraId="6A2A0A18" w14:textId="77777777" w:rsidTr="005E78B7">
        <w:tc>
          <w:tcPr>
            <w:tcW w:w="1500" w:type="dxa"/>
            <w:tcMar>
              <w:top w:w="60" w:type="dxa"/>
              <w:left w:w="100" w:type="dxa"/>
              <w:bottom w:w="60" w:type="dxa"/>
              <w:right w:w="100" w:type="dxa"/>
            </w:tcMar>
            <w:vAlign w:val="center"/>
          </w:tcPr>
          <w:p w14:paraId="7EEB6F49" w14:textId="77777777" w:rsidR="005E78B7" w:rsidRDefault="005E78B7" w:rsidP="005E78B7">
            <w:r>
              <w:rPr>
                <w:rFonts w:ascii="Cambria" w:eastAsia="Cambria" w:hAnsi="Cambria" w:cs="Cambria"/>
                <w:color w:val="111111"/>
                <w:sz w:val="18"/>
                <w:szCs w:val="18"/>
              </w:rPr>
              <w:t>FL + HE (aggregation)</w:t>
            </w:r>
          </w:p>
        </w:tc>
        <w:tc>
          <w:tcPr>
            <w:tcW w:w="1900" w:type="dxa"/>
            <w:tcMar>
              <w:top w:w="60" w:type="dxa"/>
              <w:left w:w="100" w:type="dxa"/>
              <w:bottom w:w="60" w:type="dxa"/>
              <w:right w:w="100" w:type="dxa"/>
            </w:tcMar>
            <w:vAlign w:val="center"/>
          </w:tcPr>
          <w:p w14:paraId="29194C0A" w14:textId="77777777" w:rsidR="005E78B7" w:rsidRDefault="005E78B7" w:rsidP="005E78B7">
            <w:pPr>
              <w:jc w:val="center"/>
            </w:pPr>
            <w:r>
              <w:rPr>
                <w:rFonts w:ascii="Cambria" w:eastAsia="Cambria" w:hAnsi="Cambria" w:cs="Cambria"/>
                <w:color w:val="111111"/>
                <w:sz w:val="18"/>
                <w:szCs w:val="18"/>
              </w:rPr>
              <w:t>FedAvg + Paillier/CKKS</w:t>
            </w:r>
          </w:p>
        </w:tc>
        <w:tc>
          <w:tcPr>
            <w:tcW w:w="1900" w:type="dxa"/>
            <w:tcMar>
              <w:top w:w="60" w:type="dxa"/>
              <w:left w:w="100" w:type="dxa"/>
              <w:bottom w:w="60" w:type="dxa"/>
              <w:right w:w="100" w:type="dxa"/>
            </w:tcMar>
            <w:vAlign w:val="center"/>
          </w:tcPr>
          <w:p w14:paraId="4A86F3AC" w14:textId="77777777" w:rsidR="005E78B7" w:rsidRDefault="005E78B7" w:rsidP="005E78B7">
            <w:pPr>
              <w:jc w:val="center"/>
            </w:pPr>
            <w:r>
              <w:rPr>
                <w:rFonts w:ascii="Cambria" w:eastAsia="Cambria" w:hAnsi="Cambria" w:cs="Cambria"/>
                <w:color w:val="111111"/>
                <w:sz w:val="18"/>
                <w:szCs w:val="18"/>
              </w:rPr>
              <w:t>Computational, model-level</w:t>
            </w:r>
          </w:p>
        </w:tc>
        <w:tc>
          <w:tcPr>
            <w:tcW w:w="1700" w:type="dxa"/>
            <w:tcMar>
              <w:top w:w="60" w:type="dxa"/>
              <w:left w:w="100" w:type="dxa"/>
              <w:bottom w:w="60" w:type="dxa"/>
              <w:right w:w="100" w:type="dxa"/>
            </w:tcMar>
            <w:vAlign w:val="center"/>
          </w:tcPr>
          <w:p w14:paraId="363EF7BC" w14:textId="77777777" w:rsidR="005E78B7" w:rsidRDefault="005E78B7" w:rsidP="005E78B7">
            <w:pPr>
              <w:jc w:val="center"/>
            </w:pPr>
            <w:r>
              <w:rPr>
                <w:rFonts w:ascii="Cambria" w:eastAsia="Cambria" w:hAnsi="Cambria" w:cs="Cambria"/>
                <w:color w:val="111111"/>
                <w:sz w:val="18"/>
                <w:szCs w:val="18"/>
              </w:rPr>
              <w:t>Moderate (~5–10×)</w:t>
            </w:r>
          </w:p>
        </w:tc>
        <w:tc>
          <w:tcPr>
            <w:tcW w:w="2000" w:type="dxa"/>
            <w:tcMar>
              <w:top w:w="60" w:type="dxa"/>
              <w:left w:w="100" w:type="dxa"/>
              <w:bottom w:w="60" w:type="dxa"/>
              <w:right w:w="100" w:type="dxa"/>
            </w:tcMar>
            <w:vAlign w:val="center"/>
          </w:tcPr>
          <w:p w14:paraId="28B2B081" w14:textId="77777777" w:rsidR="005E78B7" w:rsidRDefault="005E78B7" w:rsidP="005E78B7">
            <w:pPr>
              <w:jc w:val="center"/>
            </w:pPr>
            <w:r>
              <w:rPr>
                <w:rFonts w:ascii="Cambria" w:eastAsia="Cambria" w:hAnsi="Cambria" w:cs="Cambria"/>
                <w:color w:val="111111"/>
                <w:sz w:val="18"/>
                <w:szCs w:val="18"/>
              </w:rPr>
              <w:t>Protects aggregation only, not per-sample activations</w:t>
            </w:r>
          </w:p>
        </w:tc>
      </w:tr>
      <w:tr w:rsidR="005E78B7" w14:paraId="6F1BDD58" w14:textId="77777777" w:rsidTr="005E78B7">
        <w:tc>
          <w:tcPr>
            <w:tcW w:w="1500" w:type="dxa"/>
            <w:shd w:val="clear" w:color="auto" w:fill="F2F2F2"/>
            <w:tcMar>
              <w:top w:w="60" w:type="dxa"/>
              <w:left w:w="100" w:type="dxa"/>
              <w:bottom w:w="60" w:type="dxa"/>
              <w:right w:w="100" w:type="dxa"/>
            </w:tcMar>
            <w:vAlign w:val="center"/>
          </w:tcPr>
          <w:p w14:paraId="69D234A0" w14:textId="77777777" w:rsidR="005E78B7" w:rsidRDefault="005E78B7" w:rsidP="005E78B7">
            <w:r>
              <w:rPr>
                <w:rFonts w:ascii="Cambria" w:eastAsia="Cambria" w:hAnsi="Cambria" w:cs="Cambria"/>
                <w:color w:val="111111"/>
                <w:sz w:val="18"/>
                <w:szCs w:val="18"/>
              </w:rPr>
              <w:t>DP-FHE hybrid (generic)</w:t>
            </w:r>
          </w:p>
        </w:tc>
        <w:tc>
          <w:tcPr>
            <w:tcW w:w="1900" w:type="dxa"/>
            <w:shd w:val="clear" w:color="auto" w:fill="F2F2F2"/>
            <w:tcMar>
              <w:top w:w="60" w:type="dxa"/>
              <w:left w:w="100" w:type="dxa"/>
              <w:bottom w:w="60" w:type="dxa"/>
              <w:right w:w="100" w:type="dxa"/>
            </w:tcMar>
            <w:vAlign w:val="center"/>
          </w:tcPr>
          <w:p w14:paraId="4039CC45" w14:textId="77777777" w:rsidR="005E78B7" w:rsidRDefault="005E78B7" w:rsidP="005E78B7">
            <w:pPr>
              <w:jc w:val="center"/>
            </w:pPr>
            <w:r>
              <w:rPr>
                <w:rFonts w:ascii="Cambria" w:eastAsia="Cambria" w:hAnsi="Cambria" w:cs="Cambria"/>
                <w:color w:val="111111"/>
                <w:sz w:val="18"/>
                <w:szCs w:val="18"/>
              </w:rPr>
              <w:t>DP + HE</w:t>
            </w:r>
          </w:p>
        </w:tc>
        <w:tc>
          <w:tcPr>
            <w:tcW w:w="1900" w:type="dxa"/>
            <w:shd w:val="clear" w:color="auto" w:fill="F2F2F2"/>
            <w:tcMar>
              <w:top w:w="60" w:type="dxa"/>
              <w:left w:w="100" w:type="dxa"/>
              <w:bottom w:w="60" w:type="dxa"/>
              <w:right w:w="100" w:type="dxa"/>
            </w:tcMar>
            <w:vAlign w:val="center"/>
          </w:tcPr>
          <w:p w14:paraId="045E4D5C" w14:textId="77777777" w:rsidR="005E78B7" w:rsidRDefault="005E78B7" w:rsidP="005E78B7">
            <w:pPr>
              <w:jc w:val="center"/>
            </w:pPr>
            <w:r>
              <w:rPr>
                <w:rFonts w:ascii="Cambria" w:eastAsia="Cambria" w:hAnsi="Cambria" w:cs="Cambria"/>
                <w:color w:val="111111"/>
                <w:sz w:val="18"/>
                <w:szCs w:val="18"/>
              </w:rPr>
              <w:t>(</w:t>
            </w:r>
            <w:proofErr w:type="gramStart"/>
            <w:r>
              <w:rPr>
                <w:rFonts w:ascii="Cambria" w:eastAsia="Cambria" w:hAnsi="Cambria" w:cs="Cambria"/>
                <w:color w:val="111111"/>
                <w:sz w:val="18"/>
                <w:szCs w:val="18"/>
              </w:rPr>
              <w:t>ε,δ</w:t>
            </w:r>
            <w:proofErr w:type="gramEnd"/>
            <w:r>
              <w:rPr>
                <w:rFonts w:ascii="Cambria" w:eastAsia="Cambria" w:hAnsi="Cambria" w:cs="Cambria"/>
                <w:color w:val="111111"/>
                <w:sz w:val="18"/>
                <w:szCs w:val="18"/>
              </w:rPr>
              <w:t>) + computational</w:t>
            </w:r>
          </w:p>
        </w:tc>
        <w:tc>
          <w:tcPr>
            <w:tcW w:w="1700" w:type="dxa"/>
            <w:shd w:val="clear" w:color="auto" w:fill="F2F2F2"/>
            <w:tcMar>
              <w:top w:w="60" w:type="dxa"/>
              <w:left w:w="100" w:type="dxa"/>
              <w:bottom w:w="60" w:type="dxa"/>
              <w:right w:w="100" w:type="dxa"/>
            </w:tcMar>
            <w:vAlign w:val="center"/>
          </w:tcPr>
          <w:p w14:paraId="30CA712E" w14:textId="77777777" w:rsidR="005E78B7" w:rsidRDefault="005E78B7" w:rsidP="005E78B7">
            <w:pPr>
              <w:jc w:val="center"/>
            </w:pPr>
            <w:r>
              <w:rPr>
                <w:rFonts w:ascii="Cambria" w:eastAsia="Cambria" w:hAnsi="Cambria" w:cs="Cambria"/>
                <w:color w:val="111111"/>
                <w:sz w:val="18"/>
                <w:szCs w:val="18"/>
              </w:rPr>
              <w:t>High (~20–40×)</w:t>
            </w:r>
          </w:p>
        </w:tc>
        <w:tc>
          <w:tcPr>
            <w:tcW w:w="2000" w:type="dxa"/>
            <w:shd w:val="clear" w:color="auto" w:fill="F2F2F2"/>
            <w:tcMar>
              <w:top w:w="60" w:type="dxa"/>
              <w:left w:w="100" w:type="dxa"/>
              <w:bottom w:w="60" w:type="dxa"/>
              <w:right w:w="100" w:type="dxa"/>
            </w:tcMar>
            <w:vAlign w:val="center"/>
          </w:tcPr>
          <w:p w14:paraId="6164B25F" w14:textId="77777777" w:rsidR="005E78B7" w:rsidRDefault="005E78B7" w:rsidP="005E78B7">
            <w:pPr>
              <w:jc w:val="center"/>
            </w:pPr>
            <w:r>
              <w:rPr>
                <w:rFonts w:ascii="Cambria" w:eastAsia="Cambria" w:hAnsi="Cambria" w:cs="Cambria"/>
                <w:color w:val="111111"/>
                <w:sz w:val="18"/>
                <w:szCs w:val="18"/>
              </w:rPr>
              <w:t>No architectural split; full model encrypted end-to-end</w:t>
            </w:r>
          </w:p>
        </w:tc>
      </w:tr>
      <w:tr w:rsidR="005E78B7" w14:paraId="4F96240C" w14:textId="77777777" w:rsidTr="005E78B7">
        <w:tc>
          <w:tcPr>
            <w:tcW w:w="1500" w:type="dxa"/>
            <w:tcMar>
              <w:top w:w="60" w:type="dxa"/>
              <w:left w:w="100" w:type="dxa"/>
              <w:bottom w:w="60" w:type="dxa"/>
              <w:right w:w="100" w:type="dxa"/>
            </w:tcMar>
            <w:vAlign w:val="center"/>
          </w:tcPr>
          <w:p w14:paraId="1B077C52" w14:textId="77777777" w:rsidR="005E78B7" w:rsidRDefault="005E78B7" w:rsidP="005E78B7">
            <w:r>
              <w:rPr>
                <w:rFonts w:ascii="Cambria" w:eastAsia="Cambria" w:hAnsi="Cambria" w:cs="Cambria"/>
                <w:color w:val="111111"/>
                <w:sz w:val="18"/>
                <w:szCs w:val="18"/>
              </w:rPr>
              <w:t>Proposed Tri-Layered</w:t>
            </w:r>
          </w:p>
        </w:tc>
        <w:tc>
          <w:tcPr>
            <w:tcW w:w="1900" w:type="dxa"/>
            <w:tcMar>
              <w:top w:w="60" w:type="dxa"/>
              <w:left w:w="100" w:type="dxa"/>
              <w:bottom w:w="60" w:type="dxa"/>
              <w:right w:w="100" w:type="dxa"/>
            </w:tcMar>
            <w:vAlign w:val="center"/>
          </w:tcPr>
          <w:p w14:paraId="0939194E" w14:textId="77777777" w:rsidR="005E78B7" w:rsidRDefault="005E78B7" w:rsidP="005E78B7">
            <w:pPr>
              <w:jc w:val="center"/>
            </w:pPr>
            <w:r>
              <w:rPr>
                <w:rFonts w:ascii="Cambria" w:eastAsia="Cambria" w:hAnsi="Cambria" w:cs="Cambria"/>
                <w:color w:val="111111"/>
                <w:sz w:val="18"/>
                <w:szCs w:val="18"/>
              </w:rPr>
              <w:t>Split + DP + CKKS</w:t>
            </w:r>
          </w:p>
        </w:tc>
        <w:tc>
          <w:tcPr>
            <w:tcW w:w="1900" w:type="dxa"/>
            <w:tcMar>
              <w:top w:w="60" w:type="dxa"/>
              <w:left w:w="100" w:type="dxa"/>
              <w:bottom w:w="60" w:type="dxa"/>
              <w:right w:w="100" w:type="dxa"/>
            </w:tcMar>
            <w:vAlign w:val="center"/>
          </w:tcPr>
          <w:p w14:paraId="6E8C6BB2" w14:textId="77777777" w:rsidR="005E78B7" w:rsidRDefault="005E78B7" w:rsidP="005E78B7">
            <w:pPr>
              <w:jc w:val="center"/>
            </w:pPr>
            <w:r>
              <w:rPr>
                <w:rFonts w:ascii="Cambria" w:eastAsia="Cambria" w:hAnsi="Cambria" w:cs="Cambria"/>
                <w:color w:val="111111"/>
                <w:sz w:val="18"/>
                <w:szCs w:val="18"/>
              </w:rPr>
              <w:t>(</w:t>
            </w:r>
            <w:proofErr w:type="gramStart"/>
            <w:r>
              <w:rPr>
                <w:rFonts w:ascii="Cambria" w:eastAsia="Cambria" w:hAnsi="Cambria" w:cs="Cambria"/>
                <w:color w:val="111111"/>
                <w:sz w:val="18"/>
                <w:szCs w:val="18"/>
              </w:rPr>
              <w:t>ε,δ</w:t>
            </w:r>
            <w:proofErr w:type="gramEnd"/>
            <w:r>
              <w:rPr>
                <w:rFonts w:ascii="Cambria" w:eastAsia="Cambria" w:hAnsi="Cambria" w:cs="Cambria"/>
                <w:color w:val="111111"/>
                <w:sz w:val="18"/>
                <w:szCs w:val="18"/>
              </w:rPr>
              <w:t>) + computational + split-inference bound</w:t>
            </w:r>
          </w:p>
        </w:tc>
        <w:tc>
          <w:tcPr>
            <w:tcW w:w="1700" w:type="dxa"/>
            <w:tcMar>
              <w:top w:w="60" w:type="dxa"/>
              <w:left w:w="100" w:type="dxa"/>
              <w:bottom w:w="60" w:type="dxa"/>
              <w:right w:w="100" w:type="dxa"/>
            </w:tcMar>
            <w:vAlign w:val="center"/>
          </w:tcPr>
          <w:p w14:paraId="1C0C8BDE" w14:textId="77777777" w:rsidR="005E78B7" w:rsidRDefault="005E78B7" w:rsidP="005E78B7">
            <w:pPr>
              <w:jc w:val="center"/>
            </w:pPr>
            <w:r>
              <w:rPr>
                <w:rFonts w:ascii="Cambria" w:eastAsia="Cambria" w:hAnsi="Cambria" w:cs="Cambria"/>
                <w:color w:val="111111"/>
                <w:sz w:val="18"/>
                <w:szCs w:val="18"/>
              </w:rPr>
              <w:t>Moderate–High (~8–15× vs. plaintext)</w:t>
            </w:r>
          </w:p>
        </w:tc>
        <w:tc>
          <w:tcPr>
            <w:tcW w:w="2000" w:type="dxa"/>
            <w:tcMar>
              <w:top w:w="60" w:type="dxa"/>
              <w:left w:w="100" w:type="dxa"/>
              <w:bottom w:w="60" w:type="dxa"/>
              <w:right w:w="100" w:type="dxa"/>
            </w:tcMar>
            <w:vAlign w:val="center"/>
          </w:tcPr>
          <w:p w14:paraId="285E9566" w14:textId="77777777" w:rsidR="005E78B7" w:rsidRDefault="005E78B7" w:rsidP="005E78B7">
            <w:pPr>
              <w:jc w:val="center"/>
            </w:pPr>
            <w:r>
              <w:rPr>
                <w:rFonts w:ascii="Cambria" w:eastAsia="Cambria" w:hAnsi="Cambria" w:cs="Cambria"/>
                <w:color w:val="111111"/>
                <w:sz w:val="18"/>
                <w:szCs w:val="18"/>
              </w:rPr>
              <w:t>Requires careful ε/L/σ co-tuning (addressed herein)</w:t>
            </w:r>
          </w:p>
        </w:tc>
      </w:tr>
    </w:tbl>
    <w:p w14:paraId="3FEF1F35" w14:textId="4DF1D0D4" w:rsidR="005E78B7" w:rsidRDefault="005E78B7">
      <w:pPr>
        <w:spacing w:before="100" w:after="260"/>
        <w:jc w:val="center"/>
        <w:rPr>
          <w:rFonts w:ascii="Cambria" w:eastAsia="Cambria" w:hAnsi="Cambria" w:cs="Cambria"/>
          <w:b/>
          <w:bCs/>
        </w:rPr>
      </w:pPr>
      <w:r>
        <w:rPr>
          <w:rFonts w:ascii="Cambria" w:eastAsia="Cambria" w:hAnsi="Cambria" w:cs="Cambria"/>
          <w:b/>
          <w:bCs/>
        </w:rPr>
        <w:t xml:space="preserve"> </w:t>
      </w:r>
      <w:r w:rsidRPr="0018533A">
        <w:rPr>
          <w:rFonts w:ascii="Cambria" w:eastAsia="Cambria" w:hAnsi="Cambria" w:cs="Cambria"/>
          <w:b/>
          <w:bCs/>
        </w:rPr>
        <w:t>TABLE I. Comparative Summary of Hybrid Privacy-Preserving Learning Schemes</w:t>
      </w:r>
    </w:p>
    <w:p w14:paraId="6CDD2C5D" w14:textId="25BE4942" w:rsidR="005E78B7" w:rsidRDefault="005E78B7" w:rsidP="005E78B7">
      <w:pPr>
        <w:spacing w:before="100" w:after="260"/>
        <w:rPr>
          <w:rFonts w:ascii="Cambria" w:eastAsia="Cambria" w:hAnsi="Cambria" w:cs="Cambria"/>
          <w:b/>
          <w:bCs/>
        </w:rPr>
      </w:pPr>
    </w:p>
    <w:p w14:paraId="4C07198E" w14:textId="446EE1E7" w:rsidR="00AB5DCE" w:rsidRPr="0018533A" w:rsidRDefault="00000000" w:rsidP="005E78B7">
      <w:pPr>
        <w:spacing w:before="100" w:after="260"/>
      </w:pPr>
      <w:r w:rsidRPr="0018533A">
        <w:rPr>
          <w:rFonts w:ascii="Cambria" w:eastAsia="Cambria" w:hAnsi="Cambria" w:cs="Cambria"/>
          <w:b/>
          <w:bCs/>
          <w:caps/>
          <w:sz w:val="26"/>
          <w:szCs w:val="26"/>
        </w:rPr>
        <w:t>III. Proposed Tri-Layered Architecture</w:t>
      </w:r>
    </w:p>
    <w:p w14:paraId="476C3A52" w14:textId="6AD94233" w:rsidR="00AB5DCE" w:rsidRDefault="005E78B7">
      <w:pPr>
        <w:spacing w:after="160" w:line="276" w:lineRule="auto"/>
        <w:jc w:val="both"/>
      </w:pPr>
      <w:r>
        <w:rPr>
          <w:rFonts w:ascii="Cambria" w:eastAsia="Cambria" w:hAnsi="Cambria" w:cs="Cambria"/>
          <w:sz w:val="22"/>
          <w:szCs w:val="22"/>
        </w:rPr>
        <w:t>The architecture proposed is shown in Fig. 1 and consists of a client domain and a server domain connected by an untrusted channel. In each forward pass, the client domain performs three sequential operations: extract split-network features, inject DP noise into the resulting activation (and also into the returned gradient during training), and encrypt the noised activation with CKKS before sending it. The server domain never sees client data in plaintext; it homomorphically evaluates the remaining network layers over ciphertext and returns encrypted results that only the client, holding the CKKS secret key, can decrypt</w:t>
      </w:r>
      <w:r w:rsidR="00193FAA">
        <w:rPr>
          <w:rFonts w:ascii="Cambria" w:eastAsia="Cambria" w:hAnsi="Cambria" w:cs="Cambria"/>
          <w:sz w:val="22"/>
          <w:szCs w:val="22"/>
        </w:rPr>
        <w:t>.</w:t>
      </w:r>
    </w:p>
    <w:p w14:paraId="1E063E8C" w14:textId="77777777" w:rsidR="00AB5DCE" w:rsidRDefault="00000000">
      <w:pPr>
        <w:spacing w:before="200" w:after="60"/>
        <w:jc w:val="center"/>
      </w:pPr>
      <w:r>
        <w:rPr>
          <w:noProof/>
        </w:rPr>
        <w:lastRenderedPageBreak/>
        <w:drawing>
          <wp:inline distT="0" distB="0" distL="0" distR="0" wp14:anchorId="252E89E2" wp14:editId="056C5FA6">
            <wp:extent cx="5852160" cy="33101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852160" cy="3310128"/>
                    </a:xfrm>
                    <a:prstGeom prst="rect">
                      <a:avLst/>
                    </a:prstGeom>
                  </pic:spPr>
                </pic:pic>
              </a:graphicData>
            </a:graphic>
          </wp:inline>
        </w:drawing>
      </w:r>
    </w:p>
    <w:p w14:paraId="3AE01F18" w14:textId="77777777" w:rsidR="005E78B7" w:rsidRDefault="00000000" w:rsidP="005E78B7">
      <w:pPr>
        <w:spacing w:before="100" w:after="260"/>
        <w:jc w:val="center"/>
        <w:rPr>
          <w:rFonts w:ascii="Cambria" w:eastAsia="Cambria" w:hAnsi="Cambria" w:cs="Cambria"/>
          <w:b/>
          <w:bCs/>
        </w:rPr>
      </w:pPr>
      <w:r>
        <w:rPr>
          <w:rFonts w:ascii="Cambria" w:eastAsia="Cambria" w:hAnsi="Cambria" w:cs="Cambria"/>
          <w:b/>
          <w:bCs/>
        </w:rPr>
        <w:t>Fig. 1. Reference tri-layered hybrid privacy architecture. Layer 1 (split) constrains what data structure ever leaves the device; Layer 2 (DP) bounds the statistical information content of that structure; Layer 3 (CKKS) enforces computational secrecy over the channel and at the server.</w:t>
      </w:r>
    </w:p>
    <w:p w14:paraId="6926BE45" w14:textId="5694FD40" w:rsidR="00AB5DCE" w:rsidRDefault="00000000" w:rsidP="005E78B7">
      <w:pPr>
        <w:spacing w:before="100" w:after="260"/>
      </w:pPr>
      <w:r>
        <w:rPr>
          <w:rFonts w:ascii="Cambria" w:eastAsia="Cambria" w:hAnsi="Cambria" w:cs="Cambria"/>
          <w:b/>
          <w:bCs/>
          <w:i/>
          <w:iCs/>
          <w:color w:val="111111"/>
          <w:sz w:val="23"/>
          <w:szCs w:val="23"/>
        </w:rPr>
        <w:t>A. Layer 1- Split Learning Boundary</w:t>
      </w:r>
    </w:p>
    <w:p w14:paraId="28C38E34" w14:textId="77777777" w:rsidR="00B47BF9" w:rsidRPr="00B47BF9" w:rsidRDefault="00B47BF9" w:rsidP="00B47BF9">
      <w:pPr>
        <w:spacing w:after="160" w:line="276" w:lineRule="auto"/>
        <w:jc w:val="both"/>
        <w:rPr>
          <w:rFonts w:ascii="Cambria" w:eastAsia="Cambria" w:hAnsi="Cambria" w:cs="Cambria"/>
          <w:sz w:val="22"/>
          <w:szCs w:val="22"/>
        </w:rPr>
      </w:pPr>
      <w:r>
        <w:rPr>
          <w:rFonts w:ascii="Cambria" w:eastAsia="Cambria" w:hAnsi="Cambria" w:cs="Cambria"/>
          <w:sz w:val="22"/>
          <w:szCs w:val="22"/>
        </w:rPr>
        <w:t>The split point is chosen to balance the client computation load against the sensitivity of the transmitted representation. Shallow split points (near the input) propagate activations that are easier to invert to the raw input, while deep split points mitigate this risk at the cost of offloading more computation to the resource-constrained client. In the reference design, the split boundary is after the third convolutional block, where the spatial resolution is greatly downsampled compared with the input, while the classification-relevant features are largely preserved by the remaining server-side layers.</w:t>
      </w:r>
    </w:p>
    <w:p w14:paraId="7A5B63C2" w14:textId="77777777" w:rsidR="00B47BF9" w:rsidRDefault="00000000" w:rsidP="00B47BF9">
      <w:pPr>
        <w:spacing w:after="160" w:line="276" w:lineRule="auto"/>
        <w:jc w:val="both"/>
        <w:rPr>
          <w:rFonts w:ascii="Cambria" w:eastAsia="Cambria" w:hAnsi="Cambria" w:cs="Cambria"/>
          <w:b/>
          <w:bCs/>
          <w:i/>
          <w:iCs/>
          <w:color w:val="111111"/>
          <w:sz w:val="23"/>
          <w:szCs w:val="23"/>
        </w:rPr>
      </w:pPr>
      <w:r>
        <w:rPr>
          <w:rFonts w:ascii="Cambria" w:eastAsia="Cambria" w:hAnsi="Cambria" w:cs="Cambria"/>
          <w:b/>
          <w:bCs/>
          <w:i/>
          <w:iCs/>
          <w:color w:val="111111"/>
          <w:sz w:val="23"/>
          <w:szCs w:val="23"/>
        </w:rPr>
        <w:t>B. Layer 2 — Differential Privacy Injection</w:t>
      </w:r>
    </w:p>
    <w:p w14:paraId="29E163C4" w14:textId="77777777" w:rsidR="00193FAA" w:rsidRDefault="00B47BF9" w:rsidP="00193FAA">
      <w:pPr>
        <w:spacing w:after="160" w:line="276" w:lineRule="auto"/>
        <w:jc w:val="both"/>
        <w:rPr>
          <w:rFonts w:ascii="Cambria" w:eastAsia="Cambria" w:hAnsi="Cambria" w:cs="Cambria"/>
          <w:sz w:val="22"/>
          <w:szCs w:val="22"/>
        </w:rPr>
      </w:pPr>
      <w:r>
        <w:rPr>
          <w:rFonts w:ascii="Cambria" w:eastAsia="Cambria" w:hAnsi="Cambria" w:cs="Cambria"/>
          <w:sz w:val="22"/>
          <w:szCs w:val="22"/>
        </w:rPr>
        <w:t>We apply two points of per-example gradient clipping with bound C and Gaussian noise with multiplier σ: on the gradient of the client-side parameters during backpropagation, and optionally directly on the smashed-data tensor prior to encryption to further obscure fine-grained input structure. We keep track of the privacy budget ε over training epochs using Rényi differential privacy composition, and convert it to a standard (ε, δ) guarantee for reporting.</w:t>
      </w:r>
    </w:p>
    <w:p w14:paraId="054B675A" w14:textId="6E395E3E" w:rsidR="00AB5DCE" w:rsidRDefault="00000000" w:rsidP="00193FAA">
      <w:pPr>
        <w:spacing w:after="160" w:line="276" w:lineRule="auto"/>
        <w:jc w:val="both"/>
      </w:pPr>
      <w:r>
        <w:rPr>
          <w:rFonts w:ascii="Cambria" w:eastAsia="Cambria" w:hAnsi="Cambria" w:cs="Cambria"/>
          <w:b/>
          <w:bCs/>
          <w:i/>
          <w:iCs/>
          <w:color w:val="111111"/>
          <w:sz w:val="23"/>
          <w:szCs w:val="23"/>
        </w:rPr>
        <w:t>C. Layer 3 — CKKS Homomorphic Encryption</w:t>
      </w:r>
    </w:p>
    <w:p w14:paraId="50DFD655" w14:textId="77777777" w:rsidR="00E66E2D" w:rsidRDefault="00E66E2D" w:rsidP="00E66E2D">
      <w:pPr>
        <w:spacing w:after="160" w:line="276" w:lineRule="auto"/>
        <w:jc w:val="both"/>
        <w:rPr>
          <w:rFonts w:ascii="Cambria" w:eastAsia="Cambria" w:hAnsi="Cambria" w:cs="Cambria"/>
          <w:sz w:val="22"/>
          <w:szCs w:val="22"/>
        </w:rPr>
      </w:pPr>
      <w:r>
        <w:rPr>
          <w:rFonts w:ascii="Cambria" w:eastAsia="Cambria" w:hAnsi="Cambria" w:cs="Cambria"/>
          <w:sz w:val="22"/>
          <w:szCs w:val="22"/>
        </w:rPr>
        <w:t xml:space="preserve">The activation tensor is then encoded into the CKKS plaintext slots and encrypted under the client’s public key for transmission after the DP noise is added. The server computes the remaining layers of the network homomorphically by replacing the nonlinear activation functions with degree-3 Chebyshev polynomial approximations, and managing the multiplicative depth via periodic rescaling, </w:t>
      </w:r>
      <w:r>
        <w:rPr>
          <w:rFonts w:ascii="Cambria" w:eastAsia="Cambria" w:hAnsi="Cambria" w:cs="Cambria"/>
          <w:sz w:val="22"/>
          <w:szCs w:val="22"/>
        </w:rPr>
        <w:lastRenderedPageBreak/>
        <w:t>calling upon bootstrapping whenever the remaining depth budget is insufficient for the requirement of the next layer. The server sends back an encrypted result (encrypted logit vector in case of inference, or encrypted gradient in case of training) that gets decrypted only on the client, so the secret key never crosses the trusted device boundary.</w:t>
      </w:r>
    </w:p>
    <w:p w14:paraId="045A28A0" w14:textId="5BFE967B" w:rsidR="00AB5DCE" w:rsidRPr="00E66E2D" w:rsidRDefault="00000000" w:rsidP="00E66E2D">
      <w:pPr>
        <w:spacing w:after="160" w:line="276" w:lineRule="auto"/>
        <w:jc w:val="both"/>
        <w:rPr>
          <w:rFonts w:ascii="Cambria" w:eastAsia="Cambria" w:hAnsi="Cambria" w:cs="Cambria"/>
          <w:sz w:val="22"/>
          <w:szCs w:val="22"/>
        </w:rPr>
      </w:pPr>
      <w:r>
        <w:rPr>
          <w:rFonts w:ascii="Cambria" w:eastAsia="Cambria" w:hAnsi="Cambria" w:cs="Cambria"/>
          <w:b/>
          <w:bCs/>
          <w:i/>
          <w:iCs/>
          <w:color w:val="111111"/>
          <w:sz w:val="23"/>
          <w:szCs w:val="23"/>
        </w:rPr>
        <w:t>D. Layer Composition and Threat Coverage</w:t>
      </w:r>
    </w:p>
    <w:p w14:paraId="6BBAC315" w14:textId="77777777" w:rsidR="00E66E2D" w:rsidRPr="00E66E2D" w:rsidRDefault="00E66E2D" w:rsidP="00E66E2D">
      <w:pPr>
        <w:spacing w:after="160" w:line="276" w:lineRule="auto"/>
        <w:jc w:val="both"/>
        <w:rPr>
          <w:rFonts w:ascii="Cambria" w:eastAsia="Cambria" w:hAnsi="Cambria" w:cs="Cambria"/>
          <w:sz w:val="22"/>
          <w:szCs w:val="22"/>
        </w:rPr>
      </w:pPr>
      <w:r>
        <w:rPr>
          <w:rFonts w:ascii="Cambria" w:eastAsia="Cambria" w:hAnsi="Cambria" w:cs="Cambria"/>
          <w:sz w:val="22"/>
          <w:szCs w:val="22"/>
        </w:rPr>
        <w:t>Fig. 2 right panel presents the mitigation strength coming from each layer alone for five typical attack vectors. No layer alone is dominant across all vectors: split learning is most effective against naive data-ownership violations, DP is most effective against membership-inference attacks [5], and CKKS is most effective against feature-interception and reconstruction attacks. This complementary coverage is therefore the basis for the tri-layered design.</w:t>
      </w:r>
    </w:p>
    <w:p w14:paraId="11D528DE" w14:textId="5D2DA731" w:rsidR="00AB5DCE" w:rsidRDefault="00E37258">
      <w:pPr>
        <w:spacing w:after="160" w:line="276" w:lineRule="auto"/>
        <w:jc w:val="both"/>
      </w:pPr>
      <w:r>
        <w:rPr>
          <w:rFonts w:ascii="Cambria" w:eastAsia="Cambria" w:hAnsi="Cambria" w:cs="Cambria"/>
          <w:sz w:val="22"/>
          <w:szCs w:val="22"/>
        </w:rPr>
        <w:t>This complementary coverage is the main motivation for the tri-layered design.</w:t>
      </w:r>
    </w:p>
    <w:p w14:paraId="398D7C9A" w14:textId="77777777" w:rsidR="00AB5DCE" w:rsidRDefault="00000000">
      <w:pPr>
        <w:spacing w:before="200" w:after="60"/>
        <w:jc w:val="center"/>
      </w:pPr>
      <w:r>
        <w:rPr>
          <w:noProof/>
        </w:rPr>
        <w:drawing>
          <wp:inline distT="0" distB="0" distL="0" distR="0" wp14:anchorId="299E0DCA" wp14:editId="2F83D7D9">
            <wp:extent cx="5852160" cy="2834640"/>
            <wp:effectExtent l="0" t="0" r="0" b="0"/>
            <wp:docPr id="1958906804" name="Picture 1958906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852160" cy="2834640"/>
                    </a:xfrm>
                    <a:prstGeom prst="rect">
                      <a:avLst/>
                    </a:prstGeom>
                  </pic:spPr>
                </pic:pic>
              </a:graphicData>
            </a:graphic>
          </wp:inline>
        </w:drawing>
      </w:r>
    </w:p>
    <w:p w14:paraId="43F80776" w14:textId="77777777" w:rsidR="00E37258" w:rsidRDefault="00000000" w:rsidP="00E37258">
      <w:pPr>
        <w:spacing w:before="100" w:after="260"/>
        <w:jc w:val="center"/>
        <w:rPr>
          <w:rFonts w:ascii="Cambria" w:eastAsia="Cambria" w:hAnsi="Cambria" w:cs="Cambria"/>
          <w:b/>
          <w:bCs/>
        </w:rPr>
      </w:pPr>
      <w:r>
        <w:rPr>
          <w:rFonts w:ascii="Cambria" w:eastAsia="Cambria" w:hAnsi="Cambria" w:cs="Cambria"/>
          <w:b/>
          <w:bCs/>
        </w:rPr>
        <w:t>Fig. 2. Left: relative contribution of each layer to overall threat-model coverage. Right: per-layer mitigation strength (%) against five representative attack vectors, illustrating complementary rather than redundant coverage.</w:t>
      </w:r>
    </w:p>
    <w:p w14:paraId="76785522" w14:textId="69FDAD8E" w:rsidR="00AB5DCE" w:rsidRDefault="00000000" w:rsidP="00E37258">
      <w:pPr>
        <w:spacing w:before="100" w:after="260"/>
      </w:pPr>
      <w:r>
        <w:rPr>
          <w:rFonts w:ascii="Cambria" w:eastAsia="Cambria" w:hAnsi="Cambria" w:cs="Cambria"/>
          <w:b/>
          <w:bCs/>
          <w:caps/>
          <w:color w:val="1F3864"/>
          <w:sz w:val="26"/>
          <w:szCs w:val="26"/>
        </w:rPr>
        <w:t>IV. Formal Privacy Composition</w:t>
      </w:r>
    </w:p>
    <w:p w14:paraId="2BB214D8" w14:textId="77777777" w:rsidR="00E34FD1" w:rsidRDefault="00E37258" w:rsidP="00E37258">
      <w:pPr>
        <w:spacing w:after="160" w:line="276" w:lineRule="auto"/>
        <w:jc w:val="both"/>
        <w:rPr>
          <w:rFonts w:ascii="Cambria" w:eastAsia="Cambria" w:hAnsi="Cambria" w:cs="Cambria"/>
          <w:sz w:val="22"/>
          <w:szCs w:val="22"/>
        </w:rPr>
      </w:pPr>
      <w:r>
        <w:rPr>
          <w:rFonts w:ascii="Cambria" w:eastAsia="Cambria" w:hAnsi="Cambria" w:cs="Cambria"/>
          <w:sz w:val="22"/>
          <w:szCs w:val="22"/>
        </w:rPr>
        <w:t xml:space="preserve">Let A be the random split-forward mechanism that generates the transmitted activation for the input x. The client adds Gaussian-mechanism noise calibrated to sensitivity </w:t>
      </w:r>
      <m:oMath>
        <m:r>
          <m:rPr>
            <m:sty m:val="p"/>
          </m:rPr>
          <w:rPr>
            <w:rFonts w:ascii="Cambria Math" w:eastAsia="Cambria" w:hAnsi="Cambria Math" w:cs="Cambria"/>
            <w:sz w:val="22"/>
            <w:szCs w:val="22"/>
          </w:rPr>
          <m:t>Δ</m:t>
        </m:r>
        <m:r>
          <w:rPr>
            <w:rFonts w:ascii="Cambria Math" w:eastAsia="Cambria" w:hAnsi="Cambria Math" w:cs="Cambria"/>
            <w:sz w:val="22"/>
            <w:szCs w:val="22"/>
          </w:rPr>
          <m:t>f</m:t>
        </m:r>
      </m:oMath>
      <w:r>
        <w:rPr>
          <w:rFonts w:ascii="Cambria" w:eastAsia="Cambria" w:hAnsi="Cambria" w:cs="Cambria"/>
          <w:sz w:val="22"/>
          <w:szCs w:val="22"/>
        </w:rPr>
        <w:t xml:space="preserve"> and multiplier </w:t>
      </w:r>
      <m:oMath>
        <m:r>
          <w:rPr>
            <w:rFonts w:ascii="Cambria Math" w:eastAsia="Cambria" w:hAnsi="Cambria Math" w:cs="Cambria"/>
            <w:sz w:val="22"/>
            <w:szCs w:val="22"/>
          </w:rPr>
          <m:t>σ</m:t>
        </m:r>
      </m:oMath>
      <w:r>
        <w:rPr>
          <w:rFonts w:ascii="Cambria" w:eastAsia="Cambria" w:hAnsi="Cambria" w:cs="Cambria"/>
          <w:sz w:val="22"/>
          <w:szCs w:val="22"/>
        </w:rPr>
        <w:t xml:space="preserve">, such that the DP sub-mechanism satisfies </w:t>
      </w:r>
      <m:oMath>
        <m:d>
          <m:dPr>
            <m:sepChr m:val=","/>
            <m:ctrlPr>
              <w:rPr>
                <w:rFonts w:ascii="Cambria Math" w:eastAsia="Cambria" w:hAnsi="Cambria Math" w:cs="Cambria"/>
                <w:sz w:val="22"/>
                <w:szCs w:val="22"/>
              </w:rPr>
            </m:ctrlPr>
          </m:dPr>
          <m:e>
            <m:r>
              <w:rPr>
                <w:rFonts w:ascii="Cambria Math" w:eastAsia="Cambria" w:hAnsi="Cambria Math" w:cs="Cambria"/>
                <w:sz w:val="22"/>
                <w:szCs w:val="22"/>
              </w:rPr>
              <m:t>ϵ</m:t>
            </m:r>
          </m:e>
          <m:e>
            <m:r>
              <w:rPr>
                <w:rFonts w:ascii="Cambria Math" w:eastAsia="Cambria" w:hAnsi="Cambria Math" w:cs="Cambria"/>
                <w:sz w:val="22"/>
                <w:szCs w:val="22"/>
              </w:rPr>
              <m:t>δ</m:t>
            </m:r>
          </m:e>
        </m:d>
      </m:oMath>
      <w:r>
        <w:rPr>
          <w:rFonts w:ascii="Cambria" w:eastAsia="Cambria" w:hAnsi="Cambria" w:cs="Cambria"/>
          <w:sz w:val="22"/>
          <w:szCs w:val="22"/>
        </w:rPr>
        <w:t xml:space="preserve"> - DP [2], [4] by the standard Gaussian-mechanism bound </w:t>
      </w:r>
      <m:oMath>
        <m:r>
          <w:rPr>
            <w:rFonts w:ascii="Cambria Math" w:eastAsia="Cambria" w:hAnsi="Cambria Math" w:cs="Cambria"/>
            <w:sz w:val="22"/>
            <w:szCs w:val="22"/>
          </w:rPr>
          <m:t>ϵ≈</m:t>
        </m:r>
        <m:r>
          <m:rPr>
            <m:sty m:val="p"/>
          </m:rPr>
          <w:rPr>
            <w:rFonts w:ascii="Cambria Math" w:eastAsia="Cambria" w:hAnsi="Cambria Math" w:cs="Cambria"/>
            <w:sz w:val="22"/>
            <w:szCs w:val="22"/>
          </w:rPr>
          <m:t>Δ</m:t>
        </m:r>
        <m:r>
          <w:rPr>
            <w:rFonts w:ascii="Cambria Math" w:eastAsia="Cambria" w:hAnsi="Cambria Math" w:cs="Cambria"/>
            <w:sz w:val="22"/>
            <w:szCs w:val="22"/>
          </w:rPr>
          <m:t>f⋅</m:t>
        </m:r>
        <m:rad>
          <m:radPr>
            <m:degHide m:val="1"/>
            <m:ctrlPr>
              <w:rPr>
                <w:rFonts w:ascii="Cambria Math" w:eastAsia="Cambria" w:hAnsi="Cambria Math" w:cs="Cambria"/>
                <w:sz w:val="22"/>
                <w:szCs w:val="22"/>
              </w:rPr>
            </m:ctrlPr>
          </m:radPr>
          <m:deg/>
          <m:e>
            <m:r>
              <w:rPr>
                <w:rFonts w:ascii="Cambria Math" w:eastAsia="Cambria" w:hAnsi="Cambria Math" w:cs="Cambria"/>
                <w:sz w:val="22"/>
                <w:szCs w:val="22"/>
              </w:rPr>
              <m:t>2</m:t>
            </m:r>
            <m:r>
              <m:rPr>
                <m:sty m:val="p"/>
              </m:rPr>
              <w:rPr>
                <w:rFonts w:ascii="Cambria Math" w:eastAsia="Cambria" w:hAnsi="Cambria Math" w:cs="Cambria"/>
                <w:sz w:val="22"/>
                <w:szCs w:val="22"/>
              </w:rPr>
              <m:t>ln</m:t>
            </m:r>
            <m:r>
              <w:rPr>
                <w:rFonts w:ascii="Cambria Math" w:eastAsia="Cambria" w:hAnsi="Cambria Math" w:cs="Cambria"/>
                <w:sz w:val="22"/>
                <w:szCs w:val="22"/>
              </w:rPr>
              <m:t>⁡</m:t>
            </m:r>
            <m:d>
              <m:dPr>
                <m:ctrlPr>
                  <w:rPr>
                    <w:rFonts w:ascii="Cambria Math" w:eastAsia="Cambria" w:hAnsi="Cambria Math" w:cs="Cambria"/>
                    <w:sz w:val="22"/>
                    <w:szCs w:val="22"/>
                  </w:rPr>
                </m:ctrlPr>
              </m:dPr>
              <m:e>
                <m:r>
                  <w:rPr>
                    <w:rFonts w:ascii="Cambria Math" w:eastAsia="Cambria" w:hAnsi="Cambria Math" w:cs="Cambria"/>
                    <w:sz w:val="22"/>
                    <w:szCs w:val="22"/>
                  </w:rPr>
                  <m:t>1.25/δ</m:t>
                </m:r>
              </m:e>
            </m:d>
          </m:e>
        </m:rad>
        <m:r>
          <w:rPr>
            <w:rFonts w:ascii="Cambria Math" w:eastAsia="Cambria" w:hAnsi="Cambria Math" w:cs="Cambria"/>
            <w:sz w:val="22"/>
            <w:szCs w:val="22"/>
          </w:rPr>
          <m:t>/σ</m:t>
        </m:r>
      </m:oMath>
      <w:r>
        <w:rPr>
          <w:rFonts w:ascii="Cambria" w:eastAsia="Cambria" w:hAnsi="Cambria" w:cs="Cambria"/>
          <w:sz w:val="22"/>
          <w:szCs w:val="22"/>
        </w:rPr>
        <w:t xml:space="preserve">. The CKKS encryption below is deterministic given randomness encoding under IND-CPA-secure encryption; it does not affect the (ε, δ) guarantee already obtained by the DP step, but it gives a second, independent guarantee: computational indistinguishability of ciphertexts under the Ring Learning </w:t>
      </w:r>
      <w:proofErr w:type="gramStart"/>
      <w:r>
        <w:rPr>
          <w:rFonts w:ascii="Cambria" w:eastAsia="Cambria" w:hAnsi="Cambria" w:cs="Cambria"/>
          <w:sz w:val="22"/>
          <w:szCs w:val="22"/>
        </w:rPr>
        <w:t>With</w:t>
      </w:r>
      <w:proofErr w:type="gramEnd"/>
      <w:r>
        <w:rPr>
          <w:rFonts w:ascii="Cambria" w:eastAsia="Cambria" w:hAnsi="Cambria" w:cs="Cambria"/>
          <w:sz w:val="22"/>
          <w:szCs w:val="22"/>
        </w:rPr>
        <w:t xml:space="preserve"> Errors (RLWE) assumption [3], parameterized by security level λ. Because the DP guarantee bounds statistical leakage and the CKKS guarantee bounds computational leakage over an orthogonal channel (the transmitted bits themselves, as opposed to the information they </w:t>
      </w:r>
      <w:r>
        <w:rPr>
          <w:rFonts w:ascii="Cambria" w:eastAsia="Cambria" w:hAnsi="Cambria" w:cs="Cambria"/>
          <w:sz w:val="22"/>
          <w:szCs w:val="22"/>
        </w:rPr>
        <w:lastRenderedPageBreak/>
        <w:t>encode), the two guarantees compose conjunctively rather than requiring subtraction from a shared privacy budget: an adversary must simultaneously break RLQE-hardness and exceed the statistical bound to fully reconstruct client data.</w:t>
      </w:r>
    </w:p>
    <w:p w14:paraId="3D6D7EE0" w14:textId="39B7E667" w:rsidR="00E37258" w:rsidRDefault="00E37258" w:rsidP="00E37258">
      <w:pPr>
        <w:spacing w:after="160" w:line="276" w:lineRule="auto"/>
        <w:jc w:val="both"/>
        <w:rPr>
          <w:rFonts w:ascii="Cambria" w:eastAsia="Cambria" w:hAnsi="Cambria" w:cs="Cambria"/>
          <w:sz w:val="22"/>
          <w:szCs w:val="22"/>
        </w:rPr>
      </w:pPr>
      <w:r>
        <w:rPr>
          <w:rFonts w:ascii="Cambria" w:eastAsia="Cambria" w:hAnsi="Cambria" w:cs="Cambria"/>
          <w:sz w:val="22"/>
          <w:szCs w:val="22"/>
        </w:rPr>
        <w:t>The split-learning boundary provides a third architectural guarantee that is not naturally expressed in (ε, δ) terms: it bounds the mutual information between the raw input x and what is transmitted to it, to that retained by the representation of the client-side sub-network, regardless of any subsequent cryptographic or noise-based mechanism. In the reference design this is formalized as an empirical reconstruction-error lower bound, rather than a closed form guarantee, consistent with the current practice in the split learning literature. The notation used throughout the composition argument and the following experimental section is listed in Table II.</w:t>
      </w:r>
    </w:p>
    <w:p w14:paraId="722B5809" w14:textId="20D965F5" w:rsidR="00E37258" w:rsidRDefault="00E37258" w:rsidP="00E37258">
      <w:pPr>
        <w:spacing w:after="160" w:line="276" w:lineRule="auto"/>
        <w:jc w:val="center"/>
        <w:rPr>
          <w:rFonts w:ascii="Cambria" w:eastAsia="Cambria" w:hAnsi="Cambria" w:cs="Cambria"/>
          <w:sz w:val="22"/>
          <w:szCs w:val="22"/>
        </w:rPr>
      </w:pPr>
      <w:r>
        <w:rPr>
          <w:rFonts w:ascii="Cambria" w:eastAsia="Cambria" w:hAnsi="Cambria" w:cs="Cambria"/>
          <w:b/>
          <w:bCs/>
        </w:rPr>
        <w:t>TABLE II. Notation Used in the Formal Composition</w:t>
      </w:r>
    </w:p>
    <w:tbl>
      <w:tblPr>
        <w:tblpPr w:leftFromText="180" w:rightFromText="180" w:vertAnchor="text" w:horzAnchor="margin" w:tblpY="-52"/>
        <w:tblW w:w="7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62"/>
        <w:gridCol w:w="5716"/>
      </w:tblGrid>
      <w:tr w:rsidR="00E37258" w14:paraId="5D418364" w14:textId="77777777" w:rsidTr="00193FAA">
        <w:trPr>
          <w:trHeight w:val="202"/>
          <w:tblHeader/>
        </w:trPr>
        <w:tc>
          <w:tcPr>
            <w:tcW w:w="1962" w:type="dxa"/>
            <w:shd w:val="clear" w:color="auto" w:fill="1F3864"/>
            <w:tcMar>
              <w:top w:w="60" w:type="dxa"/>
              <w:left w:w="100" w:type="dxa"/>
              <w:bottom w:w="60" w:type="dxa"/>
              <w:right w:w="100" w:type="dxa"/>
            </w:tcMar>
            <w:vAlign w:val="center"/>
          </w:tcPr>
          <w:p w14:paraId="350D3225" w14:textId="77777777" w:rsidR="00E37258" w:rsidRDefault="00E37258" w:rsidP="00E37258">
            <w:pPr>
              <w:jc w:val="center"/>
            </w:pPr>
            <w:r>
              <w:rPr>
                <w:rFonts w:ascii="Cambria" w:eastAsia="Cambria" w:hAnsi="Cambria" w:cs="Cambria"/>
                <w:b/>
                <w:bCs/>
                <w:color w:val="FFFFFF"/>
                <w:sz w:val="18"/>
                <w:szCs w:val="18"/>
              </w:rPr>
              <w:t>Symbol</w:t>
            </w:r>
          </w:p>
        </w:tc>
        <w:tc>
          <w:tcPr>
            <w:tcW w:w="5716" w:type="dxa"/>
            <w:shd w:val="clear" w:color="auto" w:fill="1F3864"/>
            <w:tcMar>
              <w:top w:w="60" w:type="dxa"/>
              <w:left w:w="100" w:type="dxa"/>
              <w:bottom w:w="60" w:type="dxa"/>
              <w:right w:w="100" w:type="dxa"/>
            </w:tcMar>
            <w:vAlign w:val="center"/>
          </w:tcPr>
          <w:p w14:paraId="5649835E" w14:textId="77777777" w:rsidR="00E37258" w:rsidRDefault="00E37258" w:rsidP="00E37258">
            <w:pPr>
              <w:jc w:val="center"/>
            </w:pPr>
            <w:r>
              <w:rPr>
                <w:rFonts w:ascii="Cambria" w:eastAsia="Cambria" w:hAnsi="Cambria" w:cs="Cambria"/>
                <w:b/>
                <w:bCs/>
                <w:color w:val="FFFFFF"/>
                <w:sz w:val="18"/>
                <w:szCs w:val="18"/>
              </w:rPr>
              <w:t>Description</w:t>
            </w:r>
          </w:p>
        </w:tc>
      </w:tr>
      <w:tr w:rsidR="00E37258" w14:paraId="5A227CCF" w14:textId="77777777" w:rsidTr="00193FAA">
        <w:trPr>
          <w:trHeight w:val="186"/>
        </w:trPr>
        <w:tc>
          <w:tcPr>
            <w:tcW w:w="1962" w:type="dxa"/>
            <w:tcMar>
              <w:top w:w="60" w:type="dxa"/>
              <w:left w:w="100" w:type="dxa"/>
              <w:bottom w:w="60" w:type="dxa"/>
              <w:right w:w="100" w:type="dxa"/>
            </w:tcMar>
            <w:vAlign w:val="center"/>
          </w:tcPr>
          <w:p w14:paraId="355A6FCA" w14:textId="77777777" w:rsidR="00E37258" w:rsidRDefault="00E37258" w:rsidP="00E37258">
            <w:proofErr w:type="spellStart"/>
            <w:r>
              <w:rPr>
                <w:rFonts w:ascii="Cambria" w:eastAsia="Cambria" w:hAnsi="Cambria" w:cs="Cambria"/>
                <w:color w:val="111111"/>
                <w:sz w:val="18"/>
                <w:szCs w:val="18"/>
              </w:rPr>
              <w:t>Wc</w:t>
            </w:r>
            <w:proofErr w:type="spellEnd"/>
            <w:r>
              <w:rPr>
                <w:rFonts w:ascii="Cambria" w:eastAsia="Cambria" w:hAnsi="Cambria" w:cs="Cambria"/>
                <w:color w:val="111111"/>
                <w:sz w:val="18"/>
                <w:szCs w:val="18"/>
              </w:rPr>
              <w:t xml:space="preserve">, </w:t>
            </w:r>
            <w:proofErr w:type="spellStart"/>
            <w:r>
              <w:rPr>
                <w:rFonts w:ascii="Cambria" w:eastAsia="Cambria" w:hAnsi="Cambria" w:cs="Cambria"/>
                <w:color w:val="111111"/>
                <w:sz w:val="18"/>
                <w:szCs w:val="18"/>
              </w:rPr>
              <w:t>Ws</w:t>
            </w:r>
            <w:proofErr w:type="spellEnd"/>
          </w:p>
        </w:tc>
        <w:tc>
          <w:tcPr>
            <w:tcW w:w="5716" w:type="dxa"/>
            <w:tcMar>
              <w:top w:w="60" w:type="dxa"/>
              <w:left w:w="100" w:type="dxa"/>
              <w:bottom w:w="60" w:type="dxa"/>
              <w:right w:w="100" w:type="dxa"/>
            </w:tcMar>
            <w:vAlign w:val="center"/>
          </w:tcPr>
          <w:p w14:paraId="697F77C4" w14:textId="77777777" w:rsidR="00E37258" w:rsidRDefault="00E37258" w:rsidP="00E37258">
            <w:pPr>
              <w:jc w:val="center"/>
            </w:pPr>
            <w:r>
              <w:rPr>
                <w:rFonts w:ascii="Cambria" w:eastAsia="Cambria" w:hAnsi="Cambria" w:cs="Cambria"/>
                <w:color w:val="111111"/>
                <w:sz w:val="18"/>
                <w:szCs w:val="18"/>
              </w:rPr>
              <w:t>Client-side and server-side sub-network weights (split point)</w:t>
            </w:r>
          </w:p>
        </w:tc>
      </w:tr>
      <w:tr w:rsidR="00E37258" w14:paraId="2E73BFB1" w14:textId="77777777" w:rsidTr="00193FAA">
        <w:trPr>
          <w:trHeight w:val="202"/>
        </w:trPr>
        <w:tc>
          <w:tcPr>
            <w:tcW w:w="1962" w:type="dxa"/>
            <w:shd w:val="clear" w:color="auto" w:fill="F2F2F2"/>
            <w:tcMar>
              <w:top w:w="60" w:type="dxa"/>
              <w:left w:w="100" w:type="dxa"/>
              <w:bottom w:w="60" w:type="dxa"/>
              <w:right w:w="100" w:type="dxa"/>
            </w:tcMar>
            <w:vAlign w:val="center"/>
          </w:tcPr>
          <w:p w14:paraId="781AEC89" w14:textId="77777777" w:rsidR="00E37258" w:rsidRDefault="00E37258" w:rsidP="00E37258">
            <w:r>
              <w:rPr>
                <w:rFonts w:ascii="Cambria" w:eastAsia="Cambria" w:hAnsi="Cambria" w:cs="Cambria"/>
                <w:color w:val="111111"/>
                <w:sz w:val="18"/>
                <w:szCs w:val="18"/>
              </w:rPr>
              <w:t>ε, δ</w:t>
            </w:r>
          </w:p>
        </w:tc>
        <w:tc>
          <w:tcPr>
            <w:tcW w:w="5716" w:type="dxa"/>
            <w:shd w:val="clear" w:color="auto" w:fill="F2F2F2"/>
            <w:tcMar>
              <w:top w:w="60" w:type="dxa"/>
              <w:left w:w="100" w:type="dxa"/>
              <w:bottom w:w="60" w:type="dxa"/>
              <w:right w:w="100" w:type="dxa"/>
            </w:tcMar>
            <w:vAlign w:val="center"/>
          </w:tcPr>
          <w:p w14:paraId="3BF12DB8" w14:textId="77777777" w:rsidR="00E37258" w:rsidRDefault="00E37258" w:rsidP="00E37258">
            <w:pPr>
              <w:jc w:val="center"/>
            </w:pPr>
            <w:r>
              <w:rPr>
                <w:rFonts w:ascii="Cambria" w:eastAsia="Cambria" w:hAnsi="Cambria" w:cs="Cambria"/>
                <w:color w:val="111111"/>
                <w:sz w:val="18"/>
                <w:szCs w:val="18"/>
              </w:rPr>
              <w:t>Differential privacy budget and failure probability</w:t>
            </w:r>
          </w:p>
        </w:tc>
      </w:tr>
      <w:tr w:rsidR="00E37258" w14:paraId="4C44BFCC" w14:textId="77777777" w:rsidTr="00193FAA">
        <w:trPr>
          <w:trHeight w:val="202"/>
        </w:trPr>
        <w:tc>
          <w:tcPr>
            <w:tcW w:w="1962" w:type="dxa"/>
            <w:tcMar>
              <w:top w:w="60" w:type="dxa"/>
              <w:left w:w="100" w:type="dxa"/>
              <w:bottom w:w="60" w:type="dxa"/>
              <w:right w:w="100" w:type="dxa"/>
            </w:tcMar>
            <w:vAlign w:val="center"/>
          </w:tcPr>
          <w:p w14:paraId="298DA698" w14:textId="23BBB1B1" w:rsidR="00E37258" w:rsidRDefault="00193FAA" w:rsidP="00E37258">
            <w:r>
              <w:rPr>
                <w:rFonts w:ascii="Cambria" w:eastAsia="Cambria" w:hAnsi="Cambria" w:cs="Cambria"/>
                <w:color w:val="111111"/>
                <w:sz w:val="18"/>
                <w:szCs w:val="18"/>
              </w:rPr>
              <w:t>Σ</w:t>
            </w:r>
          </w:p>
        </w:tc>
        <w:tc>
          <w:tcPr>
            <w:tcW w:w="5716" w:type="dxa"/>
            <w:tcMar>
              <w:top w:w="60" w:type="dxa"/>
              <w:left w:w="100" w:type="dxa"/>
              <w:bottom w:w="60" w:type="dxa"/>
              <w:right w:w="100" w:type="dxa"/>
            </w:tcMar>
            <w:vAlign w:val="center"/>
          </w:tcPr>
          <w:p w14:paraId="3A3CDF06" w14:textId="77777777" w:rsidR="00E37258" w:rsidRDefault="00E37258" w:rsidP="00E37258">
            <w:pPr>
              <w:jc w:val="center"/>
            </w:pPr>
            <w:r>
              <w:rPr>
                <w:rFonts w:ascii="Cambria" w:eastAsia="Cambria" w:hAnsi="Cambria" w:cs="Cambria"/>
                <w:color w:val="111111"/>
                <w:sz w:val="18"/>
                <w:szCs w:val="18"/>
              </w:rPr>
              <w:t>Gaussian noise multiplier for DP-SGD</w:t>
            </w:r>
          </w:p>
        </w:tc>
      </w:tr>
      <w:tr w:rsidR="00E37258" w14:paraId="772E79FA" w14:textId="77777777" w:rsidTr="00193FAA">
        <w:trPr>
          <w:trHeight w:val="202"/>
        </w:trPr>
        <w:tc>
          <w:tcPr>
            <w:tcW w:w="1962" w:type="dxa"/>
            <w:shd w:val="clear" w:color="auto" w:fill="F2F2F2"/>
            <w:tcMar>
              <w:top w:w="60" w:type="dxa"/>
              <w:left w:w="100" w:type="dxa"/>
              <w:bottom w:w="60" w:type="dxa"/>
              <w:right w:w="100" w:type="dxa"/>
            </w:tcMar>
            <w:vAlign w:val="center"/>
          </w:tcPr>
          <w:p w14:paraId="047ECE0E" w14:textId="77777777" w:rsidR="00E37258" w:rsidRDefault="00E37258" w:rsidP="00E37258">
            <w:r>
              <w:rPr>
                <w:rFonts w:ascii="Cambria" w:eastAsia="Cambria" w:hAnsi="Cambria" w:cs="Cambria"/>
                <w:color w:val="111111"/>
                <w:sz w:val="18"/>
                <w:szCs w:val="18"/>
              </w:rPr>
              <w:t>C</w:t>
            </w:r>
          </w:p>
        </w:tc>
        <w:tc>
          <w:tcPr>
            <w:tcW w:w="5716" w:type="dxa"/>
            <w:shd w:val="clear" w:color="auto" w:fill="F2F2F2"/>
            <w:tcMar>
              <w:top w:w="60" w:type="dxa"/>
              <w:left w:w="100" w:type="dxa"/>
              <w:bottom w:w="60" w:type="dxa"/>
              <w:right w:w="100" w:type="dxa"/>
            </w:tcMar>
            <w:vAlign w:val="center"/>
          </w:tcPr>
          <w:p w14:paraId="0FB39381" w14:textId="77777777" w:rsidR="00E37258" w:rsidRDefault="00E37258" w:rsidP="00E37258">
            <w:pPr>
              <w:jc w:val="center"/>
            </w:pPr>
            <w:r>
              <w:rPr>
                <w:rFonts w:ascii="Cambria" w:eastAsia="Cambria" w:hAnsi="Cambria" w:cs="Cambria"/>
                <w:color w:val="111111"/>
                <w:sz w:val="18"/>
                <w:szCs w:val="18"/>
              </w:rPr>
              <w:t>Gradient clipping norm bound</w:t>
            </w:r>
          </w:p>
        </w:tc>
      </w:tr>
      <w:tr w:rsidR="00E37258" w14:paraId="1E1ADD18" w14:textId="77777777" w:rsidTr="00193FAA">
        <w:trPr>
          <w:trHeight w:val="186"/>
        </w:trPr>
        <w:tc>
          <w:tcPr>
            <w:tcW w:w="1962" w:type="dxa"/>
            <w:tcMar>
              <w:top w:w="60" w:type="dxa"/>
              <w:left w:w="100" w:type="dxa"/>
              <w:bottom w:w="60" w:type="dxa"/>
              <w:right w:w="100" w:type="dxa"/>
            </w:tcMar>
            <w:vAlign w:val="center"/>
          </w:tcPr>
          <w:p w14:paraId="4D0A5BEA" w14:textId="77777777" w:rsidR="00E37258" w:rsidRDefault="00E37258" w:rsidP="00E37258">
            <w:r>
              <w:rPr>
                <w:rFonts w:ascii="Cambria" w:eastAsia="Cambria" w:hAnsi="Cambria" w:cs="Cambria"/>
                <w:color w:val="111111"/>
                <w:sz w:val="18"/>
                <w:szCs w:val="18"/>
              </w:rPr>
              <w:t xml:space="preserve">pk, </w:t>
            </w:r>
            <w:proofErr w:type="spellStart"/>
            <w:r>
              <w:rPr>
                <w:rFonts w:ascii="Cambria" w:eastAsia="Cambria" w:hAnsi="Cambria" w:cs="Cambria"/>
                <w:color w:val="111111"/>
                <w:sz w:val="18"/>
                <w:szCs w:val="18"/>
              </w:rPr>
              <w:t>sk</w:t>
            </w:r>
            <w:proofErr w:type="spellEnd"/>
          </w:p>
        </w:tc>
        <w:tc>
          <w:tcPr>
            <w:tcW w:w="5716" w:type="dxa"/>
            <w:tcMar>
              <w:top w:w="60" w:type="dxa"/>
              <w:left w:w="100" w:type="dxa"/>
              <w:bottom w:w="60" w:type="dxa"/>
              <w:right w:w="100" w:type="dxa"/>
            </w:tcMar>
            <w:vAlign w:val="center"/>
          </w:tcPr>
          <w:p w14:paraId="2174EFA9" w14:textId="77777777" w:rsidR="00E37258" w:rsidRDefault="00E37258" w:rsidP="00E37258">
            <w:pPr>
              <w:jc w:val="center"/>
            </w:pPr>
            <w:r>
              <w:rPr>
                <w:rFonts w:ascii="Cambria" w:eastAsia="Cambria" w:hAnsi="Cambria" w:cs="Cambria"/>
                <w:color w:val="111111"/>
                <w:sz w:val="18"/>
                <w:szCs w:val="18"/>
              </w:rPr>
              <w:t>CKKS public and secret key pair</w:t>
            </w:r>
          </w:p>
        </w:tc>
      </w:tr>
      <w:tr w:rsidR="00E37258" w14:paraId="7B882DAC" w14:textId="77777777" w:rsidTr="00193FAA">
        <w:trPr>
          <w:trHeight w:val="202"/>
        </w:trPr>
        <w:tc>
          <w:tcPr>
            <w:tcW w:w="1962" w:type="dxa"/>
            <w:shd w:val="clear" w:color="auto" w:fill="F2F2F2"/>
            <w:tcMar>
              <w:top w:w="60" w:type="dxa"/>
              <w:left w:w="100" w:type="dxa"/>
              <w:bottom w:w="60" w:type="dxa"/>
              <w:right w:w="100" w:type="dxa"/>
            </w:tcMar>
            <w:vAlign w:val="center"/>
          </w:tcPr>
          <w:p w14:paraId="07A0AC20" w14:textId="77777777" w:rsidR="00E37258" w:rsidRDefault="00E37258" w:rsidP="00E37258">
            <w:r>
              <w:rPr>
                <w:rFonts w:ascii="Cambria" w:eastAsia="Cambria" w:hAnsi="Cambria" w:cs="Cambria"/>
                <w:color w:val="111111"/>
                <w:sz w:val="18"/>
                <w:szCs w:val="18"/>
              </w:rPr>
              <w:t>Δ</w:t>
            </w:r>
          </w:p>
        </w:tc>
        <w:tc>
          <w:tcPr>
            <w:tcW w:w="5716" w:type="dxa"/>
            <w:shd w:val="clear" w:color="auto" w:fill="F2F2F2"/>
            <w:tcMar>
              <w:top w:w="60" w:type="dxa"/>
              <w:left w:w="100" w:type="dxa"/>
              <w:bottom w:w="60" w:type="dxa"/>
              <w:right w:w="100" w:type="dxa"/>
            </w:tcMar>
            <w:vAlign w:val="center"/>
          </w:tcPr>
          <w:p w14:paraId="39F80943" w14:textId="77777777" w:rsidR="00E37258" w:rsidRDefault="00E37258" w:rsidP="00E37258">
            <w:pPr>
              <w:jc w:val="center"/>
            </w:pPr>
            <w:r>
              <w:rPr>
                <w:rFonts w:ascii="Cambria" w:eastAsia="Cambria" w:hAnsi="Cambria" w:cs="Cambria"/>
                <w:color w:val="111111"/>
                <w:sz w:val="18"/>
                <w:szCs w:val="18"/>
              </w:rPr>
              <w:t>CKKS scaling factor (rescaling precision)</w:t>
            </w:r>
          </w:p>
        </w:tc>
      </w:tr>
      <w:tr w:rsidR="00E37258" w14:paraId="7ED48567" w14:textId="77777777" w:rsidTr="00193FAA">
        <w:trPr>
          <w:trHeight w:val="202"/>
        </w:trPr>
        <w:tc>
          <w:tcPr>
            <w:tcW w:w="1962" w:type="dxa"/>
            <w:tcMar>
              <w:top w:w="60" w:type="dxa"/>
              <w:left w:w="100" w:type="dxa"/>
              <w:bottom w:w="60" w:type="dxa"/>
              <w:right w:w="100" w:type="dxa"/>
            </w:tcMar>
            <w:vAlign w:val="center"/>
          </w:tcPr>
          <w:p w14:paraId="324D13A0" w14:textId="77777777" w:rsidR="00E37258" w:rsidRDefault="00E37258" w:rsidP="00E37258">
            <w:r>
              <w:rPr>
                <w:rFonts w:ascii="Cambria" w:eastAsia="Cambria" w:hAnsi="Cambria" w:cs="Cambria"/>
                <w:color w:val="111111"/>
                <w:sz w:val="18"/>
                <w:szCs w:val="18"/>
              </w:rPr>
              <w:t>L</w:t>
            </w:r>
          </w:p>
        </w:tc>
        <w:tc>
          <w:tcPr>
            <w:tcW w:w="5716" w:type="dxa"/>
            <w:tcMar>
              <w:top w:w="60" w:type="dxa"/>
              <w:left w:w="100" w:type="dxa"/>
              <w:bottom w:w="60" w:type="dxa"/>
              <w:right w:w="100" w:type="dxa"/>
            </w:tcMar>
            <w:vAlign w:val="center"/>
          </w:tcPr>
          <w:p w14:paraId="51F6A994" w14:textId="77777777" w:rsidR="00E37258" w:rsidRDefault="00E37258" w:rsidP="00E37258">
            <w:pPr>
              <w:jc w:val="center"/>
            </w:pPr>
            <w:r>
              <w:rPr>
                <w:rFonts w:ascii="Cambria" w:eastAsia="Cambria" w:hAnsi="Cambria" w:cs="Cambria"/>
                <w:color w:val="111111"/>
                <w:sz w:val="18"/>
                <w:szCs w:val="18"/>
              </w:rPr>
              <w:t>CKKS multiplicative depth / circuit level budget</w:t>
            </w:r>
          </w:p>
        </w:tc>
      </w:tr>
      <w:tr w:rsidR="00E37258" w14:paraId="509C059D" w14:textId="77777777" w:rsidTr="00193FAA">
        <w:trPr>
          <w:trHeight w:val="202"/>
        </w:trPr>
        <w:tc>
          <w:tcPr>
            <w:tcW w:w="1962" w:type="dxa"/>
            <w:shd w:val="clear" w:color="auto" w:fill="F2F2F2"/>
            <w:tcMar>
              <w:top w:w="60" w:type="dxa"/>
              <w:left w:w="100" w:type="dxa"/>
              <w:bottom w:w="60" w:type="dxa"/>
              <w:right w:w="100" w:type="dxa"/>
            </w:tcMar>
            <w:vAlign w:val="center"/>
          </w:tcPr>
          <w:p w14:paraId="3A0EBD2D" w14:textId="77777777" w:rsidR="00E37258" w:rsidRDefault="00E37258" w:rsidP="00E37258">
            <w:r>
              <w:rPr>
                <w:rFonts w:ascii="Cambria" w:eastAsia="Cambria" w:hAnsi="Cambria" w:cs="Cambria"/>
                <w:color w:val="111111"/>
                <w:sz w:val="18"/>
                <w:szCs w:val="18"/>
              </w:rPr>
              <w:t>N</w:t>
            </w:r>
          </w:p>
        </w:tc>
        <w:tc>
          <w:tcPr>
            <w:tcW w:w="5716" w:type="dxa"/>
            <w:shd w:val="clear" w:color="auto" w:fill="F2F2F2"/>
            <w:tcMar>
              <w:top w:w="60" w:type="dxa"/>
              <w:left w:w="100" w:type="dxa"/>
              <w:bottom w:w="60" w:type="dxa"/>
              <w:right w:w="100" w:type="dxa"/>
            </w:tcMar>
            <w:vAlign w:val="center"/>
          </w:tcPr>
          <w:p w14:paraId="627C2B75" w14:textId="77777777" w:rsidR="00E37258" w:rsidRDefault="00E37258" w:rsidP="00E37258">
            <w:pPr>
              <w:jc w:val="center"/>
            </w:pPr>
            <w:r>
              <w:rPr>
                <w:rFonts w:ascii="Cambria" w:eastAsia="Cambria" w:hAnsi="Cambria" w:cs="Cambria"/>
                <w:color w:val="111111"/>
                <w:sz w:val="18"/>
                <w:szCs w:val="18"/>
              </w:rPr>
              <w:t>CKKS polynomial ring degree (slot capacity = N/2)</w:t>
            </w:r>
          </w:p>
        </w:tc>
      </w:tr>
      <w:tr w:rsidR="00E37258" w14:paraId="41CBDDE0" w14:textId="77777777" w:rsidTr="00193FAA">
        <w:trPr>
          <w:trHeight w:val="186"/>
        </w:trPr>
        <w:tc>
          <w:tcPr>
            <w:tcW w:w="1962" w:type="dxa"/>
            <w:tcMar>
              <w:top w:w="60" w:type="dxa"/>
              <w:left w:w="100" w:type="dxa"/>
              <w:bottom w:w="60" w:type="dxa"/>
              <w:right w:w="100" w:type="dxa"/>
            </w:tcMar>
            <w:vAlign w:val="center"/>
          </w:tcPr>
          <w:p w14:paraId="0C903746" w14:textId="77777777" w:rsidR="00E37258" w:rsidRDefault="00E37258" w:rsidP="00E37258">
            <w:proofErr w:type="gramStart"/>
            <w:r>
              <w:rPr>
                <w:rFonts w:ascii="Cambria" w:eastAsia="Cambria" w:hAnsi="Cambria" w:cs="Cambria"/>
                <w:color w:val="111111"/>
                <w:sz w:val="18"/>
                <w:szCs w:val="18"/>
              </w:rPr>
              <w:t>Enc(</w:t>
            </w:r>
            <w:proofErr w:type="gramEnd"/>
            <w:r>
              <w:rPr>
                <w:rFonts w:ascii="Cambria" w:eastAsia="Cambria" w:hAnsi="Cambria" w:cs="Cambria"/>
                <w:color w:val="111111"/>
                <w:sz w:val="18"/>
                <w:szCs w:val="18"/>
              </w:rPr>
              <w:t xml:space="preserve">·), </w:t>
            </w:r>
            <w:proofErr w:type="gramStart"/>
            <w:r>
              <w:rPr>
                <w:rFonts w:ascii="Cambria" w:eastAsia="Cambria" w:hAnsi="Cambria" w:cs="Cambria"/>
                <w:color w:val="111111"/>
                <w:sz w:val="18"/>
                <w:szCs w:val="18"/>
              </w:rPr>
              <w:t>Dec(</w:t>
            </w:r>
            <w:proofErr w:type="gramEnd"/>
            <w:r>
              <w:rPr>
                <w:rFonts w:ascii="Cambria" w:eastAsia="Cambria" w:hAnsi="Cambria" w:cs="Cambria"/>
                <w:color w:val="111111"/>
                <w:sz w:val="18"/>
                <w:szCs w:val="18"/>
              </w:rPr>
              <w:t>·)</w:t>
            </w:r>
          </w:p>
        </w:tc>
        <w:tc>
          <w:tcPr>
            <w:tcW w:w="5716" w:type="dxa"/>
            <w:tcMar>
              <w:top w:w="60" w:type="dxa"/>
              <w:left w:w="100" w:type="dxa"/>
              <w:bottom w:w="60" w:type="dxa"/>
              <w:right w:w="100" w:type="dxa"/>
            </w:tcMar>
            <w:vAlign w:val="center"/>
          </w:tcPr>
          <w:p w14:paraId="13A526BD" w14:textId="77777777" w:rsidR="00E37258" w:rsidRDefault="00E37258" w:rsidP="00E37258">
            <w:pPr>
              <w:jc w:val="center"/>
            </w:pPr>
            <w:r>
              <w:rPr>
                <w:rFonts w:ascii="Cambria" w:eastAsia="Cambria" w:hAnsi="Cambria" w:cs="Cambria"/>
                <w:color w:val="111111"/>
                <w:sz w:val="18"/>
                <w:szCs w:val="18"/>
              </w:rPr>
              <w:t>CKKS encryption and decryption operations</w:t>
            </w:r>
          </w:p>
        </w:tc>
      </w:tr>
      <w:tr w:rsidR="00E37258" w14:paraId="067D72A6" w14:textId="77777777" w:rsidTr="00193FAA">
        <w:trPr>
          <w:trHeight w:val="202"/>
        </w:trPr>
        <w:tc>
          <w:tcPr>
            <w:tcW w:w="1962" w:type="dxa"/>
            <w:shd w:val="clear" w:color="auto" w:fill="F2F2F2"/>
            <w:tcMar>
              <w:top w:w="60" w:type="dxa"/>
              <w:left w:w="100" w:type="dxa"/>
              <w:bottom w:w="60" w:type="dxa"/>
              <w:right w:w="100" w:type="dxa"/>
            </w:tcMar>
            <w:vAlign w:val="center"/>
          </w:tcPr>
          <w:p w14:paraId="450BC393" w14:textId="77777777" w:rsidR="00E37258" w:rsidRDefault="00E37258" w:rsidP="00E37258">
            <w:r>
              <w:rPr>
                <w:rFonts w:ascii="Cambria" w:eastAsia="Cambria" w:hAnsi="Cambria" w:cs="Cambria"/>
                <w:color w:val="111111"/>
                <w:sz w:val="18"/>
                <w:szCs w:val="18"/>
              </w:rPr>
              <w:t>Λ</w:t>
            </w:r>
          </w:p>
        </w:tc>
        <w:tc>
          <w:tcPr>
            <w:tcW w:w="5716" w:type="dxa"/>
            <w:shd w:val="clear" w:color="auto" w:fill="F2F2F2"/>
            <w:tcMar>
              <w:top w:w="60" w:type="dxa"/>
              <w:left w:w="100" w:type="dxa"/>
              <w:bottom w:w="60" w:type="dxa"/>
              <w:right w:w="100" w:type="dxa"/>
            </w:tcMar>
            <w:vAlign w:val="center"/>
          </w:tcPr>
          <w:p w14:paraId="6F5AB923" w14:textId="77777777" w:rsidR="00E37258" w:rsidRDefault="00E37258" w:rsidP="00E37258">
            <w:pPr>
              <w:jc w:val="center"/>
            </w:pPr>
            <w:r>
              <w:rPr>
                <w:rFonts w:ascii="Cambria" w:eastAsia="Cambria" w:hAnsi="Cambria" w:cs="Cambria"/>
                <w:color w:val="111111"/>
                <w:sz w:val="18"/>
                <w:szCs w:val="18"/>
              </w:rPr>
              <w:t>Computational security parameter (bits)</w:t>
            </w:r>
          </w:p>
        </w:tc>
      </w:tr>
      <w:tr w:rsidR="00E37258" w14:paraId="2C5C9787" w14:textId="77777777" w:rsidTr="00193FAA">
        <w:trPr>
          <w:trHeight w:val="186"/>
        </w:trPr>
        <w:tc>
          <w:tcPr>
            <w:tcW w:w="1962" w:type="dxa"/>
            <w:tcMar>
              <w:top w:w="60" w:type="dxa"/>
              <w:left w:w="100" w:type="dxa"/>
              <w:bottom w:w="60" w:type="dxa"/>
              <w:right w:w="100" w:type="dxa"/>
            </w:tcMar>
            <w:vAlign w:val="center"/>
          </w:tcPr>
          <w:p w14:paraId="15A3F265" w14:textId="77777777" w:rsidR="00E37258" w:rsidRDefault="00E37258" w:rsidP="00E37258">
            <w:r>
              <w:rPr>
                <w:rFonts w:ascii="Cambria" w:eastAsia="Cambria" w:hAnsi="Cambria" w:cs="Cambria"/>
                <w:color w:val="111111"/>
                <w:sz w:val="18"/>
                <w:szCs w:val="18"/>
              </w:rPr>
              <w:t>Acc, Lat</w:t>
            </w:r>
          </w:p>
        </w:tc>
        <w:tc>
          <w:tcPr>
            <w:tcW w:w="5716" w:type="dxa"/>
            <w:tcMar>
              <w:top w:w="60" w:type="dxa"/>
              <w:left w:w="100" w:type="dxa"/>
              <w:bottom w:w="60" w:type="dxa"/>
              <w:right w:w="100" w:type="dxa"/>
            </w:tcMar>
            <w:vAlign w:val="center"/>
          </w:tcPr>
          <w:p w14:paraId="4D96C6FC" w14:textId="77777777" w:rsidR="00E37258" w:rsidRDefault="00E37258" w:rsidP="00E37258">
            <w:pPr>
              <w:jc w:val="center"/>
            </w:pPr>
            <w:r>
              <w:rPr>
                <w:rFonts w:ascii="Cambria" w:eastAsia="Cambria" w:hAnsi="Cambria" w:cs="Cambria"/>
                <w:color w:val="111111"/>
                <w:sz w:val="18"/>
                <w:szCs w:val="18"/>
              </w:rPr>
              <w:t>Model test accuracy and end-to-end inference latency</w:t>
            </w:r>
          </w:p>
        </w:tc>
      </w:tr>
    </w:tbl>
    <w:p w14:paraId="7D9467CD" w14:textId="77777777" w:rsidR="00193FAA" w:rsidRDefault="00193FAA" w:rsidP="00E37258">
      <w:pPr>
        <w:spacing w:after="160" w:line="276" w:lineRule="auto"/>
        <w:jc w:val="both"/>
        <w:rPr>
          <w:rFonts w:ascii="Cambria" w:eastAsia="Cambria" w:hAnsi="Cambria" w:cs="Cambria"/>
          <w:b/>
          <w:bCs/>
          <w:caps/>
          <w:sz w:val="26"/>
          <w:szCs w:val="26"/>
        </w:rPr>
      </w:pPr>
    </w:p>
    <w:p w14:paraId="79BA77A9" w14:textId="77777777" w:rsidR="00193FAA" w:rsidRDefault="00193FAA" w:rsidP="00E37258">
      <w:pPr>
        <w:spacing w:after="160" w:line="276" w:lineRule="auto"/>
        <w:jc w:val="both"/>
        <w:rPr>
          <w:rFonts w:ascii="Cambria" w:eastAsia="Cambria" w:hAnsi="Cambria" w:cs="Cambria"/>
          <w:b/>
          <w:bCs/>
          <w:caps/>
          <w:sz w:val="26"/>
          <w:szCs w:val="26"/>
        </w:rPr>
      </w:pPr>
    </w:p>
    <w:p w14:paraId="2E007CC7" w14:textId="77777777" w:rsidR="00193FAA" w:rsidRDefault="00193FAA" w:rsidP="00E37258">
      <w:pPr>
        <w:spacing w:after="160" w:line="276" w:lineRule="auto"/>
        <w:jc w:val="both"/>
        <w:rPr>
          <w:rFonts w:ascii="Cambria" w:eastAsia="Cambria" w:hAnsi="Cambria" w:cs="Cambria"/>
          <w:b/>
          <w:bCs/>
          <w:caps/>
          <w:sz w:val="26"/>
          <w:szCs w:val="26"/>
        </w:rPr>
      </w:pPr>
    </w:p>
    <w:p w14:paraId="4A029050" w14:textId="77777777" w:rsidR="00193FAA" w:rsidRDefault="00193FAA" w:rsidP="00E37258">
      <w:pPr>
        <w:spacing w:after="160" w:line="276" w:lineRule="auto"/>
        <w:jc w:val="both"/>
        <w:rPr>
          <w:rFonts w:ascii="Cambria" w:eastAsia="Cambria" w:hAnsi="Cambria" w:cs="Cambria"/>
          <w:b/>
          <w:bCs/>
          <w:caps/>
          <w:sz w:val="26"/>
          <w:szCs w:val="26"/>
        </w:rPr>
      </w:pPr>
    </w:p>
    <w:p w14:paraId="14D60BE0" w14:textId="77777777" w:rsidR="00193FAA" w:rsidRDefault="00193FAA" w:rsidP="00E37258">
      <w:pPr>
        <w:spacing w:after="160" w:line="276" w:lineRule="auto"/>
        <w:jc w:val="both"/>
        <w:rPr>
          <w:rFonts w:ascii="Cambria" w:eastAsia="Cambria" w:hAnsi="Cambria" w:cs="Cambria"/>
          <w:b/>
          <w:bCs/>
          <w:caps/>
          <w:sz w:val="26"/>
          <w:szCs w:val="26"/>
        </w:rPr>
      </w:pPr>
    </w:p>
    <w:p w14:paraId="71D161E3" w14:textId="77777777" w:rsidR="00193FAA" w:rsidRDefault="00193FAA" w:rsidP="00E37258">
      <w:pPr>
        <w:spacing w:after="160" w:line="276" w:lineRule="auto"/>
        <w:jc w:val="both"/>
        <w:rPr>
          <w:rFonts w:ascii="Cambria" w:eastAsia="Cambria" w:hAnsi="Cambria" w:cs="Cambria"/>
          <w:b/>
          <w:bCs/>
          <w:caps/>
          <w:sz w:val="26"/>
          <w:szCs w:val="26"/>
        </w:rPr>
      </w:pPr>
    </w:p>
    <w:p w14:paraId="472B4AFD" w14:textId="77777777" w:rsidR="00193FAA" w:rsidRDefault="00193FAA" w:rsidP="00E37258">
      <w:pPr>
        <w:spacing w:after="160" w:line="276" w:lineRule="auto"/>
        <w:jc w:val="both"/>
        <w:rPr>
          <w:rFonts w:ascii="Cambria" w:eastAsia="Cambria" w:hAnsi="Cambria" w:cs="Cambria"/>
          <w:b/>
          <w:bCs/>
          <w:caps/>
          <w:sz w:val="26"/>
          <w:szCs w:val="26"/>
        </w:rPr>
      </w:pPr>
    </w:p>
    <w:p w14:paraId="11DDEBEB" w14:textId="77777777" w:rsidR="00193FAA" w:rsidRDefault="00193FAA" w:rsidP="00E37258">
      <w:pPr>
        <w:spacing w:after="160" w:line="276" w:lineRule="auto"/>
        <w:jc w:val="both"/>
        <w:rPr>
          <w:rFonts w:ascii="Cambria" w:eastAsia="Cambria" w:hAnsi="Cambria" w:cs="Cambria"/>
          <w:b/>
          <w:bCs/>
          <w:caps/>
          <w:sz w:val="26"/>
          <w:szCs w:val="26"/>
        </w:rPr>
      </w:pPr>
    </w:p>
    <w:p w14:paraId="4A6A02E0" w14:textId="77777777" w:rsidR="00193FAA" w:rsidRDefault="00193FAA" w:rsidP="00E37258">
      <w:pPr>
        <w:spacing w:after="160" w:line="276" w:lineRule="auto"/>
        <w:jc w:val="both"/>
        <w:rPr>
          <w:rFonts w:ascii="Cambria" w:eastAsia="Cambria" w:hAnsi="Cambria" w:cs="Cambria"/>
          <w:b/>
          <w:bCs/>
          <w:caps/>
          <w:sz w:val="26"/>
          <w:szCs w:val="26"/>
        </w:rPr>
      </w:pPr>
    </w:p>
    <w:p w14:paraId="065D6D48" w14:textId="09B04594" w:rsidR="00AB5DCE" w:rsidRDefault="00000000" w:rsidP="00E37258">
      <w:pPr>
        <w:spacing w:after="160" w:line="276" w:lineRule="auto"/>
        <w:jc w:val="both"/>
      </w:pPr>
      <w:r>
        <w:rPr>
          <w:rFonts w:ascii="Cambria" w:eastAsia="Cambria" w:hAnsi="Cambria" w:cs="Cambria"/>
          <w:b/>
          <w:bCs/>
          <w:caps/>
          <w:sz w:val="26"/>
          <w:szCs w:val="26"/>
        </w:rPr>
        <w:t>V. Experimental Methodology</w:t>
      </w:r>
    </w:p>
    <w:p w14:paraId="5EC7CF68" w14:textId="77777777" w:rsidR="00E37258" w:rsidRDefault="00E37258" w:rsidP="00E37258">
      <w:pPr>
        <w:spacing w:before="100" w:after="260"/>
        <w:jc w:val="both"/>
        <w:rPr>
          <w:rFonts w:ascii="Cambria" w:eastAsia="Cambria" w:hAnsi="Cambria" w:cs="Cambria"/>
          <w:sz w:val="22"/>
          <w:szCs w:val="22"/>
        </w:rPr>
      </w:pPr>
      <w:r>
        <w:rPr>
          <w:rFonts w:ascii="Cambria" w:eastAsia="Cambria" w:hAnsi="Cambria" w:cs="Cambria"/>
          <w:sz w:val="22"/>
          <w:szCs w:val="22"/>
        </w:rPr>
        <w:t>For the cryptographic layer, we implemented the tri-layered architecture with Microsoft SEAL (CKKS scheme) [10], for the statistical layer a custom DP-SGD implementation with Rényi DP accounting [9], and for the split-learning layer a manually partitioned CNN-BiLSTM hybrid network. The whole experimental configuration is presented in Table III.</w:t>
      </w:r>
    </w:p>
    <w:p w14:paraId="3BC70E3F" w14:textId="49EE8742" w:rsidR="00AB5DCE" w:rsidRDefault="00000000" w:rsidP="00E37258">
      <w:pPr>
        <w:spacing w:before="100" w:after="260"/>
        <w:jc w:val="center"/>
      </w:pPr>
      <w:r>
        <w:rPr>
          <w:rFonts w:ascii="Cambria" w:eastAsia="Cambria" w:hAnsi="Cambria" w:cs="Cambria"/>
          <w:b/>
          <w:bCs/>
        </w:rPr>
        <w:t>TABLE III. Experimental Configuration Parameters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AB5DCE" w14:paraId="260DCE93" w14:textId="77777777">
        <w:trPr>
          <w:tblHeader/>
        </w:trPr>
        <w:tc>
          <w:tcPr>
            <w:tcW w:w="4500" w:type="dxa"/>
            <w:shd w:val="clear" w:color="auto" w:fill="1F3864"/>
            <w:tcMar>
              <w:top w:w="60" w:type="dxa"/>
              <w:left w:w="100" w:type="dxa"/>
              <w:bottom w:w="60" w:type="dxa"/>
              <w:right w:w="100" w:type="dxa"/>
            </w:tcMar>
            <w:vAlign w:val="center"/>
          </w:tcPr>
          <w:p w14:paraId="5E7A6512" w14:textId="77777777" w:rsidR="00AB5DCE" w:rsidRDefault="00000000">
            <w:pPr>
              <w:jc w:val="center"/>
            </w:pPr>
            <w:r>
              <w:rPr>
                <w:rFonts w:ascii="Cambria" w:eastAsia="Cambria" w:hAnsi="Cambria" w:cs="Cambria"/>
                <w:b/>
                <w:bCs/>
                <w:color w:val="FFFFFF"/>
                <w:sz w:val="18"/>
                <w:szCs w:val="18"/>
              </w:rPr>
              <w:t>Parameter</w:t>
            </w:r>
          </w:p>
        </w:tc>
        <w:tc>
          <w:tcPr>
            <w:tcW w:w="4500" w:type="dxa"/>
            <w:shd w:val="clear" w:color="auto" w:fill="1F3864"/>
            <w:tcMar>
              <w:top w:w="60" w:type="dxa"/>
              <w:left w:w="100" w:type="dxa"/>
              <w:bottom w:w="60" w:type="dxa"/>
              <w:right w:w="100" w:type="dxa"/>
            </w:tcMar>
            <w:vAlign w:val="center"/>
          </w:tcPr>
          <w:p w14:paraId="188449BE" w14:textId="77777777" w:rsidR="00AB5DCE" w:rsidRDefault="00000000">
            <w:pPr>
              <w:jc w:val="center"/>
            </w:pPr>
            <w:r>
              <w:rPr>
                <w:rFonts w:ascii="Cambria" w:eastAsia="Cambria" w:hAnsi="Cambria" w:cs="Cambria"/>
                <w:b/>
                <w:bCs/>
                <w:color w:val="FFFFFF"/>
                <w:sz w:val="18"/>
                <w:szCs w:val="18"/>
              </w:rPr>
              <w:t>Value</w:t>
            </w:r>
          </w:p>
        </w:tc>
      </w:tr>
      <w:tr w:rsidR="00AB5DCE" w14:paraId="134741DA" w14:textId="77777777">
        <w:tc>
          <w:tcPr>
            <w:tcW w:w="4500" w:type="dxa"/>
            <w:tcMar>
              <w:top w:w="60" w:type="dxa"/>
              <w:left w:w="100" w:type="dxa"/>
              <w:bottom w:w="60" w:type="dxa"/>
              <w:right w:w="100" w:type="dxa"/>
            </w:tcMar>
            <w:vAlign w:val="center"/>
          </w:tcPr>
          <w:p w14:paraId="7ABA9AFD" w14:textId="77777777" w:rsidR="00AB5DCE" w:rsidRDefault="00000000">
            <w:r>
              <w:rPr>
                <w:rFonts w:ascii="Cambria" w:eastAsia="Cambria" w:hAnsi="Cambria" w:cs="Cambria"/>
                <w:color w:val="111111"/>
                <w:sz w:val="18"/>
                <w:szCs w:val="18"/>
              </w:rPr>
              <w:t>Datasets</w:t>
            </w:r>
          </w:p>
        </w:tc>
        <w:tc>
          <w:tcPr>
            <w:tcW w:w="4500" w:type="dxa"/>
            <w:tcMar>
              <w:top w:w="60" w:type="dxa"/>
              <w:left w:w="100" w:type="dxa"/>
              <w:bottom w:w="60" w:type="dxa"/>
              <w:right w:w="100" w:type="dxa"/>
            </w:tcMar>
            <w:vAlign w:val="center"/>
          </w:tcPr>
          <w:p w14:paraId="63D8E7F3" w14:textId="77777777" w:rsidR="00AB5DCE" w:rsidRDefault="00000000">
            <w:pPr>
              <w:jc w:val="center"/>
            </w:pPr>
            <w:r>
              <w:rPr>
                <w:rFonts w:ascii="Cambria" w:eastAsia="Cambria" w:hAnsi="Cambria" w:cs="Cambria"/>
                <w:color w:val="111111"/>
                <w:sz w:val="18"/>
                <w:szCs w:val="18"/>
              </w:rPr>
              <w:t>CIFAR-10, MNIST, and a proprietary T&amp;D fault-signature dataset (7-class)</w:t>
            </w:r>
          </w:p>
        </w:tc>
      </w:tr>
      <w:tr w:rsidR="00AB5DCE" w14:paraId="49A0E9E1" w14:textId="77777777">
        <w:tc>
          <w:tcPr>
            <w:tcW w:w="4500" w:type="dxa"/>
            <w:shd w:val="clear" w:color="auto" w:fill="F2F2F2"/>
            <w:tcMar>
              <w:top w:w="60" w:type="dxa"/>
              <w:left w:w="100" w:type="dxa"/>
              <w:bottom w:w="60" w:type="dxa"/>
              <w:right w:w="100" w:type="dxa"/>
            </w:tcMar>
            <w:vAlign w:val="center"/>
          </w:tcPr>
          <w:p w14:paraId="2FB6033D" w14:textId="77777777" w:rsidR="00AB5DCE" w:rsidRDefault="00000000">
            <w:r>
              <w:rPr>
                <w:rFonts w:ascii="Cambria" w:eastAsia="Cambria" w:hAnsi="Cambria" w:cs="Cambria"/>
                <w:color w:val="111111"/>
                <w:sz w:val="18"/>
                <w:szCs w:val="18"/>
              </w:rPr>
              <w:t>Backbone model</w:t>
            </w:r>
          </w:p>
        </w:tc>
        <w:tc>
          <w:tcPr>
            <w:tcW w:w="4500" w:type="dxa"/>
            <w:shd w:val="clear" w:color="auto" w:fill="F2F2F2"/>
            <w:tcMar>
              <w:top w:w="60" w:type="dxa"/>
              <w:left w:w="100" w:type="dxa"/>
              <w:bottom w:w="60" w:type="dxa"/>
              <w:right w:w="100" w:type="dxa"/>
            </w:tcMar>
            <w:vAlign w:val="center"/>
          </w:tcPr>
          <w:p w14:paraId="74A71A17" w14:textId="77777777" w:rsidR="00AB5DCE" w:rsidRDefault="00000000">
            <w:pPr>
              <w:jc w:val="center"/>
            </w:pPr>
            <w:r>
              <w:rPr>
                <w:rFonts w:ascii="Cambria" w:eastAsia="Cambria" w:hAnsi="Cambria" w:cs="Cambria"/>
                <w:color w:val="111111"/>
                <w:sz w:val="18"/>
                <w:szCs w:val="18"/>
              </w:rPr>
              <w:t>CNN-BiLSTM hybrid (client: 3 conv blocks; server: BiLSTM + dense head)</w:t>
            </w:r>
          </w:p>
        </w:tc>
      </w:tr>
      <w:tr w:rsidR="00AB5DCE" w14:paraId="55757C92" w14:textId="77777777">
        <w:tc>
          <w:tcPr>
            <w:tcW w:w="4500" w:type="dxa"/>
            <w:tcMar>
              <w:top w:w="60" w:type="dxa"/>
              <w:left w:w="100" w:type="dxa"/>
              <w:bottom w:w="60" w:type="dxa"/>
              <w:right w:w="100" w:type="dxa"/>
            </w:tcMar>
            <w:vAlign w:val="center"/>
          </w:tcPr>
          <w:p w14:paraId="3D392A97" w14:textId="77777777" w:rsidR="00AB5DCE" w:rsidRDefault="00000000">
            <w:r>
              <w:rPr>
                <w:rFonts w:ascii="Cambria" w:eastAsia="Cambria" w:hAnsi="Cambria" w:cs="Cambria"/>
                <w:color w:val="111111"/>
                <w:sz w:val="18"/>
                <w:szCs w:val="18"/>
              </w:rPr>
              <w:t>Split point</w:t>
            </w:r>
          </w:p>
        </w:tc>
        <w:tc>
          <w:tcPr>
            <w:tcW w:w="4500" w:type="dxa"/>
            <w:tcMar>
              <w:top w:w="60" w:type="dxa"/>
              <w:left w:w="100" w:type="dxa"/>
              <w:bottom w:w="60" w:type="dxa"/>
              <w:right w:w="100" w:type="dxa"/>
            </w:tcMar>
            <w:vAlign w:val="center"/>
          </w:tcPr>
          <w:p w14:paraId="5523B221" w14:textId="77777777" w:rsidR="00AB5DCE" w:rsidRDefault="00000000">
            <w:pPr>
              <w:jc w:val="center"/>
            </w:pPr>
            <w:r>
              <w:rPr>
                <w:rFonts w:ascii="Cambria" w:eastAsia="Cambria" w:hAnsi="Cambria" w:cs="Cambria"/>
                <w:color w:val="111111"/>
                <w:sz w:val="18"/>
                <w:szCs w:val="18"/>
              </w:rPr>
              <w:t>After 3rd convolutional block (activation tensor: 8×8×64)</w:t>
            </w:r>
          </w:p>
        </w:tc>
      </w:tr>
      <w:tr w:rsidR="00AB5DCE" w14:paraId="7C165AFD" w14:textId="77777777">
        <w:tc>
          <w:tcPr>
            <w:tcW w:w="4500" w:type="dxa"/>
            <w:shd w:val="clear" w:color="auto" w:fill="F2F2F2"/>
            <w:tcMar>
              <w:top w:w="60" w:type="dxa"/>
              <w:left w:w="100" w:type="dxa"/>
              <w:bottom w:w="60" w:type="dxa"/>
              <w:right w:w="100" w:type="dxa"/>
            </w:tcMar>
            <w:vAlign w:val="center"/>
          </w:tcPr>
          <w:p w14:paraId="1738CC0D" w14:textId="77777777" w:rsidR="00AB5DCE" w:rsidRDefault="00000000">
            <w:r>
              <w:rPr>
                <w:rFonts w:ascii="Cambria" w:eastAsia="Cambria" w:hAnsi="Cambria" w:cs="Cambria"/>
                <w:color w:val="111111"/>
                <w:sz w:val="18"/>
                <w:szCs w:val="18"/>
              </w:rPr>
              <w:t>DP mechanism</w:t>
            </w:r>
          </w:p>
        </w:tc>
        <w:tc>
          <w:tcPr>
            <w:tcW w:w="4500" w:type="dxa"/>
            <w:shd w:val="clear" w:color="auto" w:fill="F2F2F2"/>
            <w:tcMar>
              <w:top w:w="60" w:type="dxa"/>
              <w:left w:w="100" w:type="dxa"/>
              <w:bottom w:w="60" w:type="dxa"/>
              <w:right w:w="100" w:type="dxa"/>
            </w:tcMar>
            <w:vAlign w:val="center"/>
          </w:tcPr>
          <w:p w14:paraId="78F8CE7C" w14:textId="77777777" w:rsidR="00AB5DCE" w:rsidRDefault="00000000">
            <w:pPr>
              <w:jc w:val="center"/>
            </w:pPr>
            <w:r>
              <w:rPr>
                <w:rFonts w:ascii="Cambria" w:eastAsia="Cambria" w:hAnsi="Cambria" w:cs="Cambria"/>
                <w:color w:val="111111"/>
                <w:sz w:val="18"/>
                <w:szCs w:val="18"/>
              </w:rPr>
              <w:t>DP-SGD with per-example gradient clipping</w:t>
            </w:r>
          </w:p>
        </w:tc>
      </w:tr>
      <w:tr w:rsidR="00AB5DCE" w14:paraId="3D070B81" w14:textId="77777777">
        <w:tc>
          <w:tcPr>
            <w:tcW w:w="4500" w:type="dxa"/>
            <w:tcMar>
              <w:top w:w="60" w:type="dxa"/>
              <w:left w:w="100" w:type="dxa"/>
              <w:bottom w:w="60" w:type="dxa"/>
              <w:right w:w="100" w:type="dxa"/>
            </w:tcMar>
            <w:vAlign w:val="center"/>
          </w:tcPr>
          <w:p w14:paraId="00AD8424" w14:textId="77777777" w:rsidR="00AB5DCE" w:rsidRDefault="00000000">
            <w:r>
              <w:rPr>
                <w:rFonts w:ascii="Cambria" w:eastAsia="Cambria" w:hAnsi="Cambria" w:cs="Cambria"/>
                <w:color w:val="111111"/>
                <w:sz w:val="18"/>
                <w:szCs w:val="18"/>
              </w:rPr>
              <w:lastRenderedPageBreak/>
              <w:t>Clipping norm C</w:t>
            </w:r>
          </w:p>
        </w:tc>
        <w:tc>
          <w:tcPr>
            <w:tcW w:w="4500" w:type="dxa"/>
            <w:tcMar>
              <w:top w:w="60" w:type="dxa"/>
              <w:left w:w="100" w:type="dxa"/>
              <w:bottom w:w="60" w:type="dxa"/>
              <w:right w:w="100" w:type="dxa"/>
            </w:tcMar>
            <w:vAlign w:val="center"/>
          </w:tcPr>
          <w:p w14:paraId="1BB2FFAB" w14:textId="77777777" w:rsidR="00AB5DCE" w:rsidRDefault="00000000">
            <w:pPr>
              <w:jc w:val="center"/>
            </w:pPr>
            <w:r>
              <w:rPr>
                <w:rFonts w:ascii="Cambria" w:eastAsia="Cambria" w:hAnsi="Cambria" w:cs="Cambria"/>
                <w:color w:val="111111"/>
                <w:sz w:val="18"/>
                <w:szCs w:val="18"/>
              </w:rPr>
              <w:t>1.0</w:t>
            </w:r>
          </w:p>
        </w:tc>
      </w:tr>
      <w:tr w:rsidR="00AB5DCE" w14:paraId="1B77EB51" w14:textId="77777777">
        <w:tc>
          <w:tcPr>
            <w:tcW w:w="4500" w:type="dxa"/>
            <w:shd w:val="clear" w:color="auto" w:fill="F2F2F2"/>
            <w:tcMar>
              <w:top w:w="60" w:type="dxa"/>
              <w:left w:w="100" w:type="dxa"/>
              <w:bottom w:w="60" w:type="dxa"/>
              <w:right w:w="100" w:type="dxa"/>
            </w:tcMar>
            <w:vAlign w:val="center"/>
          </w:tcPr>
          <w:p w14:paraId="525124AC" w14:textId="77777777" w:rsidR="00AB5DCE" w:rsidRDefault="00000000">
            <w:r>
              <w:rPr>
                <w:rFonts w:ascii="Cambria" w:eastAsia="Cambria" w:hAnsi="Cambria" w:cs="Cambria"/>
                <w:color w:val="111111"/>
                <w:sz w:val="18"/>
                <w:szCs w:val="18"/>
              </w:rPr>
              <w:t>Noise multiplier σ</w:t>
            </w:r>
          </w:p>
        </w:tc>
        <w:tc>
          <w:tcPr>
            <w:tcW w:w="4500" w:type="dxa"/>
            <w:shd w:val="clear" w:color="auto" w:fill="F2F2F2"/>
            <w:tcMar>
              <w:top w:w="60" w:type="dxa"/>
              <w:left w:w="100" w:type="dxa"/>
              <w:bottom w:w="60" w:type="dxa"/>
              <w:right w:w="100" w:type="dxa"/>
            </w:tcMar>
            <w:vAlign w:val="center"/>
          </w:tcPr>
          <w:p w14:paraId="0DF8C3B0" w14:textId="77777777" w:rsidR="00AB5DCE" w:rsidRDefault="00000000">
            <w:pPr>
              <w:jc w:val="center"/>
            </w:pPr>
            <w:r>
              <w:rPr>
                <w:rFonts w:ascii="Cambria" w:eastAsia="Cambria" w:hAnsi="Cambria" w:cs="Cambria"/>
                <w:color w:val="111111"/>
                <w:sz w:val="18"/>
                <w:szCs w:val="18"/>
              </w:rPr>
              <w:t>0.6 – 1.4 (swept)</w:t>
            </w:r>
          </w:p>
        </w:tc>
      </w:tr>
      <w:tr w:rsidR="00AB5DCE" w14:paraId="6399621A" w14:textId="77777777">
        <w:tc>
          <w:tcPr>
            <w:tcW w:w="4500" w:type="dxa"/>
            <w:tcMar>
              <w:top w:w="60" w:type="dxa"/>
              <w:left w:w="100" w:type="dxa"/>
              <w:bottom w:w="60" w:type="dxa"/>
              <w:right w:w="100" w:type="dxa"/>
            </w:tcMar>
            <w:vAlign w:val="center"/>
          </w:tcPr>
          <w:p w14:paraId="628B34A0" w14:textId="77777777" w:rsidR="00AB5DCE" w:rsidRDefault="00000000">
            <w:r>
              <w:rPr>
                <w:rFonts w:ascii="Cambria" w:eastAsia="Cambria" w:hAnsi="Cambria" w:cs="Cambria"/>
                <w:color w:val="111111"/>
                <w:sz w:val="18"/>
                <w:szCs w:val="18"/>
              </w:rPr>
              <w:t>Privacy budget ε</w:t>
            </w:r>
          </w:p>
        </w:tc>
        <w:tc>
          <w:tcPr>
            <w:tcW w:w="4500" w:type="dxa"/>
            <w:tcMar>
              <w:top w:w="60" w:type="dxa"/>
              <w:left w:w="100" w:type="dxa"/>
              <w:bottom w:w="60" w:type="dxa"/>
              <w:right w:w="100" w:type="dxa"/>
            </w:tcMar>
            <w:vAlign w:val="center"/>
          </w:tcPr>
          <w:p w14:paraId="116ED2CB" w14:textId="77777777" w:rsidR="00AB5DCE" w:rsidRDefault="00000000">
            <w:pPr>
              <w:jc w:val="center"/>
            </w:pPr>
            <w:r>
              <w:rPr>
                <w:rFonts w:ascii="Cambria" w:eastAsia="Cambria" w:hAnsi="Cambria" w:cs="Cambria"/>
                <w:color w:val="111111"/>
                <w:sz w:val="18"/>
                <w:szCs w:val="18"/>
              </w:rPr>
              <w:t>0.5 – 32 (swept, δ = 1e-5)</w:t>
            </w:r>
          </w:p>
        </w:tc>
      </w:tr>
      <w:tr w:rsidR="00AB5DCE" w14:paraId="4F0A0E73" w14:textId="77777777">
        <w:tc>
          <w:tcPr>
            <w:tcW w:w="4500" w:type="dxa"/>
            <w:shd w:val="clear" w:color="auto" w:fill="F2F2F2"/>
            <w:tcMar>
              <w:top w:w="60" w:type="dxa"/>
              <w:left w:w="100" w:type="dxa"/>
              <w:bottom w:w="60" w:type="dxa"/>
              <w:right w:w="100" w:type="dxa"/>
            </w:tcMar>
            <w:vAlign w:val="center"/>
          </w:tcPr>
          <w:p w14:paraId="0E556DAB" w14:textId="77777777" w:rsidR="00AB5DCE" w:rsidRDefault="00000000">
            <w:r>
              <w:rPr>
                <w:rFonts w:ascii="Cambria" w:eastAsia="Cambria" w:hAnsi="Cambria" w:cs="Cambria"/>
                <w:color w:val="111111"/>
                <w:sz w:val="18"/>
                <w:szCs w:val="18"/>
              </w:rPr>
              <w:t>CKKS library</w:t>
            </w:r>
          </w:p>
        </w:tc>
        <w:tc>
          <w:tcPr>
            <w:tcW w:w="4500" w:type="dxa"/>
            <w:shd w:val="clear" w:color="auto" w:fill="F2F2F2"/>
            <w:tcMar>
              <w:top w:w="60" w:type="dxa"/>
              <w:left w:w="100" w:type="dxa"/>
              <w:bottom w:w="60" w:type="dxa"/>
              <w:right w:w="100" w:type="dxa"/>
            </w:tcMar>
            <w:vAlign w:val="center"/>
          </w:tcPr>
          <w:p w14:paraId="7E5CF403" w14:textId="77777777" w:rsidR="00AB5DCE" w:rsidRDefault="00000000">
            <w:pPr>
              <w:jc w:val="center"/>
            </w:pPr>
            <w:r>
              <w:rPr>
                <w:rFonts w:ascii="Cambria" w:eastAsia="Cambria" w:hAnsi="Cambria" w:cs="Cambria"/>
                <w:color w:val="111111"/>
                <w:sz w:val="18"/>
                <w:szCs w:val="18"/>
              </w:rPr>
              <w:t>Microsoft SEAL v4.1 (CKKS scheme)</w:t>
            </w:r>
          </w:p>
        </w:tc>
      </w:tr>
      <w:tr w:rsidR="00AB5DCE" w14:paraId="637CBA07" w14:textId="77777777">
        <w:tc>
          <w:tcPr>
            <w:tcW w:w="4500" w:type="dxa"/>
            <w:tcMar>
              <w:top w:w="60" w:type="dxa"/>
              <w:left w:w="100" w:type="dxa"/>
              <w:bottom w:w="60" w:type="dxa"/>
              <w:right w:w="100" w:type="dxa"/>
            </w:tcMar>
            <w:vAlign w:val="center"/>
          </w:tcPr>
          <w:p w14:paraId="4FD93941" w14:textId="77777777" w:rsidR="00AB5DCE" w:rsidRDefault="00000000">
            <w:r>
              <w:rPr>
                <w:rFonts w:ascii="Cambria" w:eastAsia="Cambria" w:hAnsi="Cambria" w:cs="Cambria"/>
                <w:color w:val="111111"/>
                <w:sz w:val="18"/>
                <w:szCs w:val="18"/>
              </w:rPr>
              <w:t>Polynomial degree N</w:t>
            </w:r>
          </w:p>
        </w:tc>
        <w:tc>
          <w:tcPr>
            <w:tcW w:w="4500" w:type="dxa"/>
            <w:tcMar>
              <w:top w:w="60" w:type="dxa"/>
              <w:left w:w="100" w:type="dxa"/>
              <w:bottom w:w="60" w:type="dxa"/>
              <w:right w:w="100" w:type="dxa"/>
            </w:tcMar>
            <w:vAlign w:val="center"/>
          </w:tcPr>
          <w:p w14:paraId="5B764688" w14:textId="77777777" w:rsidR="00AB5DCE" w:rsidRDefault="00000000">
            <w:pPr>
              <w:jc w:val="center"/>
            </w:pPr>
            <w:r>
              <w:rPr>
                <w:rFonts w:ascii="Cambria" w:eastAsia="Cambria" w:hAnsi="Cambria" w:cs="Cambria"/>
                <w:color w:val="111111"/>
                <w:sz w:val="18"/>
                <w:szCs w:val="18"/>
              </w:rPr>
              <w:t>16384</w:t>
            </w:r>
          </w:p>
        </w:tc>
      </w:tr>
      <w:tr w:rsidR="00AB5DCE" w14:paraId="0188EF41" w14:textId="77777777">
        <w:tc>
          <w:tcPr>
            <w:tcW w:w="4500" w:type="dxa"/>
            <w:shd w:val="clear" w:color="auto" w:fill="F2F2F2"/>
            <w:tcMar>
              <w:top w:w="60" w:type="dxa"/>
              <w:left w:w="100" w:type="dxa"/>
              <w:bottom w:w="60" w:type="dxa"/>
              <w:right w:w="100" w:type="dxa"/>
            </w:tcMar>
            <w:vAlign w:val="center"/>
          </w:tcPr>
          <w:p w14:paraId="42F98A97" w14:textId="77777777" w:rsidR="00AB5DCE" w:rsidRDefault="00000000">
            <w:r>
              <w:rPr>
                <w:rFonts w:ascii="Cambria" w:eastAsia="Cambria" w:hAnsi="Cambria" w:cs="Cambria"/>
                <w:color w:val="111111"/>
                <w:sz w:val="18"/>
                <w:szCs w:val="18"/>
              </w:rPr>
              <w:t>Scaling factor Δ</w:t>
            </w:r>
          </w:p>
        </w:tc>
        <w:tc>
          <w:tcPr>
            <w:tcW w:w="4500" w:type="dxa"/>
            <w:shd w:val="clear" w:color="auto" w:fill="F2F2F2"/>
            <w:tcMar>
              <w:top w:w="60" w:type="dxa"/>
              <w:left w:w="100" w:type="dxa"/>
              <w:bottom w:w="60" w:type="dxa"/>
              <w:right w:w="100" w:type="dxa"/>
            </w:tcMar>
            <w:vAlign w:val="center"/>
          </w:tcPr>
          <w:p w14:paraId="7A4699D8" w14:textId="77777777" w:rsidR="00AB5DCE" w:rsidRDefault="00000000">
            <w:pPr>
              <w:jc w:val="center"/>
            </w:pPr>
            <w:r>
              <w:rPr>
                <w:rFonts w:ascii="Cambria" w:eastAsia="Cambria" w:hAnsi="Cambria" w:cs="Cambria"/>
                <w:color w:val="111111"/>
                <w:sz w:val="18"/>
                <w:szCs w:val="18"/>
              </w:rPr>
              <w:t>2^40</w:t>
            </w:r>
          </w:p>
        </w:tc>
      </w:tr>
      <w:tr w:rsidR="00AB5DCE" w14:paraId="0065ED8A" w14:textId="77777777">
        <w:tc>
          <w:tcPr>
            <w:tcW w:w="4500" w:type="dxa"/>
            <w:tcMar>
              <w:top w:w="60" w:type="dxa"/>
              <w:left w:w="100" w:type="dxa"/>
              <w:bottom w:w="60" w:type="dxa"/>
              <w:right w:w="100" w:type="dxa"/>
            </w:tcMar>
            <w:vAlign w:val="center"/>
          </w:tcPr>
          <w:p w14:paraId="7D4F46C8" w14:textId="77777777" w:rsidR="00AB5DCE" w:rsidRDefault="00000000">
            <w:r>
              <w:rPr>
                <w:rFonts w:ascii="Cambria" w:eastAsia="Cambria" w:hAnsi="Cambria" w:cs="Cambria"/>
                <w:color w:val="111111"/>
                <w:sz w:val="18"/>
                <w:szCs w:val="18"/>
              </w:rPr>
              <w:t>Multiplicative depth L</w:t>
            </w:r>
          </w:p>
        </w:tc>
        <w:tc>
          <w:tcPr>
            <w:tcW w:w="4500" w:type="dxa"/>
            <w:tcMar>
              <w:top w:w="60" w:type="dxa"/>
              <w:left w:w="100" w:type="dxa"/>
              <w:bottom w:w="60" w:type="dxa"/>
              <w:right w:w="100" w:type="dxa"/>
            </w:tcMar>
            <w:vAlign w:val="center"/>
          </w:tcPr>
          <w:p w14:paraId="655B735F" w14:textId="77777777" w:rsidR="00AB5DCE" w:rsidRDefault="00000000">
            <w:pPr>
              <w:jc w:val="center"/>
            </w:pPr>
            <w:r>
              <w:rPr>
                <w:rFonts w:ascii="Cambria" w:eastAsia="Cambria" w:hAnsi="Cambria" w:cs="Cambria"/>
                <w:color w:val="111111"/>
                <w:sz w:val="18"/>
                <w:szCs w:val="18"/>
              </w:rPr>
              <w:t>6 (with bootstrapping for deeper evaluation)</w:t>
            </w:r>
          </w:p>
        </w:tc>
      </w:tr>
      <w:tr w:rsidR="00AB5DCE" w14:paraId="5EAA988A" w14:textId="77777777">
        <w:tc>
          <w:tcPr>
            <w:tcW w:w="4500" w:type="dxa"/>
            <w:shd w:val="clear" w:color="auto" w:fill="F2F2F2"/>
            <w:tcMar>
              <w:top w:w="60" w:type="dxa"/>
              <w:left w:w="100" w:type="dxa"/>
              <w:bottom w:w="60" w:type="dxa"/>
              <w:right w:w="100" w:type="dxa"/>
            </w:tcMar>
            <w:vAlign w:val="center"/>
          </w:tcPr>
          <w:p w14:paraId="61567B6E" w14:textId="77777777" w:rsidR="00AB5DCE" w:rsidRDefault="00000000">
            <w:r>
              <w:rPr>
                <w:rFonts w:ascii="Cambria" w:eastAsia="Cambria" w:hAnsi="Cambria" w:cs="Cambria"/>
                <w:color w:val="111111"/>
                <w:sz w:val="18"/>
                <w:szCs w:val="18"/>
              </w:rPr>
              <w:t>Activation approximation</w:t>
            </w:r>
          </w:p>
        </w:tc>
        <w:tc>
          <w:tcPr>
            <w:tcW w:w="4500" w:type="dxa"/>
            <w:shd w:val="clear" w:color="auto" w:fill="F2F2F2"/>
            <w:tcMar>
              <w:top w:w="60" w:type="dxa"/>
              <w:left w:w="100" w:type="dxa"/>
              <w:bottom w:w="60" w:type="dxa"/>
              <w:right w:w="100" w:type="dxa"/>
            </w:tcMar>
            <w:vAlign w:val="center"/>
          </w:tcPr>
          <w:p w14:paraId="4DCA22EC" w14:textId="77777777" w:rsidR="00AB5DCE" w:rsidRDefault="00000000">
            <w:pPr>
              <w:jc w:val="center"/>
            </w:pPr>
            <w:r>
              <w:rPr>
                <w:rFonts w:ascii="Cambria" w:eastAsia="Cambria" w:hAnsi="Cambria" w:cs="Cambria"/>
                <w:color w:val="111111"/>
                <w:sz w:val="18"/>
                <w:szCs w:val="18"/>
              </w:rPr>
              <w:t>Degree-3 Chebyshev polynomial approximation of ReLU</w:t>
            </w:r>
          </w:p>
        </w:tc>
      </w:tr>
      <w:tr w:rsidR="00AB5DCE" w14:paraId="041F0E55" w14:textId="77777777">
        <w:tc>
          <w:tcPr>
            <w:tcW w:w="4500" w:type="dxa"/>
            <w:tcMar>
              <w:top w:w="60" w:type="dxa"/>
              <w:left w:w="100" w:type="dxa"/>
              <w:bottom w:w="60" w:type="dxa"/>
              <w:right w:w="100" w:type="dxa"/>
            </w:tcMar>
            <w:vAlign w:val="center"/>
          </w:tcPr>
          <w:p w14:paraId="51AADA0C" w14:textId="77777777" w:rsidR="00AB5DCE" w:rsidRDefault="00000000">
            <w:r>
              <w:rPr>
                <w:rFonts w:ascii="Cambria" w:eastAsia="Cambria" w:hAnsi="Cambria" w:cs="Cambria"/>
                <w:color w:val="111111"/>
                <w:sz w:val="18"/>
                <w:szCs w:val="18"/>
              </w:rPr>
              <w:t>Hardware</w:t>
            </w:r>
          </w:p>
        </w:tc>
        <w:tc>
          <w:tcPr>
            <w:tcW w:w="4500" w:type="dxa"/>
            <w:tcMar>
              <w:top w:w="60" w:type="dxa"/>
              <w:left w:w="100" w:type="dxa"/>
              <w:bottom w:w="60" w:type="dxa"/>
              <w:right w:w="100" w:type="dxa"/>
            </w:tcMar>
            <w:vAlign w:val="center"/>
          </w:tcPr>
          <w:p w14:paraId="227BD820" w14:textId="77777777" w:rsidR="00AB5DCE" w:rsidRDefault="00000000">
            <w:pPr>
              <w:jc w:val="center"/>
            </w:pPr>
            <w:r>
              <w:rPr>
                <w:rFonts w:ascii="Cambria" w:eastAsia="Cambria" w:hAnsi="Cambria" w:cs="Cambria"/>
                <w:color w:val="111111"/>
                <w:sz w:val="18"/>
                <w:szCs w:val="18"/>
              </w:rPr>
              <w:t>Client: edge-class 4-core ARM; Server: 16-core x86, 64 GB RAM</w:t>
            </w:r>
          </w:p>
        </w:tc>
      </w:tr>
      <w:tr w:rsidR="00AB5DCE" w14:paraId="7CAB7DF6" w14:textId="77777777">
        <w:tc>
          <w:tcPr>
            <w:tcW w:w="4500" w:type="dxa"/>
            <w:shd w:val="clear" w:color="auto" w:fill="F2F2F2"/>
            <w:tcMar>
              <w:top w:w="60" w:type="dxa"/>
              <w:left w:w="100" w:type="dxa"/>
              <w:bottom w:w="60" w:type="dxa"/>
              <w:right w:w="100" w:type="dxa"/>
            </w:tcMar>
            <w:vAlign w:val="center"/>
          </w:tcPr>
          <w:p w14:paraId="36758A07" w14:textId="77777777" w:rsidR="00AB5DCE" w:rsidRDefault="00000000">
            <w:r>
              <w:rPr>
                <w:rFonts w:ascii="Cambria" w:eastAsia="Cambria" w:hAnsi="Cambria" w:cs="Cambria"/>
                <w:color w:val="111111"/>
                <w:sz w:val="18"/>
                <w:szCs w:val="18"/>
              </w:rPr>
              <w:t>Batch size</w:t>
            </w:r>
          </w:p>
        </w:tc>
        <w:tc>
          <w:tcPr>
            <w:tcW w:w="4500" w:type="dxa"/>
            <w:shd w:val="clear" w:color="auto" w:fill="F2F2F2"/>
            <w:tcMar>
              <w:top w:w="60" w:type="dxa"/>
              <w:left w:w="100" w:type="dxa"/>
              <w:bottom w:w="60" w:type="dxa"/>
              <w:right w:w="100" w:type="dxa"/>
            </w:tcMar>
            <w:vAlign w:val="center"/>
          </w:tcPr>
          <w:p w14:paraId="563CFC64" w14:textId="77777777" w:rsidR="00AB5DCE" w:rsidRDefault="00000000">
            <w:pPr>
              <w:jc w:val="center"/>
            </w:pPr>
            <w:r>
              <w:rPr>
                <w:rFonts w:ascii="Cambria" w:eastAsia="Cambria" w:hAnsi="Cambria" w:cs="Cambria"/>
                <w:color w:val="111111"/>
                <w:sz w:val="18"/>
                <w:szCs w:val="18"/>
              </w:rPr>
              <w:t>32 (client), homomorphic SIMD packing of 128 samples/ciphertext</w:t>
            </w:r>
          </w:p>
        </w:tc>
      </w:tr>
    </w:tbl>
    <w:p w14:paraId="1B9CEF8D" w14:textId="77777777" w:rsidR="00E37258" w:rsidRDefault="00E37258" w:rsidP="00E37258">
      <w:pPr>
        <w:spacing w:after="160" w:line="276" w:lineRule="auto"/>
        <w:jc w:val="both"/>
        <w:rPr>
          <w:rFonts w:ascii="Cambria" w:eastAsia="Cambria" w:hAnsi="Cambria" w:cs="Cambria"/>
          <w:sz w:val="22"/>
          <w:szCs w:val="22"/>
        </w:rPr>
      </w:pPr>
      <w:r>
        <w:rPr>
          <w:rFonts w:ascii="Cambria" w:eastAsia="Cambria" w:hAnsi="Cambria" w:cs="Cambria"/>
          <w:sz w:val="22"/>
          <w:szCs w:val="22"/>
        </w:rPr>
        <w:t>We evaluate the proposed configuration and three baselines. The first baseline is plaintext split inference, i.e., without privacy mechanism. The second and third baselines are split learning combined with DP or CKKS respectively. For each configuration, we averaged the classification accuracy, end-to-end latency per batch and communication overhead per batch over five independent runs.</w:t>
      </w:r>
    </w:p>
    <w:p w14:paraId="67C977EA" w14:textId="77777777" w:rsidR="00E37258" w:rsidRDefault="00000000" w:rsidP="00E37258">
      <w:pPr>
        <w:spacing w:after="160" w:line="276" w:lineRule="auto"/>
        <w:jc w:val="both"/>
        <w:rPr>
          <w:rFonts w:ascii="Cambria" w:eastAsia="Cambria" w:hAnsi="Cambria" w:cs="Cambria"/>
          <w:b/>
          <w:bCs/>
          <w:caps/>
          <w:sz w:val="26"/>
          <w:szCs w:val="26"/>
        </w:rPr>
      </w:pPr>
      <w:r>
        <w:rPr>
          <w:rFonts w:ascii="Cambria" w:eastAsia="Cambria" w:hAnsi="Cambria" w:cs="Cambria"/>
          <w:b/>
          <w:bCs/>
          <w:caps/>
          <w:sz w:val="26"/>
          <w:szCs w:val="26"/>
        </w:rPr>
        <w:t>VI. Results and Discussion</w:t>
      </w:r>
    </w:p>
    <w:p w14:paraId="5F43D989" w14:textId="5826E91A" w:rsidR="00AB5DCE" w:rsidRPr="00E37258" w:rsidRDefault="00000000" w:rsidP="00E37258">
      <w:pPr>
        <w:spacing w:after="160" w:line="276" w:lineRule="auto"/>
        <w:jc w:val="both"/>
        <w:rPr>
          <w:rFonts w:ascii="Cambria" w:eastAsia="Cambria" w:hAnsi="Cambria" w:cs="Cambria"/>
          <w:sz w:val="22"/>
          <w:szCs w:val="22"/>
        </w:rPr>
      </w:pPr>
      <w:r>
        <w:rPr>
          <w:rFonts w:ascii="Cambria" w:eastAsia="Cambria" w:hAnsi="Cambria" w:cs="Cambria"/>
          <w:b/>
          <w:bCs/>
          <w:i/>
          <w:iCs/>
          <w:sz w:val="23"/>
          <w:szCs w:val="23"/>
        </w:rPr>
        <w:t>A. Privacy-Utility Trade-off</w:t>
      </w:r>
    </w:p>
    <w:p w14:paraId="0626194B" w14:textId="77777777" w:rsidR="00E37258" w:rsidRPr="00E37258" w:rsidRDefault="00E37258" w:rsidP="00E37258">
      <w:pPr>
        <w:spacing w:after="160" w:line="276" w:lineRule="auto"/>
        <w:jc w:val="both"/>
        <w:rPr>
          <w:rFonts w:ascii="Cambria" w:eastAsia="Cambria" w:hAnsi="Cambria" w:cs="Cambria"/>
          <w:sz w:val="22"/>
          <w:szCs w:val="22"/>
        </w:rPr>
      </w:pPr>
      <w:r>
        <w:rPr>
          <w:rFonts w:ascii="Cambria" w:eastAsia="Cambria" w:hAnsi="Cambria" w:cs="Cambria"/>
          <w:sz w:val="22"/>
          <w:szCs w:val="22"/>
        </w:rPr>
        <w:t xml:space="preserve">Fig. 3 shows the test accuracy vs. privacy budget ε for DP-only, split+DP and the full tri-layered configuration, along with a non-private upper bound. The tri-layered setup achieves accuracy within 1-2 percentage points of the split+DP baseline for all tested values of ε, showing that the polynomial activation approximation introduced by the CKKS layer adds only a modest accuracy cost on top of the degradation from DP. At ε = 8, a commonly cited operating point in the DP literature, the tri-layered configuration achieves 89.9% accuracy vs. a 94.6% non-private upper bound, a degradation of 4.7 percentage points due jointly to noise injection and polynomial activation </w:t>
      </w:r>
      <w:proofErr w:type="gramStart"/>
      <w:r>
        <w:rPr>
          <w:rFonts w:ascii="Cambria" w:eastAsia="Cambria" w:hAnsi="Cambria" w:cs="Cambria"/>
          <w:sz w:val="22"/>
          <w:szCs w:val="22"/>
        </w:rPr>
        <w:t>approximation .</w:t>
      </w:r>
      <w:proofErr w:type="gramEnd"/>
    </w:p>
    <w:p w14:paraId="37D6B14E" w14:textId="77777777" w:rsidR="00AB5DCE" w:rsidRDefault="00000000">
      <w:pPr>
        <w:spacing w:before="200" w:after="60"/>
        <w:jc w:val="center"/>
      </w:pPr>
      <w:r>
        <w:rPr>
          <w:noProof/>
        </w:rPr>
        <w:lastRenderedPageBreak/>
        <w:drawing>
          <wp:inline distT="0" distB="0" distL="0" distR="0" wp14:anchorId="6FFC7506" wp14:editId="76D53C7C">
            <wp:extent cx="3810000" cy="2537732"/>
            <wp:effectExtent l="0" t="0" r="0" b="0"/>
            <wp:docPr id="2131945319" name="Picture 2131945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842242" cy="2559207"/>
                    </a:xfrm>
                    <a:prstGeom prst="rect">
                      <a:avLst/>
                    </a:prstGeom>
                  </pic:spPr>
                </pic:pic>
              </a:graphicData>
            </a:graphic>
          </wp:inline>
        </w:drawing>
      </w:r>
    </w:p>
    <w:p w14:paraId="3BBA9E64" w14:textId="77777777" w:rsidR="00E37258" w:rsidRDefault="00000000" w:rsidP="00E37258">
      <w:pPr>
        <w:spacing w:before="100" w:after="260"/>
        <w:jc w:val="center"/>
        <w:rPr>
          <w:rFonts w:ascii="Cambria" w:eastAsia="Cambria" w:hAnsi="Cambria" w:cs="Cambria"/>
          <w:b/>
          <w:bCs/>
        </w:rPr>
      </w:pPr>
      <w:r>
        <w:rPr>
          <w:rFonts w:ascii="Cambria" w:eastAsia="Cambria" w:hAnsi="Cambria" w:cs="Cambria"/>
          <w:b/>
          <w:bCs/>
        </w:rPr>
        <w:t>Fig. 3. Test accuracy versus privacy budget ε for four architectural configurations. The tri-layered configuration tracks closely behind split+DP, indicating the CKKS layer imposes only a small additional accuracy penalty.</w:t>
      </w:r>
    </w:p>
    <w:p w14:paraId="7FE85D4F" w14:textId="71433E51" w:rsidR="00AB5DCE" w:rsidRDefault="00000000" w:rsidP="00E37258">
      <w:pPr>
        <w:spacing w:before="100" w:after="260"/>
      </w:pPr>
      <w:r>
        <w:rPr>
          <w:rFonts w:ascii="Cambria" w:eastAsia="Cambria" w:hAnsi="Cambria" w:cs="Cambria"/>
          <w:b/>
          <w:bCs/>
          <w:i/>
          <w:iCs/>
          <w:color w:val="111111"/>
          <w:sz w:val="23"/>
          <w:szCs w:val="23"/>
        </w:rPr>
        <w:t>B. Latency and Communication Overhead</w:t>
      </w:r>
    </w:p>
    <w:p w14:paraId="546EDE0E" w14:textId="17F4A0D9" w:rsidR="00E37258" w:rsidRPr="00E37258" w:rsidRDefault="00E37258" w:rsidP="001143AE">
      <w:pPr>
        <w:spacing w:before="200" w:after="60"/>
        <w:jc w:val="both"/>
        <w:rPr>
          <w:rFonts w:ascii="Cambria" w:eastAsia="Cambria" w:hAnsi="Cambria" w:cs="Cambria"/>
          <w:sz w:val="22"/>
          <w:szCs w:val="22"/>
        </w:rPr>
      </w:pPr>
      <w:r>
        <w:rPr>
          <w:rFonts w:ascii="Cambria" w:eastAsia="Cambria" w:hAnsi="Cambria" w:cs="Cambria"/>
          <w:sz w:val="22"/>
          <w:szCs w:val="22"/>
        </w:rPr>
        <w:t>The per-batch latency is broken down into communication, client compute, DP noise injection, and server-side homomorphic compute in Figure 4. After the introduction of CKKS, the total latency is dominated by the homomorphic evaluation of server-side layers, which increases from 6ms in the plaintext configuration to ~172ms in the tri-layered configuration. The overhead of the DP noise injection itself is quite small, about 3-4ms. The total latency for the tri-layered configuration is 229ms, a 10.4× increase over the plaintext baseline of 22ms, consistent with overheads reported for CKKS-based encrypted inference in the broader literature.</w:t>
      </w:r>
    </w:p>
    <w:p w14:paraId="7DC8CD0B" w14:textId="77777777" w:rsidR="00AB5DCE" w:rsidRDefault="00000000">
      <w:pPr>
        <w:spacing w:before="200" w:after="60"/>
        <w:jc w:val="center"/>
      </w:pPr>
      <w:r>
        <w:rPr>
          <w:noProof/>
        </w:rPr>
        <w:drawing>
          <wp:inline distT="0" distB="0" distL="0" distR="0" wp14:anchorId="172A6BB4" wp14:editId="142ACF68">
            <wp:extent cx="3590925" cy="2620010"/>
            <wp:effectExtent l="0" t="0" r="9525" b="8890"/>
            <wp:docPr id="947461051" name="Picture 94746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3606620" cy="2631461"/>
                    </a:xfrm>
                    <a:prstGeom prst="rect">
                      <a:avLst/>
                    </a:prstGeom>
                  </pic:spPr>
                </pic:pic>
              </a:graphicData>
            </a:graphic>
          </wp:inline>
        </w:drawing>
      </w:r>
    </w:p>
    <w:p w14:paraId="5AB75DEB" w14:textId="77777777" w:rsidR="00E37258" w:rsidRDefault="00000000" w:rsidP="00E37258">
      <w:pPr>
        <w:spacing w:before="100" w:after="260"/>
        <w:jc w:val="center"/>
        <w:rPr>
          <w:rFonts w:ascii="Cambria" w:eastAsia="Cambria" w:hAnsi="Cambria" w:cs="Cambria"/>
          <w:b/>
          <w:bCs/>
        </w:rPr>
      </w:pPr>
      <w:r>
        <w:rPr>
          <w:rFonts w:ascii="Cambria" w:eastAsia="Cambria" w:hAnsi="Cambria" w:cs="Cambria"/>
          <w:b/>
          <w:bCs/>
        </w:rPr>
        <w:t>Fig. 4. Per-batch latency decomposition across four configurations, showing that homomorphic server-side computation is the dominant cost once CKKS encryption is introduced.</w:t>
      </w:r>
    </w:p>
    <w:p w14:paraId="118853CB" w14:textId="76F2C689" w:rsidR="00AB5DCE" w:rsidRDefault="00000000" w:rsidP="00E37258">
      <w:pPr>
        <w:spacing w:before="100" w:after="260"/>
      </w:pPr>
      <w:r>
        <w:rPr>
          <w:rFonts w:ascii="Cambria" w:eastAsia="Cambria" w:hAnsi="Cambria" w:cs="Cambria"/>
          <w:b/>
          <w:bCs/>
          <w:i/>
          <w:iCs/>
          <w:color w:val="111111"/>
          <w:sz w:val="23"/>
          <w:szCs w:val="23"/>
        </w:rPr>
        <w:t>C. Consolidated Results</w:t>
      </w:r>
    </w:p>
    <w:p w14:paraId="30191537" w14:textId="77777777" w:rsidR="00E37258" w:rsidRPr="00E37258" w:rsidRDefault="00E37258" w:rsidP="00E37258">
      <w:pPr>
        <w:spacing w:after="160" w:line="276" w:lineRule="auto"/>
        <w:jc w:val="both"/>
        <w:rPr>
          <w:rFonts w:ascii="Cambria" w:eastAsia="Cambria" w:hAnsi="Cambria" w:cs="Cambria"/>
          <w:sz w:val="22"/>
          <w:szCs w:val="22"/>
        </w:rPr>
      </w:pPr>
      <w:r>
        <w:rPr>
          <w:rFonts w:ascii="Cambria" w:eastAsia="Cambria" w:hAnsi="Cambria" w:cs="Cambria"/>
          <w:sz w:val="22"/>
          <w:szCs w:val="22"/>
        </w:rPr>
        <w:lastRenderedPageBreak/>
        <w:t>Table IV summarizes the accuracy, latency, communication overhead, and qualitative privacy coverage for all the configurations that have been examined including the two operating points of the tri-layered configuration at ε=8 and ε=4.</w:t>
      </w:r>
    </w:p>
    <w:tbl>
      <w:tblPr>
        <w:tblpPr w:leftFromText="180" w:rightFromText="180" w:vertAnchor="text" w:horzAnchor="margin" w:tblpY="372"/>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600"/>
        <w:gridCol w:w="1900"/>
        <w:gridCol w:w="1900"/>
        <w:gridCol w:w="1600"/>
      </w:tblGrid>
      <w:tr w:rsidR="00193FAA" w14:paraId="5D5EC2E2" w14:textId="77777777" w:rsidTr="00193FAA">
        <w:trPr>
          <w:tblHeader/>
        </w:trPr>
        <w:tc>
          <w:tcPr>
            <w:tcW w:w="2000" w:type="dxa"/>
            <w:shd w:val="clear" w:color="auto" w:fill="1F3864"/>
            <w:tcMar>
              <w:top w:w="60" w:type="dxa"/>
              <w:left w:w="100" w:type="dxa"/>
              <w:bottom w:w="60" w:type="dxa"/>
              <w:right w:w="100" w:type="dxa"/>
            </w:tcMar>
            <w:vAlign w:val="center"/>
          </w:tcPr>
          <w:p w14:paraId="4FAC8A28" w14:textId="77777777" w:rsidR="00193FAA" w:rsidRDefault="00193FAA" w:rsidP="00193FAA">
            <w:pPr>
              <w:jc w:val="center"/>
            </w:pPr>
            <w:r>
              <w:rPr>
                <w:rFonts w:ascii="Cambria" w:eastAsia="Cambria" w:hAnsi="Cambria" w:cs="Cambria"/>
                <w:b/>
                <w:bCs/>
                <w:color w:val="FFFFFF"/>
                <w:sz w:val="18"/>
                <w:szCs w:val="18"/>
              </w:rPr>
              <w:t>Configuration</w:t>
            </w:r>
          </w:p>
        </w:tc>
        <w:tc>
          <w:tcPr>
            <w:tcW w:w="1600" w:type="dxa"/>
            <w:shd w:val="clear" w:color="auto" w:fill="1F3864"/>
            <w:tcMar>
              <w:top w:w="60" w:type="dxa"/>
              <w:left w:w="100" w:type="dxa"/>
              <w:bottom w:w="60" w:type="dxa"/>
              <w:right w:w="100" w:type="dxa"/>
            </w:tcMar>
            <w:vAlign w:val="center"/>
          </w:tcPr>
          <w:p w14:paraId="293D0097" w14:textId="77777777" w:rsidR="00193FAA" w:rsidRDefault="00193FAA" w:rsidP="00193FAA">
            <w:pPr>
              <w:jc w:val="center"/>
            </w:pPr>
            <w:r>
              <w:rPr>
                <w:rFonts w:ascii="Cambria" w:eastAsia="Cambria" w:hAnsi="Cambria" w:cs="Cambria"/>
                <w:b/>
                <w:bCs/>
                <w:color w:val="FFFFFF"/>
                <w:sz w:val="18"/>
                <w:szCs w:val="18"/>
              </w:rPr>
              <w:t>Accuracy (%)</w:t>
            </w:r>
          </w:p>
        </w:tc>
        <w:tc>
          <w:tcPr>
            <w:tcW w:w="1900" w:type="dxa"/>
            <w:shd w:val="clear" w:color="auto" w:fill="1F3864"/>
            <w:tcMar>
              <w:top w:w="60" w:type="dxa"/>
              <w:left w:w="100" w:type="dxa"/>
              <w:bottom w:w="60" w:type="dxa"/>
              <w:right w:w="100" w:type="dxa"/>
            </w:tcMar>
            <w:vAlign w:val="center"/>
          </w:tcPr>
          <w:p w14:paraId="244C7574" w14:textId="77777777" w:rsidR="00193FAA" w:rsidRDefault="00193FAA" w:rsidP="00193FAA">
            <w:pPr>
              <w:jc w:val="center"/>
            </w:pPr>
            <w:r>
              <w:rPr>
                <w:rFonts w:ascii="Cambria" w:eastAsia="Cambria" w:hAnsi="Cambria" w:cs="Cambria"/>
                <w:b/>
                <w:bCs/>
                <w:color w:val="FFFFFF"/>
                <w:sz w:val="18"/>
                <w:szCs w:val="18"/>
              </w:rPr>
              <w:t>Latency/Batch (ms)</w:t>
            </w:r>
          </w:p>
        </w:tc>
        <w:tc>
          <w:tcPr>
            <w:tcW w:w="1900" w:type="dxa"/>
            <w:shd w:val="clear" w:color="auto" w:fill="1F3864"/>
            <w:tcMar>
              <w:top w:w="60" w:type="dxa"/>
              <w:left w:w="100" w:type="dxa"/>
              <w:bottom w:w="60" w:type="dxa"/>
              <w:right w:w="100" w:type="dxa"/>
            </w:tcMar>
            <w:vAlign w:val="center"/>
          </w:tcPr>
          <w:p w14:paraId="24429964" w14:textId="77777777" w:rsidR="00193FAA" w:rsidRDefault="00193FAA" w:rsidP="00193FAA">
            <w:pPr>
              <w:jc w:val="center"/>
            </w:pPr>
            <w:r>
              <w:rPr>
                <w:rFonts w:ascii="Cambria" w:eastAsia="Cambria" w:hAnsi="Cambria" w:cs="Cambria"/>
                <w:b/>
                <w:bCs/>
                <w:color w:val="FFFFFF"/>
                <w:sz w:val="18"/>
                <w:szCs w:val="18"/>
              </w:rPr>
              <w:t>Comm. Overhead (KB)</w:t>
            </w:r>
          </w:p>
        </w:tc>
        <w:tc>
          <w:tcPr>
            <w:tcW w:w="1600" w:type="dxa"/>
            <w:shd w:val="clear" w:color="auto" w:fill="1F3864"/>
            <w:tcMar>
              <w:top w:w="60" w:type="dxa"/>
              <w:left w:w="100" w:type="dxa"/>
              <w:bottom w:w="60" w:type="dxa"/>
              <w:right w:w="100" w:type="dxa"/>
            </w:tcMar>
            <w:vAlign w:val="center"/>
          </w:tcPr>
          <w:p w14:paraId="2A035849" w14:textId="77777777" w:rsidR="00193FAA" w:rsidRDefault="00193FAA" w:rsidP="00193FAA">
            <w:pPr>
              <w:jc w:val="center"/>
            </w:pPr>
            <w:r>
              <w:rPr>
                <w:rFonts w:ascii="Cambria" w:eastAsia="Cambria" w:hAnsi="Cambria" w:cs="Cambria"/>
                <w:b/>
                <w:bCs/>
                <w:color w:val="FFFFFF"/>
                <w:sz w:val="18"/>
                <w:szCs w:val="18"/>
              </w:rPr>
              <w:t>Privacy Coverage</w:t>
            </w:r>
          </w:p>
        </w:tc>
      </w:tr>
      <w:tr w:rsidR="00193FAA" w14:paraId="5DA26E33" w14:textId="77777777" w:rsidTr="00193FAA">
        <w:tc>
          <w:tcPr>
            <w:tcW w:w="2000" w:type="dxa"/>
            <w:tcMar>
              <w:top w:w="60" w:type="dxa"/>
              <w:left w:w="100" w:type="dxa"/>
              <w:bottom w:w="60" w:type="dxa"/>
              <w:right w:w="100" w:type="dxa"/>
            </w:tcMar>
            <w:vAlign w:val="center"/>
          </w:tcPr>
          <w:p w14:paraId="17673431" w14:textId="77777777" w:rsidR="00193FAA" w:rsidRDefault="00193FAA" w:rsidP="00193FAA">
            <w:r>
              <w:rPr>
                <w:rFonts w:ascii="Cambria" w:eastAsia="Cambria" w:hAnsi="Cambria" w:cs="Cambria"/>
                <w:color w:val="111111"/>
                <w:sz w:val="18"/>
                <w:szCs w:val="18"/>
              </w:rPr>
              <w:t>Plaintext Split</w:t>
            </w:r>
          </w:p>
        </w:tc>
        <w:tc>
          <w:tcPr>
            <w:tcW w:w="1600" w:type="dxa"/>
            <w:tcMar>
              <w:top w:w="60" w:type="dxa"/>
              <w:left w:w="100" w:type="dxa"/>
              <w:bottom w:w="60" w:type="dxa"/>
              <w:right w:w="100" w:type="dxa"/>
            </w:tcMar>
            <w:vAlign w:val="center"/>
          </w:tcPr>
          <w:p w14:paraId="6D49F857" w14:textId="77777777" w:rsidR="00193FAA" w:rsidRDefault="00193FAA" w:rsidP="00193FAA">
            <w:pPr>
              <w:jc w:val="center"/>
            </w:pPr>
            <w:r>
              <w:rPr>
                <w:rFonts w:ascii="Cambria" w:eastAsia="Cambria" w:hAnsi="Cambria" w:cs="Cambria"/>
                <w:color w:val="111111"/>
                <w:sz w:val="18"/>
                <w:szCs w:val="18"/>
              </w:rPr>
              <w:t>94.6</w:t>
            </w:r>
          </w:p>
        </w:tc>
        <w:tc>
          <w:tcPr>
            <w:tcW w:w="1900" w:type="dxa"/>
            <w:tcMar>
              <w:top w:w="60" w:type="dxa"/>
              <w:left w:w="100" w:type="dxa"/>
              <w:bottom w:w="60" w:type="dxa"/>
              <w:right w:w="100" w:type="dxa"/>
            </w:tcMar>
            <w:vAlign w:val="center"/>
          </w:tcPr>
          <w:p w14:paraId="49C918D1" w14:textId="77777777" w:rsidR="00193FAA" w:rsidRDefault="00193FAA" w:rsidP="00193FAA">
            <w:pPr>
              <w:jc w:val="center"/>
            </w:pPr>
            <w:r>
              <w:rPr>
                <w:rFonts w:ascii="Cambria" w:eastAsia="Cambria" w:hAnsi="Cambria" w:cs="Cambria"/>
                <w:color w:val="111111"/>
                <w:sz w:val="18"/>
                <w:szCs w:val="18"/>
              </w:rPr>
              <w:t>22</w:t>
            </w:r>
          </w:p>
        </w:tc>
        <w:tc>
          <w:tcPr>
            <w:tcW w:w="1900" w:type="dxa"/>
            <w:tcMar>
              <w:top w:w="60" w:type="dxa"/>
              <w:left w:w="100" w:type="dxa"/>
              <w:bottom w:w="60" w:type="dxa"/>
              <w:right w:w="100" w:type="dxa"/>
            </w:tcMar>
            <w:vAlign w:val="center"/>
          </w:tcPr>
          <w:p w14:paraId="42C9E377" w14:textId="77777777" w:rsidR="00193FAA" w:rsidRDefault="00193FAA" w:rsidP="00193FAA">
            <w:pPr>
              <w:jc w:val="center"/>
            </w:pPr>
            <w:r>
              <w:rPr>
                <w:rFonts w:ascii="Cambria" w:eastAsia="Cambria" w:hAnsi="Cambria" w:cs="Cambria"/>
                <w:color w:val="111111"/>
                <w:sz w:val="18"/>
                <w:szCs w:val="18"/>
              </w:rPr>
              <w:t>180</w:t>
            </w:r>
          </w:p>
        </w:tc>
        <w:tc>
          <w:tcPr>
            <w:tcW w:w="1600" w:type="dxa"/>
            <w:tcMar>
              <w:top w:w="60" w:type="dxa"/>
              <w:left w:w="100" w:type="dxa"/>
              <w:bottom w:w="60" w:type="dxa"/>
              <w:right w:w="100" w:type="dxa"/>
            </w:tcMar>
            <w:vAlign w:val="center"/>
          </w:tcPr>
          <w:p w14:paraId="56282864" w14:textId="77777777" w:rsidR="00193FAA" w:rsidRDefault="00193FAA" w:rsidP="00193FAA">
            <w:pPr>
              <w:jc w:val="center"/>
            </w:pPr>
            <w:r>
              <w:rPr>
                <w:rFonts w:ascii="Cambria" w:eastAsia="Cambria" w:hAnsi="Cambria" w:cs="Cambria"/>
                <w:color w:val="111111"/>
                <w:sz w:val="18"/>
                <w:szCs w:val="18"/>
              </w:rPr>
              <w:t>None</w:t>
            </w:r>
          </w:p>
        </w:tc>
      </w:tr>
      <w:tr w:rsidR="00193FAA" w14:paraId="545343CB" w14:textId="77777777" w:rsidTr="00193FAA">
        <w:tc>
          <w:tcPr>
            <w:tcW w:w="2000" w:type="dxa"/>
            <w:shd w:val="clear" w:color="auto" w:fill="F2F2F2"/>
            <w:tcMar>
              <w:top w:w="60" w:type="dxa"/>
              <w:left w:w="100" w:type="dxa"/>
              <w:bottom w:w="60" w:type="dxa"/>
              <w:right w:w="100" w:type="dxa"/>
            </w:tcMar>
            <w:vAlign w:val="center"/>
          </w:tcPr>
          <w:p w14:paraId="3B6A8D9E" w14:textId="77777777" w:rsidR="00193FAA" w:rsidRDefault="00193FAA" w:rsidP="00193FAA">
            <w:r>
              <w:rPr>
                <w:rFonts w:ascii="Cambria" w:eastAsia="Cambria" w:hAnsi="Cambria" w:cs="Cambria"/>
                <w:color w:val="111111"/>
                <w:sz w:val="18"/>
                <w:szCs w:val="18"/>
              </w:rPr>
              <w:t>Split + DP (ε=8)</w:t>
            </w:r>
          </w:p>
        </w:tc>
        <w:tc>
          <w:tcPr>
            <w:tcW w:w="1600" w:type="dxa"/>
            <w:shd w:val="clear" w:color="auto" w:fill="F2F2F2"/>
            <w:tcMar>
              <w:top w:w="60" w:type="dxa"/>
              <w:left w:w="100" w:type="dxa"/>
              <w:bottom w:w="60" w:type="dxa"/>
              <w:right w:w="100" w:type="dxa"/>
            </w:tcMar>
            <w:vAlign w:val="center"/>
          </w:tcPr>
          <w:p w14:paraId="01C7C03E" w14:textId="77777777" w:rsidR="00193FAA" w:rsidRDefault="00193FAA" w:rsidP="00193FAA">
            <w:pPr>
              <w:jc w:val="center"/>
            </w:pPr>
            <w:r>
              <w:rPr>
                <w:rFonts w:ascii="Cambria" w:eastAsia="Cambria" w:hAnsi="Cambria" w:cs="Cambria"/>
                <w:color w:val="111111"/>
                <w:sz w:val="18"/>
                <w:szCs w:val="18"/>
              </w:rPr>
              <w:t>89.9</w:t>
            </w:r>
          </w:p>
        </w:tc>
        <w:tc>
          <w:tcPr>
            <w:tcW w:w="1900" w:type="dxa"/>
            <w:shd w:val="clear" w:color="auto" w:fill="F2F2F2"/>
            <w:tcMar>
              <w:top w:w="60" w:type="dxa"/>
              <w:left w:w="100" w:type="dxa"/>
              <w:bottom w:w="60" w:type="dxa"/>
              <w:right w:w="100" w:type="dxa"/>
            </w:tcMar>
            <w:vAlign w:val="center"/>
          </w:tcPr>
          <w:p w14:paraId="6726B5D4" w14:textId="77777777" w:rsidR="00193FAA" w:rsidRDefault="00193FAA" w:rsidP="00193FAA">
            <w:pPr>
              <w:jc w:val="center"/>
            </w:pPr>
            <w:r>
              <w:rPr>
                <w:rFonts w:ascii="Cambria" w:eastAsia="Cambria" w:hAnsi="Cambria" w:cs="Cambria"/>
                <w:color w:val="111111"/>
                <w:sz w:val="18"/>
                <w:szCs w:val="18"/>
              </w:rPr>
              <w:t>26</w:t>
            </w:r>
          </w:p>
        </w:tc>
        <w:tc>
          <w:tcPr>
            <w:tcW w:w="1900" w:type="dxa"/>
            <w:shd w:val="clear" w:color="auto" w:fill="F2F2F2"/>
            <w:tcMar>
              <w:top w:w="60" w:type="dxa"/>
              <w:left w:w="100" w:type="dxa"/>
              <w:bottom w:w="60" w:type="dxa"/>
              <w:right w:w="100" w:type="dxa"/>
            </w:tcMar>
            <w:vAlign w:val="center"/>
          </w:tcPr>
          <w:p w14:paraId="531A85C5" w14:textId="77777777" w:rsidR="00193FAA" w:rsidRDefault="00193FAA" w:rsidP="00193FAA">
            <w:pPr>
              <w:jc w:val="center"/>
            </w:pPr>
            <w:r>
              <w:rPr>
                <w:rFonts w:ascii="Cambria" w:eastAsia="Cambria" w:hAnsi="Cambria" w:cs="Cambria"/>
                <w:color w:val="111111"/>
                <w:sz w:val="18"/>
                <w:szCs w:val="18"/>
              </w:rPr>
              <w:t>185</w:t>
            </w:r>
          </w:p>
        </w:tc>
        <w:tc>
          <w:tcPr>
            <w:tcW w:w="1600" w:type="dxa"/>
            <w:shd w:val="clear" w:color="auto" w:fill="F2F2F2"/>
            <w:tcMar>
              <w:top w:w="60" w:type="dxa"/>
              <w:left w:w="100" w:type="dxa"/>
              <w:bottom w:w="60" w:type="dxa"/>
              <w:right w:w="100" w:type="dxa"/>
            </w:tcMar>
            <w:vAlign w:val="center"/>
          </w:tcPr>
          <w:p w14:paraId="3B8ABBCC" w14:textId="77777777" w:rsidR="00193FAA" w:rsidRDefault="00193FAA" w:rsidP="00193FAA">
            <w:pPr>
              <w:jc w:val="center"/>
            </w:pPr>
            <w:r>
              <w:rPr>
                <w:rFonts w:ascii="Cambria" w:eastAsia="Cambria" w:hAnsi="Cambria" w:cs="Cambria"/>
                <w:color w:val="111111"/>
                <w:sz w:val="18"/>
                <w:szCs w:val="18"/>
              </w:rPr>
              <w:t>Statistical only</w:t>
            </w:r>
          </w:p>
        </w:tc>
      </w:tr>
      <w:tr w:rsidR="00193FAA" w14:paraId="761529FD" w14:textId="77777777" w:rsidTr="00193FAA">
        <w:tc>
          <w:tcPr>
            <w:tcW w:w="2000" w:type="dxa"/>
            <w:tcMar>
              <w:top w:w="60" w:type="dxa"/>
              <w:left w:w="100" w:type="dxa"/>
              <w:bottom w:w="60" w:type="dxa"/>
              <w:right w:w="100" w:type="dxa"/>
            </w:tcMar>
            <w:vAlign w:val="center"/>
          </w:tcPr>
          <w:p w14:paraId="195CB5EA" w14:textId="77777777" w:rsidR="00193FAA" w:rsidRDefault="00193FAA" w:rsidP="00193FAA">
            <w:r>
              <w:rPr>
                <w:rFonts w:ascii="Cambria" w:eastAsia="Cambria" w:hAnsi="Cambria" w:cs="Cambria"/>
                <w:color w:val="111111"/>
                <w:sz w:val="18"/>
                <w:szCs w:val="18"/>
              </w:rPr>
              <w:t>Split + CKKS</w:t>
            </w:r>
          </w:p>
        </w:tc>
        <w:tc>
          <w:tcPr>
            <w:tcW w:w="1600" w:type="dxa"/>
            <w:tcMar>
              <w:top w:w="60" w:type="dxa"/>
              <w:left w:w="100" w:type="dxa"/>
              <w:bottom w:w="60" w:type="dxa"/>
              <w:right w:w="100" w:type="dxa"/>
            </w:tcMar>
            <w:vAlign w:val="center"/>
          </w:tcPr>
          <w:p w14:paraId="14BB8C74" w14:textId="77777777" w:rsidR="00193FAA" w:rsidRDefault="00193FAA" w:rsidP="00193FAA">
            <w:pPr>
              <w:jc w:val="center"/>
            </w:pPr>
            <w:r>
              <w:rPr>
                <w:rFonts w:ascii="Cambria" w:eastAsia="Cambria" w:hAnsi="Cambria" w:cs="Cambria"/>
                <w:color w:val="111111"/>
                <w:sz w:val="18"/>
                <w:szCs w:val="18"/>
              </w:rPr>
              <w:t>94.1</w:t>
            </w:r>
          </w:p>
        </w:tc>
        <w:tc>
          <w:tcPr>
            <w:tcW w:w="1900" w:type="dxa"/>
            <w:tcMar>
              <w:top w:w="60" w:type="dxa"/>
              <w:left w:w="100" w:type="dxa"/>
              <w:bottom w:w="60" w:type="dxa"/>
              <w:right w:w="100" w:type="dxa"/>
            </w:tcMar>
            <w:vAlign w:val="center"/>
          </w:tcPr>
          <w:p w14:paraId="7A080BB0" w14:textId="77777777" w:rsidR="00193FAA" w:rsidRDefault="00193FAA" w:rsidP="00193FAA">
            <w:pPr>
              <w:jc w:val="center"/>
            </w:pPr>
            <w:r>
              <w:rPr>
                <w:rFonts w:ascii="Cambria" w:eastAsia="Cambria" w:hAnsi="Cambria" w:cs="Cambria"/>
                <w:color w:val="111111"/>
                <w:sz w:val="18"/>
                <w:szCs w:val="18"/>
              </w:rPr>
              <w:t>212</w:t>
            </w:r>
          </w:p>
        </w:tc>
        <w:tc>
          <w:tcPr>
            <w:tcW w:w="1900" w:type="dxa"/>
            <w:tcMar>
              <w:top w:w="60" w:type="dxa"/>
              <w:left w:w="100" w:type="dxa"/>
              <w:bottom w:w="60" w:type="dxa"/>
              <w:right w:w="100" w:type="dxa"/>
            </w:tcMar>
            <w:vAlign w:val="center"/>
          </w:tcPr>
          <w:p w14:paraId="21B55F11" w14:textId="77777777" w:rsidR="00193FAA" w:rsidRDefault="00193FAA" w:rsidP="00193FAA">
            <w:pPr>
              <w:jc w:val="center"/>
            </w:pPr>
            <w:r>
              <w:rPr>
                <w:rFonts w:ascii="Cambria" w:eastAsia="Cambria" w:hAnsi="Cambria" w:cs="Cambria"/>
                <w:color w:val="111111"/>
                <w:sz w:val="18"/>
                <w:szCs w:val="18"/>
              </w:rPr>
              <w:t>2,340</w:t>
            </w:r>
          </w:p>
        </w:tc>
        <w:tc>
          <w:tcPr>
            <w:tcW w:w="1600" w:type="dxa"/>
            <w:tcMar>
              <w:top w:w="60" w:type="dxa"/>
              <w:left w:w="100" w:type="dxa"/>
              <w:bottom w:w="60" w:type="dxa"/>
              <w:right w:w="100" w:type="dxa"/>
            </w:tcMar>
            <w:vAlign w:val="center"/>
          </w:tcPr>
          <w:p w14:paraId="460CDA07" w14:textId="77777777" w:rsidR="00193FAA" w:rsidRDefault="00193FAA" w:rsidP="00193FAA">
            <w:pPr>
              <w:jc w:val="center"/>
            </w:pPr>
            <w:r>
              <w:rPr>
                <w:rFonts w:ascii="Cambria" w:eastAsia="Cambria" w:hAnsi="Cambria" w:cs="Cambria"/>
                <w:color w:val="111111"/>
                <w:sz w:val="18"/>
                <w:szCs w:val="18"/>
              </w:rPr>
              <w:t>Computational only</w:t>
            </w:r>
          </w:p>
        </w:tc>
      </w:tr>
      <w:tr w:rsidR="00193FAA" w14:paraId="1D4945A2" w14:textId="77777777" w:rsidTr="00193FAA">
        <w:tc>
          <w:tcPr>
            <w:tcW w:w="2000" w:type="dxa"/>
            <w:shd w:val="clear" w:color="auto" w:fill="F2F2F2"/>
            <w:tcMar>
              <w:top w:w="60" w:type="dxa"/>
              <w:left w:w="100" w:type="dxa"/>
              <w:bottom w:w="60" w:type="dxa"/>
              <w:right w:w="100" w:type="dxa"/>
            </w:tcMar>
            <w:vAlign w:val="center"/>
          </w:tcPr>
          <w:p w14:paraId="24F8BAE2" w14:textId="77777777" w:rsidR="00193FAA" w:rsidRDefault="00193FAA" w:rsidP="00193FAA">
            <w:r>
              <w:rPr>
                <w:rFonts w:ascii="Cambria" w:eastAsia="Cambria" w:hAnsi="Cambria" w:cs="Cambria"/>
                <w:color w:val="111111"/>
                <w:sz w:val="18"/>
                <w:szCs w:val="18"/>
              </w:rPr>
              <w:t>Tri-Layered (ε=8)</w:t>
            </w:r>
          </w:p>
        </w:tc>
        <w:tc>
          <w:tcPr>
            <w:tcW w:w="1600" w:type="dxa"/>
            <w:shd w:val="clear" w:color="auto" w:fill="F2F2F2"/>
            <w:tcMar>
              <w:top w:w="60" w:type="dxa"/>
              <w:left w:w="100" w:type="dxa"/>
              <w:bottom w:w="60" w:type="dxa"/>
              <w:right w:w="100" w:type="dxa"/>
            </w:tcMar>
            <w:vAlign w:val="center"/>
          </w:tcPr>
          <w:p w14:paraId="75264032" w14:textId="77777777" w:rsidR="00193FAA" w:rsidRDefault="00193FAA" w:rsidP="00193FAA">
            <w:pPr>
              <w:jc w:val="center"/>
            </w:pPr>
            <w:r>
              <w:rPr>
                <w:rFonts w:ascii="Cambria" w:eastAsia="Cambria" w:hAnsi="Cambria" w:cs="Cambria"/>
                <w:color w:val="111111"/>
                <w:sz w:val="18"/>
                <w:szCs w:val="18"/>
              </w:rPr>
              <w:t>89.9</w:t>
            </w:r>
          </w:p>
        </w:tc>
        <w:tc>
          <w:tcPr>
            <w:tcW w:w="1900" w:type="dxa"/>
            <w:shd w:val="clear" w:color="auto" w:fill="F2F2F2"/>
            <w:tcMar>
              <w:top w:w="60" w:type="dxa"/>
              <w:left w:w="100" w:type="dxa"/>
              <w:bottom w:w="60" w:type="dxa"/>
              <w:right w:w="100" w:type="dxa"/>
            </w:tcMar>
            <w:vAlign w:val="center"/>
          </w:tcPr>
          <w:p w14:paraId="5779C509" w14:textId="77777777" w:rsidR="00193FAA" w:rsidRDefault="00193FAA" w:rsidP="00193FAA">
            <w:pPr>
              <w:jc w:val="center"/>
            </w:pPr>
            <w:r>
              <w:rPr>
                <w:rFonts w:ascii="Cambria" w:eastAsia="Cambria" w:hAnsi="Cambria" w:cs="Cambria"/>
                <w:color w:val="111111"/>
                <w:sz w:val="18"/>
                <w:szCs w:val="18"/>
              </w:rPr>
              <w:t>229</w:t>
            </w:r>
          </w:p>
        </w:tc>
        <w:tc>
          <w:tcPr>
            <w:tcW w:w="1900" w:type="dxa"/>
            <w:shd w:val="clear" w:color="auto" w:fill="F2F2F2"/>
            <w:tcMar>
              <w:top w:w="60" w:type="dxa"/>
              <w:left w:w="100" w:type="dxa"/>
              <w:bottom w:w="60" w:type="dxa"/>
              <w:right w:w="100" w:type="dxa"/>
            </w:tcMar>
            <w:vAlign w:val="center"/>
          </w:tcPr>
          <w:p w14:paraId="7588C24F" w14:textId="77777777" w:rsidR="00193FAA" w:rsidRDefault="00193FAA" w:rsidP="00193FAA">
            <w:pPr>
              <w:jc w:val="center"/>
            </w:pPr>
            <w:r>
              <w:rPr>
                <w:rFonts w:ascii="Cambria" w:eastAsia="Cambria" w:hAnsi="Cambria" w:cs="Cambria"/>
                <w:color w:val="111111"/>
                <w:sz w:val="18"/>
                <w:szCs w:val="18"/>
              </w:rPr>
              <w:t>2,410</w:t>
            </w:r>
          </w:p>
        </w:tc>
        <w:tc>
          <w:tcPr>
            <w:tcW w:w="1600" w:type="dxa"/>
            <w:shd w:val="clear" w:color="auto" w:fill="F2F2F2"/>
            <w:tcMar>
              <w:top w:w="60" w:type="dxa"/>
              <w:left w:w="100" w:type="dxa"/>
              <w:bottom w:w="60" w:type="dxa"/>
              <w:right w:w="100" w:type="dxa"/>
            </w:tcMar>
            <w:vAlign w:val="center"/>
          </w:tcPr>
          <w:p w14:paraId="1A933AF3" w14:textId="77777777" w:rsidR="00193FAA" w:rsidRDefault="00193FAA" w:rsidP="00193FAA">
            <w:pPr>
              <w:jc w:val="center"/>
            </w:pPr>
            <w:r>
              <w:rPr>
                <w:rFonts w:ascii="Cambria" w:eastAsia="Cambria" w:hAnsi="Cambria" w:cs="Cambria"/>
                <w:color w:val="111111"/>
                <w:sz w:val="18"/>
                <w:szCs w:val="18"/>
              </w:rPr>
              <w:t>Statistical + Computational + Split-bound</w:t>
            </w:r>
          </w:p>
        </w:tc>
      </w:tr>
      <w:tr w:rsidR="00193FAA" w14:paraId="7DB5AF57" w14:textId="77777777" w:rsidTr="00193FAA">
        <w:tc>
          <w:tcPr>
            <w:tcW w:w="2000" w:type="dxa"/>
            <w:tcMar>
              <w:top w:w="60" w:type="dxa"/>
              <w:left w:w="100" w:type="dxa"/>
              <w:bottom w:w="60" w:type="dxa"/>
              <w:right w:w="100" w:type="dxa"/>
            </w:tcMar>
            <w:vAlign w:val="center"/>
          </w:tcPr>
          <w:p w14:paraId="1F012B06" w14:textId="77777777" w:rsidR="00193FAA" w:rsidRDefault="00193FAA" w:rsidP="00193FAA">
            <w:r>
              <w:rPr>
                <w:rFonts w:ascii="Cambria" w:eastAsia="Cambria" w:hAnsi="Cambria" w:cs="Cambria"/>
                <w:color w:val="111111"/>
                <w:sz w:val="18"/>
                <w:szCs w:val="18"/>
              </w:rPr>
              <w:t>Tri-Layered (ε=4)</w:t>
            </w:r>
          </w:p>
        </w:tc>
        <w:tc>
          <w:tcPr>
            <w:tcW w:w="1600" w:type="dxa"/>
            <w:tcMar>
              <w:top w:w="60" w:type="dxa"/>
              <w:left w:w="100" w:type="dxa"/>
              <w:bottom w:w="60" w:type="dxa"/>
              <w:right w:w="100" w:type="dxa"/>
            </w:tcMar>
            <w:vAlign w:val="center"/>
          </w:tcPr>
          <w:p w14:paraId="0ADC507C" w14:textId="77777777" w:rsidR="00193FAA" w:rsidRDefault="00193FAA" w:rsidP="00193FAA">
            <w:pPr>
              <w:jc w:val="center"/>
            </w:pPr>
            <w:r>
              <w:rPr>
                <w:rFonts w:ascii="Cambria" w:eastAsia="Cambria" w:hAnsi="Cambria" w:cs="Cambria"/>
                <w:color w:val="111111"/>
                <w:sz w:val="18"/>
                <w:szCs w:val="18"/>
              </w:rPr>
              <w:t>86.8</w:t>
            </w:r>
          </w:p>
        </w:tc>
        <w:tc>
          <w:tcPr>
            <w:tcW w:w="1900" w:type="dxa"/>
            <w:tcMar>
              <w:top w:w="60" w:type="dxa"/>
              <w:left w:w="100" w:type="dxa"/>
              <w:bottom w:w="60" w:type="dxa"/>
              <w:right w:w="100" w:type="dxa"/>
            </w:tcMar>
            <w:vAlign w:val="center"/>
          </w:tcPr>
          <w:p w14:paraId="41086D94" w14:textId="77777777" w:rsidR="00193FAA" w:rsidRDefault="00193FAA" w:rsidP="00193FAA">
            <w:pPr>
              <w:jc w:val="center"/>
            </w:pPr>
            <w:r>
              <w:rPr>
                <w:rFonts w:ascii="Cambria" w:eastAsia="Cambria" w:hAnsi="Cambria" w:cs="Cambria"/>
                <w:color w:val="111111"/>
                <w:sz w:val="18"/>
                <w:szCs w:val="18"/>
              </w:rPr>
              <w:t>229</w:t>
            </w:r>
          </w:p>
        </w:tc>
        <w:tc>
          <w:tcPr>
            <w:tcW w:w="1900" w:type="dxa"/>
            <w:tcMar>
              <w:top w:w="60" w:type="dxa"/>
              <w:left w:w="100" w:type="dxa"/>
              <w:bottom w:w="60" w:type="dxa"/>
              <w:right w:w="100" w:type="dxa"/>
            </w:tcMar>
            <w:vAlign w:val="center"/>
          </w:tcPr>
          <w:p w14:paraId="7B609A02" w14:textId="77777777" w:rsidR="00193FAA" w:rsidRDefault="00193FAA" w:rsidP="00193FAA">
            <w:pPr>
              <w:jc w:val="center"/>
            </w:pPr>
            <w:r>
              <w:rPr>
                <w:rFonts w:ascii="Cambria" w:eastAsia="Cambria" w:hAnsi="Cambria" w:cs="Cambria"/>
                <w:color w:val="111111"/>
                <w:sz w:val="18"/>
                <w:szCs w:val="18"/>
              </w:rPr>
              <w:t>2,410</w:t>
            </w:r>
          </w:p>
        </w:tc>
        <w:tc>
          <w:tcPr>
            <w:tcW w:w="1600" w:type="dxa"/>
            <w:tcMar>
              <w:top w:w="60" w:type="dxa"/>
              <w:left w:w="100" w:type="dxa"/>
              <w:bottom w:w="60" w:type="dxa"/>
              <w:right w:w="100" w:type="dxa"/>
            </w:tcMar>
            <w:vAlign w:val="center"/>
          </w:tcPr>
          <w:p w14:paraId="4401375C" w14:textId="77777777" w:rsidR="00193FAA" w:rsidRDefault="00193FAA" w:rsidP="00193FAA">
            <w:pPr>
              <w:jc w:val="center"/>
            </w:pPr>
            <w:r>
              <w:rPr>
                <w:rFonts w:ascii="Cambria" w:eastAsia="Cambria" w:hAnsi="Cambria" w:cs="Cambria"/>
                <w:color w:val="111111"/>
                <w:sz w:val="18"/>
                <w:szCs w:val="18"/>
              </w:rPr>
              <w:t>Statistical + Computational + Split-bound</w:t>
            </w:r>
          </w:p>
        </w:tc>
      </w:tr>
    </w:tbl>
    <w:p w14:paraId="351FFC19" w14:textId="3E14A487" w:rsidR="00AB5DCE" w:rsidRDefault="00193FAA">
      <w:pPr>
        <w:spacing w:before="100" w:after="260"/>
        <w:jc w:val="center"/>
        <w:rPr>
          <w:rFonts w:ascii="Cambria" w:eastAsia="Cambria" w:hAnsi="Cambria" w:cs="Cambria"/>
          <w:b/>
          <w:bCs/>
        </w:rPr>
      </w:pPr>
      <w:r>
        <w:rPr>
          <w:rFonts w:ascii="Cambria" w:eastAsia="Cambria" w:hAnsi="Cambria" w:cs="Cambria"/>
          <w:b/>
          <w:bCs/>
        </w:rPr>
        <w:t xml:space="preserve"> TABLE IV. Consolidated Comparison of Architectural Configurations</w:t>
      </w:r>
    </w:p>
    <w:p w14:paraId="7D7121CF" w14:textId="77777777" w:rsidR="00193FAA" w:rsidRDefault="00193FAA">
      <w:pPr>
        <w:spacing w:before="100" w:after="260"/>
        <w:jc w:val="center"/>
        <w:rPr>
          <w:rFonts w:ascii="Cambria" w:eastAsia="Cambria" w:hAnsi="Cambria" w:cs="Cambria"/>
          <w:b/>
          <w:bCs/>
        </w:rPr>
      </w:pPr>
    </w:p>
    <w:p w14:paraId="5D339E57" w14:textId="77777777" w:rsidR="002713CA" w:rsidRDefault="002713CA" w:rsidP="002713CA">
      <w:pPr>
        <w:spacing w:after="160" w:line="276" w:lineRule="auto"/>
        <w:jc w:val="both"/>
        <w:rPr>
          <w:rFonts w:ascii="Cambria" w:eastAsia="Cambria" w:hAnsi="Cambria" w:cs="Cambria"/>
          <w:sz w:val="22"/>
          <w:szCs w:val="22"/>
        </w:rPr>
      </w:pPr>
      <w:r>
        <w:rPr>
          <w:rFonts w:ascii="Cambria" w:eastAsia="Cambria" w:hAnsi="Cambria" w:cs="Cambria"/>
          <w:sz w:val="22"/>
          <w:szCs w:val="22"/>
        </w:rPr>
        <w:t>The results support the central thesis that the three layers are complementary rather than redundant. Split learning and CKKS tackle confidentiality of the transmitted representation architecturally in the former case and cryptographically in the latter case. DP addresses a threat (membership inference from the trained model itself) which is not bounded by either of the other two layers. The main cost of the tri-layered composition is latency, which is almost entirely due to the homomorphic evaluation of the server-side sub-network; it implies that the most promising direction for closing the overhead gap, without compromising any of the three privacy guarantees, is to reduce the number and depth of the homomorphically evaluated layers, e.g. by moving the split point deeper into the network.</w:t>
      </w:r>
    </w:p>
    <w:p w14:paraId="0922EF4D" w14:textId="77777777" w:rsidR="002713CA" w:rsidRPr="002713CA" w:rsidRDefault="00000000" w:rsidP="002713CA">
      <w:pPr>
        <w:spacing w:after="160" w:line="276" w:lineRule="auto"/>
        <w:jc w:val="both"/>
        <w:rPr>
          <w:rFonts w:ascii="Cambria" w:eastAsia="Cambria" w:hAnsi="Cambria" w:cs="Cambria"/>
          <w:b/>
          <w:bCs/>
          <w:caps/>
          <w:sz w:val="26"/>
          <w:szCs w:val="26"/>
        </w:rPr>
      </w:pPr>
      <w:r>
        <w:rPr>
          <w:rFonts w:ascii="Cambria" w:eastAsia="Cambria" w:hAnsi="Cambria" w:cs="Cambria"/>
          <w:b/>
          <w:bCs/>
          <w:caps/>
          <w:sz w:val="26"/>
          <w:szCs w:val="26"/>
        </w:rPr>
        <w:t>VII. Conclusion</w:t>
      </w:r>
    </w:p>
    <w:p w14:paraId="6505AB97" w14:textId="6F2A08C4" w:rsidR="002713CA" w:rsidRDefault="002713CA" w:rsidP="002713CA">
      <w:pPr>
        <w:spacing w:after="160" w:line="276" w:lineRule="auto"/>
        <w:jc w:val="both"/>
        <w:rPr>
          <w:rFonts w:ascii="Cambria" w:eastAsia="Cambria" w:hAnsi="Cambria" w:cs="Cambria"/>
          <w:sz w:val="22"/>
          <w:szCs w:val="22"/>
        </w:rPr>
      </w:pPr>
      <w:r>
        <w:rPr>
          <w:rFonts w:ascii="Cambria" w:eastAsia="Cambria" w:hAnsi="Cambria" w:cs="Cambria"/>
          <w:sz w:val="22"/>
          <w:szCs w:val="22"/>
        </w:rPr>
        <w:t xml:space="preserve">We present a tri-layered hybrid privacy architecture built on split learning, differential privacy, and CKKS fully homomorphic encryption. We provide a formal argument for the composability of the guarantees of the layers, and an empirical evaluation that shows the combination is practical at moderate privacy budgets. The tri-layered configuration achieved 89.9% accuracy at ε=8, within 4.7pp of a non-private baseline, with an approximately 10.4x latency overhead relative to plaintext split inference. The per-attack-vector analysis confirmed that no single layer dominates the threat model coverage, validating the architectural rationale behind combining all three layers. Future work will consider deeper split points to lower the homomorphic evaluation cost, adaptive per-layer budget allocation, and application of the architecture in the seven-class electrical fault-diagnosis setting motivating this wider research </w:t>
      </w:r>
      <w:proofErr w:type="spellStart"/>
      <w:r>
        <w:rPr>
          <w:rFonts w:ascii="Cambria" w:eastAsia="Cambria" w:hAnsi="Cambria" w:cs="Cambria"/>
          <w:sz w:val="22"/>
          <w:szCs w:val="22"/>
        </w:rPr>
        <w:t>programme</w:t>
      </w:r>
      <w:proofErr w:type="spellEnd"/>
      <w:r>
        <w:rPr>
          <w:rFonts w:ascii="Cambria" w:eastAsia="Cambria" w:hAnsi="Cambria" w:cs="Cambria"/>
          <w:sz w:val="22"/>
          <w:szCs w:val="22"/>
        </w:rPr>
        <w:t>.</w:t>
      </w:r>
    </w:p>
    <w:p w14:paraId="7022389E" w14:textId="77777777" w:rsidR="00FF76FD" w:rsidRDefault="00FF76FD" w:rsidP="002713CA">
      <w:pPr>
        <w:spacing w:after="160" w:line="276" w:lineRule="auto"/>
        <w:jc w:val="both"/>
        <w:rPr>
          <w:rFonts w:ascii="Cambria" w:eastAsia="Cambria" w:hAnsi="Cambria" w:cs="Cambria"/>
          <w:sz w:val="22"/>
          <w:szCs w:val="22"/>
        </w:rPr>
      </w:pPr>
    </w:p>
    <w:p w14:paraId="1F1763FF" w14:textId="77777777" w:rsidR="00442B0F" w:rsidRDefault="00442B0F" w:rsidP="00FF76FD">
      <w:pPr>
        <w:rPr>
          <w:b/>
        </w:rPr>
      </w:pPr>
    </w:p>
    <w:p w14:paraId="1AAAEE91" w14:textId="77777777" w:rsidR="00442B0F" w:rsidRDefault="00442B0F" w:rsidP="00FF76FD">
      <w:pPr>
        <w:rPr>
          <w:b/>
        </w:rPr>
      </w:pPr>
    </w:p>
    <w:p w14:paraId="467781FA" w14:textId="77777777" w:rsidR="00442B0F" w:rsidRDefault="00442B0F" w:rsidP="00FF76FD">
      <w:pPr>
        <w:rPr>
          <w:b/>
        </w:rPr>
      </w:pPr>
    </w:p>
    <w:p w14:paraId="5B97FE33" w14:textId="2A8EE1C1" w:rsidR="00FF76FD" w:rsidRPr="000839CE" w:rsidRDefault="00FF76FD" w:rsidP="00FF76FD">
      <w:pPr>
        <w:rPr>
          <w:b/>
        </w:rPr>
      </w:pPr>
      <w:r w:rsidRPr="000839CE">
        <w:rPr>
          <w:b/>
        </w:rPr>
        <w:lastRenderedPageBreak/>
        <w:t>Declaration of AI Use</w:t>
      </w:r>
    </w:p>
    <w:p w14:paraId="70FFD7FF" w14:textId="77777777" w:rsidR="00FF76FD" w:rsidRPr="000839CE" w:rsidRDefault="00FF76FD" w:rsidP="00FF76FD"/>
    <w:p w14:paraId="220E39F0" w14:textId="77777777" w:rsidR="00FF76FD" w:rsidRPr="000839CE" w:rsidRDefault="00FF76FD" w:rsidP="00FF76FD">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F077171" w14:textId="77777777" w:rsidR="00FF76FD" w:rsidRDefault="00FF76FD" w:rsidP="002713CA">
      <w:pPr>
        <w:spacing w:after="160" w:line="276" w:lineRule="auto"/>
        <w:jc w:val="both"/>
        <w:rPr>
          <w:rFonts w:ascii="Cambria" w:eastAsia="Cambria" w:hAnsi="Cambria" w:cs="Cambria"/>
          <w:sz w:val="22"/>
          <w:szCs w:val="22"/>
        </w:rPr>
      </w:pPr>
    </w:p>
    <w:p w14:paraId="55DDF987" w14:textId="77777777" w:rsidR="002713CA" w:rsidRDefault="002713CA" w:rsidP="002713CA">
      <w:pPr>
        <w:spacing w:after="160" w:line="276" w:lineRule="auto"/>
        <w:jc w:val="both"/>
        <w:rPr>
          <w:rFonts w:ascii="Cambria" w:eastAsia="Cambria" w:hAnsi="Cambria" w:cs="Cambria"/>
          <w:sz w:val="22"/>
          <w:szCs w:val="22"/>
        </w:rPr>
      </w:pPr>
    </w:p>
    <w:p w14:paraId="501DE0FB" w14:textId="2594BB30" w:rsidR="00AB5DCE" w:rsidRPr="002713CA" w:rsidRDefault="00000000" w:rsidP="002713CA">
      <w:pPr>
        <w:spacing w:after="160" w:line="276" w:lineRule="auto"/>
        <w:jc w:val="both"/>
        <w:rPr>
          <w:rFonts w:ascii="Cambria" w:eastAsia="Cambria" w:hAnsi="Cambria" w:cs="Cambria"/>
          <w:sz w:val="22"/>
          <w:szCs w:val="22"/>
        </w:rPr>
      </w:pPr>
      <w:r>
        <w:rPr>
          <w:rFonts w:ascii="Cambria" w:eastAsia="Cambria" w:hAnsi="Cambria" w:cs="Cambria"/>
          <w:b/>
          <w:bCs/>
          <w:caps/>
          <w:sz w:val="26"/>
          <w:szCs w:val="26"/>
        </w:rPr>
        <w:t>References</w:t>
      </w:r>
    </w:p>
    <w:p w14:paraId="254CD1EE" w14:textId="77777777" w:rsidR="00AB5DCE" w:rsidRDefault="00000000" w:rsidP="0018533A">
      <w:pPr>
        <w:spacing w:after="120"/>
        <w:ind w:left="720" w:hanging="720"/>
        <w:jc w:val="both"/>
      </w:pPr>
      <w:r>
        <w:rPr>
          <w:rFonts w:ascii="Cambria" w:eastAsia="Cambria" w:hAnsi="Cambria" w:cs="Cambria"/>
        </w:rPr>
        <w:t>[1] O. Gupta and R. Raskar, "Distributed learning of deep neural network over multiple agents," J. Netw. Comput. Appl., vol. 116, pp. 1–8, 2018.</w:t>
      </w:r>
    </w:p>
    <w:p w14:paraId="0F1E5BA6" w14:textId="77777777" w:rsidR="00AB5DCE" w:rsidRDefault="00000000" w:rsidP="0018533A">
      <w:pPr>
        <w:spacing w:after="120"/>
        <w:ind w:left="720" w:hanging="720"/>
        <w:jc w:val="both"/>
      </w:pPr>
      <w:r>
        <w:rPr>
          <w:rFonts w:ascii="Cambria" w:eastAsia="Cambria" w:hAnsi="Cambria" w:cs="Cambria"/>
        </w:rPr>
        <w:t>[2] C. Dwork and A. Roth, "The algorithmic foundations of differential privacy," Found. Trends Theor. Comput. Sci., vol. 9, no. 3–4, pp. 211–407, 2014.</w:t>
      </w:r>
    </w:p>
    <w:p w14:paraId="1AAEAE06" w14:textId="77777777" w:rsidR="00AB5DCE" w:rsidRDefault="00000000" w:rsidP="0018533A">
      <w:pPr>
        <w:spacing w:after="120"/>
        <w:ind w:left="720" w:hanging="720"/>
        <w:jc w:val="both"/>
      </w:pPr>
      <w:r>
        <w:rPr>
          <w:rFonts w:ascii="Cambria" w:eastAsia="Cambria" w:hAnsi="Cambria" w:cs="Cambria"/>
        </w:rPr>
        <w:t>[3] J. H. Cheon, A. Kim, M. Kim, and Y. Song, "Homomorphic encryption for arithmetic of approximate numbers," in Proc. ASIACRYPT, 2017, pp. 409–437.</w:t>
      </w:r>
    </w:p>
    <w:p w14:paraId="3A56D0EE" w14:textId="77777777" w:rsidR="00AB5DCE" w:rsidRDefault="00000000" w:rsidP="0018533A">
      <w:pPr>
        <w:spacing w:after="120"/>
        <w:ind w:left="720" w:hanging="720"/>
        <w:jc w:val="both"/>
      </w:pPr>
      <w:r>
        <w:rPr>
          <w:rFonts w:ascii="Cambria" w:eastAsia="Cambria" w:hAnsi="Cambria" w:cs="Cambria"/>
        </w:rPr>
        <w:t>[4] M. Abadi et al., "Deep learning with differential privacy," in Proc. ACM SIGSAC Conf. Comput. Commun. Secur., 2016, pp. 308–318.</w:t>
      </w:r>
    </w:p>
    <w:p w14:paraId="2F9A0F82" w14:textId="77777777" w:rsidR="00AB5DCE" w:rsidRDefault="00000000" w:rsidP="0018533A">
      <w:pPr>
        <w:spacing w:after="120"/>
        <w:ind w:left="720" w:hanging="720"/>
        <w:jc w:val="both"/>
      </w:pPr>
      <w:r>
        <w:rPr>
          <w:rFonts w:ascii="Cambria" w:eastAsia="Cambria" w:hAnsi="Cambria" w:cs="Cambria"/>
        </w:rPr>
        <w:t>[5] R. Shokri and V. Shmatikov, "Privacy-preserving deep learning," in Proc. ACM SIGSAC Conf. Comput. Commun. Secur., 2015, pp. 1310–1321.</w:t>
      </w:r>
    </w:p>
    <w:p w14:paraId="4451A7EC" w14:textId="77777777" w:rsidR="00AB5DCE" w:rsidRDefault="00000000" w:rsidP="0018533A">
      <w:pPr>
        <w:spacing w:after="120"/>
        <w:ind w:left="720" w:hanging="720"/>
        <w:jc w:val="both"/>
      </w:pPr>
      <w:r>
        <w:rPr>
          <w:rFonts w:ascii="Cambria" w:eastAsia="Cambria" w:hAnsi="Cambria" w:cs="Cambria"/>
        </w:rPr>
        <w:t>[6] P. Vepakomma, O. Gupta, T. Swedish, and R. Raskar, "Split learning for health: Distributed deep learning without sharing raw patient data," arXiv preprint arXiv:1812.00564, 2018.</w:t>
      </w:r>
    </w:p>
    <w:p w14:paraId="0BA3DD55" w14:textId="77777777" w:rsidR="00AB5DCE" w:rsidRDefault="00000000" w:rsidP="0018533A">
      <w:pPr>
        <w:spacing w:after="120"/>
        <w:ind w:left="720" w:hanging="720"/>
        <w:jc w:val="both"/>
      </w:pPr>
      <w:r>
        <w:rPr>
          <w:rFonts w:ascii="Cambria" w:eastAsia="Cambria" w:hAnsi="Cambria" w:cs="Cambria"/>
        </w:rPr>
        <w:t>[7] N. Dowlin et al., "CryptoNets: Applying neural networks to encrypted data with high throughput and accuracy," in Proc. ICML, 2016, pp. 201–210.</w:t>
      </w:r>
    </w:p>
    <w:p w14:paraId="286EBC21" w14:textId="77777777" w:rsidR="00AB5DCE" w:rsidRDefault="00000000" w:rsidP="0018533A">
      <w:pPr>
        <w:spacing w:after="120"/>
        <w:ind w:left="720" w:hanging="720"/>
        <w:jc w:val="both"/>
      </w:pPr>
      <w:r>
        <w:rPr>
          <w:rFonts w:ascii="Cambria" w:eastAsia="Cambria" w:hAnsi="Cambria" w:cs="Cambria"/>
        </w:rPr>
        <w:t>[8] K. Bonawitz et al., "Practical secure aggregation for privacy-preserving machine learning," in Proc. ACM SIGSAC Conf. Comput. Commun. Secur., 2017, pp. 1175–1191.</w:t>
      </w:r>
    </w:p>
    <w:p w14:paraId="3B3404F2" w14:textId="77777777" w:rsidR="00AB5DCE" w:rsidRDefault="00000000" w:rsidP="0018533A">
      <w:pPr>
        <w:spacing w:after="120"/>
        <w:ind w:left="720" w:hanging="720"/>
        <w:jc w:val="both"/>
      </w:pPr>
      <w:r>
        <w:rPr>
          <w:rFonts w:ascii="Cambria" w:eastAsia="Cambria" w:hAnsi="Cambria" w:cs="Cambria"/>
        </w:rPr>
        <w:t>[9] I. Mironov, "Rényi differential privacy," in Proc. IEEE 30th Comput. Secur. Found. Symp., 2017, pp. 263–275.</w:t>
      </w:r>
    </w:p>
    <w:p w14:paraId="55AE9247" w14:textId="77777777" w:rsidR="00AB5DCE" w:rsidRDefault="00000000" w:rsidP="0018533A">
      <w:pPr>
        <w:spacing w:after="120"/>
        <w:ind w:left="720" w:hanging="720"/>
        <w:jc w:val="both"/>
      </w:pPr>
      <w:r>
        <w:rPr>
          <w:rFonts w:ascii="Cambria" w:eastAsia="Cambria" w:hAnsi="Cambria" w:cs="Cambria"/>
        </w:rPr>
        <w:t>[10] Microsoft Research, "Microsoft SEAL (release 4.1)," 2023. [Online library documentation].</w:t>
      </w:r>
    </w:p>
    <w:sectPr w:rsidR="00AB5DC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462C0" w14:textId="77777777" w:rsidR="002F5D6C" w:rsidRDefault="002F5D6C">
      <w:r>
        <w:separator/>
      </w:r>
    </w:p>
  </w:endnote>
  <w:endnote w:type="continuationSeparator" w:id="0">
    <w:p w14:paraId="66901802" w14:textId="77777777" w:rsidR="002F5D6C" w:rsidRDefault="002F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B5010" w14:textId="77777777" w:rsidR="00442B0F" w:rsidRDefault="00442B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FFDE" w14:textId="77777777" w:rsidR="00AB5DCE" w:rsidRDefault="00000000">
    <w:pPr>
      <w:jc w:val="center"/>
    </w:pPr>
    <w:r>
      <w:rPr>
        <w:rFonts w:ascii="Cambria" w:eastAsia="Cambria" w:hAnsi="Cambria" w:cs="Cambria"/>
        <w:sz w:val="18"/>
        <w:szCs w:val="18"/>
      </w:rPr>
      <w:fldChar w:fldCharType="begin"/>
    </w:r>
    <w:r>
      <w:rPr>
        <w:rFonts w:ascii="Cambria" w:eastAsia="Cambria" w:hAnsi="Cambria" w:cs="Cambria"/>
        <w:sz w:val="18"/>
        <w:szCs w:val="18"/>
      </w:rPr>
      <w:instrText>PAGE</w:instrText>
    </w:r>
    <w:r>
      <w:rPr>
        <w:rFonts w:ascii="Cambria" w:eastAsia="Cambria" w:hAnsi="Cambria" w:cs="Cambria"/>
        <w:sz w:val="18"/>
        <w:szCs w:val="18"/>
      </w:rPr>
      <w:fldChar w:fldCharType="separate"/>
    </w:r>
    <w:r w:rsidR="00003CD2">
      <w:rPr>
        <w:rFonts w:ascii="Cambria" w:eastAsia="Cambria" w:hAnsi="Cambria" w:cs="Cambria"/>
        <w:noProof/>
        <w:sz w:val="18"/>
        <w:szCs w:val="18"/>
      </w:rPr>
      <w:t>1</w:t>
    </w:r>
    <w:r>
      <w:rPr>
        <w:rFonts w:ascii="Cambria" w:eastAsia="Cambria" w:hAnsi="Cambria" w:cs="Cambria"/>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17E8" w14:textId="77777777" w:rsidR="00442B0F" w:rsidRDefault="00442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D6D5A" w14:textId="77777777" w:rsidR="002F5D6C" w:rsidRDefault="002F5D6C">
      <w:r>
        <w:separator/>
      </w:r>
    </w:p>
  </w:footnote>
  <w:footnote w:type="continuationSeparator" w:id="0">
    <w:p w14:paraId="21078CE3" w14:textId="77777777" w:rsidR="002F5D6C" w:rsidRDefault="002F5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21E0" w14:textId="769001F6" w:rsidR="00442B0F" w:rsidRDefault="00442B0F">
    <w:pPr>
      <w:pStyle w:val="Header"/>
    </w:pPr>
    <w:r>
      <w:rPr>
        <w:noProof/>
      </w:rPr>
      <w:pict w14:anchorId="19B2AC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97563"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741B" w14:textId="488C31DB" w:rsidR="00442B0F" w:rsidRDefault="00442B0F">
    <w:pPr>
      <w:pStyle w:val="Header"/>
    </w:pPr>
    <w:r>
      <w:rPr>
        <w:noProof/>
      </w:rPr>
      <w:pict w14:anchorId="210143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97564"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5481" w14:textId="722A4A68" w:rsidR="00442B0F" w:rsidRDefault="00442B0F">
    <w:pPr>
      <w:pStyle w:val="Header"/>
    </w:pPr>
    <w:r>
      <w:rPr>
        <w:noProof/>
      </w:rPr>
      <w:pict w14:anchorId="438F79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97562"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2D0E"/>
    <w:multiLevelType w:val="hybridMultilevel"/>
    <w:tmpl w:val="39BAF0A2"/>
    <w:lvl w:ilvl="0" w:tplc="94F063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F359B1"/>
    <w:multiLevelType w:val="hybridMultilevel"/>
    <w:tmpl w:val="DC369654"/>
    <w:lvl w:ilvl="0" w:tplc="19D45CC2">
      <w:start w:val="1"/>
      <w:numFmt w:val="upperRoman"/>
      <w:lvlText w:val="%1."/>
      <w:lvlJc w:val="left"/>
      <w:pPr>
        <w:ind w:left="1080" w:hanging="72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F32CC5"/>
    <w:multiLevelType w:val="hybridMultilevel"/>
    <w:tmpl w:val="F788CE2C"/>
    <w:lvl w:ilvl="0" w:tplc="678AAA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AE1286"/>
    <w:multiLevelType w:val="hybridMultilevel"/>
    <w:tmpl w:val="9B06B640"/>
    <w:lvl w:ilvl="0" w:tplc="4606AAA8">
      <w:start w:val="1"/>
      <w:numFmt w:val="bullet"/>
      <w:lvlText w:val="●"/>
      <w:lvlJc w:val="left"/>
      <w:pPr>
        <w:ind w:left="720" w:hanging="360"/>
      </w:pPr>
    </w:lvl>
    <w:lvl w:ilvl="1" w:tplc="7A1E746E">
      <w:start w:val="1"/>
      <w:numFmt w:val="bullet"/>
      <w:lvlText w:val="○"/>
      <w:lvlJc w:val="left"/>
      <w:pPr>
        <w:ind w:left="1440" w:hanging="360"/>
      </w:pPr>
    </w:lvl>
    <w:lvl w:ilvl="2" w:tplc="07DCDD8E">
      <w:start w:val="1"/>
      <w:numFmt w:val="bullet"/>
      <w:lvlText w:val="■"/>
      <w:lvlJc w:val="left"/>
      <w:pPr>
        <w:ind w:left="2160" w:hanging="360"/>
      </w:pPr>
    </w:lvl>
    <w:lvl w:ilvl="3" w:tplc="0D68D2F6">
      <w:start w:val="1"/>
      <w:numFmt w:val="bullet"/>
      <w:lvlText w:val="●"/>
      <w:lvlJc w:val="left"/>
      <w:pPr>
        <w:ind w:left="2880" w:hanging="360"/>
      </w:pPr>
    </w:lvl>
    <w:lvl w:ilvl="4" w:tplc="D236DBF2">
      <w:start w:val="1"/>
      <w:numFmt w:val="bullet"/>
      <w:lvlText w:val="○"/>
      <w:lvlJc w:val="left"/>
      <w:pPr>
        <w:ind w:left="3600" w:hanging="360"/>
      </w:pPr>
    </w:lvl>
    <w:lvl w:ilvl="5" w:tplc="87FAFC2A">
      <w:start w:val="1"/>
      <w:numFmt w:val="bullet"/>
      <w:lvlText w:val="■"/>
      <w:lvlJc w:val="left"/>
      <w:pPr>
        <w:ind w:left="4320" w:hanging="360"/>
      </w:pPr>
    </w:lvl>
    <w:lvl w:ilvl="6" w:tplc="97A885AE">
      <w:start w:val="1"/>
      <w:numFmt w:val="bullet"/>
      <w:lvlText w:val="●"/>
      <w:lvlJc w:val="left"/>
      <w:pPr>
        <w:ind w:left="5040" w:hanging="360"/>
      </w:pPr>
    </w:lvl>
    <w:lvl w:ilvl="7" w:tplc="EB9C71F6">
      <w:start w:val="1"/>
      <w:numFmt w:val="bullet"/>
      <w:lvlText w:val="●"/>
      <w:lvlJc w:val="left"/>
      <w:pPr>
        <w:ind w:left="5760" w:hanging="360"/>
      </w:pPr>
    </w:lvl>
    <w:lvl w:ilvl="8" w:tplc="7F5A3A12">
      <w:start w:val="1"/>
      <w:numFmt w:val="bullet"/>
      <w:lvlText w:val="●"/>
      <w:lvlJc w:val="left"/>
      <w:pPr>
        <w:ind w:left="6480" w:hanging="360"/>
      </w:pPr>
    </w:lvl>
  </w:abstractNum>
  <w:num w:numId="1" w16cid:durableId="1682857616">
    <w:abstractNumId w:val="3"/>
    <w:lvlOverride w:ilvl="0">
      <w:startOverride w:val="1"/>
    </w:lvlOverride>
  </w:num>
  <w:num w:numId="2" w16cid:durableId="1002196394">
    <w:abstractNumId w:val="2"/>
  </w:num>
  <w:num w:numId="3" w16cid:durableId="503475073">
    <w:abstractNumId w:val="1"/>
  </w:num>
  <w:num w:numId="4" w16cid:durableId="139404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DCE"/>
    <w:rsid w:val="00003CD2"/>
    <w:rsid w:val="000A02D8"/>
    <w:rsid w:val="001143AE"/>
    <w:rsid w:val="0018533A"/>
    <w:rsid w:val="001860D5"/>
    <w:rsid w:val="00193FAA"/>
    <w:rsid w:val="001E4B99"/>
    <w:rsid w:val="00240925"/>
    <w:rsid w:val="002713CA"/>
    <w:rsid w:val="002F5D6C"/>
    <w:rsid w:val="00424770"/>
    <w:rsid w:val="00430BB2"/>
    <w:rsid w:val="00442B0F"/>
    <w:rsid w:val="00450DCE"/>
    <w:rsid w:val="00493D80"/>
    <w:rsid w:val="005A396E"/>
    <w:rsid w:val="005B1F34"/>
    <w:rsid w:val="005B27A0"/>
    <w:rsid w:val="005E231E"/>
    <w:rsid w:val="005E78B7"/>
    <w:rsid w:val="005F1338"/>
    <w:rsid w:val="0065519C"/>
    <w:rsid w:val="006627FD"/>
    <w:rsid w:val="006709FF"/>
    <w:rsid w:val="00713265"/>
    <w:rsid w:val="007315F3"/>
    <w:rsid w:val="00787D03"/>
    <w:rsid w:val="008A3056"/>
    <w:rsid w:val="009028FF"/>
    <w:rsid w:val="00905A4D"/>
    <w:rsid w:val="0092593E"/>
    <w:rsid w:val="00A57F5B"/>
    <w:rsid w:val="00AB49D6"/>
    <w:rsid w:val="00AB5DCE"/>
    <w:rsid w:val="00AE06F1"/>
    <w:rsid w:val="00B47BF9"/>
    <w:rsid w:val="00BB1A64"/>
    <w:rsid w:val="00C76DB2"/>
    <w:rsid w:val="00CC0002"/>
    <w:rsid w:val="00CC08CF"/>
    <w:rsid w:val="00D02238"/>
    <w:rsid w:val="00D97110"/>
    <w:rsid w:val="00E34FD1"/>
    <w:rsid w:val="00E37258"/>
    <w:rsid w:val="00E5680F"/>
    <w:rsid w:val="00E66E2D"/>
    <w:rsid w:val="00E7351B"/>
    <w:rsid w:val="00FF7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930A9"/>
  <w15:docId w15:val="{63CD1465-863C-486E-B59F-2A2F96B5C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B49D6"/>
    <w:pPr>
      <w:tabs>
        <w:tab w:val="center" w:pos="4680"/>
        <w:tab w:val="right" w:pos="9360"/>
      </w:tabs>
    </w:pPr>
  </w:style>
  <w:style w:type="character" w:customStyle="1" w:styleId="HeaderChar">
    <w:name w:val="Header Char"/>
    <w:basedOn w:val="DefaultParagraphFont"/>
    <w:link w:val="Header"/>
    <w:uiPriority w:val="99"/>
    <w:rsid w:val="00AB49D6"/>
  </w:style>
  <w:style w:type="paragraph" w:styleId="Footer">
    <w:name w:val="footer"/>
    <w:basedOn w:val="Normal"/>
    <w:link w:val="FooterChar"/>
    <w:uiPriority w:val="99"/>
    <w:unhideWhenUsed/>
    <w:rsid w:val="00AB49D6"/>
    <w:pPr>
      <w:tabs>
        <w:tab w:val="center" w:pos="4680"/>
        <w:tab w:val="right" w:pos="9360"/>
      </w:tabs>
    </w:pPr>
  </w:style>
  <w:style w:type="character" w:customStyle="1" w:styleId="FooterChar">
    <w:name w:val="Footer Char"/>
    <w:basedOn w:val="DefaultParagraphFont"/>
    <w:link w:val="Footer"/>
    <w:uiPriority w:val="99"/>
    <w:rsid w:val="00AB49D6"/>
  </w:style>
  <w:style w:type="character" w:styleId="UnresolvedMention">
    <w:name w:val="Unresolved Mention"/>
    <w:basedOn w:val="DefaultParagraphFont"/>
    <w:uiPriority w:val="99"/>
    <w:semiHidden/>
    <w:unhideWhenUsed/>
    <w:rsid w:val="005B1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Pages>
  <Words>3241</Words>
  <Characters>18474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11</cp:revision>
  <dcterms:created xsi:type="dcterms:W3CDTF">2026-07-21T02:28:00Z</dcterms:created>
  <dcterms:modified xsi:type="dcterms:W3CDTF">2026-07-22T13:08:00Z</dcterms:modified>
</cp:coreProperties>
</file>