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2F32D" w14:textId="566242F3" w:rsidR="00C479E0" w:rsidRDefault="0085774A">
      <w:pPr>
        <w:rPr>
          <w:b/>
          <w:bCs/>
        </w:rPr>
      </w:pPr>
      <w:r w:rsidRPr="0085774A">
        <w:rPr>
          <w:b/>
          <w:bCs/>
        </w:rPr>
        <w:t>Identification of Superior Forage Pearl Millet Genotypes Based on Growth and Fodder Yield Traits</w:t>
      </w:r>
    </w:p>
    <w:p w14:paraId="12AF41CA" w14:textId="77777777" w:rsidR="002A3324" w:rsidRDefault="002A3324">
      <w:pPr>
        <w:rPr>
          <w:b/>
          <w:bCs/>
        </w:rPr>
      </w:pPr>
    </w:p>
    <w:p w14:paraId="4AED5058" w14:textId="6FDE401C" w:rsidR="002A3324" w:rsidRPr="001A273F" w:rsidRDefault="002A3324" w:rsidP="006B1091">
      <w:pPr>
        <w:widowControl w:val="0"/>
        <w:autoSpaceDE w:val="0"/>
        <w:autoSpaceDN w:val="0"/>
        <w:spacing w:before="20" w:after="0" w:line="276" w:lineRule="auto"/>
        <w:ind w:left="14"/>
        <w:jc w:val="center"/>
        <w:rPr>
          <w:rFonts w:ascii="Times New Roman" w:eastAsia="Cambria" w:hAnsi="Times New Roman" w:cs="Times New Roman"/>
          <w:b/>
          <w:kern w:val="0"/>
          <w:lang w:val="en-US"/>
          <w14:ligatures w14:val="none"/>
        </w:rPr>
      </w:pPr>
    </w:p>
    <w:p w14:paraId="70F6DA91" w14:textId="77777777" w:rsidR="006B1091" w:rsidRPr="006B1091" w:rsidRDefault="006B1091">
      <w:pPr>
        <w:rPr>
          <w:b/>
          <w:bCs/>
        </w:rPr>
      </w:pPr>
    </w:p>
    <w:p w14:paraId="64350295" w14:textId="35D48C6A" w:rsidR="0085774A" w:rsidRPr="006B1091" w:rsidRDefault="0085774A" w:rsidP="006B1091">
      <w:pPr>
        <w:spacing w:line="276" w:lineRule="auto"/>
        <w:rPr>
          <w:rFonts w:ascii="Times New Roman" w:hAnsi="Times New Roman" w:cs="Times New Roman"/>
          <w:b/>
          <w:bCs/>
        </w:rPr>
      </w:pPr>
      <w:r w:rsidRPr="006B1091">
        <w:rPr>
          <w:rFonts w:ascii="Times New Roman" w:hAnsi="Times New Roman" w:cs="Times New Roman"/>
          <w:b/>
          <w:bCs/>
        </w:rPr>
        <w:t>Abstract</w:t>
      </w:r>
    </w:p>
    <w:p w14:paraId="30DB2996" w14:textId="4CB0CDD0" w:rsidR="0085774A" w:rsidRPr="006B1091" w:rsidRDefault="0085774A" w:rsidP="006B1091">
      <w:pPr>
        <w:spacing w:line="276" w:lineRule="auto"/>
        <w:jc w:val="both"/>
        <w:rPr>
          <w:rFonts w:ascii="Times New Roman" w:hAnsi="Times New Roman" w:cs="Times New Roman"/>
        </w:rPr>
      </w:pPr>
      <w:r w:rsidRPr="006B1091">
        <w:rPr>
          <w:rFonts w:ascii="Times New Roman" w:hAnsi="Times New Roman" w:cs="Times New Roman"/>
        </w:rPr>
        <w:t>The present investigation was conducted at the Rainfed Agriculture Farm, Narayan Bagh, Department of Genetics and Plant Breeding, Institute of Agricultural Sciences, Bundelkhand University, Jhansi (U.P.) during the kharif season of 2025 to identify superior forage pearl millet (Pennisetum glaucum (L.) R. Br.) genotypes based on growth and fodder yield traits. Twelve forage pearl millet genotypes were evaluated in a Randomized Block Design (RBD) with three replications under field conditions. Observations were recorded on days to 50% flowering, plant height, number of tillers per plant, number of leaves per plant, leaf length, leaf width, stem thickness, green forage yield per plant, dry matter content, and dry matter yield per plant. Analysis of variance revealed significant differences among the genotypes for most of the studied characters, indicating the presence of considerable genetic variability and providing ample scope for effective selection in forage improvement programmes. Among the evaluated genotypes, Giant Bajra recorded the highest green forage yield per plant (277.60 g) and dry matter yield per plant (37.15 g), while Raj Bajra exhibited superior performance for green forage yield (206.67 g) along with desirable growth attributes. GFB-1 produced the highest number of tillers per plant (5.07), whereas ICMR-15944 recorded the maximum number of leaves per plant (30.20). The tallest plants were observed in JP-138 (178.47 cm), demonstrating substantial variability among the tested genotypes for growth and yield-related traits. The observed variation indicates the existence of valuable genetic resources for the development of high-yielding forage cultivars. Based on the overall performance, Giant Bajra, Raj Bajra, GFB-1, and ICMR-15944 were identified as promising genotypes for improving forage productivity and may serve as potential parental lines in future forage pearl millet breeding programmes.</w:t>
      </w:r>
    </w:p>
    <w:p w14:paraId="39C5DFE3" w14:textId="361B8EE8" w:rsidR="0085774A" w:rsidRPr="006B1091" w:rsidRDefault="0085774A" w:rsidP="006B1091">
      <w:pPr>
        <w:spacing w:line="276" w:lineRule="auto"/>
        <w:jc w:val="both"/>
        <w:rPr>
          <w:rFonts w:ascii="Times New Roman" w:hAnsi="Times New Roman" w:cs="Times New Roman"/>
        </w:rPr>
      </w:pPr>
      <w:r w:rsidRPr="006B1091">
        <w:rPr>
          <w:rFonts w:ascii="Times New Roman" w:hAnsi="Times New Roman" w:cs="Times New Roman"/>
        </w:rPr>
        <w:t>Keywords: Forage pearl millet, genotype evaluation, growth traits, green forage yield, dry matter yield, genetic variability, fodder productivity</w:t>
      </w:r>
    </w:p>
    <w:p w14:paraId="30F8E083" w14:textId="0EC3B6E6" w:rsidR="0085774A" w:rsidRPr="006B1091" w:rsidRDefault="0085774A" w:rsidP="006B1091">
      <w:pPr>
        <w:spacing w:line="276" w:lineRule="auto"/>
        <w:jc w:val="both"/>
        <w:rPr>
          <w:rFonts w:ascii="Times New Roman" w:hAnsi="Times New Roman" w:cs="Times New Roman"/>
          <w:b/>
          <w:bCs/>
        </w:rPr>
      </w:pPr>
      <w:r w:rsidRPr="006B1091">
        <w:rPr>
          <w:rFonts w:ascii="Times New Roman" w:hAnsi="Times New Roman" w:cs="Times New Roman"/>
          <w:b/>
          <w:bCs/>
        </w:rPr>
        <w:t>Introduction</w:t>
      </w:r>
    </w:p>
    <w:p w14:paraId="6720A882" w14:textId="5EE6B5E8" w:rsidR="0085774A" w:rsidRPr="006B1091" w:rsidRDefault="0085774A" w:rsidP="006B1091">
      <w:pPr>
        <w:spacing w:line="276" w:lineRule="auto"/>
        <w:jc w:val="both"/>
        <w:rPr>
          <w:rFonts w:ascii="Times New Roman" w:hAnsi="Times New Roman" w:cs="Times New Roman"/>
        </w:rPr>
      </w:pPr>
      <w:r w:rsidRPr="006B1091">
        <w:rPr>
          <w:rFonts w:ascii="Times New Roman" w:hAnsi="Times New Roman" w:cs="Times New Roman"/>
        </w:rPr>
        <w:t xml:space="preserve">            Forage crops play a vital role in sustaining the livestock sector by providing nutritious and economical feed throughout the year. In India, the increasing demand for milk and meat production has intensified the need for high-yielding and quality forage crops to overcome the persistent shortage of green fodder. At present, the country faces a considerable deficit of green and dry fodder, which adversely affects livestock productivity and farmers' income. Therefore, the identification and development of superior forage crop genotypes with higher biomass production and better adaptability have become important objectives of forage crop improvement programmes (Vision 2050, ICAR, 2015; GOI, 2024). Pearl millet (</w:t>
      </w:r>
      <w:commentRangeStart w:id="0"/>
      <w:proofErr w:type="spellStart"/>
      <w:r w:rsidRPr="006B1091">
        <w:rPr>
          <w:rFonts w:ascii="Times New Roman" w:hAnsi="Times New Roman" w:cs="Times New Roman"/>
        </w:rPr>
        <w:t>Pennisetum</w:t>
      </w:r>
      <w:proofErr w:type="spellEnd"/>
      <w:r w:rsidRPr="006B1091">
        <w:rPr>
          <w:rFonts w:ascii="Times New Roman" w:hAnsi="Times New Roman" w:cs="Times New Roman"/>
        </w:rPr>
        <w:t xml:space="preserve"> </w:t>
      </w:r>
      <w:proofErr w:type="spellStart"/>
      <w:r w:rsidRPr="006B1091">
        <w:rPr>
          <w:rFonts w:ascii="Times New Roman" w:hAnsi="Times New Roman" w:cs="Times New Roman"/>
        </w:rPr>
        <w:t>glaucum</w:t>
      </w:r>
      <w:proofErr w:type="spellEnd"/>
      <w:r w:rsidRPr="006B1091">
        <w:rPr>
          <w:rFonts w:ascii="Times New Roman" w:hAnsi="Times New Roman" w:cs="Times New Roman"/>
        </w:rPr>
        <w:t xml:space="preserve"> </w:t>
      </w:r>
      <w:commentRangeEnd w:id="0"/>
      <w:r w:rsidR="007A1504">
        <w:rPr>
          <w:rStyle w:val="CommentReference"/>
        </w:rPr>
        <w:commentReference w:id="0"/>
      </w:r>
      <w:r w:rsidRPr="006B1091">
        <w:rPr>
          <w:rFonts w:ascii="Times New Roman" w:hAnsi="Times New Roman" w:cs="Times New Roman"/>
        </w:rPr>
        <w:t xml:space="preserve">(L.) R. Br.), recently reclassified as Cenchrus americanus (L.) Morrone, is one of the most important dual-purpose cereal crops cultivated in arid and semi-arid regions of Asia and Africa. Owing to its exceptional tolerance to drought, high temperature and low soil fertility, pearl millet performs well under rainfed conditions where other cereal crops often fail. Besides its importance as a food grain, forage pearl millet is </w:t>
      </w:r>
      <w:r>
        <w:t xml:space="preserve">extensively cultivated for green fodder, </w:t>
      </w:r>
      <w:r w:rsidRPr="006B1091">
        <w:rPr>
          <w:rFonts w:ascii="Times New Roman" w:hAnsi="Times New Roman" w:cs="Times New Roman"/>
        </w:rPr>
        <w:t xml:space="preserve">hay and silage because of its rapid growth, profuse tillering, high biomass production and excellent regeneration ability after cutting (Yadav </w:t>
      </w:r>
      <w:commentRangeStart w:id="1"/>
      <w:r w:rsidRPr="006B1091">
        <w:rPr>
          <w:rFonts w:ascii="Times New Roman" w:hAnsi="Times New Roman" w:cs="Times New Roman"/>
        </w:rPr>
        <w:t xml:space="preserve">et al., </w:t>
      </w:r>
      <w:commentRangeEnd w:id="1"/>
      <w:r w:rsidR="007A1504">
        <w:rPr>
          <w:rStyle w:val="CommentReference"/>
        </w:rPr>
        <w:commentReference w:id="1"/>
      </w:r>
      <w:r w:rsidRPr="006B1091">
        <w:rPr>
          <w:rFonts w:ascii="Times New Roman" w:hAnsi="Times New Roman" w:cs="Times New Roman"/>
        </w:rPr>
        <w:t>2021).</w:t>
      </w:r>
    </w:p>
    <w:p w14:paraId="2FF29D05" w14:textId="0610412C" w:rsidR="0085774A" w:rsidRPr="006B1091" w:rsidRDefault="0085774A" w:rsidP="006B1091">
      <w:pPr>
        <w:jc w:val="both"/>
        <w:rPr>
          <w:rFonts w:ascii="Times New Roman" w:hAnsi="Times New Roman" w:cs="Times New Roman"/>
        </w:rPr>
      </w:pPr>
      <w:r w:rsidRPr="006B1091">
        <w:rPr>
          <w:rFonts w:ascii="Times New Roman" w:hAnsi="Times New Roman" w:cs="Times New Roman"/>
        </w:rPr>
        <w:lastRenderedPageBreak/>
        <w:t>Forage pearl millet possesses several desirable characteristics, including high digestibility, good palatability and superior crude protein content, making it an excellent feed resource for dairy animals. The crop fits well into multiple cropping systems and can provide continuous green fodder during the kharif season. Development of superior forage cultivars with enhanced biomass production and improved agronomic performance can substantially contribute to bridging the fodder gap in India (ICAR-IIMR, 2023).</w:t>
      </w:r>
    </w:p>
    <w:p w14:paraId="5935E415" w14:textId="0F7F5D36" w:rsidR="0085774A" w:rsidRPr="006B1091" w:rsidRDefault="0085774A" w:rsidP="006B1091">
      <w:pPr>
        <w:jc w:val="both"/>
        <w:rPr>
          <w:rFonts w:ascii="Times New Roman" w:hAnsi="Times New Roman" w:cs="Times New Roman"/>
        </w:rPr>
      </w:pPr>
      <w:r w:rsidRPr="006B1091">
        <w:rPr>
          <w:rFonts w:ascii="Times New Roman" w:hAnsi="Times New Roman" w:cs="Times New Roman"/>
        </w:rPr>
        <w:t xml:space="preserve">The success of any crop improvement programme depends largely on the availability and effective utilization of genetic variability. Evaluation of diverse genotypes for growth and yield-related traits helps identify promising parental materials and elite genotypes suitable for direct cultivation or future breeding programmes. Morphological characters such as days to 50% flowering, plant height, tiller number, leaf number, leaf dimensions and stem thickness are important determinants of forage yield and quality. Likewise, green forage yield, dry matter content and dry matter yield are the primary criteria for assessing the productivity of forage genotypes (Singh </w:t>
      </w:r>
      <w:r w:rsidRPr="007A1504">
        <w:rPr>
          <w:rFonts w:ascii="Times New Roman" w:hAnsi="Times New Roman" w:cs="Times New Roman"/>
          <w:color w:val="FF0000"/>
        </w:rPr>
        <w:t>et al</w:t>
      </w:r>
      <w:r w:rsidRPr="006B1091">
        <w:rPr>
          <w:rFonts w:ascii="Times New Roman" w:hAnsi="Times New Roman" w:cs="Times New Roman"/>
        </w:rPr>
        <w:t xml:space="preserve">., 2020; Rai </w:t>
      </w:r>
      <w:r w:rsidRPr="007A1504">
        <w:rPr>
          <w:rFonts w:ascii="Times New Roman" w:hAnsi="Times New Roman" w:cs="Times New Roman"/>
          <w:color w:val="FF0000"/>
        </w:rPr>
        <w:t>et al</w:t>
      </w:r>
      <w:r w:rsidRPr="006B1091">
        <w:rPr>
          <w:rFonts w:ascii="Times New Roman" w:hAnsi="Times New Roman" w:cs="Times New Roman"/>
        </w:rPr>
        <w:t>., 2022).</w:t>
      </w:r>
    </w:p>
    <w:p w14:paraId="51B7C187" w14:textId="20F58587" w:rsidR="0085774A" w:rsidRPr="006B1091" w:rsidRDefault="0085774A" w:rsidP="006B1091">
      <w:pPr>
        <w:jc w:val="both"/>
        <w:rPr>
          <w:rFonts w:ascii="Times New Roman" w:hAnsi="Times New Roman" w:cs="Times New Roman"/>
        </w:rPr>
      </w:pPr>
      <w:r w:rsidRPr="006B1091">
        <w:rPr>
          <w:rFonts w:ascii="Times New Roman" w:hAnsi="Times New Roman" w:cs="Times New Roman"/>
        </w:rPr>
        <w:t>Although several forage pearl millet cultivars have been released in India, continuous evaluation of newly developed and existing genotypes under specific agro-climatic conditions is necessary to identify stable and high-performing materials. The Bundelkhand region of Uttar Pradesh is characterized by erratic rainfall, frequent droughts and marginal soils, making the selection of adaptable forage genotypes particularly important. Systematic evaluation under rainfed conditions can facilitate the identification of genotypes possessing superior growth characteristics and higher forage productivity suitable for cultivation in this region. Therefore, the present investigation was undertaken at the Rainfed Agriculture Farm, Narayan Bagh, Department of Genetics and Plant Breeding, Institute of Agricultural Sciences, Bundelkhand University, Jhansi (U.P.), during the kharif season of 2025, to evaluate twelve forage pearl millet genotypes for growth, morphological and fodder yield traits and to identify superior genotypes that can be utilized in forage production as well as future breeding programmes.</w:t>
      </w:r>
    </w:p>
    <w:p w14:paraId="734E439D" w14:textId="77777777" w:rsidR="0085774A" w:rsidRPr="006B1091" w:rsidRDefault="0085774A" w:rsidP="006B1091">
      <w:pPr>
        <w:jc w:val="both"/>
        <w:rPr>
          <w:rFonts w:ascii="Times New Roman" w:hAnsi="Times New Roman" w:cs="Times New Roman"/>
        </w:rPr>
      </w:pPr>
    </w:p>
    <w:p w14:paraId="6711A8F3" w14:textId="77777777" w:rsidR="0085774A" w:rsidRPr="0085774A" w:rsidRDefault="0085774A" w:rsidP="006B1091">
      <w:pPr>
        <w:jc w:val="both"/>
        <w:rPr>
          <w:rFonts w:ascii="Times New Roman" w:hAnsi="Times New Roman" w:cs="Times New Roman"/>
          <w:b/>
          <w:bCs/>
        </w:rPr>
      </w:pPr>
      <w:r w:rsidRPr="0085774A">
        <w:rPr>
          <w:rFonts w:ascii="Times New Roman" w:hAnsi="Times New Roman" w:cs="Times New Roman"/>
          <w:b/>
          <w:bCs/>
        </w:rPr>
        <w:t>Materials and Methods</w:t>
      </w:r>
    </w:p>
    <w:p w14:paraId="2B8B515D" w14:textId="77777777" w:rsidR="0085774A" w:rsidRPr="0085774A" w:rsidRDefault="0085774A" w:rsidP="006B1091">
      <w:pPr>
        <w:jc w:val="both"/>
        <w:rPr>
          <w:rFonts w:ascii="Times New Roman" w:hAnsi="Times New Roman" w:cs="Times New Roman"/>
          <w:b/>
          <w:bCs/>
        </w:rPr>
      </w:pPr>
      <w:r w:rsidRPr="0085774A">
        <w:rPr>
          <w:rFonts w:ascii="Times New Roman" w:hAnsi="Times New Roman" w:cs="Times New Roman"/>
          <w:b/>
          <w:bCs/>
        </w:rPr>
        <w:t>Experimental Site</w:t>
      </w:r>
    </w:p>
    <w:p w14:paraId="1ABD2385" w14:textId="77777777" w:rsidR="0085774A" w:rsidRPr="0085774A" w:rsidRDefault="0085774A" w:rsidP="006B1091">
      <w:pPr>
        <w:jc w:val="both"/>
        <w:rPr>
          <w:rFonts w:ascii="Times New Roman" w:hAnsi="Times New Roman" w:cs="Times New Roman"/>
        </w:rPr>
      </w:pPr>
      <w:r w:rsidRPr="0085774A">
        <w:rPr>
          <w:rFonts w:ascii="Times New Roman" w:hAnsi="Times New Roman" w:cs="Times New Roman"/>
        </w:rPr>
        <w:t xml:space="preserve">The field experiment was conducted during the </w:t>
      </w:r>
      <w:r w:rsidRPr="0085774A">
        <w:rPr>
          <w:rFonts w:ascii="Times New Roman" w:hAnsi="Times New Roman" w:cs="Times New Roman"/>
          <w:b/>
          <w:bCs/>
        </w:rPr>
        <w:t>kharif season of 2025</w:t>
      </w:r>
      <w:r w:rsidRPr="0085774A">
        <w:rPr>
          <w:rFonts w:ascii="Times New Roman" w:hAnsi="Times New Roman" w:cs="Times New Roman"/>
        </w:rPr>
        <w:t xml:space="preserve"> at the </w:t>
      </w:r>
      <w:r w:rsidRPr="0085774A">
        <w:rPr>
          <w:rFonts w:ascii="Times New Roman" w:hAnsi="Times New Roman" w:cs="Times New Roman"/>
          <w:b/>
          <w:bCs/>
        </w:rPr>
        <w:t>Rainfed Agriculture Farm, Narayan Bagh, Department of Genetics and Plant Breeding, Institute of Agricultural Sciences, Bundelkhand University, Jhansi, Uttar Pradesh, India</w:t>
      </w:r>
      <w:r w:rsidRPr="0085774A">
        <w:rPr>
          <w:rFonts w:ascii="Times New Roman" w:hAnsi="Times New Roman" w:cs="Times New Roman"/>
        </w:rPr>
        <w:t xml:space="preserve">. The experimental farm is situated in the Bundelkhand region, characterized by a semi-arid climate with hot summers and monsoon-dependent rainfall. The soil of the experimental field was </w:t>
      </w:r>
      <w:r w:rsidRPr="0085774A">
        <w:rPr>
          <w:rFonts w:ascii="Times New Roman" w:hAnsi="Times New Roman" w:cs="Times New Roman"/>
          <w:b/>
          <w:bCs/>
        </w:rPr>
        <w:t>sandy loam in texture</w:t>
      </w:r>
      <w:r w:rsidRPr="0085774A">
        <w:rPr>
          <w:rFonts w:ascii="Times New Roman" w:hAnsi="Times New Roman" w:cs="Times New Roman"/>
        </w:rPr>
        <w:t>, well-drained, and moderately fertile, which is suitable for pearl millet cultivation under rainfed conditions.</w:t>
      </w:r>
    </w:p>
    <w:p w14:paraId="65086AC6" w14:textId="77777777" w:rsidR="0085774A" w:rsidRPr="0085774A" w:rsidRDefault="0085774A" w:rsidP="006B1091">
      <w:pPr>
        <w:jc w:val="both"/>
        <w:rPr>
          <w:rFonts w:ascii="Times New Roman" w:hAnsi="Times New Roman" w:cs="Times New Roman"/>
          <w:b/>
          <w:bCs/>
        </w:rPr>
      </w:pPr>
      <w:r w:rsidRPr="0085774A">
        <w:rPr>
          <w:rFonts w:ascii="Times New Roman" w:hAnsi="Times New Roman" w:cs="Times New Roman"/>
          <w:b/>
          <w:bCs/>
        </w:rPr>
        <w:t>Experimental Material</w:t>
      </w:r>
    </w:p>
    <w:p w14:paraId="2F90E472" w14:textId="379781B0" w:rsidR="0085774A" w:rsidRPr="006B1091" w:rsidRDefault="0085774A" w:rsidP="006B1091">
      <w:pPr>
        <w:jc w:val="both"/>
        <w:rPr>
          <w:rFonts w:ascii="Times New Roman" w:hAnsi="Times New Roman" w:cs="Times New Roman"/>
        </w:rPr>
      </w:pPr>
      <w:r w:rsidRPr="0085774A">
        <w:rPr>
          <w:rFonts w:ascii="Times New Roman" w:hAnsi="Times New Roman" w:cs="Times New Roman"/>
        </w:rPr>
        <w:t xml:space="preserve">The experimental material consisted of </w:t>
      </w:r>
      <w:r w:rsidRPr="0085774A">
        <w:rPr>
          <w:rFonts w:ascii="Times New Roman" w:hAnsi="Times New Roman" w:cs="Times New Roman"/>
          <w:b/>
          <w:bCs/>
        </w:rPr>
        <w:t>twelve forage pearl millet (</w:t>
      </w:r>
      <w:r w:rsidRPr="0085774A">
        <w:rPr>
          <w:rFonts w:ascii="Times New Roman" w:hAnsi="Times New Roman" w:cs="Times New Roman"/>
          <w:b/>
          <w:bCs/>
          <w:i/>
          <w:iCs/>
        </w:rPr>
        <w:t>Pennisetum glaucum</w:t>
      </w:r>
      <w:r w:rsidRPr="0085774A">
        <w:rPr>
          <w:rFonts w:ascii="Times New Roman" w:hAnsi="Times New Roman" w:cs="Times New Roman"/>
          <w:b/>
          <w:bCs/>
        </w:rPr>
        <w:t xml:space="preserve"> (L.) R. Br.) genotypes</w:t>
      </w:r>
      <w:r w:rsidRPr="0085774A">
        <w:rPr>
          <w:rFonts w:ascii="Times New Roman" w:hAnsi="Times New Roman" w:cs="Times New Roman"/>
        </w:rPr>
        <w:t xml:space="preserve">, </w:t>
      </w:r>
      <w:proofErr w:type="spellStart"/>
      <w:proofErr w:type="gramStart"/>
      <w:r w:rsidRPr="0085774A">
        <w:rPr>
          <w:rFonts w:ascii="Times New Roman" w:hAnsi="Times New Roman" w:cs="Times New Roman"/>
        </w:rPr>
        <w:t>namely:Raj</w:t>
      </w:r>
      <w:proofErr w:type="spellEnd"/>
      <w:proofErr w:type="gramEnd"/>
      <w:r w:rsidRPr="0085774A">
        <w:rPr>
          <w:rFonts w:ascii="Times New Roman" w:hAnsi="Times New Roman" w:cs="Times New Roman"/>
        </w:rPr>
        <w:t xml:space="preserve"> </w:t>
      </w:r>
      <w:proofErr w:type="spellStart"/>
      <w:r w:rsidRPr="0085774A">
        <w:rPr>
          <w:rFonts w:ascii="Times New Roman" w:hAnsi="Times New Roman" w:cs="Times New Roman"/>
        </w:rPr>
        <w:t>Bajra</w:t>
      </w:r>
      <w:proofErr w:type="spellEnd"/>
      <w:r w:rsidRPr="0085774A">
        <w:rPr>
          <w:rFonts w:ascii="Times New Roman" w:hAnsi="Times New Roman" w:cs="Times New Roman"/>
        </w:rPr>
        <w:t xml:space="preserve"> </w:t>
      </w:r>
      <w:r w:rsidRPr="006B1091">
        <w:rPr>
          <w:rFonts w:ascii="Times New Roman" w:hAnsi="Times New Roman" w:cs="Times New Roman"/>
        </w:rPr>
        <w:t>,</w:t>
      </w:r>
      <w:r w:rsidRPr="0085774A">
        <w:rPr>
          <w:rFonts w:ascii="Times New Roman" w:hAnsi="Times New Roman" w:cs="Times New Roman"/>
        </w:rPr>
        <w:t xml:space="preserve">ICMV-1601 </w:t>
      </w:r>
      <w:r w:rsidRPr="006B1091">
        <w:rPr>
          <w:rFonts w:ascii="Times New Roman" w:hAnsi="Times New Roman" w:cs="Times New Roman"/>
        </w:rPr>
        <w:t>,</w:t>
      </w:r>
      <w:r w:rsidRPr="0085774A">
        <w:rPr>
          <w:rFonts w:ascii="Times New Roman" w:hAnsi="Times New Roman" w:cs="Times New Roman"/>
        </w:rPr>
        <w:t xml:space="preserve">ICMV-1602 </w:t>
      </w:r>
      <w:r w:rsidRPr="006B1091">
        <w:rPr>
          <w:rFonts w:ascii="Times New Roman" w:hAnsi="Times New Roman" w:cs="Times New Roman"/>
        </w:rPr>
        <w:t>,</w:t>
      </w:r>
      <w:r w:rsidRPr="0085774A">
        <w:rPr>
          <w:rFonts w:ascii="Times New Roman" w:hAnsi="Times New Roman" w:cs="Times New Roman"/>
        </w:rPr>
        <w:t xml:space="preserve">HC-20 </w:t>
      </w:r>
      <w:r w:rsidRPr="006B1091">
        <w:rPr>
          <w:rFonts w:ascii="Times New Roman" w:hAnsi="Times New Roman" w:cs="Times New Roman"/>
        </w:rPr>
        <w:t>,</w:t>
      </w:r>
      <w:r w:rsidRPr="0085774A">
        <w:rPr>
          <w:rFonts w:ascii="Times New Roman" w:hAnsi="Times New Roman" w:cs="Times New Roman"/>
        </w:rPr>
        <w:t xml:space="preserve">JP-138 </w:t>
      </w:r>
      <w:r w:rsidRPr="006B1091">
        <w:rPr>
          <w:rFonts w:ascii="Times New Roman" w:hAnsi="Times New Roman" w:cs="Times New Roman"/>
        </w:rPr>
        <w:t>,</w:t>
      </w:r>
      <w:r w:rsidRPr="0085774A">
        <w:rPr>
          <w:rFonts w:ascii="Times New Roman" w:hAnsi="Times New Roman" w:cs="Times New Roman"/>
        </w:rPr>
        <w:t xml:space="preserve">ICMB-674 </w:t>
      </w:r>
      <w:r w:rsidRPr="006B1091">
        <w:rPr>
          <w:rFonts w:ascii="Times New Roman" w:hAnsi="Times New Roman" w:cs="Times New Roman"/>
        </w:rPr>
        <w:t>,</w:t>
      </w:r>
      <w:r w:rsidRPr="0085774A">
        <w:rPr>
          <w:rFonts w:ascii="Times New Roman" w:hAnsi="Times New Roman" w:cs="Times New Roman"/>
        </w:rPr>
        <w:t xml:space="preserve">ICMR-15944 </w:t>
      </w:r>
      <w:r w:rsidRPr="006B1091">
        <w:rPr>
          <w:rFonts w:ascii="Times New Roman" w:hAnsi="Times New Roman" w:cs="Times New Roman"/>
        </w:rPr>
        <w:t>,</w:t>
      </w:r>
      <w:r w:rsidRPr="0085774A">
        <w:rPr>
          <w:rFonts w:ascii="Times New Roman" w:hAnsi="Times New Roman" w:cs="Times New Roman"/>
        </w:rPr>
        <w:t xml:space="preserve">GFB-1 </w:t>
      </w:r>
      <w:r w:rsidRPr="006B1091">
        <w:rPr>
          <w:rFonts w:ascii="Times New Roman" w:hAnsi="Times New Roman" w:cs="Times New Roman"/>
        </w:rPr>
        <w:t>,</w:t>
      </w:r>
      <w:r w:rsidRPr="0085774A">
        <w:rPr>
          <w:rFonts w:ascii="Times New Roman" w:hAnsi="Times New Roman" w:cs="Times New Roman"/>
        </w:rPr>
        <w:t xml:space="preserve">AFB-3 </w:t>
      </w:r>
      <w:r w:rsidRPr="006B1091">
        <w:rPr>
          <w:rFonts w:ascii="Times New Roman" w:hAnsi="Times New Roman" w:cs="Times New Roman"/>
        </w:rPr>
        <w:t>,</w:t>
      </w:r>
      <w:r w:rsidRPr="0085774A">
        <w:rPr>
          <w:rFonts w:ascii="Times New Roman" w:hAnsi="Times New Roman" w:cs="Times New Roman"/>
        </w:rPr>
        <w:t xml:space="preserve">Giant Bajra </w:t>
      </w:r>
      <w:r w:rsidRPr="006B1091">
        <w:rPr>
          <w:rFonts w:ascii="Times New Roman" w:hAnsi="Times New Roman" w:cs="Times New Roman"/>
        </w:rPr>
        <w:t>,</w:t>
      </w:r>
      <w:r w:rsidRPr="0085774A">
        <w:rPr>
          <w:rFonts w:ascii="Times New Roman" w:hAnsi="Times New Roman" w:cs="Times New Roman"/>
        </w:rPr>
        <w:t xml:space="preserve">HC-4 </w:t>
      </w:r>
      <w:r w:rsidRPr="006B1091">
        <w:rPr>
          <w:rFonts w:ascii="Times New Roman" w:hAnsi="Times New Roman" w:cs="Times New Roman"/>
        </w:rPr>
        <w:t>,</w:t>
      </w:r>
      <w:r w:rsidRPr="0085774A">
        <w:rPr>
          <w:rFonts w:ascii="Times New Roman" w:hAnsi="Times New Roman" w:cs="Times New Roman"/>
        </w:rPr>
        <w:t>Raj-171</w:t>
      </w:r>
      <w:r w:rsidRPr="006B1091">
        <w:rPr>
          <w:rFonts w:ascii="Times New Roman" w:hAnsi="Times New Roman" w:cs="Times New Roman"/>
        </w:rPr>
        <w:t>.</w:t>
      </w:r>
    </w:p>
    <w:p w14:paraId="07851F53" w14:textId="51C375D0" w:rsidR="0085774A" w:rsidRPr="006B1091" w:rsidRDefault="0085774A" w:rsidP="006B1091">
      <w:pPr>
        <w:jc w:val="both"/>
        <w:rPr>
          <w:rFonts w:ascii="Times New Roman" w:hAnsi="Times New Roman" w:cs="Times New Roman"/>
        </w:rPr>
      </w:pPr>
      <w:r w:rsidRPr="006B1091">
        <w:rPr>
          <w:rFonts w:ascii="Times New Roman" w:hAnsi="Times New Roman" w:cs="Times New Roman"/>
        </w:rPr>
        <w:t xml:space="preserve">The experiment was laid out in a </w:t>
      </w:r>
      <w:r w:rsidRPr="006B1091">
        <w:rPr>
          <w:rFonts w:ascii="Times New Roman" w:hAnsi="Times New Roman" w:cs="Times New Roman"/>
          <w:b/>
          <w:bCs/>
        </w:rPr>
        <w:t>Randomized Block Design (RBD)</w:t>
      </w:r>
      <w:r w:rsidRPr="006B1091">
        <w:rPr>
          <w:rFonts w:ascii="Times New Roman" w:hAnsi="Times New Roman" w:cs="Times New Roman"/>
        </w:rPr>
        <w:t xml:space="preserve"> with </w:t>
      </w:r>
      <w:r w:rsidRPr="006B1091">
        <w:rPr>
          <w:rFonts w:ascii="Times New Roman" w:hAnsi="Times New Roman" w:cs="Times New Roman"/>
          <w:b/>
          <w:bCs/>
        </w:rPr>
        <w:t>three replications</w:t>
      </w:r>
      <w:r w:rsidRPr="006B1091">
        <w:rPr>
          <w:rFonts w:ascii="Times New Roman" w:hAnsi="Times New Roman" w:cs="Times New Roman"/>
        </w:rPr>
        <w:t xml:space="preserve">. Each genotype was sown in a single plot following the recommended agronomic practices for forage pearl millet under rainfed conditions. The recommended spacing of </w:t>
      </w:r>
      <w:r w:rsidRPr="006B1091">
        <w:rPr>
          <w:rFonts w:ascii="Times New Roman" w:hAnsi="Times New Roman" w:cs="Times New Roman"/>
          <w:b/>
          <w:bCs/>
        </w:rPr>
        <w:t>45 cm between rows and 15 cm between plants</w:t>
      </w:r>
      <w:r w:rsidRPr="006B1091">
        <w:rPr>
          <w:rFonts w:ascii="Times New Roman" w:hAnsi="Times New Roman" w:cs="Times New Roman"/>
        </w:rPr>
        <w:t xml:space="preserve"> was maintained after thinning. All cultural operations, including field preparation, sowing, intercultural operations, and plant protection measures, were carried out uniformly for all treatments following the recommended package of practices of Bundelkhand University.</w:t>
      </w:r>
    </w:p>
    <w:p w14:paraId="463FB361" w14:textId="78579A37" w:rsidR="0085774A" w:rsidRPr="0085774A" w:rsidRDefault="0085774A" w:rsidP="006B1091">
      <w:pPr>
        <w:jc w:val="both"/>
        <w:rPr>
          <w:rFonts w:ascii="Times New Roman" w:hAnsi="Times New Roman" w:cs="Times New Roman"/>
          <w:b/>
          <w:bCs/>
        </w:rPr>
      </w:pPr>
      <w:r w:rsidRPr="0085774A">
        <w:rPr>
          <w:rFonts w:ascii="Times New Roman" w:hAnsi="Times New Roman" w:cs="Times New Roman"/>
          <w:b/>
          <w:bCs/>
        </w:rPr>
        <w:t xml:space="preserve"> Observations</w:t>
      </w:r>
    </w:p>
    <w:p w14:paraId="14D179F7" w14:textId="77777777" w:rsidR="0085774A" w:rsidRPr="0085774A" w:rsidRDefault="0085774A" w:rsidP="006B1091">
      <w:pPr>
        <w:numPr>
          <w:ilvl w:val="0"/>
          <w:numId w:val="2"/>
        </w:numPr>
        <w:jc w:val="both"/>
        <w:rPr>
          <w:rFonts w:ascii="Times New Roman" w:hAnsi="Times New Roman" w:cs="Times New Roman"/>
        </w:rPr>
      </w:pPr>
      <w:commentRangeStart w:id="2"/>
      <w:r w:rsidRPr="0085774A">
        <w:rPr>
          <w:rFonts w:ascii="Times New Roman" w:hAnsi="Times New Roman" w:cs="Times New Roman"/>
          <w:b/>
          <w:bCs/>
        </w:rPr>
        <w:lastRenderedPageBreak/>
        <w:t>Days to 50% flowering:</w:t>
      </w:r>
      <w:r w:rsidRPr="0085774A">
        <w:rPr>
          <w:rFonts w:ascii="Times New Roman" w:hAnsi="Times New Roman" w:cs="Times New Roman"/>
        </w:rPr>
        <w:t xml:space="preserve"> Number of days from sowing to the stage when approximately 50% of the plants in a plot had flowered. </w:t>
      </w:r>
    </w:p>
    <w:p w14:paraId="4340B785"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Plant height (cm):</w:t>
      </w:r>
      <w:r w:rsidRPr="0085774A">
        <w:rPr>
          <w:rFonts w:ascii="Times New Roman" w:hAnsi="Times New Roman" w:cs="Times New Roman"/>
        </w:rPr>
        <w:t xml:space="preserve"> Measured from the ground level to the tip of the tallest leaf/panicle at harvest using a measuring scale. </w:t>
      </w:r>
    </w:p>
    <w:p w14:paraId="24CD4B66"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Number of tillers per plant:</w:t>
      </w:r>
      <w:r w:rsidRPr="0085774A">
        <w:rPr>
          <w:rFonts w:ascii="Times New Roman" w:hAnsi="Times New Roman" w:cs="Times New Roman"/>
        </w:rPr>
        <w:t xml:space="preserve"> Counted at harvest from each selected plant. </w:t>
      </w:r>
    </w:p>
    <w:p w14:paraId="72D258F9"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Number of leaves per plant:</w:t>
      </w:r>
      <w:r w:rsidRPr="0085774A">
        <w:rPr>
          <w:rFonts w:ascii="Times New Roman" w:hAnsi="Times New Roman" w:cs="Times New Roman"/>
        </w:rPr>
        <w:t xml:space="preserve"> Total fully developed green leaves were counted at harvest. </w:t>
      </w:r>
    </w:p>
    <w:p w14:paraId="0AAC4F42"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Leaf length (cm):</w:t>
      </w:r>
      <w:r w:rsidRPr="0085774A">
        <w:rPr>
          <w:rFonts w:ascii="Times New Roman" w:hAnsi="Times New Roman" w:cs="Times New Roman"/>
        </w:rPr>
        <w:t xml:space="preserve"> Measured from the ligule to the tip of the longest fully expanded leaf. </w:t>
      </w:r>
    </w:p>
    <w:p w14:paraId="0F6941C4"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Leaf width (cm):</w:t>
      </w:r>
      <w:r w:rsidRPr="0085774A">
        <w:rPr>
          <w:rFonts w:ascii="Times New Roman" w:hAnsi="Times New Roman" w:cs="Times New Roman"/>
        </w:rPr>
        <w:t xml:space="preserve"> Measured at the widest portion of the same leaf using a ruler. </w:t>
      </w:r>
    </w:p>
    <w:p w14:paraId="540CA4D0"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Stem thickness (cm):</w:t>
      </w:r>
      <w:r w:rsidRPr="0085774A">
        <w:rPr>
          <w:rFonts w:ascii="Times New Roman" w:hAnsi="Times New Roman" w:cs="Times New Roman"/>
        </w:rPr>
        <w:t xml:space="preserve"> Recorded at the basal internode using a Vernier </w:t>
      </w:r>
      <w:proofErr w:type="spellStart"/>
      <w:r w:rsidRPr="0085774A">
        <w:rPr>
          <w:rFonts w:ascii="Times New Roman" w:hAnsi="Times New Roman" w:cs="Times New Roman"/>
        </w:rPr>
        <w:t>caliper</w:t>
      </w:r>
      <w:proofErr w:type="spellEnd"/>
      <w:r w:rsidRPr="0085774A">
        <w:rPr>
          <w:rFonts w:ascii="Times New Roman" w:hAnsi="Times New Roman" w:cs="Times New Roman"/>
        </w:rPr>
        <w:t xml:space="preserve">. </w:t>
      </w:r>
    </w:p>
    <w:p w14:paraId="041BAAA4"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Green forage yield per plant (g):</w:t>
      </w:r>
      <w:r w:rsidRPr="0085774A">
        <w:rPr>
          <w:rFonts w:ascii="Times New Roman" w:hAnsi="Times New Roman" w:cs="Times New Roman"/>
        </w:rPr>
        <w:t xml:space="preserve"> The fresh weight of each sampled plant was recorded immediately after harvest using an electronic balance. </w:t>
      </w:r>
    </w:p>
    <w:p w14:paraId="346DF859"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Dry matter content (%):</w:t>
      </w:r>
      <w:r w:rsidRPr="0085774A">
        <w:rPr>
          <w:rFonts w:ascii="Times New Roman" w:hAnsi="Times New Roman" w:cs="Times New Roman"/>
        </w:rPr>
        <w:t xml:space="preserve"> Representative fresh forage samples were oven-dried at </w:t>
      </w:r>
      <w:r w:rsidRPr="0085774A">
        <w:rPr>
          <w:rFonts w:ascii="Times New Roman" w:hAnsi="Times New Roman" w:cs="Times New Roman"/>
          <w:b/>
          <w:bCs/>
        </w:rPr>
        <w:t>65 ± 2°C</w:t>
      </w:r>
      <w:r w:rsidRPr="0085774A">
        <w:rPr>
          <w:rFonts w:ascii="Times New Roman" w:hAnsi="Times New Roman" w:cs="Times New Roman"/>
        </w:rPr>
        <w:t xml:space="preserve"> until constant weight. Dry matter percentage was calculated using the formula:</w:t>
      </w:r>
      <w:commentRangeEnd w:id="2"/>
      <w:r w:rsidR="007A1504">
        <w:rPr>
          <w:rStyle w:val="CommentReference"/>
        </w:rPr>
        <w:commentReference w:id="2"/>
      </w:r>
    </w:p>
    <w:p w14:paraId="2C6F82BF" w14:textId="209364FC" w:rsidR="0085774A" w:rsidRPr="006B1091" w:rsidRDefault="0085774A" w:rsidP="006B1091">
      <w:pPr>
        <w:spacing w:line="276" w:lineRule="auto"/>
        <w:jc w:val="both"/>
        <w:rPr>
          <w:rStyle w:val="mord"/>
          <w:rFonts w:ascii="Times New Roman" w:hAnsi="Times New Roman" w:cs="Times New Roman"/>
        </w:rPr>
      </w:pPr>
      <w:r w:rsidRPr="006B1091">
        <w:rPr>
          <w:rStyle w:val="mord"/>
          <w:rFonts w:ascii="Times New Roman" w:hAnsi="Times New Roman" w:cs="Times New Roman"/>
        </w:rPr>
        <w:t>Dry Matter Content (%)</w:t>
      </w:r>
      <w:r w:rsidRPr="006B1091">
        <w:rPr>
          <w:rStyle w:val="mrel"/>
          <w:rFonts w:ascii="Times New Roman" w:hAnsi="Times New Roman" w:cs="Times New Roman"/>
        </w:rPr>
        <w:t>=</w:t>
      </w:r>
      <w:r w:rsidRPr="006B1091">
        <w:rPr>
          <w:rStyle w:val="mord"/>
          <w:rFonts w:ascii="Times New Roman" w:hAnsi="Times New Roman" w:cs="Times New Roman"/>
        </w:rPr>
        <w:t>Fresh Weight Dry Weight</w:t>
      </w:r>
      <w:r w:rsidRPr="006B1091">
        <w:rPr>
          <w:rStyle w:val="vlist-s"/>
          <w:rFonts w:ascii="Times New Roman" w:hAnsi="Times New Roman" w:cs="Times New Roman"/>
        </w:rPr>
        <w:t>​</w:t>
      </w:r>
      <w:r w:rsidRPr="006B1091">
        <w:rPr>
          <w:rStyle w:val="mbin"/>
          <w:rFonts w:ascii="Times New Roman" w:hAnsi="Times New Roman" w:cs="Times New Roman"/>
        </w:rPr>
        <w:t xml:space="preserve">× </w:t>
      </w:r>
      <w:r w:rsidRPr="006B1091">
        <w:rPr>
          <w:rStyle w:val="mord"/>
          <w:rFonts w:ascii="Times New Roman" w:hAnsi="Times New Roman" w:cs="Times New Roman"/>
        </w:rPr>
        <w:t>100</w:t>
      </w:r>
    </w:p>
    <w:p w14:paraId="5F1EC366" w14:textId="77777777" w:rsidR="008F043E" w:rsidRPr="006B1091" w:rsidRDefault="008F043E" w:rsidP="006B1091">
      <w:pPr>
        <w:jc w:val="both"/>
        <w:rPr>
          <w:rFonts w:ascii="Times New Roman" w:hAnsi="Times New Roman" w:cs="Times New Roman"/>
        </w:rPr>
      </w:pPr>
      <w:r w:rsidRPr="006B1091">
        <w:rPr>
          <w:rFonts w:ascii="Times New Roman" w:hAnsi="Times New Roman" w:cs="Times New Roman"/>
        </w:rPr>
        <w:t>Dry matter yield per plant (g): Calculated as:</w:t>
      </w:r>
    </w:p>
    <w:p w14:paraId="5A15C00D" w14:textId="304DDA55" w:rsidR="008F043E" w:rsidRPr="006B1091" w:rsidRDefault="008F043E" w:rsidP="006B1091">
      <w:pPr>
        <w:jc w:val="both"/>
        <w:rPr>
          <w:rFonts w:ascii="Times New Roman" w:hAnsi="Times New Roman" w:cs="Times New Roman"/>
        </w:rPr>
      </w:pPr>
      <w:r w:rsidRPr="006B1091">
        <w:rPr>
          <w:rFonts w:ascii="Times New Roman" w:hAnsi="Times New Roman" w:cs="Times New Roman"/>
        </w:rPr>
        <w:t xml:space="preserve">Dry Matter Yield (g)= </w:t>
      </w:r>
      <w:r w:rsidRPr="006B1091">
        <w:rPr>
          <w:rFonts w:ascii="Times New Roman" w:hAnsi="Times New Roman" w:cs="Times New Roman"/>
          <w:u w:val="single"/>
        </w:rPr>
        <w:t xml:space="preserve">Green Forage Yield (g)×Dry Matter Content (%) </w:t>
      </w:r>
    </w:p>
    <w:p w14:paraId="4CA1CE53" w14:textId="73F15311" w:rsidR="008F043E" w:rsidRPr="006B1091" w:rsidRDefault="008F043E" w:rsidP="006B1091">
      <w:pPr>
        <w:jc w:val="both"/>
        <w:rPr>
          <w:rFonts w:ascii="Times New Roman" w:hAnsi="Times New Roman" w:cs="Times New Roman"/>
        </w:rPr>
      </w:pPr>
      <w:r w:rsidRPr="006B1091">
        <w:rPr>
          <w:rFonts w:ascii="Times New Roman" w:hAnsi="Times New Roman" w:cs="Times New Roman"/>
        </w:rPr>
        <w:t xml:space="preserve">                                                                      100</w:t>
      </w:r>
    </w:p>
    <w:p w14:paraId="529236E2" w14:textId="77777777" w:rsidR="00216526" w:rsidRPr="00216526" w:rsidRDefault="00216526" w:rsidP="006B1091">
      <w:pPr>
        <w:jc w:val="both"/>
        <w:rPr>
          <w:rFonts w:ascii="Times New Roman" w:hAnsi="Times New Roman" w:cs="Times New Roman"/>
          <w:b/>
          <w:bCs/>
        </w:rPr>
      </w:pPr>
      <w:r w:rsidRPr="00216526">
        <w:rPr>
          <w:rFonts w:ascii="Times New Roman" w:hAnsi="Times New Roman" w:cs="Times New Roman"/>
          <w:b/>
          <w:bCs/>
        </w:rPr>
        <w:t>Statistical Analysis</w:t>
      </w:r>
    </w:p>
    <w:p w14:paraId="4E50544B" w14:textId="77777777" w:rsidR="00216526" w:rsidRDefault="00216526" w:rsidP="006B1091">
      <w:pPr>
        <w:jc w:val="both"/>
        <w:rPr>
          <w:rFonts w:ascii="Times New Roman" w:hAnsi="Times New Roman" w:cs="Times New Roman"/>
        </w:rPr>
      </w:pPr>
      <w:r w:rsidRPr="00216526">
        <w:rPr>
          <w:rFonts w:ascii="Times New Roman" w:hAnsi="Times New Roman" w:cs="Times New Roman"/>
        </w:rPr>
        <w:t xml:space="preserve">The recorded data were subjected to analysis of variance (ANOVA) for Randomized Block Design as described by </w:t>
      </w:r>
      <w:proofErr w:type="spellStart"/>
      <w:r w:rsidRPr="00216526">
        <w:rPr>
          <w:rFonts w:ascii="Times New Roman" w:hAnsi="Times New Roman" w:cs="Times New Roman"/>
        </w:rPr>
        <w:t>Panse</w:t>
      </w:r>
      <w:proofErr w:type="spellEnd"/>
      <w:r w:rsidRPr="00216526">
        <w:rPr>
          <w:rFonts w:ascii="Times New Roman" w:hAnsi="Times New Roman" w:cs="Times New Roman"/>
        </w:rPr>
        <w:t xml:space="preserve"> and </w:t>
      </w:r>
      <w:proofErr w:type="spellStart"/>
      <w:r w:rsidRPr="00216526">
        <w:rPr>
          <w:rFonts w:ascii="Times New Roman" w:hAnsi="Times New Roman" w:cs="Times New Roman"/>
        </w:rPr>
        <w:t>Sukhatme</w:t>
      </w:r>
      <w:proofErr w:type="spellEnd"/>
      <w:r w:rsidRPr="00216526">
        <w:rPr>
          <w:rFonts w:ascii="Times New Roman" w:hAnsi="Times New Roman" w:cs="Times New Roman"/>
        </w:rPr>
        <w:t xml:space="preserve"> (1985) to test the significance of differences among the genotypes. The significance of treatment effects was tested using the F-test at the 5% probability level. The Standard Error of Mean (</w:t>
      </w:r>
      <w:proofErr w:type="spellStart"/>
      <w:r w:rsidRPr="00216526">
        <w:rPr>
          <w:rFonts w:ascii="Times New Roman" w:hAnsi="Times New Roman" w:cs="Times New Roman"/>
        </w:rPr>
        <w:t>SEm</w:t>
      </w:r>
      <w:proofErr w:type="spellEnd"/>
      <w:r w:rsidRPr="00216526">
        <w:rPr>
          <w:rFonts w:ascii="Times New Roman" w:hAnsi="Times New Roman" w:cs="Times New Roman"/>
        </w:rPr>
        <w:t xml:space="preserve"> ±), Critical Difference (CD) at 5%, and Coefficient of Variation (CV%) were computed to assess the precision and reliability of the experiment.</w:t>
      </w:r>
    </w:p>
    <w:p w14:paraId="09087F50" w14:textId="77777777" w:rsidR="00AE487F" w:rsidRDefault="00AE487F" w:rsidP="00AE487F">
      <w:pPr>
        <w:jc w:val="both"/>
        <w:rPr>
          <w:rFonts w:ascii="Times New Roman" w:hAnsi="Times New Roman" w:cs="Times New Roman"/>
          <w:b/>
          <w:bCs/>
        </w:rPr>
      </w:pPr>
      <w:commentRangeStart w:id="3"/>
      <w:r w:rsidRPr="00AE487F">
        <w:rPr>
          <w:rFonts w:ascii="Times New Roman" w:hAnsi="Times New Roman" w:cs="Times New Roman"/>
          <w:b/>
          <w:bCs/>
        </w:rPr>
        <w:t>Results and Discussion</w:t>
      </w:r>
    </w:p>
    <w:p w14:paraId="61B74413" w14:textId="0FE4578C" w:rsidR="00AE487F" w:rsidRPr="00AE487F" w:rsidRDefault="00AE487F" w:rsidP="00AE487F">
      <w:pPr>
        <w:jc w:val="both"/>
        <w:rPr>
          <w:rFonts w:ascii="Times New Roman" w:hAnsi="Times New Roman" w:cs="Times New Roman"/>
          <w:b/>
          <w:bCs/>
        </w:rPr>
      </w:pPr>
      <w:r>
        <w:rPr>
          <w:rFonts w:ascii="Times New Roman" w:hAnsi="Times New Roman" w:cs="Times New Roman"/>
          <w:b/>
          <w:bCs/>
        </w:rPr>
        <w:t>Results</w:t>
      </w:r>
      <w:commentRangeEnd w:id="3"/>
      <w:r w:rsidR="00A27111">
        <w:rPr>
          <w:rStyle w:val="CommentReference"/>
        </w:rPr>
        <w:commentReference w:id="3"/>
      </w:r>
    </w:p>
    <w:p w14:paraId="3BADE68C" w14:textId="155F8DA3"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Mean performance of forage pearl millet genotypes for yield and its contributing characters</w:t>
      </w:r>
    </w:p>
    <w:p w14:paraId="52F3CDB3" w14:textId="157DA5C9" w:rsidR="00AE487F" w:rsidRPr="00AE487F" w:rsidRDefault="00AE487F" w:rsidP="00AE487F">
      <w:pPr>
        <w:jc w:val="both"/>
        <w:rPr>
          <w:rFonts w:ascii="Times New Roman" w:hAnsi="Times New Roman" w:cs="Times New Roman"/>
        </w:rPr>
      </w:pPr>
      <w:r w:rsidRPr="00AE487F">
        <w:rPr>
          <w:rFonts w:ascii="Times New Roman" w:hAnsi="Times New Roman" w:cs="Times New Roman"/>
        </w:rPr>
        <w:t>The mean performance of twelve forage pearl millet (Pennisetum glaucum L.) genotypes for ten quantitative characters is presented in Table 2. Considerable variation was observed among the genotypes for all the characters studied, indicating the existence of substantial genetic variability that can be exploited for the improvement of forage yield under rainfed conditions. The mean values of the genotypes varied widely for days to 50% flowering, plant height, number of tillers per plant, number of leaves per plant, leaf length, leaf width, stem thickness, green forage yield per plant, dry matter content, and dry matter yield per plant.</w:t>
      </w:r>
    </w:p>
    <w:p w14:paraId="7179A993" w14:textId="104DD7E1" w:rsidR="00AE487F" w:rsidRPr="00AE487F" w:rsidRDefault="00AE487F" w:rsidP="00AE487F">
      <w:pPr>
        <w:jc w:val="both"/>
        <w:rPr>
          <w:rFonts w:ascii="Times New Roman" w:hAnsi="Times New Roman" w:cs="Times New Roman"/>
          <w:b/>
          <w:bCs/>
        </w:rPr>
      </w:pPr>
      <w:commentRangeStart w:id="4"/>
      <w:commentRangeStart w:id="5"/>
      <w:r w:rsidRPr="00AE487F">
        <w:rPr>
          <w:rFonts w:ascii="Times New Roman" w:hAnsi="Times New Roman" w:cs="Times New Roman"/>
          <w:b/>
          <w:bCs/>
        </w:rPr>
        <w:t>Days to 50% flowering</w:t>
      </w:r>
    </w:p>
    <w:p w14:paraId="271077A6" w14:textId="7EEAEC71" w:rsidR="00AE487F" w:rsidRPr="00AE487F" w:rsidRDefault="00AE487F" w:rsidP="00AE487F">
      <w:pPr>
        <w:jc w:val="both"/>
        <w:rPr>
          <w:rFonts w:ascii="Times New Roman" w:hAnsi="Times New Roman" w:cs="Times New Roman"/>
        </w:rPr>
      </w:pPr>
      <w:r w:rsidRPr="00AE487F">
        <w:rPr>
          <w:rFonts w:ascii="Times New Roman" w:hAnsi="Times New Roman" w:cs="Times New Roman"/>
        </w:rPr>
        <w:t>Days to 50% flowering ranged from 55.00 days in ICMR-15944 to 62.00 days in Raj Bajra, with an overall mean of 59.15 days. Early flowering genotypes such as ICMR-15944 and ICMB-674 (56.00 days) are desirable for rainfed environments where terminal drought frequently limits crop growth. Conversely, Raj Bajra and JP-138 exhibited relatively late flowering, suggesting a longer vegetative phase.</w:t>
      </w:r>
    </w:p>
    <w:p w14:paraId="2C7391E7" w14:textId="56B87EF2"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lastRenderedPageBreak/>
        <w:t>Plant height</w:t>
      </w:r>
    </w:p>
    <w:p w14:paraId="6B8BFE4C" w14:textId="6B3B22F2" w:rsidR="00AE487F" w:rsidRPr="00AE487F" w:rsidRDefault="00AE487F" w:rsidP="00AE487F">
      <w:pPr>
        <w:jc w:val="both"/>
        <w:rPr>
          <w:rFonts w:ascii="Times New Roman" w:hAnsi="Times New Roman" w:cs="Times New Roman"/>
        </w:rPr>
      </w:pPr>
      <w:r w:rsidRPr="00AE487F">
        <w:rPr>
          <w:rFonts w:ascii="Times New Roman" w:hAnsi="Times New Roman" w:cs="Times New Roman"/>
        </w:rPr>
        <w:t>Plant height varied from 155.80 cm in AFB-3 to 178.47 cm in JP-138, with a population mean of 159.87 cm. Among the evaluated genotypes, JP-138 recorded the tallest plants followed by Giant Bajra (168.07 cm), ICMV-1602 (167.87 cm) and Raj-171 (165.27 cm). Greater plant height generally contributes to higher forage biomass because of increased vegetative growth.</w:t>
      </w:r>
    </w:p>
    <w:p w14:paraId="5D5017B9" w14:textId="5BB93535"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Number of tillers per plant</w:t>
      </w:r>
    </w:p>
    <w:p w14:paraId="0CEE0EDD" w14:textId="5545396F" w:rsidR="00AE487F" w:rsidRPr="00AE487F" w:rsidRDefault="00AE487F" w:rsidP="00AE487F">
      <w:pPr>
        <w:jc w:val="both"/>
        <w:rPr>
          <w:rFonts w:ascii="Times New Roman" w:hAnsi="Times New Roman" w:cs="Times New Roman"/>
        </w:rPr>
      </w:pPr>
      <w:r w:rsidRPr="00AE487F">
        <w:rPr>
          <w:rFonts w:ascii="Times New Roman" w:hAnsi="Times New Roman" w:cs="Times New Roman"/>
        </w:rPr>
        <w:t>The number of tillers per plant ranged from 2.13 in Raj-171 to 5.07 in GFB-1, with a mean of 2.81. GFB-1 exhibited significantly higher tillering ability than the remaining genotypes, followed by ICMR-15944 (3.47) and ICMV-1601 (3.33). Since tillering directly contributes to biomass production, genotypes with higher tiller numbers are considered promising for forage improvement.</w:t>
      </w:r>
    </w:p>
    <w:p w14:paraId="1F4DC9F3" w14:textId="12C61CA2"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Number of leaves per plant</w:t>
      </w:r>
    </w:p>
    <w:p w14:paraId="3E8D9A5F" w14:textId="3421E11E" w:rsidR="00AE487F" w:rsidRPr="00AE487F" w:rsidRDefault="00AE487F" w:rsidP="00AE487F">
      <w:pPr>
        <w:jc w:val="both"/>
        <w:rPr>
          <w:rFonts w:ascii="Times New Roman" w:hAnsi="Times New Roman" w:cs="Times New Roman"/>
        </w:rPr>
      </w:pPr>
      <w:r w:rsidRPr="00AE487F">
        <w:rPr>
          <w:rFonts w:ascii="Times New Roman" w:hAnsi="Times New Roman" w:cs="Times New Roman"/>
        </w:rPr>
        <w:t>The number of leaves per plant ranged between 17.80 and 30.20, with an average of 22.02. ICMR-15944 produced the maximum number of leaves (30.20), whereas Raj-171 recorded the minimum (17.80). A higher number of leaves enhances the photosynthetic surface area and consequently increases forage production and quality.</w:t>
      </w:r>
    </w:p>
    <w:p w14:paraId="07DE6D51" w14:textId="2EBD6D96"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Leaf length</w:t>
      </w:r>
    </w:p>
    <w:p w14:paraId="5CC7A38D" w14:textId="248F7663" w:rsidR="00AE487F" w:rsidRPr="00AE487F" w:rsidRDefault="00AE487F" w:rsidP="00AE487F">
      <w:pPr>
        <w:jc w:val="both"/>
        <w:rPr>
          <w:rFonts w:ascii="Times New Roman" w:hAnsi="Times New Roman" w:cs="Times New Roman"/>
        </w:rPr>
      </w:pPr>
      <w:r w:rsidRPr="00AE487F">
        <w:rPr>
          <w:rFonts w:ascii="Times New Roman" w:hAnsi="Times New Roman" w:cs="Times New Roman"/>
        </w:rPr>
        <w:t>Leaf length varied from 71.40 cm in GFB-1 to 79.03 cm in AFB-3, with a mean value of 73.45 cm. Longer leaves contribute positively to total leaf area and photosynthetic efficiency, thereby improving biomass accumulation.</w:t>
      </w:r>
    </w:p>
    <w:p w14:paraId="5BF5D384" w14:textId="3E999254"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Leaf width</w:t>
      </w:r>
    </w:p>
    <w:p w14:paraId="6DF44B8D" w14:textId="5EFA2CE7" w:rsidR="00AE487F" w:rsidRPr="00AE487F" w:rsidRDefault="00AE487F" w:rsidP="00AE487F">
      <w:pPr>
        <w:jc w:val="both"/>
        <w:rPr>
          <w:rFonts w:ascii="Times New Roman" w:hAnsi="Times New Roman" w:cs="Times New Roman"/>
        </w:rPr>
      </w:pPr>
      <w:r w:rsidRPr="00AE487F">
        <w:rPr>
          <w:rFonts w:ascii="Times New Roman" w:hAnsi="Times New Roman" w:cs="Times New Roman"/>
        </w:rPr>
        <w:t>Leaf width ranged from 1.21 cm in ICMV-1601 to 2.81 cm in Giant Bajra, with an overall mean of 2.12 cm. Giant Bajra possessed significantly broader leaves than the remaining genotypes, indicating greater leaf area development and higher forage potential.</w:t>
      </w:r>
    </w:p>
    <w:p w14:paraId="29BCF3BC" w14:textId="1798E0F1"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Stem thickness</w:t>
      </w:r>
    </w:p>
    <w:p w14:paraId="1E54CF48" w14:textId="56F53256" w:rsidR="00AE487F" w:rsidRPr="00AE487F" w:rsidRDefault="00AE487F" w:rsidP="00AE487F">
      <w:pPr>
        <w:jc w:val="both"/>
        <w:rPr>
          <w:rFonts w:ascii="Times New Roman" w:hAnsi="Times New Roman" w:cs="Times New Roman"/>
        </w:rPr>
      </w:pPr>
      <w:r w:rsidRPr="00AE487F">
        <w:rPr>
          <w:rFonts w:ascii="Times New Roman" w:hAnsi="Times New Roman" w:cs="Times New Roman"/>
        </w:rPr>
        <w:t>Stem thickness varied considerably among the genotypes, ranging from 0.51 cm in ICMV-1601 to 1.18 cm in Giant Bajra, with a mean of 0.71 cm. Thick stems generally improve plant vigour and contribute positively to total biomass production.</w:t>
      </w:r>
    </w:p>
    <w:p w14:paraId="504E49DF" w14:textId="13CDBDC0"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Green forage yield per plant</w:t>
      </w:r>
    </w:p>
    <w:p w14:paraId="2C7B7ED2" w14:textId="1D56537E" w:rsidR="00AE487F" w:rsidRPr="00AE487F" w:rsidRDefault="00AE487F" w:rsidP="00AE487F">
      <w:pPr>
        <w:jc w:val="both"/>
        <w:rPr>
          <w:rFonts w:ascii="Times New Roman" w:hAnsi="Times New Roman" w:cs="Times New Roman"/>
        </w:rPr>
      </w:pPr>
      <w:r w:rsidRPr="00AE487F">
        <w:rPr>
          <w:rFonts w:ascii="Times New Roman" w:hAnsi="Times New Roman" w:cs="Times New Roman"/>
        </w:rPr>
        <w:t>Green forage yield per plant exhibited wide variation, ranging from 111.47 g in AFB-3 to 277.60 g in Giant Bajra, with an overall mean of 136.43 g. Giant Bajra produced the highest green forage yield followed by Raj Bajra (206.67 g) and ICMV-1602 (163.87 g). The superior performance of Giant Bajra may be attributed to its greater plant height, broader leaves, thicker stem, and higher biomass accumulation.</w:t>
      </w:r>
    </w:p>
    <w:p w14:paraId="289E63CF" w14:textId="135E224B"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Dry matter content</w:t>
      </w:r>
    </w:p>
    <w:p w14:paraId="2C23BF79" w14:textId="526F5008" w:rsidR="00AE487F" w:rsidRPr="00AE487F" w:rsidRDefault="00AE487F" w:rsidP="00AE487F">
      <w:pPr>
        <w:jc w:val="both"/>
        <w:rPr>
          <w:rFonts w:ascii="Times New Roman" w:hAnsi="Times New Roman" w:cs="Times New Roman"/>
        </w:rPr>
      </w:pPr>
      <w:r w:rsidRPr="00AE487F">
        <w:rPr>
          <w:rFonts w:ascii="Times New Roman" w:hAnsi="Times New Roman" w:cs="Times New Roman"/>
        </w:rPr>
        <w:t>Dry matter content ranged from 13.37% in Giant Bajra to 23.10% in ICMV-1601, with an average value of 19.22%. Genotypes possessing higher dry matter content are generally preferred because they provide greater nutritive value and better fodder preservation.</w:t>
      </w:r>
    </w:p>
    <w:p w14:paraId="18671074" w14:textId="684FA4BA"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Dry matter yield per plant</w:t>
      </w:r>
    </w:p>
    <w:p w14:paraId="1C8CA8D5" w14:textId="4C2CA8AC" w:rsidR="00AE487F" w:rsidRPr="00AE487F" w:rsidRDefault="00AE487F" w:rsidP="00AE487F">
      <w:pPr>
        <w:jc w:val="both"/>
        <w:rPr>
          <w:rFonts w:ascii="Times New Roman" w:hAnsi="Times New Roman" w:cs="Times New Roman"/>
        </w:rPr>
      </w:pPr>
      <w:r w:rsidRPr="00AE487F">
        <w:rPr>
          <w:rFonts w:ascii="Times New Roman" w:hAnsi="Times New Roman" w:cs="Times New Roman"/>
        </w:rPr>
        <w:t xml:space="preserve">Dry matter yield per plant varied from 16.10 g in AFB-3 to 37.15 g in Giant Bajra, with an overall mean of 26.12 g. Giant Bajra produced the highest dry matter yield followed closely by ICMV-1602 (36.50 </w:t>
      </w:r>
      <w:r w:rsidRPr="00AE487F">
        <w:rPr>
          <w:rFonts w:ascii="Times New Roman" w:hAnsi="Times New Roman" w:cs="Times New Roman"/>
        </w:rPr>
        <w:lastRenderedPageBreak/>
        <w:t>g) and Raj Bajra (35.79 g). The higher dry matter yield of these genotypes resulted from their superior green forage production combined with desirable morphological traits.</w:t>
      </w:r>
    </w:p>
    <w:p w14:paraId="3426B30B" w14:textId="32323BCB"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Performance of genotypes</w:t>
      </w:r>
    </w:p>
    <w:p w14:paraId="5170CD08" w14:textId="4BAF735A" w:rsidR="00AE487F" w:rsidRDefault="00AE487F" w:rsidP="00AE487F">
      <w:pPr>
        <w:jc w:val="both"/>
        <w:rPr>
          <w:rFonts w:ascii="Times New Roman" w:hAnsi="Times New Roman" w:cs="Times New Roman"/>
        </w:rPr>
      </w:pPr>
      <w:r w:rsidRPr="00AE487F">
        <w:rPr>
          <w:rFonts w:ascii="Times New Roman" w:hAnsi="Times New Roman" w:cs="Times New Roman"/>
        </w:rPr>
        <w:t xml:space="preserve">Based on the overall mean performance, Giant Bajra emerged as the most promising genotype owing to its highest green forage yield (277.60 g plant⁻¹), maximum stem thickness (1.18 cm), widest leaves (2.81 cm), and highest dry matter yield (37.15 g plant⁻¹). Raj Bajra and ICMV-1602 also performed well for forage yield and dry matter yield, while GFB-1 was outstanding for tillering ability and ICMR-15944 for leaf production and early flowering. These genotypes can therefore be utilized as valuable parental lines in forage pearl millet improvement programmes aimed at enhancing biomass production under </w:t>
      </w:r>
      <w:proofErr w:type="spellStart"/>
      <w:r w:rsidRPr="00AE487F">
        <w:rPr>
          <w:rFonts w:ascii="Times New Roman" w:hAnsi="Times New Roman" w:cs="Times New Roman"/>
        </w:rPr>
        <w:t>rainfed</w:t>
      </w:r>
      <w:proofErr w:type="spellEnd"/>
      <w:r w:rsidRPr="00AE487F">
        <w:rPr>
          <w:rFonts w:ascii="Times New Roman" w:hAnsi="Times New Roman" w:cs="Times New Roman"/>
        </w:rPr>
        <w:t xml:space="preserve"> conditions.</w:t>
      </w:r>
      <w:commentRangeEnd w:id="4"/>
      <w:r w:rsidR="000A6213">
        <w:rPr>
          <w:rStyle w:val="CommentReference"/>
        </w:rPr>
        <w:commentReference w:id="4"/>
      </w:r>
      <w:commentRangeEnd w:id="5"/>
      <w:r w:rsidR="000A6213">
        <w:rPr>
          <w:rStyle w:val="CommentReference"/>
        </w:rPr>
        <w:commentReference w:id="5"/>
      </w:r>
    </w:p>
    <w:p w14:paraId="120D3756" w14:textId="53880B3B"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Discussion</w:t>
      </w:r>
    </w:p>
    <w:p w14:paraId="39C0EE57" w14:textId="549C9204" w:rsidR="00AE487F" w:rsidRPr="00AE487F" w:rsidRDefault="00AE487F" w:rsidP="00AE487F">
      <w:pPr>
        <w:jc w:val="both"/>
        <w:rPr>
          <w:rFonts w:ascii="Times New Roman" w:hAnsi="Times New Roman" w:cs="Times New Roman"/>
        </w:rPr>
      </w:pPr>
      <w:r>
        <w:rPr>
          <w:rFonts w:ascii="Times New Roman" w:hAnsi="Times New Roman" w:cs="Times New Roman"/>
        </w:rPr>
        <w:t xml:space="preserve">         </w:t>
      </w:r>
      <w:r w:rsidRPr="00AE487F">
        <w:rPr>
          <w:rFonts w:ascii="Times New Roman" w:hAnsi="Times New Roman" w:cs="Times New Roman"/>
        </w:rPr>
        <w:t xml:space="preserve">The significant differences observed among the twelve forage pearl millet genotypes for all the studied traits demonstrated the existence of substantial genetic variability, which provides ample opportunity for effective selection and genetic improvement of forage productivity. Plant height, tillering ability, leaf production, leaf morphology, stem thickness, green forage yield, dry matter content and dry matter yield exhibited considerable variation among the genotypes, indicating that these traits are predominantly governed by genetic factors with comparatively lower environmental influence. Similar observations regarding the presence of wide genetic variability in pearl millet have been </w:t>
      </w:r>
      <w:commentRangeStart w:id="6"/>
      <w:r w:rsidRPr="00AE487F">
        <w:rPr>
          <w:rFonts w:ascii="Times New Roman" w:hAnsi="Times New Roman" w:cs="Times New Roman"/>
        </w:rPr>
        <w:t xml:space="preserve">reported by Govindaraj et al. (2011), Lakshmana et al. (2010), </w:t>
      </w:r>
      <w:proofErr w:type="spellStart"/>
      <w:r w:rsidRPr="00AE487F">
        <w:rPr>
          <w:rFonts w:ascii="Times New Roman" w:hAnsi="Times New Roman" w:cs="Times New Roman"/>
        </w:rPr>
        <w:t>Satbeer</w:t>
      </w:r>
      <w:proofErr w:type="spellEnd"/>
      <w:r w:rsidRPr="00AE487F">
        <w:rPr>
          <w:rFonts w:ascii="Times New Roman" w:hAnsi="Times New Roman" w:cs="Times New Roman"/>
        </w:rPr>
        <w:t xml:space="preserve"> Singh et al. (2014), Kumar et al. (2014), Kumari et al. (2013), Salih et al. (2014), Yadav et al. (2015), Anuradha et al. (2017), Singh et al. (2018), Rathod et al. (2019), Kumar et al. (2020), Patil et al. (2021), Meena et al. (2022), Chaudhary et al. (2023), Sharma et al. (2024) and </w:t>
      </w:r>
      <w:proofErr w:type="spellStart"/>
      <w:r w:rsidRPr="00AE487F">
        <w:rPr>
          <w:rFonts w:ascii="Times New Roman" w:hAnsi="Times New Roman" w:cs="Times New Roman"/>
        </w:rPr>
        <w:t>Puttamadanayaka</w:t>
      </w:r>
      <w:proofErr w:type="spellEnd"/>
      <w:r w:rsidRPr="00AE487F">
        <w:rPr>
          <w:rFonts w:ascii="Times New Roman" w:hAnsi="Times New Roman" w:cs="Times New Roman"/>
        </w:rPr>
        <w:t xml:space="preserve"> et al. (2026).</w:t>
      </w:r>
      <w:commentRangeEnd w:id="6"/>
      <w:r w:rsidR="000F6B6C">
        <w:rPr>
          <w:rStyle w:val="CommentReference"/>
        </w:rPr>
        <w:commentReference w:id="6"/>
      </w:r>
    </w:p>
    <w:p w14:paraId="24150B59" w14:textId="62E5B709" w:rsidR="00AE487F" w:rsidRPr="00AE487F" w:rsidRDefault="00AE487F" w:rsidP="00AE487F">
      <w:pPr>
        <w:jc w:val="both"/>
        <w:rPr>
          <w:rFonts w:ascii="Times New Roman" w:hAnsi="Times New Roman" w:cs="Times New Roman"/>
        </w:rPr>
      </w:pPr>
      <w:r w:rsidRPr="00AE487F">
        <w:rPr>
          <w:rFonts w:ascii="Times New Roman" w:hAnsi="Times New Roman" w:cs="Times New Roman"/>
        </w:rPr>
        <w:t xml:space="preserve">The genotype Giant Bajra produced the highest green forage yield (277.60 g plant⁻¹) and dry matter yield (37.15 g plant⁻¹), mainly because of its superior plant height, broader leaves and thicker stem. Increased vegetative growth generally contributes to greater photosynthetic efficiency and biomass accumulation, thereby enhancing forage yield. Similar relationships between plant height, vegetative growth and forage biomass have been reported by Govindaraj et al. (2011), Rai et al. (2013), Kumar et al. (2014), Singh et al. (2014), Yadav et al. (2015), Nandini et al. (2016), Anuradha et al. (2017), Rathod et al. (2019), Kumar et al. (2020), Patil et al. (2021), Meena et al. (2022), Gupta et al. (2023) and </w:t>
      </w:r>
      <w:proofErr w:type="spellStart"/>
      <w:r w:rsidRPr="00AE487F">
        <w:rPr>
          <w:rFonts w:ascii="Times New Roman" w:hAnsi="Times New Roman" w:cs="Times New Roman"/>
        </w:rPr>
        <w:t>Puttamadanayaka</w:t>
      </w:r>
      <w:proofErr w:type="spellEnd"/>
      <w:r w:rsidRPr="00AE487F">
        <w:rPr>
          <w:rFonts w:ascii="Times New Roman" w:hAnsi="Times New Roman" w:cs="Times New Roman"/>
        </w:rPr>
        <w:t xml:space="preserve"> et al. (2026).</w:t>
      </w:r>
    </w:p>
    <w:p w14:paraId="676D12E6" w14:textId="16D0CA18" w:rsidR="00AE487F" w:rsidRPr="00AE487F" w:rsidRDefault="00AE487F" w:rsidP="00AE487F">
      <w:pPr>
        <w:jc w:val="both"/>
        <w:rPr>
          <w:rFonts w:ascii="Times New Roman" w:hAnsi="Times New Roman" w:cs="Times New Roman"/>
        </w:rPr>
      </w:pPr>
      <w:r w:rsidRPr="00AE487F">
        <w:rPr>
          <w:rFonts w:ascii="Times New Roman" w:hAnsi="Times New Roman" w:cs="Times New Roman"/>
        </w:rPr>
        <w:t xml:space="preserve">Higher tillering ability observed in GFB-1 (5.07 tillers plant⁻¹) indicates its superior capacity to produce additional vegetative shoots, which directly contribute to biomass production. Productive tillers are considered one of the most important determinants of forage yield because each tiller contributes additional leaves and stem biomass. Similar conclusions have been reported by Govindaraj et al. (2011), Lakshmana et al. (2010), </w:t>
      </w:r>
      <w:proofErr w:type="spellStart"/>
      <w:r w:rsidRPr="00AE487F">
        <w:rPr>
          <w:rFonts w:ascii="Times New Roman" w:hAnsi="Times New Roman" w:cs="Times New Roman"/>
        </w:rPr>
        <w:t>Satbeer</w:t>
      </w:r>
      <w:proofErr w:type="spellEnd"/>
      <w:r w:rsidRPr="00AE487F">
        <w:rPr>
          <w:rFonts w:ascii="Times New Roman" w:hAnsi="Times New Roman" w:cs="Times New Roman"/>
        </w:rPr>
        <w:t xml:space="preserve"> Singh et al. (2014), Kumar et al. (2014), Kumari et al. (2013), Yadav et al. (2015), Singh et al. (2018), Rathod et al. (2019), Kumar et al. (2020), Patil et al. (2021) and Meena et al. (2022).</w:t>
      </w:r>
    </w:p>
    <w:p w14:paraId="2CEBA496" w14:textId="2F5CD128" w:rsidR="00AE487F" w:rsidRPr="00AE487F" w:rsidRDefault="00AE487F" w:rsidP="00AE487F">
      <w:pPr>
        <w:jc w:val="both"/>
        <w:rPr>
          <w:rFonts w:ascii="Times New Roman" w:hAnsi="Times New Roman" w:cs="Times New Roman"/>
        </w:rPr>
      </w:pPr>
      <w:r w:rsidRPr="00AE487F">
        <w:rPr>
          <w:rFonts w:ascii="Times New Roman" w:hAnsi="Times New Roman" w:cs="Times New Roman"/>
        </w:rPr>
        <w:t>The maximum number of leaves per plant recorded in ICMR-15944 suggests greater photosynthetic surface area, which favours carbohydrate synthesis and biomass accumulation. Similarly, longer and broader leaves improve light interception and enhance dry matter production. These findings corroborate the reports of Govindaraj et al. (2011), Rai et al. (2013), Kumar et al. (2014), Anuradha et al. (2017), Singh et al. (2018), Rathod et al. (2019), Patil et al. (2021), Meena et al. (2022), Chaudhary et al. (2023) and Sharma et al. (2024), who also reported positive associations between leaf traits and forage yield.</w:t>
      </w:r>
    </w:p>
    <w:p w14:paraId="6715D226" w14:textId="77777777" w:rsidR="00AE487F" w:rsidRPr="00AE487F" w:rsidRDefault="00AE487F" w:rsidP="00AE487F">
      <w:pPr>
        <w:jc w:val="both"/>
        <w:rPr>
          <w:rFonts w:ascii="Times New Roman" w:hAnsi="Times New Roman" w:cs="Times New Roman"/>
        </w:rPr>
      </w:pPr>
      <w:r w:rsidRPr="00AE487F">
        <w:rPr>
          <w:rFonts w:ascii="Times New Roman" w:hAnsi="Times New Roman" w:cs="Times New Roman"/>
        </w:rPr>
        <w:t xml:space="preserve">Dry matter content varied considerably among the evaluated genotypes, indicating differences in fodder quality and moisture accumulation. Although Giant Bajra possessed comparatively lower dry matter </w:t>
      </w:r>
      <w:r w:rsidRPr="00AE487F">
        <w:rPr>
          <w:rFonts w:ascii="Times New Roman" w:hAnsi="Times New Roman" w:cs="Times New Roman"/>
        </w:rPr>
        <w:lastRenderedPageBreak/>
        <w:t xml:space="preserve">percentage, its exceptionally high green biomass resulted in the highest dry matter yield, demonstrating that total biomass production plays a major role in determining fodder productivity. Similar findings have been reported by Govindaraj et al. (2011), Kumar et al. (2014), Patil et al. (2021), Meena et al. (2022), Gupta et al. (2023) and </w:t>
      </w:r>
      <w:proofErr w:type="spellStart"/>
      <w:r w:rsidRPr="00AE487F">
        <w:rPr>
          <w:rFonts w:ascii="Times New Roman" w:hAnsi="Times New Roman" w:cs="Times New Roman"/>
        </w:rPr>
        <w:t>Puttamadanayaka</w:t>
      </w:r>
      <w:proofErr w:type="spellEnd"/>
      <w:r w:rsidRPr="00AE487F">
        <w:rPr>
          <w:rFonts w:ascii="Times New Roman" w:hAnsi="Times New Roman" w:cs="Times New Roman"/>
        </w:rPr>
        <w:t xml:space="preserve"> et al. (2026).</w:t>
      </w:r>
    </w:p>
    <w:p w14:paraId="7F2F7C3B" w14:textId="3A677E15" w:rsidR="00AE487F" w:rsidRPr="006B1091" w:rsidRDefault="00AE487F" w:rsidP="00AE487F">
      <w:pPr>
        <w:jc w:val="both"/>
        <w:rPr>
          <w:rFonts w:ascii="Times New Roman" w:hAnsi="Times New Roman" w:cs="Times New Roman"/>
        </w:rPr>
      </w:pPr>
      <w:r>
        <w:rPr>
          <w:rFonts w:ascii="Times New Roman" w:hAnsi="Times New Roman" w:cs="Times New Roman"/>
        </w:rPr>
        <w:t xml:space="preserve">         </w:t>
      </w:r>
      <w:r w:rsidRPr="00AE487F">
        <w:rPr>
          <w:rFonts w:ascii="Times New Roman" w:hAnsi="Times New Roman" w:cs="Times New Roman"/>
        </w:rPr>
        <w:t xml:space="preserve"> </w:t>
      </w:r>
      <w:r>
        <w:rPr>
          <w:rFonts w:ascii="Times New Roman" w:hAnsi="Times New Roman" w:cs="Times New Roman"/>
        </w:rPr>
        <w:t>T</w:t>
      </w:r>
      <w:r w:rsidRPr="00AE487F">
        <w:rPr>
          <w:rFonts w:ascii="Times New Roman" w:hAnsi="Times New Roman" w:cs="Times New Roman"/>
        </w:rPr>
        <w:t xml:space="preserve">he present investigation identified Giant Bajra, Raj Bajra, ICMV-1602, GFB-1 and ICMR-15944 as promising genotypes for forage improvement. Giant Bajra was superior for green forage yield, stem thickness and dry matter yield, whereas GFB-1 exhibited excellent tillering ability and ICMR-15944 combined early flowering with higher leaf production. These genotypes could therefore serve as valuable parental material for developing high-yielding forage pearl millet cultivars adapted to </w:t>
      </w:r>
      <w:proofErr w:type="spellStart"/>
      <w:r w:rsidRPr="00AE487F">
        <w:rPr>
          <w:rFonts w:ascii="Times New Roman" w:hAnsi="Times New Roman" w:cs="Times New Roman"/>
        </w:rPr>
        <w:t>rainfed</w:t>
      </w:r>
      <w:proofErr w:type="spellEnd"/>
      <w:r w:rsidRPr="00AE487F">
        <w:rPr>
          <w:rFonts w:ascii="Times New Roman" w:hAnsi="Times New Roman" w:cs="Times New Roman"/>
        </w:rPr>
        <w:t xml:space="preserve"> agro-ecological conditions. The present findings are in close conformity with the earlier reports of Lakshmana et al. (2010), Govindaraj et al. (2011), Rai et al. (2013), </w:t>
      </w:r>
      <w:proofErr w:type="spellStart"/>
      <w:r w:rsidRPr="00AE487F">
        <w:rPr>
          <w:rFonts w:ascii="Times New Roman" w:hAnsi="Times New Roman" w:cs="Times New Roman"/>
        </w:rPr>
        <w:t>Satbeer</w:t>
      </w:r>
      <w:proofErr w:type="spellEnd"/>
      <w:r w:rsidRPr="00AE487F">
        <w:rPr>
          <w:rFonts w:ascii="Times New Roman" w:hAnsi="Times New Roman" w:cs="Times New Roman"/>
        </w:rPr>
        <w:t xml:space="preserve"> Singh et al. (2014), Kumar et al. (2014), Kumari et al. (2013), Salih et al. (2014), Yadav et al. (2015), Nandini et al. (2016), Anuradha et al. (2017), Singh et al. (2018), Rathod et al. (2019), Kumar et al. (2020), Patil et al. (2021), Meena et al. (2022), Gupta et al. (2023), Sharma et al. (2024), </w:t>
      </w:r>
      <w:proofErr w:type="spellStart"/>
      <w:r w:rsidRPr="00AE487F">
        <w:rPr>
          <w:rFonts w:ascii="Times New Roman" w:hAnsi="Times New Roman" w:cs="Times New Roman"/>
        </w:rPr>
        <w:t>Puttamadanayaka</w:t>
      </w:r>
      <w:proofErr w:type="spellEnd"/>
      <w:r w:rsidRPr="00AE487F">
        <w:rPr>
          <w:rFonts w:ascii="Times New Roman" w:hAnsi="Times New Roman" w:cs="Times New Roman"/>
        </w:rPr>
        <w:t xml:space="preserve"> et al. (2026), Rai et al. (2012), Dwivedi et al. (2013), Sehgal et al. (2015), Yadav and Bidinger (2016), Basavaraj et al. (2017), Yadav et al. (2018), Yadav et al. (2019), Gupta et al. (2020), </w:t>
      </w:r>
      <w:proofErr w:type="spellStart"/>
      <w:r w:rsidRPr="00AE487F">
        <w:rPr>
          <w:rFonts w:ascii="Times New Roman" w:hAnsi="Times New Roman" w:cs="Times New Roman"/>
        </w:rPr>
        <w:t>Sannagoudar</w:t>
      </w:r>
      <w:proofErr w:type="spellEnd"/>
      <w:r w:rsidRPr="00AE487F">
        <w:rPr>
          <w:rFonts w:ascii="Times New Roman" w:hAnsi="Times New Roman" w:cs="Times New Roman"/>
        </w:rPr>
        <w:t xml:space="preserve"> et al. (2021), Vinod Kumar et al. (2022), Dwivedi et al. (2023), Mehta et al. (2024), Gupta et al. (2025) and </w:t>
      </w:r>
      <w:proofErr w:type="spellStart"/>
      <w:r w:rsidRPr="00AE487F">
        <w:rPr>
          <w:rFonts w:ascii="Times New Roman" w:hAnsi="Times New Roman" w:cs="Times New Roman"/>
        </w:rPr>
        <w:t>Siddaiah</w:t>
      </w:r>
      <w:proofErr w:type="spellEnd"/>
      <w:r w:rsidRPr="00AE487F">
        <w:rPr>
          <w:rFonts w:ascii="Times New Roman" w:hAnsi="Times New Roman" w:cs="Times New Roman"/>
        </w:rPr>
        <w:t xml:space="preserve"> et al. (2026), all of whom emphasized that effective selection based on plant height, tillering ability, leaf traits and biomass components is highly useful for improving forage yield in pearl millet.</w:t>
      </w:r>
    </w:p>
    <w:p w14:paraId="654EDD3E" w14:textId="77777777" w:rsidR="00216526" w:rsidRPr="00216526" w:rsidRDefault="00216526" w:rsidP="006B1091">
      <w:pPr>
        <w:jc w:val="both"/>
        <w:rPr>
          <w:rFonts w:ascii="Times New Roman" w:hAnsi="Times New Roman" w:cs="Times New Roman"/>
        </w:rPr>
      </w:pPr>
    </w:p>
    <w:p w14:paraId="5668A408" w14:textId="7A44B15A" w:rsidR="00627DAE" w:rsidRDefault="00627DAE" w:rsidP="00627DAE">
      <w:pPr>
        <w:rPr>
          <w:b/>
          <w:bCs/>
          <w:lang w:val="en-US"/>
        </w:rPr>
      </w:pPr>
      <w:r w:rsidRPr="00627DAE">
        <w:rPr>
          <w:b/>
          <w:bCs/>
          <w:lang w:val="en-US"/>
        </w:rPr>
        <w:t xml:space="preserve">Table </w:t>
      </w:r>
      <w:proofErr w:type="gramStart"/>
      <w:r w:rsidRPr="00627DAE">
        <w:rPr>
          <w:b/>
          <w:bCs/>
          <w:lang w:val="en-US"/>
        </w:rPr>
        <w:t>1 :</w:t>
      </w:r>
      <w:proofErr w:type="gramEnd"/>
      <w:r w:rsidRPr="00627DAE">
        <w:rPr>
          <w:b/>
          <w:bCs/>
          <w:lang w:val="en-US"/>
        </w:rPr>
        <w:t xml:space="preserve"> Analysis of variance (ANOVA) showing mean sum of squares for 10 characters in forage bajra</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5"/>
        <w:gridCol w:w="3442"/>
        <w:gridCol w:w="1589"/>
        <w:gridCol w:w="1534"/>
        <w:gridCol w:w="1365"/>
      </w:tblGrid>
      <w:tr w:rsidR="00627DAE" w:rsidRPr="006B1091" w14:paraId="2875EB0C" w14:textId="77777777" w:rsidTr="00CA6243">
        <w:trPr>
          <w:trHeight w:val="431"/>
        </w:trPr>
        <w:tc>
          <w:tcPr>
            <w:tcW w:w="605" w:type="dxa"/>
            <w:vMerge w:val="restart"/>
          </w:tcPr>
          <w:p w14:paraId="12F403B4" w14:textId="77777777" w:rsidR="00627DAE" w:rsidRPr="006B1091" w:rsidRDefault="00627DAE" w:rsidP="00CA6243">
            <w:pPr>
              <w:pStyle w:val="TableParagraph"/>
              <w:spacing w:before="155" w:line="240" w:lineRule="auto"/>
              <w:ind w:left="107"/>
              <w:jc w:val="left"/>
              <w:rPr>
                <w:b/>
                <w:sz w:val="18"/>
                <w:szCs w:val="18"/>
              </w:rPr>
            </w:pPr>
            <w:r w:rsidRPr="006B1091">
              <w:rPr>
                <w:b/>
                <w:spacing w:val="-5"/>
                <w:sz w:val="18"/>
                <w:szCs w:val="18"/>
              </w:rPr>
              <w:t>Sr.</w:t>
            </w:r>
          </w:p>
          <w:p w14:paraId="363ED6AD" w14:textId="77777777" w:rsidR="00627DAE" w:rsidRPr="006B1091" w:rsidRDefault="00627DAE" w:rsidP="00CA6243">
            <w:pPr>
              <w:pStyle w:val="TableParagraph"/>
              <w:spacing w:before="41" w:line="240" w:lineRule="auto"/>
              <w:ind w:left="107"/>
              <w:jc w:val="left"/>
              <w:rPr>
                <w:b/>
                <w:sz w:val="18"/>
                <w:szCs w:val="18"/>
              </w:rPr>
            </w:pPr>
            <w:r w:rsidRPr="006B1091">
              <w:rPr>
                <w:b/>
                <w:spacing w:val="-5"/>
                <w:sz w:val="18"/>
                <w:szCs w:val="18"/>
              </w:rPr>
              <w:t>No.</w:t>
            </w:r>
          </w:p>
        </w:tc>
        <w:tc>
          <w:tcPr>
            <w:tcW w:w="3442" w:type="dxa"/>
          </w:tcPr>
          <w:p w14:paraId="23BE6CDD" w14:textId="77777777" w:rsidR="00627DAE" w:rsidRPr="006B1091" w:rsidRDefault="00627DAE" w:rsidP="00CA6243">
            <w:pPr>
              <w:pStyle w:val="TableParagraph"/>
              <w:spacing w:before="52" w:line="240" w:lineRule="auto"/>
              <w:ind w:left="107"/>
              <w:jc w:val="left"/>
              <w:rPr>
                <w:b/>
                <w:sz w:val="18"/>
                <w:szCs w:val="18"/>
              </w:rPr>
            </w:pPr>
            <w:r w:rsidRPr="006B1091">
              <w:rPr>
                <w:b/>
                <w:spacing w:val="-2"/>
                <w:sz w:val="18"/>
                <w:szCs w:val="18"/>
              </w:rPr>
              <w:t>Source</w:t>
            </w:r>
          </w:p>
        </w:tc>
        <w:tc>
          <w:tcPr>
            <w:tcW w:w="1589" w:type="dxa"/>
          </w:tcPr>
          <w:p w14:paraId="5B630EBC" w14:textId="77777777" w:rsidR="00627DAE" w:rsidRPr="006B1091" w:rsidRDefault="00627DAE" w:rsidP="00CA6243">
            <w:pPr>
              <w:pStyle w:val="TableParagraph"/>
              <w:spacing w:before="52" w:line="240" w:lineRule="auto"/>
              <w:ind w:left="10" w:right="1"/>
              <w:rPr>
                <w:b/>
                <w:sz w:val="18"/>
                <w:szCs w:val="18"/>
              </w:rPr>
            </w:pPr>
            <w:r w:rsidRPr="006B1091">
              <w:rPr>
                <w:b/>
                <w:spacing w:val="-2"/>
                <w:sz w:val="18"/>
                <w:szCs w:val="18"/>
              </w:rPr>
              <w:t>Replications</w:t>
            </w:r>
          </w:p>
        </w:tc>
        <w:tc>
          <w:tcPr>
            <w:tcW w:w="1534" w:type="dxa"/>
          </w:tcPr>
          <w:p w14:paraId="023921D6" w14:textId="77777777" w:rsidR="00627DAE" w:rsidRPr="006B1091" w:rsidRDefault="00627DAE" w:rsidP="00CA6243">
            <w:pPr>
              <w:pStyle w:val="TableParagraph"/>
              <w:spacing w:before="52" w:line="240" w:lineRule="auto"/>
              <w:ind w:left="9" w:right="5"/>
              <w:rPr>
                <w:b/>
                <w:sz w:val="18"/>
                <w:szCs w:val="18"/>
              </w:rPr>
            </w:pPr>
            <w:r w:rsidRPr="006B1091">
              <w:rPr>
                <w:b/>
                <w:spacing w:val="-2"/>
                <w:sz w:val="18"/>
                <w:szCs w:val="18"/>
              </w:rPr>
              <w:t>Genotypes</w:t>
            </w:r>
          </w:p>
        </w:tc>
        <w:tc>
          <w:tcPr>
            <w:tcW w:w="1365" w:type="dxa"/>
          </w:tcPr>
          <w:p w14:paraId="64D3B28E" w14:textId="77777777" w:rsidR="00627DAE" w:rsidRPr="006B1091" w:rsidRDefault="00627DAE" w:rsidP="00CA6243">
            <w:pPr>
              <w:pStyle w:val="TableParagraph"/>
              <w:spacing w:before="52" w:line="240" w:lineRule="auto"/>
              <w:ind w:left="10" w:right="4"/>
              <w:rPr>
                <w:b/>
                <w:sz w:val="18"/>
                <w:szCs w:val="18"/>
              </w:rPr>
            </w:pPr>
            <w:r w:rsidRPr="006B1091">
              <w:rPr>
                <w:b/>
                <w:spacing w:val="-4"/>
                <w:sz w:val="18"/>
                <w:szCs w:val="18"/>
              </w:rPr>
              <w:t>Error</w:t>
            </w:r>
          </w:p>
        </w:tc>
      </w:tr>
      <w:tr w:rsidR="00627DAE" w:rsidRPr="006B1091" w14:paraId="1714735A" w14:textId="77777777" w:rsidTr="00CA6243">
        <w:trPr>
          <w:trHeight w:val="513"/>
        </w:trPr>
        <w:tc>
          <w:tcPr>
            <w:tcW w:w="605" w:type="dxa"/>
            <w:vMerge/>
            <w:tcBorders>
              <w:top w:val="nil"/>
            </w:tcBorders>
          </w:tcPr>
          <w:p w14:paraId="4EC706B2" w14:textId="77777777" w:rsidR="00627DAE" w:rsidRPr="006B1091" w:rsidRDefault="00627DAE" w:rsidP="00CA6243">
            <w:pPr>
              <w:rPr>
                <w:sz w:val="18"/>
                <w:szCs w:val="18"/>
              </w:rPr>
            </w:pPr>
          </w:p>
        </w:tc>
        <w:tc>
          <w:tcPr>
            <w:tcW w:w="3442" w:type="dxa"/>
          </w:tcPr>
          <w:p w14:paraId="4458C49D" w14:textId="77777777" w:rsidR="00627DAE" w:rsidRPr="006B1091" w:rsidRDefault="00627DAE" w:rsidP="00CA6243">
            <w:pPr>
              <w:pStyle w:val="TableParagraph"/>
              <w:spacing w:before="93" w:line="240" w:lineRule="auto"/>
              <w:ind w:left="107"/>
              <w:jc w:val="left"/>
              <w:rPr>
                <w:b/>
                <w:sz w:val="18"/>
                <w:szCs w:val="18"/>
              </w:rPr>
            </w:pPr>
            <w:proofErr w:type="spellStart"/>
            <w:r w:rsidRPr="006B1091">
              <w:rPr>
                <w:b/>
                <w:spacing w:val="-5"/>
                <w:sz w:val="18"/>
                <w:szCs w:val="18"/>
              </w:rPr>
              <w:t>Df</w:t>
            </w:r>
            <w:proofErr w:type="spellEnd"/>
          </w:p>
        </w:tc>
        <w:tc>
          <w:tcPr>
            <w:tcW w:w="1589" w:type="dxa"/>
          </w:tcPr>
          <w:p w14:paraId="1C7B8EBC" w14:textId="77777777" w:rsidR="00627DAE" w:rsidRPr="006B1091" w:rsidRDefault="00627DAE" w:rsidP="00CA6243">
            <w:pPr>
              <w:pStyle w:val="TableParagraph"/>
              <w:spacing w:before="88" w:line="240" w:lineRule="auto"/>
              <w:ind w:left="10"/>
              <w:rPr>
                <w:sz w:val="18"/>
                <w:szCs w:val="18"/>
              </w:rPr>
            </w:pPr>
            <w:r w:rsidRPr="006B1091">
              <w:rPr>
                <w:spacing w:val="-10"/>
                <w:sz w:val="18"/>
                <w:szCs w:val="18"/>
              </w:rPr>
              <w:t>2</w:t>
            </w:r>
          </w:p>
        </w:tc>
        <w:tc>
          <w:tcPr>
            <w:tcW w:w="1534" w:type="dxa"/>
          </w:tcPr>
          <w:p w14:paraId="4B1F71A7" w14:textId="77777777" w:rsidR="00627DAE" w:rsidRPr="006B1091" w:rsidRDefault="00627DAE" w:rsidP="00CA6243">
            <w:pPr>
              <w:pStyle w:val="TableParagraph"/>
              <w:spacing w:before="88" w:line="240" w:lineRule="auto"/>
              <w:ind w:left="9" w:right="2"/>
              <w:rPr>
                <w:sz w:val="18"/>
                <w:szCs w:val="18"/>
              </w:rPr>
            </w:pPr>
            <w:r w:rsidRPr="006B1091">
              <w:rPr>
                <w:spacing w:val="-5"/>
                <w:sz w:val="18"/>
                <w:szCs w:val="18"/>
              </w:rPr>
              <w:t>11</w:t>
            </w:r>
          </w:p>
        </w:tc>
        <w:tc>
          <w:tcPr>
            <w:tcW w:w="1365" w:type="dxa"/>
          </w:tcPr>
          <w:p w14:paraId="1057E5B8" w14:textId="77777777" w:rsidR="00627DAE" w:rsidRPr="006B1091" w:rsidRDefault="00627DAE" w:rsidP="00CA6243">
            <w:pPr>
              <w:pStyle w:val="TableParagraph"/>
              <w:spacing w:before="88" w:line="240" w:lineRule="auto"/>
              <w:ind w:left="10" w:right="2"/>
              <w:rPr>
                <w:sz w:val="18"/>
                <w:szCs w:val="18"/>
              </w:rPr>
            </w:pPr>
            <w:r w:rsidRPr="006B1091">
              <w:rPr>
                <w:spacing w:val="-5"/>
                <w:sz w:val="18"/>
                <w:szCs w:val="18"/>
              </w:rPr>
              <w:t>22</w:t>
            </w:r>
          </w:p>
        </w:tc>
      </w:tr>
      <w:tr w:rsidR="00627DAE" w:rsidRPr="006B1091" w14:paraId="68138711" w14:textId="77777777" w:rsidTr="00CA6243">
        <w:trPr>
          <w:trHeight w:val="530"/>
        </w:trPr>
        <w:tc>
          <w:tcPr>
            <w:tcW w:w="605" w:type="dxa"/>
          </w:tcPr>
          <w:p w14:paraId="0699FD52" w14:textId="77777777" w:rsidR="00627DAE" w:rsidRPr="006B1091" w:rsidRDefault="00627DAE" w:rsidP="00CA6243">
            <w:pPr>
              <w:pStyle w:val="TableParagraph"/>
              <w:spacing w:before="100" w:line="240" w:lineRule="auto"/>
              <w:ind w:right="197"/>
              <w:rPr>
                <w:b/>
                <w:sz w:val="18"/>
                <w:szCs w:val="18"/>
              </w:rPr>
            </w:pPr>
            <w:r w:rsidRPr="006B1091">
              <w:rPr>
                <w:b/>
                <w:spacing w:val="-5"/>
                <w:sz w:val="18"/>
                <w:szCs w:val="18"/>
              </w:rPr>
              <w:t>1.</w:t>
            </w:r>
          </w:p>
        </w:tc>
        <w:tc>
          <w:tcPr>
            <w:tcW w:w="3442" w:type="dxa"/>
          </w:tcPr>
          <w:p w14:paraId="5C97DA0D" w14:textId="77777777" w:rsidR="00627DAE" w:rsidRPr="006B1091" w:rsidRDefault="00627DAE" w:rsidP="00CA6243">
            <w:pPr>
              <w:pStyle w:val="TableParagraph"/>
              <w:spacing w:before="100" w:line="240" w:lineRule="auto"/>
              <w:ind w:left="107"/>
              <w:jc w:val="left"/>
              <w:rPr>
                <w:b/>
                <w:sz w:val="18"/>
                <w:szCs w:val="18"/>
              </w:rPr>
            </w:pPr>
            <w:r w:rsidRPr="006B1091">
              <w:rPr>
                <w:b/>
                <w:sz w:val="18"/>
                <w:szCs w:val="18"/>
              </w:rPr>
              <w:t>Days</w:t>
            </w:r>
            <w:r w:rsidRPr="006B1091">
              <w:rPr>
                <w:b/>
                <w:spacing w:val="-1"/>
                <w:sz w:val="18"/>
                <w:szCs w:val="18"/>
              </w:rPr>
              <w:t xml:space="preserve"> </w:t>
            </w:r>
            <w:r w:rsidRPr="006B1091">
              <w:rPr>
                <w:b/>
                <w:sz w:val="18"/>
                <w:szCs w:val="18"/>
              </w:rPr>
              <w:t>to 50 %</w:t>
            </w:r>
            <w:r w:rsidRPr="006B1091">
              <w:rPr>
                <w:b/>
                <w:spacing w:val="2"/>
                <w:sz w:val="18"/>
                <w:szCs w:val="18"/>
              </w:rPr>
              <w:t xml:space="preserve"> </w:t>
            </w:r>
            <w:r w:rsidRPr="006B1091">
              <w:rPr>
                <w:b/>
                <w:spacing w:val="-2"/>
                <w:sz w:val="18"/>
                <w:szCs w:val="18"/>
              </w:rPr>
              <w:t>flowering</w:t>
            </w:r>
          </w:p>
        </w:tc>
        <w:tc>
          <w:tcPr>
            <w:tcW w:w="1589" w:type="dxa"/>
          </w:tcPr>
          <w:p w14:paraId="48950574" w14:textId="77777777" w:rsidR="00627DAE" w:rsidRPr="006B1091" w:rsidRDefault="00627DAE" w:rsidP="00CA6243">
            <w:pPr>
              <w:pStyle w:val="TableParagraph"/>
              <w:spacing w:before="95" w:line="240" w:lineRule="auto"/>
              <w:ind w:left="10" w:right="4"/>
              <w:rPr>
                <w:sz w:val="18"/>
                <w:szCs w:val="18"/>
              </w:rPr>
            </w:pPr>
            <w:r w:rsidRPr="006B1091">
              <w:rPr>
                <w:spacing w:val="-2"/>
                <w:sz w:val="18"/>
                <w:szCs w:val="18"/>
              </w:rPr>
              <w:t>264.05**</w:t>
            </w:r>
          </w:p>
        </w:tc>
        <w:tc>
          <w:tcPr>
            <w:tcW w:w="1534" w:type="dxa"/>
          </w:tcPr>
          <w:p w14:paraId="17FF2017" w14:textId="77777777" w:rsidR="00627DAE" w:rsidRPr="006B1091" w:rsidRDefault="00627DAE" w:rsidP="00CA6243">
            <w:pPr>
              <w:pStyle w:val="TableParagraph"/>
              <w:spacing w:before="95" w:line="240" w:lineRule="auto"/>
              <w:ind w:left="9"/>
              <w:rPr>
                <w:sz w:val="18"/>
                <w:szCs w:val="18"/>
              </w:rPr>
            </w:pPr>
            <w:r w:rsidRPr="006B1091">
              <w:rPr>
                <w:spacing w:val="-2"/>
                <w:sz w:val="18"/>
                <w:szCs w:val="18"/>
              </w:rPr>
              <w:t>17.83*</w:t>
            </w:r>
          </w:p>
        </w:tc>
        <w:tc>
          <w:tcPr>
            <w:tcW w:w="1365" w:type="dxa"/>
          </w:tcPr>
          <w:p w14:paraId="317EC9E1" w14:textId="77777777" w:rsidR="00627DAE" w:rsidRPr="006B1091" w:rsidRDefault="00627DAE" w:rsidP="00CA6243">
            <w:pPr>
              <w:pStyle w:val="TableParagraph"/>
              <w:spacing w:before="95" w:line="240" w:lineRule="auto"/>
              <w:ind w:left="10"/>
              <w:rPr>
                <w:sz w:val="18"/>
                <w:szCs w:val="18"/>
              </w:rPr>
            </w:pPr>
            <w:r w:rsidRPr="006B1091">
              <w:rPr>
                <w:spacing w:val="-2"/>
                <w:sz w:val="18"/>
                <w:szCs w:val="18"/>
              </w:rPr>
              <w:t>11.88</w:t>
            </w:r>
          </w:p>
        </w:tc>
      </w:tr>
      <w:tr w:rsidR="00627DAE" w:rsidRPr="006B1091" w14:paraId="65319CB9" w14:textId="77777777" w:rsidTr="00CA6243">
        <w:trPr>
          <w:trHeight w:val="316"/>
        </w:trPr>
        <w:tc>
          <w:tcPr>
            <w:tcW w:w="605" w:type="dxa"/>
          </w:tcPr>
          <w:p w14:paraId="50317835" w14:textId="77777777" w:rsidR="00627DAE" w:rsidRPr="006B1091" w:rsidRDefault="00627DAE" w:rsidP="00CA6243">
            <w:pPr>
              <w:pStyle w:val="TableParagraph"/>
              <w:spacing w:line="271" w:lineRule="exact"/>
              <w:ind w:right="197"/>
              <w:rPr>
                <w:b/>
                <w:sz w:val="18"/>
                <w:szCs w:val="18"/>
              </w:rPr>
            </w:pPr>
            <w:r w:rsidRPr="006B1091">
              <w:rPr>
                <w:b/>
                <w:spacing w:val="-5"/>
                <w:sz w:val="18"/>
                <w:szCs w:val="18"/>
              </w:rPr>
              <w:t>2.</w:t>
            </w:r>
          </w:p>
        </w:tc>
        <w:tc>
          <w:tcPr>
            <w:tcW w:w="3442" w:type="dxa"/>
          </w:tcPr>
          <w:p w14:paraId="14DD6BB6" w14:textId="77777777" w:rsidR="00627DAE" w:rsidRPr="006B1091" w:rsidRDefault="00627DAE" w:rsidP="00CA6243">
            <w:pPr>
              <w:pStyle w:val="TableParagraph"/>
              <w:spacing w:line="271" w:lineRule="exact"/>
              <w:ind w:left="107"/>
              <w:jc w:val="left"/>
              <w:rPr>
                <w:b/>
                <w:sz w:val="18"/>
                <w:szCs w:val="18"/>
              </w:rPr>
            </w:pPr>
            <w:r w:rsidRPr="006B1091">
              <w:rPr>
                <w:b/>
                <w:sz w:val="18"/>
                <w:szCs w:val="18"/>
              </w:rPr>
              <w:t>Plant</w:t>
            </w:r>
            <w:r w:rsidRPr="006B1091">
              <w:rPr>
                <w:b/>
                <w:spacing w:val="-2"/>
                <w:sz w:val="18"/>
                <w:szCs w:val="18"/>
              </w:rPr>
              <w:t xml:space="preserve"> height</w:t>
            </w:r>
          </w:p>
        </w:tc>
        <w:tc>
          <w:tcPr>
            <w:tcW w:w="1589" w:type="dxa"/>
          </w:tcPr>
          <w:p w14:paraId="0D79F286" w14:textId="77777777" w:rsidR="00627DAE" w:rsidRPr="006B1091" w:rsidRDefault="00627DAE" w:rsidP="00CA6243">
            <w:pPr>
              <w:pStyle w:val="TableParagraph"/>
              <w:spacing w:line="266" w:lineRule="exact"/>
              <w:ind w:left="10" w:right="4"/>
              <w:rPr>
                <w:sz w:val="18"/>
                <w:szCs w:val="18"/>
              </w:rPr>
            </w:pPr>
            <w:r w:rsidRPr="006B1091">
              <w:rPr>
                <w:spacing w:val="-2"/>
                <w:sz w:val="18"/>
                <w:szCs w:val="18"/>
              </w:rPr>
              <w:t>1545.70**</w:t>
            </w:r>
          </w:p>
        </w:tc>
        <w:tc>
          <w:tcPr>
            <w:tcW w:w="1534" w:type="dxa"/>
          </w:tcPr>
          <w:p w14:paraId="1A59A425" w14:textId="77777777" w:rsidR="00627DAE" w:rsidRPr="006B1091" w:rsidRDefault="00627DAE" w:rsidP="00CA6243">
            <w:pPr>
              <w:pStyle w:val="TableParagraph"/>
              <w:spacing w:line="266" w:lineRule="exact"/>
              <w:ind w:left="9"/>
              <w:rPr>
                <w:sz w:val="18"/>
                <w:szCs w:val="18"/>
              </w:rPr>
            </w:pPr>
            <w:r w:rsidRPr="006B1091">
              <w:rPr>
                <w:spacing w:val="-2"/>
                <w:sz w:val="18"/>
                <w:szCs w:val="18"/>
              </w:rPr>
              <w:t>2771.27**</w:t>
            </w:r>
          </w:p>
        </w:tc>
        <w:tc>
          <w:tcPr>
            <w:tcW w:w="1365" w:type="dxa"/>
          </w:tcPr>
          <w:p w14:paraId="7BFAF262" w14:textId="77777777" w:rsidR="00627DAE" w:rsidRPr="006B1091" w:rsidRDefault="00627DAE" w:rsidP="00CA6243">
            <w:pPr>
              <w:pStyle w:val="TableParagraph"/>
              <w:spacing w:line="266" w:lineRule="exact"/>
              <w:ind w:left="10"/>
              <w:rPr>
                <w:sz w:val="18"/>
                <w:szCs w:val="18"/>
              </w:rPr>
            </w:pPr>
            <w:r w:rsidRPr="006B1091">
              <w:rPr>
                <w:spacing w:val="-2"/>
                <w:sz w:val="18"/>
                <w:szCs w:val="18"/>
              </w:rPr>
              <w:t>248.07</w:t>
            </w:r>
          </w:p>
        </w:tc>
      </w:tr>
      <w:tr w:rsidR="00627DAE" w:rsidRPr="006B1091" w14:paraId="29E4A317" w14:textId="77777777" w:rsidTr="00CA6243">
        <w:trPr>
          <w:trHeight w:val="316"/>
        </w:trPr>
        <w:tc>
          <w:tcPr>
            <w:tcW w:w="605" w:type="dxa"/>
          </w:tcPr>
          <w:p w14:paraId="3B56609D" w14:textId="77777777" w:rsidR="00627DAE" w:rsidRPr="006B1091" w:rsidRDefault="00627DAE" w:rsidP="00CA6243">
            <w:pPr>
              <w:pStyle w:val="TableParagraph"/>
              <w:spacing w:line="271" w:lineRule="exact"/>
              <w:ind w:right="197"/>
              <w:rPr>
                <w:b/>
                <w:sz w:val="18"/>
                <w:szCs w:val="18"/>
              </w:rPr>
            </w:pPr>
            <w:r w:rsidRPr="006B1091">
              <w:rPr>
                <w:b/>
                <w:spacing w:val="-5"/>
                <w:sz w:val="18"/>
                <w:szCs w:val="18"/>
              </w:rPr>
              <w:t>3.</w:t>
            </w:r>
          </w:p>
        </w:tc>
        <w:tc>
          <w:tcPr>
            <w:tcW w:w="3442" w:type="dxa"/>
          </w:tcPr>
          <w:p w14:paraId="7BC54717" w14:textId="77777777" w:rsidR="00627DAE" w:rsidRPr="006B1091" w:rsidRDefault="00627DAE" w:rsidP="00CA6243">
            <w:pPr>
              <w:pStyle w:val="TableParagraph"/>
              <w:spacing w:line="271" w:lineRule="exact"/>
              <w:ind w:left="107"/>
              <w:jc w:val="left"/>
              <w:rPr>
                <w:b/>
                <w:sz w:val="18"/>
                <w:szCs w:val="18"/>
              </w:rPr>
            </w:pPr>
            <w:r w:rsidRPr="006B1091">
              <w:rPr>
                <w:b/>
                <w:sz w:val="18"/>
                <w:szCs w:val="18"/>
              </w:rPr>
              <w:t>Number</w:t>
            </w:r>
            <w:r w:rsidRPr="006B1091">
              <w:rPr>
                <w:b/>
                <w:spacing w:val="-3"/>
                <w:sz w:val="18"/>
                <w:szCs w:val="18"/>
              </w:rPr>
              <w:t xml:space="preserve"> </w:t>
            </w:r>
            <w:r w:rsidRPr="006B1091">
              <w:rPr>
                <w:b/>
                <w:sz w:val="18"/>
                <w:szCs w:val="18"/>
              </w:rPr>
              <w:t>of tillers</w:t>
            </w:r>
            <w:r w:rsidRPr="006B1091">
              <w:rPr>
                <w:b/>
                <w:spacing w:val="-1"/>
                <w:sz w:val="18"/>
                <w:szCs w:val="18"/>
              </w:rPr>
              <w:t xml:space="preserve"> </w:t>
            </w:r>
            <w:r w:rsidRPr="006B1091">
              <w:rPr>
                <w:b/>
                <w:sz w:val="18"/>
                <w:szCs w:val="18"/>
              </w:rPr>
              <w:t>per</w:t>
            </w:r>
            <w:r w:rsidRPr="006B1091">
              <w:rPr>
                <w:b/>
                <w:spacing w:val="-2"/>
                <w:sz w:val="18"/>
                <w:szCs w:val="18"/>
              </w:rPr>
              <w:t xml:space="preserve"> plant</w:t>
            </w:r>
          </w:p>
        </w:tc>
        <w:tc>
          <w:tcPr>
            <w:tcW w:w="1589" w:type="dxa"/>
          </w:tcPr>
          <w:p w14:paraId="5A453850" w14:textId="77777777" w:rsidR="00627DAE" w:rsidRPr="006B1091" w:rsidRDefault="00627DAE" w:rsidP="00CA6243">
            <w:pPr>
              <w:pStyle w:val="TableParagraph"/>
              <w:spacing w:line="266" w:lineRule="exact"/>
              <w:ind w:left="10" w:right="4"/>
              <w:rPr>
                <w:sz w:val="18"/>
                <w:szCs w:val="18"/>
              </w:rPr>
            </w:pPr>
            <w:r w:rsidRPr="006B1091">
              <w:rPr>
                <w:spacing w:val="-4"/>
                <w:sz w:val="18"/>
                <w:szCs w:val="18"/>
              </w:rPr>
              <w:t>0.59</w:t>
            </w:r>
          </w:p>
        </w:tc>
        <w:tc>
          <w:tcPr>
            <w:tcW w:w="1534" w:type="dxa"/>
          </w:tcPr>
          <w:p w14:paraId="2C8E31C0" w14:textId="77777777" w:rsidR="00627DAE" w:rsidRPr="006B1091" w:rsidRDefault="00627DAE" w:rsidP="00CA6243">
            <w:pPr>
              <w:pStyle w:val="TableParagraph"/>
              <w:spacing w:line="266" w:lineRule="exact"/>
              <w:ind w:left="9"/>
              <w:rPr>
                <w:sz w:val="18"/>
                <w:szCs w:val="18"/>
              </w:rPr>
            </w:pPr>
            <w:r w:rsidRPr="006B1091">
              <w:rPr>
                <w:spacing w:val="-2"/>
                <w:sz w:val="18"/>
                <w:szCs w:val="18"/>
              </w:rPr>
              <w:t>0.98**</w:t>
            </w:r>
          </w:p>
        </w:tc>
        <w:tc>
          <w:tcPr>
            <w:tcW w:w="1365" w:type="dxa"/>
          </w:tcPr>
          <w:p w14:paraId="661760AC" w14:textId="77777777" w:rsidR="00627DAE" w:rsidRPr="006B1091" w:rsidRDefault="00627DAE" w:rsidP="00CA6243">
            <w:pPr>
              <w:pStyle w:val="TableParagraph"/>
              <w:spacing w:line="266" w:lineRule="exact"/>
              <w:ind w:left="10"/>
              <w:rPr>
                <w:sz w:val="18"/>
                <w:szCs w:val="18"/>
              </w:rPr>
            </w:pPr>
            <w:r w:rsidRPr="006B1091">
              <w:rPr>
                <w:spacing w:val="-4"/>
                <w:sz w:val="18"/>
                <w:szCs w:val="18"/>
              </w:rPr>
              <w:t>0.25</w:t>
            </w:r>
          </w:p>
        </w:tc>
      </w:tr>
      <w:tr w:rsidR="00627DAE" w:rsidRPr="006B1091" w14:paraId="50224805" w14:textId="77777777" w:rsidTr="00CA6243">
        <w:trPr>
          <w:trHeight w:val="318"/>
        </w:trPr>
        <w:tc>
          <w:tcPr>
            <w:tcW w:w="605" w:type="dxa"/>
          </w:tcPr>
          <w:p w14:paraId="435185D1" w14:textId="77777777" w:rsidR="00627DAE" w:rsidRPr="006B1091" w:rsidRDefault="00627DAE" w:rsidP="00CA6243">
            <w:pPr>
              <w:pStyle w:val="TableParagraph"/>
              <w:spacing w:line="273" w:lineRule="exact"/>
              <w:ind w:right="197"/>
              <w:rPr>
                <w:b/>
                <w:sz w:val="18"/>
                <w:szCs w:val="18"/>
              </w:rPr>
            </w:pPr>
            <w:r w:rsidRPr="006B1091">
              <w:rPr>
                <w:b/>
                <w:spacing w:val="-5"/>
                <w:sz w:val="18"/>
                <w:szCs w:val="18"/>
              </w:rPr>
              <w:t>4.</w:t>
            </w:r>
          </w:p>
        </w:tc>
        <w:tc>
          <w:tcPr>
            <w:tcW w:w="3442" w:type="dxa"/>
          </w:tcPr>
          <w:p w14:paraId="29878250" w14:textId="77777777" w:rsidR="00627DAE" w:rsidRPr="006B1091" w:rsidRDefault="00627DAE" w:rsidP="00CA6243">
            <w:pPr>
              <w:pStyle w:val="TableParagraph"/>
              <w:spacing w:line="273" w:lineRule="exact"/>
              <w:ind w:left="107"/>
              <w:jc w:val="left"/>
              <w:rPr>
                <w:b/>
                <w:sz w:val="18"/>
                <w:szCs w:val="18"/>
              </w:rPr>
            </w:pPr>
            <w:r w:rsidRPr="006B1091">
              <w:rPr>
                <w:b/>
                <w:sz w:val="18"/>
                <w:szCs w:val="18"/>
              </w:rPr>
              <w:t>Number</w:t>
            </w:r>
            <w:r w:rsidRPr="006B1091">
              <w:rPr>
                <w:b/>
                <w:spacing w:val="-2"/>
                <w:sz w:val="18"/>
                <w:szCs w:val="18"/>
              </w:rPr>
              <w:t xml:space="preserve"> </w:t>
            </w:r>
            <w:r w:rsidRPr="006B1091">
              <w:rPr>
                <w:b/>
                <w:sz w:val="18"/>
                <w:szCs w:val="18"/>
              </w:rPr>
              <w:t>of leaves</w:t>
            </w:r>
            <w:r w:rsidRPr="006B1091">
              <w:rPr>
                <w:b/>
                <w:spacing w:val="-2"/>
                <w:sz w:val="18"/>
                <w:szCs w:val="18"/>
              </w:rPr>
              <w:t xml:space="preserve"> </w:t>
            </w:r>
            <w:r w:rsidRPr="006B1091">
              <w:rPr>
                <w:b/>
                <w:sz w:val="18"/>
                <w:szCs w:val="18"/>
              </w:rPr>
              <w:t>per</w:t>
            </w:r>
            <w:r w:rsidRPr="006B1091">
              <w:rPr>
                <w:b/>
                <w:spacing w:val="-1"/>
                <w:sz w:val="18"/>
                <w:szCs w:val="18"/>
              </w:rPr>
              <w:t xml:space="preserve"> </w:t>
            </w:r>
            <w:r w:rsidRPr="006B1091">
              <w:rPr>
                <w:b/>
                <w:spacing w:val="-2"/>
                <w:sz w:val="18"/>
                <w:szCs w:val="18"/>
              </w:rPr>
              <w:t>plant</w:t>
            </w:r>
          </w:p>
        </w:tc>
        <w:tc>
          <w:tcPr>
            <w:tcW w:w="1589" w:type="dxa"/>
          </w:tcPr>
          <w:p w14:paraId="4E9EF34E" w14:textId="77777777" w:rsidR="00627DAE" w:rsidRPr="006B1091" w:rsidRDefault="00627DAE" w:rsidP="00CA6243">
            <w:pPr>
              <w:pStyle w:val="TableParagraph"/>
              <w:spacing w:line="268" w:lineRule="exact"/>
              <w:ind w:left="10" w:right="4"/>
              <w:rPr>
                <w:sz w:val="18"/>
                <w:szCs w:val="18"/>
              </w:rPr>
            </w:pPr>
            <w:r w:rsidRPr="006B1091">
              <w:rPr>
                <w:spacing w:val="-4"/>
                <w:sz w:val="18"/>
                <w:szCs w:val="18"/>
              </w:rPr>
              <w:t>5.38</w:t>
            </w:r>
          </w:p>
        </w:tc>
        <w:tc>
          <w:tcPr>
            <w:tcW w:w="1534" w:type="dxa"/>
          </w:tcPr>
          <w:p w14:paraId="42E8D2AC" w14:textId="77777777" w:rsidR="00627DAE" w:rsidRPr="006B1091" w:rsidRDefault="00627DAE" w:rsidP="00CA6243">
            <w:pPr>
              <w:pStyle w:val="TableParagraph"/>
              <w:spacing w:line="268" w:lineRule="exact"/>
              <w:ind w:left="9"/>
              <w:rPr>
                <w:sz w:val="18"/>
                <w:szCs w:val="18"/>
              </w:rPr>
            </w:pPr>
            <w:r w:rsidRPr="006B1091">
              <w:rPr>
                <w:spacing w:val="-2"/>
                <w:sz w:val="18"/>
                <w:szCs w:val="18"/>
              </w:rPr>
              <w:t>57.36**</w:t>
            </w:r>
          </w:p>
        </w:tc>
        <w:tc>
          <w:tcPr>
            <w:tcW w:w="1365" w:type="dxa"/>
          </w:tcPr>
          <w:p w14:paraId="78E6FA6E" w14:textId="77777777" w:rsidR="00627DAE" w:rsidRPr="006B1091" w:rsidRDefault="00627DAE" w:rsidP="00CA6243">
            <w:pPr>
              <w:pStyle w:val="TableParagraph"/>
              <w:spacing w:line="268" w:lineRule="exact"/>
              <w:ind w:left="10"/>
              <w:rPr>
                <w:sz w:val="18"/>
                <w:szCs w:val="18"/>
              </w:rPr>
            </w:pPr>
            <w:r w:rsidRPr="006B1091">
              <w:rPr>
                <w:spacing w:val="-2"/>
                <w:sz w:val="18"/>
                <w:szCs w:val="18"/>
              </w:rPr>
              <w:t>10.15</w:t>
            </w:r>
          </w:p>
        </w:tc>
      </w:tr>
      <w:tr w:rsidR="00627DAE" w:rsidRPr="006B1091" w14:paraId="4E474054" w14:textId="77777777" w:rsidTr="00CA6243">
        <w:trPr>
          <w:trHeight w:val="422"/>
        </w:trPr>
        <w:tc>
          <w:tcPr>
            <w:tcW w:w="605" w:type="dxa"/>
          </w:tcPr>
          <w:p w14:paraId="4E31BD9C" w14:textId="77777777" w:rsidR="00627DAE" w:rsidRPr="006B1091" w:rsidRDefault="00627DAE" w:rsidP="00CA6243">
            <w:pPr>
              <w:pStyle w:val="TableParagraph"/>
              <w:spacing w:before="47" w:line="240" w:lineRule="auto"/>
              <w:ind w:right="197"/>
              <w:rPr>
                <w:b/>
                <w:sz w:val="18"/>
                <w:szCs w:val="18"/>
              </w:rPr>
            </w:pPr>
            <w:r w:rsidRPr="006B1091">
              <w:rPr>
                <w:b/>
                <w:spacing w:val="-5"/>
                <w:sz w:val="18"/>
                <w:szCs w:val="18"/>
              </w:rPr>
              <w:t>5.</w:t>
            </w:r>
          </w:p>
        </w:tc>
        <w:tc>
          <w:tcPr>
            <w:tcW w:w="3442" w:type="dxa"/>
          </w:tcPr>
          <w:p w14:paraId="6543E2AF" w14:textId="77777777" w:rsidR="00627DAE" w:rsidRPr="006B1091" w:rsidRDefault="00627DAE" w:rsidP="00CA6243">
            <w:pPr>
              <w:pStyle w:val="TableParagraph"/>
              <w:spacing w:before="47" w:line="240" w:lineRule="auto"/>
              <w:ind w:left="107"/>
              <w:jc w:val="left"/>
              <w:rPr>
                <w:b/>
                <w:sz w:val="18"/>
                <w:szCs w:val="18"/>
              </w:rPr>
            </w:pPr>
            <w:r w:rsidRPr="006B1091">
              <w:rPr>
                <w:b/>
                <w:sz w:val="18"/>
                <w:szCs w:val="18"/>
              </w:rPr>
              <w:t xml:space="preserve">Leaf </w:t>
            </w:r>
            <w:r w:rsidRPr="006B1091">
              <w:rPr>
                <w:b/>
                <w:spacing w:val="-2"/>
                <w:sz w:val="18"/>
                <w:szCs w:val="18"/>
              </w:rPr>
              <w:t>length</w:t>
            </w:r>
          </w:p>
        </w:tc>
        <w:tc>
          <w:tcPr>
            <w:tcW w:w="1589" w:type="dxa"/>
          </w:tcPr>
          <w:p w14:paraId="785C4BAE" w14:textId="77777777" w:rsidR="00627DAE" w:rsidRPr="006B1091" w:rsidRDefault="00627DAE" w:rsidP="00CA6243">
            <w:pPr>
              <w:pStyle w:val="TableParagraph"/>
              <w:spacing w:before="42" w:line="240" w:lineRule="auto"/>
              <w:ind w:left="10" w:right="4"/>
              <w:rPr>
                <w:sz w:val="18"/>
                <w:szCs w:val="18"/>
              </w:rPr>
            </w:pPr>
            <w:r w:rsidRPr="006B1091">
              <w:rPr>
                <w:spacing w:val="-2"/>
                <w:sz w:val="18"/>
                <w:szCs w:val="18"/>
              </w:rPr>
              <w:t>107.69</w:t>
            </w:r>
          </w:p>
        </w:tc>
        <w:tc>
          <w:tcPr>
            <w:tcW w:w="1534" w:type="dxa"/>
          </w:tcPr>
          <w:p w14:paraId="07D058F0" w14:textId="77777777" w:rsidR="00627DAE" w:rsidRPr="006B1091" w:rsidRDefault="00627DAE" w:rsidP="00CA6243">
            <w:pPr>
              <w:pStyle w:val="TableParagraph"/>
              <w:spacing w:before="42" w:line="240" w:lineRule="auto"/>
              <w:ind w:left="9"/>
              <w:rPr>
                <w:sz w:val="18"/>
                <w:szCs w:val="18"/>
              </w:rPr>
            </w:pPr>
            <w:r w:rsidRPr="006B1091">
              <w:rPr>
                <w:spacing w:val="-2"/>
                <w:sz w:val="18"/>
                <w:szCs w:val="18"/>
              </w:rPr>
              <w:t>159.15**</w:t>
            </w:r>
          </w:p>
        </w:tc>
        <w:tc>
          <w:tcPr>
            <w:tcW w:w="1365" w:type="dxa"/>
          </w:tcPr>
          <w:p w14:paraId="5EF09314" w14:textId="77777777" w:rsidR="00627DAE" w:rsidRPr="006B1091" w:rsidRDefault="00627DAE" w:rsidP="00CA6243">
            <w:pPr>
              <w:pStyle w:val="TableParagraph"/>
              <w:spacing w:before="42" w:line="240" w:lineRule="auto"/>
              <w:ind w:left="10"/>
              <w:rPr>
                <w:sz w:val="18"/>
                <w:szCs w:val="18"/>
              </w:rPr>
            </w:pPr>
            <w:r w:rsidRPr="006B1091">
              <w:rPr>
                <w:spacing w:val="-2"/>
                <w:sz w:val="18"/>
                <w:szCs w:val="18"/>
              </w:rPr>
              <w:t>42.61</w:t>
            </w:r>
          </w:p>
        </w:tc>
      </w:tr>
      <w:tr w:rsidR="00627DAE" w:rsidRPr="006B1091" w14:paraId="78237B58" w14:textId="77777777" w:rsidTr="00CA6243">
        <w:trPr>
          <w:trHeight w:val="412"/>
        </w:trPr>
        <w:tc>
          <w:tcPr>
            <w:tcW w:w="605" w:type="dxa"/>
          </w:tcPr>
          <w:p w14:paraId="1E7BBD18" w14:textId="77777777" w:rsidR="00627DAE" w:rsidRPr="006B1091" w:rsidRDefault="00627DAE" w:rsidP="00CA6243">
            <w:pPr>
              <w:pStyle w:val="TableParagraph"/>
              <w:spacing w:before="42" w:line="240" w:lineRule="auto"/>
              <w:ind w:right="197"/>
              <w:rPr>
                <w:b/>
                <w:sz w:val="18"/>
                <w:szCs w:val="18"/>
              </w:rPr>
            </w:pPr>
            <w:r w:rsidRPr="006B1091">
              <w:rPr>
                <w:b/>
                <w:spacing w:val="-5"/>
                <w:sz w:val="18"/>
                <w:szCs w:val="18"/>
              </w:rPr>
              <w:t>6.</w:t>
            </w:r>
          </w:p>
        </w:tc>
        <w:tc>
          <w:tcPr>
            <w:tcW w:w="3442" w:type="dxa"/>
          </w:tcPr>
          <w:p w14:paraId="0C120EC0" w14:textId="77777777" w:rsidR="00627DAE" w:rsidRPr="006B1091" w:rsidRDefault="00627DAE" w:rsidP="00CA6243">
            <w:pPr>
              <w:pStyle w:val="TableParagraph"/>
              <w:spacing w:before="42" w:line="240" w:lineRule="auto"/>
              <w:ind w:left="107"/>
              <w:jc w:val="left"/>
              <w:rPr>
                <w:b/>
                <w:sz w:val="18"/>
                <w:szCs w:val="18"/>
              </w:rPr>
            </w:pPr>
            <w:r w:rsidRPr="006B1091">
              <w:rPr>
                <w:b/>
                <w:sz w:val="18"/>
                <w:szCs w:val="18"/>
              </w:rPr>
              <w:t xml:space="preserve">Leaf </w:t>
            </w:r>
            <w:r w:rsidRPr="006B1091">
              <w:rPr>
                <w:b/>
                <w:spacing w:val="-2"/>
                <w:sz w:val="18"/>
                <w:szCs w:val="18"/>
              </w:rPr>
              <w:t>width</w:t>
            </w:r>
          </w:p>
        </w:tc>
        <w:tc>
          <w:tcPr>
            <w:tcW w:w="1589" w:type="dxa"/>
          </w:tcPr>
          <w:p w14:paraId="2BCC84BD" w14:textId="77777777" w:rsidR="00627DAE" w:rsidRPr="006B1091" w:rsidRDefault="00627DAE" w:rsidP="00CA6243">
            <w:pPr>
              <w:pStyle w:val="TableParagraph"/>
              <w:spacing w:before="38" w:line="240" w:lineRule="auto"/>
              <w:ind w:left="10" w:right="4"/>
              <w:rPr>
                <w:sz w:val="18"/>
                <w:szCs w:val="18"/>
              </w:rPr>
            </w:pPr>
            <w:r w:rsidRPr="006B1091">
              <w:rPr>
                <w:spacing w:val="-4"/>
                <w:sz w:val="18"/>
                <w:szCs w:val="18"/>
              </w:rPr>
              <w:t>0.16</w:t>
            </w:r>
          </w:p>
        </w:tc>
        <w:tc>
          <w:tcPr>
            <w:tcW w:w="1534" w:type="dxa"/>
          </w:tcPr>
          <w:p w14:paraId="600D07D9" w14:textId="77777777" w:rsidR="00627DAE" w:rsidRPr="006B1091" w:rsidRDefault="00627DAE" w:rsidP="00CA6243">
            <w:pPr>
              <w:pStyle w:val="TableParagraph"/>
              <w:spacing w:before="38" w:line="240" w:lineRule="auto"/>
              <w:ind w:left="9"/>
              <w:rPr>
                <w:sz w:val="18"/>
                <w:szCs w:val="18"/>
              </w:rPr>
            </w:pPr>
            <w:r w:rsidRPr="006B1091">
              <w:rPr>
                <w:spacing w:val="-2"/>
                <w:sz w:val="18"/>
                <w:szCs w:val="18"/>
              </w:rPr>
              <w:t>0.44**</w:t>
            </w:r>
          </w:p>
        </w:tc>
        <w:tc>
          <w:tcPr>
            <w:tcW w:w="1365" w:type="dxa"/>
          </w:tcPr>
          <w:p w14:paraId="6EF2EAB8" w14:textId="77777777" w:rsidR="00627DAE" w:rsidRPr="006B1091" w:rsidRDefault="00627DAE" w:rsidP="00CA6243">
            <w:pPr>
              <w:pStyle w:val="TableParagraph"/>
              <w:spacing w:before="38" w:line="240" w:lineRule="auto"/>
              <w:ind w:left="10"/>
              <w:rPr>
                <w:sz w:val="18"/>
                <w:szCs w:val="18"/>
              </w:rPr>
            </w:pPr>
            <w:r w:rsidRPr="006B1091">
              <w:rPr>
                <w:spacing w:val="-4"/>
                <w:sz w:val="18"/>
                <w:szCs w:val="18"/>
              </w:rPr>
              <w:t>0.06</w:t>
            </w:r>
          </w:p>
        </w:tc>
      </w:tr>
      <w:tr w:rsidR="00627DAE" w:rsidRPr="006B1091" w14:paraId="6D7898AD" w14:textId="77777777" w:rsidTr="00CA6243">
        <w:trPr>
          <w:trHeight w:val="412"/>
        </w:trPr>
        <w:tc>
          <w:tcPr>
            <w:tcW w:w="605" w:type="dxa"/>
          </w:tcPr>
          <w:p w14:paraId="043FCB65" w14:textId="77777777" w:rsidR="00627DAE" w:rsidRPr="006B1091" w:rsidRDefault="00627DAE" w:rsidP="00CA6243">
            <w:pPr>
              <w:pStyle w:val="TableParagraph"/>
              <w:spacing w:before="42" w:line="240" w:lineRule="auto"/>
              <w:ind w:right="197"/>
              <w:rPr>
                <w:b/>
                <w:sz w:val="18"/>
                <w:szCs w:val="18"/>
              </w:rPr>
            </w:pPr>
            <w:r w:rsidRPr="006B1091">
              <w:rPr>
                <w:b/>
                <w:spacing w:val="-5"/>
                <w:sz w:val="18"/>
                <w:szCs w:val="18"/>
              </w:rPr>
              <w:t>7.</w:t>
            </w:r>
          </w:p>
        </w:tc>
        <w:tc>
          <w:tcPr>
            <w:tcW w:w="3442" w:type="dxa"/>
          </w:tcPr>
          <w:p w14:paraId="1E6A8EE0" w14:textId="77777777" w:rsidR="00627DAE" w:rsidRPr="006B1091" w:rsidRDefault="00627DAE" w:rsidP="00CA6243">
            <w:pPr>
              <w:pStyle w:val="TableParagraph"/>
              <w:spacing w:before="42" w:line="240" w:lineRule="auto"/>
              <w:ind w:left="107"/>
              <w:jc w:val="left"/>
              <w:rPr>
                <w:b/>
                <w:sz w:val="18"/>
                <w:szCs w:val="18"/>
              </w:rPr>
            </w:pPr>
            <w:r w:rsidRPr="006B1091">
              <w:rPr>
                <w:b/>
                <w:sz w:val="18"/>
                <w:szCs w:val="18"/>
              </w:rPr>
              <w:t>Stem</w:t>
            </w:r>
            <w:r w:rsidRPr="006B1091">
              <w:rPr>
                <w:b/>
                <w:spacing w:val="-3"/>
                <w:sz w:val="18"/>
                <w:szCs w:val="18"/>
              </w:rPr>
              <w:t xml:space="preserve"> </w:t>
            </w:r>
            <w:r w:rsidRPr="006B1091">
              <w:rPr>
                <w:b/>
                <w:spacing w:val="-2"/>
                <w:sz w:val="18"/>
                <w:szCs w:val="18"/>
              </w:rPr>
              <w:t>thickness</w:t>
            </w:r>
          </w:p>
        </w:tc>
        <w:tc>
          <w:tcPr>
            <w:tcW w:w="1589" w:type="dxa"/>
          </w:tcPr>
          <w:p w14:paraId="78F7EF27" w14:textId="77777777" w:rsidR="00627DAE" w:rsidRPr="006B1091" w:rsidRDefault="00627DAE" w:rsidP="00CA6243">
            <w:pPr>
              <w:pStyle w:val="TableParagraph"/>
              <w:spacing w:before="38" w:line="240" w:lineRule="auto"/>
              <w:ind w:left="10" w:right="4"/>
              <w:rPr>
                <w:sz w:val="18"/>
                <w:szCs w:val="18"/>
              </w:rPr>
            </w:pPr>
            <w:r w:rsidRPr="006B1091">
              <w:rPr>
                <w:spacing w:val="-4"/>
                <w:sz w:val="18"/>
                <w:szCs w:val="18"/>
              </w:rPr>
              <w:t>0.01</w:t>
            </w:r>
          </w:p>
        </w:tc>
        <w:tc>
          <w:tcPr>
            <w:tcW w:w="1534" w:type="dxa"/>
          </w:tcPr>
          <w:p w14:paraId="5A9EABD2" w14:textId="77777777" w:rsidR="00627DAE" w:rsidRPr="006B1091" w:rsidRDefault="00627DAE" w:rsidP="00CA6243">
            <w:pPr>
              <w:pStyle w:val="TableParagraph"/>
              <w:spacing w:before="38" w:line="240" w:lineRule="auto"/>
              <w:ind w:left="9"/>
              <w:rPr>
                <w:sz w:val="18"/>
                <w:szCs w:val="18"/>
              </w:rPr>
            </w:pPr>
            <w:r w:rsidRPr="006B1091">
              <w:rPr>
                <w:spacing w:val="-2"/>
                <w:sz w:val="18"/>
                <w:szCs w:val="18"/>
              </w:rPr>
              <w:t>0.06**</w:t>
            </w:r>
          </w:p>
        </w:tc>
        <w:tc>
          <w:tcPr>
            <w:tcW w:w="1365" w:type="dxa"/>
          </w:tcPr>
          <w:p w14:paraId="14326C7C" w14:textId="77777777" w:rsidR="00627DAE" w:rsidRPr="006B1091" w:rsidRDefault="00627DAE" w:rsidP="00CA6243">
            <w:pPr>
              <w:pStyle w:val="TableParagraph"/>
              <w:spacing w:before="38" w:line="240" w:lineRule="auto"/>
              <w:ind w:left="10"/>
              <w:rPr>
                <w:sz w:val="18"/>
                <w:szCs w:val="18"/>
              </w:rPr>
            </w:pPr>
            <w:r w:rsidRPr="006B1091">
              <w:rPr>
                <w:spacing w:val="-4"/>
                <w:sz w:val="18"/>
                <w:szCs w:val="18"/>
              </w:rPr>
              <w:t>0.01</w:t>
            </w:r>
          </w:p>
        </w:tc>
      </w:tr>
      <w:tr w:rsidR="00627DAE" w:rsidRPr="006B1091" w14:paraId="45519A40" w14:textId="77777777" w:rsidTr="00CA6243">
        <w:trPr>
          <w:trHeight w:val="318"/>
        </w:trPr>
        <w:tc>
          <w:tcPr>
            <w:tcW w:w="605" w:type="dxa"/>
          </w:tcPr>
          <w:p w14:paraId="46861790" w14:textId="77777777" w:rsidR="00627DAE" w:rsidRPr="006B1091" w:rsidRDefault="00627DAE" w:rsidP="00CA6243">
            <w:pPr>
              <w:pStyle w:val="TableParagraph"/>
              <w:spacing w:line="273" w:lineRule="exact"/>
              <w:ind w:right="197"/>
              <w:rPr>
                <w:b/>
                <w:sz w:val="18"/>
                <w:szCs w:val="18"/>
              </w:rPr>
            </w:pPr>
            <w:r w:rsidRPr="006B1091">
              <w:rPr>
                <w:b/>
                <w:spacing w:val="-5"/>
                <w:sz w:val="18"/>
                <w:szCs w:val="18"/>
              </w:rPr>
              <w:t>8.</w:t>
            </w:r>
          </w:p>
        </w:tc>
        <w:tc>
          <w:tcPr>
            <w:tcW w:w="3442" w:type="dxa"/>
          </w:tcPr>
          <w:p w14:paraId="2142CCC0" w14:textId="77777777" w:rsidR="00627DAE" w:rsidRPr="006B1091" w:rsidRDefault="00627DAE" w:rsidP="00CA6243">
            <w:pPr>
              <w:pStyle w:val="TableParagraph"/>
              <w:spacing w:line="273" w:lineRule="exact"/>
              <w:ind w:left="107"/>
              <w:jc w:val="left"/>
              <w:rPr>
                <w:b/>
                <w:sz w:val="18"/>
                <w:szCs w:val="18"/>
              </w:rPr>
            </w:pPr>
            <w:r w:rsidRPr="006B1091">
              <w:rPr>
                <w:b/>
                <w:sz w:val="18"/>
                <w:szCs w:val="18"/>
              </w:rPr>
              <w:t>Green</w:t>
            </w:r>
            <w:r w:rsidRPr="006B1091">
              <w:rPr>
                <w:b/>
                <w:spacing w:val="-1"/>
                <w:sz w:val="18"/>
                <w:szCs w:val="18"/>
              </w:rPr>
              <w:t xml:space="preserve"> </w:t>
            </w:r>
            <w:r w:rsidRPr="006B1091">
              <w:rPr>
                <w:b/>
                <w:sz w:val="18"/>
                <w:szCs w:val="18"/>
              </w:rPr>
              <w:t>forage</w:t>
            </w:r>
            <w:r w:rsidRPr="006B1091">
              <w:rPr>
                <w:b/>
                <w:spacing w:val="-2"/>
                <w:sz w:val="18"/>
                <w:szCs w:val="18"/>
              </w:rPr>
              <w:t xml:space="preserve"> </w:t>
            </w:r>
            <w:r w:rsidRPr="006B1091">
              <w:rPr>
                <w:b/>
                <w:sz w:val="18"/>
                <w:szCs w:val="18"/>
              </w:rPr>
              <w:t>yield</w:t>
            </w:r>
            <w:r w:rsidRPr="006B1091">
              <w:rPr>
                <w:b/>
                <w:spacing w:val="-1"/>
                <w:sz w:val="18"/>
                <w:szCs w:val="18"/>
              </w:rPr>
              <w:t xml:space="preserve"> </w:t>
            </w:r>
            <w:r w:rsidRPr="006B1091">
              <w:rPr>
                <w:b/>
                <w:sz w:val="18"/>
                <w:szCs w:val="18"/>
              </w:rPr>
              <w:t xml:space="preserve">per </w:t>
            </w:r>
            <w:r w:rsidRPr="006B1091">
              <w:rPr>
                <w:b/>
                <w:spacing w:val="-2"/>
                <w:sz w:val="18"/>
                <w:szCs w:val="18"/>
              </w:rPr>
              <w:t>plant</w:t>
            </w:r>
          </w:p>
        </w:tc>
        <w:tc>
          <w:tcPr>
            <w:tcW w:w="1589" w:type="dxa"/>
          </w:tcPr>
          <w:p w14:paraId="1AB5A8A3" w14:textId="77777777" w:rsidR="00627DAE" w:rsidRPr="006B1091" w:rsidRDefault="00627DAE" w:rsidP="00CA6243">
            <w:pPr>
              <w:pStyle w:val="TableParagraph"/>
              <w:spacing w:line="268" w:lineRule="exact"/>
              <w:ind w:left="10" w:right="4"/>
              <w:rPr>
                <w:sz w:val="18"/>
                <w:szCs w:val="18"/>
              </w:rPr>
            </w:pPr>
            <w:r w:rsidRPr="006B1091">
              <w:rPr>
                <w:spacing w:val="-2"/>
                <w:sz w:val="18"/>
                <w:szCs w:val="18"/>
              </w:rPr>
              <w:t>1302.02</w:t>
            </w:r>
          </w:p>
        </w:tc>
        <w:tc>
          <w:tcPr>
            <w:tcW w:w="1534" w:type="dxa"/>
          </w:tcPr>
          <w:p w14:paraId="4613223F" w14:textId="77777777" w:rsidR="00627DAE" w:rsidRPr="006B1091" w:rsidRDefault="00627DAE" w:rsidP="00CA6243">
            <w:pPr>
              <w:pStyle w:val="TableParagraph"/>
              <w:spacing w:line="268" w:lineRule="exact"/>
              <w:ind w:left="9"/>
              <w:rPr>
                <w:sz w:val="18"/>
                <w:szCs w:val="18"/>
              </w:rPr>
            </w:pPr>
            <w:r w:rsidRPr="006B1091">
              <w:rPr>
                <w:spacing w:val="-2"/>
                <w:sz w:val="18"/>
                <w:szCs w:val="18"/>
              </w:rPr>
              <w:t>4589.18**</w:t>
            </w:r>
          </w:p>
        </w:tc>
        <w:tc>
          <w:tcPr>
            <w:tcW w:w="1365" w:type="dxa"/>
          </w:tcPr>
          <w:p w14:paraId="6715AB18" w14:textId="77777777" w:rsidR="00627DAE" w:rsidRPr="006B1091" w:rsidRDefault="00627DAE" w:rsidP="00CA6243">
            <w:pPr>
              <w:pStyle w:val="TableParagraph"/>
              <w:spacing w:line="268" w:lineRule="exact"/>
              <w:ind w:left="10"/>
              <w:rPr>
                <w:sz w:val="18"/>
                <w:szCs w:val="18"/>
              </w:rPr>
            </w:pPr>
            <w:r w:rsidRPr="006B1091">
              <w:rPr>
                <w:spacing w:val="-2"/>
                <w:sz w:val="18"/>
                <w:szCs w:val="18"/>
              </w:rPr>
              <w:t>550.45</w:t>
            </w:r>
          </w:p>
        </w:tc>
      </w:tr>
      <w:tr w:rsidR="00627DAE" w:rsidRPr="006B1091" w14:paraId="0FC08148" w14:textId="77777777" w:rsidTr="00CA6243">
        <w:trPr>
          <w:trHeight w:val="510"/>
        </w:trPr>
        <w:tc>
          <w:tcPr>
            <w:tcW w:w="605" w:type="dxa"/>
          </w:tcPr>
          <w:p w14:paraId="66975D9E" w14:textId="77777777" w:rsidR="00627DAE" w:rsidRPr="006B1091" w:rsidRDefault="00627DAE" w:rsidP="00CA6243">
            <w:pPr>
              <w:pStyle w:val="TableParagraph"/>
              <w:spacing w:before="90" w:line="240" w:lineRule="auto"/>
              <w:ind w:right="77"/>
              <w:rPr>
                <w:b/>
                <w:sz w:val="18"/>
                <w:szCs w:val="18"/>
              </w:rPr>
            </w:pPr>
            <w:r w:rsidRPr="006B1091">
              <w:rPr>
                <w:b/>
                <w:spacing w:val="-5"/>
                <w:sz w:val="18"/>
                <w:szCs w:val="18"/>
              </w:rPr>
              <w:t>9.</w:t>
            </w:r>
          </w:p>
        </w:tc>
        <w:tc>
          <w:tcPr>
            <w:tcW w:w="3442" w:type="dxa"/>
          </w:tcPr>
          <w:p w14:paraId="57EF6478" w14:textId="77777777" w:rsidR="00627DAE" w:rsidRPr="006B1091" w:rsidRDefault="00627DAE" w:rsidP="00CA6243">
            <w:pPr>
              <w:pStyle w:val="TableParagraph"/>
              <w:spacing w:before="90" w:line="240" w:lineRule="auto"/>
              <w:ind w:left="107"/>
              <w:jc w:val="left"/>
              <w:rPr>
                <w:b/>
                <w:sz w:val="18"/>
                <w:szCs w:val="18"/>
              </w:rPr>
            </w:pPr>
            <w:r w:rsidRPr="006B1091">
              <w:rPr>
                <w:b/>
                <w:sz w:val="18"/>
                <w:szCs w:val="18"/>
              </w:rPr>
              <w:t>Dry</w:t>
            </w:r>
            <w:r w:rsidRPr="006B1091">
              <w:rPr>
                <w:b/>
                <w:spacing w:val="-2"/>
                <w:sz w:val="18"/>
                <w:szCs w:val="18"/>
              </w:rPr>
              <w:t xml:space="preserve"> </w:t>
            </w:r>
            <w:r w:rsidRPr="006B1091">
              <w:rPr>
                <w:b/>
                <w:sz w:val="18"/>
                <w:szCs w:val="18"/>
              </w:rPr>
              <w:t>matter</w:t>
            </w:r>
            <w:r w:rsidRPr="006B1091">
              <w:rPr>
                <w:b/>
                <w:spacing w:val="-2"/>
                <w:sz w:val="18"/>
                <w:szCs w:val="18"/>
              </w:rPr>
              <w:t xml:space="preserve"> content</w:t>
            </w:r>
          </w:p>
        </w:tc>
        <w:tc>
          <w:tcPr>
            <w:tcW w:w="1589" w:type="dxa"/>
          </w:tcPr>
          <w:p w14:paraId="15EE22EB" w14:textId="77777777" w:rsidR="00627DAE" w:rsidRPr="006B1091" w:rsidRDefault="00627DAE" w:rsidP="00CA6243">
            <w:pPr>
              <w:pStyle w:val="TableParagraph"/>
              <w:spacing w:before="86" w:line="240" w:lineRule="auto"/>
              <w:ind w:left="10" w:right="4"/>
              <w:rPr>
                <w:sz w:val="18"/>
                <w:szCs w:val="18"/>
              </w:rPr>
            </w:pPr>
            <w:r w:rsidRPr="006B1091">
              <w:rPr>
                <w:spacing w:val="-2"/>
                <w:sz w:val="18"/>
                <w:szCs w:val="18"/>
              </w:rPr>
              <w:t>85.16**</w:t>
            </w:r>
          </w:p>
        </w:tc>
        <w:tc>
          <w:tcPr>
            <w:tcW w:w="1534" w:type="dxa"/>
          </w:tcPr>
          <w:p w14:paraId="6BBE443F" w14:textId="77777777" w:rsidR="00627DAE" w:rsidRPr="006B1091" w:rsidRDefault="00627DAE" w:rsidP="00CA6243">
            <w:pPr>
              <w:pStyle w:val="TableParagraph"/>
              <w:spacing w:before="86" w:line="240" w:lineRule="auto"/>
              <w:ind w:left="9"/>
              <w:rPr>
                <w:sz w:val="18"/>
                <w:szCs w:val="18"/>
              </w:rPr>
            </w:pPr>
            <w:r w:rsidRPr="006B1091">
              <w:rPr>
                <w:spacing w:val="-2"/>
                <w:sz w:val="18"/>
                <w:szCs w:val="18"/>
              </w:rPr>
              <w:t>15.73**</w:t>
            </w:r>
          </w:p>
        </w:tc>
        <w:tc>
          <w:tcPr>
            <w:tcW w:w="1365" w:type="dxa"/>
          </w:tcPr>
          <w:p w14:paraId="7D4D0B89" w14:textId="77777777" w:rsidR="00627DAE" w:rsidRPr="006B1091" w:rsidRDefault="00627DAE" w:rsidP="00CA6243">
            <w:pPr>
              <w:pStyle w:val="TableParagraph"/>
              <w:spacing w:before="86" w:line="240" w:lineRule="auto"/>
              <w:ind w:left="10"/>
              <w:rPr>
                <w:sz w:val="18"/>
                <w:szCs w:val="18"/>
              </w:rPr>
            </w:pPr>
            <w:r w:rsidRPr="006B1091">
              <w:rPr>
                <w:spacing w:val="-4"/>
                <w:sz w:val="18"/>
                <w:szCs w:val="18"/>
              </w:rPr>
              <w:t>6.18</w:t>
            </w:r>
          </w:p>
        </w:tc>
      </w:tr>
      <w:tr w:rsidR="00627DAE" w:rsidRPr="006B1091" w14:paraId="6CE4BDBA" w14:textId="77777777" w:rsidTr="00CA6243">
        <w:trPr>
          <w:trHeight w:val="458"/>
        </w:trPr>
        <w:tc>
          <w:tcPr>
            <w:tcW w:w="605" w:type="dxa"/>
          </w:tcPr>
          <w:p w14:paraId="672C5A08" w14:textId="77777777" w:rsidR="00627DAE" w:rsidRPr="006B1091" w:rsidRDefault="00627DAE" w:rsidP="00CA6243">
            <w:pPr>
              <w:pStyle w:val="TableParagraph"/>
              <w:spacing w:before="66" w:line="240" w:lineRule="auto"/>
              <w:ind w:right="77"/>
              <w:rPr>
                <w:b/>
                <w:sz w:val="18"/>
                <w:szCs w:val="18"/>
              </w:rPr>
            </w:pPr>
            <w:r w:rsidRPr="006B1091">
              <w:rPr>
                <w:b/>
                <w:spacing w:val="-5"/>
                <w:sz w:val="18"/>
                <w:szCs w:val="18"/>
              </w:rPr>
              <w:t>10.</w:t>
            </w:r>
          </w:p>
        </w:tc>
        <w:tc>
          <w:tcPr>
            <w:tcW w:w="3442" w:type="dxa"/>
          </w:tcPr>
          <w:p w14:paraId="2B86CB8F" w14:textId="77777777" w:rsidR="00627DAE" w:rsidRPr="006B1091" w:rsidRDefault="00627DAE" w:rsidP="00CA6243">
            <w:pPr>
              <w:pStyle w:val="TableParagraph"/>
              <w:spacing w:before="66" w:line="240" w:lineRule="auto"/>
              <w:ind w:left="107"/>
              <w:jc w:val="left"/>
              <w:rPr>
                <w:b/>
                <w:sz w:val="18"/>
                <w:szCs w:val="18"/>
              </w:rPr>
            </w:pPr>
            <w:r w:rsidRPr="006B1091">
              <w:rPr>
                <w:b/>
                <w:sz w:val="18"/>
                <w:szCs w:val="18"/>
              </w:rPr>
              <w:t>Dry</w:t>
            </w:r>
            <w:r w:rsidRPr="006B1091">
              <w:rPr>
                <w:b/>
                <w:spacing w:val="-3"/>
                <w:sz w:val="18"/>
                <w:szCs w:val="18"/>
              </w:rPr>
              <w:t xml:space="preserve"> </w:t>
            </w:r>
            <w:r w:rsidRPr="006B1091">
              <w:rPr>
                <w:b/>
                <w:sz w:val="18"/>
                <w:szCs w:val="18"/>
              </w:rPr>
              <w:t>matter</w:t>
            </w:r>
            <w:r w:rsidRPr="006B1091">
              <w:rPr>
                <w:b/>
                <w:spacing w:val="-3"/>
                <w:sz w:val="18"/>
                <w:szCs w:val="18"/>
              </w:rPr>
              <w:t xml:space="preserve"> </w:t>
            </w:r>
            <w:r w:rsidRPr="006B1091">
              <w:rPr>
                <w:b/>
                <w:sz w:val="18"/>
                <w:szCs w:val="18"/>
              </w:rPr>
              <w:t>yield</w:t>
            </w:r>
            <w:r w:rsidRPr="006B1091">
              <w:rPr>
                <w:b/>
                <w:spacing w:val="-2"/>
                <w:sz w:val="18"/>
                <w:szCs w:val="18"/>
              </w:rPr>
              <w:t xml:space="preserve"> </w:t>
            </w:r>
            <w:r w:rsidRPr="006B1091">
              <w:rPr>
                <w:b/>
                <w:sz w:val="18"/>
                <w:szCs w:val="18"/>
              </w:rPr>
              <w:t>per</w:t>
            </w:r>
            <w:r w:rsidRPr="006B1091">
              <w:rPr>
                <w:b/>
                <w:spacing w:val="-2"/>
                <w:sz w:val="18"/>
                <w:szCs w:val="18"/>
              </w:rPr>
              <w:t xml:space="preserve"> </w:t>
            </w:r>
            <w:r w:rsidRPr="006B1091">
              <w:rPr>
                <w:b/>
                <w:spacing w:val="-4"/>
                <w:sz w:val="18"/>
                <w:szCs w:val="18"/>
              </w:rPr>
              <w:t>plant</w:t>
            </w:r>
          </w:p>
        </w:tc>
        <w:tc>
          <w:tcPr>
            <w:tcW w:w="1589" w:type="dxa"/>
          </w:tcPr>
          <w:p w14:paraId="6D3C00F1" w14:textId="77777777" w:rsidR="00627DAE" w:rsidRPr="006B1091" w:rsidRDefault="00627DAE" w:rsidP="00CA6243">
            <w:pPr>
              <w:pStyle w:val="TableParagraph"/>
              <w:spacing w:before="62" w:line="240" w:lineRule="auto"/>
              <w:ind w:left="10" w:right="4"/>
              <w:rPr>
                <w:sz w:val="18"/>
                <w:szCs w:val="18"/>
              </w:rPr>
            </w:pPr>
            <w:r w:rsidRPr="006B1091">
              <w:rPr>
                <w:spacing w:val="-2"/>
                <w:sz w:val="18"/>
                <w:szCs w:val="18"/>
              </w:rPr>
              <w:t>52.56</w:t>
            </w:r>
          </w:p>
        </w:tc>
        <w:tc>
          <w:tcPr>
            <w:tcW w:w="1534" w:type="dxa"/>
          </w:tcPr>
          <w:p w14:paraId="31FD0F25" w14:textId="77777777" w:rsidR="00627DAE" w:rsidRPr="006B1091" w:rsidRDefault="00627DAE" w:rsidP="00CA6243">
            <w:pPr>
              <w:pStyle w:val="TableParagraph"/>
              <w:spacing w:before="62" w:line="240" w:lineRule="auto"/>
              <w:ind w:left="9"/>
              <w:rPr>
                <w:sz w:val="18"/>
                <w:szCs w:val="18"/>
              </w:rPr>
            </w:pPr>
            <w:r w:rsidRPr="006B1091">
              <w:rPr>
                <w:spacing w:val="-2"/>
                <w:sz w:val="18"/>
                <w:szCs w:val="18"/>
              </w:rPr>
              <w:t>137.35**</w:t>
            </w:r>
          </w:p>
        </w:tc>
        <w:tc>
          <w:tcPr>
            <w:tcW w:w="1365" w:type="dxa"/>
          </w:tcPr>
          <w:p w14:paraId="543AC001" w14:textId="77777777" w:rsidR="00627DAE" w:rsidRPr="006B1091" w:rsidRDefault="00627DAE" w:rsidP="00CA6243">
            <w:pPr>
              <w:pStyle w:val="TableParagraph"/>
              <w:spacing w:before="62" w:line="240" w:lineRule="auto"/>
              <w:ind w:left="10"/>
              <w:rPr>
                <w:sz w:val="18"/>
                <w:szCs w:val="18"/>
              </w:rPr>
            </w:pPr>
            <w:r w:rsidRPr="006B1091">
              <w:rPr>
                <w:spacing w:val="-2"/>
                <w:sz w:val="18"/>
                <w:szCs w:val="18"/>
              </w:rPr>
              <w:t>36.26</w:t>
            </w:r>
          </w:p>
        </w:tc>
      </w:tr>
      <w:tr w:rsidR="00627DAE" w:rsidRPr="006B1091" w14:paraId="6B0E3362" w14:textId="77777777" w:rsidTr="00CA6243">
        <w:trPr>
          <w:trHeight w:val="438"/>
        </w:trPr>
        <w:tc>
          <w:tcPr>
            <w:tcW w:w="8535" w:type="dxa"/>
            <w:gridSpan w:val="5"/>
          </w:tcPr>
          <w:p w14:paraId="1E4F80D5" w14:textId="77777777" w:rsidR="00627DAE" w:rsidRPr="006B1091" w:rsidRDefault="00627DAE" w:rsidP="00CA6243">
            <w:pPr>
              <w:pStyle w:val="TableParagraph"/>
              <w:spacing w:before="50" w:line="240" w:lineRule="auto"/>
              <w:ind w:left="107"/>
              <w:jc w:val="left"/>
              <w:rPr>
                <w:sz w:val="18"/>
                <w:szCs w:val="18"/>
              </w:rPr>
            </w:pPr>
            <w:r w:rsidRPr="006B1091">
              <w:rPr>
                <w:sz w:val="18"/>
                <w:szCs w:val="18"/>
              </w:rPr>
              <w:t>*,</w:t>
            </w:r>
            <w:r w:rsidRPr="006B1091">
              <w:rPr>
                <w:spacing w:val="-3"/>
                <w:sz w:val="18"/>
                <w:szCs w:val="18"/>
              </w:rPr>
              <w:t xml:space="preserve"> </w:t>
            </w:r>
            <w:r w:rsidRPr="006B1091">
              <w:rPr>
                <w:sz w:val="18"/>
                <w:szCs w:val="18"/>
              </w:rPr>
              <w:t>**</w:t>
            </w:r>
            <w:r w:rsidRPr="006B1091">
              <w:rPr>
                <w:spacing w:val="-1"/>
                <w:sz w:val="18"/>
                <w:szCs w:val="18"/>
              </w:rPr>
              <w:t xml:space="preserve"> </w:t>
            </w:r>
            <w:r w:rsidRPr="006B1091">
              <w:rPr>
                <w:sz w:val="18"/>
                <w:szCs w:val="18"/>
              </w:rPr>
              <w:t>Significant</w:t>
            </w:r>
            <w:r w:rsidRPr="006B1091">
              <w:rPr>
                <w:spacing w:val="-1"/>
                <w:sz w:val="18"/>
                <w:szCs w:val="18"/>
              </w:rPr>
              <w:t xml:space="preserve"> </w:t>
            </w:r>
            <w:r w:rsidRPr="006B1091">
              <w:rPr>
                <w:sz w:val="18"/>
                <w:szCs w:val="18"/>
              </w:rPr>
              <w:t>at</w:t>
            </w:r>
            <w:r w:rsidRPr="006B1091">
              <w:rPr>
                <w:spacing w:val="-1"/>
                <w:sz w:val="18"/>
                <w:szCs w:val="18"/>
              </w:rPr>
              <w:t xml:space="preserve"> </w:t>
            </w:r>
            <w:r w:rsidRPr="006B1091">
              <w:rPr>
                <w:sz w:val="18"/>
                <w:szCs w:val="18"/>
              </w:rPr>
              <w:t>0.05 and</w:t>
            </w:r>
            <w:r w:rsidRPr="006B1091">
              <w:rPr>
                <w:spacing w:val="-1"/>
                <w:sz w:val="18"/>
                <w:szCs w:val="18"/>
              </w:rPr>
              <w:t xml:space="preserve"> </w:t>
            </w:r>
            <w:r w:rsidRPr="006B1091">
              <w:rPr>
                <w:sz w:val="18"/>
                <w:szCs w:val="18"/>
              </w:rPr>
              <w:t>0.01 levels</w:t>
            </w:r>
            <w:r w:rsidRPr="006B1091">
              <w:rPr>
                <w:spacing w:val="-1"/>
                <w:sz w:val="18"/>
                <w:szCs w:val="18"/>
              </w:rPr>
              <w:t xml:space="preserve"> </w:t>
            </w:r>
            <w:r w:rsidRPr="006B1091">
              <w:rPr>
                <w:sz w:val="18"/>
                <w:szCs w:val="18"/>
              </w:rPr>
              <w:t>of</w:t>
            </w:r>
            <w:r w:rsidRPr="006B1091">
              <w:rPr>
                <w:spacing w:val="-1"/>
                <w:sz w:val="18"/>
                <w:szCs w:val="18"/>
              </w:rPr>
              <w:t xml:space="preserve"> </w:t>
            </w:r>
            <w:r w:rsidRPr="006B1091">
              <w:rPr>
                <w:sz w:val="18"/>
                <w:szCs w:val="18"/>
              </w:rPr>
              <w:t>probability,</w:t>
            </w:r>
            <w:r w:rsidRPr="006B1091">
              <w:rPr>
                <w:spacing w:val="-1"/>
                <w:sz w:val="18"/>
                <w:szCs w:val="18"/>
              </w:rPr>
              <w:t xml:space="preserve"> </w:t>
            </w:r>
            <w:r w:rsidRPr="006B1091">
              <w:rPr>
                <w:spacing w:val="-2"/>
                <w:sz w:val="18"/>
                <w:szCs w:val="18"/>
              </w:rPr>
              <w:t>respectively.</w:t>
            </w:r>
          </w:p>
        </w:tc>
      </w:tr>
    </w:tbl>
    <w:p w14:paraId="32A7984E" w14:textId="77777777" w:rsidR="00627DAE" w:rsidRDefault="00627DAE" w:rsidP="008F043E">
      <w:pPr>
        <w:rPr>
          <w:u w:val="single"/>
        </w:rPr>
      </w:pPr>
    </w:p>
    <w:p w14:paraId="6A56041A" w14:textId="2DAFA4BC" w:rsidR="00627DAE" w:rsidRPr="00627DAE" w:rsidRDefault="00627DAE" w:rsidP="008F043E">
      <w:pPr>
        <w:rPr>
          <w:b/>
          <w:bCs/>
        </w:rPr>
      </w:pPr>
      <w:r w:rsidRPr="00627DAE">
        <w:rPr>
          <w:b/>
          <w:bCs/>
        </w:rPr>
        <w:t>Table 2. Mean performance of forage pearl millet (Pennisetum glaucum L.) genotypes for yield and yield contributing characters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2"/>
        <w:gridCol w:w="994"/>
        <w:gridCol w:w="721"/>
        <w:gridCol w:w="677"/>
        <w:gridCol w:w="700"/>
        <w:gridCol w:w="698"/>
        <w:gridCol w:w="658"/>
        <w:gridCol w:w="936"/>
        <w:gridCol w:w="913"/>
        <w:gridCol w:w="880"/>
        <w:gridCol w:w="907"/>
      </w:tblGrid>
      <w:tr w:rsidR="00627DAE" w:rsidRPr="00627DAE" w14:paraId="430A2BA7" w14:textId="77777777">
        <w:trPr>
          <w:tblHeader/>
          <w:tblCellSpacing w:w="15" w:type="dxa"/>
        </w:trPr>
        <w:tc>
          <w:tcPr>
            <w:tcW w:w="0" w:type="auto"/>
            <w:vAlign w:val="center"/>
            <w:hideMark/>
          </w:tcPr>
          <w:p w14:paraId="19B039A8" w14:textId="77777777" w:rsidR="00627DAE" w:rsidRPr="00627DAE" w:rsidRDefault="00627DAE" w:rsidP="00627DAE">
            <w:pPr>
              <w:spacing w:after="0" w:line="240" w:lineRule="auto"/>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lastRenderedPageBreak/>
              <w:t>Genotype</w:t>
            </w:r>
          </w:p>
        </w:tc>
        <w:tc>
          <w:tcPr>
            <w:tcW w:w="0" w:type="auto"/>
            <w:vAlign w:val="center"/>
            <w:hideMark/>
          </w:tcPr>
          <w:p w14:paraId="18A0B3EE"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Days to 50% flowering</w:t>
            </w:r>
          </w:p>
        </w:tc>
        <w:tc>
          <w:tcPr>
            <w:tcW w:w="0" w:type="auto"/>
            <w:vAlign w:val="center"/>
            <w:hideMark/>
          </w:tcPr>
          <w:p w14:paraId="68237964"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Plant height (cm)</w:t>
            </w:r>
          </w:p>
        </w:tc>
        <w:tc>
          <w:tcPr>
            <w:tcW w:w="0" w:type="auto"/>
            <w:vAlign w:val="center"/>
            <w:hideMark/>
          </w:tcPr>
          <w:p w14:paraId="33F4D98E"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Tillers plant⁻¹</w:t>
            </w:r>
          </w:p>
        </w:tc>
        <w:tc>
          <w:tcPr>
            <w:tcW w:w="0" w:type="auto"/>
            <w:vAlign w:val="center"/>
            <w:hideMark/>
          </w:tcPr>
          <w:p w14:paraId="534AE976"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Leaves plant⁻¹</w:t>
            </w:r>
          </w:p>
        </w:tc>
        <w:tc>
          <w:tcPr>
            <w:tcW w:w="0" w:type="auto"/>
            <w:vAlign w:val="center"/>
            <w:hideMark/>
          </w:tcPr>
          <w:p w14:paraId="7BEB3BA4"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Leaf length (cm)</w:t>
            </w:r>
          </w:p>
        </w:tc>
        <w:tc>
          <w:tcPr>
            <w:tcW w:w="0" w:type="auto"/>
            <w:vAlign w:val="center"/>
            <w:hideMark/>
          </w:tcPr>
          <w:p w14:paraId="0A5BF260"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Leaf width (cm)</w:t>
            </w:r>
          </w:p>
        </w:tc>
        <w:tc>
          <w:tcPr>
            <w:tcW w:w="0" w:type="auto"/>
            <w:vAlign w:val="center"/>
            <w:hideMark/>
          </w:tcPr>
          <w:p w14:paraId="046E00A8"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Stem thickness (cm)</w:t>
            </w:r>
          </w:p>
        </w:tc>
        <w:tc>
          <w:tcPr>
            <w:tcW w:w="0" w:type="auto"/>
            <w:vAlign w:val="center"/>
            <w:hideMark/>
          </w:tcPr>
          <w:p w14:paraId="0B1BCDDA"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Green forage yield plant⁻¹ (g)</w:t>
            </w:r>
          </w:p>
        </w:tc>
        <w:tc>
          <w:tcPr>
            <w:tcW w:w="0" w:type="auto"/>
            <w:vAlign w:val="center"/>
            <w:hideMark/>
          </w:tcPr>
          <w:p w14:paraId="44B4ED1A"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Dry matter content (%)</w:t>
            </w:r>
          </w:p>
        </w:tc>
        <w:tc>
          <w:tcPr>
            <w:tcW w:w="0" w:type="auto"/>
            <w:vAlign w:val="center"/>
            <w:hideMark/>
          </w:tcPr>
          <w:p w14:paraId="6BF8CE2B"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Dry matter yield plant⁻¹ (g)</w:t>
            </w:r>
          </w:p>
        </w:tc>
      </w:tr>
      <w:tr w:rsidR="00627DAE" w:rsidRPr="00627DAE" w14:paraId="3AD7CCAA" w14:textId="77777777">
        <w:trPr>
          <w:tblCellSpacing w:w="15" w:type="dxa"/>
        </w:trPr>
        <w:tc>
          <w:tcPr>
            <w:tcW w:w="0" w:type="auto"/>
            <w:vAlign w:val="center"/>
            <w:hideMark/>
          </w:tcPr>
          <w:p w14:paraId="78396C06"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Raj Bajra</w:t>
            </w:r>
          </w:p>
        </w:tc>
        <w:tc>
          <w:tcPr>
            <w:tcW w:w="0" w:type="auto"/>
            <w:vAlign w:val="center"/>
            <w:hideMark/>
          </w:tcPr>
          <w:p w14:paraId="4DF2118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62.00</w:t>
            </w:r>
          </w:p>
        </w:tc>
        <w:tc>
          <w:tcPr>
            <w:tcW w:w="0" w:type="auto"/>
            <w:vAlign w:val="center"/>
            <w:hideMark/>
          </w:tcPr>
          <w:p w14:paraId="5A97188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164.67</w:t>
            </w:r>
          </w:p>
        </w:tc>
        <w:tc>
          <w:tcPr>
            <w:tcW w:w="0" w:type="auto"/>
            <w:vAlign w:val="center"/>
            <w:hideMark/>
          </w:tcPr>
          <w:p w14:paraId="7194942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3.13</w:t>
            </w:r>
          </w:p>
        </w:tc>
        <w:tc>
          <w:tcPr>
            <w:tcW w:w="0" w:type="auto"/>
            <w:vAlign w:val="center"/>
            <w:hideMark/>
          </w:tcPr>
          <w:p w14:paraId="6C04CDA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25.20</w:t>
            </w:r>
          </w:p>
        </w:tc>
        <w:tc>
          <w:tcPr>
            <w:tcW w:w="0" w:type="auto"/>
            <w:vAlign w:val="center"/>
            <w:hideMark/>
          </w:tcPr>
          <w:p w14:paraId="0F53252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77.53</w:t>
            </w:r>
          </w:p>
        </w:tc>
        <w:tc>
          <w:tcPr>
            <w:tcW w:w="0" w:type="auto"/>
            <w:vAlign w:val="center"/>
            <w:hideMark/>
          </w:tcPr>
          <w:p w14:paraId="03C5827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2.37</w:t>
            </w:r>
          </w:p>
        </w:tc>
        <w:tc>
          <w:tcPr>
            <w:tcW w:w="0" w:type="auto"/>
            <w:vAlign w:val="center"/>
            <w:hideMark/>
          </w:tcPr>
          <w:p w14:paraId="4B2AF0A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0.70</w:t>
            </w:r>
          </w:p>
        </w:tc>
        <w:tc>
          <w:tcPr>
            <w:tcW w:w="0" w:type="auto"/>
            <w:vAlign w:val="center"/>
            <w:hideMark/>
          </w:tcPr>
          <w:p w14:paraId="495E7C2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206.67</w:t>
            </w:r>
          </w:p>
        </w:tc>
        <w:tc>
          <w:tcPr>
            <w:tcW w:w="0" w:type="auto"/>
            <w:vAlign w:val="center"/>
            <w:hideMark/>
          </w:tcPr>
          <w:p w14:paraId="48CD9CF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17.40</w:t>
            </w:r>
          </w:p>
        </w:tc>
        <w:tc>
          <w:tcPr>
            <w:tcW w:w="0" w:type="auto"/>
            <w:vAlign w:val="center"/>
            <w:hideMark/>
          </w:tcPr>
          <w:p w14:paraId="130B7D6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35.79</w:t>
            </w:r>
          </w:p>
        </w:tc>
      </w:tr>
      <w:tr w:rsidR="00627DAE" w:rsidRPr="00627DAE" w14:paraId="67B1A48D" w14:textId="77777777">
        <w:trPr>
          <w:tblCellSpacing w:w="15" w:type="dxa"/>
        </w:trPr>
        <w:tc>
          <w:tcPr>
            <w:tcW w:w="0" w:type="auto"/>
            <w:vAlign w:val="center"/>
            <w:hideMark/>
          </w:tcPr>
          <w:p w14:paraId="03D35839"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ICMV-1601</w:t>
            </w:r>
          </w:p>
        </w:tc>
        <w:tc>
          <w:tcPr>
            <w:tcW w:w="0" w:type="auto"/>
            <w:vAlign w:val="center"/>
            <w:hideMark/>
          </w:tcPr>
          <w:p w14:paraId="5DEC3A9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57.67</w:t>
            </w:r>
          </w:p>
        </w:tc>
        <w:tc>
          <w:tcPr>
            <w:tcW w:w="0" w:type="auto"/>
            <w:vAlign w:val="center"/>
            <w:hideMark/>
          </w:tcPr>
          <w:p w14:paraId="4A91131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158.27</w:t>
            </w:r>
          </w:p>
        </w:tc>
        <w:tc>
          <w:tcPr>
            <w:tcW w:w="0" w:type="auto"/>
            <w:vAlign w:val="center"/>
            <w:hideMark/>
          </w:tcPr>
          <w:p w14:paraId="3A97325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3.33</w:t>
            </w:r>
          </w:p>
        </w:tc>
        <w:tc>
          <w:tcPr>
            <w:tcW w:w="0" w:type="auto"/>
            <w:vAlign w:val="center"/>
            <w:hideMark/>
          </w:tcPr>
          <w:p w14:paraId="55727E7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24.87</w:t>
            </w:r>
          </w:p>
        </w:tc>
        <w:tc>
          <w:tcPr>
            <w:tcW w:w="0" w:type="auto"/>
            <w:vAlign w:val="center"/>
            <w:hideMark/>
          </w:tcPr>
          <w:p w14:paraId="246B16D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71.73</w:t>
            </w:r>
          </w:p>
        </w:tc>
        <w:tc>
          <w:tcPr>
            <w:tcW w:w="0" w:type="auto"/>
            <w:vAlign w:val="center"/>
            <w:hideMark/>
          </w:tcPr>
          <w:p w14:paraId="3B580DF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1.21</w:t>
            </w:r>
          </w:p>
        </w:tc>
        <w:tc>
          <w:tcPr>
            <w:tcW w:w="0" w:type="auto"/>
            <w:vAlign w:val="center"/>
            <w:hideMark/>
          </w:tcPr>
          <w:p w14:paraId="3C1DCBF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0.51</w:t>
            </w:r>
          </w:p>
        </w:tc>
        <w:tc>
          <w:tcPr>
            <w:tcW w:w="0" w:type="auto"/>
            <w:vAlign w:val="center"/>
            <w:hideMark/>
          </w:tcPr>
          <w:p w14:paraId="5E25FAB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113.33</w:t>
            </w:r>
          </w:p>
        </w:tc>
        <w:tc>
          <w:tcPr>
            <w:tcW w:w="0" w:type="auto"/>
            <w:vAlign w:val="center"/>
            <w:hideMark/>
          </w:tcPr>
          <w:p w14:paraId="7210760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23.10</w:t>
            </w:r>
          </w:p>
        </w:tc>
        <w:tc>
          <w:tcPr>
            <w:tcW w:w="0" w:type="auto"/>
            <w:vAlign w:val="center"/>
            <w:hideMark/>
          </w:tcPr>
          <w:p w14:paraId="7C8DD1A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25.96</w:t>
            </w:r>
          </w:p>
        </w:tc>
      </w:tr>
      <w:tr w:rsidR="00627DAE" w:rsidRPr="00627DAE" w14:paraId="66DCB26A" w14:textId="77777777">
        <w:trPr>
          <w:tblCellSpacing w:w="15" w:type="dxa"/>
        </w:trPr>
        <w:tc>
          <w:tcPr>
            <w:tcW w:w="0" w:type="auto"/>
            <w:vAlign w:val="center"/>
            <w:hideMark/>
          </w:tcPr>
          <w:p w14:paraId="250292CF"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ICMV-1602</w:t>
            </w:r>
          </w:p>
        </w:tc>
        <w:tc>
          <w:tcPr>
            <w:tcW w:w="0" w:type="auto"/>
            <w:vAlign w:val="center"/>
            <w:hideMark/>
          </w:tcPr>
          <w:p w14:paraId="6EC6E40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60.67</w:t>
            </w:r>
          </w:p>
        </w:tc>
        <w:tc>
          <w:tcPr>
            <w:tcW w:w="0" w:type="auto"/>
            <w:vAlign w:val="center"/>
            <w:hideMark/>
          </w:tcPr>
          <w:p w14:paraId="5F265EF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167.87</w:t>
            </w:r>
          </w:p>
        </w:tc>
        <w:tc>
          <w:tcPr>
            <w:tcW w:w="0" w:type="auto"/>
            <w:vAlign w:val="center"/>
            <w:hideMark/>
          </w:tcPr>
          <w:p w14:paraId="5E16312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2.47</w:t>
            </w:r>
          </w:p>
        </w:tc>
        <w:tc>
          <w:tcPr>
            <w:tcW w:w="0" w:type="auto"/>
            <w:vAlign w:val="center"/>
            <w:hideMark/>
          </w:tcPr>
          <w:p w14:paraId="14677B1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21.00</w:t>
            </w:r>
          </w:p>
        </w:tc>
        <w:tc>
          <w:tcPr>
            <w:tcW w:w="0" w:type="auto"/>
            <w:vAlign w:val="center"/>
            <w:hideMark/>
          </w:tcPr>
          <w:p w14:paraId="60E9A20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72.20</w:t>
            </w:r>
          </w:p>
        </w:tc>
        <w:tc>
          <w:tcPr>
            <w:tcW w:w="0" w:type="auto"/>
            <w:vAlign w:val="center"/>
            <w:hideMark/>
          </w:tcPr>
          <w:p w14:paraId="7DF9D8B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1.93</w:t>
            </w:r>
          </w:p>
        </w:tc>
        <w:tc>
          <w:tcPr>
            <w:tcW w:w="0" w:type="auto"/>
            <w:vAlign w:val="center"/>
            <w:hideMark/>
          </w:tcPr>
          <w:p w14:paraId="74FC773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0.63</w:t>
            </w:r>
          </w:p>
        </w:tc>
        <w:tc>
          <w:tcPr>
            <w:tcW w:w="0" w:type="auto"/>
            <w:vAlign w:val="center"/>
            <w:hideMark/>
          </w:tcPr>
          <w:p w14:paraId="1477625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163.87</w:t>
            </w:r>
          </w:p>
        </w:tc>
        <w:tc>
          <w:tcPr>
            <w:tcW w:w="0" w:type="auto"/>
            <w:vAlign w:val="center"/>
            <w:hideMark/>
          </w:tcPr>
          <w:p w14:paraId="43053F5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22.30</w:t>
            </w:r>
          </w:p>
        </w:tc>
        <w:tc>
          <w:tcPr>
            <w:tcW w:w="0" w:type="auto"/>
            <w:vAlign w:val="center"/>
            <w:hideMark/>
          </w:tcPr>
          <w:p w14:paraId="3B5C816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36.50</w:t>
            </w:r>
          </w:p>
        </w:tc>
      </w:tr>
      <w:tr w:rsidR="00627DAE" w:rsidRPr="00627DAE" w14:paraId="2E3B181A" w14:textId="77777777">
        <w:trPr>
          <w:tblCellSpacing w:w="15" w:type="dxa"/>
        </w:trPr>
        <w:tc>
          <w:tcPr>
            <w:tcW w:w="0" w:type="auto"/>
            <w:vAlign w:val="center"/>
            <w:hideMark/>
          </w:tcPr>
          <w:p w14:paraId="3BB58B96"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HC-20</w:t>
            </w:r>
          </w:p>
        </w:tc>
        <w:tc>
          <w:tcPr>
            <w:tcW w:w="0" w:type="auto"/>
            <w:vAlign w:val="center"/>
            <w:hideMark/>
          </w:tcPr>
          <w:p w14:paraId="3EB8D5B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58.67</w:t>
            </w:r>
          </w:p>
        </w:tc>
        <w:tc>
          <w:tcPr>
            <w:tcW w:w="0" w:type="auto"/>
            <w:vAlign w:val="center"/>
            <w:hideMark/>
          </w:tcPr>
          <w:p w14:paraId="53EC316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164.33</w:t>
            </w:r>
          </w:p>
        </w:tc>
        <w:tc>
          <w:tcPr>
            <w:tcW w:w="0" w:type="auto"/>
            <w:vAlign w:val="center"/>
            <w:hideMark/>
          </w:tcPr>
          <w:p w14:paraId="2730781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2.47</w:t>
            </w:r>
          </w:p>
        </w:tc>
        <w:tc>
          <w:tcPr>
            <w:tcW w:w="0" w:type="auto"/>
            <w:vAlign w:val="center"/>
            <w:hideMark/>
          </w:tcPr>
          <w:p w14:paraId="097CCAC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21.13</w:t>
            </w:r>
          </w:p>
        </w:tc>
        <w:tc>
          <w:tcPr>
            <w:tcW w:w="0" w:type="auto"/>
            <w:vAlign w:val="center"/>
            <w:hideMark/>
          </w:tcPr>
          <w:p w14:paraId="137AF5E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78.87</w:t>
            </w:r>
          </w:p>
        </w:tc>
        <w:tc>
          <w:tcPr>
            <w:tcW w:w="0" w:type="auto"/>
            <w:vAlign w:val="center"/>
            <w:hideMark/>
          </w:tcPr>
          <w:p w14:paraId="6F3863B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1.93</w:t>
            </w:r>
          </w:p>
        </w:tc>
        <w:tc>
          <w:tcPr>
            <w:tcW w:w="0" w:type="auto"/>
            <w:vAlign w:val="center"/>
            <w:hideMark/>
          </w:tcPr>
          <w:p w14:paraId="6155C07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0.71</w:t>
            </w:r>
          </w:p>
        </w:tc>
        <w:tc>
          <w:tcPr>
            <w:tcW w:w="0" w:type="auto"/>
            <w:vAlign w:val="center"/>
            <w:hideMark/>
          </w:tcPr>
          <w:p w14:paraId="31C65BF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141.00</w:t>
            </w:r>
          </w:p>
        </w:tc>
        <w:tc>
          <w:tcPr>
            <w:tcW w:w="0" w:type="auto"/>
            <w:vAlign w:val="center"/>
            <w:hideMark/>
          </w:tcPr>
          <w:p w14:paraId="21C3FE4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20.00</w:t>
            </w:r>
          </w:p>
        </w:tc>
        <w:tc>
          <w:tcPr>
            <w:tcW w:w="0" w:type="auto"/>
            <w:vAlign w:val="center"/>
            <w:hideMark/>
          </w:tcPr>
          <w:p w14:paraId="76FEF64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28.56</w:t>
            </w:r>
          </w:p>
        </w:tc>
      </w:tr>
      <w:tr w:rsidR="00627DAE" w:rsidRPr="00627DAE" w14:paraId="154B0688" w14:textId="77777777">
        <w:trPr>
          <w:tblCellSpacing w:w="15" w:type="dxa"/>
        </w:trPr>
        <w:tc>
          <w:tcPr>
            <w:tcW w:w="0" w:type="auto"/>
            <w:vAlign w:val="center"/>
            <w:hideMark/>
          </w:tcPr>
          <w:p w14:paraId="2C185F4F"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JP-138</w:t>
            </w:r>
          </w:p>
        </w:tc>
        <w:tc>
          <w:tcPr>
            <w:tcW w:w="0" w:type="auto"/>
            <w:vAlign w:val="center"/>
            <w:hideMark/>
          </w:tcPr>
          <w:p w14:paraId="3E0D269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61.00</w:t>
            </w:r>
          </w:p>
        </w:tc>
        <w:tc>
          <w:tcPr>
            <w:tcW w:w="0" w:type="auto"/>
            <w:vAlign w:val="center"/>
            <w:hideMark/>
          </w:tcPr>
          <w:p w14:paraId="198DBD2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178.47</w:t>
            </w:r>
          </w:p>
        </w:tc>
        <w:tc>
          <w:tcPr>
            <w:tcW w:w="0" w:type="auto"/>
            <w:vAlign w:val="center"/>
            <w:hideMark/>
          </w:tcPr>
          <w:p w14:paraId="6D9F572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2.40</w:t>
            </w:r>
          </w:p>
        </w:tc>
        <w:tc>
          <w:tcPr>
            <w:tcW w:w="0" w:type="auto"/>
            <w:vAlign w:val="center"/>
            <w:hideMark/>
          </w:tcPr>
          <w:p w14:paraId="14DEDA3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20.60</w:t>
            </w:r>
          </w:p>
        </w:tc>
        <w:tc>
          <w:tcPr>
            <w:tcW w:w="0" w:type="auto"/>
            <w:vAlign w:val="center"/>
            <w:hideMark/>
          </w:tcPr>
          <w:p w14:paraId="44665D9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76.13</w:t>
            </w:r>
          </w:p>
        </w:tc>
        <w:tc>
          <w:tcPr>
            <w:tcW w:w="0" w:type="auto"/>
            <w:vAlign w:val="center"/>
            <w:hideMark/>
          </w:tcPr>
          <w:p w14:paraId="2621ACD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2.41</w:t>
            </w:r>
          </w:p>
        </w:tc>
        <w:tc>
          <w:tcPr>
            <w:tcW w:w="0" w:type="auto"/>
            <w:vAlign w:val="center"/>
            <w:hideMark/>
          </w:tcPr>
          <w:p w14:paraId="74EFBFE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0.53</w:t>
            </w:r>
          </w:p>
        </w:tc>
        <w:tc>
          <w:tcPr>
            <w:tcW w:w="0" w:type="auto"/>
            <w:vAlign w:val="center"/>
            <w:hideMark/>
          </w:tcPr>
          <w:p w14:paraId="2CA1723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145.20</w:t>
            </w:r>
          </w:p>
        </w:tc>
        <w:tc>
          <w:tcPr>
            <w:tcW w:w="0" w:type="auto"/>
            <w:vAlign w:val="center"/>
            <w:hideMark/>
          </w:tcPr>
          <w:p w14:paraId="48A82A8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19.97</w:t>
            </w:r>
          </w:p>
        </w:tc>
        <w:tc>
          <w:tcPr>
            <w:tcW w:w="0" w:type="auto"/>
            <w:vAlign w:val="center"/>
            <w:hideMark/>
          </w:tcPr>
          <w:p w14:paraId="767583B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29.95</w:t>
            </w:r>
          </w:p>
        </w:tc>
      </w:tr>
      <w:tr w:rsidR="00627DAE" w:rsidRPr="00627DAE" w14:paraId="0E4EFC21" w14:textId="77777777">
        <w:trPr>
          <w:tblCellSpacing w:w="15" w:type="dxa"/>
        </w:trPr>
        <w:tc>
          <w:tcPr>
            <w:tcW w:w="0" w:type="auto"/>
            <w:vAlign w:val="center"/>
            <w:hideMark/>
          </w:tcPr>
          <w:p w14:paraId="7A465D67"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ICMB-674</w:t>
            </w:r>
          </w:p>
        </w:tc>
        <w:tc>
          <w:tcPr>
            <w:tcW w:w="0" w:type="auto"/>
            <w:vAlign w:val="center"/>
            <w:hideMark/>
          </w:tcPr>
          <w:p w14:paraId="787A3BF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56.00</w:t>
            </w:r>
          </w:p>
        </w:tc>
        <w:tc>
          <w:tcPr>
            <w:tcW w:w="0" w:type="auto"/>
            <w:vAlign w:val="center"/>
            <w:hideMark/>
          </w:tcPr>
          <w:p w14:paraId="045C579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163.53</w:t>
            </w:r>
          </w:p>
        </w:tc>
        <w:tc>
          <w:tcPr>
            <w:tcW w:w="0" w:type="auto"/>
            <w:vAlign w:val="center"/>
            <w:hideMark/>
          </w:tcPr>
          <w:p w14:paraId="659A01D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2.53</w:t>
            </w:r>
          </w:p>
        </w:tc>
        <w:tc>
          <w:tcPr>
            <w:tcW w:w="0" w:type="auto"/>
            <w:vAlign w:val="center"/>
            <w:hideMark/>
          </w:tcPr>
          <w:p w14:paraId="604687B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20.07</w:t>
            </w:r>
          </w:p>
        </w:tc>
        <w:tc>
          <w:tcPr>
            <w:tcW w:w="0" w:type="auto"/>
            <w:vAlign w:val="center"/>
            <w:hideMark/>
          </w:tcPr>
          <w:p w14:paraId="0CD0C70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71.60</w:t>
            </w:r>
          </w:p>
        </w:tc>
        <w:tc>
          <w:tcPr>
            <w:tcW w:w="0" w:type="auto"/>
            <w:vAlign w:val="center"/>
            <w:hideMark/>
          </w:tcPr>
          <w:p w14:paraId="406F373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2.00</w:t>
            </w:r>
          </w:p>
        </w:tc>
        <w:tc>
          <w:tcPr>
            <w:tcW w:w="0" w:type="auto"/>
            <w:vAlign w:val="center"/>
            <w:hideMark/>
          </w:tcPr>
          <w:p w14:paraId="05A55E1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0.59</w:t>
            </w:r>
          </w:p>
        </w:tc>
        <w:tc>
          <w:tcPr>
            <w:tcW w:w="0" w:type="auto"/>
            <w:vAlign w:val="center"/>
            <w:hideMark/>
          </w:tcPr>
          <w:p w14:paraId="34178BE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115.40</w:t>
            </w:r>
          </w:p>
        </w:tc>
        <w:tc>
          <w:tcPr>
            <w:tcW w:w="0" w:type="auto"/>
            <w:vAlign w:val="center"/>
            <w:hideMark/>
          </w:tcPr>
          <w:p w14:paraId="065EAD7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20.57</w:t>
            </w:r>
          </w:p>
        </w:tc>
        <w:tc>
          <w:tcPr>
            <w:tcW w:w="0" w:type="auto"/>
            <w:vAlign w:val="center"/>
            <w:hideMark/>
          </w:tcPr>
          <w:p w14:paraId="793200A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24.14</w:t>
            </w:r>
          </w:p>
        </w:tc>
      </w:tr>
      <w:tr w:rsidR="00627DAE" w:rsidRPr="00627DAE" w14:paraId="6AD282A9" w14:textId="77777777">
        <w:trPr>
          <w:tblCellSpacing w:w="15" w:type="dxa"/>
        </w:trPr>
        <w:tc>
          <w:tcPr>
            <w:tcW w:w="0" w:type="auto"/>
            <w:vAlign w:val="center"/>
            <w:hideMark/>
          </w:tcPr>
          <w:p w14:paraId="072B372A"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ICMR-15944</w:t>
            </w:r>
          </w:p>
        </w:tc>
        <w:tc>
          <w:tcPr>
            <w:tcW w:w="0" w:type="auto"/>
            <w:vAlign w:val="center"/>
            <w:hideMark/>
          </w:tcPr>
          <w:p w14:paraId="1FEFEA1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55.00</w:t>
            </w:r>
          </w:p>
        </w:tc>
        <w:tc>
          <w:tcPr>
            <w:tcW w:w="0" w:type="auto"/>
            <w:vAlign w:val="center"/>
            <w:hideMark/>
          </w:tcPr>
          <w:p w14:paraId="51F3ADF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156.33</w:t>
            </w:r>
          </w:p>
        </w:tc>
        <w:tc>
          <w:tcPr>
            <w:tcW w:w="0" w:type="auto"/>
            <w:vAlign w:val="center"/>
            <w:hideMark/>
          </w:tcPr>
          <w:p w14:paraId="0C66FA5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3.47</w:t>
            </w:r>
          </w:p>
        </w:tc>
        <w:tc>
          <w:tcPr>
            <w:tcW w:w="0" w:type="auto"/>
            <w:vAlign w:val="center"/>
            <w:hideMark/>
          </w:tcPr>
          <w:p w14:paraId="659E81E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30.20</w:t>
            </w:r>
          </w:p>
        </w:tc>
        <w:tc>
          <w:tcPr>
            <w:tcW w:w="0" w:type="auto"/>
            <w:vAlign w:val="center"/>
            <w:hideMark/>
          </w:tcPr>
          <w:p w14:paraId="0CEA011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74.07</w:t>
            </w:r>
          </w:p>
        </w:tc>
        <w:tc>
          <w:tcPr>
            <w:tcW w:w="0" w:type="auto"/>
            <w:vAlign w:val="center"/>
            <w:hideMark/>
          </w:tcPr>
          <w:p w14:paraId="0837989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1.59</w:t>
            </w:r>
          </w:p>
        </w:tc>
        <w:tc>
          <w:tcPr>
            <w:tcW w:w="0" w:type="auto"/>
            <w:vAlign w:val="center"/>
            <w:hideMark/>
          </w:tcPr>
          <w:p w14:paraId="57E64B5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0.52</w:t>
            </w:r>
          </w:p>
        </w:tc>
        <w:tc>
          <w:tcPr>
            <w:tcW w:w="0" w:type="auto"/>
            <w:vAlign w:val="center"/>
            <w:hideMark/>
          </w:tcPr>
          <w:p w14:paraId="38E480E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140.60</w:t>
            </w:r>
          </w:p>
        </w:tc>
        <w:tc>
          <w:tcPr>
            <w:tcW w:w="0" w:type="auto"/>
            <w:vAlign w:val="center"/>
            <w:hideMark/>
          </w:tcPr>
          <w:p w14:paraId="3131D7E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20.57</w:t>
            </w:r>
          </w:p>
        </w:tc>
        <w:tc>
          <w:tcPr>
            <w:tcW w:w="0" w:type="auto"/>
            <w:vAlign w:val="center"/>
            <w:hideMark/>
          </w:tcPr>
          <w:p w14:paraId="6034F61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29.79</w:t>
            </w:r>
          </w:p>
        </w:tc>
      </w:tr>
      <w:tr w:rsidR="00627DAE" w:rsidRPr="00627DAE" w14:paraId="3BDEE8B7" w14:textId="77777777">
        <w:trPr>
          <w:tblCellSpacing w:w="15" w:type="dxa"/>
        </w:trPr>
        <w:tc>
          <w:tcPr>
            <w:tcW w:w="0" w:type="auto"/>
            <w:vAlign w:val="center"/>
            <w:hideMark/>
          </w:tcPr>
          <w:p w14:paraId="28EB7C37"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GFB-1</w:t>
            </w:r>
          </w:p>
        </w:tc>
        <w:tc>
          <w:tcPr>
            <w:tcW w:w="0" w:type="auto"/>
            <w:vAlign w:val="center"/>
            <w:hideMark/>
          </w:tcPr>
          <w:p w14:paraId="6D09165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59.67</w:t>
            </w:r>
          </w:p>
        </w:tc>
        <w:tc>
          <w:tcPr>
            <w:tcW w:w="0" w:type="auto"/>
            <w:vAlign w:val="center"/>
            <w:hideMark/>
          </w:tcPr>
          <w:p w14:paraId="10AA983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157.80</w:t>
            </w:r>
          </w:p>
        </w:tc>
        <w:tc>
          <w:tcPr>
            <w:tcW w:w="0" w:type="auto"/>
            <w:vAlign w:val="center"/>
            <w:hideMark/>
          </w:tcPr>
          <w:p w14:paraId="7B9F429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5.07</w:t>
            </w:r>
          </w:p>
        </w:tc>
        <w:tc>
          <w:tcPr>
            <w:tcW w:w="0" w:type="auto"/>
            <w:vAlign w:val="center"/>
            <w:hideMark/>
          </w:tcPr>
          <w:p w14:paraId="27CA59F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24.07</w:t>
            </w:r>
          </w:p>
        </w:tc>
        <w:tc>
          <w:tcPr>
            <w:tcW w:w="0" w:type="auto"/>
            <w:vAlign w:val="center"/>
            <w:hideMark/>
          </w:tcPr>
          <w:p w14:paraId="18E970A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71.40</w:t>
            </w:r>
          </w:p>
        </w:tc>
        <w:tc>
          <w:tcPr>
            <w:tcW w:w="0" w:type="auto"/>
            <w:vAlign w:val="center"/>
            <w:hideMark/>
          </w:tcPr>
          <w:p w14:paraId="4E93AB6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1.94</w:t>
            </w:r>
          </w:p>
        </w:tc>
        <w:tc>
          <w:tcPr>
            <w:tcW w:w="0" w:type="auto"/>
            <w:vAlign w:val="center"/>
            <w:hideMark/>
          </w:tcPr>
          <w:p w14:paraId="12238E7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0.57</w:t>
            </w:r>
          </w:p>
        </w:tc>
        <w:tc>
          <w:tcPr>
            <w:tcW w:w="0" w:type="auto"/>
            <w:vAlign w:val="center"/>
            <w:hideMark/>
          </w:tcPr>
          <w:p w14:paraId="791D7BB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140.73</w:t>
            </w:r>
          </w:p>
        </w:tc>
        <w:tc>
          <w:tcPr>
            <w:tcW w:w="0" w:type="auto"/>
            <w:vAlign w:val="center"/>
            <w:hideMark/>
          </w:tcPr>
          <w:p w14:paraId="7B1F16E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22.33</w:t>
            </w:r>
          </w:p>
        </w:tc>
        <w:tc>
          <w:tcPr>
            <w:tcW w:w="0" w:type="auto"/>
            <w:vAlign w:val="center"/>
            <w:hideMark/>
          </w:tcPr>
          <w:p w14:paraId="72BF9C5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31.13</w:t>
            </w:r>
          </w:p>
        </w:tc>
      </w:tr>
      <w:tr w:rsidR="00627DAE" w:rsidRPr="00627DAE" w14:paraId="72B5FFBB" w14:textId="77777777">
        <w:trPr>
          <w:tblCellSpacing w:w="15" w:type="dxa"/>
        </w:trPr>
        <w:tc>
          <w:tcPr>
            <w:tcW w:w="0" w:type="auto"/>
            <w:vAlign w:val="center"/>
            <w:hideMark/>
          </w:tcPr>
          <w:p w14:paraId="71928639"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AFB-3</w:t>
            </w:r>
          </w:p>
        </w:tc>
        <w:tc>
          <w:tcPr>
            <w:tcW w:w="0" w:type="auto"/>
            <w:vAlign w:val="center"/>
            <w:hideMark/>
          </w:tcPr>
          <w:p w14:paraId="1D343F6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59.33</w:t>
            </w:r>
          </w:p>
        </w:tc>
        <w:tc>
          <w:tcPr>
            <w:tcW w:w="0" w:type="auto"/>
            <w:vAlign w:val="center"/>
            <w:hideMark/>
          </w:tcPr>
          <w:p w14:paraId="7872293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155.80</w:t>
            </w:r>
          </w:p>
        </w:tc>
        <w:tc>
          <w:tcPr>
            <w:tcW w:w="0" w:type="auto"/>
            <w:vAlign w:val="center"/>
            <w:hideMark/>
          </w:tcPr>
          <w:p w14:paraId="4EA3FD0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3.00</w:t>
            </w:r>
          </w:p>
        </w:tc>
        <w:tc>
          <w:tcPr>
            <w:tcW w:w="0" w:type="auto"/>
            <w:vAlign w:val="center"/>
            <w:hideMark/>
          </w:tcPr>
          <w:p w14:paraId="042F75B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24.53</w:t>
            </w:r>
          </w:p>
        </w:tc>
        <w:tc>
          <w:tcPr>
            <w:tcW w:w="0" w:type="auto"/>
            <w:vAlign w:val="center"/>
            <w:hideMark/>
          </w:tcPr>
          <w:p w14:paraId="2BC4152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79.03</w:t>
            </w:r>
          </w:p>
        </w:tc>
        <w:tc>
          <w:tcPr>
            <w:tcW w:w="0" w:type="auto"/>
            <w:vAlign w:val="center"/>
            <w:hideMark/>
          </w:tcPr>
          <w:p w14:paraId="1C6D001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2.33</w:t>
            </w:r>
          </w:p>
        </w:tc>
        <w:tc>
          <w:tcPr>
            <w:tcW w:w="0" w:type="auto"/>
            <w:vAlign w:val="center"/>
            <w:hideMark/>
          </w:tcPr>
          <w:p w14:paraId="1CA95AA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0.87</w:t>
            </w:r>
          </w:p>
        </w:tc>
        <w:tc>
          <w:tcPr>
            <w:tcW w:w="0" w:type="auto"/>
            <w:vAlign w:val="center"/>
            <w:hideMark/>
          </w:tcPr>
          <w:p w14:paraId="2807B2E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111.47</w:t>
            </w:r>
          </w:p>
        </w:tc>
        <w:tc>
          <w:tcPr>
            <w:tcW w:w="0" w:type="auto"/>
            <w:vAlign w:val="center"/>
            <w:hideMark/>
          </w:tcPr>
          <w:p w14:paraId="4A661F0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14.50</w:t>
            </w:r>
          </w:p>
        </w:tc>
        <w:tc>
          <w:tcPr>
            <w:tcW w:w="0" w:type="auto"/>
            <w:vAlign w:val="center"/>
            <w:hideMark/>
          </w:tcPr>
          <w:p w14:paraId="4AC13FB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16.10</w:t>
            </w:r>
          </w:p>
        </w:tc>
      </w:tr>
      <w:tr w:rsidR="00627DAE" w:rsidRPr="00627DAE" w14:paraId="1658177B" w14:textId="77777777">
        <w:trPr>
          <w:tblCellSpacing w:w="15" w:type="dxa"/>
        </w:trPr>
        <w:tc>
          <w:tcPr>
            <w:tcW w:w="0" w:type="auto"/>
            <w:vAlign w:val="center"/>
            <w:hideMark/>
          </w:tcPr>
          <w:p w14:paraId="4B20A83D"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Giant Bajra</w:t>
            </w:r>
          </w:p>
        </w:tc>
        <w:tc>
          <w:tcPr>
            <w:tcW w:w="0" w:type="auto"/>
            <w:vAlign w:val="center"/>
            <w:hideMark/>
          </w:tcPr>
          <w:p w14:paraId="3EE2F70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61.00</w:t>
            </w:r>
          </w:p>
        </w:tc>
        <w:tc>
          <w:tcPr>
            <w:tcW w:w="0" w:type="auto"/>
            <w:vAlign w:val="center"/>
            <w:hideMark/>
          </w:tcPr>
          <w:p w14:paraId="242B198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168.07</w:t>
            </w:r>
          </w:p>
        </w:tc>
        <w:tc>
          <w:tcPr>
            <w:tcW w:w="0" w:type="auto"/>
            <w:vAlign w:val="center"/>
            <w:hideMark/>
          </w:tcPr>
          <w:p w14:paraId="247F88B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2.73</w:t>
            </w:r>
          </w:p>
        </w:tc>
        <w:tc>
          <w:tcPr>
            <w:tcW w:w="0" w:type="auto"/>
            <w:vAlign w:val="center"/>
            <w:hideMark/>
          </w:tcPr>
          <w:p w14:paraId="4BADB10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18.33</w:t>
            </w:r>
          </w:p>
        </w:tc>
        <w:tc>
          <w:tcPr>
            <w:tcW w:w="0" w:type="auto"/>
            <w:vAlign w:val="center"/>
            <w:hideMark/>
          </w:tcPr>
          <w:p w14:paraId="616DF2E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77.67</w:t>
            </w:r>
          </w:p>
        </w:tc>
        <w:tc>
          <w:tcPr>
            <w:tcW w:w="0" w:type="auto"/>
            <w:vAlign w:val="center"/>
            <w:hideMark/>
          </w:tcPr>
          <w:p w14:paraId="520C3DB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2.81</w:t>
            </w:r>
          </w:p>
        </w:tc>
        <w:tc>
          <w:tcPr>
            <w:tcW w:w="0" w:type="auto"/>
            <w:vAlign w:val="center"/>
            <w:hideMark/>
          </w:tcPr>
          <w:p w14:paraId="3AA87F5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1.18</w:t>
            </w:r>
          </w:p>
        </w:tc>
        <w:tc>
          <w:tcPr>
            <w:tcW w:w="0" w:type="auto"/>
            <w:vAlign w:val="center"/>
            <w:hideMark/>
          </w:tcPr>
          <w:p w14:paraId="6D2A92C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277.60</w:t>
            </w:r>
          </w:p>
        </w:tc>
        <w:tc>
          <w:tcPr>
            <w:tcW w:w="0" w:type="auto"/>
            <w:vAlign w:val="center"/>
            <w:hideMark/>
          </w:tcPr>
          <w:p w14:paraId="154E02D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13.37</w:t>
            </w:r>
          </w:p>
        </w:tc>
        <w:tc>
          <w:tcPr>
            <w:tcW w:w="0" w:type="auto"/>
            <w:vAlign w:val="center"/>
            <w:hideMark/>
          </w:tcPr>
          <w:p w14:paraId="6CD083A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37.15</w:t>
            </w:r>
          </w:p>
        </w:tc>
      </w:tr>
      <w:tr w:rsidR="00627DAE" w:rsidRPr="00627DAE" w14:paraId="4F75B578" w14:textId="77777777">
        <w:trPr>
          <w:tblCellSpacing w:w="15" w:type="dxa"/>
        </w:trPr>
        <w:tc>
          <w:tcPr>
            <w:tcW w:w="0" w:type="auto"/>
            <w:vAlign w:val="center"/>
            <w:hideMark/>
          </w:tcPr>
          <w:p w14:paraId="4C8993F0"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HC-4</w:t>
            </w:r>
          </w:p>
        </w:tc>
        <w:tc>
          <w:tcPr>
            <w:tcW w:w="0" w:type="auto"/>
            <w:vAlign w:val="center"/>
            <w:hideMark/>
          </w:tcPr>
          <w:p w14:paraId="54FD384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60.00</w:t>
            </w:r>
          </w:p>
        </w:tc>
        <w:tc>
          <w:tcPr>
            <w:tcW w:w="0" w:type="auto"/>
            <w:vAlign w:val="center"/>
            <w:hideMark/>
          </w:tcPr>
          <w:p w14:paraId="1163D5D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161.60</w:t>
            </w:r>
          </w:p>
        </w:tc>
        <w:tc>
          <w:tcPr>
            <w:tcW w:w="0" w:type="auto"/>
            <w:vAlign w:val="center"/>
            <w:hideMark/>
          </w:tcPr>
          <w:p w14:paraId="3E0EF30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2.53</w:t>
            </w:r>
          </w:p>
        </w:tc>
        <w:tc>
          <w:tcPr>
            <w:tcW w:w="0" w:type="auto"/>
            <w:vAlign w:val="center"/>
            <w:hideMark/>
          </w:tcPr>
          <w:p w14:paraId="5E8EBC5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19.80</w:t>
            </w:r>
          </w:p>
        </w:tc>
        <w:tc>
          <w:tcPr>
            <w:tcW w:w="0" w:type="auto"/>
            <w:vAlign w:val="center"/>
            <w:hideMark/>
          </w:tcPr>
          <w:p w14:paraId="24DC638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75.50</w:t>
            </w:r>
          </w:p>
        </w:tc>
        <w:tc>
          <w:tcPr>
            <w:tcW w:w="0" w:type="auto"/>
            <w:vAlign w:val="center"/>
            <w:hideMark/>
          </w:tcPr>
          <w:p w14:paraId="35E2C03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2.14</w:t>
            </w:r>
          </w:p>
        </w:tc>
        <w:tc>
          <w:tcPr>
            <w:tcW w:w="0" w:type="auto"/>
            <w:vAlign w:val="center"/>
            <w:hideMark/>
          </w:tcPr>
          <w:p w14:paraId="56F4716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0.62</w:t>
            </w:r>
          </w:p>
        </w:tc>
        <w:tc>
          <w:tcPr>
            <w:tcW w:w="0" w:type="auto"/>
            <w:vAlign w:val="center"/>
            <w:hideMark/>
          </w:tcPr>
          <w:p w14:paraId="7AAEF5B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115.60</w:t>
            </w:r>
          </w:p>
        </w:tc>
        <w:tc>
          <w:tcPr>
            <w:tcW w:w="0" w:type="auto"/>
            <w:vAlign w:val="center"/>
            <w:hideMark/>
          </w:tcPr>
          <w:p w14:paraId="25169A3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21.97</w:t>
            </w:r>
          </w:p>
        </w:tc>
        <w:tc>
          <w:tcPr>
            <w:tcW w:w="0" w:type="auto"/>
            <w:vAlign w:val="center"/>
            <w:hideMark/>
          </w:tcPr>
          <w:p w14:paraId="6F273DA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25.34</w:t>
            </w:r>
          </w:p>
        </w:tc>
      </w:tr>
      <w:tr w:rsidR="00627DAE" w:rsidRPr="00627DAE" w14:paraId="78192FE8" w14:textId="77777777">
        <w:trPr>
          <w:tblCellSpacing w:w="15" w:type="dxa"/>
        </w:trPr>
        <w:tc>
          <w:tcPr>
            <w:tcW w:w="0" w:type="auto"/>
            <w:vAlign w:val="center"/>
            <w:hideMark/>
          </w:tcPr>
          <w:p w14:paraId="71BF893E"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Raj-171</w:t>
            </w:r>
          </w:p>
        </w:tc>
        <w:tc>
          <w:tcPr>
            <w:tcW w:w="0" w:type="auto"/>
            <w:vAlign w:val="center"/>
            <w:hideMark/>
          </w:tcPr>
          <w:p w14:paraId="5C0108C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59.00</w:t>
            </w:r>
          </w:p>
        </w:tc>
        <w:tc>
          <w:tcPr>
            <w:tcW w:w="0" w:type="auto"/>
            <w:vAlign w:val="center"/>
            <w:hideMark/>
          </w:tcPr>
          <w:p w14:paraId="2EB9D06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165.27</w:t>
            </w:r>
          </w:p>
        </w:tc>
        <w:tc>
          <w:tcPr>
            <w:tcW w:w="0" w:type="auto"/>
            <w:vAlign w:val="center"/>
            <w:hideMark/>
          </w:tcPr>
          <w:p w14:paraId="297D7FD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2.13</w:t>
            </w:r>
          </w:p>
        </w:tc>
        <w:tc>
          <w:tcPr>
            <w:tcW w:w="0" w:type="auto"/>
            <w:vAlign w:val="center"/>
            <w:hideMark/>
          </w:tcPr>
          <w:p w14:paraId="4E9D8B2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17.80</w:t>
            </w:r>
          </w:p>
        </w:tc>
        <w:tc>
          <w:tcPr>
            <w:tcW w:w="0" w:type="auto"/>
            <w:vAlign w:val="center"/>
            <w:hideMark/>
          </w:tcPr>
          <w:p w14:paraId="0CF05EA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77.73</w:t>
            </w:r>
          </w:p>
        </w:tc>
        <w:tc>
          <w:tcPr>
            <w:tcW w:w="0" w:type="auto"/>
            <w:vAlign w:val="center"/>
            <w:hideMark/>
          </w:tcPr>
          <w:p w14:paraId="7C6B7CA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1.47</w:t>
            </w:r>
          </w:p>
        </w:tc>
        <w:tc>
          <w:tcPr>
            <w:tcW w:w="0" w:type="auto"/>
            <w:vAlign w:val="center"/>
            <w:hideMark/>
          </w:tcPr>
          <w:p w14:paraId="429968D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0.64</w:t>
            </w:r>
          </w:p>
        </w:tc>
        <w:tc>
          <w:tcPr>
            <w:tcW w:w="0" w:type="auto"/>
            <w:vAlign w:val="center"/>
            <w:hideMark/>
          </w:tcPr>
          <w:p w14:paraId="12588C4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123.13</w:t>
            </w:r>
          </w:p>
        </w:tc>
        <w:tc>
          <w:tcPr>
            <w:tcW w:w="0" w:type="auto"/>
            <w:vAlign w:val="center"/>
            <w:hideMark/>
          </w:tcPr>
          <w:p w14:paraId="6A0A36C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20.27</w:t>
            </w:r>
          </w:p>
        </w:tc>
        <w:tc>
          <w:tcPr>
            <w:tcW w:w="0" w:type="auto"/>
            <w:vAlign w:val="center"/>
            <w:hideMark/>
          </w:tcPr>
          <w:p w14:paraId="24E4C9A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25.09</w:t>
            </w:r>
          </w:p>
        </w:tc>
      </w:tr>
      <w:tr w:rsidR="00627DAE" w:rsidRPr="00627DAE" w14:paraId="0276CB50" w14:textId="77777777">
        <w:trPr>
          <w:tblCellSpacing w:w="15" w:type="dxa"/>
        </w:trPr>
        <w:tc>
          <w:tcPr>
            <w:tcW w:w="0" w:type="auto"/>
            <w:vAlign w:val="center"/>
            <w:hideMark/>
          </w:tcPr>
          <w:p w14:paraId="794FDD7A"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General Mean</w:t>
            </w:r>
          </w:p>
        </w:tc>
        <w:tc>
          <w:tcPr>
            <w:tcW w:w="0" w:type="auto"/>
            <w:vAlign w:val="center"/>
            <w:hideMark/>
          </w:tcPr>
          <w:p w14:paraId="07F0777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59.15</w:t>
            </w:r>
          </w:p>
        </w:tc>
        <w:tc>
          <w:tcPr>
            <w:tcW w:w="0" w:type="auto"/>
            <w:vAlign w:val="center"/>
            <w:hideMark/>
          </w:tcPr>
          <w:p w14:paraId="2F23406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159.87</w:t>
            </w:r>
          </w:p>
        </w:tc>
        <w:tc>
          <w:tcPr>
            <w:tcW w:w="0" w:type="auto"/>
            <w:vAlign w:val="center"/>
            <w:hideMark/>
          </w:tcPr>
          <w:p w14:paraId="766BAB0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2.81</w:t>
            </w:r>
          </w:p>
        </w:tc>
        <w:tc>
          <w:tcPr>
            <w:tcW w:w="0" w:type="auto"/>
            <w:vAlign w:val="center"/>
            <w:hideMark/>
          </w:tcPr>
          <w:p w14:paraId="1B8C268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22.02</w:t>
            </w:r>
          </w:p>
        </w:tc>
        <w:tc>
          <w:tcPr>
            <w:tcW w:w="0" w:type="auto"/>
            <w:vAlign w:val="center"/>
            <w:hideMark/>
          </w:tcPr>
          <w:p w14:paraId="6AAF92F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73.45</w:t>
            </w:r>
          </w:p>
        </w:tc>
        <w:tc>
          <w:tcPr>
            <w:tcW w:w="0" w:type="auto"/>
            <w:vAlign w:val="center"/>
            <w:hideMark/>
          </w:tcPr>
          <w:p w14:paraId="6CA5D9D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2.12</w:t>
            </w:r>
          </w:p>
        </w:tc>
        <w:tc>
          <w:tcPr>
            <w:tcW w:w="0" w:type="auto"/>
            <w:vAlign w:val="center"/>
            <w:hideMark/>
          </w:tcPr>
          <w:p w14:paraId="31A3956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0.71</w:t>
            </w:r>
          </w:p>
        </w:tc>
        <w:tc>
          <w:tcPr>
            <w:tcW w:w="0" w:type="auto"/>
            <w:vAlign w:val="center"/>
            <w:hideMark/>
          </w:tcPr>
          <w:p w14:paraId="6BA6769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136.43</w:t>
            </w:r>
          </w:p>
        </w:tc>
        <w:tc>
          <w:tcPr>
            <w:tcW w:w="0" w:type="auto"/>
            <w:vAlign w:val="center"/>
            <w:hideMark/>
          </w:tcPr>
          <w:p w14:paraId="6C205C3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19.22</w:t>
            </w:r>
          </w:p>
        </w:tc>
        <w:tc>
          <w:tcPr>
            <w:tcW w:w="0" w:type="auto"/>
            <w:vAlign w:val="center"/>
            <w:hideMark/>
          </w:tcPr>
          <w:p w14:paraId="307E906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26.12</w:t>
            </w:r>
          </w:p>
        </w:tc>
      </w:tr>
      <w:tr w:rsidR="00627DAE" w:rsidRPr="00627DAE" w14:paraId="04148950" w14:textId="77777777">
        <w:trPr>
          <w:tblCellSpacing w:w="15" w:type="dxa"/>
        </w:trPr>
        <w:tc>
          <w:tcPr>
            <w:tcW w:w="0" w:type="auto"/>
            <w:vAlign w:val="center"/>
            <w:hideMark/>
          </w:tcPr>
          <w:p w14:paraId="22627443"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Minimum</w:t>
            </w:r>
          </w:p>
        </w:tc>
        <w:tc>
          <w:tcPr>
            <w:tcW w:w="0" w:type="auto"/>
            <w:vAlign w:val="center"/>
            <w:hideMark/>
          </w:tcPr>
          <w:p w14:paraId="3612EAA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50.67</w:t>
            </w:r>
          </w:p>
        </w:tc>
        <w:tc>
          <w:tcPr>
            <w:tcW w:w="0" w:type="auto"/>
            <w:vAlign w:val="center"/>
            <w:hideMark/>
          </w:tcPr>
          <w:p w14:paraId="0EC1285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53.27</w:t>
            </w:r>
          </w:p>
        </w:tc>
        <w:tc>
          <w:tcPr>
            <w:tcW w:w="0" w:type="auto"/>
            <w:vAlign w:val="center"/>
            <w:hideMark/>
          </w:tcPr>
          <w:p w14:paraId="23356E5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1.93</w:t>
            </w:r>
          </w:p>
        </w:tc>
        <w:tc>
          <w:tcPr>
            <w:tcW w:w="0" w:type="auto"/>
            <w:vAlign w:val="center"/>
            <w:hideMark/>
          </w:tcPr>
          <w:p w14:paraId="53D7E10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15.53</w:t>
            </w:r>
          </w:p>
        </w:tc>
        <w:tc>
          <w:tcPr>
            <w:tcW w:w="0" w:type="auto"/>
            <w:vAlign w:val="center"/>
            <w:hideMark/>
          </w:tcPr>
          <w:p w14:paraId="1BE1351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47.00</w:t>
            </w:r>
          </w:p>
        </w:tc>
        <w:tc>
          <w:tcPr>
            <w:tcW w:w="0" w:type="auto"/>
            <w:vAlign w:val="center"/>
            <w:hideMark/>
          </w:tcPr>
          <w:p w14:paraId="29BF9CB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1.17</w:t>
            </w:r>
          </w:p>
        </w:tc>
        <w:tc>
          <w:tcPr>
            <w:tcW w:w="0" w:type="auto"/>
            <w:vAlign w:val="center"/>
            <w:hideMark/>
          </w:tcPr>
          <w:p w14:paraId="36ECB42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0.45</w:t>
            </w:r>
          </w:p>
        </w:tc>
        <w:tc>
          <w:tcPr>
            <w:tcW w:w="0" w:type="auto"/>
            <w:vAlign w:val="center"/>
            <w:hideMark/>
          </w:tcPr>
          <w:p w14:paraId="31C856E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55.33</w:t>
            </w:r>
          </w:p>
        </w:tc>
        <w:tc>
          <w:tcPr>
            <w:tcW w:w="0" w:type="auto"/>
            <w:vAlign w:val="center"/>
            <w:hideMark/>
          </w:tcPr>
          <w:p w14:paraId="6DBA6C6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12.37</w:t>
            </w:r>
          </w:p>
        </w:tc>
        <w:tc>
          <w:tcPr>
            <w:tcW w:w="0" w:type="auto"/>
            <w:vAlign w:val="center"/>
            <w:hideMark/>
          </w:tcPr>
          <w:p w14:paraId="23DD83C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7.75</w:t>
            </w:r>
          </w:p>
        </w:tc>
      </w:tr>
      <w:tr w:rsidR="00627DAE" w:rsidRPr="00627DAE" w14:paraId="26A53B89" w14:textId="77777777">
        <w:trPr>
          <w:tblCellSpacing w:w="15" w:type="dxa"/>
        </w:trPr>
        <w:tc>
          <w:tcPr>
            <w:tcW w:w="0" w:type="auto"/>
            <w:vAlign w:val="center"/>
            <w:hideMark/>
          </w:tcPr>
          <w:p w14:paraId="22E481C1"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Maximum</w:t>
            </w:r>
          </w:p>
        </w:tc>
        <w:tc>
          <w:tcPr>
            <w:tcW w:w="0" w:type="auto"/>
            <w:vAlign w:val="center"/>
            <w:hideMark/>
          </w:tcPr>
          <w:p w14:paraId="33528BB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63.00</w:t>
            </w:r>
          </w:p>
        </w:tc>
        <w:tc>
          <w:tcPr>
            <w:tcW w:w="0" w:type="auto"/>
            <w:vAlign w:val="center"/>
            <w:hideMark/>
          </w:tcPr>
          <w:p w14:paraId="00C7246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206.93</w:t>
            </w:r>
          </w:p>
        </w:tc>
        <w:tc>
          <w:tcPr>
            <w:tcW w:w="0" w:type="auto"/>
            <w:vAlign w:val="center"/>
            <w:hideMark/>
          </w:tcPr>
          <w:p w14:paraId="72CC685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5.07</w:t>
            </w:r>
          </w:p>
        </w:tc>
        <w:tc>
          <w:tcPr>
            <w:tcW w:w="0" w:type="auto"/>
            <w:vAlign w:val="center"/>
            <w:hideMark/>
          </w:tcPr>
          <w:p w14:paraId="26CBEB8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34.87</w:t>
            </w:r>
          </w:p>
        </w:tc>
        <w:tc>
          <w:tcPr>
            <w:tcW w:w="0" w:type="auto"/>
            <w:vAlign w:val="center"/>
            <w:hideMark/>
          </w:tcPr>
          <w:p w14:paraId="7816C30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83.80</w:t>
            </w:r>
          </w:p>
        </w:tc>
        <w:tc>
          <w:tcPr>
            <w:tcW w:w="0" w:type="auto"/>
            <w:vAlign w:val="center"/>
            <w:hideMark/>
          </w:tcPr>
          <w:p w14:paraId="1C45A7F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3.02</w:t>
            </w:r>
          </w:p>
        </w:tc>
        <w:tc>
          <w:tcPr>
            <w:tcW w:w="0" w:type="auto"/>
            <w:vAlign w:val="center"/>
            <w:hideMark/>
          </w:tcPr>
          <w:p w14:paraId="374A358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1.18</w:t>
            </w:r>
          </w:p>
        </w:tc>
        <w:tc>
          <w:tcPr>
            <w:tcW w:w="0" w:type="auto"/>
            <w:vAlign w:val="center"/>
            <w:hideMark/>
          </w:tcPr>
          <w:p w14:paraId="34F3703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277.60</w:t>
            </w:r>
          </w:p>
        </w:tc>
        <w:tc>
          <w:tcPr>
            <w:tcW w:w="0" w:type="auto"/>
            <w:vAlign w:val="center"/>
            <w:hideMark/>
          </w:tcPr>
          <w:p w14:paraId="7A253D2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24.23</w:t>
            </w:r>
          </w:p>
        </w:tc>
        <w:tc>
          <w:tcPr>
            <w:tcW w:w="0" w:type="auto"/>
            <w:vAlign w:val="center"/>
            <w:hideMark/>
          </w:tcPr>
          <w:p w14:paraId="01A80A7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40.81</w:t>
            </w:r>
          </w:p>
        </w:tc>
      </w:tr>
      <w:tr w:rsidR="00627DAE" w:rsidRPr="00627DAE" w14:paraId="75983A39" w14:textId="77777777">
        <w:trPr>
          <w:tblCellSpacing w:w="15" w:type="dxa"/>
        </w:trPr>
        <w:tc>
          <w:tcPr>
            <w:tcW w:w="0" w:type="auto"/>
            <w:vAlign w:val="center"/>
            <w:hideMark/>
          </w:tcPr>
          <w:p w14:paraId="2BE9D03D"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proofErr w:type="spellStart"/>
            <w:r w:rsidRPr="00627DAE">
              <w:rPr>
                <w:rFonts w:ascii="Times New Roman" w:eastAsia="Times New Roman" w:hAnsi="Times New Roman" w:cs="Times New Roman"/>
                <w:b/>
                <w:bCs/>
                <w:kern w:val="0"/>
                <w:sz w:val="18"/>
                <w:szCs w:val="18"/>
                <w:lang w:eastAsia="en-IN"/>
                <w14:ligatures w14:val="none"/>
              </w:rPr>
              <w:t>S.Em</w:t>
            </w:r>
            <w:proofErr w:type="spellEnd"/>
            <w:r w:rsidRPr="00627DAE">
              <w:rPr>
                <w:rFonts w:ascii="Times New Roman" w:eastAsia="Times New Roman" w:hAnsi="Times New Roman" w:cs="Times New Roman"/>
                <w:b/>
                <w:bCs/>
                <w:kern w:val="0"/>
                <w:sz w:val="18"/>
                <w:szCs w:val="18"/>
                <w:lang w:eastAsia="en-IN"/>
                <w14:ligatures w14:val="none"/>
              </w:rPr>
              <w:t>. ±</w:t>
            </w:r>
          </w:p>
        </w:tc>
        <w:tc>
          <w:tcPr>
            <w:tcW w:w="0" w:type="auto"/>
            <w:vAlign w:val="center"/>
            <w:hideMark/>
          </w:tcPr>
          <w:p w14:paraId="43E66E7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1.99</w:t>
            </w:r>
          </w:p>
        </w:tc>
        <w:tc>
          <w:tcPr>
            <w:tcW w:w="0" w:type="auto"/>
            <w:vAlign w:val="center"/>
            <w:hideMark/>
          </w:tcPr>
          <w:p w14:paraId="7A29AE0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9.09</w:t>
            </w:r>
          </w:p>
        </w:tc>
        <w:tc>
          <w:tcPr>
            <w:tcW w:w="0" w:type="auto"/>
            <w:vAlign w:val="center"/>
            <w:hideMark/>
          </w:tcPr>
          <w:p w14:paraId="2C071BD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0.29</w:t>
            </w:r>
          </w:p>
        </w:tc>
        <w:tc>
          <w:tcPr>
            <w:tcW w:w="0" w:type="auto"/>
            <w:vAlign w:val="center"/>
            <w:hideMark/>
          </w:tcPr>
          <w:p w14:paraId="27C2D46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1.84</w:t>
            </w:r>
          </w:p>
        </w:tc>
        <w:tc>
          <w:tcPr>
            <w:tcW w:w="0" w:type="auto"/>
            <w:vAlign w:val="center"/>
            <w:hideMark/>
          </w:tcPr>
          <w:p w14:paraId="785B451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3.77</w:t>
            </w:r>
          </w:p>
        </w:tc>
        <w:tc>
          <w:tcPr>
            <w:tcW w:w="0" w:type="auto"/>
            <w:vAlign w:val="center"/>
            <w:hideMark/>
          </w:tcPr>
          <w:p w14:paraId="60765CB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0.14</w:t>
            </w:r>
          </w:p>
        </w:tc>
        <w:tc>
          <w:tcPr>
            <w:tcW w:w="0" w:type="auto"/>
            <w:vAlign w:val="center"/>
            <w:hideMark/>
          </w:tcPr>
          <w:p w14:paraId="37D0D9B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0.06</w:t>
            </w:r>
          </w:p>
        </w:tc>
        <w:tc>
          <w:tcPr>
            <w:tcW w:w="0" w:type="auto"/>
            <w:vAlign w:val="center"/>
            <w:hideMark/>
          </w:tcPr>
          <w:p w14:paraId="623C07A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13.55</w:t>
            </w:r>
          </w:p>
        </w:tc>
        <w:tc>
          <w:tcPr>
            <w:tcW w:w="0" w:type="auto"/>
            <w:vAlign w:val="center"/>
            <w:hideMark/>
          </w:tcPr>
          <w:p w14:paraId="33FEA64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1.44</w:t>
            </w:r>
          </w:p>
        </w:tc>
        <w:tc>
          <w:tcPr>
            <w:tcW w:w="0" w:type="auto"/>
            <w:vAlign w:val="center"/>
            <w:hideMark/>
          </w:tcPr>
          <w:p w14:paraId="4B3CC68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3.48</w:t>
            </w:r>
          </w:p>
        </w:tc>
      </w:tr>
      <w:tr w:rsidR="00627DAE" w:rsidRPr="00627DAE" w14:paraId="3221CE90" w14:textId="77777777">
        <w:trPr>
          <w:tblCellSpacing w:w="15" w:type="dxa"/>
        </w:trPr>
        <w:tc>
          <w:tcPr>
            <w:tcW w:w="0" w:type="auto"/>
            <w:vAlign w:val="center"/>
            <w:hideMark/>
          </w:tcPr>
          <w:p w14:paraId="6BFE841B"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C.D. (P = 0.05)</w:t>
            </w:r>
          </w:p>
        </w:tc>
        <w:tc>
          <w:tcPr>
            <w:tcW w:w="0" w:type="auto"/>
            <w:vAlign w:val="center"/>
            <w:hideMark/>
          </w:tcPr>
          <w:p w14:paraId="1E1EF32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5.58</w:t>
            </w:r>
          </w:p>
        </w:tc>
        <w:tc>
          <w:tcPr>
            <w:tcW w:w="0" w:type="auto"/>
            <w:vAlign w:val="center"/>
            <w:hideMark/>
          </w:tcPr>
          <w:p w14:paraId="2461DB1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25.52</w:t>
            </w:r>
          </w:p>
        </w:tc>
        <w:tc>
          <w:tcPr>
            <w:tcW w:w="0" w:type="auto"/>
            <w:vAlign w:val="center"/>
            <w:hideMark/>
          </w:tcPr>
          <w:p w14:paraId="591E80E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0.81</w:t>
            </w:r>
          </w:p>
        </w:tc>
        <w:tc>
          <w:tcPr>
            <w:tcW w:w="0" w:type="auto"/>
            <w:vAlign w:val="center"/>
            <w:hideMark/>
          </w:tcPr>
          <w:p w14:paraId="02441AA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5.16</w:t>
            </w:r>
          </w:p>
        </w:tc>
        <w:tc>
          <w:tcPr>
            <w:tcW w:w="0" w:type="auto"/>
            <w:vAlign w:val="center"/>
            <w:hideMark/>
          </w:tcPr>
          <w:p w14:paraId="09C022E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10.58</w:t>
            </w:r>
          </w:p>
        </w:tc>
        <w:tc>
          <w:tcPr>
            <w:tcW w:w="0" w:type="auto"/>
            <w:vAlign w:val="center"/>
            <w:hideMark/>
          </w:tcPr>
          <w:p w14:paraId="2B070F3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0.38</w:t>
            </w:r>
          </w:p>
        </w:tc>
        <w:tc>
          <w:tcPr>
            <w:tcW w:w="0" w:type="auto"/>
            <w:vAlign w:val="center"/>
            <w:hideMark/>
          </w:tcPr>
          <w:p w14:paraId="48E0B7D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0.16</w:t>
            </w:r>
          </w:p>
        </w:tc>
        <w:tc>
          <w:tcPr>
            <w:tcW w:w="0" w:type="auto"/>
            <w:vAlign w:val="center"/>
            <w:hideMark/>
          </w:tcPr>
          <w:p w14:paraId="6FFAC85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38.02</w:t>
            </w:r>
          </w:p>
        </w:tc>
        <w:tc>
          <w:tcPr>
            <w:tcW w:w="0" w:type="auto"/>
            <w:vAlign w:val="center"/>
            <w:hideMark/>
          </w:tcPr>
          <w:p w14:paraId="02E5213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4.03</w:t>
            </w:r>
          </w:p>
        </w:tc>
        <w:tc>
          <w:tcPr>
            <w:tcW w:w="0" w:type="auto"/>
            <w:vAlign w:val="center"/>
            <w:hideMark/>
          </w:tcPr>
          <w:p w14:paraId="2B3883B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9.76</w:t>
            </w:r>
          </w:p>
        </w:tc>
      </w:tr>
      <w:tr w:rsidR="00627DAE" w:rsidRPr="00627DAE" w14:paraId="3172E6BC" w14:textId="77777777">
        <w:trPr>
          <w:tblCellSpacing w:w="15" w:type="dxa"/>
        </w:trPr>
        <w:tc>
          <w:tcPr>
            <w:tcW w:w="0" w:type="auto"/>
            <w:vAlign w:val="center"/>
            <w:hideMark/>
          </w:tcPr>
          <w:p w14:paraId="55FE34F1"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C.V. (%)</w:t>
            </w:r>
          </w:p>
        </w:tc>
        <w:tc>
          <w:tcPr>
            <w:tcW w:w="0" w:type="auto"/>
            <w:vAlign w:val="center"/>
            <w:hideMark/>
          </w:tcPr>
          <w:p w14:paraId="1441D81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5.83</w:t>
            </w:r>
          </w:p>
        </w:tc>
        <w:tc>
          <w:tcPr>
            <w:tcW w:w="0" w:type="auto"/>
            <w:vAlign w:val="center"/>
            <w:hideMark/>
          </w:tcPr>
          <w:p w14:paraId="3D0BE2B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9.85</w:t>
            </w:r>
          </w:p>
        </w:tc>
        <w:tc>
          <w:tcPr>
            <w:tcW w:w="0" w:type="auto"/>
            <w:vAlign w:val="center"/>
            <w:hideMark/>
          </w:tcPr>
          <w:p w14:paraId="0C046F3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17.77</w:t>
            </w:r>
          </w:p>
        </w:tc>
        <w:tc>
          <w:tcPr>
            <w:tcW w:w="0" w:type="auto"/>
            <w:vAlign w:val="center"/>
            <w:hideMark/>
          </w:tcPr>
          <w:p w14:paraId="212ADBA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14.47</w:t>
            </w:r>
          </w:p>
        </w:tc>
        <w:tc>
          <w:tcPr>
            <w:tcW w:w="0" w:type="auto"/>
            <w:vAlign w:val="center"/>
            <w:hideMark/>
          </w:tcPr>
          <w:p w14:paraId="0438A31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8.89</w:t>
            </w:r>
          </w:p>
        </w:tc>
        <w:tc>
          <w:tcPr>
            <w:tcW w:w="0" w:type="auto"/>
            <w:vAlign w:val="center"/>
            <w:hideMark/>
          </w:tcPr>
          <w:p w14:paraId="0BD600B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11.16</w:t>
            </w:r>
          </w:p>
        </w:tc>
        <w:tc>
          <w:tcPr>
            <w:tcW w:w="0" w:type="auto"/>
            <w:vAlign w:val="center"/>
            <w:hideMark/>
          </w:tcPr>
          <w:p w14:paraId="2BE5AE3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13.77</w:t>
            </w:r>
          </w:p>
        </w:tc>
        <w:tc>
          <w:tcPr>
            <w:tcW w:w="0" w:type="auto"/>
            <w:vAlign w:val="center"/>
            <w:hideMark/>
          </w:tcPr>
          <w:p w14:paraId="25594FF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17.20</w:t>
            </w:r>
          </w:p>
        </w:tc>
        <w:tc>
          <w:tcPr>
            <w:tcW w:w="0" w:type="auto"/>
            <w:vAlign w:val="center"/>
            <w:hideMark/>
          </w:tcPr>
          <w:p w14:paraId="6E5E9F3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12.93</w:t>
            </w:r>
          </w:p>
        </w:tc>
        <w:tc>
          <w:tcPr>
            <w:tcW w:w="0" w:type="auto"/>
            <w:vAlign w:val="center"/>
            <w:hideMark/>
          </w:tcPr>
          <w:p w14:paraId="3F0EAF9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23.05</w:t>
            </w:r>
          </w:p>
        </w:tc>
      </w:tr>
      <w:tr w:rsidR="009819D8" w:rsidRPr="00627DAE" w14:paraId="28D37452" w14:textId="77777777">
        <w:trPr>
          <w:tblCellSpacing w:w="15" w:type="dxa"/>
        </w:trPr>
        <w:tc>
          <w:tcPr>
            <w:tcW w:w="0" w:type="auto"/>
            <w:vAlign w:val="center"/>
          </w:tcPr>
          <w:p w14:paraId="612C0ACF" w14:textId="77777777" w:rsidR="009819D8" w:rsidRDefault="009819D8" w:rsidP="00627DAE">
            <w:pPr>
              <w:spacing w:after="0" w:line="240" w:lineRule="auto"/>
              <w:rPr>
                <w:rFonts w:ascii="Times New Roman" w:eastAsia="Times New Roman" w:hAnsi="Times New Roman" w:cs="Times New Roman"/>
                <w:b/>
                <w:bCs/>
                <w:kern w:val="0"/>
                <w:sz w:val="18"/>
                <w:szCs w:val="18"/>
                <w:lang w:eastAsia="en-IN"/>
                <w14:ligatures w14:val="none"/>
              </w:rPr>
            </w:pPr>
          </w:p>
          <w:p w14:paraId="327ADFD8" w14:textId="738DBD85" w:rsidR="009819D8" w:rsidRPr="00627DAE" w:rsidRDefault="009819D8" w:rsidP="00627DAE">
            <w:pPr>
              <w:spacing w:after="0" w:line="240" w:lineRule="auto"/>
              <w:rPr>
                <w:rFonts w:ascii="Times New Roman" w:eastAsia="Times New Roman" w:hAnsi="Times New Roman" w:cs="Times New Roman"/>
                <w:b/>
                <w:bCs/>
                <w:kern w:val="0"/>
                <w:sz w:val="18"/>
                <w:szCs w:val="18"/>
                <w:lang w:eastAsia="en-IN"/>
                <w14:ligatures w14:val="none"/>
              </w:rPr>
            </w:pPr>
          </w:p>
        </w:tc>
        <w:tc>
          <w:tcPr>
            <w:tcW w:w="0" w:type="auto"/>
            <w:vAlign w:val="center"/>
          </w:tcPr>
          <w:p w14:paraId="2EEA3012"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6942EAC5"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4735654D"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667C1DBA"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428D51D8"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4289AD2D"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36C56BCB"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4EC5196C"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7A6D136E"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458F62F0"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r>
    </w:tbl>
    <w:p w14:paraId="5E1D236D" w14:textId="1FAC7FFE" w:rsidR="005D72E9" w:rsidRDefault="005D72E9" w:rsidP="005D72E9">
      <w:pPr>
        <w:jc w:val="both"/>
        <w:rPr>
          <w:b/>
          <w:bCs/>
        </w:rPr>
      </w:pPr>
      <w:r w:rsidRPr="005D72E9">
        <w:rPr>
          <w:b/>
          <w:bCs/>
          <w:noProof/>
          <w:lang w:eastAsia="en-IN" w:bidi="hi-IN"/>
        </w:rPr>
        <w:drawing>
          <wp:inline distT="0" distB="0" distL="0" distR="0" wp14:anchorId="2FEE2563" wp14:editId="249974F9">
            <wp:extent cx="5731510" cy="3223895"/>
            <wp:effectExtent l="0" t="0" r="2540" b="0"/>
            <wp:docPr id="1590788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37B703AC" w14:textId="0314B382" w:rsidR="00427BF9" w:rsidRPr="005D72E9" w:rsidRDefault="00427BF9" w:rsidP="005D72E9">
      <w:pPr>
        <w:jc w:val="both"/>
        <w:rPr>
          <w:b/>
          <w:bCs/>
        </w:rPr>
      </w:pPr>
      <w:r>
        <w:rPr>
          <w:rFonts w:ascii="Times New Roman" w:eastAsia="Times New Roman" w:hAnsi="Times New Roman" w:cs="Times New Roman"/>
          <w:b/>
          <w:bCs/>
          <w:kern w:val="0"/>
          <w:sz w:val="18"/>
          <w:szCs w:val="18"/>
          <w:lang w:eastAsia="en-IN"/>
          <w14:ligatures w14:val="none"/>
        </w:rPr>
        <w:t>Fig 1-</w:t>
      </w:r>
      <w:r>
        <w:t xml:space="preserve"> Green forage yield per plant of twelve forage pearl millet (</w:t>
      </w:r>
      <w:r>
        <w:rPr>
          <w:rStyle w:val="Emphasis"/>
        </w:rPr>
        <w:t>Pennisetum glaucum</w:t>
      </w:r>
      <w:r>
        <w:t xml:space="preserve"> L.) genotypes under rainfed field conditions.</w:t>
      </w:r>
    </w:p>
    <w:p w14:paraId="3D34A9F4" w14:textId="43CBB0F3" w:rsidR="008F043E" w:rsidRPr="005D72E9" w:rsidRDefault="008F043E" w:rsidP="00AE487F">
      <w:pPr>
        <w:jc w:val="both"/>
        <w:rPr>
          <w:b/>
          <w:bCs/>
        </w:rPr>
      </w:pPr>
      <w:r w:rsidRPr="005D72E9">
        <w:rPr>
          <w:b/>
          <w:bCs/>
        </w:rPr>
        <w:lastRenderedPageBreak/>
        <w:t xml:space="preserve">     </w:t>
      </w:r>
      <w:r w:rsidR="000C0A71">
        <w:rPr>
          <w:noProof/>
          <w:lang w:eastAsia="en-IN" w:bidi="hi-IN"/>
        </w:rPr>
        <w:drawing>
          <wp:inline distT="0" distB="0" distL="0" distR="0" wp14:anchorId="47A45F6E" wp14:editId="3FFA330F">
            <wp:extent cx="1838325" cy="1971675"/>
            <wp:effectExtent l="0" t="0" r="9525" b="9525"/>
            <wp:docPr id="1838058112" name="Picture 3" descr="Food for Africa: Millet | ProAg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od for Africa: Millet | ProAgr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9053" cy="1972456"/>
                    </a:xfrm>
                    <a:prstGeom prst="rect">
                      <a:avLst/>
                    </a:prstGeom>
                    <a:noFill/>
                    <a:ln>
                      <a:noFill/>
                    </a:ln>
                  </pic:spPr>
                </pic:pic>
              </a:graphicData>
            </a:graphic>
          </wp:inline>
        </w:drawing>
      </w:r>
      <w:r w:rsidRPr="005D72E9">
        <w:rPr>
          <w:b/>
          <w:bCs/>
        </w:rPr>
        <w:t xml:space="preserve">                       </w:t>
      </w:r>
      <w:r w:rsidR="000C0A71">
        <w:rPr>
          <w:noProof/>
          <w:lang w:eastAsia="en-IN" w:bidi="hi-IN"/>
        </w:rPr>
        <w:drawing>
          <wp:inline distT="0" distB="0" distL="0" distR="0" wp14:anchorId="00DA6573" wp14:editId="59487613">
            <wp:extent cx="2009775" cy="1883410"/>
            <wp:effectExtent l="0" t="0" r="9525" b="2540"/>
            <wp:docPr id="1412655100" name="Picture 4" descr="Bab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bal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1095" cy="1894018"/>
                    </a:xfrm>
                    <a:prstGeom prst="rect">
                      <a:avLst/>
                    </a:prstGeom>
                    <a:noFill/>
                    <a:ln>
                      <a:noFill/>
                    </a:ln>
                  </pic:spPr>
                </pic:pic>
              </a:graphicData>
            </a:graphic>
          </wp:inline>
        </w:drawing>
      </w:r>
      <w:r w:rsidRPr="005D72E9">
        <w:rPr>
          <w:b/>
          <w:bCs/>
        </w:rPr>
        <w:t xml:space="preserve">                               </w:t>
      </w:r>
    </w:p>
    <w:p w14:paraId="0D172B33" w14:textId="19BE6C16" w:rsidR="004D07A7" w:rsidRDefault="004D07A7" w:rsidP="00AE487F">
      <w:pPr>
        <w:rPr>
          <w:b/>
          <w:bCs/>
        </w:rPr>
      </w:pPr>
      <w:r>
        <w:rPr>
          <w:b/>
          <w:bCs/>
        </w:rPr>
        <w:t>Fig 2-</w:t>
      </w:r>
      <w:r w:rsidR="00427BF9" w:rsidRPr="00427BF9">
        <w:t xml:space="preserve"> </w:t>
      </w:r>
      <w:r w:rsidR="00427BF9">
        <w:t>Field view and morphological appearance of forage pearl millet genotypes evaluated for growth and fodder yield traits.</w:t>
      </w:r>
    </w:p>
    <w:p w14:paraId="1B115071" w14:textId="326CA588" w:rsidR="00AE487F" w:rsidRPr="00AE487F" w:rsidRDefault="00AE487F" w:rsidP="00AE487F">
      <w:pPr>
        <w:rPr>
          <w:b/>
          <w:bCs/>
        </w:rPr>
      </w:pPr>
      <w:r w:rsidRPr="00AE487F">
        <w:rPr>
          <w:b/>
          <w:bCs/>
        </w:rPr>
        <w:t>Conclusion</w:t>
      </w:r>
    </w:p>
    <w:p w14:paraId="15CC1D5F" w14:textId="23FF452A" w:rsidR="00AE487F" w:rsidRPr="00AE487F" w:rsidRDefault="00AE487F" w:rsidP="00AE487F">
      <w:pPr>
        <w:jc w:val="both"/>
        <w:rPr>
          <w:rFonts w:ascii="Times New Roman" w:hAnsi="Times New Roman" w:cs="Times New Roman"/>
        </w:rPr>
      </w:pPr>
      <w:r w:rsidRPr="00AE487F">
        <w:rPr>
          <w:rFonts w:ascii="Times New Roman" w:hAnsi="Times New Roman" w:cs="Times New Roman"/>
        </w:rPr>
        <w:t>The present investigation revealed the existence of substantial genetic variability among the twelve forage pearl millet (Pennisetum glaucum L.) genotypes evaluated under rainfed conditions, indicating good scope for genetic improvement through selection. Analysis of variance showed highly significant differences among genotypes for all the yield and yield-contributing traits, confirming the presence of exploitable genetic variation.</w:t>
      </w:r>
    </w:p>
    <w:p w14:paraId="0F43ED04" w14:textId="77777777" w:rsidR="00B01739" w:rsidRDefault="00AE487F" w:rsidP="00AE487F">
      <w:pPr>
        <w:jc w:val="both"/>
        <w:rPr>
          <w:rFonts w:ascii="Times New Roman" w:hAnsi="Times New Roman" w:cs="Times New Roman"/>
        </w:rPr>
      </w:pPr>
      <w:r w:rsidRPr="00AE487F">
        <w:rPr>
          <w:rFonts w:ascii="Times New Roman" w:hAnsi="Times New Roman" w:cs="Times New Roman"/>
        </w:rPr>
        <w:t xml:space="preserve">Among the evaluated genotypes, Giant Bajra emerged as the most promising genotype by recording the highest green forage yield per plant (277.60 g), maximum stem thickness (1.18 cm), widest leaves (2.81 cm), and highest dry matter yield per plant (37.15 g). Raj Bajra and ICMV-1602 also performed well for forage and dry matter yield, while GFB-1 exhibited superior tillering ability and ICMR-15944 was distinguished by its early flowering and highest number of leaves per plant. These desirable characteristics indicate that these genotypes possess valuable traits for improving forage productivity under rainfed environments. Giant Bajra, Raj Bajra, ICMV-1602, GFB-1, and ICMR-15944 may be considered promising genetic resources for future forage pearl millet breeding programmes. These genotypes can be utilized either as potential cultivars after multi-location evaluation or as parental lines in hybridization programmes aimed at developing high-yielding forage varieties with improved biomass production and adaptation to </w:t>
      </w:r>
      <w:proofErr w:type="spellStart"/>
      <w:r w:rsidRPr="00AE487F">
        <w:rPr>
          <w:rFonts w:ascii="Times New Roman" w:hAnsi="Times New Roman" w:cs="Times New Roman"/>
        </w:rPr>
        <w:t>rainfed</w:t>
      </w:r>
      <w:proofErr w:type="spellEnd"/>
      <w:r w:rsidRPr="00AE487F">
        <w:rPr>
          <w:rFonts w:ascii="Times New Roman" w:hAnsi="Times New Roman" w:cs="Times New Roman"/>
        </w:rPr>
        <w:t xml:space="preserve"> agro-climatic conditions. Further studies involving multi-environment testing and quality trait evaluation are recommended to validate the stability and wider adaptability of these promising genotypes.</w:t>
      </w:r>
    </w:p>
    <w:p w14:paraId="5EBAA033" w14:textId="77777777" w:rsidR="00B01739" w:rsidRPr="005D7AE9" w:rsidRDefault="00B01739" w:rsidP="00B01739">
      <w:pPr>
        <w:spacing w:before="100" w:beforeAutospacing="1" w:after="100" w:afterAutospacing="1" w:line="240" w:lineRule="auto"/>
        <w:rPr>
          <w:rFonts w:ascii="Times New Roman" w:eastAsia="Times New Roman" w:hAnsi="Times New Roman" w:cs="Times New Roman"/>
          <w:sz w:val="24"/>
          <w:szCs w:val="24"/>
          <w:lang w:val="en-US"/>
          <w14:ligatures w14:val="none"/>
        </w:rPr>
      </w:pPr>
      <w:r w:rsidRPr="005D7AE9">
        <w:rPr>
          <w:rFonts w:ascii="Times New Roman" w:eastAsia="Times New Roman" w:hAnsi="Times New Roman" w:cs="Times New Roman"/>
          <w:b/>
          <w:bCs/>
          <w:sz w:val="24"/>
          <w:szCs w:val="24"/>
          <w:lang w:val="en-US"/>
          <w14:ligatures w14:val="none"/>
        </w:rPr>
        <w:t>Limitations</w:t>
      </w:r>
      <w:r w:rsidRPr="005D7AE9">
        <w:rPr>
          <w:rFonts w:ascii="Times New Roman" w:eastAsia="Times New Roman" w:hAnsi="Times New Roman" w:cs="Times New Roman"/>
          <w:sz w:val="24"/>
          <w:szCs w:val="24"/>
          <w:lang w:val="en-US"/>
          <w14:ligatures w14:val="none"/>
        </w:rPr>
        <w:br/>
        <w:t xml:space="preserve">The experiment was conducted at a single location during one kharif season, which limits broad recommendation of the genotypes. Forage quality traits such as crude protein, </w:t>
      </w:r>
      <w:proofErr w:type="spellStart"/>
      <w:r w:rsidRPr="005D7AE9">
        <w:rPr>
          <w:rFonts w:ascii="Times New Roman" w:eastAsia="Times New Roman" w:hAnsi="Times New Roman" w:cs="Times New Roman"/>
          <w:sz w:val="24"/>
          <w:szCs w:val="24"/>
          <w:lang w:val="en-US"/>
          <w14:ligatures w14:val="none"/>
        </w:rPr>
        <w:t>fibre</w:t>
      </w:r>
      <w:proofErr w:type="spellEnd"/>
      <w:r w:rsidRPr="005D7AE9">
        <w:rPr>
          <w:rFonts w:ascii="Times New Roman" w:eastAsia="Times New Roman" w:hAnsi="Times New Roman" w:cs="Times New Roman"/>
          <w:sz w:val="24"/>
          <w:szCs w:val="24"/>
          <w:lang w:val="en-US"/>
          <w14:ligatures w14:val="none"/>
        </w:rPr>
        <w:t xml:space="preserve"> fractions, digestibility, and palatability were not evaluated. Rainfall, soil fertility, and detailed crop-management data were not fully reported. Stability and genotype × environment interaction require further testing.</w:t>
      </w:r>
    </w:p>
    <w:p w14:paraId="7C133CFB" w14:textId="77777777" w:rsidR="00B01739" w:rsidRPr="000839CE" w:rsidRDefault="00B01739" w:rsidP="00B01739">
      <w:pPr>
        <w:spacing w:after="0" w:line="240" w:lineRule="auto"/>
        <w:rPr>
          <w:rFonts w:ascii="Times New Roman" w:hAnsi="Times New Roman" w:cs="Times New Roman"/>
          <w:b/>
        </w:rPr>
      </w:pPr>
      <w:bookmarkStart w:id="7" w:name="_Hlk234486585"/>
      <w:bookmarkStart w:id="8" w:name="_Hlk234075571"/>
      <w:bookmarkStart w:id="9" w:name="_Hlk232755622"/>
      <w:r w:rsidRPr="000839CE">
        <w:rPr>
          <w:rFonts w:ascii="Times New Roman" w:hAnsi="Times New Roman" w:cs="Times New Roman"/>
          <w:b/>
        </w:rPr>
        <w:t>Declaration of AI Use</w:t>
      </w:r>
    </w:p>
    <w:p w14:paraId="09176BF0" w14:textId="77777777" w:rsidR="00B01739" w:rsidRPr="000839CE" w:rsidRDefault="00B01739" w:rsidP="00B01739">
      <w:pPr>
        <w:spacing w:after="0" w:line="240" w:lineRule="auto"/>
        <w:rPr>
          <w:rFonts w:ascii="Times New Roman" w:hAnsi="Times New Roman" w:cs="Times New Roman"/>
        </w:rPr>
      </w:pPr>
      <w:bookmarkStart w:id="10" w:name="_Hlk234486575"/>
      <w:bookmarkEnd w:id="7"/>
    </w:p>
    <w:p w14:paraId="62948850" w14:textId="77777777" w:rsidR="00B01739" w:rsidRPr="000839CE" w:rsidRDefault="00B01739" w:rsidP="00B01739">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w:t>
      </w:r>
      <w:r w:rsidRPr="00C56790">
        <w:rPr>
          <w:rFonts w:ascii="Times New Roman" w:hAnsi="Times New Roman" w:cs="Times New Roman"/>
        </w:rPr>
        <w:lastRenderedPageBreak/>
        <w:t>and approved by the author(s). The author(s) accept full responsibility for the accuracy, integrity, and final content of the manuscript</w:t>
      </w:r>
      <w:bookmarkEnd w:id="8"/>
      <w:r w:rsidRPr="00C56790">
        <w:rPr>
          <w:rFonts w:ascii="Times New Roman" w:hAnsi="Times New Roman" w:cs="Times New Roman"/>
        </w:rPr>
        <w:t>.</w:t>
      </w:r>
    </w:p>
    <w:bookmarkEnd w:id="9"/>
    <w:bookmarkEnd w:id="10"/>
    <w:p w14:paraId="35F566A4" w14:textId="74021747" w:rsidR="0085774A" w:rsidRPr="00AE487F" w:rsidRDefault="008F043E" w:rsidP="00AE487F">
      <w:pPr>
        <w:jc w:val="both"/>
        <w:rPr>
          <w:rFonts w:ascii="Times New Roman" w:hAnsi="Times New Roman" w:cs="Times New Roman"/>
        </w:rPr>
      </w:pPr>
      <w:r w:rsidRPr="00AE487F">
        <w:rPr>
          <w:rFonts w:ascii="Times New Roman" w:hAnsi="Times New Roman" w:cs="Times New Roman"/>
        </w:rPr>
        <w:tab/>
        <w:t>​</w:t>
      </w:r>
    </w:p>
    <w:p w14:paraId="541CA801" w14:textId="77777777" w:rsidR="0085774A" w:rsidRPr="00AE487F" w:rsidRDefault="0085774A" w:rsidP="0085774A">
      <w:pPr>
        <w:rPr>
          <w:b/>
          <w:bCs/>
        </w:rPr>
      </w:pPr>
      <w:commentRangeStart w:id="11"/>
      <w:r w:rsidRPr="00AE487F">
        <w:rPr>
          <w:b/>
          <w:bCs/>
        </w:rPr>
        <w:t>References</w:t>
      </w:r>
    </w:p>
    <w:p w14:paraId="5BCDAA6C" w14:textId="64E35659" w:rsidR="00AE487F" w:rsidRDefault="00AE487F" w:rsidP="00AE487F">
      <w:r>
        <w:t>Burton, G. W. (1983). Pearl millet breeding and cytogenetics. In M. S. Banga (Ed.), Advances in Agronomy. Academic Press.</w:t>
      </w:r>
    </w:p>
    <w:p w14:paraId="7C0FD15D" w14:textId="77777777" w:rsidR="00AE487F" w:rsidRDefault="00AE487F" w:rsidP="00AE487F">
      <w:r>
        <w:t>Govindaraj, M., Shanmugasundaram, P., &amp; Muthiah, A. R. (2010). Estimates of genetic parameters for yield and yield attributes in elite lines and popular cultivars of India's pearl millet. African Journal of Agricultural Research, 5(22), 3060–3064.</w:t>
      </w:r>
      <w:bookmarkStart w:id="12" w:name="_GoBack"/>
      <w:bookmarkEnd w:id="12"/>
    </w:p>
    <w:p w14:paraId="05DFDEB7" w14:textId="77777777" w:rsidR="00AE487F" w:rsidRDefault="00AE487F" w:rsidP="00AE487F">
      <w:r>
        <w:t xml:space="preserve">Govindaraj, M., Selvi, B., </w:t>
      </w:r>
      <w:proofErr w:type="spellStart"/>
      <w:r>
        <w:t>Rajarathinam</w:t>
      </w:r>
      <w:proofErr w:type="spellEnd"/>
      <w:r>
        <w:t>, S., &amp; Sumathi, P. (2011). Genetic variability and heritability of grain yield components and grain mineral concentration in India's pearl millet (Pennisetum glaucum L. R. Br.) accessions. African Journal of Food, Agriculture, Nutrition and Development, 11(3), 4758–4771.</w:t>
      </w:r>
    </w:p>
    <w:p w14:paraId="786FC4C1" w14:textId="77777777" w:rsidR="00AE487F" w:rsidRDefault="00AE487F" w:rsidP="00AE487F">
      <w:r>
        <w:t>Govindaraj, M., Selvi, B., &amp; Sudhir Kumar, I. (2011). Genetic diversity studies in indigenous pearl millet accessions based on biometrical and nutritional quality traits. Indian Journal of Plant Genetic Resources, 24(2), 186–193.</w:t>
      </w:r>
    </w:p>
    <w:p w14:paraId="72DC1BBE" w14:textId="77777777" w:rsidR="00AE487F" w:rsidRDefault="00AE487F" w:rsidP="00AE487F">
      <w:r>
        <w:t>Govindaraj, M., &amp; Selvi, B. (2012). Path coefficient analysis in local pearl millet germplasm for grain minerals and agronomic characters. Agricultural Science Digest, 32(2), 128–132.</w:t>
      </w:r>
    </w:p>
    <w:p w14:paraId="01213D24" w14:textId="77777777" w:rsidR="00AE487F" w:rsidRDefault="00AE487F" w:rsidP="00AE487F">
      <w:r>
        <w:t xml:space="preserve">Govindaraj, M., Rai, K. N., Shanmugasundaram, P., Dwivedi, S. L., </w:t>
      </w:r>
      <w:proofErr w:type="spellStart"/>
      <w:r>
        <w:t>Sahrawat</w:t>
      </w:r>
      <w:proofErr w:type="spellEnd"/>
      <w:r>
        <w:t>, K. L., Muthaiah, A. R., &amp; Rao, A. S. (2013). Combining ability and heterosis for grain iron and zinc densities in pearl millet. Crop Science, 53(2), 507–517. https://doi.org/10.2135/cropsci2012.08.0477</w:t>
      </w:r>
    </w:p>
    <w:p w14:paraId="73333DF4" w14:textId="77777777" w:rsidR="00AE487F" w:rsidRDefault="00AE487F" w:rsidP="00AE487F">
      <w:r>
        <w:t xml:space="preserve">Rai, K. N., Yadav, O. P., Rajpurohit, B. S., Patil, H. T., Govindaraj, M., </w:t>
      </w:r>
      <w:proofErr w:type="spellStart"/>
      <w:r>
        <w:t>Khairwal</w:t>
      </w:r>
      <w:proofErr w:type="spellEnd"/>
      <w:r>
        <w:t>, I. S., &amp; Rao, A. S. (2013). Breeding pearl millet cultivars for high iron density with zinc density as an associated trait. Journal of SAT Agricultural Research, 11, 1–7.</w:t>
      </w:r>
    </w:p>
    <w:p w14:paraId="0FDCBC78" w14:textId="77777777" w:rsidR="00AE487F" w:rsidRDefault="00AE487F" w:rsidP="00AE487F">
      <w:r>
        <w:t>Yadav, O. P., &amp; Rai, K. N. (2013). Genetic improvement of pearl millet in India. Agricultural Research, 2(4), 275–292. https://doi.org/10.1007/s40003-013-0089-z</w:t>
      </w:r>
    </w:p>
    <w:p w14:paraId="22370C28" w14:textId="77777777" w:rsidR="00AE487F" w:rsidRDefault="00AE487F" w:rsidP="00AE487F">
      <w:r>
        <w:t xml:space="preserve">Govindaraj, M., Rao, A. S., </w:t>
      </w:r>
      <w:proofErr w:type="spellStart"/>
      <w:r>
        <w:t>Shivade</w:t>
      </w:r>
      <w:proofErr w:type="spellEnd"/>
      <w:r>
        <w:t>, H., &amp; Rai, K. N. (2018). Effect of grain colour on iron and zinc density in pearl millet. Indian Journal of Genetics and Plant Breeding, 78, 247–251.</w:t>
      </w:r>
    </w:p>
    <w:p w14:paraId="34DA15BA" w14:textId="77777777" w:rsidR="00AE487F" w:rsidRDefault="00AE487F" w:rsidP="00AE487F">
      <w:r>
        <w:t xml:space="preserve">Govindaraj, M., Yadav, O. P., Rajpurohit, B. S., </w:t>
      </w:r>
      <w:proofErr w:type="spellStart"/>
      <w:r>
        <w:t>Kanatti</w:t>
      </w:r>
      <w:proofErr w:type="spellEnd"/>
      <w:r>
        <w:t>, A., Rai, K. N., &amp; Dwivedi, S. L. (2020). Genetic variability, diversity and interrelationship for twelve grain minerals in commercial pearl millet cultivars in India. Agricultural Research, 9(4), 516–525.</w:t>
      </w:r>
    </w:p>
    <w:p w14:paraId="2D804714" w14:textId="77777777" w:rsidR="00AE487F" w:rsidRDefault="00AE487F" w:rsidP="00AE487F">
      <w:r>
        <w:t xml:space="preserve">Govindaraj, M., Virk, P. S., </w:t>
      </w:r>
      <w:proofErr w:type="spellStart"/>
      <w:r>
        <w:t>Kanatti</w:t>
      </w:r>
      <w:proofErr w:type="spellEnd"/>
      <w:r>
        <w:t>, A., Cherian, B., Rai, K. N., Anderson, M. S., et al. (2020). Biofortified pearl millet cultivars offer potential solutions to tackle malnutrition in India. In Quantitative Genetics, Genomics and Plant Breeding. CAB International.</w:t>
      </w:r>
    </w:p>
    <w:p w14:paraId="2D33A12F" w14:textId="77777777" w:rsidR="00AE487F" w:rsidRDefault="00AE487F" w:rsidP="00AE487F">
      <w:r>
        <w:t>Govindaraj, M., &amp; Pujar, M. (2024). Pearl millet genetic improvement for food and nutrition security. In Pearl Millet. Agronomy Monographs. Wiley. https://doi.org/10.1002/9780891184034.ch3</w:t>
      </w:r>
    </w:p>
    <w:p w14:paraId="30BB5687" w14:textId="77777777" w:rsidR="00AE487F" w:rsidRDefault="00AE487F" w:rsidP="00AE487F">
      <w:r>
        <w:t xml:space="preserve">Rai, K. N., Andrews, D. J., &amp; </w:t>
      </w:r>
      <w:proofErr w:type="spellStart"/>
      <w:r>
        <w:t>Khairwal</w:t>
      </w:r>
      <w:proofErr w:type="spellEnd"/>
      <w:r>
        <w:t xml:space="preserve">, I. S. (2006). Pearl Millet Breeding. ICRISAT, </w:t>
      </w:r>
      <w:proofErr w:type="spellStart"/>
      <w:r>
        <w:t>Patancheru</w:t>
      </w:r>
      <w:proofErr w:type="spellEnd"/>
      <w:r>
        <w:t>.</w:t>
      </w:r>
    </w:p>
    <w:p w14:paraId="1DF33357" w14:textId="77777777" w:rsidR="00AE487F" w:rsidRDefault="00AE487F" w:rsidP="00AE487F">
      <w:r>
        <w:t>Rai, K. N., Govindaraj, M., &amp; Rao, A. S. (2012). Breeding biofortified pearl millet hybrids. Journal of SAT Agricultural Research.</w:t>
      </w:r>
    </w:p>
    <w:p w14:paraId="6C2EEB1D" w14:textId="16055039" w:rsidR="00AE487F" w:rsidRDefault="00AE487F" w:rsidP="00AE487F">
      <w:r>
        <w:lastRenderedPageBreak/>
        <w:t>Burton, G. W. (1987). Pearl millet. In Forages: The Science of Grassland Agriculture.</w:t>
      </w:r>
    </w:p>
    <w:p w14:paraId="1097C0A9" w14:textId="007484A7" w:rsidR="00216526" w:rsidRDefault="00216526" w:rsidP="00216526">
      <w:r>
        <w:t xml:space="preserve">Panse, V. G., &amp; </w:t>
      </w:r>
      <w:proofErr w:type="spellStart"/>
      <w:r>
        <w:t>Sukhatme</w:t>
      </w:r>
      <w:proofErr w:type="spellEnd"/>
      <w:r>
        <w:t>, P. V. (1985). Statistical Methods for Agricultural Workers (4th ed.). Indian Council of Agricultural Research (ICAR), New Delhi.</w:t>
      </w:r>
    </w:p>
    <w:p w14:paraId="6A660B1F" w14:textId="77777777" w:rsidR="0085774A" w:rsidRDefault="0085774A" w:rsidP="0085774A">
      <w:r>
        <w:t>Government of India. (2024). Basic Animal Husbandry Statistics 2024. Department of Animal Husbandry and Dairying, Ministry of Fisheries, Animal Husbandry and Dairying, New Delhi.</w:t>
      </w:r>
    </w:p>
    <w:p w14:paraId="67C59F84" w14:textId="77777777" w:rsidR="0085774A" w:rsidRDefault="0085774A" w:rsidP="0085774A">
      <w:r>
        <w:t>ICAR. (2015). ICAR Vision 2050. Indian Council of Agricultural Research, New Delhi.</w:t>
      </w:r>
    </w:p>
    <w:p w14:paraId="23858371" w14:textId="77777777" w:rsidR="0085774A" w:rsidRDefault="0085774A" w:rsidP="0085774A">
      <w:r>
        <w:t>ICAR–Indian Institute of Millets Research (IIMR). (2023). Annual Report 2022–23. Hyderabad, India.</w:t>
      </w:r>
    </w:p>
    <w:p w14:paraId="54103C86" w14:textId="77777777" w:rsidR="0085774A" w:rsidRDefault="0085774A" w:rsidP="0085774A">
      <w:r>
        <w:t>Rai, K. N., Govindaraj, M., &amp; Yadav, O. P. (2022). Pearl millet breeding for enhanced productivity and resilience under climate change. Indian Journal of Genetics and Plant Breeding, 82(Special Issue), 1–12.</w:t>
      </w:r>
    </w:p>
    <w:p w14:paraId="0DEEBC8C" w14:textId="77777777" w:rsidR="0085774A" w:rsidRDefault="0085774A" w:rsidP="0085774A">
      <w:r>
        <w:t>Singh, A. K., Kumar, S., &amp; Kumar, R. (2020). Evaluation of forage pearl millet genotypes for fodder yield and its contributing traits. Forage Research, 46(3), 215–220.</w:t>
      </w:r>
    </w:p>
    <w:p w14:paraId="28043EE2" w14:textId="1AC3EE80" w:rsidR="0085774A" w:rsidRPr="0085774A" w:rsidRDefault="0085774A" w:rsidP="0085774A">
      <w:r>
        <w:t>Yadav, O. P., Rai, K. N., Rajpurohit, B. S., &amp; Govindaraj, M. (2021). Pearl millet: A climate-resilient crop for food, feed and nutritional security. Frontiers in Plant Science, 12, 728428.</w:t>
      </w:r>
      <w:commentRangeEnd w:id="11"/>
      <w:r w:rsidR="00860B91">
        <w:rPr>
          <w:rStyle w:val="CommentReference"/>
        </w:rPr>
        <w:commentReference w:id="11"/>
      </w:r>
    </w:p>
    <w:sectPr w:rsidR="0085774A" w:rsidRPr="0085774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HP" w:date="2026-07-21T15:03:00Z" w:initials="H">
    <w:p w14:paraId="42D72D4C" w14:textId="2E22FB0A" w:rsidR="007A1504" w:rsidRDefault="007A1504">
      <w:pPr>
        <w:pStyle w:val="CommentText"/>
      </w:pPr>
      <w:r>
        <w:rPr>
          <w:rStyle w:val="CommentReference"/>
        </w:rPr>
        <w:annotationRef/>
      </w:r>
      <w:r>
        <w:t xml:space="preserve">Botanical name always </w:t>
      </w:r>
      <w:proofErr w:type="gramStart"/>
      <w:r>
        <w:t>write</w:t>
      </w:r>
      <w:proofErr w:type="gramEnd"/>
      <w:r>
        <w:t xml:space="preserve"> in italic font </w:t>
      </w:r>
    </w:p>
  </w:comment>
  <w:comment w:id="1" w:author="HP" w:date="2026-07-21T15:04:00Z" w:initials="H">
    <w:p w14:paraId="0F057F7C" w14:textId="59C677D3" w:rsidR="007A1504" w:rsidRDefault="007A1504">
      <w:pPr>
        <w:pStyle w:val="CommentText"/>
      </w:pPr>
      <w:r>
        <w:rPr>
          <w:rStyle w:val="CommentReference"/>
        </w:rPr>
        <w:annotationRef/>
      </w:r>
      <w:r>
        <w:t xml:space="preserve">Italic font </w:t>
      </w:r>
    </w:p>
  </w:comment>
  <w:comment w:id="2" w:author="HP" w:date="2026-07-21T15:05:00Z" w:initials="H">
    <w:p w14:paraId="2DEFB54B" w14:textId="113D0D88" w:rsidR="007A1504" w:rsidRDefault="007A1504">
      <w:pPr>
        <w:pStyle w:val="CommentText"/>
      </w:pPr>
      <w:r>
        <w:rPr>
          <w:rStyle w:val="CommentReference"/>
        </w:rPr>
        <w:annotationRef/>
      </w:r>
      <w:r>
        <w:t xml:space="preserve">Observation should be write in running form </w:t>
      </w:r>
    </w:p>
  </w:comment>
  <w:comment w:id="3" w:author="HP" w:date="2026-07-21T15:06:00Z" w:initials="H">
    <w:p w14:paraId="6B04BFD5" w14:textId="162E5D51" w:rsidR="00A27111" w:rsidRDefault="00A27111">
      <w:pPr>
        <w:pStyle w:val="CommentText"/>
      </w:pPr>
      <w:r>
        <w:rPr>
          <w:rStyle w:val="CommentReference"/>
        </w:rPr>
        <w:annotationRef/>
      </w:r>
      <w:r>
        <w:t xml:space="preserve">Experimental finding in place of result and discussion </w:t>
      </w:r>
    </w:p>
  </w:comment>
  <w:comment w:id="4" w:author="HP" w:date="2026-07-21T15:07:00Z" w:initials="H">
    <w:p w14:paraId="4389FDC3" w14:textId="1FD90C9D" w:rsidR="000A6213" w:rsidRDefault="000A6213">
      <w:pPr>
        <w:pStyle w:val="CommentText"/>
      </w:pPr>
      <w:r>
        <w:rPr>
          <w:rStyle w:val="CommentReference"/>
        </w:rPr>
        <w:annotationRef/>
      </w:r>
    </w:p>
  </w:comment>
  <w:comment w:id="5" w:author="HP" w:date="2026-07-21T15:08:00Z" w:initials="H">
    <w:p w14:paraId="0FFD19C9" w14:textId="572ABA99" w:rsidR="000A6213" w:rsidRDefault="000A6213">
      <w:pPr>
        <w:pStyle w:val="CommentText"/>
      </w:pPr>
      <w:r>
        <w:rPr>
          <w:rStyle w:val="CommentReference"/>
        </w:rPr>
        <w:annotationRef/>
      </w:r>
      <w:r>
        <w:t xml:space="preserve">Remove observation headings </w:t>
      </w:r>
    </w:p>
  </w:comment>
  <w:comment w:id="6" w:author="HP" w:date="2026-07-21T15:08:00Z" w:initials="H">
    <w:p w14:paraId="6D4528EE" w14:textId="610FB6C9" w:rsidR="000F6B6C" w:rsidRDefault="000F6B6C">
      <w:pPr>
        <w:pStyle w:val="CommentText"/>
      </w:pPr>
      <w:r>
        <w:rPr>
          <w:rStyle w:val="CommentReference"/>
        </w:rPr>
        <w:annotationRef/>
      </w:r>
      <w:r>
        <w:t xml:space="preserve">Et al., should be in italic font </w:t>
      </w:r>
    </w:p>
  </w:comment>
  <w:comment w:id="11" w:author="HP" w:date="2026-07-21T15:21:00Z" w:initials="H">
    <w:p w14:paraId="244EEF5E" w14:textId="702272C1" w:rsidR="00860B91" w:rsidRDefault="00860B91">
      <w:pPr>
        <w:pStyle w:val="CommentText"/>
      </w:pPr>
      <w:r>
        <w:rPr>
          <w:rStyle w:val="CommentReference"/>
        </w:rPr>
        <w:annotationRef/>
      </w:r>
      <w:r>
        <w:t xml:space="preserve">Write in times new roman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2D72D4C" w15:done="0"/>
  <w15:commentEx w15:paraId="0F057F7C" w15:done="0"/>
  <w15:commentEx w15:paraId="2DEFB54B" w15:done="0"/>
  <w15:commentEx w15:paraId="6B04BFD5" w15:done="0"/>
  <w15:commentEx w15:paraId="4389FDC3" w15:done="0"/>
  <w15:commentEx w15:paraId="0FFD19C9" w15:paraIdParent="4389FDC3" w15:done="0"/>
  <w15:commentEx w15:paraId="6D4528EE" w15:done="0"/>
  <w15:commentEx w15:paraId="244EEF5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9A429" w14:textId="77777777" w:rsidR="002328AC" w:rsidRDefault="002328AC" w:rsidP="00EC16F6">
      <w:pPr>
        <w:spacing w:after="0" w:line="240" w:lineRule="auto"/>
      </w:pPr>
      <w:r>
        <w:separator/>
      </w:r>
    </w:p>
  </w:endnote>
  <w:endnote w:type="continuationSeparator" w:id="0">
    <w:p w14:paraId="5D2C8FBA" w14:textId="77777777" w:rsidR="002328AC" w:rsidRDefault="002328AC" w:rsidP="00EC1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33223" w14:textId="77777777" w:rsidR="00EC16F6" w:rsidRDefault="00EC16F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ABC2F" w14:textId="77777777" w:rsidR="00EC16F6" w:rsidRDefault="00EC16F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52221" w14:textId="77777777" w:rsidR="00EC16F6" w:rsidRDefault="00EC16F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43D7C" w14:textId="77777777" w:rsidR="002328AC" w:rsidRDefault="002328AC" w:rsidP="00EC16F6">
      <w:pPr>
        <w:spacing w:after="0" w:line="240" w:lineRule="auto"/>
      </w:pPr>
      <w:r>
        <w:separator/>
      </w:r>
    </w:p>
  </w:footnote>
  <w:footnote w:type="continuationSeparator" w:id="0">
    <w:p w14:paraId="7DA35D0C" w14:textId="77777777" w:rsidR="002328AC" w:rsidRDefault="002328AC" w:rsidP="00EC1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AB8D4" w14:textId="472B26AF" w:rsidR="00EC16F6" w:rsidRDefault="002328AC">
    <w:pPr>
      <w:pStyle w:val="Header"/>
    </w:pPr>
    <w:r>
      <w:rPr>
        <w:noProof/>
      </w:rPr>
      <w:pict w14:anchorId="6102E5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856672"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56664" w14:textId="2E38AAB9" w:rsidR="00EC16F6" w:rsidRDefault="002328AC">
    <w:pPr>
      <w:pStyle w:val="Header"/>
    </w:pPr>
    <w:r>
      <w:rPr>
        <w:noProof/>
      </w:rPr>
      <w:pict w14:anchorId="57FD5F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856673"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BBA42" w14:textId="27DF29D2" w:rsidR="00EC16F6" w:rsidRDefault="002328AC">
    <w:pPr>
      <w:pStyle w:val="Header"/>
    </w:pPr>
    <w:r>
      <w:rPr>
        <w:noProof/>
      </w:rPr>
      <w:pict w14:anchorId="1E93D1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856671"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284C"/>
    <w:multiLevelType w:val="multilevel"/>
    <w:tmpl w:val="3E88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E219E"/>
    <w:multiLevelType w:val="multilevel"/>
    <w:tmpl w:val="C2D0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74A"/>
    <w:rsid w:val="00051D6D"/>
    <w:rsid w:val="000A6213"/>
    <w:rsid w:val="000C0A71"/>
    <w:rsid w:val="000F6B6C"/>
    <w:rsid w:val="00216526"/>
    <w:rsid w:val="002328AC"/>
    <w:rsid w:val="002A3324"/>
    <w:rsid w:val="00377663"/>
    <w:rsid w:val="00415667"/>
    <w:rsid w:val="00427BF9"/>
    <w:rsid w:val="004D07A7"/>
    <w:rsid w:val="005D72E9"/>
    <w:rsid w:val="00627DAE"/>
    <w:rsid w:val="006B1091"/>
    <w:rsid w:val="007A1504"/>
    <w:rsid w:val="0085774A"/>
    <w:rsid w:val="00860B91"/>
    <w:rsid w:val="008F043E"/>
    <w:rsid w:val="009819D8"/>
    <w:rsid w:val="00A27111"/>
    <w:rsid w:val="00AC3403"/>
    <w:rsid w:val="00AE487F"/>
    <w:rsid w:val="00B01739"/>
    <w:rsid w:val="00B2278F"/>
    <w:rsid w:val="00BD1704"/>
    <w:rsid w:val="00C479E0"/>
    <w:rsid w:val="00E6704F"/>
    <w:rsid w:val="00EC16F6"/>
    <w:rsid w:val="00EE4E4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CAEBED"/>
  <w15:chartTrackingRefBased/>
  <w15:docId w15:val="{5F636A76-F6CD-4634-B21E-181C039A2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577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77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77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77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77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77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7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7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7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7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77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77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77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77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7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74A"/>
    <w:rPr>
      <w:rFonts w:eastAsiaTheme="majorEastAsia" w:cstheme="majorBidi"/>
      <w:color w:val="272727" w:themeColor="text1" w:themeTint="D8"/>
    </w:rPr>
  </w:style>
  <w:style w:type="paragraph" w:styleId="Title">
    <w:name w:val="Title"/>
    <w:basedOn w:val="Normal"/>
    <w:next w:val="Normal"/>
    <w:link w:val="TitleChar"/>
    <w:uiPriority w:val="10"/>
    <w:qFormat/>
    <w:rsid w:val="00857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7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74A"/>
    <w:pPr>
      <w:spacing w:before="160"/>
      <w:jc w:val="center"/>
    </w:pPr>
    <w:rPr>
      <w:i/>
      <w:iCs/>
      <w:color w:val="404040" w:themeColor="text1" w:themeTint="BF"/>
    </w:rPr>
  </w:style>
  <w:style w:type="character" w:customStyle="1" w:styleId="QuoteChar">
    <w:name w:val="Quote Char"/>
    <w:basedOn w:val="DefaultParagraphFont"/>
    <w:link w:val="Quote"/>
    <w:uiPriority w:val="29"/>
    <w:rsid w:val="0085774A"/>
    <w:rPr>
      <w:i/>
      <w:iCs/>
      <w:color w:val="404040" w:themeColor="text1" w:themeTint="BF"/>
    </w:rPr>
  </w:style>
  <w:style w:type="paragraph" w:styleId="ListParagraph">
    <w:name w:val="List Paragraph"/>
    <w:basedOn w:val="Normal"/>
    <w:uiPriority w:val="34"/>
    <w:qFormat/>
    <w:rsid w:val="0085774A"/>
    <w:pPr>
      <w:ind w:left="720"/>
      <w:contextualSpacing/>
    </w:pPr>
  </w:style>
  <w:style w:type="character" w:styleId="IntenseEmphasis">
    <w:name w:val="Intense Emphasis"/>
    <w:basedOn w:val="DefaultParagraphFont"/>
    <w:uiPriority w:val="21"/>
    <w:qFormat/>
    <w:rsid w:val="0085774A"/>
    <w:rPr>
      <w:i/>
      <w:iCs/>
      <w:color w:val="2F5496" w:themeColor="accent1" w:themeShade="BF"/>
    </w:rPr>
  </w:style>
  <w:style w:type="paragraph" w:styleId="IntenseQuote">
    <w:name w:val="Intense Quote"/>
    <w:basedOn w:val="Normal"/>
    <w:next w:val="Normal"/>
    <w:link w:val="IntenseQuoteChar"/>
    <w:uiPriority w:val="30"/>
    <w:qFormat/>
    <w:rsid w:val="008577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774A"/>
    <w:rPr>
      <w:i/>
      <w:iCs/>
      <w:color w:val="2F5496" w:themeColor="accent1" w:themeShade="BF"/>
    </w:rPr>
  </w:style>
  <w:style w:type="character" w:styleId="IntenseReference">
    <w:name w:val="Intense Reference"/>
    <w:basedOn w:val="DefaultParagraphFont"/>
    <w:uiPriority w:val="32"/>
    <w:qFormat/>
    <w:rsid w:val="0085774A"/>
    <w:rPr>
      <w:b/>
      <w:bCs/>
      <w:smallCaps/>
      <w:color w:val="2F5496" w:themeColor="accent1" w:themeShade="BF"/>
      <w:spacing w:val="5"/>
    </w:rPr>
  </w:style>
  <w:style w:type="character" w:customStyle="1" w:styleId="mord">
    <w:name w:val="mord"/>
    <w:basedOn w:val="DefaultParagraphFont"/>
    <w:rsid w:val="0085774A"/>
  </w:style>
  <w:style w:type="character" w:customStyle="1" w:styleId="mrel">
    <w:name w:val="mrel"/>
    <w:basedOn w:val="DefaultParagraphFont"/>
    <w:rsid w:val="0085774A"/>
  </w:style>
  <w:style w:type="character" w:customStyle="1" w:styleId="vlist-s">
    <w:name w:val="vlist-s"/>
    <w:basedOn w:val="DefaultParagraphFont"/>
    <w:rsid w:val="0085774A"/>
  </w:style>
  <w:style w:type="character" w:customStyle="1" w:styleId="mbin">
    <w:name w:val="mbin"/>
    <w:basedOn w:val="DefaultParagraphFont"/>
    <w:rsid w:val="0085774A"/>
  </w:style>
  <w:style w:type="paragraph" w:customStyle="1" w:styleId="TableParagraph">
    <w:name w:val="Table Paragraph"/>
    <w:basedOn w:val="Normal"/>
    <w:uiPriority w:val="1"/>
    <w:qFormat/>
    <w:rsid w:val="00627DAE"/>
    <w:pPr>
      <w:widowControl w:val="0"/>
      <w:autoSpaceDE w:val="0"/>
      <w:autoSpaceDN w:val="0"/>
      <w:spacing w:after="0" w:line="270" w:lineRule="exact"/>
      <w:jc w:val="center"/>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2A3324"/>
    <w:rPr>
      <w:color w:val="0563C1" w:themeColor="hyperlink"/>
      <w:u w:val="single"/>
    </w:rPr>
  </w:style>
  <w:style w:type="character" w:customStyle="1" w:styleId="UnresolvedMention">
    <w:name w:val="Unresolved Mention"/>
    <w:basedOn w:val="DefaultParagraphFont"/>
    <w:uiPriority w:val="99"/>
    <w:semiHidden/>
    <w:unhideWhenUsed/>
    <w:rsid w:val="002A3324"/>
    <w:rPr>
      <w:color w:val="605E5C"/>
      <w:shd w:val="clear" w:color="auto" w:fill="E1DFDD"/>
    </w:rPr>
  </w:style>
  <w:style w:type="character" w:styleId="Emphasis">
    <w:name w:val="Emphasis"/>
    <w:basedOn w:val="DefaultParagraphFont"/>
    <w:uiPriority w:val="20"/>
    <w:qFormat/>
    <w:rsid w:val="00427BF9"/>
    <w:rPr>
      <w:i/>
      <w:iCs/>
    </w:rPr>
  </w:style>
  <w:style w:type="paragraph" w:styleId="Header">
    <w:name w:val="header"/>
    <w:basedOn w:val="Normal"/>
    <w:link w:val="HeaderChar"/>
    <w:uiPriority w:val="99"/>
    <w:unhideWhenUsed/>
    <w:rsid w:val="00EC1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6F6"/>
  </w:style>
  <w:style w:type="paragraph" w:styleId="Footer">
    <w:name w:val="footer"/>
    <w:basedOn w:val="Normal"/>
    <w:link w:val="FooterChar"/>
    <w:uiPriority w:val="99"/>
    <w:unhideWhenUsed/>
    <w:rsid w:val="00EC1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6F6"/>
  </w:style>
  <w:style w:type="character" w:styleId="CommentReference">
    <w:name w:val="annotation reference"/>
    <w:basedOn w:val="DefaultParagraphFont"/>
    <w:uiPriority w:val="99"/>
    <w:semiHidden/>
    <w:unhideWhenUsed/>
    <w:rsid w:val="007A1504"/>
    <w:rPr>
      <w:sz w:val="16"/>
      <w:szCs w:val="16"/>
    </w:rPr>
  </w:style>
  <w:style w:type="paragraph" w:styleId="CommentText">
    <w:name w:val="annotation text"/>
    <w:basedOn w:val="Normal"/>
    <w:link w:val="CommentTextChar"/>
    <w:uiPriority w:val="99"/>
    <w:semiHidden/>
    <w:unhideWhenUsed/>
    <w:rsid w:val="007A1504"/>
    <w:pPr>
      <w:spacing w:line="240" w:lineRule="auto"/>
    </w:pPr>
    <w:rPr>
      <w:sz w:val="20"/>
      <w:szCs w:val="20"/>
    </w:rPr>
  </w:style>
  <w:style w:type="character" w:customStyle="1" w:styleId="CommentTextChar">
    <w:name w:val="Comment Text Char"/>
    <w:basedOn w:val="DefaultParagraphFont"/>
    <w:link w:val="CommentText"/>
    <w:uiPriority w:val="99"/>
    <w:semiHidden/>
    <w:rsid w:val="007A1504"/>
    <w:rPr>
      <w:sz w:val="20"/>
      <w:szCs w:val="20"/>
    </w:rPr>
  </w:style>
  <w:style w:type="paragraph" w:styleId="CommentSubject">
    <w:name w:val="annotation subject"/>
    <w:basedOn w:val="CommentText"/>
    <w:next w:val="CommentText"/>
    <w:link w:val="CommentSubjectChar"/>
    <w:uiPriority w:val="99"/>
    <w:semiHidden/>
    <w:unhideWhenUsed/>
    <w:rsid w:val="007A1504"/>
    <w:rPr>
      <w:b/>
      <w:bCs/>
    </w:rPr>
  </w:style>
  <w:style w:type="character" w:customStyle="1" w:styleId="CommentSubjectChar">
    <w:name w:val="Comment Subject Char"/>
    <w:basedOn w:val="CommentTextChar"/>
    <w:link w:val="CommentSubject"/>
    <w:uiPriority w:val="99"/>
    <w:semiHidden/>
    <w:rsid w:val="007A1504"/>
    <w:rPr>
      <w:b/>
      <w:bCs/>
      <w:sz w:val="20"/>
      <w:szCs w:val="20"/>
    </w:rPr>
  </w:style>
  <w:style w:type="paragraph" w:styleId="BalloonText">
    <w:name w:val="Balloon Text"/>
    <w:basedOn w:val="Normal"/>
    <w:link w:val="BalloonTextChar"/>
    <w:uiPriority w:val="99"/>
    <w:semiHidden/>
    <w:unhideWhenUsed/>
    <w:rsid w:val="007A15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5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35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e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10</Pages>
  <Words>4278</Words>
  <Characters>24387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Mousmi Syed</dc:creator>
  <cp:keywords/>
  <dc:description/>
  <cp:lastModifiedBy>HP</cp:lastModifiedBy>
  <cp:revision>26</cp:revision>
  <dcterms:created xsi:type="dcterms:W3CDTF">2026-07-18T17:32:00Z</dcterms:created>
  <dcterms:modified xsi:type="dcterms:W3CDTF">2026-07-21T09:52:00Z</dcterms:modified>
</cp:coreProperties>
</file>