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29E" w:rsidRDefault="00DC429E" w:rsidP="00300EEC">
      <w:pPr>
        <w:spacing w:line="360" w:lineRule="auto"/>
        <w:jc w:val="both"/>
        <w:rPr>
          <w:rFonts w:ascii="Times New Roman" w:hAnsi="Times New Roman" w:cs="Times New Roman"/>
          <w:b/>
          <w:bCs/>
        </w:rPr>
      </w:pPr>
      <w:commentRangeStart w:id="0"/>
      <w:r w:rsidRPr="00300EEC">
        <w:rPr>
          <w:rFonts w:ascii="Times New Roman" w:hAnsi="Times New Roman" w:cs="Times New Roman"/>
          <w:b/>
          <w:bCs/>
        </w:rPr>
        <w:t xml:space="preserve">Performance Evaluation of Pearl Millet </w:t>
      </w:r>
      <w:commentRangeStart w:id="1"/>
      <w:r w:rsidRPr="00300EEC">
        <w:rPr>
          <w:rFonts w:ascii="Times New Roman" w:hAnsi="Times New Roman" w:cs="Times New Roman"/>
          <w:b/>
          <w:bCs/>
        </w:rPr>
        <w:t xml:space="preserve">(Pennisetum glaucum L.) </w:t>
      </w:r>
      <w:commentRangeEnd w:id="1"/>
      <w:r w:rsidR="005C282E">
        <w:rPr>
          <w:rStyle w:val="CommentReference"/>
        </w:rPr>
        <w:commentReference w:id="1"/>
      </w:r>
      <w:r w:rsidRPr="00300EEC">
        <w:rPr>
          <w:rFonts w:ascii="Times New Roman" w:hAnsi="Times New Roman" w:cs="Times New Roman"/>
          <w:b/>
          <w:bCs/>
        </w:rPr>
        <w:t xml:space="preserve">Genotypes for Yield and Yield Contributing Traits </w:t>
      </w:r>
      <w:commentRangeEnd w:id="0"/>
      <w:r w:rsidR="007530E2">
        <w:rPr>
          <w:rStyle w:val="CommentReference"/>
        </w:rPr>
        <w:commentReference w:id="0"/>
      </w:r>
    </w:p>
    <w:p w:rsidR="00331488" w:rsidRDefault="00331488" w:rsidP="00300EEC">
      <w:pPr>
        <w:widowControl w:val="0"/>
        <w:autoSpaceDE w:val="0"/>
        <w:autoSpaceDN w:val="0"/>
        <w:spacing w:before="114" w:after="0" w:line="360" w:lineRule="auto"/>
        <w:ind w:left="28"/>
        <w:jc w:val="both"/>
        <w:rPr>
          <w:rFonts w:ascii="Times New Roman" w:hAnsi="Times New Roman" w:cs="Times New Roman"/>
        </w:rPr>
      </w:pPr>
    </w:p>
    <w:p w:rsidR="00DC429E" w:rsidRPr="00DC429E" w:rsidRDefault="00DC429E" w:rsidP="00300EEC">
      <w:pPr>
        <w:widowControl w:val="0"/>
        <w:autoSpaceDE w:val="0"/>
        <w:autoSpaceDN w:val="0"/>
        <w:spacing w:before="114" w:after="0" w:line="360" w:lineRule="auto"/>
        <w:ind w:left="28"/>
        <w:jc w:val="both"/>
        <w:rPr>
          <w:rFonts w:ascii="Times New Roman" w:eastAsia="Cambria" w:hAnsi="Times New Roman" w:cs="Times New Roman"/>
          <w:b/>
          <w:i/>
          <w:kern w:val="0"/>
          <w:lang w:val="en-US"/>
        </w:rPr>
      </w:pPr>
      <w:r w:rsidRPr="00DC429E">
        <w:rPr>
          <w:rFonts w:ascii="Times New Roman" w:eastAsia="Cambria" w:hAnsi="Times New Roman" w:cs="Times New Roman"/>
          <w:b/>
          <w:i/>
          <w:spacing w:val="-2"/>
          <w:kern w:val="0"/>
          <w:lang w:val="en-US"/>
        </w:rPr>
        <w:t>ABSTRACT</w:t>
      </w:r>
    </w:p>
    <w:p w:rsidR="00DC429E" w:rsidRPr="00DC429E" w:rsidRDefault="002B6E0A" w:rsidP="00300EEC">
      <w:pPr>
        <w:widowControl w:val="0"/>
        <w:autoSpaceDE w:val="0"/>
        <w:autoSpaceDN w:val="0"/>
        <w:spacing w:before="5" w:after="0" w:line="360" w:lineRule="auto"/>
        <w:jc w:val="both"/>
        <w:rPr>
          <w:rFonts w:ascii="Times New Roman" w:eastAsia="Cambria" w:hAnsi="Times New Roman" w:cs="Times New Roman"/>
          <w:b/>
          <w:i/>
          <w:kern w:val="0"/>
          <w:lang w:val="en-US"/>
        </w:rPr>
      </w:pPr>
      <w:r>
        <w:rPr>
          <w:rFonts w:ascii="Times New Roman" w:eastAsia="Cambria" w:hAnsi="Times New Roman" w:cs="Times New Roman"/>
          <w:b/>
          <w:i/>
          <w:noProof/>
          <w:kern w:val="0"/>
          <w:lang w:val="en-US"/>
        </w:rPr>
        <w:pict>
          <v:shape id="Graphic 10" o:spid="_x0000_s2051" style="position:absolute;left:0;text-align:left;margin-left:22.7pt;margin-top:3.25pt;width:549.9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984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" path="m,l6983994,e" filled="f" strokecolor="#073849" strokeweight=".25mm">
            <v:path arrowok="t"/>
            <w10:wrap type="topAndBottom" anchorx="page"/>
          </v:shape>
        </w:pict>
      </w:r>
    </w:p>
    <w:p w:rsidR="00DC429E" w:rsidRPr="00DC429E" w:rsidRDefault="00DC429E" w:rsidP="00300EEC">
      <w:pPr>
        <w:widowControl w:val="0"/>
        <w:autoSpaceDE w:val="0"/>
        <w:autoSpaceDN w:val="0"/>
        <w:spacing w:before="57" w:after="0" w:line="360" w:lineRule="auto"/>
        <w:ind w:left="27" w:right="26"/>
        <w:jc w:val="both"/>
        <w:rPr>
          <w:rFonts w:ascii="Times New Roman" w:eastAsia="Cambria" w:hAnsi="Times New Roman" w:cs="Times New Roman"/>
          <w:i/>
          <w:kern w:val="0"/>
          <w:lang w:val="en-US"/>
        </w:rPr>
      </w:pPr>
      <w:r w:rsidRPr="00DC429E">
        <w:rPr>
          <w:rFonts w:ascii="Times New Roman" w:eastAsia="Cambria" w:hAnsi="Times New Roman" w:cs="Times New Roman"/>
          <w:i/>
          <w:color w:val="0D0D0D"/>
          <w:kern w:val="0"/>
          <w:lang w:val="en-US"/>
        </w:rPr>
        <w:t xml:space="preserve"> The present investigation was conducted to evaluate the performance of twelve pearl millet genotypes for ten important quantitative characters related to growth, yield, and fodder production. The experiment comprised genotypes namely KBH-3940, Bio-448, M-86, MP-7792, JHBH-676, HHB-223, Nandi-61, GHB-732, HHB-197, NMH-68, Pusa-322, and JBH-1.  Early flowering was recorded in NMH-68 (61.33 days) and GHB-732 (63.33 days), whereas HHB-223 exhibited late flowering (80.00 days). Maximum grain yield per plant was observed in GHB-732 (18.05 g), followed by JHBH-676 (16.65 g) and KBH-3940 (16.25 g). Highest green fodder yield was recorded in Bio-448 (383.60 g), while MP-7792 exhibited maximum plant height (285.95 cm). The genotype JBH-1 showed maximum leaf length (73.58 cm), whereas MP-7792 recorded the highest panicle length (50.95 cm). The findings indicated that GHB-732, Bio-448, JHBH-676, and KBH-3940 performed superiorly for grain and fodder yield traits and may be utilized in future breeding programmes for crop improvement. </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
          <w:spacing w:val="-2"/>
          <w:kern w:val="0"/>
          <w:lang w:val="en-US"/>
        </w:rPr>
      </w:pPr>
      <w:r w:rsidRPr="00DC429E">
        <w:rPr>
          <w:rFonts w:ascii="Times New Roman" w:eastAsia="Cambria" w:hAnsi="Times New Roman" w:cs="Times New Roman"/>
          <w:b/>
          <w:i/>
          <w:spacing w:val="-2"/>
          <w:kern w:val="0"/>
          <w:lang w:val="en-US"/>
        </w:rPr>
        <w:t>Keywords:</w:t>
      </w:r>
      <w:r w:rsidRPr="00DC429E">
        <w:rPr>
          <w:rFonts w:ascii="Times New Roman" w:eastAsia="Cambria" w:hAnsi="Times New Roman" w:cs="Times New Roman"/>
          <w:i/>
          <w:spacing w:val="-10"/>
          <w:kern w:val="0"/>
          <w:lang w:val="en-US"/>
        </w:rPr>
        <w:t xml:space="preserve"> genotypes, grain yield, fodder yield, variability, panicle length, growth traits</w:t>
      </w:r>
      <w:r w:rsidRPr="00DC429E">
        <w:rPr>
          <w:rFonts w:ascii="Times New Roman" w:eastAsia="Cambria" w:hAnsi="Times New Roman" w:cs="Times New Roman"/>
          <w:i/>
          <w:spacing w:val="-2"/>
          <w:kern w:val="0"/>
          <w:lang w:val="en-US"/>
        </w:rPr>
        <w:t>.</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300EEC">
        <w:rPr>
          <w:rFonts w:ascii="Times New Roman" w:eastAsia="Cambria" w:hAnsi="Times New Roman" w:cs="Times New Roman"/>
          <w:b/>
          <w:bCs/>
          <w:iCs/>
          <w:kern w:val="0"/>
          <w:lang w:val="en-US"/>
        </w:rPr>
        <w:t>INTRODUCTION</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300EEC">
        <w:rPr>
          <w:rFonts w:ascii="Times New Roman" w:eastAsia="Cambria" w:hAnsi="Times New Roman" w:cs="Times New Roman"/>
          <w:iCs/>
          <w:kern w:val="0"/>
          <w:lang w:val="en-US"/>
        </w:rPr>
        <w:t>Pearl millet (Pennisetum glaucum L.) is one of the most important cereal crops cultivated in arid and semi-arid regions of Asia and Africa. It is widely grown under rainfed conditions due to its excellent adaptability to drought, high temperature, and low soil fertility. In India, pearl millet occupies a significant position among food and fodder crops and contributes greatly to nutritional and livelihood security of resource-poor farmers. The crop is valued not only for grain production but also for its green fodder and dry matter yield, which are highly useful for livestock feeding. Pearl millet grains are rich in carbohydrates, proteins, minerals, iron, zinc, and dietary fiber, making it an important nutritional cereal for human consumption. Improvement of grain and fodder yield is the major objective of pearl millet breeding programmes. Yield is a complex quantitative trait influenced by several morphological and physiological characters such as flowering duration, tillering ability, plant height, leaf characters, panicle length, and grain weight. Therefore, evaluation of genotypes for these traits is essential for identifying superior cultivars and understanding the extent of variability present in the breeding material. Genetic variability provides opportunities for effective selection and development of improved high-yielding varieties. The present investigation was undertaken to evaluate twelve pearl millet genotypes for important growth, yield, and fodder-related traits. The study aimed to identify superior genotypes suitable for future breeding programmes and cultivation under diverse agro-climatic conditions. In recent years, the demand for dual-purpose pearl millet varieties possessing both high grain and fodder yield has increased considerably due to climate change and shortage of quality fodder resources.</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300EEC">
        <w:rPr>
          <w:rFonts w:ascii="Times New Roman" w:eastAsia="Cambria" w:hAnsi="Times New Roman" w:cs="Times New Roman"/>
          <w:iCs/>
          <w:kern w:val="0"/>
          <w:lang w:val="en-US"/>
        </w:rPr>
        <w:t>Identification of promising genotypes with desirable agronomic traits can help in improving productivity and sustainability of pearl millet cultivation. Therefore, systematic evaluation of available genetic resources is essential for developing superior cultivars suitable for different environmental conditions and farming systems.</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commentRangeStart w:id="2"/>
      <w:r w:rsidRPr="00300EEC">
        <w:rPr>
          <w:rFonts w:ascii="Times New Roman" w:eastAsia="Cambria" w:hAnsi="Times New Roman" w:cs="Times New Roman"/>
          <w:b/>
          <w:bCs/>
          <w:iCs/>
          <w:kern w:val="0"/>
          <w:lang w:val="en-US"/>
        </w:rPr>
        <w:t xml:space="preserve">MATERIALS AND METHODS </w:t>
      </w:r>
      <w:commentRangeEnd w:id="2"/>
      <w:r w:rsidR="00235269">
        <w:rPr>
          <w:rStyle w:val="CommentReference"/>
        </w:rPr>
        <w:commentReference w:id="2"/>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300EEC">
        <w:rPr>
          <w:rFonts w:ascii="Times New Roman" w:eastAsia="Cambria" w:hAnsi="Times New Roman" w:cs="Times New Roman"/>
          <w:iCs/>
          <w:kern w:val="0"/>
          <w:lang w:val="en-US"/>
        </w:rPr>
        <w:lastRenderedPageBreak/>
        <w:t xml:space="preserve">The present investigation entitled “Genetic Variability, Correlation and Path Coefficient Analysis for Yield Attributing Traits in Pearl Millet (Pennisetum glaucum (L.) R. Br.)” was carried out during Kharif 2025–26 at the Rainfed Agriculture Farm. Narayan Bagh, Department of Genetics and Plant Breeding, Institute of Agricultural Sciences, Bundelkhand University, Jhansi, Uttar Pradesh, India. Jhansi is situated in the Bundelkhand region and is characterized by a semi-arid climate with hot summers and moderate rainfall during the monsoon season. </w:t>
      </w:r>
      <w:commentRangeStart w:id="3"/>
      <w:r w:rsidRPr="00300EEC">
        <w:rPr>
          <w:rFonts w:ascii="Times New Roman" w:eastAsia="Cambria" w:hAnsi="Times New Roman" w:cs="Times New Roman"/>
          <w:iCs/>
          <w:kern w:val="0"/>
          <w:lang w:val="en-US"/>
        </w:rPr>
        <w:t xml:space="preserve">The experimental field possessed uniform fertility and was prepared according to recommended agronomic practices for pearl millet cultivation. </w:t>
      </w:r>
      <w:commentRangeEnd w:id="3"/>
      <w:r w:rsidR="00F92073">
        <w:rPr>
          <w:rStyle w:val="CommentReference"/>
        </w:rPr>
        <w:commentReference w:id="3"/>
      </w:r>
      <w:r w:rsidRPr="00300EEC">
        <w:rPr>
          <w:rFonts w:ascii="Times New Roman" w:eastAsia="Cambria" w:hAnsi="Times New Roman" w:cs="Times New Roman"/>
          <w:iCs/>
          <w:kern w:val="0"/>
          <w:lang w:val="en-US"/>
        </w:rPr>
        <w:t xml:space="preserve">The experimental material consisted of twelve genotypes namely KBH-3940, Bio-448, M-86, MP-7792, JHBH-676, HHB-223, Nandi-61, GHB-732, HHB-197, NMH-68, Pusa-322, and JBH-1. The experiment was laid out in a Randomized Block Design (RBD) with appropriate replications to minimize environmental variation and ensure accuracy of observations. </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300EEC">
        <w:rPr>
          <w:rFonts w:ascii="Times New Roman" w:eastAsia="Cambria" w:hAnsi="Times New Roman" w:cs="Times New Roman"/>
          <w:iCs/>
          <w:kern w:val="0"/>
          <w:lang w:val="en-US"/>
        </w:rPr>
        <w:t>These genotypes were collected from different breeding programmes and evaluated for their performance with respect to yield and yield-contributing traits.</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300EEC">
        <w:rPr>
          <w:rFonts w:ascii="Times New Roman" w:eastAsia="Cambria" w:hAnsi="Times New Roman" w:cs="Times New Roman"/>
          <w:iCs/>
          <w:kern w:val="0"/>
          <w:lang w:val="en-US"/>
        </w:rPr>
        <w:t xml:space="preserve">The experiment was laid out in a Randomized Block Design (RBD) with three replications. Each genotype was sown in a plot consisting of two rows of 3 m length. Recommended agronomic practices were followed throughout the crop growth period to ensure a healthy crop stand. Necessary intercultural operations, irrigation (as and when required), weed management and plant protection measures were undertaken uniformly for all the entries. </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300EEC">
        <w:rPr>
          <w:rFonts w:ascii="Times New Roman" w:eastAsia="Cambria" w:hAnsi="Times New Roman" w:cs="Times New Roman"/>
          <w:iCs/>
          <w:kern w:val="0"/>
          <w:lang w:val="en-US"/>
        </w:rPr>
        <w:t>Observations were recorded on five randomly selected competitive plants from each plot in each replication, and their mean values were used for statistical analysis. Data were recorded on the following ten quantitative characters:</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300EEC">
        <w:rPr>
          <w:rFonts w:ascii="Times New Roman" w:eastAsia="Cambria" w:hAnsi="Times New Roman" w:cs="Times New Roman"/>
          <w:b/>
          <w:bCs/>
          <w:iCs/>
          <w:kern w:val="0"/>
          <w:lang w:val="en-US"/>
        </w:rPr>
        <w:t>Days to 50% Flowering</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300EEC">
        <w:rPr>
          <w:rFonts w:ascii="Times New Roman" w:eastAsia="Cambria" w:hAnsi="Times New Roman" w:cs="Times New Roman"/>
          <w:iCs/>
          <w:kern w:val="0"/>
          <w:lang w:val="en-US"/>
        </w:rPr>
        <w:t>The number of days from the date of sowing to the stage when approximately 50 per cent of the plants in a plot showed flowering was recorded.</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300EEC">
        <w:rPr>
          <w:rFonts w:ascii="Times New Roman" w:eastAsia="Cambria" w:hAnsi="Times New Roman" w:cs="Times New Roman"/>
          <w:b/>
          <w:bCs/>
          <w:iCs/>
          <w:kern w:val="0"/>
          <w:lang w:val="en-US"/>
        </w:rPr>
        <w:t>Plant Height (cm)</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300EEC">
        <w:rPr>
          <w:rFonts w:ascii="Times New Roman" w:eastAsia="Cambria" w:hAnsi="Times New Roman" w:cs="Times New Roman"/>
          <w:iCs/>
          <w:kern w:val="0"/>
          <w:lang w:val="en-US"/>
        </w:rPr>
        <w:t>Plant height was measured from the ground surface to the tip of the panicle at physiological maturity and expressed in centimeters.</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300EEC">
        <w:rPr>
          <w:rFonts w:ascii="Times New Roman" w:eastAsia="Cambria" w:hAnsi="Times New Roman" w:cs="Times New Roman"/>
          <w:b/>
          <w:bCs/>
          <w:iCs/>
          <w:kern w:val="0"/>
          <w:lang w:val="en-US"/>
        </w:rPr>
        <w:t>Number of Tillers per Plant</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300EEC">
        <w:rPr>
          <w:rFonts w:ascii="Times New Roman" w:eastAsia="Cambria" w:hAnsi="Times New Roman" w:cs="Times New Roman"/>
          <w:iCs/>
          <w:kern w:val="0"/>
          <w:lang w:val="en-US"/>
        </w:rPr>
        <w:t>The total number of productive tillers produced by each selected plant at maturity was counted and averaged.</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300EEC">
        <w:rPr>
          <w:rFonts w:ascii="Times New Roman" w:eastAsia="Cambria" w:hAnsi="Times New Roman" w:cs="Times New Roman"/>
          <w:b/>
          <w:bCs/>
          <w:iCs/>
          <w:kern w:val="0"/>
          <w:lang w:val="en-US"/>
        </w:rPr>
        <w:t>Leaf Length (cm)</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300EEC">
        <w:rPr>
          <w:rFonts w:ascii="Times New Roman" w:eastAsia="Cambria" w:hAnsi="Times New Roman" w:cs="Times New Roman"/>
          <w:iCs/>
          <w:kern w:val="0"/>
          <w:lang w:val="en-US"/>
        </w:rPr>
        <w:t>Leaf length was measured in centimeters from the base of the leaf blade to the tip of the fully expanded flag leaf using a measuring scale.</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300EEC">
        <w:rPr>
          <w:rFonts w:ascii="Times New Roman" w:eastAsia="Cambria" w:hAnsi="Times New Roman" w:cs="Times New Roman"/>
          <w:b/>
          <w:bCs/>
          <w:iCs/>
          <w:kern w:val="0"/>
          <w:lang w:val="en-US"/>
        </w:rPr>
        <w:t>Leaf Width (cm)</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300EEC">
        <w:rPr>
          <w:rFonts w:ascii="Times New Roman" w:eastAsia="Cambria" w:hAnsi="Times New Roman" w:cs="Times New Roman"/>
          <w:iCs/>
          <w:kern w:val="0"/>
          <w:lang w:val="en-US"/>
        </w:rPr>
        <w:t>Leaf width was measured at the broadest portion of the fully expanded flag leaf and expressed in centimeters.</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300EEC">
        <w:rPr>
          <w:rFonts w:ascii="Times New Roman" w:eastAsia="Cambria" w:hAnsi="Times New Roman" w:cs="Times New Roman"/>
          <w:b/>
          <w:bCs/>
          <w:iCs/>
          <w:kern w:val="0"/>
          <w:lang w:val="en-US"/>
        </w:rPr>
        <w:t>Panicle Length (cm)</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300EEC">
        <w:rPr>
          <w:rFonts w:ascii="Times New Roman" w:eastAsia="Cambria" w:hAnsi="Times New Roman" w:cs="Times New Roman"/>
          <w:iCs/>
          <w:kern w:val="0"/>
          <w:lang w:val="en-US"/>
        </w:rPr>
        <w:t>Panicle length was measured from the base to the tip of the panicle after maturity and expressed in centimeters.</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300EEC">
        <w:rPr>
          <w:rFonts w:ascii="Times New Roman" w:eastAsia="Cambria" w:hAnsi="Times New Roman" w:cs="Times New Roman"/>
          <w:b/>
          <w:bCs/>
          <w:iCs/>
          <w:kern w:val="0"/>
          <w:lang w:val="en-US"/>
        </w:rPr>
        <w:t>Grain Yield per Plant (g)</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300EEC">
        <w:rPr>
          <w:rFonts w:ascii="Times New Roman" w:eastAsia="Cambria" w:hAnsi="Times New Roman" w:cs="Times New Roman"/>
          <w:iCs/>
          <w:kern w:val="0"/>
          <w:lang w:val="en-US"/>
        </w:rPr>
        <w:lastRenderedPageBreak/>
        <w:t>After harvesting and threshing, the grain obtained from each selected plant was weighed and expressed in grams.</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300EEC">
        <w:rPr>
          <w:rFonts w:ascii="Times New Roman" w:eastAsia="Cambria" w:hAnsi="Times New Roman" w:cs="Times New Roman"/>
          <w:b/>
          <w:bCs/>
          <w:iCs/>
          <w:kern w:val="0"/>
          <w:lang w:val="en-US"/>
        </w:rPr>
        <w:t>Dry Matter Yield per Plant (g)</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300EEC">
        <w:rPr>
          <w:rFonts w:ascii="Times New Roman" w:eastAsia="Cambria" w:hAnsi="Times New Roman" w:cs="Times New Roman"/>
          <w:iCs/>
          <w:kern w:val="0"/>
          <w:lang w:val="en-US"/>
        </w:rPr>
        <w:t>The harvested plant samples were sun-dried and subsequently oven-dried to a constant weight. Dry matter yield per plant was recorded in grams.</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300EEC">
        <w:rPr>
          <w:rFonts w:ascii="Times New Roman" w:eastAsia="Cambria" w:hAnsi="Times New Roman" w:cs="Times New Roman"/>
          <w:b/>
          <w:bCs/>
          <w:iCs/>
          <w:kern w:val="0"/>
          <w:lang w:val="en-US"/>
        </w:rPr>
        <w:t>1000-Grain Weight (g)</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300EEC">
        <w:rPr>
          <w:rFonts w:ascii="Times New Roman" w:eastAsia="Cambria" w:hAnsi="Times New Roman" w:cs="Times New Roman"/>
          <w:iCs/>
          <w:kern w:val="0"/>
          <w:lang w:val="en-US"/>
        </w:rPr>
        <w:t>A random sample of 1000 well-filled grains from each genotype was counted and weighed using a precision balance. The weight was expressed in grams.</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300EEC">
        <w:rPr>
          <w:rFonts w:ascii="Times New Roman" w:eastAsia="Cambria" w:hAnsi="Times New Roman" w:cs="Times New Roman"/>
          <w:b/>
          <w:bCs/>
          <w:iCs/>
          <w:kern w:val="0"/>
          <w:lang w:val="en-US"/>
        </w:rPr>
        <w:t>Green Fodder Yield per Plant (g)</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300EEC">
        <w:rPr>
          <w:rFonts w:ascii="Times New Roman" w:eastAsia="Cambria" w:hAnsi="Times New Roman" w:cs="Times New Roman"/>
          <w:iCs/>
          <w:kern w:val="0"/>
          <w:lang w:val="en-US"/>
        </w:rPr>
        <w:t>The fresh biomass obtained from each selected plant at harvest was weighed immediately after cutting and expressed in grams.</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300EEC">
        <w:rPr>
          <w:rFonts w:ascii="Times New Roman" w:eastAsia="Cambria" w:hAnsi="Times New Roman" w:cs="Times New Roman"/>
          <w:iCs/>
          <w:kern w:val="0"/>
          <w:lang w:val="en-US"/>
        </w:rPr>
        <w:t xml:space="preserve">The mean data obtained from all observations were subjected to statistical analysis. Analysis of variance (ANOVA) was performed according to the procedure described by Panse and Sukhatme (1985) for Randomized Block Design to test the significance of differences among genotypes. </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300EEC">
        <w:rPr>
          <w:rFonts w:ascii="Times New Roman" w:eastAsia="Cambria" w:hAnsi="Times New Roman" w:cs="Times New Roman"/>
          <w:iCs/>
          <w:kern w:val="0"/>
          <w:lang w:val="en-US"/>
        </w:rPr>
        <w:t>Genotypic coefficient of variation (GCV) and phenotypic coefficient of variation (PCV) were estimated following Burton and DeVane (1953). Broad-sense heritability was calculated according to Hanson et al. (1956), while genetic advance as percentage of mean was estimated using the method suggested by Johnson et al. (1955).</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commentRangeStart w:id="4"/>
      <w:r w:rsidRPr="00300EEC">
        <w:rPr>
          <w:rFonts w:ascii="Times New Roman" w:eastAsia="Cambria" w:hAnsi="Times New Roman" w:cs="Times New Roman"/>
          <w:iCs/>
          <w:kern w:val="0"/>
          <w:lang w:val="en-US"/>
        </w:rPr>
        <w:t>Genotypic and phenotypic correlation coefficients among different traits were computed following the method of Al-Jibouri et al. (1958). Path coefficient analysis was carried out according to Wright (1921) and later modified by Dewey and Lu (1959) to partition correlation coefficients into direct and indirect effects and to identify the most important yield-contributing traits influencing green fodder yield per plant.</w:t>
      </w:r>
      <w:commentRangeEnd w:id="4"/>
      <w:r w:rsidR="002F1E0A">
        <w:rPr>
          <w:rStyle w:val="CommentReference"/>
        </w:rPr>
        <w:commentReference w:id="4"/>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commentRangeStart w:id="5"/>
      <w:r w:rsidRPr="00300EEC">
        <w:rPr>
          <w:rFonts w:ascii="Times New Roman" w:eastAsia="Cambria" w:hAnsi="Times New Roman" w:cs="Times New Roman"/>
          <w:b/>
          <w:bCs/>
          <w:iCs/>
          <w:kern w:val="0"/>
          <w:lang w:val="en-US"/>
        </w:rPr>
        <w:t xml:space="preserve">RESULTS AND DISCUSSION </w:t>
      </w:r>
      <w:commentRangeEnd w:id="5"/>
      <w:r w:rsidR="00026F47">
        <w:rPr>
          <w:rStyle w:val="CommentReference"/>
        </w:rPr>
        <w:commentReference w:id="5"/>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300EEC">
        <w:rPr>
          <w:rFonts w:ascii="Times New Roman" w:eastAsia="Cambria" w:hAnsi="Times New Roman" w:cs="Times New Roman"/>
          <w:iCs/>
          <w:kern w:val="0"/>
          <w:lang w:val="en-US"/>
        </w:rPr>
        <w:t xml:space="preserve">The mean performance of twelve pearl millet genotypes for ten quantitative traits is presented in Table.2. Considerable variability was observed among the genotypes for all the characters studied, indicating the existence of substantial genetic diversity that may be effectively utilized in breeding programmes. </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300EEC">
        <w:rPr>
          <w:rFonts w:ascii="Times New Roman" w:eastAsia="Cambria" w:hAnsi="Times New Roman" w:cs="Times New Roman"/>
          <w:b/>
          <w:bCs/>
          <w:iCs/>
          <w:kern w:val="0"/>
          <w:lang w:val="en-US"/>
        </w:rPr>
        <w:t>Days to 50% Flowering</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300EEC">
        <w:rPr>
          <w:rFonts w:ascii="Times New Roman" w:eastAsia="Cambria" w:hAnsi="Times New Roman" w:cs="Times New Roman"/>
          <w:iCs/>
          <w:kern w:val="0"/>
          <w:lang w:val="en-US"/>
        </w:rPr>
        <w:t>Days to 50% flowering ranged from 61.33 days in NMH-68 to 80.00 days in HHB-223 with an overall mean of 68.98 days. The genotypes NMH-68, GHB-732 and Nandi-61 were identified as early flowering entries, whereas HHB-223 and Bio-448 were relatively late flowering. Earliness is considered an important trait under rainfed conditions as it enables plants to escape terminal drought stress. Similar variability for flowering behaviour in pearl millet was reported by Yadav et al. (2017), Anuradha et al. (2017) and Patel et al. (2022), who observed significant differences among genotypes for maturity-related traits.</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300EEC">
        <w:rPr>
          <w:rFonts w:ascii="Times New Roman" w:eastAsia="Cambria" w:hAnsi="Times New Roman" w:cs="Times New Roman"/>
          <w:b/>
          <w:bCs/>
          <w:iCs/>
          <w:kern w:val="0"/>
          <w:lang w:val="en-US"/>
        </w:rPr>
        <w:t>Plant Height (cm)</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300EEC">
        <w:rPr>
          <w:rFonts w:ascii="Times New Roman" w:eastAsia="Cambria" w:hAnsi="Times New Roman" w:cs="Times New Roman"/>
          <w:iCs/>
          <w:kern w:val="0"/>
          <w:lang w:val="en-US"/>
        </w:rPr>
        <w:t xml:space="preserve">Plant height varied considerably among genotypes, ranging from 193.83 cm in HHB-223 to 285.95 cm in MP-7792. The genotype MP-7792 was the tallest, followed by GHB-732 and JBH-1. Greater plant height generally contributes to enhanced </w:t>
      </w:r>
      <w:r w:rsidRPr="00300EEC">
        <w:rPr>
          <w:rFonts w:ascii="Times New Roman" w:eastAsia="Cambria" w:hAnsi="Times New Roman" w:cs="Times New Roman"/>
          <w:iCs/>
          <w:kern w:val="0"/>
          <w:lang w:val="en-US"/>
        </w:rPr>
        <w:lastRenderedPageBreak/>
        <w:t>biomass production and green fodder yield. Similar observations were reported by Anuradha et al. (2017), Yadav et al. (2017), Gupta et al. (2016) and Yadav et al. (2021), who reported substantial variability for plant stature in pearl millet germplasm.</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300EEC">
        <w:rPr>
          <w:rFonts w:ascii="Times New Roman" w:eastAsia="Cambria" w:hAnsi="Times New Roman" w:cs="Times New Roman"/>
          <w:b/>
          <w:bCs/>
          <w:iCs/>
          <w:kern w:val="0"/>
          <w:lang w:val="en-US"/>
        </w:rPr>
        <w:t>Number of Tillers per Plant</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300EEC">
        <w:rPr>
          <w:rFonts w:ascii="Times New Roman" w:eastAsia="Cambria" w:hAnsi="Times New Roman" w:cs="Times New Roman"/>
          <w:iCs/>
          <w:kern w:val="0"/>
          <w:lang w:val="en-US"/>
        </w:rPr>
        <w:t>The number of tillers per plant varied from 2.90 in NMH-68 to 3.64 in Bio-448, with a mean value of 3.22. Bio-448, JHBH-676 and GHB-732 recorded superior tillering ability. Productive tillers are important determinants of both grain and fodder yield because they increase biomass accumulation and reproductive potential. Similar observations were reported by Govindaraj et al. (2019), Singh et al. (2018) and Yadav et al. (2021), who identified tiller number as an important yield-contributing trait in pearl millet.</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300EEC">
        <w:rPr>
          <w:rFonts w:ascii="Times New Roman" w:eastAsia="Cambria" w:hAnsi="Times New Roman" w:cs="Times New Roman"/>
          <w:b/>
          <w:bCs/>
          <w:iCs/>
          <w:kern w:val="0"/>
          <w:lang w:val="en-US"/>
        </w:rPr>
        <w:t>Leaf Length and Leaf Width</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300EEC">
        <w:rPr>
          <w:rFonts w:ascii="Times New Roman" w:eastAsia="Cambria" w:hAnsi="Times New Roman" w:cs="Times New Roman"/>
          <w:iCs/>
          <w:kern w:val="0"/>
          <w:lang w:val="en-US"/>
        </w:rPr>
        <w:t xml:space="preserve">Leaf length ranged from 41.48 cm in M-86 to 73.58 cm in JBH-1, while leaf width varied from 2.15 cm in NMH-68 to 3.84 cm in Pusa-322. The genotypes JBH-1, Pusa-322, NMH-68 and GHB-732 exhibited superior leaf dimensions. Larger leavesenhance the photosynthetic surface area, resulting in greater assimilation of photosynthates and improved biomass accumulation, ultimately contributing higher fodder productivity. Considerable variability for leaf traits among pearl millet genotypes has also been reported by Govindaraj et al. (2019), Anuradha et al. (2017) and Patel et al. (2022), indicating the importance of these characters in forage improvement programmes. </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300EEC">
        <w:rPr>
          <w:rFonts w:ascii="Times New Roman" w:eastAsia="Cambria" w:hAnsi="Times New Roman" w:cs="Times New Roman"/>
          <w:b/>
          <w:bCs/>
          <w:iCs/>
          <w:kern w:val="0"/>
          <w:lang w:val="en-US"/>
        </w:rPr>
        <w:t>Panicle Length (cm)</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300EEC">
        <w:rPr>
          <w:rFonts w:ascii="Times New Roman" w:eastAsia="Cambria" w:hAnsi="Times New Roman" w:cs="Times New Roman"/>
          <w:iCs/>
          <w:kern w:val="0"/>
          <w:lang w:val="en-US"/>
        </w:rPr>
        <w:t xml:space="preserve">Panicle length exhibited wide variation among the genotypes, ranging from 31.42 cm in KBH-3940 to 56.90 cm in Nandi-61, with an overall mean of 46.75 cm. The genotypes Nandi-61, NMH-68 and JBH-1 recorded comparatively longer panicles. Panicle length is an important yield-attributing character because it influences the number of grains produced per panicle. Similar findings were reported by Yadav et al. (2017), Singh et al. (2018) and Govindaraj et al. (2019), who observed substantial variability for panicle length among pearl millet genotypes. </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300EEC">
        <w:rPr>
          <w:rFonts w:ascii="Times New Roman" w:eastAsia="Cambria" w:hAnsi="Times New Roman" w:cs="Times New Roman"/>
          <w:b/>
          <w:bCs/>
          <w:iCs/>
          <w:kern w:val="0"/>
          <w:lang w:val="en-US"/>
        </w:rPr>
        <w:t>Grain Yield per Plant (g)</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300EEC">
        <w:rPr>
          <w:rFonts w:ascii="Times New Roman" w:eastAsia="Cambria" w:hAnsi="Times New Roman" w:cs="Times New Roman"/>
          <w:iCs/>
          <w:kern w:val="0"/>
          <w:lang w:val="en-US"/>
        </w:rPr>
        <w:t>Grain yield per plant ranged from 9.55 g in M-86 to 18.05 g in GHB-732, with an average of 14.30 g. The highest grain yield was recorded in GHB-732, followed by JHBH-676, KBH-3940 and Bio-448. Higher grain yield may be attributed to the combined influence of favourable yield-contributing traits such as productive tillers, larger leaves and better assimilate partitioning. Similar results have been reported by Govindaraj et al. (2019), Yadav et al. (2021) and Patel et al. (2022), who emphasized the importance of these traits in improving grain productivity.</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300EEC">
        <w:rPr>
          <w:rFonts w:ascii="Times New Roman" w:eastAsia="Cambria" w:hAnsi="Times New Roman" w:cs="Times New Roman"/>
          <w:b/>
          <w:bCs/>
          <w:iCs/>
          <w:kern w:val="0"/>
          <w:lang w:val="en-US"/>
        </w:rPr>
        <w:t>Dry Matter Yield per Plant (g)</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300EEC">
        <w:rPr>
          <w:rFonts w:ascii="Times New Roman" w:eastAsia="Cambria" w:hAnsi="Times New Roman" w:cs="Times New Roman"/>
          <w:iCs/>
          <w:kern w:val="0"/>
          <w:lang w:val="en-US"/>
        </w:rPr>
        <w:t>Dry matter yield varied from 52.40 g in MP-7792 to 76.44 g in Bio-448, with a mean value of 64.82 g. The genotypes Bio-448, KBH-3940 and JBH-1 produced relatively higher dry matter yield than the remaining entries. Dry matter yield is one of the principal indicators of fodder quality and biomass production, and genotypes with higher dry matter accumulation are considered desirable for forage breeding programmes. Similar observations were reported by Yadav et al. (2021), Anuradha et al. (2017) and Gupta et al. (2016).</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300EEC">
        <w:rPr>
          <w:rFonts w:ascii="Times New Roman" w:eastAsia="Cambria" w:hAnsi="Times New Roman" w:cs="Times New Roman"/>
          <w:b/>
          <w:bCs/>
          <w:iCs/>
          <w:kern w:val="0"/>
          <w:lang w:val="en-US"/>
        </w:rPr>
        <w:t>1000-Grain Weight (g)</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300EEC">
        <w:rPr>
          <w:rFonts w:ascii="Times New Roman" w:eastAsia="Cambria" w:hAnsi="Times New Roman" w:cs="Times New Roman"/>
          <w:iCs/>
          <w:kern w:val="0"/>
          <w:lang w:val="en-US"/>
        </w:rPr>
        <w:t xml:space="preserve">The 1000-grain weight ranged from 6.25 g in HHB-197 to 8.76 g in KBH-3940, with an overall mean of 7.45 g. The highest </w:t>
      </w:r>
      <w:r w:rsidRPr="00300EEC">
        <w:rPr>
          <w:rFonts w:ascii="Times New Roman" w:eastAsia="Cambria" w:hAnsi="Times New Roman" w:cs="Times New Roman"/>
          <w:iCs/>
          <w:kern w:val="0"/>
          <w:lang w:val="en-US"/>
        </w:rPr>
        <w:lastRenderedPageBreak/>
        <w:t>test weight was observed in KBH-3940, followed by GHB-732 and Bio-448. Test weight reflects grain boldness and seed quality and is considered an important selection criterion for yield improvement. Similar variation for seed weight has been reported by Govindaraj et al. (2019), Patel et al. (2022) and Yadav et al. (2017).</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300EEC">
        <w:rPr>
          <w:rFonts w:ascii="Times New Roman" w:eastAsia="Cambria" w:hAnsi="Times New Roman" w:cs="Times New Roman"/>
          <w:b/>
          <w:bCs/>
          <w:iCs/>
          <w:kern w:val="0"/>
          <w:lang w:val="en-US"/>
        </w:rPr>
        <w:t>Green Fodder Yield per Plant (g)</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300EEC">
        <w:rPr>
          <w:rFonts w:ascii="Times New Roman" w:eastAsia="Cambria" w:hAnsi="Times New Roman" w:cs="Times New Roman"/>
          <w:iCs/>
          <w:kern w:val="0"/>
          <w:lang w:val="en-US"/>
        </w:rPr>
        <w:t>Green fodder yield per plant, the most important trait in the present investigation, ranged from 200.50 g in M-86 to 383.60 g in Bio-448, with an overall mean of 302.67 g.The genotype Bio-448 produced the highest green fodder yield, followed by KBH-3940, JHBH-676 and HHB-223. Higher fodder yield in these genotypes may be attributed to their favourable performance for plant height, tillering ability, leaf size and dry matter accumulation. These findings suggest that these genotypes possess considerable potential for utilization in fodder improvement programmes and may serve as promising parental lines in future breeding efforts. Similar results were reported by Govindaraj et al. (2019), Yadav et al. (2021), Patel et al. (2022) and Anuradha et al. (2017), who also identified significant variability among pearl millet genotypes for green fodder yield and its associated traits.</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300EEC">
        <w:rPr>
          <w:rFonts w:ascii="Times New Roman" w:eastAsia="Cambria" w:hAnsi="Times New Roman" w:cs="Times New Roman"/>
          <w:iCs/>
          <w:kern w:val="0"/>
          <w:lang w:val="en-US"/>
        </w:rPr>
        <w:t xml:space="preserve">The wide range of variation observed for all the studied traits indicated the presence of ample genetic variability among the evaluated pearl millet genotypes. Such variability provides an excellent opportunity for effective selection and genetic improvement aimed at developing high-yielding dual-purpose and fodder-type pearl millet cultivars. The present investigation revealed the existence of substantial genetic variability among the twelve pearl millet genotypes for all the ten quantitative traits studied. The analysis of variance indicated highly significant differences among genotypes for all the characters, confirming the presence of considerable genetic diversity that can be effectively exploited in future breeding programmes. The observed variability among the genotypes reflects differences in their genetic constitution as well as their adaptability to the prevailing agro-climatic conditions. </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300EEC">
        <w:rPr>
          <w:rFonts w:ascii="Times New Roman" w:eastAsia="Cambria" w:hAnsi="Times New Roman" w:cs="Times New Roman"/>
          <w:iCs/>
          <w:kern w:val="0"/>
          <w:lang w:val="en-US"/>
        </w:rPr>
        <w:t>Earliness is an important adaptive trait in pearl millet, particularly under rainfed and drought-prone environments where terminal moisture stress frequently limits crop productivity. In the present study, early flowering genotypes such as NMH-68, GHB-732 and Nandi-61 completed their reproductive phase earlier than the remaining entries, suggesting their suitability for moisture-deficit regions. Early flowering enables plants to escape terminal drought while ensuring stable grain and fodder production under limited water availability. Significant variation was also observed for plant height, tillering ability, leaf size and panicle length, all of which are important determinants of biomass accumulation and forage productivity. Genotypes possessing greater plant height, higher tiller number and larger leaf area are capable of intercepting more solar radiation, resulting in enhanced photosynthetic efficiency and greater dry matter production. Similarly, longer panicles generally contribute to improved grain development and overall productivity. The superior performance of genotypes such as Bio-448, GHB-732, JBH-1 and JHBH-676 for several yield-attributing characters indicates that these entries possess desirable morphological attributes for simultaneous improvement of grain and fodder yield. Grain yield is a complex quantitative character governed by the cumulative effects of several interrelated traits. In the present study, genotypes producing higher grain yield also exhibited favourable performance for one or more yield-contributing characters, including productive tillers, larger leaves and higher biomass production. This demonstrates that simultaneous improvement of these component traits may enhance overall productivity. Likewise, dry matter yield showed considerable variation among genotypes, indicating differences in biomass accumulation efficiency. Since dry matter production directly influences fodder quality and feeding value, genotypes with higher dry matter yield may be preferred for forage improvement programmes.</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300EEC">
        <w:rPr>
          <w:rFonts w:ascii="Times New Roman" w:eastAsia="Cambria" w:hAnsi="Times New Roman" w:cs="Times New Roman"/>
          <w:iCs/>
          <w:kern w:val="0"/>
          <w:lang w:val="en-US"/>
        </w:rPr>
        <w:t xml:space="preserve">Green fodder yield, which represents the primary objective in fodder pearl millet improvement, exhibited wide variation </w:t>
      </w:r>
      <w:r w:rsidRPr="00300EEC">
        <w:rPr>
          <w:rFonts w:ascii="Times New Roman" w:eastAsia="Cambria" w:hAnsi="Times New Roman" w:cs="Times New Roman"/>
          <w:iCs/>
          <w:kern w:val="0"/>
          <w:lang w:val="en-US"/>
        </w:rPr>
        <w:lastRenderedPageBreak/>
        <w:t xml:space="preserve">among the evaluated genotypes. The superior performance of Bio-448, KBH-3940 and JHBH-676 indicates their greater potential biomass production under Bundelkhand conditions. The enhanced fodder yield recorded in these genotypes may be attributed to their favourable combination of plant height, tillering capacity, leaf dimensions and dry matter accumulation. These findings suggest that improvement in green fodder yield can be achieved through simultaneous selection for these associated morphological traits. The wide variability observed in the present investigation provides sufficient scope for effective selection of superior genotypes. Such diversity is highly desirable in breeding programmes because it increases the probability of identifying elite parental lines capable of producing superior segregants in subsequent generations. The identified high-performing genotypes may therefore be utilized directly for multilocation evaluation or incorporated as promising parents in hybridization programmes aimed at developing high-yielding dual-purpose pearl millet cultivars suitable for the semi-arid conditions of Bundelkhand and similar agro-ecological regions. </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300EEC">
        <w:rPr>
          <w:rFonts w:ascii="Times New Roman" w:eastAsia="Cambria" w:hAnsi="Times New Roman" w:cs="Times New Roman"/>
          <w:iCs/>
          <w:kern w:val="0"/>
          <w:lang w:val="en-US"/>
        </w:rPr>
        <w:t>The results of the present investigation clearly demonstrate that substantial variability exists among the evaluated pearl millet genotypes for economically important traits. The combined improvement of flowering behaviour, tillering ability, leaf characteristics, biomass production and grain yield through systematic selection will contribute significantly towards the development of superior pearl millet cultivars with enhanced grain as well as fodder productivity.</w:t>
      </w:r>
    </w:p>
    <w:p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p>
    <w:p w:rsidR="00DC429E" w:rsidRPr="00300EEC" w:rsidRDefault="00DC429E" w:rsidP="00300EEC">
      <w:pPr>
        <w:pStyle w:val="BodyText"/>
        <w:spacing w:line="360" w:lineRule="auto"/>
        <w:ind w:left="28"/>
        <w:jc w:val="both"/>
        <w:rPr>
          <w:rFonts w:ascii="Times New Roman" w:hAnsi="Times New Roman" w:cs="Times New Roman"/>
          <w:b/>
          <w:bCs/>
          <w:sz w:val="22"/>
          <w:szCs w:val="22"/>
          <w:lang w:val="en-IN"/>
        </w:rPr>
      </w:pPr>
      <w:r w:rsidRPr="00300EEC">
        <w:rPr>
          <w:rFonts w:ascii="Times New Roman" w:hAnsi="Times New Roman" w:cs="Times New Roman"/>
          <w:b/>
          <w:bCs/>
          <w:sz w:val="22"/>
          <w:szCs w:val="22"/>
          <w:lang w:val="en-IN"/>
        </w:rPr>
        <w:t>Table 1</w:t>
      </w:r>
      <w:commentRangeStart w:id="6"/>
      <w:r w:rsidRPr="00300EEC">
        <w:rPr>
          <w:rFonts w:ascii="Times New Roman" w:hAnsi="Times New Roman" w:cs="Times New Roman"/>
          <w:b/>
          <w:bCs/>
          <w:sz w:val="22"/>
          <w:szCs w:val="22"/>
          <w:lang w:val="en-IN"/>
        </w:rPr>
        <w:t>. Analysis of variance (ANOVA) for ten quantitative traits in pearl millet evaluated under a randomized block design</w:t>
      </w:r>
      <w:commentRangeEnd w:id="6"/>
      <w:r w:rsidR="008D23A8">
        <w:rPr>
          <w:rStyle w:val="CommentReference"/>
          <w:rFonts w:asciiTheme="minorHAnsi" w:eastAsiaTheme="minorHAnsi" w:hAnsiTheme="minorHAnsi" w:cstheme="minorBidi"/>
          <w:kern w:val="2"/>
          <w:lang w:val="en-IN"/>
        </w:rPr>
        <w:commentReference w:id="6"/>
      </w:r>
    </w:p>
    <w:tbl>
      <w:tblPr>
        <w:tblW w:w="10506" w:type="dxa"/>
        <w:tblCellSpacing w:w="15" w:type="dxa"/>
        <w:tblCellMar>
          <w:top w:w="15" w:type="dxa"/>
          <w:left w:w="15" w:type="dxa"/>
          <w:bottom w:w="15" w:type="dxa"/>
          <w:right w:w="15" w:type="dxa"/>
        </w:tblCellMar>
        <w:tblLook w:val="04A0"/>
      </w:tblPr>
      <w:tblGrid>
        <w:gridCol w:w="3433"/>
        <w:gridCol w:w="1382"/>
        <w:gridCol w:w="2146"/>
        <w:gridCol w:w="2052"/>
        <w:gridCol w:w="1493"/>
      </w:tblGrid>
      <w:tr w:rsidR="00DC429E" w:rsidRPr="00300EEC" w:rsidTr="00803689">
        <w:trPr>
          <w:trHeight w:val="292"/>
          <w:tblHeader/>
          <w:tblCellSpacing w:w="15" w:type="dxa"/>
        </w:trPr>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b/>
                <w:bCs/>
                <w:sz w:val="22"/>
                <w:szCs w:val="22"/>
                <w:lang w:val="en-IN"/>
              </w:rPr>
            </w:pPr>
            <w:r w:rsidRPr="00300EEC">
              <w:rPr>
                <w:rFonts w:ascii="Times New Roman" w:hAnsi="Times New Roman" w:cs="Times New Roman"/>
                <w:b/>
                <w:bCs/>
                <w:sz w:val="22"/>
                <w:szCs w:val="22"/>
                <w:lang w:val="en-IN"/>
              </w:rPr>
              <w:t>Trait</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b/>
                <w:bCs/>
                <w:sz w:val="22"/>
                <w:szCs w:val="22"/>
                <w:lang w:val="en-IN"/>
              </w:rPr>
            </w:pPr>
            <w:r w:rsidRPr="00300EEC">
              <w:rPr>
                <w:rFonts w:ascii="Times New Roman" w:hAnsi="Times New Roman" w:cs="Times New Roman"/>
                <w:b/>
                <w:bCs/>
                <w:sz w:val="22"/>
                <w:szCs w:val="22"/>
                <w:lang w:val="en-IN"/>
              </w:rPr>
              <w:t>df</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b/>
                <w:bCs/>
                <w:sz w:val="22"/>
                <w:szCs w:val="22"/>
                <w:lang w:val="en-IN"/>
              </w:rPr>
            </w:pPr>
            <w:r w:rsidRPr="00300EEC">
              <w:rPr>
                <w:rFonts w:ascii="Times New Roman" w:hAnsi="Times New Roman" w:cs="Times New Roman"/>
                <w:b/>
                <w:bCs/>
                <w:sz w:val="22"/>
                <w:szCs w:val="22"/>
                <w:lang w:val="en-IN"/>
              </w:rPr>
              <w:t>Replication (MS)</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b/>
                <w:bCs/>
                <w:sz w:val="22"/>
                <w:szCs w:val="22"/>
                <w:lang w:val="en-IN"/>
              </w:rPr>
            </w:pPr>
            <w:r w:rsidRPr="00300EEC">
              <w:rPr>
                <w:rFonts w:ascii="Times New Roman" w:hAnsi="Times New Roman" w:cs="Times New Roman"/>
                <w:b/>
                <w:bCs/>
                <w:sz w:val="22"/>
                <w:szCs w:val="22"/>
                <w:lang w:val="en-IN"/>
              </w:rPr>
              <w:t>Treatment (MS)</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b/>
                <w:bCs/>
                <w:sz w:val="22"/>
                <w:szCs w:val="22"/>
                <w:lang w:val="en-IN"/>
              </w:rPr>
            </w:pPr>
            <w:r w:rsidRPr="00300EEC">
              <w:rPr>
                <w:rFonts w:ascii="Times New Roman" w:hAnsi="Times New Roman" w:cs="Times New Roman"/>
                <w:b/>
                <w:bCs/>
                <w:sz w:val="22"/>
                <w:szCs w:val="22"/>
                <w:lang w:val="en-IN"/>
              </w:rPr>
              <w:t>Error (MS)</w:t>
            </w:r>
          </w:p>
        </w:tc>
      </w:tr>
      <w:tr w:rsidR="00DC429E" w:rsidRPr="00300EEC" w:rsidTr="00803689">
        <w:trPr>
          <w:trHeight w:val="835"/>
          <w:tblCellSpacing w:w="15" w:type="dxa"/>
        </w:trPr>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b/>
                <w:bCs/>
                <w:sz w:val="22"/>
                <w:szCs w:val="22"/>
                <w:lang w:val="en-IN"/>
              </w:rPr>
            </w:pP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b/>
                <w:bCs/>
                <w:sz w:val="22"/>
                <w:szCs w:val="22"/>
                <w:lang w:val="en-IN"/>
              </w:rPr>
              <w:t>Rep = 2</w:t>
            </w:r>
            <w:r w:rsidRPr="00300EEC">
              <w:rPr>
                <w:rFonts w:ascii="Times New Roman" w:hAnsi="Times New Roman" w:cs="Times New Roman"/>
                <w:sz w:val="22"/>
                <w:szCs w:val="22"/>
                <w:lang w:val="en-IN"/>
              </w:rPr>
              <w:br/>
            </w:r>
            <w:r w:rsidRPr="00300EEC">
              <w:rPr>
                <w:rFonts w:ascii="Times New Roman" w:hAnsi="Times New Roman" w:cs="Times New Roman"/>
                <w:b/>
                <w:bCs/>
                <w:sz w:val="22"/>
                <w:szCs w:val="22"/>
                <w:lang w:val="en-IN"/>
              </w:rPr>
              <w:t>Trt = 11</w:t>
            </w:r>
            <w:r w:rsidRPr="00300EEC">
              <w:rPr>
                <w:rFonts w:ascii="Times New Roman" w:hAnsi="Times New Roman" w:cs="Times New Roman"/>
                <w:sz w:val="22"/>
                <w:szCs w:val="22"/>
                <w:lang w:val="en-IN"/>
              </w:rPr>
              <w:br/>
            </w:r>
            <w:r w:rsidRPr="00300EEC">
              <w:rPr>
                <w:rFonts w:ascii="Times New Roman" w:hAnsi="Times New Roman" w:cs="Times New Roman"/>
                <w:b/>
                <w:bCs/>
                <w:sz w:val="22"/>
                <w:szCs w:val="22"/>
                <w:lang w:val="en-IN"/>
              </w:rPr>
              <w:t>Error = 22</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p>
        </w:tc>
      </w:tr>
      <w:tr w:rsidR="00DC429E" w:rsidRPr="00300EEC" w:rsidTr="00803689">
        <w:trPr>
          <w:trHeight w:val="292"/>
          <w:tblCellSpacing w:w="15" w:type="dxa"/>
        </w:trPr>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Days to 50% flowering</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0.592</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80.913**</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6.440</w:t>
            </w:r>
          </w:p>
        </w:tc>
      </w:tr>
      <w:tr w:rsidR="00DC429E" w:rsidRPr="00300EEC" w:rsidTr="00803689">
        <w:trPr>
          <w:trHeight w:val="270"/>
          <w:tblCellSpacing w:w="15" w:type="dxa"/>
        </w:trPr>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Tillers plant⁻¹</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0.322*</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0.625**</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0.090</w:t>
            </w:r>
          </w:p>
        </w:tc>
      </w:tr>
      <w:tr w:rsidR="00DC429E" w:rsidRPr="00300EEC" w:rsidTr="00803689">
        <w:trPr>
          <w:trHeight w:val="292"/>
          <w:tblCellSpacing w:w="15" w:type="dxa"/>
        </w:trPr>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Leaf length (cm)</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96.401*</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198.680**</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19.223</w:t>
            </w:r>
          </w:p>
        </w:tc>
      </w:tr>
      <w:tr w:rsidR="00DC429E" w:rsidRPr="00300EEC" w:rsidTr="00803689">
        <w:trPr>
          <w:trHeight w:val="270"/>
          <w:tblCellSpacing w:w="15" w:type="dxa"/>
        </w:trPr>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Leaf width (cm)</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0.076</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0.375**</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0.029</w:t>
            </w:r>
          </w:p>
        </w:tc>
      </w:tr>
      <w:tr w:rsidR="00DC429E" w:rsidRPr="00300EEC" w:rsidTr="00803689">
        <w:trPr>
          <w:trHeight w:val="292"/>
          <w:tblCellSpacing w:w="15" w:type="dxa"/>
        </w:trPr>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Grain yield plant⁻¹ (g)</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0.085</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25.703**</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0.291</w:t>
            </w:r>
          </w:p>
        </w:tc>
      </w:tr>
      <w:tr w:rsidR="00DC429E" w:rsidRPr="00300EEC" w:rsidTr="00803689">
        <w:trPr>
          <w:trHeight w:val="270"/>
          <w:tblCellSpacing w:w="15" w:type="dxa"/>
        </w:trPr>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Dry matter yield plant⁻¹ (g)</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15.778</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203.493**</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5.727</w:t>
            </w:r>
          </w:p>
        </w:tc>
      </w:tr>
      <w:tr w:rsidR="00DC429E" w:rsidRPr="00300EEC" w:rsidTr="00803689">
        <w:trPr>
          <w:trHeight w:val="292"/>
          <w:tblCellSpacing w:w="15" w:type="dxa"/>
        </w:trPr>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Plant height (cm)</w:t>
            </w:r>
          </w:p>
        </w:tc>
        <w:tc>
          <w:tcPr>
            <w:tcW w:w="0" w:type="auto"/>
            <w:vAlign w:val="center"/>
            <w:hideMark/>
          </w:tcPr>
          <w:p w:rsidR="00DC429E" w:rsidRPr="00300EEC" w:rsidRDefault="00DC429E" w:rsidP="00300EEC">
            <w:pPr>
              <w:pStyle w:val="BodyText"/>
              <w:spacing w:line="360" w:lineRule="auto"/>
              <w:jc w:val="both"/>
              <w:rPr>
                <w:rFonts w:ascii="Times New Roman" w:hAnsi="Times New Roman" w:cs="Times New Roman"/>
                <w:sz w:val="22"/>
                <w:szCs w:val="22"/>
                <w:lang w:val="en-IN"/>
              </w:rPr>
            </w:pP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510.826</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3760.478**</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386.990</w:t>
            </w:r>
          </w:p>
        </w:tc>
      </w:tr>
      <w:tr w:rsidR="00DC429E" w:rsidRPr="00300EEC" w:rsidTr="00803689">
        <w:trPr>
          <w:trHeight w:val="270"/>
          <w:tblCellSpacing w:w="15" w:type="dxa"/>
        </w:trPr>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Panicle length (cm)</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1.561</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222.099**</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3.136</w:t>
            </w:r>
          </w:p>
        </w:tc>
      </w:tr>
      <w:tr w:rsidR="00DC429E" w:rsidRPr="00300EEC" w:rsidTr="00803689">
        <w:trPr>
          <w:trHeight w:val="292"/>
          <w:tblCellSpacing w:w="15" w:type="dxa"/>
        </w:trPr>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1000-grain weight (g)</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0.080</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2.039**</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0.281</w:t>
            </w:r>
          </w:p>
        </w:tc>
      </w:tr>
      <w:tr w:rsidR="00DC429E" w:rsidRPr="00300EEC" w:rsidTr="00803689">
        <w:trPr>
          <w:trHeight w:val="270"/>
          <w:tblCellSpacing w:w="15" w:type="dxa"/>
        </w:trPr>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Green fodder yield plant⁻¹ (g)</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399.780</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4718.486**</w:t>
            </w:r>
          </w:p>
        </w:tc>
        <w:tc>
          <w:tcPr>
            <w:tcW w:w="0" w:type="auto"/>
            <w:vAlign w:val="center"/>
            <w:hideMark/>
          </w:tcPr>
          <w:p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474.130</w:t>
            </w:r>
          </w:p>
        </w:tc>
      </w:tr>
    </w:tbl>
    <w:p w:rsidR="00DC429E" w:rsidRPr="00DC429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sectPr w:rsidR="00DC429E" w:rsidRPr="00DC429E" w:rsidSect="00DC429E">
          <w:headerReference w:type="even" r:id="rId8"/>
          <w:headerReference w:type="default" r:id="rId9"/>
          <w:footerReference w:type="even" r:id="rId10"/>
          <w:footerReference w:type="default" r:id="rId11"/>
          <w:headerReference w:type="first" r:id="rId12"/>
          <w:footerReference w:type="first" r:id="rId13"/>
          <w:pgSz w:w="11910" w:h="16840"/>
          <w:pgMar w:top="460" w:right="425" w:bottom="280" w:left="425" w:header="720" w:footer="720" w:gutter="0"/>
          <w:cols w:space="720"/>
        </w:sectPr>
      </w:pPr>
    </w:p>
    <w:p w:rsidR="00DC429E" w:rsidRPr="00300EEC" w:rsidRDefault="00DC429E" w:rsidP="00300EEC">
      <w:pPr>
        <w:pStyle w:val="BodyText"/>
        <w:spacing w:before="8" w:line="360" w:lineRule="auto"/>
        <w:jc w:val="both"/>
        <w:rPr>
          <w:rFonts w:ascii="Times New Roman" w:hAnsi="Times New Roman" w:cs="Times New Roman"/>
          <w:b/>
          <w:bCs/>
          <w:iCs/>
          <w:sz w:val="22"/>
          <w:szCs w:val="22"/>
          <w:lang w:val="en-IN"/>
        </w:rPr>
      </w:pPr>
      <w:r w:rsidRPr="00300EEC">
        <w:rPr>
          <w:rFonts w:ascii="Times New Roman" w:hAnsi="Times New Roman" w:cs="Times New Roman"/>
          <w:b/>
          <w:bCs/>
          <w:iCs/>
          <w:sz w:val="22"/>
          <w:szCs w:val="22"/>
          <w:lang w:val="en-IN"/>
        </w:rPr>
        <w:lastRenderedPageBreak/>
        <w:t>Table 2. Mean performance of twelve pearl millet genotypes for yield and yield-attributing traits</w:t>
      </w:r>
    </w:p>
    <w:tbl>
      <w:tblPr>
        <w:tblW w:w="11060" w:type="dxa"/>
        <w:tblCellSpacing w:w="15" w:type="dxa"/>
        <w:tblInd w:w="-1007" w:type="dxa"/>
        <w:tblCellMar>
          <w:top w:w="15" w:type="dxa"/>
          <w:left w:w="15" w:type="dxa"/>
          <w:bottom w:w="15" w:type="dxa"/>
          <w:right w:w="15" w:type="dxa"/>
        </w:tblCellMar>
        <w:tblLook w:val="04A0"/>
      </w:tblPr>
      <w:tblGrid>
        <w:gridCol w:w="1318"/>
        <w:gridCol w:w="693"/>
        <w:gridCol w:w="554"/>
        <w:gridCol w:w="1048"/>
        <w:gridCol w:w="1142"/>
        <w:gridCol w:w="879"/>
        <w:gridCol w:w="1125"/>
        <w:gridCol w:w="1063"/>
        <w:gridCol w:w="1033"/>
        <w:gridCol w:w="1142"/>
        <w:gridCol w:w="1063"/>
      </w:tblGrid>
      <w:tr w:rsidR="00DC429E" w:rsidRPr="00300EEC" w:rsidTr="00DC429E">
        <w:trPr>
          <w:trHeight w:val="349"/>
          <w:tblHeader/>
          <w:tblCellSpacing w:w="15" w:type="dxa"/>
        </w:trPr>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
                <w:bCs/>
                <w:iCs/>
                <w:sz w:val="22"/>
                <w:szCs w:val="22"/>
                <w:lang w:val="en-IN"/>
              </w:rPr>
            </w:pPr>
            <w:r w:rsidRPr="00300EEC">
              <w:rPr>
                <w:rFonts w:ascii="Times New Roman" w:hAnsi="Times New Roman" w:cs="Times New Roman"/>
                <w:b/>
                <w:bCs/>
                <w:iCs/>
                <w:sz w:val="22"/>
                <w:szCs w:val="22"/>
                <w:lang w:val="en-IN"/>
              </w:rPr>
              <w:t>Genotype</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
                <w:bCs/>
                <w:iCs/>
                <w:sz w:val="22"/>
                <w:szCs w:val="22"/>
                <w:lang w:val="en-IN"/>
              </w:rPr>
            </w:pPr>
            <w:r w:rsidRPr="00300EEC">
              <w:rPr>
                <w:rFonts w:ascii="Times New Roman" w:hAnsi="Times New Roman" w:cs="Times New Roman"/>
                <w:b/>
                <w:bCs/>
                <w:iCs/>
                <w:sz w:val="22"/>
                <w:szCs w:val="22"/>
                <w:lang w:val="en-IN"/>
              </w:rPr>
              <w:t>DF</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
                <w:bCs/>
                <w:iCs/>
                <w:sz w:val="22"/>
                <w:szCs w:val="22"/>
                <w:lang w:val="en-IN"/>
              </w:rPr>
            </w:pPr>
            <w:r w:rsidRPr="00300EEC">
              <w:rPr>
                <w:rFonts w:ascii="Times New Roman" w:hAnsi="Times New Roman" w:cs="Times New Roman"/>
                <w:b/>
                <w:bCs/>
                <w:iCs/>
                <w:sz w:val="22"/>
                <w:szCs w:val="22"/>
                <w:lang w:val="en-IN"/>
              </w:rPr>
              <w:t>TP</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
                <w:bCs/>
                <w:iCs/>
                <w:sz w:val="22"/>
                <w:szCs w:val="22"/>
                <w:lang w:val="en-IN"/>
              </w:rPr>
            </w:pPr>
            <w:r w:rsidRPr="00300EEC">
              <w:rPr>
                <w:rFonts w:ascii="Times New Roman" w:hAnsi="Times New Roman" w:cs="Times New Roman"/>
                <w:b/>
                <w:bCs/>
                <w:iCs/>
                <w:sz w:val="22"/>
                <w:szCs w:val="22"/>
                <w:lang w:val="en-IN"/>
              </w:rPr>
              <w:t>LL (cm)</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
                <w:bCs/>
                <w:iCs/>
                <w:sz w:val="22"/>
                <w:szCs w:val="22"/>
                <w:lang w:val="en-IN"/>
              </w:rPr>
            </w:pPr>
            <w:r w:rsidRPr="00300EEC">
              <w:rPr>
                <w:rFonts w:ascii="Times New Roman" w:hAnsi="Times New Roman" w:cs="Times New Roman"/>
                <w:b/>
                <w:bCs/>
                <w:iCs/>
                <w:sz w:val="22"/>
                <w:szCs w:val="22"/>
                <w:lang w:val="en-IN"/>
              </w:rPr>
              <w:t>LW (cm)</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
                <w:bCs/>
                <w:iCs/>
                <w:sz w:val="22"/>
                <w:szCs w:val="22"/>
                <w:lang w:val="en-IN"/>
              </w:rPr>
            </w:pPr>
            <w:r w:rsidRPr="00300EEC">
              <w:rPr>
                <w:rFonts w:ascii="Times New Roman" w:hAnsi="Times New Roman" w:cs="Times New Roman"/>
                <w:b/>
                <w:bCs/>
                <w:iCs/>
                <w:sz w:val="22"/>
                <w:szCs w:val="22"/>
                <w:lang w:val="en-IN"/>
              </w:rPr>
              <w:t>GY (g)</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
                <w:bCs/>
                <w:iCs/>
                <w:sz w:val="22"/>
                <w:szCs w:val="22"/>
                <w:lang w:val="en-IN"/>
              </w:rPr>
            </w:pPr>
            <w:r w:rsidRPr="00300EEC">
              <w:rPr>
                <w:rFonts w:ascii="Times New Roman" w:hAnsi="Times New Roman" w:cs="Times New Roman"/>
                <w:b/>
                <w:bCs/>
                <w:iCs/>
                <w:sz w:val="22"/>
                <w:szCs w:val="22"/>
                <w:lang w:val="en-IN"/>
              </w:rPr>
              <w:t>DMY (g)</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
                <w:bCs/>
                <w:iCs/>
                <w:sz w:val="22"/>
                <w:szCs w:val="22"/>
                <w:lang w:val="en-IN"/>
              </w:rPr>
            </w:pPr>
            <w:r w:rsidRPr="00300EEC">
              <w:rPr>
                <w:rFonts w:ascii="Times New Roman" w:hAnsi="Times New Roman" w:cs="Times New Roman"/>
                <w:b/>
                <w:bCs/>
                <w:iCs/>
                <w:sz w:val="22"/>
                <w:szCs w:val="22"/>
                <w:lang w:val="en-IN"/>
              </w:rPr>
              <w:t>PH (cm)</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
                <w:bCs/>
                <w:iCs/>
                <w:sz w:val="22"/>
                <w:szCs w:val="22"/>
                <w:lang w:val="en-IN"/>
              </w:rPr>
            </w:pPr>
            <w:r w:rsidRPr="00300EEC">
              <w:rPr>
                <w:rFonts w:ascii="Times New Roman" w:hAnsi="Times New Roman" w:cs="Times New Roman"/>
                <w:b/>
                <w:bCs/>
                <w:iCs/>
                <w:sz w:val="22"/>
                <w:szCs w:val="22"/>
                <w:lang w:val="en-IN"/>
              </w:rPr>
              <w:t>PL (cm)</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
                <w:bCs/>
                <w:iCs/>
                <w:sz w:val="22"/>
                <w:szCs w:val="22"/>
                <w:lang w:val="en-IN"/>
              </w:rPr>
            </w:pPr>
            <w:r w:rsidRPr="00300EEC">
              <w:rPr>
                <w:rFonts w:ascii="Times New Roman" w:hAnsi="Times New Roman" w:cs="Times New Roman"/>
                <w:b/>
                <w:bCs/>
                <w:iCs/>
                <w:sz w:val="22"/>
                <w:szCs w:val="22"/>
                <w:lang w:val="en-IN"/>
              </w:rPr>
              <w:t>TGW (g)</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
                <w:bCs/>
                <w:iCs/>
                <w:sz w:val="22"/>
                <w:szCs w:val="22"/>
                <w:lang w:val="en-IN"/>
              </w:rPr>
            </w:pPr>
            <w:r w:rsidRPr="00300EEC">
              <w:rPr>
                <w:rFonts w:ascii="Times New Roman" w:hAnsi="Times New Roman" w:cs="Times New Roman"/>
                <w:b/>
                <w:bCs/>
                <w:iCs/>
                <w:sz w:val="22"/>
                <w:szCs w:val="22"/>
                <w:lang w:val="en-IN"/>
              </w:rPr>
              <w:t>GFY (g)</w:t>
            </w:r>
          </w:p>
        </w:tc>
      </w:tr>
      <w:tr w:rsidR="00DC429E" w:rsidRPr="00300EEC" w:rsidTr="00DC429E">
        <w:trPr>
          <w:trHeight w:val="382"/>
          <w:tblCellSpacing w:w="15" w:type="dxa"/>
        </w:trPr>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KBH-3940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70.67</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3.38</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48.03</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3.67</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16.25</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70.03</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219.90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31.42</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8.76</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355.65</w:t>
            </w:r>
          </w:p>
        </w:tc>
      </w:tr>
      <w:tr w:rsidR="00DC429E" w:rsidRPr="00300EEC" w:rsidTr="00DC429E">
        <w:trPr>
          <w:trHeight w:val="349"/>
          <w:tblCellSpacing w:w="15" w:type="dxa"/>
        </w:trPr>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Bio-448</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78.33</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3.64</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59.98</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3.76</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15.90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76.44</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218.90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40.88</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7.80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383.60</w:t>
            </w:r>
          </w:p>
        </w:tc>
      </w:tr>
      <w:tr w:rsidR="00DC429E" w:rsidRPr="00300EEC" w:rsidTr="00DC429E">
        <w:trPr>
          <w:trHeight w:val="382"/>
          <w:tblCellSpacing w:w="15" w:type="dxa"/>
        </w:trPr>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M-86</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65.67</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3.06</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41.48</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3.34</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9.55</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66.06</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203.77</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37.37</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7.20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200.50</w:t>
            </w:r>
          </w:p>
        </w:tc>
      </w:tr>
      <w:tr w:rsidR="00DC429E" w:rsidRPr="00300EEC" w:rsidTr="00DC429E">
        <w:trPr>
          <w:trHeight w:val="349"/>
          <w:tblCellSpacing w:w="15" w:type="dxa"/>
        </w:trPr>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MP-7792</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69.67</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3.45</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41.81</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3.20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14.70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52.40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285.95</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50.95</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7.10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220.60</w:t>
            </w:r>
          </w:p>
        </w:tc>
      </w:tr>
      <w:tr w:rsidR="00DC429E" w:rsidRPr="00300EEC" w:rsidTr="00DC429E">
        <w:trPr>
          <w:trHeight w:val="382"/>
          <w:tblCellSpacing w:w="15" w:type="dxa"/>
        </w:trPr>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JHBH-676</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71.67</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3.60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53.42</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3.42</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16.65</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65.26</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196.83</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43.32</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7.65</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344.10</w:t>
            </w:r>
          </w:p>
        </w:tc>
      </w:tr>
      <w:tr w:rsidR="00DC429E" w:rsidRPr="00300EEC" w:rsidTr="00DC429E">
        <w:trPr>
          <w:trHeight w:val="349"/>
          <w:tblCellSpacing w:w="15" w:type="dxa"/>
        </w:trPr>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HHB-223</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80.00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3.28</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62.16</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3.05</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13.83</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62.90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193.83</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52.59</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7.00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335.60</w:t>
            </w:r>
          </w:p>
        </w:tc>
      </w:tr>
      <w:tr w:rsidR="00DC429E" w:rsidRPr="00300EEC" w:rsidTr="00DC429E">
        <w:trPr>
          <w:trHeight w:val="382"/>
          <w:tblCellSpacing w:w="15" w:type="dxa"/>
        </w:trPr>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Nandi-61</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65.00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3.06</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66.50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3.80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12.27</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65.19</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204.23</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56.90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7.60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285.60</w:t>
            </w:r>
          </w:p>
        </w:tc>
      </w:tr>
      <w:tr w:rsidR="00DC429E" w:rsidRPr="00300EEC" w:rsidTr="00DC429E">
        <w:trPr>
          <w:trHeight w:val="349"/>
          <w:tblCellSpacing w:w="15" w:type="dxa"/>
        </w:trPr>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GHB-732</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63.33</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3.54</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66.90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3.25</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18.05</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56.90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220.05</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39.22</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8.40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300.50</w:t>
            </w:r>
          </w:p>
        </w:tc>
      </w:tr>
      <w:tr w:rsidR="00DC429E" w:rsidRPr="00300EEC" w:rsidTr="00DC429E">
        <w:trPr>
          <w:trHeight w:val="382"/>
          <w:tblCellSpacing w:w="15" w:type="dxa"/>
        </w:trPr>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HHB-197</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71.33</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2.94</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59.88</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3.00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11.72</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65.44</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214.75</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49.41</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6.25</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289.60</w:t>
            </w:r>
          </w:p>
        </w:tc>
      </w:tr>
      <w:tr w:rsidR="00DC429E" w:rsidRPr="00300EEC" w:rsidTr="00DC429E">
        <w:trPr>
          <w:trHeight w:val="349"/>
          <w:tblCellSpacing w:w="15" w:type="dxa"/>
        </w:trPr>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NMH-68</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61.33</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2.90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67.87</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2.15</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15.47</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54.45</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209.57</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56.80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7.65</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310.50</w:t>
            </w:r>
          </w:p>
        </w:tc>
      </w:tr>
      <w:tr w:rsidR="00DC429E" w:rsidRPr="00300EEC" w:rsidTr="00DC429E">
        <w:trPr>
          <w:trHeight w:val="382"/>
          <w:tblCellSpacing w:w="15" w:type="dxa"/>
        </w:trPr>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Pusa-322</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69.00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2.96</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68.60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3.84</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10.67</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67.77</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214.47</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47.33</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6.90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295.40</w:t>
            </w:r>
          </w:p>
        </w:tc>
      </w:tr>
      <w:tr w:rsidR="00DC429E" w:rsidRPr="00300EEC" w:rsidTr="00DC429E">
        <w:trPr>
          <w:trHeight w:val="349"/>
          <w:tblCellSpacing w:w="15" w:type="dxa"/>
        </w:trPr>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JBH-1</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69.67</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3.35</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73.58</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3.22</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14.00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69.00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220.20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54.81</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7.10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310.35</w:t>
            </w:r>
          </w:p>
        </w:tc>
      </w:tr>
      <w:tr w:rsidR="00DC429E" w:rsidRPr="00300EEC" w:rsidTr="00DC429E">
        <w:trPr>
          <w:trHeight w:val="382"/>
          <w:tblCellSpacing w:w="15" w:type="dxa"/>
        </w:trPr>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Mean</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68.98</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3.22</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58.97</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3.41</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14.30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64.82</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216.37</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46.75</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7.45</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302.67</w:t>
            </w:r>
          </w:p>
        </w:tc>
      </w:tr>
      <w:tr w:rsidR="00DC429E" w:rsidRPr="00300EEC" w:rsidTr="00DC429E">
        <w:trPr>
          <w:trHeight w:val="349"/>
          <w:tblCellSpacing w:w="15" w:type="dxa"/>
        </w:trPr>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SEm (±)</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1.46</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0.17</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2.53</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0.09</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0.31</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1.38</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11.35</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1.02</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0.30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12.57</w:t>
            </w:r>
          </w:p>
        </w:tc>
      </w:tr>
      <w:tr w:rsidR="00DC429E" w:rsidRPr="00300EEC" w:rsidTr="00DC429E">
        <w:trPr>
          <w:trHeight w:val="382"/>
          <w:tblCellSpacing w:w="15" w:type="dxa"/>
        </w:trPr>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CV (%)</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3.67</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9.32</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7.43</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5.00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3.77</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4.00</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10.67</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3.91</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7.06</w:t>
            </w:r>
          </w:p>
        </w:tc>
        <w:tc>
          <w:tcPr>
            <w:tcW w:w="0" w:type="auto"/>
            <w:vAlign w:val="center"/>
            <w:hideMark/>
          </w:tcPr>
          <w:p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7.27</w:t>
            </w:r>
          </w:p>
        </w:tc>
      </w:tr>
    </w:tbl>
    <w:p w:rsidR="00DC429E" w:rsidRPr="00300EEC" w:rsidRDefault="00DC429E" w:rsidP="00300EEC">
      <w:pPr>
        <w:spacing w:line="360" w:lineRule="auto"/>
        <w:jc w:val="both"/>
        <w:rPr>
          <w:rFonts w:ascii="Times New Roman" w:hAnsi="Times New Roman" w:cs="Times New Roman"/>
        </w:rPr>
      </w:pPr>
    </w:p>
    <w:p w:rsidR="00DC429E" w:rsidRPr="00DC429E" w:rsidRDefault="00DC429E" w:rsidP="00300EEC">
      <w:pPr>
        <w:spacing w:line="360" w:lineRule="auto"/>
        <w:jc w:val="both"/>
        <w:rPr>
          <w:rFonts w:ascii="Times New Roman" w:hAnsi="Times New Roman" w:cs="Times New Roman"/>
          <w:b/>
          <w:bCs/>
          <w:lang w:val="en-US"/>
        </w:rPr>
      </w:pPr>
      <w:r w:rsidRPr="00DC429E">
        <w:rPr>
          <w:rFonts w:ascii="Times New Roman" w:hAnsi="Times New Roman" w:cs="Times New Roman"/>
          <w:b/>
          <w:bCs/>
          <w:lang w:val="en-US"/>
        </w:rPr>
        <w:t>CONCLUSION</w:t>
      </w:r>
    </w:p>
    <w:p w:rsidR="00DC429E" w:rsidRPr="00DC429E" w:rsidRDefault="00DC429E" w:rsidP="00300EEC">
      <w:pPr>
        <w:spacing w:line="360" w:lineRule="auto"/>
        <w:jc w:val="both"/>
        <w:rPr>
          <w:rFonts w:ascii="Times New Roman" w:hAnsi="Times New Roman" w:cs="Times New Roman"/>
          <w:lang w:val="en-US"/>
        </w:rPr>
      </w:pPr>
      <w:r w:rsidRPr="00DC429E">
        <w:rPr>
          <w:rFonts w:ascii="Times New Roman" w:hAnsi="Times New Roman" w:cs="Times New Roman"/>
          <w:lang w:val="en-US"/>
        </w:rPr>
        <w:t>The present investigation demonstrated the existence of substantial genetic variability among the twelve pearl millet genotypes for all the ten quantitative traits studied, indicating significant scope for genetic improvement through selection and hybridization. Analysis of variance revealed highly significant differences among the genotypes, confirming the availability of adequate genetic diversity for yield and fodder-related characters.</w:t>
      </w:r>
    </w:p>
    <w:p w:rsidR="00DC429E" w:rsidRPr="00DC429E" w:rsidRDefault="00DC429E" w:rsidP="00300EEC">
      <w:pPr>
        <w:spacing w:line="360" w:lineRule="auto"/>
        <w:jc w:val="both"/>
        <w:rPr>
          <w:rFonts w:ascii="Times New Roman" w:hAnsi="Times New Roman" w:cs="Times New Roman"/>
          <w:lang w:val="en-US"/>
        </w:rPr>
      </w:pPr>
      <w:r w:rsidRPr="00DC429E">
        <w:rPr>
          <w:rFonts w:ascii="Times New Roman" w:hAnsi="Times New Roman" w:cs="Times New Roman"/>
          <w:lang w:val="en-US"/>
        </w:rPr>
        <w:t>Among the evaluated genotypes, Bio-448 recorded the highest green fodder yield and dry matter yield, whereas GHB-732 produced the highest grain yield per plant. NMH-68 was identified as the earliest flowering genotype, while MP-7792 exhibited maximum plant height. Genotypes such as Bio-448, GHB-732, KBH-3940, JHBH-676 and JBH-1 showed superior performance for one or more economically important traits and may therefore be considered promising genetic resources for future pearl millet improvement programmes.</w:t>
      </w:r>
    </w:p>
    <w:p w:rsidR="00DC429E" w:rsidRDefault="00DC429E" w:rsidP="00300EEC">
      <w:pPr>
        <w:spacing w:line="360" w:lineRule="auto"/>
        <w:jc w:val="both"/>
        <w:rPr>
          <w:rFonts w:ascii="Times New Roman" w:hAnsi="Times New Roman" w:cs="Times New Roman"/>
          <w:lang w:val="en-US"/>
        </w:rPr>
      </w:pPr>
      <w:r w:rsidRPr="00DC429E">
        <w:rPr>
          <w:rFonts w:ascii="Times New Roman" w:hAnsi="Times New Roman" w:cs="Times New Roman"/>
          <w:lang w:val="en-US"/>
        </w:rPr>
        <w:lastRenderedPageBreak/>
        <w:t>The wide variation observed for flowering time, plant height, tillering ability, leaf characteristics, panicle length, grain yield and fodder yield indicates that these traits can be effectively utilized in selecting superior genotypes for dual-purpose improvement. The identified elite genotypes may be further evaluated across different environments for stability and adaptability and can also be used as potential parents in hybridization programmes aimed at developing high-yielding, early-maturing and fodder-rich pearl millet cultivars suitable for the semi-arid conditions of Bundelkhand and similar agro-climatic regions. the findings of the present study provide valuable information for pearl millet breeding programmes.</w:t>
      </w:r>
    </w:p>
    <w:p w:rsidR="00C9538E" w:rsidRPr="00322702" w:rsidRDefault="00C9538E" w:rsidP="00C9538E">
      <w:pPr>
        <w:spacing w:before="100" w:beforeAutospacing="1" w:after="100" w:afterAutospacing="1" w:line="240" w:lineRule="auto"/>
        <w:rPr>
          <w:rFonts w:ascii="Times New Roman" w:eastAsia="Times New Roman" w:hAnsi="Times New Roman" w:cs="Times New Roman"/>
          <w:sz w:val="24"/>
          <w:szCs w:val="24"/>
          <w:lang w:val="en-US"/>
        </w:rPr>
      </w:pPr>
      <w:r w:rsidRPr="00322702">
        <w:rPr>
          <w:rFonts w:ascii="Times New Roman" w:eastAsia="Times New Roman" w:hAnsi="Times New Roman" w:cs="Times New Roman"/>
          <w:b/>
          <w:bCs/>
          <w:sz w:val="24"/>
          <w:szCs w:val="24"/>
          <w:lang w:val="en-US"/>
        </w:rPr>
        <w:t>Limitations</w:t>
      </w:r>
      <w:r w:rsidRPr="00322702">
        <w:rPr>
          <w:rFonts w:ascii="Times New Roman" w:eastAsia="Times New Roman" w:hAnsi="Times New Roman" w:cs="Times New Roman"/>
          <w:sz w:val="24"/>
          <w:szCs w:val="24"/>
          <w:lang w:val="en-US"/>
        </w:rPr>
        <w:br/>
        <w:t>The study was conducted at a single location during one season, which limits broad recommendation of the identified genotypes. Stability across environments, seasonal variation, and genotype × environment interaction were not assessed. The manuscript reports mean performance and ANOVA but does not present the stated genetic variability, correlation, or path coefficient results. Further multi-location and multi-season evaluation is required.</w:t>
      </w:r>
    </w:p>
    <w:p w:rsidR="00C9538E" w:rsidRPr="000839CE" w:rsidRDefault="00C9538E" w:rsidP="00C9538E">
      <w:pPr>
        <w:spacing w:after="0" w:line="240" w:lineRule="auto"/>
        <w:rPr>
          <w:rFonts w:ascii="Times New Roman" w:hAnsi="Times New Roman" w:cs="Times New Roman"/>
          <w:b/>
        </w:rPr>
      </w:pPr>
      <w:bookmarkStart w:id="7" w:name="_Hlk234486585"/>
      <w:bookmarkStart w:id="8" w:name="_Hlk234075571"/>
      <w:bookmarkStart w:id="9" w:name="_Hlk232755622"/>
      <w:r w:rsidRPr="000839CE">
        <w:rPr>
          <w:rFonts w:ascii="Times New Roman" w:hAnsi="Times New Roman" w:cs="Times New Roman"/>
          <w:b/>
        </w:rPr>
        <w:t>Declaration of AI Use</w:t>
      </w:r>
    </w:p>
    <w:p w:rsidR="00C9538E" w:rsidRPr="000839CE" w:rsidRDefault="00C9538E" w:rsidP="00C9538E">
      <w:pPr>
        <w:spacing w:after="0" w:line="240" w:lineRule="auto"/>
        <w:rPr>
          <w:rFonts w:ascii="Times New Roman" w:hAnsi="Times New Roman" w:cs="Times New Roman"/>
        </w:rPr>
      </w:pPr>
      <w:bookmarkStart w:id="10" w:name="_Hlk234486575"/>
      <w:bookmarkEnd w:id="7"/>
    </w:p>
    <w:p w:rsidR="00C9538E" w:rsidRPr="000839CE" w:rsidRDefault="00C9538E" w:rsidP="00C9538E">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8"/>
      <w:r w:rsidRPr="00C56790">
        <w:rPr>
          <w:rFonts w:ascii="Times New Roman" w:hAnsi="Times New Roman" w:cs="Times New Roman"/>
        </w:rPr>
        <w:t>.</w:t>
      </w:r>
    </w:p>
    <w:bookmarkEnd w:id="9"/>
    <w:bookmarkEnd w:id="10"/>
    <w:p w:rsidR="00C9538E" w:rsidRPr="00DC429E" w:rsidRDefault="00C9538E" w:rsidP="00300EEC">
      <w:pPr>
        <w:spacing w:line="360" w:lineRule="auto"/>
        <w:jc w:val="both"/>
        <w:rPr>
          <w:rFonts w:ascii="Times New Roman" w:hAnsi="Times New Roman" w:cs="Times New Roman"/>
          <w:lang w:val="en-US"/>
        </w:rPr>
      </w:pPr>
    </w:p>
    <w:p w:rsidR="00DC429E" w:rsidRPr="00DC429E" w:rsidRDefault="00DC429E" w:rsidP="00300EEC">
      <w:pPr>
        <w:widowControl w:val="0"/>
        <w:autoSpaceDE w:val="0"/>
        <w:autoSpaceDN w:val="0"/>
        <w:spacing w:before="109" w:after="0" w:line="360" w:lineRule="auto"/>
        <w:ind w:left="28"/>
        <w:jc w:val="both"/>
        <w:rPr>
          <w:rFonts w:ascii="Times New Roman" w:eastAsia="Cambria" w:hAnsi="Times New Roman" w:cs="Times New Roman"/>
          <w:b/>
          <w:kern w:val="0"/>
          <w:lang w:val="en-US"/>
        </w:rPr>
      </w:pPr>
      <w:r w:rsidRPr="00DC429E">
        <w:rPr>
          <w:rFonts w:ascii="Times New Roman" w:eastAsia="Cambria" w:hAnsi="Times New Roman" w:cs="Times New Roman"/>
          <w:b/>
          <w:spacing w:val="-2"/>
          <w:kern w:val="0"/>
          <w:lang w:val="en-US"/>
        </w:rPr>
        <w:t>REFERENCES</w:t>
      </w:r>
    </w:p>
    <w:p w:rsidR="00DC429E" w:rsidRPr="00DC429E" w:rsidRDefault="00DC429E" w:rsidP="00300EEC">
      <w:pPr>
        <w:widowControl w:val="0"/>
        <w:numPr>
          <w:ilvl w:val="0"/>
          <w:numId w:val="1"/>
        </w:numPr>
        <w:tabs>
          <w:tab w:val="left" w:pos="634"/>
          <w:tab w:val="left" w:pos="651"/>
        </w:tabs>
        <w:autoSpaceDE w:val="0"/>
        <w:autoSpaceDN w:val="0"/>
        <w:spacing w:after="0" w:line="360" w:lineRule="auto"/>
        <w:ind w:right="26" w:hanging="624"/>
        <w:jc w:val="both"/>
        <w:rPr>
          <w:rFonts w:ascii="Times New Roman" w:eastAsia="Cambria" w:hAnsi="Times New Roman" w:cs="Times New Roman"/>
          <w:kern w:val="0"/>
          <w:lang w:val="en-US"/>
        </w:rPr>
      </w:pPr>
      <w:r w:rsidRPr="00DC429E">
        <w:rPr>
          <w:rFonts w:ascii="Times New Roman" w:eastAsia="Cambria" w:hAnsi="Times New Roman" w:cs="Times New Roman"/>
          <w:color w:val="0D0D0D"/>
          <w:kern w:val="0"/>
          <w:lang w:val="en-US"/>
        </w:rPr>
        <w:t>Al-Jibouri, H.A., Miller, P.A. and Robinson, H.F. (1958). Genotypic and environmental variances and covariances in upland cotton crosses of interspecific origin. Agronomy Journal, 50, 633–636.</w:t>
      </w:r>
    </w:p>
    <w:p w:rsidR="00DC429E" w:rsidRPr="00DC429E" w:rsidRDefault="00DC429E" w:rsidP="00300EEC">
      <w:pPr>
        <w:widowControl w:val="0"/>
        <w:numPr>
          <w:ilvl w:val="0"/>
          <w:numId w:val="1"/>
        </w:numPr>
        <w:tabs>
          <w:tab w:val="left" w:pos="634"/>
          <w:tab w:val="left" w:pos="650"/>
        </w:tabs>
        <w:autoSpaceDE w:val="0"/>
        <w:autoSpaceDN w:val="0"/>
        <w:spacing w:after="0" w:line="360" w:lineRule="auto"/>
        <w:ind w:left="650" w:right="27" w:hanging="624"/>
        <w:jc w:val="both"/>
        <w:rPr>
          <w:rFonts w:ascii="Times New Roman" w:eastAsia="Cambria" w:hAnsi="Times New Roman" w:cs="Times New Roman"/>
          <w:kern w:val="0"/>
          <w:lang w:val="en-US"/>
        </w:rPr>
      </w:pPr>
      <w:r w:rsidRPr="00DC429E">
        <w:rPr>
          <w:rFonts w:ascii="Times New Roman" w:eastAsia="Cambria" w:hAnsi="Times New Roman" w:cs="Times New Roman"/>
          <w:color w:val="0D0D0D"/>
          <w:kern w:val="0"/>
          <w:lang w:val="en-US"/>
        </w:rPr>
        <w:t>Allard, R.W. (1960). Principles of Plant Breeding. John Wiley &amp; Sons, New York.</w:t>
      </w:r>
    </w:p>
    <w:p w:rsidR="00DC429E" w:rsidRPr="00DC429E" w:rsidRDefault="00DC429E" w:rsidP="00300EEC">
      <w:pPr>
        <w:widowControl w:val="0"/>
        <w:numPr>
          <w:ilvl w:val="0"/>
          <w:numId w:val="1"/>
        </w:numPr>
        <w:tabs>
          <w:tab w:val="left" w:pos="633"/>
          <w:tab w:val="left" w:pos="650"/>
        </w:tabs>
        <w:autoSpaceDE w:val="0"/>
        <w:autoSpaceDN w:val="0"/>
        <w:spacing w:after="0" w:line="360" w:lineRule="auto"/>
        <w:ind w:left="650" w:right="27" w:hanging="624"/>
        <w:jc w:val="both"/>
        <w:rPr>
          <w:rFonts w:ascii="Times New Roman" w:eastAsia="Cambria" w:hAnsi="Times New Roman" w:cs="Times New Roman"/>
          <w:kern w:val="0"/>
          <w:lang w:val="en-US"/>
        </w:rPr>
      </w:pPr>
      <w:r w:rsidRPr="00DC429E">
        <w:rPr>
          <w:rFonts w:ascii="Times New Roman" w:eastAsia="Cambria" w:hAnsi="Times New Roman" w:cs="Times New Roman"/>
          <w:kern w:val="0"/>
          <w:lang w:val="en-US"/>
        </w:rPr>
        <w:t>Burton, G.W. (1952). Quantitative inheritance in grasses. Proceedings of the 6th International Grassland Congress, 277–283.</w:t>
      </w:r>
    </w:p>
    <w:p w:rsidR="00DC429E" w:rsidRPr="00DC429E" w:rsidRDefault="00DC429E" w:rsidP="00300EEC">
      <w:pPr>
        <w:widowControl w:val="0"/>
        <w:numPr>
          <w:ilvl w:val="0"/>
          <w:numId w:val="1"/>
        </w:numPr>
        <w:tabs>
          <w:tab w:val="left" w:pos="633"/>
          <w:tab w:val="left" w:pos="650"/>
        </w:tabs>
        <w:autoSpaceDE w:val="0"/>
        <w:autoSpaceDN w:val="0"/>
        <w:spacing w:after="0" w:line="360" w:lineRule="auto"/>
        <w:ind w:left="650" w:right="27" w:hanging="624"/>
        <w:jc w:val="both"/>
        <w:rPr>
          <w:rFonts w:ascii="Times New Roman" w:eastAsia="Cambria" w:hAnsi="Times New Roman" w:cs="Times New Roman"/>
          <w:kern w:val="0"/>
          <w:lang w:val="en-US"/>
        </w:rPr>
      </w:pPr>
      <w:r w:rsidRPr="00DC429E">
        <w:rPr>
          <w:rFonts w:ascii="Times New Roman" w:eastAsia="Cambria" w:hAnsi="Times New Roman" w:cs="Times New Roman"/>
          <w:color w:val="0D0D0D"/>
          <w:spacing w:val="-2"/>
          <w:kern w:val="0"/>
          <w:lang w:val="en-US"/>
        </w:rPr>
        <w:t>Burton, G.W. and DeVane, E.H. (1953). Estimating heritability in tall fescue from replicated clonal material. Agronomy Journal, 45, 478–481.</w:t>
      </w:r>
    </w:p>
    <w:p w:rsidR="00DC429E" w:rsidRPr="00DC429E" w:rsidRDefault="00DC429E" w:rsidP="00300EEC">
      <w:pPr>
        <w:widowControl w:val="0"/>
        <w:numPr>
          <w:ilvl w:val="0"/>
          <w:numId w:val="1"/>
        </w:numPr>
        <w:tabs>
          <w:tab w:val="left" w:pos="633"/>
          <w:tab w:val="left" w:pos="650"/>
        </w:tabs>
        <w:autoSpaceDE w:val="0"/>
        <w:autoSpaceDN w:val="0"/>
        <w:spacing w:after="0" w:line="360" w:lineRule="auto"/>
        <w:ind w:left="650" w:right="27" w:hanging="624"/>
        <w:jc w:val="both"/>
        <w:rPr>
          <w:rFonts w:ascii="Times New Roman" w:eastAsia="Cambria" w:hAnsi="Times New Roman" w:cs="Times New Roman"/>
          <w:kern w:val="0"/>
          <w:lang w:val="en-US"/>
        </w:rPr>
      </w:pPr>
      <w:r w:rsidRPr="00DC429E">
        <w:rPr>
          <w:rFonts w:ascii="Times New Roman" w:eastAsia="Cambria" w:hAnsi="Times New Roman" w:cs="Times New Roman"/>
          <w:color w:val="0D0D0D"/>
          <w:kern w:val="0"/>
          <w:lang w:val="en-US"/>
        </w:rPr>
        <w:t>Dewey, D.R. and Lu, K.H. (1959). A correlation and path coefficient analysis of components of crested wheatgrass seed production. Agronomy Journal, 51, 515–518.</w:t>
      </w:r>
    </w:p>
    <w:p w:rsidR="00DC429E" w:rsidRPr="00DC429E" w:rsidRDefault="00DC429E" w:rsidP="00300EEC">
      <w:pPr>
        <w:widowControl w:val="0"/>
        <w:numPr>
          <w:ilvl w:val="0"/>
          <w:numId w:val="1"/>
        </w:numPr>
        <w:tabs>
          <w:tab w:val="left" w:pos="633"/>
          <w:tab w:val="left" w:pos="650"/>
        </w:tabs>
        <w:autoSpaceDE w:val="0"/>
        <w:autoSpaceDN w:val="0"/>
        <w:spacing w:after="0" w:line="360" w:lineRule="auto"/>
        <w:ind w:left="650" w:right="27" w:hanging="624"/>
        <w:jc w:val="both"/>
        <w:rPr>
          <w:rFonts w:ascii="Times New Roman" w:eastAsia="Cambria" w:hAnsi="Times New Roman" w:cs="Times New Roman"/>
          <w:kern w:val="0"/>
          <w:lang w:val="en-US"/>
        </w:rPr>
      </w:pPr>
      <w:r w:rsidRPr="00DC429E">
        <w:rPr>
          <w:rFonts w:ascii="Times New Roman" w:eastAsia="Cambria" w:hAnsi="Times New Roman" w:cs="Times New Roman"/>
          <w:color w:val="0D0D0D"/>
          <w:kern w:val="0"/>
          <w:lang w:val="en-US"/>
        </w:rPr>
        <w:t>Falconer, D.S. and Mackay, T.F.C. (1996). Introduction to Quantitative Genetics (4th ed.). Longman, London.</w:t>
      </w:r>
    </w:p>
    <w:p w:rsidR="00DC429E" w:rsidRPr="00DC429E" w:rsidRDefault="00DC429E" w:rsidP="00300EEC">
      <w:pPr>
        <w:widowControl w:val="0"/>
        <w:numPr>
          <w:ilvl w:val="0"/>
          <w:numId w:val="1"/>
        </w:numPr>
        <w:tabs>
          <w:tab w:val="left" w:pos="633"/>
          <w:tab w:val="left" w:pos="650"/>
        </w:tabs>
        <w:autoSpaceDE w:val="0"/>
        <w:autoSpaceDN w:val="0"/>
        <w:spacing w:after="0" w:line="360" w:lineRule="auto"/>
        <w:ind w:left="650" w:right="27" w:hanging="624"/>
        <w:jc w:val="both"/>
        <w:rPr>
          <w:rFonts w:ascii="Times New Roman" w:eastAsia="Cambria" w:hAnsi="Times New Roman" w:cs="Times New Roman"/>
          <w:kern w:val="0"/>
          <w:lang w:val="en-US"/>
        </w:rPr>
      </w:pPr>
      <w:r w:rsidRPr="00DC429E">
        <w:rPr>
          <w:rFonts w:ascii="Times New Roman" w:eastAsia="Cambria" w:hAnsi="Times New Roman" w:cs="Times New Roman"/>
          <w:color w:val="0D0D0D"/>
          <w:spacing w:val="-2"/>
          <w:kern w:val="0"/>
          <w:lang w:val="en-US"/>
        </w:rPr>
        <w:t xml:space="preserve">Govindaraj, M., Rai, K.N., Kanatti, A. and Upadhyaya, H.D. (2020). Exploring the genetic </w:t>
      </w:r>
      <w:r w:rsidRPr="00DC429E">
        <w:rPr>
          <w:rFonts w:ascii="Times New Roman" w:eastAsia="Cambria" w:hAnsi="Times New Roman" w:cs="Times New Roman"/>
          <w:color w:val="0D0D0D"/>
          <w:spacing w:val="-2"/>
          <w:kern w:val="0"/>
          <w:lang w:val="en-US"/>
        </w:rPr>
        <w:lastRenderedPageBreak/>
        <w:t>variability and diversity of pearl millet core collection germplasm for grain nutritional traits improvement. Scientific Reports, 10, 21177.</w:t>
      </w:r>
    </w:p>
    <w:p w:rsidR="00DC429E" w:rsidRPr="00DC429E" w:rsidRDefault="00DC429E" w:rsidP="00300EEC">
      <w:pPr>
        <w:widowControl w:val="0"/>
        <w:numPr>
          <w:ilvl w:val="0"/>
          <w:numId w:val="1"/>
        </w:numPr>
        <w:tabs>
          <w:tab w:val="left" w:pos="633"/>
        </w:tabs>
        <w:autoSpaceDE w:val="0"/>
        <w:autoSpaceDN w:val="0"/>
        <w:spacing w:after="0" w:line="360" w:lineRule="auto"/>
        <w:ind w:left="633"/>
        <w:jc w:val="both"/>
        <w:rPr>
          <w:rFonts w:ascii="Times New Roman" w:eastAsia="Cambria" w:hAnsi="Times New Roman" w:cs="Times New Roman"/>
          <w:kern w:val="0"/>
          <w:lang w:val="en-US"/>
        </w:rPr>
      </w:pPr>
      <w:r w:rsidRPr="00DC429E">
        <w:rPr>
          <w:rFonts w:ascii="Times New Roman" w:eastAsia="Cambria" w:hAnsi="Times New Roman" w:cs="Times New Roman"/>
          <w:color w:val="0D0D0D"/>
          <w:spacing w:val="-2"/>
          <w:kern w:val="0"/>
          <w:lang w:val="en-US"/>
        </w:rPr>
        <w:t xml:space="preserve"> Govindaraj, M., Selvi, B., Rajarathinam, S. and Sumathi, P. (2011). Genetic variability and heritability of grain yield components and grain mineral concentration in pearl millet. African Journal of Food, Agriculture, Nutrition and Development, 11(3), 4758–4771.</w:t>
      </w:r>
    </w:p>
    <w:p w:rsidR="00DC429E" w:rsidRPr="00DC429E" w:rsidRDefault="00DC429E" w:rsidP="00300EEC">
      <w:pPr>
        <w:widowControl w:val="0"/>
        <w:numPr>
          <w:ilvl w:val="0"/>
          <w:numId w:val="1"/>
        </w:numPr>
        <w:tabs>
          <w:tab w:val="left" w:pos="632"/>
          <w:tab w:val="left" w:pos="649"/>
        </w:tabs>
        <w:autoSpaceDE w:val="0"/>
        <w:autoSpaceDN w:val="0"/>
        <w:spacing w:after="0" w:line="360" w:lineRule="auto"/>
        <w:ind w:left="649" w:right="27" w:hanging="624"/>
        <w:jc w:val="both"/>
        <w:rPr>
          <w:rFonts w:ascii="Times New Roman" w:eastAsia="Cambria" w:hAnsi="Times New Roman" w:cs="Times New Roman"/>
          <w:kern w:val="0"/>
          <w:lang w:val="en-US"/>
        </w:rPr>
      </w:pPr>
      <w:r w:rsidRPr="00DC429E">
        <w:rPr>
          <w:rFonts w:ascii="Times New Roman" w:eastAsia="Cambria" w:hAnsi="Times New Roman" w:cs="Times New Roman"/>
          <w:color w:val="0D0D0D"/>
          <w:kern w:val="0"/>
          <w:lang w:val="en-US"/>
        </w:rPr>
        <w:t>Hanson, C.H., Robinson, H.F. and Comstock, R.E. (1956). Biometrical studies of yield in segregating populations of Korean lespedeza. Agronomy Journal, 48, 268–272.</w:t>
      </w:r>
    </w:p>
    <w:p w:rsidR="00DC429E" w:rsidRPr="00DC429E" w:rsidRDefault="00DC429E" w:rsidP="00300EEC">
      <w:pPr>
        <w:widowControl w:val="0"/>
        <w:numPr>
          <w:ilvl w:val="0"/>
          <w:numId w:val="1"/>
        </w:numPr>
        <w:tabs>
          <w:tab w:val="left" w:pos="631"/>
          <w:tab w:val="left" w:pos="649"/>
        </w:tabs>
        <w:autoSpaceDE w:val="0"/>
        <w:autoSpaceDN w:val="0"/>
        <w:spacing w:after="0" w:line="360" w:lineRule="auto"/>
        <w:ind w:left="649" w:right="28" w:hanging="624"/>
        <w:jc w:val="both"/>
        <w:rPr>
          <w:rFonts w:ascii="Times New Roman" w:eastAsia="Cambria" w:hAnsi="Times New Roman" w:cs="Times New Roman"/>
          <w:kern w:val="0"/>
          <w:lang w:val="en-US"/>
        </w:rPr>
      </w:pPr>
      <w:r w:rsidRPr="00DC429E">
        <w:rPr>
          <w:rFonts w:ascii="Times New Roman" w:eastAsia="Cambria" w:hAnsi="Times New Roman" w:cs="Times New Roman"/>
          <w:color w:val="0D0D0D"/>
          <w:kern w:val="0"/>
          <w:lang w:val="en-US"/>
        </w:rPr>
        <w:t>Johnson, H.W., Robinson, H.F. and Comstock, R.E. (1955). Estimates of genetic and environmental variability in soybean. Agronomy Journal, 47, 314–318.</w:t>
      </w:r>
    </w:p>
    <w:p w:rsidR="00DC429E" w:rsidRPr="00DC429E" w:rsidRDefault="00DC429E" w:rsidP="00300EEC">
      <w:pPr>
        <w:widowControl w:val="0"/>
        <w:numPr>
          <w:ilvl w:val="0"/>
          <w:numId w:val="1"/>
        </w:numPr>
        <w:tabs>
          <w:tab w:val="left" w:pos="631"/>
          <w:tab w:val="left" w:pos="649"/>
        </w:tabs>
        <w:autoSpaceDE w:val="0"/>
        <w:autoSpaceDN w:val="0"/>
        <w:spacing w:after="0" w:line="360" w:lineRule="auto"/>
        <w:ind w:left="649" w:right="28" w:hanging="624"/>
        <w:jc w:val="both"/>
        <w:rPr>
          <w:rFonts w:ascii="Times New Roman" w:eastAsia="Cambria" w:hAnsi="Times New Roman" w:cs="Times New Roman"/>
          <w:kern w:val="0"/>
          <w:lang w:val="en-US"/>
        </w:rPr>
      </w:pPr>
      <w:r w:rsidRPr="00DC429E">
        <w:rPr>
          <w:rFonts w:ascii="Times New Roman" w:eastAsia="Cambria" w:hAnsi="Times New Roman" w:cs="Times New Roman"/>
          <w:color w:val="0D0D0D"/>
          <w:kern w:val="0"/>
          <w:lang w:val="en-US"/>
        </w:rPr>
        <w:t>Kumari, N., Sharma, N.K. and Gupta, S.K. (2018). Studies on variability, character association and genetic diversity in maintainer lines of pearl millet. Annals of Arid Zone, 56(3–4).</w:t>
      </w:r>
    </w:p>
    <w:p w:rsidR="00DC429E" w:rsidRPr="00DC429E" w:rsidRDefault="00DC429E" w:rsidP="00300EEC">
      <w:pPr>
        <w:widowControl w:val="0"/>
        <w:numPr>
          <w:ilvl w:val="0"/>
          <w:numId w:val="1"/>
        </w:numPr>
        <w:tabs>
          <w:tab w:val="left" w:pos="649"/>
          <w:tab w:val="left" w:pos="687"/>
        </w:tabs>
        <w:autoSpaceDE w:val="0"/>
        <w:autoSpaceDN w:val="0"/>
        <w:spacing w:after="0" w:line="360" w:lineRule="auto"/>
        <w:ind w:right="28"/>
        <w:jc w:val="both"/>
        <w:rPr>
          <w:rFonts w:ascii="Times New Roman" w:eastAsia="Cambria" w:hAnsi="Times New Roman" w:cs="Times New Roman"/>
          <w:color w:val="0D0D0D"/>
          <w:kern w:val="0"/>
          <w:lang w:val="en-US"/>
        </w:rPr>
      </w:pPr>
      <w:r w:rsidRPr="00DC429E">
        <w:rPr>
          <w:rFonts w:ascii="Times New Roman" w:eastAsia="Cambria" w:hAnsi="Times New Roman" w:cs="Times New Roman"/>
          <w:color w:val="0D0D0D"/>
          <w:kern w:val="0"/>
          <w:lang w:val="en-US"/>
        </w:rPr>
        <w:t>HLush, J.L. (1949). Heritability of Quantitative Characters in Farm Animals. Iowa State College Press.</w:t>
      </w:r>
    </w:p>
    <w:p w:rsidR="00DC429E" w:rsidRPr="00DC429E" w:rsidRDefault="00DC429E" w:rsidP="00300EEC">
      <w:pPr>
        <w:widowControl w:val="0"/>
        <w:numPr>
          <w:ilvl w:val="0"/>
          <w:numId w:val="1"/>
        </w:numPr>
        <w:tabs>
          <w:tab w:val="left" w:pos="649"/>
          <w:tab w:val="left" w:pos="687"/>
        </w:tabs>
        <w:autoSpaceDE w:val="0"/>
        <w:autoSpaceDN w:val="0"/>
        <w:spacing w:after="0" w:line="360" w:lineRule="auto"/>
        <w:ind w:right="28"/>
        <w:jc w:val="both"/>
        <w:rPr>
          <w:rFonts w:ascii="Times New Roman" w:eastAsia="Cambria" w:hAnsi="Times New Roman" w:cs="Times New Roman"/>
          <w:color w:val="0D0D0D"/>
          <w:kern w:val="0"/>
          <w:lang w:val="en-US"/>
        </w:rPr>
      </w:pPr>
      <w:r w:rsidRPr="00DC429E">
        <w:rPr>
          <w:rFonts w:ascii="Times New Roman" w:eastAsia="Cambria" w:hAnsi="Times New Roman" w:cs="Times New Roman"/>
          <w:color w:val="0D0D0D"/>
          <w:kern w:val="0"/>
          <w:lang w:val="en-US"/>
        </w:rPr>
        <w:t>Panse, V.G. and Sukhatme, P.V. (1985). Statistical Methods for Agricultural Workers (4th ed.). ICAR, New Delhi.</w:t>
      </w:r>
    </w:p>
    <w:p w:rsidR="00DC429E" w:rsidRPr="00DC429E" w:rsidRDefault="00DC429E" w:rsidP="00300EEC">
      <w:pPr>
        <w:widowControl w:val="0"/>
        <w:numPr>
          <w:ilvl w:val="0"/>
          <w:numId w:val="1"/>
        </w:numPr>
        <w:tabs>
          <w:tab w:val="left" w:pos="631"/>
          <w:tab w:val="left" w:pos="649"/>
        </w:tabs>
        <w:autoSpaceDE w:val="0"/>
        <w:autoSpaceDN w:val="0"/>
        <w:spacing w:after="0" w:line="360" w:lineRule="auto"/>
        <w:ind w:right="28"/>
        <w:jc w:val="both"/>
        <w:rPr>
          <w:rFonts w:ascii="Times New Roman" w:eastAsia="Cambria" w:hAnsi="Times New Roman" w:cs="Times New Roman"/>
          <w:color w:val="0D0D0D"/>
          <w:kern w:val="0"/>
          <w:lang w:val="en-US"/>
        </w:rPr>
      </w:pPr>
      <w:r w:rsidRPr="00DC429E">
        <w:rPr>
          <w:rFonts w:ascii="Times New Roman" w:eastAsia="Cambria" w:hAnsi="Times New Roman" w:cs="Times New Roman"/>
          <w:color w:val="0D0D0D"/>
          <w:kern w:val="0"/>
          <w:lang w:val="en-US"/>
        </w:rPr>
        <w:t>Poehlman, J.M. and Sleper, D.A. (1995). Breeding Field Crops (4th ed.). Iowa State University Press.</w:t>
      </w:r>
    </w:p>
    <w:p w:rsidR="00DC429E" w:rsidRPr="00DC429E" w:rsidRDefault="00DC429E" w:rsidP="00300EEC">
      <w:pPr>
        <w:widowControl w:val="0"/>
        <w:numPr>
          <w:ilvl w:val="0"/>
          <w:numId w:val="1"/>
        </w:numPr>
        <w:tabs>
          <w:tab w:val="left" w:pos="631"/>
          <w:tab w:val="left" w:pos="649"/>
        </w:tabs>
        <w:autoSpaceDE w:val="0"/>
        <w:autoSpaceDN w:val="0"/>
        <w:spacing w:after="0" w:line="360" w:lineRule="auto"/>
        <w:ind w:right="28"/>
        <w:jc w:val="both"/>
        <w:rPr>
          <w:rFonts w:ascii="Times New Roman" w:eastAsia="Cambria" w:hAnsi="Times New Roman" w:cs="Times New Roman"/>
          <w:kern w:val="0"/>
          <w:lang w:val="en-US"/>
        </w:rPr>
      </w:pPr>
      <w:r w:rsidRPr="00DC429E">
        <w:rPr>
          <w:rFonts w:ascii="Times New Roman" w:eastAsia="Cambria" w:hAnsi="Times New Roman" w:cs="Times New Roman"/>
          <w:color w:val="0D0D0D"/>
          <w:kern w:val="0"/>
          <w:lang w:val="en-US"/>
        </w:rPr>
        <w:t>Rai, K.N., Govindaraj, M. and Rao, A.S. (2012). Genetic enhancement of grain iron and zinc content in pearl millet. Quality Assurance and Safety of Crops &amp; Foods, 4, 119–125.</w:t>
      </w:r>
    </w:p>
    <w:p w:rsidR="00DC429E" w:rsidRPr="00DC429E" w:rsidRDefault="00DC429E" w:rsidP="00300EEC">
      <w:pPr>
        <w:widowControl w:val="0"/>
        <w:numPr>
          <w:ilvl w:val="0"/>
          <w:numId w:val="1"/>
        </w:numPr>
        <w:tabs>
          <w:tab w:val="left" w:pos="630"/>
          <w:tab w:val="left" w:pos="648"/>
        </w:tabs>
        <w:autoSpaceDE w:val="0"/>
        <w:autoSpaceDN w:val="0"/>
        <w:spacing w:after="0" w:line="360" w:lineRule="auto"/>
        <w:ind w:right="29"/>
        <w:jc w:val="both"/>
        <w:rPr>
          <w:rFonts w:ascii="Times New Roman" w:eastAsia="Cambria" w:hAnsi="Times New Roman" w:cs="Times New Roman"/>
          <w:kern w:val="0"/>
          <w:lang w:val="en-US"/>
        </w:rPr>
      </w:pPr>
      <w:r w:rsidRPr="00DC429E">
        <w:rPr>
          <w:rFonts w:ascii="Times New Roman" w:eastAsia="Cambria" w:hAnsi="Times New Roman" w:cs="Times New Roman"/>
          <w:kern w:val="0"/>
          <w:lang w:val="en-US"/>
        </w:rPr>
        <w:t>Robinson, H.F., Comstock, R.E. and Harvey, P.H. (1949). Estimates of heritability and the degree of dominance in corn. Agronomy Journal, 41, 353–359.</w:t>
      </w:r>
    </w:p>
    <w:p w:rsidR="00DC429E" w:rsidRPr="00DC429E" w:rsidRDefault="00DC429E" w:rsidP="00300EEC">
      <w:pPr>
        <w:widowControl w:val="0"/>
        <w:numPr>
          <w:ilvl w:val="0"/>
          <w:numId w:val="1"/>
        </w:numPr>
        <w:tabs>
          <w:tab w:val="left" w:pos="630"/>
          <w:tab w:val="left" w:pos="648"/>
        </w:tabs>
        <w:autoSpaceDE w:val="0"/>
        <w:autoSpaceDN w:val="0"/>
        <w:spacing w:after="0" w:line="360" w:lineRule="auto"/>
        <w:ind w:right="29"/>
        <w:jc w:val="both"/>
        <w:rPr>
          <w:rFonts w:ascii="Times New Roman" w:eastAsia="Cambria" w:hAnsi="Times New Roman" w:cs="Times New Roman"/>
          <w:kern w:val="0"/>
          <w:lang w:val="en-US"/>
        </w:rPr>
      </w:pPr>
      <w:r w:rsidRPr="00DC429E">
        <w:rPr>
          <w:rFonts w:ascii="Times New Roman" w:eastAsia="Cambria" w:hAnsi="Times New Roman" w:cs="Times New Roman"/>
          <w:kern w:val="0"/>
          <w:lang w:val="en-US"/>
        </w:rPr>
        <w:t>Singh, B.D. (2015). Plant Breeding: Principles and Methods (10th ed.). Kalyani Publishers, New Delhi.</w:t>
      </w:r>
    </w:p>
    <w:p w:rsidR="00DC429E" w:rsidRPr="00DC429E" w:rsidRDefault="00DC429E" w:rsidP="00300EEC">
      <w:pPr>
        <w:widowControl w:val="0"/>
        <w:numPr>
          <w:ilvl w:val="0"/>
          <w:numId w:val="1"/>
        </w:numPr>
        <w:tabs>
          <w:tab w:val="left" w:pos="631"/>
        </w:tabs>
        <w:autoSpaceDE w:val="0"/>
        <w:autoSpaceDN w:val="0"/>
        <w:spacing w:after="0" w:line="360" w:lineRule="auto"/>
        <w:ind w:right="27"/>
        <w:jc w:val="both"/>
        <w:rPr>
          <w:rFonts w:ascii="Times New Roman" w:eastAsia="Cambria" w:hAnsi="Times New Roman" w:cs="Times New Roman"/>
          <w:color w:val="0D0D0D"/>
          <w:kern w:val="0"/>
          <w:lang w:val="en-US"/>
        </w:rPr>
      </w:pPr>
      <w:r w:rsidRPr="00DC429E">
        <w:rPr>
          <w:rFonts w:ascii="Times New Roman" w:eastAsia="Cambria" w:hAnsi="Times New Roman" w:cs="Times New Roman"/>
          <w:color w:val="0D0D0D"/>
          <w:kern w:val="0"/>
          <w:lang w:val="en-US"/>
        </w:rPr>
        <w:t>Singh, P. and Narayanan, S.S. (2013). Biometrical Techniques in Plant Breeding. Kalyani Publishers.</w:t>
      </w:r>
    </w:p>
    <w:p w:rsidR="00DC429E" w:rsidRPr="00DC429E" w:rsidRDefault="00DC429E" w:rsidP="00300EEC">
      <w:pPr>
        <w:widowControl w:val="0"/>
        <w:numPr>
          <w:ilvl w:val="0"/>
          <w:numId w:val="1"/>
        </w:numPr>
        <w:tabs>
          <w:tab w:val="left" w:pos="631"/>
        </w:tabs>
        <w:autoSpaceDE w:val="0"/>
        <w:autoSpaceDN w:val="0"/>
        <w:spacing w:after="0" w:line="360" w:lineRule="auto"/>
        <w:jc w:val="both"/>
        <w:rPr>
          <w:rFonts w:ascii="Times New Roman" w:eastAsia="Cambria" w:hAnsi="Times New Roman" w:cs="Times New Roman"/>
          <w:kern w:val="0"/>
          <w:lang w:val="en-US"/>
        </w:rPr>
      </w:pPr>
      <w:r w:rsidRPr="00DC429E">
        <w:rPr>
          <w:rFonts w:ascii="Times New Roman" w:eastAsia="Cambria" w:hAnsi="Times New Roman" w:cs="Times New Roman"/>
          <w:color w:val="0D0D0D"/>
          <w:kern w:val="0"/>
          <w:lang w:val="en-US"/>
        </w:rPr>
        <w:t>Wright, S. (1921). Correlation and causation. Journal of Agricultural Research, 20, 557–585.</w:t>
      </w:r>
    </w:p>
    <w:p w:rsidR="00DC429E" w:rsidRPr="00DC429E" w:rsidRDefault="00DC429E" w:rsidP="00300EEC">
      <w:pPr>
        <w:widowControl w:val="0"/>
        <w:numPr>
          <w:ilvl w:val="0"/>
          <w:numId w:val="1"/>
        </w:numPr>
        <w:tabs>
          <w:tab w:val="left" w:pos="631"/>
        </w:tabs>
        <w:autoSpaceDE w:val="0"/>
        <w:autoSpaceDN w:val="0"/>
        <w:spacing w:after="0" w:line="360" w:lineRule="auto"/>
        <w:jc w:val="both"/>
        <w:rPr>
          <w:rFonts w:ascii="Times New Roman" w:eastAsia="Cambria" w:hAnsi="Times New Roman" w:cs="Times New Roman"/>
          <w:kern w:val="0"/>
          <w:lang w:val="en-US"/>
        </w:rPr>
      </w:pPr>
      <w:r w:rsidRPr="00DC429E">
        <w:rPr>
          <w:rFonts w:ascii="Times New Roman" w:eastAsia="Cambria" w:hAnsi="Times New Roman" w:cs="Times New Roman"/>
          <w:color w:val="0D0D0D"/>
          <w:kern w:val="0"/>
          <w:lang w:val="en-US"/>
        </w:rPr>
        <w:t>Yadav, O.P., Rai, K.N., Rajpurohit, B.S., Hash, C.T. and Mahala, R.S. (2012). Twenty Five Years of Pearl Millet Improvement in India. ICAR–AICPMIP, Jodhpur.</w:t>
      </w:r>
    </w:p>
    <w:p w:rsidR="00DC429E" w:rsidRPr="00DC429E" w:rsidRDefault="00DC429E" w:rsidP="00300EEC">
      <w:pPr>
        <w:widowControl w:val="0"/>
        <w:numPr>
          <w:ilvl w:val="0"/>
          <w:numId w:val="1"/>
        </w:numPr>
        <w:tabs>
          <w:tab w:val="left" w:pos="631"/>
        </w:tabs>
        <w:autoSpaceDE w:val="0"/>
        <w:autoSpaceDN w:val="0"/>
        <w:spacing w:after="0" w:line="360" w:lineRule="auto"/>
        <w:jc w:val="both"/>
        <w:rPr>
          <w:rFonts w:ascii="Times New Roman" w:eastAsia="Cambria" w:hAnsi="Times New Roman" w:cs="Times New Roman"/>
          <w:kern w:val="0"/>
          <w:lang w:val="en-US"/>
        </w:rPr>
      </w:pPr>
      <w:r w:rsidRPr="00DC429E">
        <w:rPr>
          <w:rFonts w:ascii="Times New Roman" w:eastAsia="Cambria" w:hAnsi="Times New Roman" w:cs="Times New Roman"/>
          <w:kern w:val="0"/>
          <w:lang w:val="en-US"/>
        </w:rPr>
        <w:t xml:space="preserve">Yadav, O.P., Gupta, S.K. and Rai, K.N. (2021). Genetic gains in pearl millet in India: Insights into historic breeding strategies and future perspective. Frontiers in Plant Science, 12, 645038. </w:t>
      </w:r>
    </w:p>
    <w:p w:rsidR="00DC429E" w:rsidRPr="00300EEC" w:rsidRDefault="00DC429E" w:rsidP="00300EEC">
      <w:pPr>
        <w:widowControl w:val="0"/>
        <w:numPr>
          <w:ilvl w:val="0"/>
          <w:numId w:val="1"/>
        </w:numPr>
        <w:tabs>
          <w:tab w:val="left" w:pos="631"/>
        </w:tabs>
        <w:autoSpaceDE w:val="0"/>
        <w:autoSpaceDN w:val="0"/>
        <w:spacing w:after="0" w:line="360" w:lineRule="auto"/>
        <w:jc w:val="both"/>
        <w:rPr>
          <w:rFonts w:ascii="Times New Roman" w:eastAsia="Cambria" w:hAnsi="Times New Roman" w:cs="Times New Roman"/>
          <w:kern w:val="0"/>
          <w:lang w:val="en-US"/>
        </w:rPr>
      </w:pPr>
      <w:r w:rsidRPr="00DC429E">
        <w:rPr>
          <w:rFonts w:ascii="Times New Roman" w:eastAsia="Cambria" w:hAnsi="Times New Roman" w:cs="Times New Roman"/>
          <w:kern w:val="0"/>
          <w:lang w:val="en-US"/>
        </w:rPr>
        <w:t xml:space="preserve">Satyavathi, C.T., Ambawat, S., Thirunavukkarasu, N. et al. (2024). Pearl Millet. Agronomy Monographs. American Society of Agronomy/Wiley. </w:t>
      </w:r>
    </w:p>
    <w:p w:rsidR="00DC429E" w:rsidRPr="00300EEC" w:rsidRDefault="00DC429E" w:rsidP="00300EEC">
      <w:pPr>
        <w:widowControl w:val="0"/>
        <w:numPr>
          <w:ilvl w:val="0"/>
          <w:numId w:val="1"/>
        </w:numPr>
        <w:tabs>
          <w:tab w:val="left" w:pos="631"/>
        </w:tabs>
        <w:autoSpaceDE w:val="0"/>
        <w:autoSpaceDN w:val="0"/>
        <w:spacing w:after="0" w:line="360" w:lineRule="auto"/>
        <w:jc w:val="both"/>
        <w:rPr>
          <w:rFonts w:ascii="Times New Roman" w:eastAsia="Cambria" w:hAnsi="Times New Roman" w:cs="Times New Roman"/>
          <w:kern w:val="0"/>
          <w:lang w:val="en-US"/>
        </w:rPr>
      </w:pPr>
      <w:r w:rsidRPr="00300EEC">
        <w:rPr>
          <w:rFonts w:ascii="Times New Roman" w:eastAsia="Cambria" w:hAnsi="Times New Roman" w:cs="Times New Roman"/>
          <w:kern w:val="0"/>
          <w:lang w:val="en-US"/>
        </w:rPr>
        <w:t>Reddy, P.S., Satyavathi, C.T., Khandelwal, V. et al. (2021). Performance and stability of pearl millet varieties for grain yield and micronutrients in arid and semi-arid regions of India. Agronomy, 11, 1248.</w:t>
      </w:r>
    </w:p>
    <w:p w:rsidR="00DC429E" w:rsidRPr="00300EEC" w:rsidRDefault="00DC429E" w:rsidP="00300EEC">
      <w:pPr>
        <w:widowControl w:val="0"/>
        <w:numPr>
          <w:ilvl w:val="0"/>
          <w:numId w:val="1"/>
        </w:numPr>
        <w:tabs>
          <w:tab w:val="left" w:pos="631"/>
        </w:tabs>
        <w:autoSpaceDE w:val="0"/>
        <w:autoSpaceDN w:val="0"/>
        <w:spacing w:after="0" w:line="360" w:lineRule="auto"/>
        <w:jc w:val="both"/>
        <w:rPr>
          <w:rFonts w:ascii="Times New Roman" w:eastAsia="Cambria" w:hAnsi="Times New Roman" w:cs="Times New Roman"/>
          <w:kern w:val="0"/>
          <w:lang w:val="en-US"/>
        </w:rPr>
      </w:pPr>
      <w:r w:rsidRPr="00300EEC">
        <w:rPr>
          <w:rFonts w:ascii="Times New Roman" w:hAnsi="Times New Roman" w:cs="Times New Roman"/>
          <w:color w:val="0D0D0D"/>
        </w:rPr>
        <w:t>Acquaah, G. (2012). Principles of Plant Genetics and Breeding (2nd ed.). Wiley-Blackwell.</w:t>
      </w:r>
    </w:p>
    <w:p w:rsidR="00DC429E" w:rsidRPr="00300EEC" w:rsidRDefault="00DC429E" w:rsidP="00300EEC">
      <w:pPr>
        <w:widowControl w:val="0"/>
        <w:numPr>
          <w:ilvl w:val="0"/>
          <w:numId w:val="1"/>
        </w:numPr>
        <w:tabs>
          <w:tab w:val="left" w:pos="631"/>
        </w:tabs>
        <w:autoSpaceDE w:val="0"/>
        <w:autoSpaceDN w:val="0"/>
        <w:spacing w:after="0" w:line="360" w:lineRule="auto"/>
        <w:jc w:val="both"/>
        <w:rPr>
          <w:rFonts w:ascii="Times New Roman" w:eastAsia="Cambria" w:hAnsi="Times New Roman" w:cs="Times New Roman"/>
          <w:kern w:val="0"/>
          <w:lang w:val="en-US"/>
        </w:rPr>
      </w:pPr>
      <w:r w:rsidRPr="00300EEC">
        <w:rPr>
          <w:rFonts w:ascii="Times New Roman" w:hAnsi="Times New Roman" w:cs="Times New Roman"/>
          <w:color w:val="0D0D0D"/>
        </w:rPr>
        <w:t>Fehr, W.R. (1987). Principles of Cultivar Development. Macmillan Publishing Company.</w:t>
      </w:r>
    </w:p>
    <w:p w:rsidR="00DC429E" w:rsidRPr="00300EEC" w:rsidRDefault="00DC429E" w:rsidP="00300EEC">
      <w:pPr>
        <w:widowControl w:val="0"/>
        <w:numPr>
          <w:ilvl w:val="0"/>
          <w:numId w:val="1"/>
        </w:numPr>
        <w:tabs>
          <w:tab w:val="left" w:pos="631"/>
        </w:tabs>
        <w:autoSpaceDE w:val="0"/>
        <w:autoSpaceDN w:val="0"/>
        <w:spacing w:after="0" w:line="360" w:lineRule="auto"/>
        <w:jc w:val="both"/>
        <w:rPr>
          <w:rFonts w:ascii="Times New Roman" w:eastAsia="Cambria" w:hAnsi="Times New Roman" w:cs="Times New Roman"/>
          <w:kern w:val="0"/>
          <w:lang w:val="en-US"/>
        </w:rPr>
      </w:pPr>
      <w:r w:rsidRPr="00300EEC">
        <w:rPr>
          <w:rFonts w:ascii="Times New Roman" w:hAnsi="Times New Roman" w:cs="Times New Roman"/>
          <w:color w:val="0D0D0D"/>
        </w:rPr>
        <w:lastRenderedPageBreak/>
        <w:t>Hallauer, A.R., Carena, M.J. and Miranda Filho, J.B. (2010). Quantitative Genetics in Maize Breeding (3rd ed.). Springer.</w:t>
      </w:r>
    </w:p>
    <w:p w:rsidR="002221BD" w:rsidRPr="00300EEC" w:rsidRDefault="00DC429E" w:rsidP="00300EEC">
      <w:pPr>
        <w:widowControl w:val="0"/>
        <w:numPr>
          <w:ilvl w:val="0"/>
          <w:numId w:val="1"/>
        </w:numPr>
        <w:tabs>
          <w:tab w:val="left" w:pos="631"/>
        </w:tabs>
        <w:autoSpaceDE w:val="0"/>
        <w:autoSpaceDN w:val="0"/>
        <w:spacing w:after="0" w:line="360" w:lineRule="auto"/>
        <w:jc w:val="both"/>
        <w:rPr>
          <w:rFonts w:ascii="Times New Roman" w:eastAsia="Cambria" w:hAnsi="Times New Roman" w:cs="Times New Roman"/>
          <w:kern w:val="0"/>
          <w:lang w:val="en-US"/>
        </w:rPr>
      </w:pPr>
      <w:r w:rsidRPr="00300EEC">
        <w:rPr>
          <w:rFonts w:ascii="Times New Roman" w:hAnsi="Times New Roman" w:cs="Times New Roman"/>
          <w:color w:val="0D0D0D"/>
        </w:rPr>
        <w:t>Sharma, J.R. (2006). Statistical and Biometrical Techniques in Plant Breeding. New Age International Publishers.</w:t>
      </w:r>
    </w:p>
    <w:p w:rsidR="002221BD" w:rsidRPr="00300EEC" w:rsidRDefault="00DC429E" w:rsidP="00300EEC">
      <w:pPr>
        <w:widowControl w:val="0"/>
        <w:numPr>
          <w:ilvl w:val="0"/>
          <w:numId w:val="1"/>
        </w:numPr>
        <w:tabs>
          <w:tab w:val="left" w:pos="631"/>
        </w:tabs>
        <w:autoSpaceDE w:val="0"/>
        <w:autoSpaceDN w:val="0"/>
        <w:spacing w:after="0" w:line="360" w:lineRule="auto"/>
        <w:jc w:val="both"/>
        <w:rPr>
          <w:rFonts w:ascii="Times New Roman" w:eastAsia="Cambria" w:hAnsi="Times New Roman" w:cs="Times New Roman"/>
          <w:kern w:val="0"/>
          <w:lang w:val="en-US"/>
        </w:rPr>
      </w:pPr>
      <w:r w:rsidRPr="00300EEC">
        <w:rPr>
          <w:rFonts w:ascii="Times New Roman" w:hAnsi="Times New Roman" w:cs="Times New Roman"/>
          <w:color w:val="0D0D0D"/>
        </w:rPr>
        <w:t>Falconer, D.S. (1989). Introduction to Quantitative Genetics (3rd ed.). Longman Scientific &amp; Technical.</w:t>
      </w:r>
    </w:p>
    <w:p w:rsidR="002221BD" w:rsidRPr="00300EEC" w:rsidRDefault="00DC429E" w:rsidP="00300EEC">
      <w:pPr>
        <w:widowControl w:val="0"/>
        <w:numPr>
          <w:ilvl w:val="0"/>
          <w:numId w:val="1"/>
        </w:numPr>
        <w:tabs>
          <w:tab w:val="left" w:pos="631"/>
        </w:tabs>
        <w:autoSpaceDE w:val="0"/>
        <w:autoSpaceDN w:val="0"/>
        <w:spacing w:after="0" w:line="360" w:lineRule="auto"/>
        <w:jc w:val="both"/>
        <w:rPr>
          <w:rFonts w:ascii="Times New Roman" w:eastAsia="Cambria" w:hAnsi="Times New Roman" w:cs="Times New Roman"/>
          <w:kern w:val="0"/>
          <w:lang w:val="en-US"/>
        </w:rPr>
      </w:pPr>
      <w:r w:rsidRPr="00300EEC">
        <w:rPr>
          <w:rFonts w:ascii="Times New Roman" w:hAnsi="Times New Roman" w:cs="Times New Roman"/>
          <w:color w:val="0D0D0D"/>
          <w:spacing w:val="-2"/>
        </w:rPr>
        <w:t>Stoskopf, N.C., Tomes, D.T. and Christie, B.R. (1993). Plant Breeding: Theory and Practice. Westview Press.</w:t>
      </w:r>
    </w:p>
    <w:p w:rsidR="002221BD" w:rsidRPr="00300EEC" w:rsidRDefault="00DC429E" w:rsidP="00300EEC">
      <w:pPr>
        <w:widowControl w:val="0"/>
        <w:numPr>
          <w:ilvl w:val="0"/>
          <w:numId w:val="1"/>
        </w:numPr>
        <w:tabs>
          <w:tab w:val="left" w:pos="631"/>
        </w:tabs>
        <w:autoSpaceDE w:val="0"/>
        <w:autoSpaceDN w:val="0"/>
        <w:spacing w:after="0" w:line="360" w:lineRule="auto"/>
        <w:jc w:val="both"/>
        <w:rPr>
          <w:rFonts w:ascii="Times New Roman" w:eastAsia="Cambria" w:hAnsi="Times New Roman" w:cs="Times New Roman"/>
          <w:kern w:val="0"/>
          <w:lang w:val="en-US"/>
        </w:rPr>
      </w:pPr>
      <w:r w:rsidRPr="00300EEC">
        <w:rPr>
          <w:rFonts w:ascii="Times New Roman" w:hAnsi="Times New Roman" w:cs="Times New Roman"/>
          <w:color w:val="0D0D0D"/>
          <w:spacing w:val="-2"/>
        </w:rPr>
        <w:t>Bahl, P.N. and Salimath, P.M. (1996). Genetics, Cytogenetics and Breeding of Crop Plants. Oxford &amp; IBH.</w:t>
      </w:r>
    </w:p>
    <w:p w:rsidR="002221BD" w:rsidRPr="00300EEC" w:rsidRDefault="00DC429E" w:rsidP="00300EEC">
      <w:pPr>
        <w:widowControl w:val="0"/>
        <w:numPr>
          <w:ilvl w:val="0"/>
          <w:numId w:val="1"/>
        </w:numPr>
        <w:tabs>
          <w:tab w:val="left" w:pos="631"/>
        </w:tabs>
        <w:autoSpaceDE w:val="0"/>
        <w:autoSpaceDN w:val="0"/>
        <w:spacing w:after="0" w:line="360" w:lineRule="auto"/>
        <w:jc w:val="both"/>
        <w:rPr>
          <w:rFonts w:ascii="Times New Roman" w:eastAsia="Cambria" w:hAnsi="Times New Roman" w:cs="Times New Roman"/>
          <w:kern w:val="0"/>
          <w:lang w:val="en-US"/>
        </w:rPr>
      </w:pPr>
      <w:r w:rsidRPr="00300EEC">
        <w:rPr>
          <w:rFonts w:ascii="Times New Roman" w:hAnsi="Times New Roman" w:cs="Times New Roman"/>
          <w:color w:val="0D0D0D"/>
          <w:spacing w:val="-2"/>
        </w:rPr>
        <w:t>ICRISAT. (2023). Pearl Millet Breeding and Improvement Programme. International Crops Research Institute for the Semi-Arid Tropics, Patancheru.</w:t>
      </w:r>
    </w:p>
    <w:p w:rsidR="00DC429E" w:rsidRPr="00300EEC" w:rsidRDefault="00DC429E" w:rsidP="00300EEC">
      <w:pPr>
        <w:widowControl w:val="0"/>
        <w:numPr>
          <w:ilvl w:val="0"/>
          <w:numId w:val="1"/>
        </w:numPr>
        <w:tabs>
          <w:tab w:val="left" w:pos="631"/>
        </w:tabs>
        <w:autoSpaceDE w:val="0"/>
        <w:autoSpaceDN w:val="0"/>
        <w:spacing w:after="0" w:line="360" w:lineRule="auto"/>
        <w:jc w:val="both"/>
        <w:rPr>
          <w:rFonts w:ascii="Times New Roman" w:eastAsia="Cambria" w:hAnsi="Times New Roman" w:cs="Times New Roman"/>
          <w:kern w:val="0"/>
          <w:lang w:val="en-US"/>
        </w:rPr>
      </w:pPr>
      <w:r w:rsidRPr="00300EEC">
        <w:rPr>
          <w:rFonts w:ascii="Times New Roman" w:hAnsi="Times New Roman" w:cs="Times New Roman"/>
          <w:color w:val="0D0D0D"/>
          <w:spacing w:val="-2"/>
        </w:rPr>
        <w:t>Yadav, O.P., Gupta, S.K., Govindaraj, M. and Rai, K.N. (2023). Advances in pearl millet breeding for food, fodder and climate resilience. In: Pearl Millet. Agronomy Monographs. ASA, CSSA and SSSA.</w:t>
      </w:r>
    </w:p>
    <w:p w:rsidR="00DC429E" w:rsidRPr="00300EEC" w:rsidRDefault="002B6E0A" w:rsidP="00300EEC">
      <w:pPr>
        <w:pStyle w:val="ListParagraph"/>
        <w:tabs>
          <w:tab w:val="left" w:pos="747"/>
          <w:tab w:val="left" w:pos="765"/>
        </w:tabs>
        <w:spacing w:before="109" w:line="360" w:lineRule="auto"/>
        <w:ind w:left="765" w:right="26"/>
        <w:jc w:val="both"/>
        <w:rPr>
          <w:rFonts w:ascii="Times New Roman" w:hAnsi="Times New Roman" w:cs="Times New Roman"/>
        </w:rPr>
      </w:pPr>
      <w:r w:rsidRPr="002B6E0A">
        <w:rPr>
          <w:rFonts w:ascii="Times New Roman" w:hAnsi="Times New Roman" w:cs="Times New Roman"/>
          <w:noProof/>
        </w:rPr>
        <w:pict>
          <v:rect id="Rectangle 19" o:spid="_x0000_s2050" style="position:absolute;left:0;text-align:left;margin-left:-16pt;margin-top:537.2pt;width:58.5pt;height:21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" fillcolor="white [3212]" strokecolor="white [3212]" strokeweight="1pt">
            <v:textbox>
              <w:txbxContent>
                <w:p w:rsidR="00DC429E" w:rsidRPr="009D199B" w:rsidRDefault="00DC429E" w:rsidP="00DC429E">
                  <w:pPr>
                    <w:jc w:val="center"/>
                    <w:rPr>
                      <w:color w:val="808080" w:themeColor="background1" w:themeShade="80"/>
                    </w:rPr>
                  </w:pPr>
                  <w:r w:rsidRPr="009D199B">
                    <w:rPr>
                      <w:color w:val="808080" w:themeColor="background1" w:themeShade="80"/>
                    </w:rPr>
                    <w:t>10</w:t>
                  </w:r>
                  <w:r>
                    <w:rPr>
                      <w:color w:val="808080" w:themeColor="background1" w:themeShade="80"/>
                    </w:rPr>
                    <w:t>1.</w:t>
                  </w:r>
                </w:p>
              </w:txbxContent>
            </v:textbox>
          </v:rect>
        </w:pict>
      </w:r>
      <w:r w:rsidR="00DC429E" w:rsidRPr="00300EEC">
        <w:rPr>
          <w:rFonts w:ascii="Times New Roman" w:hAnsi="Times New Roman" w:cs="Times New Roman"/>
        </w:rPr>
        <w:br w:type="column"/>
      </w:r>
    </w:p>
    <w:p w:rsidR="00DC429E" w:rsidRPr="00300EEC" w:rsidRDefault="00DC429E" w:rsidP="00300EEC">
      <w:pPr>
        <w:pStyle w:val="ListParagraph"/>
        <w:spacing w:line="360" w:lineRule="auto"/>
        <w:ind w:left="651"/>
        <w:jc w:val="both"/>
        <w:rPr>
          <w:rFonts w:ascii="Times New Roman" w:hAnsi="Times New Roman" w:cs="Times New Roman"/>
        </w:rPr>
      </w:pPr>
    </w:p>
    <w:sectPr w:rsidR="00DC429E" w:rsidRPr="00300EEC" w:rsidSect="002B6E0A">
      <w:pgSz w:w="11906" w:h="16838"/>
      <w:pgMar w:top="1440" w:right="1440" w:bottom="1440" w:left="1440"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Kabita" w:date="2026-07-23T12:14:00Z" w:initials="K">
    <w:p w:rsidR="005C282E" w:rsidRDefault="005C282E">
      <w:pPr>
        <w:pStyle w:val="CommentText"/>
      </w:pPr>
      <w:r>
        <w:rPr>
          <w:rStyle w:val="CommentReference"/>
        </w:rPr>
        <w:annotationRef/>
      </w:r>
      <w:r>
        <w:t>Taxonomic nomenclature should be standardized.</w:t>
      </w:r>
    </w:p>
  </w:comment>
  <w:comment w:id="0" w:author="Kabita" w:date="2026-07-23T12:15:00Z" w:initials="K">
    <w:p w:rsidR="007530E2" w:rsidRDefault="007530E2">
      <w:pPr>
        <w:pStyle w:val="CommentText"/>
      </w:pPr>
      <w:r>
        <w:rPr>
          <w:rStyle w:val="CommentReference"/>
        </w:rPr>
        <w:annotationRef/>
      </w:r>
      <w:r>
        <w:t>Title should be revised and renamed in respect of experiment done actually.</w:t>
      </w:r>
    </w:p>
  </w:comment>
  <w:comment w:id="2" w:author="Kabita" w:date="2026-07-23T12:09:00Z" w:initials="K">
    <w:p w:rsidR="00235269" w:rsidRDefault="00235269">
      <w:pPr>
        <w:pStyle w:val="CommentText"/>
      </w:pPr>
      <w:r>
        <w:rPr>
          <w:rStyle w:val="CommentReference"/>
        </w:rPr>
        <w:annotationRef/>
      </w:r>
      <w:r>
        <w:t xml:space="preserve">Important information such as </w:t>
      </w:r>
      <w:r>
        <w:rPr>
          <w:rStyle w:val="Strong"/>
        </w:rPr>
        <w:t>plot-to-plot spacing, row-to-row spacing, genotype source, sowing date, harvesting date, soil characteristics, fertilizer application, rainfall received, and irrigation details</w:t>
      </w:r>
      <w:r>
        <w:t xml:space="preserve"> should be provided to ensure reproducibility.</w:t>
      </w:r>
    </w:p>
  </w:comment>
  <w:comment w:id="3" w:author="Kabita" w:date="2026-07-23T12:11:00Z" w:initials="K">
    <w:p w:rsidR="00F92073" w:rsidRDefault="00F92073">
      <w:pPr>
        <w:pStyle w:val="CommentText"/>
      </w:pPr>
      <w:r>
        <w:rPr>
          <w:rStyle w:val="CommentReference"/>
        </w:rPr>
        <w:annotationRef/>
      </w:r>
      <w:r>
        <w:t xml:space="preserve">Information regarding the </w:t>
      </w:r>
      <w:r>
        <w:rPr>
          <w:rStyle w:val="Strong"/>
        </w:rPr>
        <w:t>layout and experimental unit size are missing</w:t>
      </w:r>
    </w:p>
  </w:comment>
  <w:comment w:id="4" w:author="Kabita" w:date="2026-07-23T11:58:00Z" w:initials="K">
    <w:p w:rsidR="002F1E0A" w:rsidRDefault="002F1E0A">
      <w:pPr>
        <w:pStyle w:val="CommentText"/>
      </w:pPr>
      <w:r>
        <w:rPr>
          <w:rStyle w:val="CommentReference"/>
        </w:rPr>
        <w:annotationRef/>
      </w:r>
      <w:r>
        <w:t>This methodology was not undertaken. So avoid mentioning it.</w:t>
      </w:r>
    </w:p>
  </w:comment>
  <w:comment w:id="5" w:author="Kabita" w:date="2026-07-23T12:01:00Z" w:initials="K">
    <w:p w:rsidR="00026F47" w:rsidRDefault="00026F47">
      <w:pPr>
        <w:pStyle w:val="CommentText"/>
      </w:pPr>
      <w:r>
        <w:rPr>
          <w:rStyle w:val="CommentReference"/>
        </w:rPr>
        <w:annotationRef/>
      </w:r>
      <w:r>
        <w:t xml:space="preserve">Results primarily present </w:t>
      </w:r>
      <w:r>
        <w:rPr>
          <w:rStyle w:val="Strong"/>
        </w:rPr>
        <w:t>mean performance of genotypes</w:t>
      </w:r>
      <w:r>
        <w:t>. No actual results for GCV, PCV, heritability, genetic advance, correlation coefficients, or path analysis are presented.</w:t>
      </w:r>
    </w:p>
  </w:comment>
  <w:comment w:id="6" w:author="Kabita" w:date="2026-07-23T12:12:00Z" w:initials="K">
    <w:p w:rsidR="008D23A8" w:rsidRDefault="008D23A8">
      <w:pPr>
        <w:pStyle w:val="CommentText"/>
      </w:pPr>
      <w:r>
        <w:rPr>
          <w:rStyle w:val="CommentReference"/>
        </w:rPr>
        <w:annotationRef/>
      </w:r>
      <w:r>
        <w:rPr>
          <w:rStyle w:val="Strong"/>
        </w:rPr>
        <w:t>Statistical analysis is inadequately reported. Though</w:t>
      </w:r>
      <w:r>
        <w:t xml:space="preserve"> ANOVA was performed, but the actual </w:t>
      </w:r>
      <w:r>
        <w:rPr>
          <w:rStyle w:val="Strong"/>
        </w:rPr>
        <w:t>F-values, standard errors, critical differences (CD), coefficient of variation (CV), and significance levels</w:t>
      </w:r>
      <w:r>
        <w:t xml:space="preserve"> are not presented.</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44D6" w:rsidRDefault="007E44D6" w:rsidP="00C279B1">
      <w:pPr>
        <w:spacing w:after="0" w:line="240" w:lineRule="auto"/>
      </w:pPr>
      <w:r>
        <w:separator/>
      </w:r>
    </w:p>
  </w:endnote>
  <w:endnote w:type="continuationSeparator" w:id="1">
    <w:p w:rsidR="007E44D6" w:rsidRDefault="007E44D6" w:rsidP="00C279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9B1" w:rsidRDefault="00C279B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9B1" w:rsidRDefault="00C279B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9B1" w:rsidRDefault="00C279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44D6" w:rsidRDefault="007E44D6" w:rsidP="00C279B1">
      <w:pPr>
        <w:spacing w:after="0" w:line="240" w:lineRule="auto"/>
      </w:pPr>
      <w:r>
        <w:separator/>
      </w:r>
    </w:p>
  </w:footnote>
  <w:footnote w:type="continuationSeparator" w:id="1">
    <w:p w:rsidR="007E44D6" w:rsidRDefault="007E44D6" w:rsidP="00C279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9B1" w:rsidRDefault="002B6E0A">
    <w:pPr>
      <w:pStyle w:val="Header"/>
    </w:pPr>
    <w:r w:rsidRPr="002B6E0A">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1220219" o:spid="_x0000_s1026" type="#_x0000_t136" style="position:absolute;margin-left:0;margin-top:0;width:656.5pt;height:123.0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9B1" w:rsidRDefault="002B6E0A">
    <w:pPr>
      <w:pStyle w:val="Header"/>
    </w:pPr>
    <w:r w:rsidRPr="002B6E0A">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1220220" o:spid="_x0000_s1027" type="#_x0000_t136" style="position:absolute;margin-left:0;margin-top:0;width:656.5pt;height:123.0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9B1" w:rsidRDefault="002B6E0A">
    <w:pPr>
      <w:pStyle w:val="Header"/>
    </w:pPr>
    <w:r w:rsidRPr="002B6E0A">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1220218" o:spid="_x0000_s1025" type="#_x0000_t136" style="position:absolute;margin-left:0;margin-top:0;width:656.5pt;height:123.0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C103B"/>
    <w:multiLevelType w:val="hybridMultilevel"/>
    <w:tmpl w:val="D9FAF2BE"/>
    <w:lvl w:ilvl="0" w:tplc="FA88EBC8">
      <w:start w:val="1"/>
      <w:numFmt w:val="decimal"/>
      <w:lvlText w:val="%1."/>
      <w:lvlJc w:val="left"/>
      <w:pPr>
        <w:ind w:left="651" w:hanging="607"/>
        <w:jc w:val="right"/>
      </w:pPr>
      <w:rPr>
        <w:rFonts w:ascii="Cambria" w:eastAsia="Cambria" w:hAnsi="Cambria" w:cs="Cambria" w:hint="default"/>
        <w:b w:val="0"/>
        <w:bCs w:val="0"/>
        <w:i w:val="0"/>
        <w:iCs w:val="0"/>
        <w:color w:val="0D0D0D"/>
        <w:spacing w:val="0"/>
        <w:w w:val="100"/>
        <w:sz w:val="18"/>
        <w:szCs w:val="18"/>
        <w:lang w:val="en-US" w:eastAsia="en-US" w:bidi="ar-SA"/>
      </w:rPr>
    </w:lvl>
    <w:lvl w:ilvl="1" w:tplc="FEC09630">
      <w:numFmt w:val="bullet"/>
      <w:lvlText w:val="•"/>
      <w:lvlJc w:val="left"/>
      <w:pPr>
        <w:ind w:left="1121" w:hanging="607"/>
      </w:pPr>
      <w:rPr>
        <w:rFonts w:hint="default"/>
        <w:lang w:val="en-US" w:eastAsia="en-US" w:bidi="ar-SA"/>
      </w:rPr>
    </w:lvl>
    <w:lvl w:ilvl="2" w:tplc="3D6E02B0">
      <w:numFmt w:val="bullet"/>
      <w:lvlText w:val="•"/>
      <w:lvlJc w:val="left"/>
      <w:pPr>
        <w:ind w:left="1582" w:hanging="607"/>
      </w:pPr>
      <w:rPr>
        <w:rFonts w:hint="default"/>
        <w:lang w:val="en-US" w:eastAsia="en-US" w:bidi="ar-SA"/>
      </w:rPr>
    </w:lvl>
    <w:lvl w:ilvl="3" w:tplc="8B6C3CD8">
      <w:numFmt w:val="bullet"/>
      <w:lvlText w:val="•"/>
      <w:lvlJc w:val="left"/>
      <w:pPr>
        <w:ind w:left="2043" w:hanging="607"/>
      </w:pPr>
      <w:rPr>
        <w:rFonts w:hint="default"/>
        <w:lang w:val="en-US" w:eastAsia="en-US" w:bidi="ar-SA"/>
      </w:rPr>
    </w:lvl>
    <w:lvl w:ilvl="4" w:tplc="8D2C3EF6">
      <w:numFmt w:val="bullet"/>
      <w:lvlText w:val="•"/>
      <w:lvlJc w:val="left"/>
      <w:pPr>
        <w:ind w:left="2504" w:hanging="607"/>
      </w:pPr>
      <w:rPr>
        <w:rFonts w:hint="default"/>
        <w:lang w:val="en-US" w:eastAsia="en-US" w:bidi="ar-SA"/>
      </w:rPr>
    </w:lvl>
    <w:lvl w:ilvl="5" w:tplc="C1A204A6">
      <w:numFmt w:val="bullet"/>
      <w:lvlText w:val="•"/>
      <w:lvlJc w:val="left"/>
      <w:pPr>
        <w:ind w:left="2966" w:hanging="607"/>
      </w:pPr>
      <w:rPr>
        <w:rFonts w:hint="default"/>
        <w:lang w:val="en-US" w:eastAsia="en-US" w:bidi="ar-SA"/>
      </w:rPr>
    </w:lvl>
    <w:lvl w:ilvl="6" w:tplc="B06E1BFE">
      <w:numFmt w:val="bullet"/>
      <w:lvlText w:val="•"/>
      <w:lvlJc w:val="left"/>
      <w:pPr>
        <w:ind w:left="3427" w:hanging="607"/>
      </w:pPr>
      <w:rPr>
        <w:rFonts w:hint="default"/>
        <w:lang w:val="en-US" w:eastAsia="en-US" w:bidi="ar-SA"/>
      </w:rPr>
    </w:lvl>
    <w:lvl w:ilvl="7" w:tplc="54B8A69C">
      <w:numFmt w:val="bullet"/>
      <w:lvlText w:val="•"/>
      <w:lvlJc w:val="left"/>
      <w:pPr>
        <w:ind w:left="3888" w:hanging="607"/>
      </w:pPr>
      <w:rPr>
        <w:rFonts w:hint="default"/>
        <w:lang w:val="en-US" w:eastAsia="en-US" w:bidi="ar-SA"/>
      </w:rPr>
    </w:lvl>
    <w:lvl w:ilvl="8" w:tplc="2FA09436">
      <w:numFmt w:val="bullet"/>
      <w:lvlText w:val="•"/>
      <w:lvlJc w:val="left"/>
      <w:pPr>
        <w:ind w:left="4349" w:hanging="607"/>
      </w:pPr>
      <w:rPr>
        <w:rFonts w:hint="default"/>
        <w:lang w:val="en-US" w:eastAsia="en-US" w:bidi="ar-SA"/>
      </w:rPr>
    </w:lvl>
  </w:abstractNum>
  <w:abstractNum w:abstractNumId="1">
    <w:nsid w:val="4AA97588"/>
    <w:multiLevelType w:val="hybridMultilevel"/>
    <w:tmpl w:val="D9FAF2BE"/>
    <w:lvl w:ilvl="0" w:tplc="FFFFFFFF">
      <w:start w:val="1"/>
      <w:numFmt w:val="decimal"/>
      <w:lvlText w:val="%1."/>
      <w:lvlJc w:val="left"/>
      <w:pPr>
        <w:ind w:left="651" w:hanging="607"/>
        <w:jc w:val="right"/>
      </w:pPr>
      <w:rPr>
        <w:rFonts w:ascii="Cambria" w:eastAsia="Cambria" w:hAnsi="Cambria" w:cs="Cambria" w:hint="default"/>
        <w:b w:val="0"/>
        <w:bCs w:val="0"/>
        <w:i w:val="0"/>
        <w:iCs w:val="0"/>
        <w:color w:val="0D0D0D"/>
        <w:spacing w:val="0"/>
        <w:w w:val="100"/>
        <w:sz w:val="18"/>
        <w:szCs w:val="18"/>
        <w:lang w:val="en-US" w:eastAsia="en-US" w:bidi="ar-SA"/>
      </w:rPr>
    </w:lvl>
    <w:lvl w:ilvl="1" w:tplc="FFFFFFFF">
      <w:numFmt w:val="bullet"/>
      <w:lvlText w:val="•"/>
      <w:lvlJc w:val="left"/>
      <w:pPr>
        <w:ind w:left="1121" w:hanging="607"/>
      </w:pPr>
      <w:rPr>
        <w:rFonts w:hint="default"/>
        <w:lang w:val="en-US" w:eastAsia="en-US" w:bidi="ar-SA"/>
      </w:rPr>
    </w:lvl>
    <w:lvl w:ilvl="2" w:tplc="FFFFFFFF">
      <w:numFmt w:val="bullet"/>
      <w:lvlText w:val="•"/>
      <w:lvlJc w:val="left"/>
      <w:pPr>
        <w:ind w:left="1582" w:hanging="607"/>
      </w:pPr>
      <w:rPr>
        <w:rFonts w:hint="default"/>
        <w:lang w:val="en-US" w:eastAsia="en-US" w:bidi="ar-SA"/>
      </w:rPr>
    </w:lvl>
    <w:lvl w:ilvl="3" w:tplc="FFFFFFFF">
      <w:numFmt w:val="bullet"/>
      <w:lvlText w:val="•"/>
      <w:lvlJc w:val="left"/>
      <w:pPr>
        <w:ind w:left="2043" w:hanging="607"/>
      </w:pPr>
      <w:rPr>
        <w:rFonts w:hint="default"/>
        <w:lang w:val="en-US" w:eastAsia="en-US" w:bidi="ar-SA"/>
      </w:rPr>
    </w:lvl>
    <w:lvl w:ilvl="4" w:tplc="FFFFFFFF">
      <w:numFmt w:val="bullet"/>
      <w:lvlText w:val="•"/>
      <w:lvlJc w:val="left"/>
      <w:pPr>
        <w:ind w:left="2504" w:hanging="607"/>
      </w:pPr>
      <w:rPr>
        <w:rFonts w:hint="default"/>
        <w:lang w:val="en-US" w:eastAsia="en-US" w:bidi="ar-SA"/>
      </w:rPr>
    </w:lvl>
    <w:lvl w:ilvl="5" w:tplc="FFFFFFFF">
      <w:numFmt w:val="bullet"/>
      <w:lvlText w:val="•"/>
      <w:lvlJc w:val="left"/>
      <w:pPr>
        <w:ind w:left="2966" w:hanging="607"/>
      </w:pPr>
      <w:rPr>
        <w:rFonts w:hint="default"/>
        <w:lang w:val="en-US" w:eastAsia="en-US" w:bidi="ar-SA"/>
      </w:rPr>
    </w:lvl>
    <w:lvl w:ilvl="6" w:tplc="FFFFFFFF">
      <w:numFmt w:val="bullet"/>
      <w:lvlText w:val="•"/>
      <w:lvlJc w:val="left"/>
      <w:pPr>
        <w:ind w:left="3427" w:hanging="607"/>
      </w:pPr>
      <w:rPr>
        <w:rFonts w:hint="default"/>
        <w:lang w:val="en-US" w:eastAsia="en-US" w:bidi="ar-SA"/>
      </w:rPr>
    </w:lvl>
    <w:lvl w:ilvl="7" w:tplc="FFFFFFFF">
      <w:numFmt w:val="bullet"/>
      <w:lvlText w:val="•"/>
      <w:lvlJc w:val="left"/>
      <w:pPr>
        <w:ind w:left="3888" w:hanging="607"/>
      </w:pPr>
      <w:rPr>
        <w:rFonts w:hint="default"/>
        <w:lang w:val="en-US" w:eastAsia="en-US" w:bidi="ar-SA"/>
      </w:rPr>
    </w:lvl>
    <w:lvl w:ilvl="8" w:tplc="FFFFFFFF">
      <w:numFmt w:val="bullet"/>
      <w:lvlText w:val="•"/>
      <w:lvlJc w:val="left"/>
      <w:pPr>
        <w:ind w:left="4349" w:hanging="607"/>
      </w:pPr>
      <w:rPr>
        <w:rFonts w:hint="default"/>
        <w:lang w:val="en-US" w:eastAsia="en-US" w:bidi="ar-S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DC429E"/>
    <w:rsid w:val="00026F47"/>
    <w:rsid w:val="00047F58"/>
    <w:rsid w:val="002221BD"/>
    <w:rsid w:val="00235269"/>
    <w:rsid w:val="002B6E0A"/>
    <w:rsid w:val="002F1E0A"/>
    <w:rsid w:val="00300EEC"/>
    <w:rsid w:val="00331488"/>
    <w:rsid w:val="00377663"/>
    <w:rsid w:val="005C282E"/>
    <w:rsid w:val="007530E2"/>
    <w:rsid w:val="007E44D6"/>
    <w:rsid w:val="00856EAD"/>
    <w:rsid w:val="008D23A8"/>
    <w:rsid w:val="0098443C"/>
    <w:rsid w:val="00AC3403"/>
    <w:rsid w:val="00AD4F5E"/>
    <w:rsid w:val="00B2278F"/>
    <w:rsid w:val="00C279B1"/>
    <w:rsid w:val="00C479E0"/>
    <w:rsid w:val="00C9538E"/>
    <w:rsid w:val="00DA70CE"/>
    <w:rsid w:val="00DC429E"/>
    <w:rsid w:val="00E9233C"/>
    <w:rsid w:val="00F920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E0A"/>
  </w:style>
  <w:style w:type="paragraph" w:styleId="Heading1">
    <w:name w:val="heading 1"/>
    <w:basedOn w:val="Normal"/>
    <w:next w:val="Normal"/>
    <w:link w:val="Heading1Char"/>
    <w:uiPriority w:val="9"/>
    <w:qFormat/>
    <w:rsid w:val="00DC42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C42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C42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C42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C42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C4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4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4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4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2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C42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C42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C42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C42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C4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4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4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429E"/>
    <w:rPr>
      <w:rFonts w:eastAsiaTheme="majorEastAsia" w:cstheme="majorBidi"/>
      <w:color w:val="272727" w:themeColor="text1" w:themeTint="D8"/>
    </w:rPr>
  </w:style>
  <w:style w:type="paragraph" w:styleId="Title">
    <w:name w:val="Title"/>
    <w:basedOn w:val="Normal"/>
    <w:next w:val="Normal"/>
    <w:link w:val="TitleChar"/>
    <w:uiPriority w:val="10"/>
    <w:qFormat/>
    <w:rsid w:val="00DC4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4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4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4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429E"/>
    <w:pPr>
      <w:spacing w:before="160"/>
      <w:jc w:val="center"/>
    </w:pPr>
    <w:rPr>
      <w:i/>
      <w:iCs/>
      <w:color w:val="404040" w:themeColor="text1" w:themeTint="BF"/>
    </w:rPr>
  </w:style>
  <w:style w:type="character" w:customStyle="1" w:styleId="QuoteChar">
    <w:name w:val="Quote Char"/>
    <w:basedOn w:val="DefaultParagraphFont"/>
    <w:link w:val="Quote"/>
    <w:uiPriority w:val="29"/>
    <w:rsid w:val="00DC429E"/>
    <w:rPr>
      <w:i/>
      <w:iCs/>
      <w:color w:val="404040" w:themeColor="text1" w:themeTint="BF"/>
    </w:rPr>
  </w:style>
  <w:style w:type="paragraph" w:styleId="ListParagraph">
    <w:name w:val="List Paragraph"/>
    <w:basedOn w:val="Normal"/>
    <w:uiPriority w:val="1"/>
    <w:qFormat/>
    <w:rsid w:val="00DC429E"/>
    <w:pPr>
      <w:ind w:left="720"/>
      <w:contextualSpacing/>
    </w:pPr>
  </w:style>
  <w:style w:type="character" w:styleId="IntenseEmphasis">
    <w:name w:val="Intense Emphasis"/>
    <w:basedOn w:val="DefaultParagraphFont"/>
    <w:uiPriority w:val="21"/>
    <w:qFormat/>
    <w:rsid w:val="00DC429E"/>
    <w:rPr>
      <w:i/>
      <w:iCs/>
      <w:color w:val="2F5496" w:themeColor="accent1" w:themeShade="BF"/>
    </w:rPr>
  </w:style>
  <w:style w:type="paragraph" w:styleId="IntenseQuote">
    <w:name w:val="Intense Quote"/>
    <w:basedOn w:val="Normal"/>
    <w:next w:val="Normal"/>
    <w:link w:val="IntenseQuoteChar"/>
    <w:uiPriority w:val="30"/>
    <w:qFormat/>
    <w:rsid w:val="00DC42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429E"/>
    <w:rPr>
      <w:i/>
      <w:iCs/>
      <w:color w:val="2F5496" w:themeColor="accent1" w:themeShade="BF"/>
    </w:rPr>
  </w:style>
  <w:style w:type="character" w:styleId="IntenseReference">
    <w:name w:val="Intense Reference"/>
    <w:basedOn w:val="DefaultParagraphFont"/>
    <w:uiPriority w:val="32"/>
    <w:qFormat/>
    <w:rsid w:val="00DC429E"/>
    <w:rPr>
      <w:b/>
      <w:bCs/>
      <w:smallCaps/>
      <w:color w:val="2F5496" w:themeColor="accent1" w:themeShade="BF"/>
      <w:spacing w:val="5"/>
    </w:rPr>
  </w:style>
  <w:style w:type="character" w:styleId="Hyperlink">
    <w:name w:val="Hyperlink"/>
    <w:basedOn w:val="DefaultParagraphFont"/>
    <w:uiPriority w:val="99"/>
    <w:unhideWhenUsed/>
    <w:rsid w:val="00DC429E"/>
    <w:rPr>
      <w:color w:val="0563C1" w:themeColor="hyperlink"/>
      <w:u w:val="single"/>
    </w:rPr>
  </w:style>
  <w:style w:type="paragraph" w:styleId="BodyText">
    <w:name w:val="Body Text"/>
    <w:basedOn w:val="Normal"/>
    <w:link w:val="BodyTextChar"/>
    <w:uiPriority w:val="1"/>
    <w:qFormat/>
    <w:rsid w:val="00DC429E"/>
    <w:pPr>
      <w:widowControl w:val="0"/>
      <w:autoSpaceDE w:val="0"/>
      <w:autoSpaceDN w:val="0"/>
      <w:spacing w:after="0" w:line="240" w:lineRule="auto"/>
    </w:pPr>
    <w:rPr>
      <w:rFonts w:ascii="Cambria" w:eastAsia="Cambria" w:hAnsi="Cambria" w:cs="Cambria"/>
      <w:kern w:val="0"/>
      <w:sz w:val="20"/>
      <w:szCs w:val="20"/>
      <w:lang w:val="en-US"/>
    </w:rPr>
  </w:style>
  <w:style w:type="character" w:customStyle="1" w:styleId="BodyTextChar">
    <w:name w:val="Body Text Char"/>
    <w:basedOn w:val="DefaultParagraphFont"/>
    <w:link w:val="BodyText"/>
    <w:uiPriority w:val="1"/>
    <w:rsid w:val="00DC429E"/>
    <w:rPr>
      <w:rFonts w:ascii="Cambria" w:eastAsia="Cambria" w:hAnsi="Cambria" w:cs="Cambria"/>
      <w:kern w:val="0"/>
      <w:sz w:val="20"/>
      <w:szCs w:val="20"/>
      <w:lang w:val="en-US"/>
    </w:rPr>
  </w:style>
  <w:style w:type="character" w:customStyle="1" w:styleId="UnresolvedMention">
    <w:name w:val="Unresolved Mention"/>
    <w:basedOn w:val="DefaultParagraphFont"/>
    <w:uiPriority w:val="99"/>
    <w:semiHidden/>
    <w:unhideWhenUsed/>
    <w:rsid w:val="00AD4F5E"/>
    <w:rPr>
      <w:color w:val="605E5C"/>
      <w:shd w:val="clear" w:color="auto" w:fill="E1DFDD"/>
    </w:rPr>
  </w:style>
  <w:style w:type="paragraph" w:styleId="Header">
    <w:name w:val="header"/>
    <w:basedOn w:val="Normal"/>
    <w:link w:val="HeaderChar"/>
    <w:uiPriority w:val="99"/>
    <w:unhideWhenUsed/>
    <w:rsid w:val="00C27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9B1"/>
  </w:style>
  <w:style w:type="paragraph" w:styleId="Footer">
    <w:name w:val="footer"/>
    <w:basedOn w:val="Normal"/>
    <w:link w:val="FooterChar"/>
    <w:uiPriority w:val="99"/>
    <w:unhideWhenUsed/>
    <w:rsid w:val="00C27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9B1"/>
  </w:style>
  <w:style w:type="character" w:styleId="CommentReference">
    <w:name w:val="annotation reference"/>
    <w:basedOn w:val="DefaultParagraphFont"/>
    <w:uiPriority w:val="99"/>
    <w:semiHidden/>
    <w:unhideWhenUsed/>
    <w:rsid w:val="002F1E0A"/>
    <w:rPr>
      <w:sz w:val="16"/>
      <w:szCs w:val="16"/>
    </w:rPr>
  </w:style>
  <w:style w:type="paragraph" w:styleId="CommentText">
    <w:name w:val="annotation text"/>
    <w:basedOn w:val="Normal"/>
    <w:link w:val="CommentTextChar"/>
    <w:uiPriority w:val="99"/>
    <w:semiHidden/>
    <w:unhideWhenUsed/>
    <w:rsid w:val="002F1E0A"/>
    <w:pPr>
      <w:spacing w:line="240" w:lineRule="auto"/>
    </w:pPr>
    <w:rPr>
      <w:sz w:val="20"/>
      <w:szCs w:val="20"/>
    </w:rPr>
  </w:style>
  <w:style w:type="character" w:customStyle="1" w:styleId="CommentTextChar">
    <w:name w:val="Comment Text Char"/>
    <w:basedOn w:val="DefaultParagraphFont"/>
    <w:link w:val="CommentText"/>
    <w:uiPriority w:val="99"/>
    <w:semiHidden/>
    <w:rsid w:val="002F1E0A"/>
    <w:rPr>
      <w:sz w:val="20"/>
      <w:szCs w:val="20"/>
    </w:rPr>
  </w:style>
  <w:style w:type="paragraph" w:styleId="CommentSubject">
    <w:name w:val="annotation subject"/>
    <w:basedOn w:val="CommentText"/>
    <w:next w:val="CommentText"/>
    <w:link w:val="CommentSubjectChar"/>
    <w:uiPriority w:val="99"/>
    <w:semiHidden/>
    <w:unhideWhenUsed/>
    <w:rsid w:val="002F1E0A"/>
    <w:rPr>
      <w:b/>
      <w:bCs/>
    </w:rPr>
  </w:style>
  <w:style w:type="character" w:customStyle="1" w:styleId="CommentSubjectChar">
    <w:name w:val="Comment Subject Char"/>
    <w:basedOn w:val="CommentTextChar"/>
    <w:link w:val="CommentSubject"/>
    <w:uiPriority w:val="99"/>
    <w:semiHidden/>
    <w:rsid w:val="002F1E0A"/>
    <w:rPr>
      <w:b/>
      <w:bCs/>
    </w:rPr>
  </w:style>
  <w:style w:type="paragraph" w:styleId="BalloonText">
    <w:name w:val="Balloon Text"/>
    <w:basedOn w:val="Normal"/>
    <w:link w:val="BalloonTextChar"/>
    <w:uiPriority w:val="99"/>
    <w:semiHidden/>
    <w:unhideWhenUsed/>
    <w:rsid w:val="002F1E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1E0A"/>
    <w:rPr>
      <w:rFonts w:ascii="Tahoma" w:hAnsi="Tahoma" w:cs="Tahoma"/>
      <w:sz w:val="16"/>
      <w:szCs w:val="16"/>
    </w:rPr>
  </w:style>
  <w:style w:type="character" w:styleId="Strong">
    <w:name w:val="Strong"/>
    <w:basedOn w:val="DefaultParagraphFont"/>
    <w:uiPriority w:val="22"/>
    <w:qFormat/>
    <w:rsid w:val="00026F47"/>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11</Pages>
  <Words>4136</Words>
  <Characters>23576</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Mousmi Syed</dc:creator>
  <cp:keywords/>
  <dc:description/>
  <cp:lastModifiedBy>Kabita</cp:lastModifiedBy>
  <cp:revision>15</cp:revision>
  <dcterms:created xsi:type="dcterms:W3CDTF">2026-07-18T16:46:00Z</dcterms:created>
  <dcterms:modified xsi:type="dcterms:W3CDTF">2026-07-23T06:45:00Z</dcterms:modified>
</cp:coreProperties>
</file>