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:rsidRPr="00364528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364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364528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6452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364528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364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573E9F28" w:rsidR="00CD1D57" w:rsidRPr="00364528" w:rsidRDefault="00CD5E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Ms_AJEFM_2785</w:t>
            </w:r>
          </w:p>
        </w:tc>
      </w:tr>
      <w:tr w:rsidR="00CD1D57" w:rsidRPr="00364528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364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02121CFC" w:rsidR="00CD1D57" w:rsidRPr="00364528" w:rsidRDefault="00CD5E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Blockchains Adoption and Market Efficiency: Evidence from African Capital Markets</w:t>
            </w:r>
          </w:p>
        </w:tc>
      </w:tr>
      <w:tr w:rsidR="00CD1D57" w:rsidRPr="00364528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36452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364528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Pr="00364528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36452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6452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6452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364528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:rsidRPr="00364528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3645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645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645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36452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2E062DBC" w:rsidR="00CD1D57" w:rsidRPr="00364528" w:rsidRDefault="00AE60F2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manuscript states that its findings may be useful for financial regulators, stock exchanges, policymakers, investors, fintech firms and researchers. It contributes cross-country evidence on blockchain adoption and market efficiency using a dynamic panel approach.</w:t>
            </w:r>
          </w:p>
        </w:tc>
        <w:tc>
          <w:tcPr>
            <w:tcW w:w="1667" w:type="pct"/>
          </w:tcPr>
          <w:p w14:paraId="7412EFAA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CD1D57" w:rsidRPr="00364528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3645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645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364528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364528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36452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6452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36452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36452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364528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3645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591FCCBF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title identifies blockchain adoption, market efficiency and the African capital-market context.</w:t>
            </w:r>
          </w:p>
        </w:tc>
        <w:tc>
          <w:tcPr>
            <w:tcW w:w="1667" w:type="pct"/>
          </w:tcPr>
          <w:p w14:paraId="4AE266E2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446894" w14:textId="7C642460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abstract should be checked against the study objectives, methodology, key findings and conclusions.</w:t>
            </w:r>
          </w:p>
          <w:p w14:paraId="5956889B" w14:textId="77777777" w:rsidR="00876B38" w:rsidRPr="00364528" w:rsidRDefault="00876B38" w:rsidP="00876B3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4766AC8" w14:textId="67C38BA8" w:rsidR="00876B38" w:rsidRPr="00364528" w:rsidRDefault="00876B38" w:rsidP="00876B38">
            <w:pPr>
              <w:tabs>
                <w:tab w:val="left" w:pos="1315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1667" w:type="pct"/>
          </w:tcPr>
          <w:p w14:paraId="5DEB5624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545F8AC4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Keywords should correspond to blockchain adoption, market efficiency, African capital markets, institutional quality and related variables.</w:t>
            </w:r>
          </w:p>
        </w:tc>
        <w:tc>
          <w:tcPr>
            <w:tcW w:w="1667" w:type="pct"/>
          </w:tcPr>
          <w:p w14:paraId="3A38FC0C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721C01CF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manuscript discusses inefficiencies in African capital markets and explains the relevance of blockchain technology.</w:t>
            </w:r>
          </w:p>
        </w:tc>
        <w:tc>
          <w:tcPr>
            <w:tcW w:w="1667" w:type="pct"/>
          </w:tcPr>
          <w:p w14:paraId="459E428A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030515AD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Five specific objectives are explicitly provided, covering return predictability, bid-ask spreads, turnover, institutional quality and cross-market differences.</w:t>
            </w:r>
          </w:p>
        </w:tc>
        <w:tc>
          <w:tcPr>
            <w:tcW w:w="1667" w:type="pct"/>
          </w:tcPr>
          <w:p w14:paraId="4BE6FE55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1DB7F29C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review covers blockchain, financial markets, market efficiency, fintech and institutional quality, with references including studies from 2021–2025.</w:t>
            </w:r>
          </w:p>
        </w:tc>
        <w:tc>
          <w:tcPr>
            <w:tcW w:w="1667" w:type="pct"/>
          </w:tcPr>
          <w:p w14:paraId="5F01E146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7D78AD7F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study uses a dynamic panel framework/System GMM and robustness estimators. The manuscript states that this approach addresses endogeneity, persistence, reverse causality and unobserved heterogeneity.</w:t>
            </w:r>
          </w:p>
        </w:tc>
        <w:tc>
          <w:tcPr>
            <w:tcW w:w="1667" w:type="pct"/>
          </w:tcPr>
          <w:p w14:paraId="12BA8C9A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4A7E2193" w:rsidR="00CD1D57" w:rsidRPr="00364528" w:rsidRDefault="00876B38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</w:rPr>
              <w:t>The manuscript does not indicate human-subject experimentation; review the manuscript's ethical declaration before selecting the rating.</w:t>
            </w:r>
          </w:p>
        </w:tc>
        <w:tc>
          <w:tcPr>
            <w:tcW w:w="1667" w:type="pct"/>
          </w:tcPr>
          <w:p w14:paraId="14000C90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34A7121A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Results report positive and statistically significant effects of blockchain adoption on market efficiency, along with effects on bid-ask spreads and turnover.</w:t>
            </w:r>
          </w:p>
        </w:tc>
        <w:tc>
          <w:tcPr>
            <w:tcW w:w="1667" w:type="pct"/>
          </w:tcPr>
          <w:p w14:paraId="67858976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364528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364528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3AC38FD4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The manuscript includes a conceptual figure and econometric result tables; assess their presentation directly in the manuscript.</w:t>
            </w:r>
          </w:p>
        </w:tc>
        <w:tc>
          <w:tcPr>
            <w:tcW w:w="1667" w:type="pct"/>
          </w:tcPr>
          <w:p w14:paraId="5189428D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DE13FAC" w14:textId="646BB502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lastRenderedPageBreak/>
              <w:t>The discussion compares findings with previous studies and relates them to Efficient Market Hypothesis, Diffusion of Innovation Theory and Technology Acceptance Model.</w:t>
            </w:r>
          </w:p>
        </w:tc>
        <w:tc>
          <w:tcPr>
            <w:tcW w:w="1667" w:type="pct"/>
          </w:tcPr>
          <w:p w14:paraId="75548E2F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30467417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The reported conclusion is that blockchain adoption has a positive and significant effect on market efficiency, with institutional quality strengthening the relationship.</w:t>
            </w:r>
          </w:p>
        </w:tc>
        <w:tc>
          <w:tcPr>
            <w:tcW w:w="1667" w:type="pct"/>
          </w:tcPr>
          <w:p w14:paraId="6747F91D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731E2647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 xml:space="preserve">Yes. Limitations include data availability, reliance on proxy measures, differences in market structures/regulation, and the exchange-level focus. </w:t>
            </w:r>
          </w:p>
        </w:tc>
        <w:tc>
          <w:tcPr>
            <w:tcW w:w="1667" w:type="pct"/>
          </w:tcPr>
          <w:p w14:paraId="4DA6A4EC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FBDA77" w14:textId="34AF1A83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The manuscript contains references covering blockchain, financial markets, econometrics, fintech and market efficiency.</w:t>
            </w:r>
          </w:p>
          <w:p w14:paraId="633C28C2" w14:textId="5AF908B5" w:rsidR="00876B38" w:rsidRPr="00364528" w:rsidRDefault="00876B38" w:rsidP="00876B38">
            <w:pPr>
              <w:tabs>
                <w:tab w:val="left" w:pos="1578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1667" w:type="pct"/>
          </w:tcPr>
          <w:p w14:paraId="15F48819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36452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36452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2CFFDDFA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The manuscript is written in academic research format; assess language and clarity directly while reviewing.</w:t>
            </w:r>
          </w:p>
        </w:tc>
        <w:tc>
          <w:tcPr>
            <w:tcW w:w="1667" w:type="pct"/>
          </w:tcPr>
          <w:p w14:paraId="208D0AD4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364528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364528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36452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6452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364528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364528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364528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36452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6452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6452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36452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3645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364528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364528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0771AAB9" w:rsidR="00CD1D57" w:rsidRPr="00364528" w:rsidRDefault="00876B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Title Suitability </w:t>
            </w:r>
          </w:p>
        </w:tc>
        <w:tc>
          <w:tcPr>
            <w:tcW w:w="1667" w:type="pct"/>
          </w:tcPr>
          <w:p w14:paraId="5D31829C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364528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0ED5FDA0" w:rsidR="00CD1D57" w:rsidRPr="00364528" w:rsidRDefault="00876B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</w:rPr>
              <w:t>Abstract comprehensiveness</w:t>
            </w:r>
          </w:p>
        </w:tc>
        <w:tc>
          <w:tcPr>
            <w:tcW w:w="1667" w:type="pct"/>
          </w:tcPr>
          <w:p w14:paraId="2D3B2A0B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36452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6452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36452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C073981" w14:textId="77777777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Scientific correctness</w:t>
            </w:r>
          </w:p>
          <w:p w14:paraId="1B3E228C" w14:textId="77777777" w:rsidR="00B8305A" w:rsidRPr="00364528" w:rsidRDefault="00B8305A" w:rsidP="00B8305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265580" w14:textId="39C0099C" w:rsidR="008A5C1F" w:rsidRPr="00364528" w:rsidRDefault="008A5C1F" w:rsidP="00E904C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AAB410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3645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364528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364528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1AB692D3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>References being sufficient and recent</w:t>
            </w:r>
          </w:p>
        </w:tc>
        <w:tc>
          <w:tcPr>
            <w:tcW w:w="1667" w:type="pct"/>
          </w:tcPr>
          <w:p w14:paraId="1688214E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364528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36452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364528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36452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364528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3B9D6256" w:rsidR="00CD1D57" w:rsidRPr="00364528" w:rsidRDefault="00876B3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64528">
              <w:rPr>
                <w:rFonts w:ascii="Arial" w:hAnsi="Arial" w:cs="Arial"/>
                <w:bCs/>
                <w:sz w:val="20"/>
                <w:szCs w:val="20"/>
              </w:rPr>
              <w:t xml:space="preserve">Ethical issues </w:t>
            </w:r>
          </w:p>
        </w:tc>
        <w:tc>
          <w:tcPr>
            <w:tcW w:w="1667" w:type="pct"/>
          </w:tcPr>
          <w:p w14:paraId="13741F89" w14:textId="77777777" w:rsidR="00CD1D57" w:rsidRPr="00364528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718C20" w14:textId="77777777" w:rsidR="00364528" w:rsidRPr="00364528" w:rsidRDefault="00364528" w:rsidP="00364528">
      <w:pPr>
        <w:rPr>
          <w:rFonts w:ascii="Arial" w:hAnsi="Arial" w:cs="Arial"/>
          <w:b/>
          <w:sz w:val="20"/>
          <w:szCs w:val="20"/>
        </w:rPr>
      </w:pPr>
    </w:p>
    <w:p w14:paraId="591967FD" w14:textId="77777777" w:rsidR="00364528" w:rsidRPr="00364528" w:rsidRDefault="00364528" w:rsidP="00364528">
      <w:pPr>
        <w:rPr>
          <w:rFonts w:ascii="Arial" w:hAnsi="Arial" w:cs="Arial"/>
          <w:b/>
          <w:sz w:val="20"/>
          <w:szCs w:val="20"/>
          <w:u w:val="single"/>
        </w:rPr>
      </w:pPr>
      <w:r w:rsidRPr="0036452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EB72FE0" w14:textId="77777777" w:rsidR="00364528" w:rsidRPr="00364528" w:rsidRDefault="00364528" w:rsidP="00364528">
      <w:pPr>
        <w:rPr>
          <w:rFonts w:ascii="Arial" w:hAnsi="Arial" w:cs="Arial"/>
          <w:sz w:val="20"/>
          <w:szCs w:val="20"/>
        </w:rPr>
      </w:pPr>
    </w:p>
    <w:p w14:paraId="14B4827D" w14:textId="77777777" w:rsidR="00364528" w:rsidRPr="00364528" w:rsidRDefault="00364528" w:rsidP="00364528">
      <w:pPr>
        <w:rPr>
          <w:rFonts w:ascii="Arial" w:hAnsi="Arial" w:cs="Arial"/>
          <w:sz w:val="20"/>
          <w:szCs w:val="20"/>
        </w:rPr>
      </w:pPr>
      <w:r w:rsidRPr="00364528">
        <w:rPr>
          <w:rFonts w:ascii="Arial" w:hAnsi="Arial" w:cs="Arial"/>
          <w:sz w:val="20"/>
          <w:szCs w:val="20"/>
        </w:rPr>
        <w:t>.</w:t>
      </w:r>
      <w:r w:rsidRPr="00364528">
        <w:rPr>
          <w:rFonts w:ascii="Arial" w:hAnsi="Arial" w:cs="Arial"/>
          <w:color w:val="000000"/>
          <w:sz w:val="20"/>
          <w:szCs w:val="20"/>
        </w:rPr>
        <w:t xml:space="preserve"> Anisha Arora, Manipal University Jaipur, India</w:t>
      </w:r>
      <w:r w:rsidRPr="00364528">
        <w:rPr>
          <w:rFonts w:ascii="Arial" w:hAnsi="Arial" w:cs="Arial"/>
          <w:color w:val="000000"/>
          <w:sz w:val="20"/>
          <w:szCs w:val="20"/>
        </w:rPr>
        <w:br/>
      </w:r>
    </w:p>
    <w:p w14:paraId="058A191E" w14:textId="77777777" w:rsidR="00CD1D57" w:rsidRPr="00364528" w:rsidRDefault="00CD1D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D1D57" w:rsidRPr="0036452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2C80C" w14:textId="77777777" w:rsidR="00784302" w:rsidRDefault="00784302">
      <w:r>
        <w:separator/>
      </w:r>
    </w:p>
  </w:endnote>
  <w:endnote w:type="continuationSeparator" w:id="0">
    <w:p w14:paraId="35D00A72" w14:textId="77777777" w:rsidR="00784302" w:rsidRDefault="00784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746C2" w14:textId="77777777" w:rsidR="00784302" w:rsidRDefault="00784302">
      <w:r>
        <w:separator/>
      </w:r>
    </w:p>
  </w:footnote>
  <w:footnote w:type="continuationSeparator" w:id="0">
    <w:p w14:paraId="05A467EF" w14:textId="77777777" w:rsidR="00784302" w:rsidRDefault="00784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1"/>
  </w:num>
  <w:num w:numId="9" w16cid:durableId="1794327031">
    <w:abstractNumId w:val="10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201199"/>
    <w:rsid w:val="002776E8"/>
    <w:rsid w:val="002D0AA0"/>
    <w:rsid w:val="00327483"/>
    <w:rsid w:val="00364528"/>
    <w:rsid w:val="003B0CF3"/>
    <w:rsid w:val="003B678B"/>
    <w:rsid w:val="00545567"/>
    <w:rsid w:val="00652E35"/>
    <w:rsid w:val="00676FD1"/>
    <w:rsid w:val="007358F7"/>
    <w:rsid w:val="007462D9"/>
    <w:rsid w:val="00774E33"/>
    <w:rsid w:val="00784302"/>
    <w:rsid w:val="00876B38"/>
    <w:rsid w:val="008A5C1F"/>
    <w:rsid w:val="00991F13"/>
    <w:rsid w:val="00AE60F2"/>
    <w:rsid w:val="00B67FF0"/>
    <w:rsid w:val="00B8305A"/>
    <w:rsid w:val="00CD1D57"/>
    <w:rsid w:val="00CD4114"/>
    <w:rsid w:val="00CD5E20"/>
    <w:rsid w:val="00DF1724"/>
    <w:rsid w:val="00DF7DAF"/>
    <w:rsid w:val="00E471A4"/>
    <w:rsid w:val="00E517B4"/>
    <w:rsid w:val="00E904C5"/>
    <w:rsid w:val="00EF7A3D"/>
    <w:rsid w:val="00F603EB"/>
    <w:rsid w:val="00FB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989</Words>
  <Characters>5638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