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331EB" w14:textId="77777777" w:rsidR="00713C10" w:rsidRDefault="00713C10" w:rsidP="00713C10">
      <w:pPr>
        <w:spacing w:after="200"/>
        <w:jc w:val="center"/>
      </w:pPr>
      <w:bookmarkStart w:id="0" w:name="X0271f7d5d77f4bf41ef9891181fc2ae76fca8a7"/>
      <w:r>
        <w:rPr>
          <w:rFonts w:eastAsia="Arial"/>
          <w:b/>
          <w:bCs/>
          <w:i/>
        </w:rPr>
        <w:t>Original Research Article</w:t>
      </w:r>
    </w:p>
    <w:p w14:paraId="682EEDB8" w14:textId="77777777" w:rsidR="00713C10" w:rsidRDefault="00713C10">
      <w:pPr>
        <w:pStyle w:val="Heading1"/>
        <w:spacing w:after="160"/>
        <w:jc w:val="center"/>
        <w:rPr>
          <w:rFonts w:eastAsia="Arial"/>
          <w:sz w:val="36"/>
        </w:rPr>
      </w:pPr>
      <w:commentRangeStart w:id="1"/>
    </w:p>
    <w:p w14:paraId="6B629484" w14:textId="77777777" w:rsidR="00AB49D0" w:rsidRDefault="00BC7290">
      <w:pPr>
        <w:pStyle w:val="Heading1"/>
        <w:spacing w:after="160"/>
        <w:jc w:val="center"/>
        <w:rPr>
          <w:rFonts w:eastAsia="Arial"/>
          <w:sz w:val="36"/>
        </w:rPr>
      </w:pPr>
      <w:r>
        <w:rPr>
          <w:rFonts w:eastAsia="Arial"/>
          <w:sz w:val="36"/>
        </w:rPr>
        <w:t>The Artificial Intelligence Verification Premium: A Dynamic Model of Automation Opacity, Borrowing Costs, and Firm Value</w:t>
      </w:r>
      <w:commentRangeEnd w:id="1"/>
      <w:r w:rsidR="002A2BC0">
        <w:rPr>
          <w:rStyle w:val="CommentReference"/>
          <w:rFonts w:eastAsia="Arial"/>
          <w:sz w:val="36"/>
          <w:szCs w:val="20"/>
        </w:rPr>
        <w:commentReference w:id="1"/>
      </w:r>
    </w:p>
    <w:p w14:paraId="3FE882A4" w14:textId="77777777" w:rsidR="00713C10" w:rsidRPr="00713C10" w:rsidRDefault="00713C10" w:rsidP="00713C10"/>
    <w:p w14:paraId="05536EA2" w14:textId="77777777" w:rsidR="00713C10" w:rsidRDefault="00713C10">
      <w:pPr>
        <w:jc w:val="center"/>
      </w:pPr>
    </w:p>
    <w:p w14:paraId="6CC7FB7D" w14:textId="77777777" w:rsidR="00AB49D0" w:rsidRDefault="00BC7290">
      <w:pPr>
        <w:pStyle w:val="Heading1"/>
        <w:spacing w:before="160" w:after="100"/>
      </w:pPr>
      <w:bookmarkStart w:id="2" w:name="abstract"/>
      <w:bookmarkEnd w:id="0"/>
      <w:commentRangeStart w:id="3"/>
      <w:r>
        <w:rPr>
          <w:rFonts w:eastAsia="Arial"/>
          <w:sz w:val="22"/>
        </w:rPr>
        <w:t>ABSTRACT</w:t>
      </w:r>
      <w:commentRangeEnd w:id="3"/>
      <w:r w:rsidR="002A2BC0">
        <w:rPr>
          <w:rStyle w:val="CommentReference"/>
          <w:sz w:val="28"/>
          <w:szCs w:val="20"/>
        </w:rPr>
        <w:commentReference w:id="3"/>
      </w:r>
    </w:p>
    <w:p w14:paraId="4F07E4EB" w14:textId="77777777" w:rsidR="00AB49D0" w:rsidRDefault="00BC7290">
      <w:pPr>
        <w:jc w:val="both"/>
      </w:pPr>
      <w:r>
        <w:rPr>
          <w:rFonts w:eastAsia="Arial"/>
          <w:b/>
          <w:bCs/>
        </w:rPr>
        <w:t>Aims:</w:t>
      </w:r>
      <w:r>
        <w:rPr>
          <w:rFonts w:eastAsia="Arial"/>
        </w:rPr>
        <w:t xml:space="preserve"> This study develops the artificial intelligence verification premium, defined as the incremental borrowing cost generated when automation creates operational risk that is insufficiently verified, understood, or governed. The objective is to connect artificial intelligence productivity choices to corporate financing costs and firm value.</w:t>
      </w:r>
    </w:p>
    <w:p w14:paraId="7CE5E49B" w14:textId="77777777" w:rsidR="00AB49D0" w:rsidRDefault="00BC7290">
      <w:pPr>
        <w:jc w:val="both"/>
      </w:pPr>
      <w:r>
        <w:rPr>
          <w:rFonts w:eastAsia="Arial"/>
          <w:b/>
          <w:bCs/>
        </w:rPr>
        <w:t>Study design:</w:t>
      </w:r>
      <w:r>
        <w:rPr>
          <w:rFonts w:eastAsia="Arial"/>
        </w:rPr>
        <w:t xml:space="preserve"> Analytical model development with longitudinal Monte Carlo simulation, paired policy comparisons, policy-space search, and structural sensitivity analysis.</w:t>
      </w:r>
    </w:p>
    <w:p w14:paraId="1A801B54" w14:textId="77777777" w:rsidR="00AB49D0" w:rsidRDefault="00BC7290">
      <w:pPr>
        <w:jc w:val="both"/>
      </w:pPr>
      <w:r>
        <w:rPr>
          <w:rFonts w:eastAsia="Arial"/>
          <w:b/>
          <w:bCs/>
        </w:rPr>
        <w:t>Place and Duration of Study:</w:t>
      </w:r>
      <w:r>
        <w:rPr>
          <w:rFonts w:eastAsia="Arial"/>
        </w:rPr>
        <w:t xml:space="preserve"> Singapore; model development, computational experiments, audit, and revision were conducted in August 2026.</w:t>
      </w:r>
    </w:p>
    <w:p w14:paraId="3FA5134C" w14:textId="77777777" w:rsidR="00AB49D0" w:rsidRDefault="00BC7290">
      <w:pPr>
        <w:jc w:val="both"/>
      </w:pPr>
      <w:r>
        <w:rPr>
          <w:rFonts w:eastAsia="Arial"/>
          <w:b/>
          <w:bCs/>
        </w:rPr>
        <w:t>Methodology:</w:t>
      </w:r>
      <w:r>
        <w:rPr>
          <w:rFonts w:eastAsia="Arial"/>
        </w:rPr>
        <w:t xml:space="preserve"> A dynamic firm model links automation intensity, verification intensity, verification debt, retained human oversight capability, stochastic uncertainty, incident risk, debt pricing, and discounted firm value. Competitive lenders price one-period debt using a zero-profit condition with loss-given-default. Five stylised management regimes were simulated for 20,000 synthetic firms over 48 quarters using common random numbers. A 324-policy grid was evaluated with 4,000 trajectories per policy, followed by sensitivity searches under alternative leverage, loss severity, artificial intelligence productivity, and model-risk assumptions.</w:t>
      </w:r>
    </w:p>
    <w:p w14:paraId="3AE223C6" w14:textId="77777777" w:rsidR="00AB49D0" w:rsidRDefault="00BC7290">
      <w:pPr>
        <w:jc w:val="both"/>
      </w:pPr>
      <w:r>
        <w:rPr>
          <w:rFonts w:eastAsia="Arial"/>
          <w:b/>
          <w:bCs/>
        </w:rPr>
        <w:t>Results:</w:t>
      </w:r>
      <w:r>
        <w:rPr>
          <w:rFonts w:eastAsia="Arial"/>
        </w:rPr>
        <w:t xml:space="preserve"> Acceleration-first adoption produced a mean borrowing premium of 130.56 basis points per quarter, versus 9.99 under balanced assurance and 11.31 under assurance-scaled automation. Mean discounted firm value was 356.82 for acceleration-first, 408.01 for balanced assurance, and 416.69 for assurance-scaled automation. The highest evaluated grid policy was automation 0.80 and verification 0.55, with mean value 417.51. The analytical direct-risk threshold was verification 0.538, placing the numerical optimum just above the level at which additional automation ceases to increase contemporaneous failure probability.</w:t>
      </w:r>
    </w:p>
    <w:p w14:paraId="1083429E" w14:textId="77777777" w:rsidR="00AB49D0" w:rsidRDefault="00BC7290">
      <w:pPr>
        <w:jc w:val="both"/>
      </w:pPr>
      <w:r>
        <w:rPr>
          <w:rFonts w:eastAsia="Arial"/>
          <w:b/>
          <w:bCs/>
        </w:rPr>
        <w:t>Conclusion:</w:t>
      </w:r>
      <w:r>
        <w:rPr>
          <w:rFonts w:eastAsia="Arial"/>
        </w:rPr>
        <w:t xml:space="preserve"> Artificial intelligence can create a financing externality inside the firm: productivity gains may be partly offset by a verification-sensitive borrowing premium. Efficient adoption therefore requires joint optimisation of automation and assurance rather than automation maximisation or blanket control intensity.</w:t>
      </w:r>
    </w:p>
    <w:p w14:paraId="169F5927" w14:textId="77777777" w:rsidR="00AB49D0" w:rsidRDefault="00BC7290">
      <w:pPr>
        <w:jc w:val="both"/>
      </w:pPr>
      <w:r>
        <w:rPr>
          <w:rFonts w:eastAsia="Arial"/>
          <w:i/>
          <w:iCs/>
        </w:rPr>
        <w:t>Keywords:</w:t>
      </w:r>
      <w:r>
        <w:rPr>
          <w:rFonts w:eastAsia="Arial"/>
          <w:i/>
        </w:rPr>
        <w:t xml:space="preserve"> artificial intelligence; cost of debt; verification; firm value; model risk; corporate finance; automation; information asymmetry</w:t>
      </w:r>
    </w:p>
    <w:p w14:paraId="7A2BF805" w14:textId="77777777" w:rsidR="00AB49D0" w:rsidRDefault="00BC7290">
      <w:r>
        <w:rPr>
          <w:rFonts w:eastAsia="Arial"/>
          <w:b/>
          <w:bCs/>
        </w:rPr>
        <w:t>JEL Classification:</w:t>
      </w:r>
      <w:r>
        <w:rPr>
          <w:rFonts w:eastAsia="Arial"/>
        </w:rPr>
        <w:t xml:space="preserve"> G32; G33; O33; M15</w:t>
      </w:r>
    </w:p>
    <w:p w14:paraId="03D6C345" w14:textId="77777777" w:rsidR="00AB49D0" w:rsidRDefault="00BC7290">
      <w:pPr>
        <w:pStyle w:val="Heading1"/>
        <w:spacing w:before="160" w:after="100"/>
      </w:pPr>
      <w:bookmarkStart w:id="4" w:name="introduction"/>
      <w:bookmarkEnd w:id="2"/>
      <w:commentRangeStart w:id="5"/>
      <w:r>
        <w:rPr>
          <w:rFonts w:eastAsia="Arial"/>
          <w:sz w:val="22"/>
        </w:rPr>
        <w:t>1. INTRODUCTION</w:t>
      </w:r>
      <w:commentRangeEnd w:id="5"/>
      <w:r w:rsidR="002A2BC0">
        <w:rPr>
          <w:rStyle w:val="CommentReference"/>
          <w:sz w:val="28"/>
          <w:szCs w:val="20"/>
        </w:rPr>
        <w:commentReference w:id="5"/>
      </w:r>
    </w:p>
    <w:p w14:paraId="610DCD76" w14:textId="77777777" w:rsidR="00AB49D0" w:rsidRDefault="00BC7290">
      <w:pPr>
        <w:jc w:val="both"/>
      </w:pPr>
      <w:r>
        <w:rPr>
          <w:rFonts w:eastAsia="Arial"/>
        </w:rPr>
        <w:t xml:space="preserve">Generative and agentic artificial intelligence are increasingly treated as productivity technologies, but corporate adoption decisions are ultimately financed decisions. A firm that </w:t>
      </w:r>
      <w:r>
        <w:rPr>
          <w:rFonts w:eastAsia="Arial"/>
        </w:rPr>
        <w:lastRenderedPageBreak/>
        <w:t>automates more work may reduce task completion time, expand output, and improve the scalability of knowledge-intensive processes. At the same time, it may create new forms of model error, opaque dependency, correlated failure, weakly understood decision logic, and deferred human checking. Experimental and field evidence shows that generative artificial intelligence can improve productivity in selected knowledge tasks, although gains are heterogeneous across workers and task types (Noy &amp; Zhang, 2023; Brynjolfsson et al., 2025). At the macroeconomic level, the aggregate effect of artificial intelligence depends not only on task-level gains but also on which tasks can be reliably improved and on the costs of deployment, adaptation, and complementarity (Acemoglu, 2025).</w:t>
      </w:r>
    </w:p>
    <w:p w14:paraId="699005D3" w14:textId="77777777" w:rsidR="00AB49D0" w:rsidRDefault="00BC7290">
      <w:pPr>
        <w:jc w:val="both"/>
      </w:pPr>
      <w:r>
        <w:rPr>
          <w:rFonts w:eastAsia="Arial"/>
        </w:rPr>
        <w:t>A separate literature in finance establishes that information quality, opacity, and perceived default risk affect the price and availability of capital. Information asymmetry can raise required returns because uninformed capital providers face an informational disadvantage (Easley &amp; O’Hara, 2004). Higher-quality disclosure can lower the cost of capital under identifiable conditions (Lambert et al., 2007), and greater bond-market transparency can reduce corporate bond issuing costs (Brugler et al., 2022). Corporate debt pricing is also fundamentally linked to the probability and severity of adverse states (Merton, 1974). These two literatures, artificial intelligence productivity and financing under imperfect information, have largely developed separately.</w:t>
      </w:r>
    </w:p>
    <w:p w14:paraId="553C6750" w14:textId="77777777" w:rsidR="00AB49D0" w:rsidRDefault="00BC7290">
      <w:pPr>
        <w:jc w:val="both"/>
      </w:pPr>
      <w:r>
        <w:rPr>
          <w:rFonts w:eastAsia="Arial"/>
        </w:rPr>
        <w:t>This separation creates an important missing mechanism. If artificial intelligence adoption changes the probability distribution of operational losses, and if lenders or other capital providers price those losses, then verification quality should become a financing variable. Artificial intelligence assurance is not merely a compliance cost. It can alter the firm’s risk distribution and therefore the price at which external capital is supplied. This possibility is increasingly relevant because financial authorities have highlighted model risk, data quality, governance weaknesses, third-party dependence, and correlated artificial intelligence use as potential sources of financial vulnerability (Financial Stability Board, 2024; Crisanto et al., 2024). Existing model-risk guidance likewise emphasises independent validation and effective challenge when model outputs materially affect financial decisions (Board of Governors of the Federal Reserve System &amp; Office of the Comptroller of the Currency, 2011). The National Institute of Standards and Technology similarly treats governance, measurement, and management as interdependent components of artificial intelligence risk management (National Institute of Standards and Technology, 2023).</w:t>
      </w:r>
    </w:p>
    <w:p w14:paraId="095444FA" w14:textId="77777777" w:rsidR="00AB49D0" w:rsidRDefault="00BC7290">
      <w:pPr>
        <w:jc w:val="both"/>
      </w:pPr>
      <w:r>
        <w:rPr>
          <w:rFonts w:eastAsia="Arial"/>
        </w:rPr>
        <w:t xml:space="preserve">The present paper develops a formal bridge between these domains through the concept of the </w:t>
      </w:r>
      <w:r>
        <w:rPr>
          <w:rFonts w:eastAsia="Arial"/>
          <w:b/>
          <w:bCs/>
        </w:rPr>
        <w:t>artificial intelligence verification premium</w:t>
      </w:r>
      <w:r>
        <w:rPr>
          <w:rFonts w:eastAsia="Arial"/>
        </w:rPr>
        <w:t>. The premium is the incremental borrowing spread generated by artificial-intelligence-related failure probability when automation exceeds the organisation’s capacity to verify outputs, preserve human oversight competence, and prevent unresolved assurance obligations from accumulating. The mechanism extends the concept of verification debt, previously modelled as an internal organisational stock that can accumulate when artificial intelligence outputs are insufficiently checked (Tan, 2026). The earlier framework focused on productivity, resilience, and internal organisational value. The present study is different in both object and mechanism: it endogenises the price of debt and asks when internal assurance choices are transmitted into external financing costs.</w:t>
      </w:r>
    </w:p>
    <w:p w14:paraId="00E6E74B" w14:textId="77777777" w:rsidR="00AB49D0" w:rsidRDefault="00BC7290">
      <w:pPr>
        <w:jc w:val="both"/>
      </w:pPr>
      <w:r>
        <w:rPr>
          <w:rFonts w:eastAsia="Arial"/>
        </w:rPr>
        <w:t xml:space="preserve">The paper makes five contributions. First, it derives a closed-form borrowing spread from a competitive lender zero-profit condition, allowing artificial intelligence risk to enter financing cost without assuming an arbitrary risk-premium function. Second, it models verification debt and human oversight capability as dynamic state variables, so financing costs depend on the history of adoption rather than only current automation. Third, it derives two verification thresholds: a direct-risk threshold above which additional automation no longer increases contemporaneous failure probability, and a debt non-accumulation threshold that prevents new verification debt from being created from a zero-debt state. Fourth, it evaluates the model through Monte Carlo simulation, common-random-number paired comparisons, and a full two-dimensional policy search. Fifth, it tests whether the preferred automation-verification region </w:t>
      </w:r>
      <w:r>
        <w:rPr>
          <w:rFonts w:eastAsia="Arial"/>
        </w:rPr>
        <w:lastRenderedPageBreak/>
        <w:t>changes under alternative leverage, loss-given-default, artificial intelligence productivity, and unmanaged-risk sensitivity.</w:t>
      </w:r>
    </w:p>
    <w:p w14:paraId="3543CBC3" w14:textId="77777777" w:rsidR="00AB49D0" w:rsidRDefault="00BC7290">
      <w:pPr>
        <w:jc w:val="both"/>
      </w:pPr>
      <w:r>
        <w:rPr>
          <w:rFonts w:eastAsia="Arial"/>
        </w:rPr>
        <w:t>The central argument is not that artificial intelligence necessarily increases borrowing costs. Rather, the sign is conditional. When verification is weak, higher automation can increase unresolved exposure and raise the priced probability of adverse outcomes. When verification is sufficiently strong, automation can coexist with low risk and high value. Excessively intensive assurance can also destroy value if its direct cost exceeds the reduction in expected loss and financing premium. The economically relevant decision is therefore joint optimisation, not a binary choice between adoption and non-adoption.</w:t>
      </w:r>
    </w:p>
    <w:p w14:paraId="04ECD56E" w14:textId="77777777" w:rsidR="00AB49D0" w:rsidRDefault="00BC7290">
      <w:pPr>
        <w:pStyle w:val="Heading1"/>
        <w:spacing w:before="160" w:after="100"/>
      </w:pPr>
      <w:bookmarkStart w:id="6" w:name="X6be6da90bad7a2bdd9d09ddcff40cbab2a2da38"/>
      <w:bookmarkEnd w:id="4"/>
      <w:r>
        <w:rPr>
          <w:rFonts w:eastAsia="Arial"/>
          <w:sz w:val="22"/>
        </w:rPr>
        <w:t xml:space="preserve">2. </w:t>
      </w:r>
      <w:commentRangeStart w:id="7"/>
      <w:r>
        <w:rPr>
          <w:rFonts w:eastAsia="Arial"/>
          <w:sz w:val="22"/>
        </w:rPr>
        <w:t>THEORETICAL BACKGROUND AND HYPOTHESIS DEVELOPMENT</w:t>
      </w:r>
      <w:commentRangeEnd w:id="7"/>
      <w:r w:rsidR="002A2BC0">
        <w:rPr>
          <w:rStyle w:val="CommentReference"/>
          <w:sz w:val="28"/>
          <w:szCs w:val="20"/>
        </w:rPr>
        <w:commentReference w:id="7"/>
      </w:r>
    </w:p>
    <w:p w14:paraId="0CC496EC" w14:textId="77777777" w:rsidR="00AB49D0" w:rsidRDefault="00BC7290">
      <w:pPr>
        <w:keepNext/>
        <w:spacing w:before="120" w:after="60"/>
      </w:pPr>
      <w:bookmarkStart w:id="8" w:name="X4b51f6e046592a07760105000b27ff08a092c3b"/>
      <w:r>
        <w:rPr>
          <w:rFonts w:eastAsia="Arial"/>
          <w:b/>
          <w:sz w:val="22"/>
        </w:rPr>
        <w:t>2.1 Artificial intelligence productivity and the problem of incomplete valuation</w:t>
      </w:r>
    </w:p>
    <w:p w14:paraId="6CDE8F2C" w14:textId="77777777" w:rsidR="00AB49D0" w:rsidRDefault="00BC7290">
      <w:pPr>
        <w:jc w:val="both"/>
      </w:pPr>
      <w:r>
        <w:rPr>
          <w:rFonts w:eastAsia="Arial"/>
        </w:rPr>
        <w:t>Early evidence on generative artificial intelligence supports meaningful task-level productivity effects. Noy and Zhang (2023) found faster completion and higher average quality in professional writing tasks. Brynjolfsson et al. (2025), using a large-scale workplace deployment, found productivity gains that were concentrated among less experienced and lower-skilled workers. These findings support the idea that artificial intelligence can act as a complement to labour and as a mechanism for diffusing high-performer practices. They do not, however, imply that all automation produces equal firm value. Acemoglu (2025) stresses that task-level gains must be aggregated carefully and that the learnability and context-dependence of tasks constrain economy-wide effects.</w:t>
      </w:r>
    </w:p>
    <w:p w14:paraId="31276C5B" w14:textId="77777777" w:rsidR="00AB49D0" w:rsidRDefault="00BC7290">
      <w:pPr>
        <w:jc w:val="both"/>
      </w:pPr>
      <w:r>
        <w:rPr>
          <w:rFonts w:eastAsia="Arial"/>
        </w:rPr>
        <w:t>Management decisions can therefore be mis-specified if they treat task throughput as the complete payoff. Artificial intelligence systems may generate outputs cheaply while simultaneously increasing the burden of checking, exception handling, governance, audit, remediation, and incident response. Gans (2025) formalises the more general point that learning about harms can affect the optimal rate of artificial intelligence adoption. In organisational settings, Tan (2026) proposes verification debt as an accumulated stock of unverified assumptions, weak review, concealed dependencies, and deferred validation that can convert early productivity gains into later fragility.</w:t>
      </w:r>
    </w:p>
    <w:p w14:paraId="5074A75D" w14:textId="77777777" w:rsidR="00AB49D0" w:rsidRDefault="00BC7290">
      <w:pPr>
        <w:jc w:val="both"/>
      </w:pPr>
      <w:r>
        <w:rPr>
          <w:rFonts w:eastAsia="Arial"/>
        </w:rPr>
        <w:t>The present model preserves this dynamic logic but moves the outcome variable into corporate finance. The key addition is that unresolved verification exposure affects a hazard probability that lenders price. This creates a channel through which an internal technology-management decision becomes an external financing cost.</w:t>
      </w:r>
    </w:p>
    <w:p w14:paraId="26457F7E" w14:textId="77777777" w:rsidR="00AB49D0" w:rsidRDefault="00BC7290">
      <w:pPr>
        <w:keepNext/>
        <w:spacing w:before="120" w:after="60"/>
      </w:pPr>
      <w:bookmarkStart w:id="9" w:name="Xf0703df4d967c39f0a8ee38ab0ce5fb67e58b74"/>
      <w:bookmarkEnd w:id="8"/>
      <w:r>
        <w:rPr>
          <w:rFonts w:eastAsia="Arial"/>
          <w:b/>
          <w:sz w:val="22"/>
        </w:rPr>
        <w:t>2.2 Information quality, opacity, and the cost of debt</w:t>
      </w:r>
    </w:p>
    <w:p w14:paraId="5338BD0B" w14:textId="77777777" w:rsidR="00AB49D0" w:rsidRDefault="00BC7290">
      <w:pPr>
        <w:jc w:val="both"/>
      </w:pPr>
      <w:r>
        <w:rPr>
          <w:rFonts w:eastAsia="Arial"/>
        </w:rPr>
        <w:t>Corporate finance has long recognised that financing prices reflect more than physical asset risk. Easley and O’Hara (2004) show that the composition and quality of information can influence firms’ cost of capital because uninformed investors require compensation when better-informed investors possess an advantage. Lambert et al. (2007) show that accounting information and disclosure can affect the cost of capital both directly, through assessed covariance, and indirectly, through firms’ real decisions. In debt markets, greater transparency can reduce issuing costs by reducing information asymmetry (Brugler et al., 2022), while differences between public and private credit information can affect access to bond financing (Iannamorelli et al., 2024).</w:t>
      </w:r>
    </w:p>
    <w:p w14:paraId="42B938A5" w14:textId="77777777" w:rsidR="00AB49D0" w:rsidRDefault="00BC7290">
      <w:pPr>
        <w:jc w:val="both"/>
      </w:pPr>
      <w:r>
        <w:rPr>
          <w:rFonts w:eastAsia="Arial"/>
        </w:rPr>
        <w:t xml:space="preserve">The mechanism also fits foundational theories of financial contracting. Agency conflicts can make externally financed activity costly when managers and capital providers do not share the same information or incentives (Jensen &amp; Meckling, 1976). Delegated monitoring reduces information-production costs in lending (Diamond, 1984), while financial intermediation and firms’ financing capacity can constrain real investment (Holmström &amp; Tirole, 1997). Debt overhang and information asymmetry can distort investment and financing choices even when projects are technologically attractive (Myers, 1977; Myers &amp; Majluf, 1984). In the artificial </w:t>
      </w:r>
      <w:r>
        <w:rPr>
          <w:rFonts w:eastAsia="Arial"/>
        </w:rPr>
        <w:lastRenderedPageBreak/>
        <w:t>intelligence setting, these frictions can be amplified by concentration in upstream model and infrastructure markets, which can create common dependencies that are not obvious from conventional operating metrics (Korinek &amp; Vipra, 2025).</w:t>
      </w:r>
    </w:p>
    <w:p w14:paraId="56BEF020" w14:textId="77777777" w:rsidR="00AB49D0" w:rsidRDefault="00BC7290">
      <w:pPr>
        <w:jc w:val="both"/>
      </w:pPr>
      <w:r>
        <w:rPr>
          <w:rFonts w:eastAsia="Arial"/>
        </w:rPr>
        <w:t>Artificial intelligence can intensify this problem because important operational processes may become more difficult to understand from conventional financial statements. A firm may report lower labour cost or faster output while outside financiers cannot directly observe how much of that output rests on unverified model behaviour, concentrated third-party services, weak human fallback capability, or brittle automated workflows. Regulators have explicitly identified model risk, data quality, governance, cyber vulnerability, and third-party concentration among important artificial intelligence-related financial risks (Financial Stability Board, 2024; Crisanto et al., 2024). This suggests that the quality of assurance around artificial intelligence may eventually function similarly to other forms of risk-relevant disclosure and control quality.</w:t>
      </w:r>
    </w:p>
    <w:p w14:paraId="760EE1D3" w14:textId="77777777" w:rsidR="00AB49D0" w:rsidRDefault="00BC7290">
      <w:pPr>
        <w:jc w:val="both"/>
      </w:pPr>
      <w:r>
        <w:rPr>
          <w:rFonts w:eastAsia="Arial"/>
        </w:rPr>
        <w:t>The model does not assume that lenders can perfectly observe every internal variable. Instead, it treats the priced failure probability as the lender’s equilibrium risk assessment given the firm’s observable or credibly inferable assurance condition. This is a reduced-form representation of underwriting, covenant monitoring, audit evidence, technology due diligence, and other information channels. The objective is to isolate the economic mechanism rather than reproduce a particular credit-rating process.</w:t>
      </w:r>
    </w:p>
    <w:p w14:paraId="33FA5291" w14:textId="77777777" w:rsidR="00AB49D0" w:rsidRDefault="00BC7290">
      <w:pPr>
        <w:keepNext/>
        <w:spacing w:before="120" w:after="60"/>
      </w:pPr>
      <w:bookmarkStart w:id="10" w:name="X24c8dc407f56a7f501b3312fa8a7f548354491d"/>
      <w:bookmarkEnd w:id="9"/>
      <w:r>
        <w:rPr>
          <w:rFonts w:eastAsia="Arial"/>
          <w:b/>
          <w:sz w:val="22"/>
        </w:rPr>
        <w:t>2.3 Verification as productive assurance rather than pure overhead</w:t>
      </w:r>
    </w:p>
    <w:p w14:paraId="253E4258" w14:textId="77777777" w:rsidR="00AB49D0" w:rsidRDefault="00BC7290">
      <w:pPr>
        <w:jc w:val="both"/>
      </w:pPr>
      <w:r>
        <w:rPr>
          <w:rFonts w:eastAsia="Arial"/>
        </w:rPr>
        <w:t>Verification has two economically opposed effects. First, it is costly. Review time, independent validation, testing, documentation, red-team exercises, audit trails, human escalation, and control infrastructure consume resources. Second, verification can be productive because it reduces expected loss, preserves organisational knowledge, and can make higher levels of automation safely scalable. Model-risk guidance has long emphasised that effective challenge requires competence, independence, and influence rather than mechanical approval (Board of Governors of the Federal Reserve System &amp; Office of the Comptroller of the Currency, 2011). The NIST framework similarly treats governance, mapping, measurement, and management as a connected cycle rather than a one-time compliance action (National Institute of Standards and Technology, 2023).</w:t>
      </w:r>
    </w:p>
    <w:p w14:paraId="6083F040" w14:textId="77777777" w:rsidR="00AB49D0" w:rsidRDefault="00BC7290">
      <w:pPr>
        <w:jc w:val="both"/>
      </w:pPr>
      <w:r>
        <w:rPr>
          <w:rFonts w:eastAsia="Arial"/>
        </w:rPr>
        <w:t>This dual role implies a non-monotonic value relationship. Very low verification can allow risk and verification debt to accumulate. Very high verification can suppress risk but impose excessive cost and slow the exploitation of productive automation. The value-maximising region should therefore be interior under plausible parameterisations.</w:t>
      </w:r>
    </w:p>
    <w:p w14:paraId="40A4AFA0" w14:textId="77777777" w:rsidR="00AB49D0" w:rsidRDefault="00BC7290">
      <w:pPr>
        <w:keepNext/>
        <w:spacing w:before="120" w:after="60"/>
      </w:pPr>
      <w:bookmarkStart w:id="11" w:name="research-propositions"/>
      <w:bookmarkEnd w:id="10"/>
      <w:r>
        <w:rPr>
          <w:rFonts w:eastAsia="Arial"/>
          <w:b/>
          <w:sz w:val="22"/>
        </w:rPr>
        <w:t>2.4 Research propositions</w:t>
      </w:r>
    </w:p>
    <w:p w14:paraId="08F267F1" w14:textId="77777777" w:rsidR="00AB49D0" w:rsidRDefault="00BC7290">
      <w:pPr>
        <w:jc w:val="both"/>
      </w:pPr>
      <w:r>
        <w:rPr>
          <w:rFonts w:eastAsia="Arial"/>
        </w:rPr>
        <w:t>The analytical model develops four propositions.</w:t>
      </w:r>
    </w:p>
    <w:p w14:paraId="568A41B8" w14:textId="77777777" w:rsidR="00AB49D0" w:rsidRDefault="00BC7290">
      <w:pPr>
        <w:jc w:val="both"/>
      </w:pPr>
      <w:r>
        <w:rPr>
          <w:rFonts w:eastAsia="Arial"/>
          <w:b/>
          <w:bCs/>
        </w:rPr>
        <w:t>Proposition 1, convex financing response.</w:t>
      </w:r>
      <w:r>
        <w:rPr>
          <w:rFonts w:eastAsia="Arial"/>
        </w:rPr>
        <w:t xml:space="preserve"> Holding the risk-free rate and loss-given-default constant, the artificial intelligence verification premium is increasing and convex in the priced failure probability.</w:t>
      </w:r>
    </w:p>
    <w:p w14:paraId="11082064" w14:textId="77777777" w:rsidR="00AB49D0" w:rsidRDefault="00BC7290">
      <w:pPr>
        <w:jc w:val="both"/>
      </w:pPr>
      <w:r>
        <w:rPr>
          <w:rFonts w:eastAsia="Arial"/>
          <w:b/>
          <w:bCs/>
        </w:rPr>
        <w:t>Proposition 2, direct-risk verification threshold.</w:t>
      </w:r>
      <w:r>
        <w:rPr>
          <w:rFonts w:eastAsia="Arial"/>
        </w:rPr>
        <w:t xml:space="preserve"> Holding the state variables constant, the contemporaneous marginal effect of automation on failure probability changes sign at a verification intensity equal to the ratio of the direct automation-risk coefficient to the automation-verification interaction coefficient.</w:t>
      </w:r>
    </w:p>
    <w:p w14:paraId="7FCF490F" w14:textId="77777777" w:rsidR="00AB49D0" w:rsidRDefault="00BC7290">
      <w:pPr>
        <w:jc w:val="both"/>
      </w:pPr>
      <w:r>
        <w:rPr>
          <w:rFonts w:eastAsia="Arial"/>
          <w:b/>
          <w:bCs/>
        </w:rPr>
        <w:t>Proposition 3, verification-debt non-accumulation threshold.</w:t>
      </w:r>
      <w:r>
        <w:rPr>
          <w:rFonts w:eastAsia="Arial"/>
        </w:rPr>
        <w:t xml:space="preserve"> Starting from zero verification debt, there exists a minimum verification intensity that prevents new debt from being created. This threshold increases with automation and environmental uncertainty and decreases with human oversight capability and verification effectiveness.</w:t>
      </w:r>
    </w:p>
    <w:p w14:paraId="4E32AF26" w14:textId="77777777" w:rsidR="00AB49D0" w:rsidRDefault="00BC7290">
      <w:pPr>
        <w:jc w:val="both"/>
      </w:pPr>
      <w:r>
        <w:rPr>
          <w:rFonts w:eastAsia="Arial"/>
          <w:b/>
          <w:bCs/>
        </w:rPr>
        <w:t>Proposition 4, joint optimisation.</w:t>
      </w:r>
      <w:r>
        <w:rPr>
          <w:rFonts w:eastAsia="Arial"/>
        </w:rPr>
        <w:t xml:space="preserve"> Because automation generates productivity benefits and convex scaling costs while verification generates assurance benefits and direct costs, the </w:t>
      </w:r>
      <w:r>
        <w:rPr>
          <w:rFonts w:eastAsia="Arial"/>
        </w:rPr>
        <w:lastRenderedPageBreak/>
        <w:t>value-maximising policy need not maximise either control individually. An interior region can dominate both acceleration-first and assurance-heavy policies.</w:t>
      </w:r>
    </w:p>
    <w:p w14:paraId="09761176" w14:textId="77777777" w:rsidR="00AB49D0" w:rsidRDefault="00BC7290">
      <w:pPr>
        <w:pStyle w:val="Heading1"/>
        <w:spacing w:before="160" w:after="100"/>
      </w:pPr>
      <w:bookmarkStart w:id="12" w:name="methodology"/>
      <w:bookmarkEnd w:id="6"/>
      <w:bookmarkEnd w:id="11"/>
      <w:commentRangeStart w:id="13"/>
      <w:r>
        <w:rPr>
          <w:rFonts w:eastAsia="Arial"/>
          <w:sz w:val="22"/>
        </w:rPr>
        <w:t>3. METHODOLOGY</w:t>
      </w:r>
      <w:commentRangeEnd w:id="13"/>
      <w:r w:rsidR="00DC23A6">
        <w:rPr>
          <w:rStyle w:val="CommentReference"/>
          <w:sz w:val="28"/>
          <w:szCs w:val="20"/>
        </w:rPr>
        <w:commentReference w:id="13"/>
      </w:r>
    </w:p>
    <w:p w14:paraId="11888861" w14:textId="77777777" w:rsidR="00AB49D0" w:rsidRDefault="00BC7290">
      <w:pPr>
        <w:keepNext/>
        <w:spacing w:before="120" w:after="60"/>
      </w:pPr>
      <w:bookmarkStart w:id="14" w:name="research-design"/>
      <w:r>
        <w:rPr>
          <w:rFonts w:eastAsia="Arial"/>
          <w:b/>
          <w:sz w:val="22"/>
        </w:rPr>
        <w:t>3.1 Research design</w:t>
      </w:r>
    </w:p>
    <w:p w14:paraId="3DE4A0AB" w14:textId="77777777" w:rsidR="00AB49D0" w:rsidRDefault="00BC7290">
      <w:pPr>
        <w:jc w:val="both"/>
      </w:pPr>
      <w:r>
        <w:rPr>
          <w:rFonts w:eastAsia="Arial"/>
        </w:rPr>
        <w:t>The study is a theoretical-computational original research design. No human participants, proprietary firm records, or externally collected observations are used. The numerical findings are generated from a fully specified stochastic model and are intended to evaluate internal consistency, comparative statics, dynamic mechanisms, and policy trade-offs. They should not be interpreted as empirical estimates of actual corporate borrowing spreads.</w:t>
      </w:r>
    </w:p>
    <w:p w14:paraId="06F49924" w14:textId="77777777" w:rsidR="00AB49D0" w:rsidRDefault="00BC7290">
      <w:pPr>
        <w:jc w:val="both"/>
      </w:pPr>
      <w:r>
        <w:rPr>
          <w:rFonts w:eastAsia="Arial"/>
        </w:rPr>
        <w:t>The simulated horizon is 48 quarters. The principal regime comparison uses 20,000 synthetic firm trajectories per policy. The policy-space search evaluates 18 automation levels and 18 verification levels, producing 324 fixed policies, with 4,000 trajectories per policy. Sensitivity searches use 1,200 trajectories per policy. Common random numbers are used across policies within each experiment so that differences are driven primarily by policy rather than independent simulation noise.</w:t>
      </w:r>
    </w:p>
    <w:p w14:paraId="70A3A575" w14:textId="77777777" w:rsidR="00AB49D0" w:rsidRDefault="00BC7290">
      <w:pPr>
        <w:keepNext/>
        <w:spacing w:before="120" w:after="60"/>
      </w:pPr>
      <w:bookmarkStart w:id="15" w:name="controls-states-and-uncertainty"/>
      <w:bookmarkEnd w:id="14"/>
      <w:r>
        <w:rPr>
          <w:rFonts w:eastAsia="Arial"/>
          <w:b/>
          <w:sz w:val="22"/>
        </w:rPr>
        <w:t>3.2 Controls, states, and uncertainty</w:t>
      </w:r>
    </w:p>
    <w:p w14:paraId="510F8039" w14:textId="77777777" w:rsidR="00AB49D0" w:rsidRDefault="00BC7290">
      <w:pPr>
        <w:jc w:val="both"/>
      </w:pPr>
      <w:r>
        <w:rPr>
          <w:rFonts w:eastAsia="Arial"/>
        </w:rPr>
        <w:t xml:space="preserve">Let automation intensity be </w:t>
      </w:r>
      <m:oMath>
        <m:r>
          <w:rPr>
            <w:rFonts w:ascii="Cambria Math" w:hAnsi="Cambria Math"/>
          </w:rPr>
          <m:t>a</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Pr>
          <w:rFonts w:eastAsia="Arial"/>
        </w:rPr>
        <w:t xml:space="preserve"> and verification intensity be </w:t>
      </w:r>
      <m:oMath>
        <m:r>
          <w:rPr>
            <w:rFonts w:ascii="Cambria Math" w:hAnsi="Cambria Math"/>
          </w:rPr>
          <m:t>v</m:t>
        </m:r>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Pr>
          <w:rFonts w:eastAsia="Arial"/>
        </w:rPr>
        <w:t xml:space="preserve">. Policies are fixed over the baseline horizon to isolate long-run consequences of stable management choices. The two endogenous state variables are verification debt </w:t>
      </w:r>
      <m:oMath>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r>
          <w:rPr>
            <w:rFonts w:ascii="Cambria Math" w:hAnsi="Cambria Math"/>
          </w:rPr>
          <m:t>0</m:t>
        </m:r>
      </m:oMath>
      <w:r>
        <w:rPr>
          <w:rFonts w:eastAsia="Arial"/>
        </w:rPr>
        <w:t xml:space="preserve"> and retained human oversight capability </w:t>
      </w:r>
      <m:oMath>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Pr>
          <w:rFonts w:eastAsia="Arial"/>
        </w:rPr>
        <w:t>.</w:t>
      </w:r>
    </w:p>
    <w:p w14:paraId="5AB6FB53" w14:textId="77777777" w:rsidR="00AB49D0" w:rsidRDefault="00BC7290">
      <w:pPr>
        <w:jc w:val="both"/>
      </w:pPr>
      <w:r>
        <w:rPr>
          <w:rFonts w:eastAsia="Arial"/>
        </w:rPr>
        <w:t>Environmental uncertainty is generated from a latent autoregressive process:</w:t>
      </w:r>
    </w:p>
    <w:p w14:paraId="38D47938"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x</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x</m:t>
            </m:r>
          </m:sub>
        </m:sSub>
        <m:sSub>
          <m:sSubPr>
            <m:ctrlPr>
              <w:rPr>
                <w:rFonts w:ascii="Cambria Math" w:hAnsi="Cambria Math"/>
              </w:rPr>
            </m:ctrlPr>
          </m:sSubPr>
          <m:e>
            <m:r>
              <w:rPr>
                <w:rFonts w:ascii="Cambria Math" w:hAnsi="Cambria Math"/>
              </w:rPr>
              <m:t>x</m:t>
            </m:r>
          </m:e>
          <m:sub>
            <m:r>
              <w:rPr>
                <w:rFonts w:ascii="Cambria Math" w:hAnsi="Cambria Math"/>
              </w:rPr>
              <m:t>t</m:t>
            </m:r>
            <m:r>
              <m:rPr>
                <m:sty m:val="p"/>
              </m:rPr>
              <w:rPr>
                <w:rFonts w:ascii="Cambria Math" w:hAnsi="Cambria Math"/>
              </w:rPr>
              <m:t>-</m:t>
            </m:r>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σ</m:t>
            </m:r>
          </m:e>
          <m:sub>
            <m:r>
              <w:rPr>
                <w:rFonts w:ascii="Cambria Math" w:hAnsi="Cambria Math"/>
              </w:rPr>
              <m:t>x</m:t>
            </m:r>
          </m:sub>
        </m:sSub>
        <m:sSub>
          <m:sSubPr>
            <m:ctrlPr>
              <w:rPr>
                <w:rFonts w:ascii="Cambria Math" w:hAnsi="Cambria Math"/>
              </w:rPr>
            </m:ctrlPr>
          </m:sSubPr>
          <m:e>
            <m:r>
              <w:rPr>
                <w:rFonts w:ascii="Cambria Math" w:hAnsi="Cambria Math"/>
              </w:rPr>
              <m:t>ζ</m:t>
            </m:r>
          </m:e>
          <m:sub>
            <m:r>
              <w:rPr>
                <w:rFonts w:ascii="Cambria Math" w:hAnsi="Cambria Math"/>
              </w:rPr>
              <m:t>t</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ζ</m:t>
            </m:r>
          </m:e>
          <m:sub>
            <m:r>
              <w:rPr>
                <w:rFonts w:ascii="Cambria Math" w:hAnsi="Cambria Math"/>
              </w:rPr>
              <m:t>t</m:t>
            </m:r>
          </m:sub>
        </m:sSub>
        <m:r>
          <m:rPr>
            <m:scr m:val="script"/>
            <m:sty m:val="p"/>
          </m:rP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u</m:t>
            </m:r>
          </m:e>
          <m:sub>
            <m:r>
              <w:rPr>
                <w:rFonts w:ascii="Cambria Math" w:hAnsi="Cambria Math"/>
              </w:rPr>
              <m:t>t</m:t>
            </m:r>
          </m:sub>
        </m:sSub>
        <m:r>
          <m:rPr>
            <m:sty m:val="p"/>
          </m:rPr>
          <w:rPr>
            <w:rFonts w:ascii="Cambria Math" w:hAnsi="Cambria Math"/>
          </w:rPr>
          <m:t>=max</m:t>
        </m:r>
        <m:d>
          <m:dPr>
            <m:ctrlPr>
              <w:rPr>
                <w:rFonts w:ascii="Cambria Math" w:hAnsi="Cambria Math"/>
              </w:rPr>
            </m:ctrlPr>
          </m:dPr>
          <m:e>
            <m:r>
              <w:rPr>
                <w:rFonts w:ascii="Cambria Math" w:hAnsi="Cambria Math"/>
              </w:rPr>
              <m:t>0</m:t>
            </m:r>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t</m:t>
                </m:r>
              </m:sub>
            </m:sSub>
          </m:e>
        </m:d>
        <m:r>
          <m:rPr>
            <m:sty m:val="p"/>
          </m:rPr>
          <w:rPr>
            <w:rFonts w:ascii="Cambria Math" w:hAnsi="Cambria Math"/>
          </w:rPr>
          <m:t>.</m:t>
        </m:r>
      </m:oMath>
      <w:r w:rsidR="00BC7290">
        <w:rPr>
          <w:rFonts w:eastAsia="Arial"/>
        </w:rPr>
        <w:tab/>
        <w:t>(1)</w:t>
      </w:r>
    </w:p>
    <w:p w14:paraId="4A3B198F" w14:textId="77777777" w:rsidR="00AB49D0" w:rsidRDefault="00BC7290">
      <w:pPr>
        <w:jc w:val="both"/>
      </w:pPr>
      <w:r>
        <w:rPr>
          <w:rFonts w:eastAsia="Arial"/>
        </w:rPr>
        <w:t xml:space="preserve">The non-negative transformation </w:t>
      </w:r>
      <m:oMath>
        <m:sSub>
          <m:sSubPr>
            <m:ctrlPr>
              <w:rPr>
                <w:rFonts w:ascii="Cambria Math" w:hAnsi="Cambria Math"/>
              </w:rPr>
            </m:ctrlPr>
          </m:sSubPr>
          <m:e>
            <m:r>
              <w:rPr>
                <w:rFonts w:ascii="Cambria Math" w:hAnsi="Cambria Math"/>
              </w:rPr>
              <m:t>u</m:t>
            </m:r>
          </m:e>
          <m:sub>
            <m:r>
              <w:rPr>
                <w:rFonts w:ascii="Cambria Math" w:hAnsi="Cambria Math"/>
              </w:rPr>
              <m:t>t</m:t>
            </m:r>
          </m:sub>
        </m:sSub>
      </m:oMath>
      <w:r>
        <w:rPr>
          <w:rFonts w:eastAsia="Arial"/>
        </w:rPr>
        <w:t xml:space="preserve"> represents adverse uncertainty pressure. It can be interpreted as model drift, changing business context, unusual data conditions, regulatory change, or other factors that make automated outputs harder to validate.</w:t>
      </w:r>
    </w:p>
    <w:p w14:paraId="58504FF9" w14:textId="77777777" w:rsidR="00AB49D0" w:rsidRDefault="00BC7290">
      <w:pPr>
        <w:keepNext/>
        <w:spacing w:before="120" w:after="60"/>
      </w:pPr>
      <w:bookmarkStart w:id="16" w:name="operating-surplus"/>
      <w:bookmarkEnd w:id="15"/>
      <w:r>
        <w:rPr>
          <w:rFonts w:eastAsia="Arial"/>
          <w:b/>
          <w:sz w:val="22"/>
        </w:rPr>
        <w:t>3.3 Operating surplus</w:t>
      </w:r>
    </w:p>
    <w:p w14:paraId="1C18F92C" w14:textId="77777777" w:rsidR="00AB49D0" w:rsidRDefault="00BC7290">
      <w:pPr>
        <w:jc w:val="both"/>
      </w:pPr>
      <w:r>
        <w:rPr>
          <w:rFonts w:eastAsia="Arial"/>
        </w:rPr>
        <w:t>Before financing cost and incident loss, the firm’s period operating surplus is:</w:t>
      </w:r>
    </w:p>
    <w:p w14:paraId="051BCE2D"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Y</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0</m:t>
            </m:r>
          </m:sub>
        </m:sSub>
        <m:r>
          <m:rPr>
            <m:sty m:val="p"/>
          </m:rPr>
          <w:rPr>
            <w:rFonts w:ascii="Cambria Math" w:hAnsi="Cambria Math"/>
          </w:rPr>
          <m:t>+</m:t>
        </m:r>
        <m:r>
          <w:rPr>
            <w:rFonts w:ascii="Cambria Math" w:hAnsi="Cambria Math"/>
          </w:rPr>
          <m:t>αa</m:t>
        </m:r>
        <m:r>
          <m:rPr>
            <m:sty m:val="p"/>
          </m:rPr>
          <w:rPr>
            <w:rFonts w:ascii="Cambria Math" w:hAnsi="Cambria Math"/>
          </w:rPr>
          <m:t>+</m:t>
        </m:r>
        <m:r>
          <w:rPr>
            <w:rFonts w:ascii="Cambria Math" w:hAnsi="Cambria Math"/>
          </w:rPr>
          <m:t>βa</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r>
          <w:rPr>
            <w:rFonts w:ascii="Cambria Math" w:hAnsi="Cambria Math"/>
          </w:rPr>
          <m:t>γav</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κ</m:t>
                </m:r>
              </m:e>
              <m:sub>
                <m:r>
                  <w:rPr>
                    <w:rFonts w:ascii="Cambria Math" w:hAnsi="Cambria Math"/>
                  </w:rPr>
                  <m:t>a</m:t>
                </m:r>
              </m:sub>
            </m:sSub>
          </m:num>
          <m:den>
            <m:r>
              <w:rPr>
                <w:rFonts w:ascii="Cambria Math" w:hAnsi="Cambria Math"/>
              </w:rPr>
              <m:t>2</m:t>
            </m:r>
          </m:den>
        </m:f>
        <m:sSup>
          <m:sSupPr>
            <m:ctrlPr>
              <w:rPr>
                <w:rFonts w:ascii="Cambria Math" w:hAnsi="Cambria Math"/>
              </w:rPr>
            </m:ctrlPr>
          </m:sSupPr>
          <m:e>
            <m:r>
              <w:rPr>
                <w:rFonts w:ascii="Cambria Math" w:hAnsi="Cambria Math"/>
              </w:rPr>
              <m:t>a</m:t>
            </m:r>
          </m:e>
          <m:sup>
            <m:r>
              <w:rPr>
                <w:rFonts w:ascii="Cambria Math" w:hAnsi="Cambria Math"/>
              </w:rPr>
              <m:t>2</m:t>
            </m:r>
          </m:sup>
        </m:s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κ</m:t>
                </m:r>
              </m:e>
              <m:sub>
                <m:r>
                  <w:rPr>
                    <w:rFonts w:ascii="Cambria Math" w:hAnsi="Cambria Math"/>
                  </w:rPr>
                  <m:t>v</m:t>
                </m:r>
              </m:sub>
            </m:sSub>
          </m:num>
          <m:den>
            <m:r>
              <w:rPr>
                <w:rFonts w:ascii="Cambria Math" w:hAnsi="Cambria Math"/>
              </w:rPr>
              <m:t>2</m:t>
            </m:r>
          </m:den>
        </m:f>
        <m:sSup>
          <m:sSupPr>
            <m:ctrlPr>
              <w:rPr>
                <w:rFonts w:ascii="Cambria Math" w:hAnsi="Cambria Math"/>
              </w:rPr>
            </m:ctrlPr>
          </m:sSupPr>
          <m:e>
            <m:r>
              <w:rPr>
                <w:rFonts w:ascii="Cambria Math" w:hAnsi="Cambria Math"/>
              </w:rPr>
              <m:t>v</m:t>
            </m:r>
          </m:e>
          <m:sup>
            <m: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q</m:t>
            </m:r>
          </m:sub>
        </m:sSub>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x</m:t>
            </m:r>
          </m:sub>
        </m:sSub>
        <m:r>
          <w:rPr>
            <w:rFonts w:ascii="Cambria Math" w:hAnsi="Cambria Math"/>
          </w:rPr>
          <m:t>av</m:t>
        </m:r>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t</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ε</m:t>
            </m:r>
          </m:e>
          <m:sub>
            <m:r>
              <w:rPr>
                <w:rFonts w:ascii="Cambria Math" w:hAnsi="Cambria Math"/>
              </w:rPr>
              <m:t>t</m:t>
            </m:r>
          </m:sub>
        </m:sSub>
        <m:r>
          <m:rPr>
            <m:scr m:val="script"/>
            <m:sty m:val="p"/>
          </m:rP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sSubSup>
              <m:sSubSupPr>
                <m:ctrlPr>
                  <w:rPr>
                    <w:rFonts w:ascii="Cambria Math" w:hAnsi="Cambria Math"/>
                  </w:rPr>
                </m:ctrlPr>
              </m:sSubSupPr>
              <m:e>
                <m:r>
                  <w:rPr>
                    <w:rFonts w:ascii="Cambria Math" w:hAnsi="Cambria Math"/>
                  </w:rPr>
                  <m:t>σ</m:t>
                </m:r>
              </m:e>
              <m:sub>
                <m:r>
                  <w:rPr>
                    <w:rFonts w:ascii="Cambria Math" w:hAnsi="Cambria Math"/>
                  </w:rPr>
                  <m:t>ε</m:t>
                </m:r>
              </m:sub>
              <m:sup>
                <m:r>
                  <w:rPr>
                    <w:rFonts w:ascii="Cambria Math" w:hAnsi="Cambria Math"/>
                  </w:rPr>
                  <m:t>2</m:t>
                </m:r>
              </m:sup>
            </m:sSubSup>
          </m:e>
        </m:d>
        <m:r>
          <m:rPr>
            <m:sty m:val="p"/>
          </m:rPr>
          <w:rPr>
            <w:rFonts w:ascii="Cambria Math" w:hAnsi="Cambria Math"/>
          </w:rPr>
          <m:t>.</m:t>
        </m:r>
      </m:oMath>
      <w:r w:rsidR="00BC7290">
        <w:rPr>
          <w:rFonts w:eastAsia="Arial"/>
        </w:rPr>
        <w:tab/>
        <w:t>(2)</w:t>
      </w:r>
    </w:p>
    <w:p w14:paraId="16C148E0" w14:textId="77777777" w:rsidR="00AB49D0" w:rsidRDefault="00BC7290">
      <w:pPr>
        <w:jc w:val="both"/>
      </w:pPr>
      <w:r>
        <w:rPr>
          <w:rFonts w:eastAsia="Arial"/>
        </w:rPr>
        <w:t xml:space="preserve">The term </w:t>
      </w:r>
      <m:oMath>
        <m:r>
          <w:rPr>
            <w:rFonts w:ascii="Cambria Math" w:hAnsi="Cambria Math"/>
          </w:rPr>
          <m:t>αa</m:t>
        </m:r>
      </m:oMath>
      <w:r>
        <w:rPr>
          <w:rFonts w:eastAsia="Arial"/>
        </w:rPr>
        <w:t xml:space="preserve"> captures direct automation productivity. The complementarity term </w:t>
      </w:r>
      <m:oMath>
        <m:r>
          <w:rPr>
            <w:rFonts w:ascii="Cambria Math" w:hAnsi="Cambria Math"/>
          </w:rPr>
          <m:t>βa</m:t>
        </m:r>
        <m:sSub>
          <m:sSubPr>
            <m:ctrlPr>
              <w:rPr>
                <w:rFonts w:ascii="Cambria Math" w:hAnsi="Cambria Math"/>
              </w:rPr>
            </m:ctrlPr>
          </m:sSubPr>
          <m:e>
            <m:r>
              <w:rPr>
                <w:rFonts w:ascii="Cambria Math" w:hAnsi="Cambria Math"/>
              </w:rPr>
              <m:t>h</m:t>
            </m:r>
          </m:e>
          <m:sub>
            <m:r>
              <w:rPr>
                <w:rFonts w:ascii="Cambria Math" w:hAnsi="Cambria Math"/>
              </w:rPr>
              <m:t>t</m:t>
            </m:r>
          </m:sub>
        </m:sSub>
      </m:oMath>
      <w:r>
        <w:rPr>
          <w:rFonts w:eastAsia="Arial"/>
        </w:rPr>
        <w:t xml:space="preserve"> rewards automation that remains supported by human oversight competence. The term </w:t>
      </w:r>
      <m:oMath>
        <m:r>
          <w:rPr>
            <w:rFonts w:ascii="Cambria Math" w:hAnsi="Cambria Math"/>
          </w:rPr>
          <m:t>γav</m:t>
        </m:r>
      </m:oMath>
      <w:r>
        <w:rPr>
          <w:rFonts w:eastAsia="Arial"/>
        </w:rPr>
        <w:t xml:space="preserve"> represents assurance-enabled scalability, in which verified systems can be used more confidently in consequential workflows. Convex terms penalise excessive automation and verification intensity. Verification debt creates rework and coordination costs through </w:t>
      </w:r>
      <m:oMath>
        <m:sSub>
          <m:sSubPr>
            <m:ctrlPr>
              <w:rPr>
                <w:rFonts w:ascii="Cambria Math" w:hAnsi="Cambria Math"/>
              </w:rPr>
            </m:ctrlPr>
          </m:sSubPr>
          <m:e>
            <m:r>
              <w:rPr>
                <w:rFonts w:ascii="Cambria Math" w:hAnsi="Cambria Math"/>
              </w:rPr>
              <m:t>c</m:t>
            </m:r>
          </m:e>
          <m:sub>
            <m:r>
              <w:rPr>
                <w:rFonts w:ascii="Cambria Math" w:hAnsi="Cambria Math"/>
              </w:rPr>
              <m:t>q</m:t>
            </m:r>
          </m:sub>
        </m:sSub>
        <m:sSub>
          <m:sSubPr>
            <m:ctrlPr>
              <w:rPr>
                <w:rFonts w:ascii="Cambria Math" w:hAnsi="Cambria Math"/>
              </w:rPr>
            </m:ctrlPr>
          </m:sSubPr>
          <m:e>
            <m:r>
              <w:rPr>
                <w:rFonts w:ascii="Cambria Math" w:hAnsi="Cambria Math"/>
              </w:rPr>
              <m:t>q</m:t>
            </m:r>
          </m:e>
          <m:sub>
            <m:r>
              <w:rPr>
                <w:rFonts w:ascii="Cambria Math" w:hAnsi="Cambria Math"/>
              </w:rPr>
              <m:t>t</m:t>
            </m:r>
          </m:sub>
        </m:sSub>
      </m:oMath>
      <w:r>
        <w:rPr>
          <w:rFonts w:eastAsia="Arial"/>
        </w:rPr>
        <w:t xml:space="preserve">, and </w:t>
      </w:r>
      <m:oMath>
        <m:sSub>
          <m:sSubPr>
            <m:ctrlPr>
              <w:rPr>
                <w:rFonts w:ascii="Cambria Math" w:hAnsi="Cambria Math"/>
              </w:rPr>
            </m:ctrlPr>
          </m:sSubPr>
          <m:e>
            <m:r>
              <w:rPr>
                <w:rFonts w:ascii="Cambria Math" w:hAnsi="Cambria Math"/>
              </w:rPr>
              <m:t>c</m:t>
            </m:r>
          </m:e>
          <m:sub>
            <m:r>
              <w:rPr>
                <w:rFonts w:ascii="Cambria Math" w:hAnsi="Cambria Math"/>
              </w:rPr>
              <m:t>x</m:t>
            </m:r>
          </m:sub>
        </m:sSub>
        <m:r>
          <w:rPr>
            <w:rFonts w:ascii="Cambria Math" w:hAnsi="Cambria Math"/>
          </w:rPr>
          <m:t>av</m:t>
        </m:r>
      </m:oMath>
      <w:r>
        <w:rPr>
          <w:rFonts w:eastAsia="Arial"/>
        </w:rPr>
        <w:t xml:space="preserve"> captures the workload of verifying a larger automated surface.</w:t>
      </w:r>
    </w:p>
    <w:p w14:paraId="10157984" w14:textId="77777777" w:rsidR="00AB49D0" w:rsidRDefault="00BC7290">
      <w:pPr>
        <w:keepNext/>
        <w:spacing w:before="120" w:after="60"/>
      </w:pPr>
      <w:bookmarkStart w:id="17" w:name="verification-debt-dynamics"/>
      <w:bookmarkEnd w:id="16"/>
      <w:r>
        <w:rPr>
          <w:rFonts w:eastAsia="Arial"/>
          <w:b/>
          <w:sz w:val="22"/>
        </w:rPr>
        <w:t>3.4 Verification debt dynamics</w:t>
      </w:r>
    </w:p>
    <w:p w14:paraId="22E38303" w14:textId="77777777" w:rsidR="00AB49D0" w:rsidRDefault="00BC7290">
      <w:pPr>
        <w:jc w:val="both"/>
      </w:pPr>
      <w:r>
        <w:rPr>
          <w:rFonts w:eastAsia="Arial"/>
        </w:rPr>
        <w:t>Verification debt evolves as:</w:t>
      </w:r>
    </w:p>
    <w:p w14:paraId="0D25DD90"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q</m:t>
            </m:r>
          </m:e>
          <m:sub>
            <m:r>
              <w:rPr>
                <w:rFonts w:ascii="Cambria Math" w:hAnsi="Cambria Math"/>
              </w:rPr>
              <m:t>t</m:t>
            </m:r>
            <m:r>
              <m:rPr>
                <m:sty m:val="p"/>
              </m:rPr>
              <w:rPr>
                <w:rFonts w:ascii="Cambria Math" w:hAnsi="Cambria Math"/>
              </w:rPr>
              <m:t>+</m:t>
            </m:r>
            <m:r>
              <w:rPr>
                <w:rFonts w:ascii="Cambria Math" w:hAnsi="Cambria Math"/>
              </w:rPr>
              <m:t>1</m:t>
            </m:r>
          </m:sub>
        </m:sSub>
        <m:r>
          <m:rPr>
            <m:sty m:val="p"/>
          </m:rPr>
          <w:rPr>
            <w:rFonts w:ascii="Cambria Math" w:hAnsi="Cambria Math"/>
          </w:rPr>
          <m:t>=max</m:t>
        </m:r>
        <m:d>
          <m:dPr>
            <m:begChr m:val="{"/>
            <m:endChr m:val="}"/>
            <m:ctrlPr>
              <w:rPr>
                <w:rFonts w:ascii="Cambria Math" w:hAnsi="Cambria Math"/>
              </w:rPr>
            </m:ctrlPr>
          </m:dPr>
          <m:e>
            <m:r>
              <w:rPr>
                <w:rFonts w:ascii="Cambria Math" w:hAnsi="Cambria Math"/>
              </w:rPr>
              <m:t>0</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q</m:t>
                    </m:r>
                  </m:sub>
                </m:sSub>
              </m:e>
            </m:d>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r>
              <w:rPr>
                <w:rFonts w:ascii="Cambria Math" w:hAnsi="Cambria Math"/>
              </w:rPr>
              <m:t>ϕa</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v</m:t>
                </m:r>
              </m:e>
            </m:d>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r>
              <m:rPr>
                <m:sty m:val="p"/>
              </m:rPr>
              <w:rPr>
                <w:rFonts w:ascii="Cambria Math" w:hAnsi="Cambria Math"/>
              </w:rPr>
              <m:t>-</m:t>
            </m:r>
            <m:r>
              <w:rPr>
                <w:rFonts w:ascii="Cambria Math" w:hAnsi="Cambria Math"/>
              </w:rPr>
              <m:t>ψv</m:t>
            </m:r>
            <m:sSub>
              <m:sSubPr>
                <m:ctrlPr>
                  <w:rPr>
                    <w:rFonts w:ascii="Cambria Math" w:hAnsi="Cambria Math"/>
                  </w:rPr>
                </m:ctrlPr>
              </m:sSubPr>
              <m:e>
                <m:r>
                  <w:rPr>
                    <w:rFonts w:ascii="Cambria Math" w:hAnsi="Cambria Math"/>
                  </w:rPr>
                  <m:t>h</m:t>
                </m:r>
              </m:e>
              <m:sub>
                <m:r>
                  <w:rPr>
                    <w:rFonts w:ascii="Cambria Math" w:hAnsi="Cambria Math"/>
                  </w:rPr>
                  <m:t>t</m:t>
                </m:r>
              </m:sub>
            </m:sSub>
          </m:e>
        </m:d>
        <m:r>
          <m:rPr>
            <m:sty m:val="p"/>
          </m:rPr>
          <w:rPr>
            <w:rFonts w:ascii="Cambria Math" w:hAnsi="Cambria Math"/>
          </w:rPr>
          <m:t>.</m:t>
        </m:r>
      </m:oMath>
      <w:r w:rsidR="00BC7290">
        <w:rPr>
          <w:rFonts w:eastAsia="Arial"/>
        </w:rPr>
        <w:tab/>
        <w:t>(3)</w:t>
      </w:r>
    </w:p>
    <w:p w14:paraId="00B19E21" w14:textId="77777777" w:rsidR="00AB49D0" w:rsidRDefault="00BC7290">
      <w:pPr>
        <w:jc w:val="both"/>
      </w:pPr>
      <w:r>
        <w:rPr>
          <w:rFonts w:eastAsia="Arial"/>
        </w:rPr>
        <w:t xml:space="preserve">Debt partially decays at rate </w:t>
      </w:r>
      <m:oMath>
        <m:sSub>
          <m:sSubPr>
            <m:ctrlPr>
              <w:rPr>
                <w:rFonts w:ascii="Cambria Math" w:hAnsi="Cambria Math"/>
              </w:rPr>
            </m:ctrlPr>
          </m:sSubPr>
          <m:e>
            <m:r>
              <w:rPr>
                <w:rFonts w:ascii="Cambria Math" w:hAnsi="Cambria Math"/>
              </w:rPr>
              <m:t>δ</m:t>
            </m:r>
          </m:e>
          <m:sub>
            <m:r>
              <w:rPr>
                <w:rFonts w:ascii="Cambria Math" w:hAnsi="Cambria Math"/>
              </w:rPr>
              <m:t>q</m:t>
            </m:r>
          </m:sub>
        </m:sSub>
      </m:oMath>
      <w:r>
        <w:rPr>
          <w:rFonts w:eastAsia="Arial"/>
        </w:rPr>
        <w:t xml:space="preserve">. New debt is created when automation is high, verification is incomplete, and uncertainty is elevated. Verification supported by human capability clears debt at rate </w:t>
      </w:r>
      <m:oMath>
        <m:r>
          <w:rPr>
            <w:rFonts w:ascii="Cambria Math" w:hAnsi="Cambria Math"/>
          </w:rPr>
          <m:t>ψv</m:t>
        </m:r>
        <m:sSub>
          <m:sSubPr>
            <m:ctrlPr>
              <w:rPr>
                <w:rFonts w:ascii="Cambria Math" w:hAnsi="Cambria Math"/>
              </w:rPr>
            </m:ctrlPr>
          </m:sSubPr>
          <m:e>
            <m:r>
              <w:rPr>
                <w:rFonts w:ascii="Cambria Math" w:hAnsi="Cambria Math"/>
              </w:rPr>
              <m:t>h</m:t>
            </m:r>
          </m:e>
          <m:sub>
            <m:r>
              <w:rPr>
                <w:rFonts w:ascii="Cambria Math" w:hAnsi="Cambria Math"/>
              </w:rPr>
              <m:t>t</m:t>
            </m:r>
          </m:sub>
        </m:sSub>
      </m:oMath>
      <w:r>
        <w:rPr>
          <w:rFonts w:eastAsia="Arial"/>
        </w:rPr>
        <w:t>. This formulation makes verification quality productive only when the organisation retains sufficient competence to conduct meaningful challenge.</w:t>
      </w:r>
    </w:p>
    <w:p w14:paraId="390C1009" w14:textId="77777777" w:rsidR="00AB49D0" w:rsidRDefault="00BC7290">
      <w:pPr>
        <w:keepNext/>
        <w:spacing w:before="120" w:after="60"/>
      </w:pPr>
      <w:bookmarkStart w:id="18" w:name="human-oversight-capability"/>
      <w:bookmarkEnd w:id="17"/>
      <w:r>
        <w:rPr>
          <w:rFonts w:eastAsia="Arial"/>
          <w:b/>
          <w:sz w:val="22"/>
        </w:rPr>
        <w:t>3.5 Human oversight capability</w:t>
      </w:r>
    </w:p>
    <w:p w14:paraId="1ECFFE04" w14:textId="77777777" w:rsidR="00AB49D0" w:rsidRDefault="00BC7290">
      <w:pPr>
        <w:jc w:val="both"/>
      </w:pPr>
      <w:r>
        <w:rPr>
          <w:rFonts w:eastAsia="Arial"/>
        </w:rPr>
        <w:t>Human oversight capability evolves according to:</w:t>
      </w:r>
    </w:p>
    <w:p w14:paraId="2C50AF1A"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h</m:t>
            </m:r>
          </m:e>
          <m:sub>
            <m:r>
              <w:rPr>
                <w:rFonts w:ascii="Cambria Math" w:hAnsi="Cambria Math"/>
              </w:rPr>
              <m:t>t</m:t>
            </m:r>
            <m:r>
              <m:rPr>
                <m:sty m:val="p"/>
              </m:rPr>
              <w:rPr>
                <w:rFonts w:ascii="Cambria Math" w:hAnsi="Cambria Math"/>
              </w:rPr>
              <m:t>+</m:t>
            </m:r>
            <m:r>
              <w:rPr>
                <w:rFonts w:ascii="Cambria Math" w:hAnsi="Cambria Math"/>
              </w:rPr>
              <m:t>1</m:t>
            </m:r>
          </m:sub>
        </m:sSub>
        <m:r>
          <m:rPr>
            <m:sty m:val="p"/>
          </m:rPr>
          <w:rPr>
            <w:rFonts w:ascii="Cambria Math" w:hAnsi="Cambria Math"/>
          </w:rPr>
          <m:t>=min</m:t>
        </m:r>
        <m:d>
          <m:dPr>
            <m:begChr m:val="{"/>
            <m:endChr m:val="}"/>
            <m:ctrlPr>
              <w:rPr>
                <w:rFonts w:ascii="Cambria Math" w:hAnsi="Cambria Math"/>
              </w:rPr>
            </m:ctrlPr>
          </m:dPr>
          <m:e>
            <m:r>
              <w:rPr>
                <w:rFonts w:ascii="Cambria Math" w:hAnsi="Cambria Math"/>
              </w:rPr>
              <m:t>1</m:t>
            </m:r>
            <m:r>
              <m:rPr>
                <m:sty m:val="p"/>
              </m:rPr>
              <w:rPr>
                <w:rFonts w:ascii="Cambria Math" w:hAnsi="Cambria Math"/>
              </w:rPr>
              <m:t>,max</m:t>
            </m:r>
            <m:d>
              <m:dPr>
                <m:begChr m:val="["/>
                <m:endChr m:val="]"/>
                <m:ctrlPr>
                  <w:rPr>
                    <w:rFonts w:ascii="Cambria Math" w:hAnsi="Cambria Math"/>
                  </w:rPr>
                </m:ctrlPr>
              </m:dPr>
              <m:e>
                <m:r>
                  <w:rPr>
                    <w:rFonts w:ascii="Cambria Math" w:hAnsi="Cambria Math"/>
                  </w:rPr>
                  <m:t>0</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v</m:t>
                    </m:r>
                  </m:sub>
                </m:sSub>
                <m:r>
                  <w:rPr>
                    <w:rFonts w:ascii="Cambria Math" w:hAnsi="Cambria Math"/>
                  </w:rPr>
                  <m:t>v</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sub>
                    </m:sSub>
                  </m:e>
                </m:d>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a</m:t>
                    </m:r>
                  </m:sub>
                </m:sSub>
                <m:r>
                  <w:rPr>
                    <w:rFonts w:ascii="Cambria Math" w:hAnsi="Cambria Math"/>
                  </w:rPr>
                  <m:t>a</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v</m:t>
                    </m:r>
                  </m:e>
                </m:d>
                <m:sSub>
                  <m:sSubPr>
                    <m:ctrlPr>
                      <w:rPr>
                        <w:rFonts w:ascii="Cambria Math" w:hAnsi="Cambria Math"/>
                      </w:rPr>
                    </m:ctrlPr>
                  </m:sSubPr>
                  <m:e>
                    <m:r>
                      <w:rPr>
                        <w:rFonts w:ascii="Cambria Math" w:hAnsi="Cambria Math"/>
                      </w:rPr>
                      <m:t>h</m:t>
                    </m:r>
                  </m:e>
                  <m:sub>
                    <m:r>
                      <w:rPr>
                        <w:rFonts w:ascii="Cambria Math" w:hAnsi="Cambria Math"/>
                      </w:rPr>
                      <m:t>t</m:t>
                    </m:r>
                  </m:sub>
                </m:sSub>
              </m:e>
            </m:d>
          </m:e>
        </m:d>
        <m:r>
          <m:rPr>
            <m:sty m:val="p"/>
          </m:rPr>
          <w:rPr>
            <w:rFonts w:ascii="Cambria Math" w:hAnsi="Cambria Math"/>
          </w:rPr>
          <m:t>.</m:t>
        </m:r>
      </m:oMath>
      <w:r w:rsidR="00BC7290">
        <w:rPr>
          <w:rFonts w:eastAsia="Arial"/>
        </w:rPr>
        <w:tab/>
        <w:t>(4)</w:t>
      </w:r>
    </w:p>
    <w:p w14:paraId="2E5A5582" w14:textId="77777777" w:rsidR="00AB49D0" w:rsidRDefault="00BC7290">
      <w:pPr>
        <w:jc w:val="both"/>
      </w:pPr>
      <w:r>
        <w:rPr>
          <w:rFonts w:eastAsia="Arial"/>
        </w:rPr>
        <w:t>Verification sustains capability by keeping humans engaged with system logic, edge cases, and review. High automation with weak verification erodes capability because fewer consequential tasks are actively examined. This state variable makes risk path-dependent: a firm that allows oversight competence to decay cannot instantaneously restore high-quality verification merely by changing policy later.</w:t>
      </w:r>
    </w:p>
    <w:p w14:paraId="5A8F26A1" w14:textId="77777777" w:rsidR="00AB49D0" w:rsidRDefault="00BC7290">
      <w:pPr>
        <w:keepNext/>
        <w:spacing w:before="120" w:after="60"/>
      </w:pPr>
      <w:bookmarkStart w:id="19" w:name="failure-probability"/>
      <w:bookmarkEnd w:id="18"/>
      <w:r>
        <w:rPr>
          <w:rFonts w:eastAsia="Arial"/>
          <w:b/>
          <w:sz w:val="22"/>
        </w:rPr>
        <w:t>3.6 Failure probability</w:t>
      </w:r>
    </w:p>
    <w:p w14:paraId="40C9D67D" w14:textId="77777777" w:rsidR="00AB49D0" w:rsidRDefault="00BC7290">
      <w:pPr>
        <w:jc w:val="both"/>
      </w:pPr>
      <w:r>
        <w:rPr>
          <w:rFonts w:eastAsia="Arial"/>
        </w:rPr>
        <w:t>The period probability of a financing-relevant adverse artificial-intelligence-related state is logistic. The state can represent a sufficiently material operating incident, control failure, or model-driven loss event to affect creditor recovery or refinancing assessment:</w:t>
      </w:r>
    </w:p>
    <w:p w14:paraId="1A3657BF"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p</m:t>
            </m:r>
          </m:e>
          <m:sub>
            <m:r>
              <w:rPr>
                <w:rFonts w:ascii="Cambria Math" w:hAnsi="Cambria Math"/>
              </w:rPr>
              <m:t>t</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m:t>
            </m:r>
            <m:r>
              <m:rPr>
                <m:sty m:val="p"/>
              </m:rPr>
              <w:rPr>
                <w:rFonts w:ascii="Cambria Math" w:hAnsi="Cambria Math"/>
              </w:rPr>
              <m:t>+exp</m:t>
            </m:r>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t</m:t>
                    </m:r>
                  </m:sub>
                </m:sSub>
              </m:e>
            </m:d>
          </m:den>
        </m:f>
        <m:r>
          <m:rPr>
            <m:sty m:val="p"/>
          </m:rPr>
          <w:rPr>
            <w:rFonts w:ascii="Cambria Math" w:hAnsi="Cambria Math"/>
          </w:rPr>
          <m:t>,</m:t>
        </m:r>
      </m:oMath>
      <w:r w:rsidR="00BC7290">
        <w:rPr>
          <w:rFonts w:eastAsia="Arial"/>
        </w:rPr>
        <w:tab/>
        <w:t>(5)</w:t>
      </w:r>
    </w:p>
    <w:p w14:paraId="31D1082A" w14:textId="77777777" w:rsidR="00AB49D0" w:rsidRDefault="00BC7290">
      <w:pPr>
        <w:jc w:val="both"/>
      </w:pPr>
      <w:r>
        <w:rPr>
          <w:rFonts w:eastAsia="Arial"/>
        </w:rPr>
        <w:t>where</w:t>
      </w:r>
    </w:p>
    <w:p w14:paraId="3B32FB90"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z</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q</m:t>
            </m:r>
          </m:sub>
        </m:sSub>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u</m:t>
            </m:r>
          </m:sub>
        </m:sSub>
        <m:sSub>
          <m:sSubPr>
            <m:ctrlPr>
              <w:rPr>
                <w:rFonts w:ascii="Cambria Math" w:hAnsi="Cambria Math"/>
              </w:rPr>
            </m:ctrlPr>
          </m:sSubPr>
          <m:e>
            <m:r>
              <w:rPr>
                <w:rFonts w:ascii="Cambria Math" w:hAnsi="Cambria Math"/>
              </w:rPr>
              <m:t>u</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a</m:t>
            </m:r>
          </m:sub>
        </m:sSub>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av</m:t>
            </m:r>
          </m:sub>
        </m:sSub>
        <m:r>
          <w:rPr>
            <w:rFonts w:ascii="Cambria Math" w:hAnsi="Cambria Math"/>
          </w:rPr>
          <m:t>av</m:t>
        </m:r>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h</m:t>
            </m:r>
          </m:sub>
        </m:sSub>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oMath>
      <w:r w:rsidR="00BC7290">
        <w:rPr>
          <w:rFonts w:eastAsia="Arial"/>
        </w:rPr>
        <w:tab/>
        <w:t>(6)</w:t>
      </w:r>
    </w:p>
    <w:p w14:paraId="2DE9A804" w14:textId="77777777" w:rsidR="00AB49D0" w:rsidRDefault="00BC7290">
      <w:pPr>
        <w:jc w:val="both"/>
      </w:pPr>
      <w:r>
        <w:rPr>
          <w:rFonts w:eastAsia="Arial"/>
        </w:rPr>
        <w:t xml:space="preserve">Verification debt, uncertainty, and automation raise risk, while the interaction between automation and verification reduces risk when assurance scales with deployment. Human oversight capability also lowers risk. The logistic specification keeps probabilities in the unit interval and allows nonlinear amplification as the risk index rises. The variable </w:t>
      </w:r>
      <m:oMath>
        <m:sSub>
          <m:sSubPr>
            <m:ctrlPr>
              <w:rPr>
                <w:rFonts w:ascii="Cambria Math" w:hAnsi="Cambria Math"/>
              </w:rPr>
            </m:ctrlPr>
          </m:sSubPr>
          <m:e>
            <m:r>
              <w:rPr>
                <w:rFonts w:ascii="Cambria Math" w:hAnsi="Cambria Math"/>
              </w:rPr>
              <m:t>p</m:t>
            </m:r>
          </m:e>
          <m:sub>
            <m:r>
              <w:rPr>
                <w:rFonts w:ascii="Cambria Math" w:hAnsi="Cambria Math"/>
              </w:rPr>
              <m:t>t</m:t>
            </m:r>
          </m:sub>
        </m:sSub>
      </m:oMath>
      <w:r>
        <w:rPr>
          <w:rFonts w:eastAsia="Arial"/>
        </w:rPr>
        <w:t xml:space="preserve"> is therefore not the probability of any minor artificial intelligence error. It is the model’s priced probability of an adverse state that is material to both operating cash flow and creditor recovery.</w:t>
      </w:r>
    </w:p>
    <w:p w14:paraId="77DF8016" w14:textId="77777777" w:rsidR="00AB49D0" w:rsidRDefault="00BC7290">
      <w:pPr>
        <w:keepNext/>
        <w:spacing w:before="120" w:after="60"/>
      </w:pPr>
      <w:bookmarkStart w:id="20" w:name="X4e0b46c2bfafb509c7ef1e39f7cad663f98d15e"/>
      <w:bookmarkEnd w:id="19"/>
      <w:r>
        <w:rPr>
          <w:rFonts w:eastAsia="Arial"/>
          <w:b/>
          <w:sz w:val="22"/>
        </w:rPr>
        <w:t>3.7 Competitive debt pricing and the artificial intelligence verification premium</w:t>
      </w:r>
    </w:p>
    <w:p w14:paraId="5441B5A4" w14:textId="77777777" w:rsidR="00AB49D0" w:rsidRDefault="00BC7290">
      <w:pPr>
        <w:jc w:val="both"/>
      </w:pPr>
      <w:r>
        <w:rPr>
          <w:rFonts w:eastAsia="Arial"/>
        </w:rPr>
        <w:t xml:space="preserve">The financing mechanism is derived from a one-period competitive lender condition. Let </w:t>
      </w:r>
      <m:oMath>
        <m:r>
          <w:rPr>
            <w:rFonts w:ascii="Cambria Math" w:hAnsi="Cambria Math"/>
          </w:rPr>
          <m:t>B</m:t>
        </m:r>
      </m:oMath>
      <w:r>
        <w:rPr>
          <w:rFonts w:eastAsia="Arial"/>
        </w:rPr>
        <w:t xml:space="preserve"> be debt principal, </w:t>
      </w:r>
      <m:oMath>
        <m:sSub>
          <m:sSubPr>
            <m:ctrlPr>
              <w:rPr>
                <w:rFonts w:ascii="Cambria Math" w:hAnsi="Cambria Math"/>
              </w:rPr>
            </m:ctrlPr>
          </m:sSubPr>
          <m:e>
            <m:r>
              <w:rPr>
                <w:rFonts w:ascii="Cambria Math" w:hAnsi="Cambria Math"/>
              </w:rPr>
              <m:t>r</m:t>
            </m:r>
          </m:e>
          <m:sub>
            <m:r>
              <w:rPr>
                <w:rFonts w:ascii="Cambria Math" w:hAnsi="Cambria Math"/>
              </w:rPr>
              <m:t>f</m:t>
            </m:r>
          </m:sub>
        </m:sSub>
      </m:oMath>
      <w:r>
        <w:rPr>
          <w:rFonts w:eastAsia="Arial"/>
        </w:rPr>
        <w:t xml:space="preserve"> the risk-free return, </w:t>
      </w:r>
      <m:oMath>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oMath>
      <w:r>
        <w:rPr>
          <w:rFonts w:eastAsia="Arial"/>
        </w:rPr>
        <w:t xml:space="preserve"> the contractual debt rate, and </w:t>
      </w:r>
      <m:oMath>
        <m:r>
          <w:rPr>
            <w:rFonts w:ascii="Cambria Math" w:hAnsi="Cambria Math"/>
          </w:rPr>
          <m:t>λ</m:t>
        </m:r>
        <m:r>
          <m:rPr>
            <m:sty m:val="p"/>
          </m:rPr>
          <w:rPr>
            <w:rFonts w:ascii="Cambria Math" w:hAnsi="Cambria Math"/>
          </w:rPr>
          <m:t>∈</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Pr>
          <w:rFonts w:eastAsia="Arial"/>
        </w:rPr>
        <w:t xml:space="preserve"> the creditor loss fraction conditional on the priced adverse state. The baseline uses </w:t>
      </w:r>
      <m:oMath>
        <m:r>
          <w:rPr>
            <w:rFonts w:ascii="Cambria Math" w:hAnsi="Cambria Math"/>
          </w:rPr>
          <m:t>B</m:t>
        </m:r>
        <m:r>
          <m:rPr>
            <m:sty m:val="p"/>
          </m:rPr>
          <w:rPr>
            <w:rFonts w:ascii="Cambria Math" w:hAnsi="Cambria Math"/>
          </w:rPr>
          <m:t>=</m:t>
        </m:r>
        <m:acc>
          <m:accPr>
            <m:chr m:val="‾"/>
            <m:ctrlPr>
              <w:rPr>
                <w:rFonts w:ascii="Cambria Math" w:hAnsi="Cambria Math"/>
              </w:rPr>
            </m:ctrlPr>
          </m:accPr>
          <m:e>
            <m:r>
              <w:rPr>
                <w:rFonts w:ascii="Cambria Math" w:hAnsi="Cambria Math"/>
              </w:rPr>
              <m:t>B</m:t>
            </m:r>
          </m:e>
        </m:acc>
        <m:r>
          <w:rPr>
            <w:rFonts w:ascii="Cambria Math" w:hAnsi="Cambria Math"/>
          </w:rPr>
          <m:t>ω</m:t>
        </m:r>
      </m:oMath>
      <w:r>
        <w:rPr>
          <w:rFonts w:eastAsia="Arial"/>
        </w:rPr>
        <w:t xml:space="preserve">, where </w:t>
      </w:r>
      <m:oMath>
        <m:acc>
          <m:accPr>
            <m:chr m:val="‾"/>
            <m:ctrlPr>
              <w:rPr>
                <w:rFonts w:ascii="Cambria Math" w:hAnsi="Cambria Math"/>
              </w:rPr>
            </m:ctrlPr>
          </m:accPr>
          <m:e>
            <m:r>
              <w:rPr>
                <w:rFonts w:ascii="Cambria Math" w:hAnsi="Cambria Math"/>
              </w:rPr>
              <m:t>B</m:t>
            </m:r>
          </m:e>
        </m:acc>
      </m:oMath>
      <w:r>
        <w:rPr>
          <w:rFonts w:eastAsia="Arial"/>
        </w:rPr>
        <w:t xml:space="preserve"> is a debt-scale parameter and </w:t>
      </w:r>
      <m:oMath>
        <m:r>
          <w:rPr>
            <w:rFonts w:ascii="Cambria Math" w:hAnsi="Cambria Math"/>
          </w:rPr>
          <m:t>ω</m:t>
        </m:r>
      </m:oMath>
      <w:r>
        <w:rPr>
          <w:rFonts w:eastAsia="Arial"/>
        </w:rPr>
        <w:t xml:space="preserve"> is financing intensity. If the adverse state occurs with probability </w:t>
      </w:r>
      <m:oMath>
        <m:sSub>
          <m:sSubPr>
            <m:ctrlPr>
              <w:rPr>
                <w:rFonts w:ascii="Cambria Math" w:hAnsi="Cambria Math"/>
              </w:rPr>
            </m:ctrlPr>
          </m:sSubPr>
          <m:e>
            <m:r>
              <w:rPr>
                <w:rFonts w:ascii="Cambria Math" w:hAnsi="Cambria Math"/>
              </w:rPr>
              <m:t>p</m:t>
            </m:r>
          </m:e>
          <m:sub>
            <m:r>
              <w:rPr>
                <w:rFonts w:ascii="Cambria Math" w:hAnsi="Cambria Math"/>
              </w:rPr>
              <m:t>t</m:t>
            </m:r>
          </m:sub>
        </m:sSub>
      </m:oMath>
      <w:r>
        <w:rPr>
          <w:rFonts w:eastAsia="Arial"/>
        </w:rPr>
        <w:t xml:space="preserve">, lenders receive a fraction </w:t>
      </w:r>
      <m:oMath>
        <m:r>
          <w:rPr>
            <w:rFonts w:ascii="Cambria Math" w:hAnsi="Cambria Math"/>
          </w:rPr>
          <m:t>1</m:t>
        </m:r>
        <m:r>
          <m:rPr>
            <m:sty m:val="p"/>
          </m:rPr>
          <w:rPr>
            <w:rFonts w:ascii="Cambria Math" w:hAnsi="Cambria Math"/>
          </w:rPr>
          <m:t>-</m:t>
        </m:r>
        <m:r>
          <w:rPr>
            <w:rFonts w:ascii="Cambria Math" w:hAnsi="Cambria Math"/>
          </w:rPr>
          <m:t>λ</m:t>
        </m:r>
      </m:oMath>
      <w:r>
        <w:rPr>
          <w:rFonts w:eastAsia="Arial"/>
        </w:rPr>
        <w:t xml:space="preserve"> of promised repayment. Zero expected excess profit requires:</w:t>
      </w:r>
    </w:p>
    <w:p w14:paraId="77E232E9" w14:textId="77777777" w:rsidR="00AB49D0" w:rsidRDefault="00000000">
      <w:pPr>
        <w:keepLines/>
        <w:tabs>
          <w:tab w:val="right" w:pos="8208"/>
        </w:tabs>
        <w:spacing w:before="80"/>
        <w:jc w:val="both"/>
      </w:pPr>
      <m:oMath>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r>
          <w:rPr>
            <w:rFonts w:ascii="Cambria Math" w:hAnsi="Cambria Math"/>
          </w:rPr>
          <m:t>B</m:t>
        </m:r>
        <m:r>
          <m:rPr>
            <m:sty m:val="p"/>
          </m:rPr>
          <w:rPr>
            <w:rFonts w:ascii="Cambria Math" w:hAnsi="Cambria Math"/>
          </w:rPr>
          <m:t>=</m:t>
        </m:r>
        <m:d>
          <m:dPr>
            <m:begChr m:val="["/>
            <m:endChr m:val="]"/>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λ</m:t>
                </m:r>
              </m:e>
            </m:d>
          </m:e>
        </m:d>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e>
        </m:d>
        <m:r>
          <w:rPr>
            <w:rFonts w:ascii="Cambria Math" w:hAnsi="Cambria Math"/>
          </w:rPr>
          <m:t>B</m:t>
        </m:r>
        <m:r>
          <m:rPr>
            <m:sty m:val="p"/>
          </m:rPr>
          <w:rPr>
            <w:rFonts w:ascii="Cambria Math" w:hAnsi="Cambria Math"/>
          </w:rPr>
          <m:t>.</m:t>
        </m:r>
      </m:oMath>
      <w:r w:rsidR="00BC7290">
        <w:rPr>
          <w:rFonts w:eastAsia="Arial"/>
        </w:rPr>
        <w:tab/>
        <w:t>(7)</w:t>
      </w:r>
    </w:p>
    <w:p w14:paraId="3BC808C9" w14:textId="77777777" w:rsidR="00AB49D0" w:rsidRDefault="00BC7290">
      <w:pPr>
        <w:jc w:val="both"/>
      </w:pPr>
      <w:r>
        <w:rPr>
          <w:rFonts w:eastAsia="Arial"/>
        </w:rPr>
        <w:t>Therefore:</w:t>
      </w:r>
    </w:p>
    <w:p w14:paraId="0405CF7B"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r>
          <m:rPr>
            <m:sty m:val="p"/>
          </m:rPr>
          <w:rPr>
            <w:rFonts w:ascii="Cambria Math" w:hAnsi="Cambria Math"/>
          </w:rPr>
          <m:t>=</m:t>
        </m:r>
        <m:f>
          <m:fPr>
            <m:ctrlPr>
              <w:rPr>
                <w:rFonts w:ascii="Cambria Math" w:hAnsi="Cambria Math"/>
              </w:rPr>
            </m:ctrlPr>
          </m:fPr>
          <m:num>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num>
          <m:den>
            <m:r>
              <w:rPr>
                <w:rFonts w:ascii="Cambria Math" w:hAnsi="Cambria Math"/>
              </w:rPr>
              <m:t>1</m:t>
            </m:r>
            <m:r>
              <m:rPr>
                <m:sty m:val="p"/>
              </m:rPr>
              <w:rPr>
                <w:rFonts w:ascii="Cambria Math" w:hAnsi="Cambria Math"/>
              </w:rPr>
              <m:t>-</m:t>
            </m:r>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den>
        </m:f>
        <m:r>
          <m:rPr>
            <m:sty m:val="p"/>
          </m:rPr>
          <w:rPr>
            <w:rFonts w:ascii="Cambria Math" w:hAnsi="Cambria Math"/>
          </w:rPr>
          <m:t>-</m:t>
        </m:r>
        <m:r>
          <w:rPr>
            <w:rFonts w:ascii="Cambria Math" w:hAnsi="Cambria Math"/>
          </w:rPr>
          <m:t>1</m:t>
        </m:r>
        <m:r>
          <m:rPr>
            <m:sty m:val="p"/>
          </m:rPr>
          <w:rPr>
            <w:rFonts w:ascii="Cambria Math" w:hAnsi="Cambria Math"/>
          </w:rPr>
          <m:t>.</m:t>
        </m:r>
      </m:oMath>
      <w:r w:rsidR="00BC7290">
        <w:rPr>
          <w:rFonts w:eastAsia="Arial"/>
        </w:rPr>
        <w:tab/>
        <w:t>(8)</w:t>
      </w:r>
    </w:p>
    <w:p w14:paraId="6DF54798" w14:textId="77777777" w:rsidR="00AB49D0" w:rsidRDefault="00BC7290">
      <w:pPr>
        <w:jc w:val="both"/>
      </w:pPr>
      <w:r>
        <w:rPr>
          <w:rFonts w:eastAsia="Arial"/>
        </w:rPr>
        <w:t xml:space="preserve">Define the artificial intelligence verification premium </w:t>
      </w:r>
      <m:oMath>
        <m:sSub>
          <m:sSubPr>
            <m:ctrlPr>
              <w:rPr>
                <w:rFonts w:ascii="Cambria Math" w:hAnsi="Cambria Math"/>
              </w:rPr>
            </m:ctrlPr>
          </m:sSubPr>
          <m:e>
            <m:r>
              <w:rPr>
                <w:rFonts w:ascii="Cambria Math" w:hAnsi="Cambria Math"/>
              </w:rPr>
              <m:t>s</m:t>
            </m:r>
          </m:e>
          <m:sub>
            <m:r>
              <w:rPr>
                <w:rFonts w:ascii="Cambria Math" w:hAnsi="Cambria Math"/>
              </w:rPr>
              <m:t>t</m:t>
            </m:r>
          </m:sub>
        </m:sSub>
      </m:oMath>
      <w:r>
        <w:rPr>
          <w:rFonts w:eastAsia="Arial"/>
        </w:rPr>
        <w:t xml:space="preserve"> as the spread above the risk-free rate attributable to the priced failure probability:</w:t>
      </w:r>
    </w:p>
    <w:p w14:paraId="75C88EF9"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s</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f>
          <m:fPr>
            <m:ctrlPr>
              <w:rPr>
                <w:rFonts w:ascii="Cambria Math" w:hAnsi="Cambria Math"/>
              </w:rPr>
            </m:ctrlPr>
          </m:fPr>
          <m:num>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num>
          <m:den>
            <m:r>
              <w:rPr>
                <w:rFonts w:ascii="Cambria Math" w:hAnsi="Cambria Math"/>
              </w:rPr>
              <m:t>1</m:t>
            </m:r>
            <m:r>
              <m:rPr>
                <m:sty m:val="p"/>
              </m:rPr>
              <w:rPr>
                <w:rFonts w:ascii="Cambria Math" w:hAnsi="Cambria Math"/>
              </w:rPr>
              <m:t>-</m:t>
            </m:r>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den>
        </m:f>
        <m:r>
          <m:rPr>
            <m:sty m:val="p"/>
          </m:rPr>
          <w:rPr>
            <w:rFonts w:ascii="Cambria Math" w:hAnsi="Cambria Math"/>
          </w:rPr>
          <m:t>.</m:t>
        </m:r>
      </m:oMath>
      <w:r w:rsidR="00BC7290">
        <w:rPr>
          <w:rFonts w:eastAsia="Arial"/>
        </w:rPr>
        <w:tab/>
        <w:t>(9)</w:t>
      </w:r>
    </w:p>
    <w:p w14:paraId="2A21D0EF" w14:textId="77777777" w:rsidR="00AB49D0" w:rsidRDefault="00BC7290">
      <w:pPr>
        <w:jc w:val="both"/>
      </w:pPr>
      <w:r>
        <w:rPr>
          <w:rFonts w:eastAsia="Arial"/>
        </w:rPr>
        <w:t>Differentiating gives:</w:t>
      </w:r>
    </w:p>
    <w:p w14:paraId="6E5918A5" w14:textId="77777777" w:rsidR="00AB49D0" w:rsidRDefault="00000000">
      <w:pPr>
        <w:keepLines/>
        <w:tabs>
          <w:tab w:val="right" w:pos="8208"/>
        </w:tabs>
        <w:spacing w:before="80"/>
        <w:jc w:val="both"/>
      </w:pPr>
      <m:oMath>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t</m:t>
                </m:r>
              </m:sub>
            </m:sSub>
          </m:num>
          <m:den>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den>
        </m:f>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r>
              <w:rPr>
                <w:rFonts w:ascii="Cambria Math" w:hAnsi="Cambria Math"/>
              </w:rPr>
              <m:t>λ</m:t>
            </m:r>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e>
                </m:d>
              </m:e>
              <m:sup>
                <m:r>
                  <w:rPr>
                    <w:rFonts w:ascii="Cambria Math" w:hAnsi="Cambria Math"/>
                  </w:rPr>
                  <m:t>2</m:t>
                </m:r>
              </m:sup>
            </m:sSup>
          </m:den>
        </m:f>
        <m:r>
          <m:rPr>
            <m:sty m:val="p"/>
          </m:rPr>
          <w:rPr>
            <w:rFonts w:ascii="Cambria Math" w:hAnsi="Cambria Math"/>
          </w:rPr>
          <m:t>&gt;</m:t>
        </m:r>
        <m:r>
          <w:rPr>
            <w:rFonts w:ascii="Cambria Math" w:hAnsi="Cambria Math"/>
          </w:rPr>
          <m:t>0</m:t>
        </m:r>
        <m:r>
          <m:rPr>
            <m:sty m:val="p"/>
          </m:rPr>
          <w:rPr>
            <w:rFonts w:ascii="Cambria Math" w:hAnsi="Cambria Math"/>
          </w:rPr>
          <m:t>,</m:t>
        </m:r>
        <m:r>
          <w:rPr>
            <w:rFonts w:ascii="Cambria Math" w:hAnsi="Cambria Math"/>
          </w:rPr>
          <m:t>  </m:t>
        </m:r>
        <m:f>
          <m:fPr>
            <m:ctrlPr>
              <w:rPr>
                <w:rFonts w:ascii="Cambria Math" w:hAnsi="Cambria Math"/>
              </w:rPr>
            </m:ctrlPr>
          </m:fPr>
          <m:num>
            <m:sSup>
              <m:sSupPr>
                <m:ctrlPr>
                  <w:rPr>
                    <w:rFonts w:ascii="Cambria Math" w:hAnsi="Cambria Math"/>
                  </w:rPr>
                </m:ctrlPr>
              </m:sSupPr>
              <m:e>
                <m:r>
                  <m:rPr>
                    <m:sty m:val="p"/>
                  </m:rPr>
                  <w:rPr>
                    <w:rFonts w:ascii="Cambria Math" w:hAnsi="Cambria Math"/>
                  </w:rPr>
                  <m:t>∂</m:t>
                </m:r>
              </m:e>
              <m:sup>
                <m:r>
                  <w:rPr>
                    <w:rFonts w:ascii="Cambria Math" w:hAnsi="Cambria Math"/>
                  </w:rPr>
                  <m:t>2</m:t>
                </m:r>
              </m:sup>
            </m:sSup>
            <m:sSub>
              <m:sSubPr>
                <m:ctrlPr>
                  <w:rPr>
                    <w:rFonts w:ascii="Cambria Math" w:hAnsi="Cambria Math"/>
                  </w:rPr>
                </m:ctrlPr>
              </m:sSubPr>
              <m:e>
                <m:r>
                  <w:rPr>
                    <w:rFonts w:ascii="Cambria Math" w:hAnsi="Cambria Math"/>
                  </w:rPr>
                  <m:t>s</m:t>
                </m:r>
              </m:e>
              <m:sub>
                <m:r>
                  <w:rPr>
                    <w:rFonts w:ascii="Cambria Math" w:hAnsi="Cambria Math"/>
                  </w:rPr>
                  <m:t>t</m:t>
                </m:r>
              </m:sub>
            </m:sSub>
          </m:num>
          <m:den>
            <m:r>
              <m:rPr>
                <m:sty m:val="p"/>
              </m:rP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t</m:t>
                </m:r>
              </m:sub>
              <m:sup>
                <m:r>
                  <w:rPr>
                    <w:rFonts w:ascii="Cambria Math" w:hAnsi="Cambria Math"/>
                  </w:rPr>
                  <m:t>2</m:t>
                </m:r>
              </m:sup>
            </m:sSubSup>
          </m:den>
        </m:f>
        <m:r>
          <m:rPr>
            <m:sty m:val="p"/>
          </m:rPr>
          <w:rPr>
            <w:rFonts w:ascii="Cambria Math" w:hAnsi="Cambria Math"/>
          </w:rPr>
          <m:t>=</m:t>
        </m:r>
        <m:f>
          <m:fPr>
            <m:ctrlPr>
              <w:rPr>
                <w:rFonts w:ascii="Cambria Math" w:hAnsi="Cambria Math"/>
              </w:rPr>
            </m:ctrlPr>
          </m:fPr>
          <m:num>
            <m:r>
              <w:rPr>
                <w:rFonts w:ascii="Cambria Math" w:hAnsi="Cambria Math"/>
              </w:rPr>
              <m:t>2</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sSup>
              <m:sSupPr>
                <m:ctrlPr>
                  <w:rPr>
                    <w:rFonts w:ascii="Cambria Math" w:hAnsi="Cambria Math"/>
                  </w:rPr>
                </m:ctrlPr>
              </m:sSupPr>
              <m:e>
                <m:r>
                  <w:rPr>
                    <w:rFonts w:ascii="Cambria Math" w:hAnsi="Cambria Math"/>
                  </w:rPr>
                  <m:t>λ</m:t>
                </m:r>
              </m:e>
              <m:sup>
                <m:r>
                  <w:rPr>
                    <w:rFonts w:ascii="Cambria Math" w:hAnsi="Cambria Math"/>
                  </w:rPr>
                  <m:t>2</m:t>
                </m:r>
              </m:sup>
            </m:sSup>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t</m:t>
                        </m:r>
                      </m:sub>
                    </m:sSub>
                  </m:e>
                </m:d>
              </m:e>
              <m:sup>
                <m:r>
                  <w:rPr>
                    <w:rFonts w:ascii="Cambria Math" w:hAnsi="Cambria Math"/>
                  </w:rPr>
                  <m:t>3</m:t>
                </m:r>
              </m:sup>
            </m:sSup>
          </m:den>
        </m:f>
        <m:r>
          <m:rPr>
            <m:sty m:val="p"/>
          </m:rPr>
          <w:rPr>
            <w:rFonts w:ascii="Cambria Math" w:hAnsi="Cambria Math"/>
          </w:rPr>
          <m:t>&gt;</m:t>
        </m:r>
        <m:r>
          <w:rPr>
            <w:rFonts w:ascii="Cambria Math" w:hAnsi="Cambria Math"/>
          </w:rPr>
          <m:t>0</m:t>
        </m:r>
        <m:r>
          <m:rPr>
            <m:sty m:val="p"/>
          </m:rPr>
          <w:rPr>
            <w:rFonts w:ascii="Cambria Math" w:hAnsi="Cambria Math"/>
          </w:rPr>
          <m:t>.</m:t>
        </m:r>
      </m:oMath>
      <w:r w:rsidR="00BC7290">
        <w:rPr>
          <w:rFonts w:eastAsia="Arial"/>
        </w:rPr>
        <w:tab/>
        <w:t>(10)</w:t>
      </w:r>
    </w:p>
    <w:p w14:paraId="6B135824" w14:textId="77777777" w:rsidR="00AB49D0" w:rsidRDefault="00BC7290">
      <w:pPr>
        <w:jc w:val="both"/>
      </w:pPr>
      <w:r>
        <w:rPr>
          <w:rFonts w:eastAsia="Arial"/>
        </w:rPr>
        <w:t>Equation (10) proves Proposition 1. The financing penalty accelerates as risk rises.</w:t>
      </w:r>
    </w:p>
    <w:p w14:paraId="602953FD" w14:textId="77777777" w:rsidR="00AB49D0" w:rsidRDefault="00BC7290">
      <w:pPr>
        <w:keepNext/>
        <w:spacing w:before="120" w:after="60"/>
      </w:pPr>
      <w:bookmarkStart w:id="21" w:name="verification-thresholds"/>
      <w:bookmarkEnd w:id="20"/>
      <w:r>
        <w:rPr>
          <w:rFonts w:eastAsia="Arial"/>
          <w:b/>
          <w:sz w:val="22"/>
        </w:rPr>
        <w:t>3.8 Verification thresholds</w:t>
      </w:r>
    </w:p>
    <w:p w14:paraId="2C87F4F1" w14:textId="77777777" w:rsidR="00AB49D0" w:rsidRDefault="00BC7290">
      <w:pPr>
        <w:jc w:val="both"/>
      </w:pPr>
      <w:r>
        <w:rPr>
          <w:rFonts w:eastAsia="Arial"/>
        </w:rPr>
        <w:t xml:space="preserve">From Equations (5) and (6), holding </w:t>
      </w:r>
      <m:oMath>
        <m:sSub>
          <m:sSubPr>
            <m:ctrlPr>
              <w:rPr>
                <w:rFonts w:ascii="Cambria Math" w:hAnsi="Cambria Math"/>
              </w:rPr>
            </m:ctrlPr>
          </m:sSubPr>
          <m:e>
            <m:r>
              <w:rPr>
                <w:rFonts w:ascii="Cambria Math" w:hAnsi="Cambria Math"/>
              </w:rPr>
              <m:t>q</m:t>
            </m:r>
          </m:e>
          <m:sub>
            <m:r>
              <w:rPr>
                <w:rFonts w:ascii="Cambria Math" w:hAnsi="Cambria Math"/>
              </w:rPr>
              <m:t>t</m:t>
            </m:r>
          </m:sub>
        </m:sSub>
      </m:oMath>
      <w:r>
        <w:rPr>
          <w:rFonts w:eastAsia="Arial"/>
        </w:rPr>
        <w:t xml:space="preserve">, </w:t>
      </w:r>
      <m:oMath>
        <m:sSub>
          <m:sSubPr>
            <m:ctrlPr>
              <w:rPr>
                <w:rFonts w:ascii="Cambria Math" w:hAnsi="Cambria Math"/>
              </w:rPr>
            </m:ctrlPr>
          </m:sSubPr>
          <m:e>
            <m:r>
              <w:rPr>
                <w:rFonts w:ascii="Cambria Math" w:hAnsi="Cambria Math"/>
              </w:rPr>
              <m:t>u</m:t>
            </m:r>
          </m:e>
          <m:sub>
            <m:r>
              <w:rPr>
                <w:rFonts w:ascii="Cambria Math" w:hAnsi="Cambria Math"/>
              </w:rPr>
              <m:t>t</m:t>
            </m:r>
          </m:sub>
        </m:sSub>
      </m:oMath>
      <w:r>
        <w:rPr>
          <w:rFonts w:eastAsia="Arial"/>
        </w:rPr>
        <w:t xml:space="preserve">, and </w:t>
      </w:r>
      <m:oMath>
        <m:sSub>
          <m:sSubPr>
            <m:ctrlPr>
              <w:rPr>
                <w:rFonts w:ascii="Cambria Math" w:hAnsi="Cambria Math"/>
              </w:rPr>
            </m:ctrlPr>
          </m:sSubPr>
          <m:e>
            <m:r>
              <w:rPr>
                <w:rFonts w:ascii="Cambria Math" w:hAnsi="Cambria Math"/>
              </w:rPr>
              <m:t>h</m:t>
            </m:r>
          </m:e>
          <m:sub>
            <m:r>
              <w:rPr>
                <w:rFonts w:ascii="Cambria Math" w:hAnsi="Cambria Math"/>
              </w:rPr>
              <m:t>t</m:t>
            </m:r>
          </m:sub>
        </m:sSub>
      </m:oMath>
      <w:r>
        <w:rPr>
          <w:rFonts w:eastAsia="Arial"/>
        </w:rPr>
        <w:t xml:space="preserve"> constant:</w:t>
      </w:r>
    </w:p>
    <w:p w14:paraId="76CC87D5" w14:textId="77777777" w:rsidR="00AB49D0" w:rsidRDefault="00000000">
      <w:pPr>
        <w:keepLines/>
        <w:tabs>
          <w:tab w:val="right" w:pos="8208"/>
        </w:tabs>
        <w:spacing w:before="80"/>
        <w:jc w:val="both"/>
      </w:pPr>
      <m:oMath>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num>
          <m:den>
            <m:r>
              <m:rPr>
                <m:sty m:val="p"/>
              </m:rPr>
              <w:rPr>
                <w:rFonts w:ascii="Cambria Math" w:hAnsi="Cambria Math"/>
              </w:rPr>
              <m:t>∂</m:t>
            </m:r>
            <m:r>
              <w:rPr>
                <w:rFonts w:ascii="Cambria Math" w:hAnsi="Cambria Math"/>
              </w:rPr>
              <m:t>a</m:t>
            </m:r>
          </m:den>
        </m:f>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t</m:t>
                </m:r>
              </m:sub>
            </m:sSub>
          </m:e>
        </m:d>
        <m:d>
          <m:dPr>
            <m:ctrlPr>
              <w:rPr>
                <w:rFonts w:ascii="Cambria Math" w:hAnsi="Cambria Math"/>
              </w:rPr>
            </m:ctrlPr>
          </m:dPr>
          <m:e>
            <m:sSub>
              <m:sSubPr>
                <m:ctrlPr>
                  <w:rPr>
                    <w:rFonts w:ascii="Cambria Math" w:hAnsi="Cambria Math"/>
                  </w:rPr>
                </m:ctrlPr>
              </m:sSubPr>
              <m:e>
                <m:r>
                  <w:rPr>
                    <w:rFonts w:ascii="Cambria Math" w:hAnsi="Cambria Math"/>
                  </w:rPr>
                  <m:t>θ</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av</m:t>
                </m:r>
              </m:sub>
            </m:sSub>
            <m:r>
              <w:rPr>
                <w:rFonts w:ascii="Cambria Math" w:hAnsi="Cambria Math"/>
              </w:rPr>
              <m:t>v</m:t>
            </m:r>
          </m:e>
        </m:d>
        <m:r>
          <m:rPr>
            <m:sty m:val="p"/>
          </m:rPr>
          <w:rPr>
            <w:rFonts w:ascii="Cambria Math" w:hAnsi="Cambria Math"/>
          </w:rPr>
          <m:t>.</m:t>
        </m:r>
      </m:oMath>
      <w:r w:rsidR="00BC7290">
        <w:rPr>
          <w:rFonts w:eastAsia="Arial"/>
        </w:rPr>
        <w:tab/>
        <w:t>(11)</w:t>
      </w:r>
    </w:p>
    <w:p w14:paraId="1F83DEC2" w14:textId="77777777" w:rsidR="00AB49D0" w:rsidRDefault="00BC7290">
      <w:pPr>
        <w:jc w:val="both"/>
      </w:pPr>
      <w:r>
        <w:rPr>
          <w:rFonts w:eastAsia="Arial"/>
        </w:rPr>
        <w:t>Hence the direct-risk threshold is:</w:t>
      </w:r>
    </w:p>
    <w:p w14:paraId="21056D01" w14:textId="77777777" w:rsidR="00AB49D0" w:rsidRDefault="00000000">
      <w:pPr>
        <w:keepLines/>
        <w:tabs>
          <w:tab w:val="right" w:pos="8208"/>
        </w:tabs>
        <w:spacing w:before="80"/>
        <w:jc w:val="both"/>
      </w:pPr>
      <m:oMath>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θ</m:t>
                </m:r>
              </m:e>
              <m:sub>
                <m:r>
                  <w:rPr>
                    <w:rFonts w:ascii="Cambria Math" w:hAnsi="Cambria Math"/>
                  </w:rPr>
                  <m:t>a</m:t>
                </m:r>
              </m:sub>
            </m:sSub>
          </m:num>
          <m:den>
            <m:sSub>
              <m:sSubPr>
                <m:ctrlPr>
                  <w:rPr>
                    <w:rFonts w:ascii="Cambria Math" w:hAnsi="Cambria Math"/>
                  </w:rPr>
                </m:ctrlPr>
              </m:sSubPr>
              <m:e>
                <m:r>
                  <w:rPr>
                    <w:rFonts w:ascii="Cambria Math" w:hAnsi="Cambria Math"/>
                  </w:rPr>
                  <m:t>θ</m:t>
                </m:r>
              </m:e>
              <m:sub>
                <m:r>
                  <w:rPr>
                    <w:rFonts w:ascii="Cambria Math" w:hAnsi="Cambria Math"/>
                  </w:rPr>
                  <m:t>av</m:t>
                </m:r>
              </m:sub>
            </m:sSub>
          </m:den>
        </m:f>
        <m:r>
          <m:rPr>
            <m:sty m:val="p"/>
          </m:rPr>
          <w:rPr>
            <w:rFonts w:ascii="Cambria Math" w:hAnsi="Cambria Math"/>
          </w:rPr>
          <m:t>.</m:t>
        </m:r>
      </m:oMath>
      <w:r w:rsidR="00BC7290">
        <w:rPr>
          <w:rFonts w:eastAsia="Arial"/>
        </w:rPr>
        <w:tab/>
        <w:t>(12)</w:t>
      </w:r>
    </w:p>
    <w:p w14:paraId="68337F80" w14:textId="77777777" w:rsidR="00AB49D0" w:rsidRDefault="00BC7290">
      <w:pPr>
        <w:jc w:val="both"/>
      </w:pPr>
      <w:r>
        <w:rPr>
          <w:rFonts w:eastAsia="Arial"/>
        </w:rPr>
        <w:t xml:space="preserve">When </w:t>
      </w:r>
      <m:oMath>
        <m:r>
          <w:rPr>
            <w:rFonts w:ascii="Cambria Math" w:hAnsi="Cambria Math"/>
          </w:rPr>
          <m:t>v</m:t>
        </m:r>
        <m:r>
          <m:rPr>
            <m:sty m:val="p"/>
          </m:rPr>
          <w:rPr>
            <w:rFonts w:ascii="Cambria Math" w:hAnsi="Cambria Math"/>
          </w:rPr>
          <m:t>&gt;</m:t>
        </m:r>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oMath>
      <w:r>
        <w:rPr>
          <w:rFonts w:eastAsia="Arial"/>
        </w:rPr>
        <w:t xml:space="preserve">, an incremental increase in automation reduces contemporaneous risk in the model because assurance-enabled deployment more than offsets the direct automation-risk term. Under the baseline coefficients, </w:t>
      </w:r>
      <m:oMath>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r>
          <m:rPr>
            <m:sty m:val="p"/>
          </m:rPr>
          <w:rPr>
            <w:rFonts w:ascii="Cambria Math" w:hAnsi="Cambria Math"/>
          </w:rPr>
          <m:t>=</m:t>
        </m:r>
        <m:r>
          <w:rPr>
            <w:rFonts w:ascii="Cambria Math" w:hAnsi="Cambria Math"/>
          </w:rPr>
          <m:t>1.40</m:t>
        </m:r>
        <m:r>
          <m:rPr>
            <m:sty m:val="p"/>
          </m:rPr>
          <w:rPr>
            <w:rFonts w:ascii="Cambria Math" w:hAnsi="Cambria Math"/>
          </w:rPr>
          <m:t>/</m:t>
        </m:r>
        <m:r>
          <w:rPr>
            <w:rFonts w:ascii="Cambria Math" w:hAnsi="Cambria Math"/>
          </w:rPr>
          <m:t>2.60</m:t>
        </m:r>
        <m:r>
          <m:rPr>
            <m:sty m:val="p"/>
          </m:rPr>
          <w:rPr>
            <w:rFonts w:ascii="Cambria Math" w:hAnsi="Cambria Math"/>
          </w:rPr>
          <m:t>=</m:t>
        </m:r>
        <m:r>
          <w:rPr>
            <w:rFonts w:ascii="Cambria Math" w:hAnsi="Cambria Math"/>
          </w:rPr>
          <m:t>0.538</m:t>
        </m:r>
      </m:oMath>
      <w:r>
        <w:rPr>
          <w:rFonts w:eastAsia="Arial"/>
        </w:rPr>
        <w:t>.</w:t>
      </w:r>
    </w:p>
    <w:p w14:paraId="1AAF3DED" w14:textId="77777777" w:rsidR="00AB49D0" w:rsidRDefault="00BC7290">
      <w:pPr>
        <w:jc w:val="both"/>
      </w:pPr>
      <w:r>
        <w:rPr>
          <w:rFonts w:eastAsia="Arial"/>
        </w:rPr>
        <w:t xml:space="preserve">A separate condition controls new verification-debt creation. At </w:t>
      </w:r>
      <m:oMath>
        <m:sSub>
          <m:sSubPr>
            <m:ctrlPr>
              <w:rPr>
                <w:rFonts w:ascii="Cambria Math" w:hAnsi="Cambria Math"/>
              </w:rPr>
            </m:ctrlPr>
          </m:sSubPr>
          <m:e>
            <m:r>
              <w:rPr>
                <w:rFonts w:ascii="Cambria Math" w:hAnsi="Cambria Math"/>
              </w:rPr>
              <m:t>q</m:t>
            </m:r>
          </m:e>
          <m:sub>
            <m:r>
              <w:rPr>
                <w:rFonts w:ascii="Cambria Math" w:hAnsi="Cambria Math"/>
              </w:rPr>
              <m:t>t</m:t>
            </m:r>
          </m:sub>
        </m:sSub>
        <m:r>
          <m:rPr>
            <m:sty m:val="p"/>
          </m:rPr>
          <w:rPr>
            <w:rFonts w:ascii="Cambria Math" w:hAnsi="Cambria Math"/>
          </w:rPr>
          <m:t>=</m:t>
        </m:r>
        <m:r>
          <w:rPr>
            <w:rFonts w:ascii="Cambria Math" w:hAnsi="Cambria Math"/>
          </w:rPr>
          <m:t>0</m:t>
        </m:r>
      </m:oMath>
      <w:r>
        <w:rPr>
          <w:rFonts w:eastAsia="Arial"/>
        </w:rPr>
        <w:t>, Equation (3) produces no new debt when:</w:t>
      </w:r>
    </w:p>
    <w:p w14:paraId="4FE75A34" w14:textId="77777777" w:rsidR="00AB49D0" w:rsidRDefault="00BC7290">
      <w:pPr>
        <w:keepLines/>
        <w:tabs>
          <w:tab w:val="right" w:pos="8208"/>
        </w:tabs>
        <w:spacing w:before="80"/>
        <w:jc w:val="both"/>
      </w:pPr>
      <m:oMath>
        <m:r>
          <w:rPr>
            <w:rFonts w:ascii="Cambria Math" w:hAnsi="Cambria Math"/>
          </w:rPr>
          <m:t>ϕa</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v</m:t>
            </m:r>
          </m:e>
        </m:d>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r>
          <m:rPr>
            <m:sty m:val="p"/>
          </m:rPr>
          <w:rPr>
            <w:rFonts w:ascii="Cambria Math" w:hAnsi="Cambria Math"/>
          </w:rPr>
          <m:t>≤</m:t>
        </m:r>
        <m:r>
          <w:rPr>
            <w:rFonts w:ascii="Cambria Math" w:hAnsi="Cambria Math"/>
          </w:rPr>
          <m:t>ψv</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oMath>
      <w:r>
        <w:rPr>
          <w:rFonts w:eastAsia="Arial"/>
        </w:rPr>
        <w:tab/>
        <w:t>(13)</w:t>
      </w:r>
    </w:p>
    <w:p w14:paraId="797C6410" w14:textId="77777777" w:rsidR="00AB49D0" w:rsidRDefault="00BC7290">
      <w:pPr>
        <w:jc w:val="both"/>
      </w:pPr>
      <w:r>
        <w:rPr>
          <w:rFonts w:eastAsia="Arial"/>
        </w:rPr>
        <w:t>Solving for verification yields:</w:t>
      </w:r>
    </w:p>
    <w:p w14:paraId="3417BE96" w14:textId="77777777" w:rsidR="00AB49D0" w:rsidRDefault="00000000">
      <w:pPr>
        <w:keepLines/>
        <w:tabs>
          <w:tab w:val="right" w:pos="8208"/>
        </w:tabs>
        <w:spacing w:before="80"/>
        <w:jc w:val="both"/>
      </w:pPr>
      <m:oMath>
        <m:sSubSup>
          <m:sSubSupPr>
            <m:ctrlPr>
              <w:rPr>
                <w:rFonts w:ascii="Cambria Math" w:hAnsi="Cambria Math"/>
              </w:rPr>
            </m:ctrlPr>
          </m:sSubSupPr>
          <m:e>
            <m:r>
              <w:rPr>
                <w:rFonts w:ascii="Cambria Math" w:hAnsi="Cambria Math"/>
              </w:rPr>
              <m:t>v</m:t>
            </m:r>
          </m:e>
          <m:sub>
            <m:r>
              <w:rPr>
                <w:rFonts w:ascii="Cambria Math" w:hAnsi="Cambria Math"/>
              </w:rPr>
              <m:t>q</m:t>
            </m:r>
          </m:sub>
          <m:sup>
            <m:r>
              <m:rPr>
                <m:sty m:val="p"/>
              </m:rPr>
              <w:rPr>
                <w:rFonts w:ascii="Cambria Math" w:hAnsi="Cambria Math"/>
              </w:rPr>
              <m:t>crit</m:t>
            </m:r>
          </m:sup>
        </m:sSubSup>
        <m:d>
          <m:dPr>
            <m:ctrlPr>
              <w:rPr>
                <w:rFonts w:ascii="Cambria Math" w:hAnsi="Cambria Math"/>
              </w:rPr>
            </m:ctrlPr>
          </m:dPr>
          <m:e>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r>
          <m:rPr>
            <m:sty m:val="p"/>
          </m:rPr>
          <w:rPr>
            <w:rFonts w:ascii="Cambria Math" w:hAnsi="Cambria Math"/>
          </w:rPr>
          <m:t>=</m:t>
        </m:r>
        <m:f>
          <m:fPr>
            <m:ctrlPr>
              <w:rPr>
                <w:rFonts w:ascii="Cambria Math" w:hAnsi="Cambria Math"/>
              </w:rPr>
            </m:ctrlPr>
          </m:fPr>
          <m:num>
            <m:r>
              <w:rPr>
                <w:rFonts w:ascii="Cambria Math" w:hAnsi="Cambria Math"/>
              </w:rPr>
              <m:t>ϕa</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num>
          <m:den>
            <m:r>
              <w:rPr>
                <w:rFonts w:ascii="Cambria Math" w:hAnsi="Cambria Math"/>
              </w:rPr>
              <m:t>ψ</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r>
              <w:rPr>
                <w:rFonts w:ascii="Cambria Math" w:hAnsi="Cambria Math"/>
              </w:rPr>
              <m:t>ϕa</m:t>
            </m:r>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den>
        </m:f>
        <m:r>
          <m:rPr>
            <m:sty m:val="p"/>
          </m:rPr>
          <w:rPr>
            <w:rFonts w:ascii="Cambria Math" w:hAnsi="Cambria Math"/>
          </w:rPr>
          <m:t>.</m:t>
        </m:r>
      </m:oMath>
      <w:r w:rsidR="00BC7290">
        <w:rPr>
          <w:rFonts w:eastAsia="Arial"/>
        </w:rPr>
        <w:tab/>
        <w:t>(14)</w:t>
      </w:r>
    </w:p>
    <w:p w14:paraId="0DF7553D" w14:textId="77777777" w:rsidR="00AB49D0" w:rsidRDefault="00BC7290">
      <w:pPr>
        <w:jc w:val="both"/>
      </w:pPr>
      <w:r>
        <w:rPr>
          <w:rFonts w:eastAsia="Arial"/>
        </w:rPr>
        <w:t>A sufficient contemporaneous assurance condition is therefore:</w:t>
      </w:r>
    </w:p>
    <w:p w14:paraId="648DC958" w14:textId="77777777" w:rsidR="00AB49D0" w:rsidRDefault="00BC7290">
      <w:pPr>
        <w:keepLines/>
        <w:tabs>
          <w:tab w:val="right" w:pos="8208"/>
        </w:tabs>
        <w:spacing w:before="80"/>
        <w:jc w:val="both"/>
      </w:pPr>
      <m:oMath>
        <m:r>
          <w:rPr>
            <w:rFonts w:ascii="Cambria Math" w:hAnsi="Cambria Math"/>
          </w:rPr>
          <m:t>v</m:t>
        </m:r>
        <m:r>
          <m:rPr>
            <m:sty m:val="p"/>
          </m:rPr>
          <w:rPr>
            <w:rFonts w:ascii="Cambria Math" w:hAnsi="Cambria Math"/>
          </w:rPr>
          <m:t>≥</m:t>
        </m:r>
        <m:sSubSup>
          <m:sSubSupPr>
            <m:ctrlPr>
              <w:rPr>
                <w:rFonts w:ascii="Cambria Math" w:hAnsi="Cambria Math"/>
              </w:rPr>
            </m:ctrlPr>
          </m:sSubSupPr>
          <m:e>
            <m:r>
              <w:rPr>
                <w:rFonts w:ascii="Cambria Math" w:hAnsi="Cambria Math"/>
              </w:rPr>
              <m:t>v</m:t>
            </m:r>
          </m:e>
          <m:sub>
            <m:r>
              <w:rPr>
                <w:rFonts w:ascii="Cambria Math" w:hAnsi="Cambria Math"/>
              </w:rPr>
              <m:t>A</m:t>
            </m:r>
          </m:sub>
          <m:sup>
            <m:r>
              <m:rPr>
                <m:sty m:val="p"/>
              </m:rPr>
              <w:rPr>
                <w:rFonts w:ascii="Cambria Math" w:hAnsi="Cambria Math"/>
              </w:rPr>
              <m:t>crit</m:t>
            </m:r>
          </m:sup>
        </m:sSubSup>
        <m:r>
          <m:rPr>
            <m:sty m:val="p"/>
          </m:rPr>
          <w:rPr>
            <w:rFonts w:ascii="Cambria Math" w:hAnsi="Cambria Math"/>
          </w:rPr>
          <m:t>=max</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r>
              <m:rPr>
                <m:sty m:val="p"/>
              </m:rPr>
              <w:rPr>
                <w:rFonts w:ascii="Cambria Math" w:hAnsi="Cambria Math"/>
              </w:rPr>
              <m:t>,</m:t>
            </m:r>
            <m:sSubSup>
              <m:sSubSupPr>
                <m:ctrlPr>
                  <w:rPr>
                    <w:rFonts w:ascii="Cambria Math" w:hAnsi="Cambria Math"/>
                  </w:rPr>
                </m:ctrlPr>
              </m:sSubSupPr>
              <m:e>
                <m:r>
                  <w:rPr>
                    <w:rFonts w:ascii="Cambria Math" w:hAnsi="Cambria Math"/>
                  </w:rPr>
                  <m:t>v</m:t>
                </m:r>
              </m:e>
              <m:sub>
                <m:r>
                  <w:rPr>
                    <w:rFonts w:ascii="Cambria Math" w:hAnsi="Cambria Math"/>
                  </w:rPr>
                  <m:t>q</m:t>
                </m:r>
              </m:sub>
              <m:sup>
                <m:r>
                  <m:rPr>
                    <m:sty m:val="p"/>
                  </m:rPr>
                  <w:rPr>
                    <w:rFonts w:ascii="Cambria Math" w:hAnsi="Cambria Math"/>
                  </w:rPr>
                  <m:t>crit</m:t>
                </m:r>
              </m:sup>
            </m:sSubSup>
            <m:d>
              <m:dPr>
                <m:ctrlPr>
                  <w:rPr>
                    <w:rFonts w:ascii="Cambria Math" w:hAnsi="Cambria Math"/>
                  </w:rPr>
                </m:ctrlPr>
              </m:dPr>
              <m:e>
                <m:r>
                  <w:rPr>
                    <w:rFonts w:ascii="Cambria Math" w:hAnsi="Cambria Math"/>
                  </w:rPr>
                  <m:t>a</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t</m:t>
                    </m:r>
                  </m:sub>
                </m:sSub>
              </m:e>
            </m:d>
          </m:e>
        </m:d>
        <m:r>
          <m:rPr>
            <m:sty m:val="p"/>
          </m:rPr>
          <w:rPr>
            <w:rFonts w:ascii="Cambria Math" w:hAnsi="Cambria Math"/>
          </w:rPr>
          <m:t>.</m:t>
        </m:r>
      </m:oMath>
      <w:r>
        <w:rPr>
          <w:rFonts w:eastAsia="Arial"/>
        </w:rPr>
        <w:tab/>
        <w:t>(15)</w:t>
      </w:r>
    </w:p>
    <w:p w14:paraId="2E721A0C" w14:textId="77777777" w:rsidR="00AB49D0" w:rsidRDefault="00BC7290">
      <w:pPr>
        <w:jc w:val="both"/>
      </w:pPr>
      <w:r>
        <w:rPr>
          <w:rFonts w:eastAsia="Arial"/>
        </w:rPr>
        <w:t>This combined threshold does not guarantee global optimality because verification has direct cost and the state variables evolve. It identifies a local region in which automation does not directly raise priced risk and does not create new verification debt from a zero-debt state.</w:t>
      </w:r>
    </w:p>
    <w:p w14:paraId="6A5E1978" w14:textId="77777777" w:rsidR="00AB49D0" w:rsidRDefault="00BC7290">
      <w:pPr>
        <w:keepNext/>
        <w:spacing w:before="120" w:after="60"/>
      </w:pPr>
      <w:bookmarkStart w:id="22" w:name="incident-losses-and-firm-value"/>
      <w:bookmarkEnd w:id="21"/>
      <w:r>
        <w:rPr>
          <w:rFonts w:eastAsia="Arial"/>
          <w:b/>
          <w:sz w:val="22"/>
        </w:rPr>
        <w:t>3.9 Incident losses and firm value</w:t>
      </w:r>
    </w:p>
    <w:p w14:paraId="37040C00" w14:textId="77777777" w:rsidR="00AB49D0" w:rsidRDefault="00BC7290">
      <w:pPr>
        <w:jc w:val="both"/>
      </w:pPr>
      <w:r>
        <w:rPr>
          <w:rFonts w:eastAsia="Arial"/>
        </w:rPr>
        <w:t xml:space="preserve">An incident indicator </w:t>
      </w:r>
      <m:oMath>
        <m:sSub>
          <m:sSubPr>
            <m:ctrlPr>
              <w:rPr>
                <w:rFonts w:ascii="Cambria Math" w:hAnsi="Cambria Math"/>
              </w:rPr>
            </m:ctrlPr>
          </m:sSubPr>
          <m:e>
            <m:r>
              <w:rPr>
                <w:rFonts w:ascii="Cambria Math" w:hAnsi="Cambria Math"/>
              </w:rPr>
              <m:t>I</m:t>
            </m:r>
          </m:e>
          <m:sub>
            <m:r>
              <w:rPr>
                <w:rFonts w:ascii="Cambria Math" w:hAnsi="Cambria Math"/>
              </w:rPr>
              <m:t>t</m:t>
            </m:r>
          </m:sub>
        </m:sSub>
      </m:oMath>
      <w:r>
        <w:rPr>
          <w:rFonts w:eastAsia="Arial"/>
        </w:rPr>
        <w:t xml:space="preserve"> is drawn from a Bernoulli distribution with probability </w:t>
      </w:r>
      <m:oMath>
        <m:sSub>
          <m:sSubPr>
            <m:ctrlPr>
              <w:rPr>
                <w:rFonts w:ascii="Cambria Math" w:hAnsi="Cambria Math"/>
              </w:rPr>
            </m:ctrlPr>
          </m:sSubPr>
          <m:e>
            <m:r>
              <w:rPr>
                <w:rFonts w:ascii="Cambria Math" w:hAnsi="Cambria Math"/>
              </w:rPr>
              <m:t>p</m:t>
            </m:r>
          </m:e>
          <m:sub>
            <m:r>
              <w:rPr>
                <w:rFonts w:ascii="Cambria Math" w:hAnsi="Cambria Math"/>
              </w:rPr>
              <m:t>t</m:t>
            </m:r>
          </m:sub>
        </m:sSub>
      </m:oMath>
      <w:r>
        <w:rPr>
          <w:rFonts w:eastAsia="Arial"/>
        </w:rPr>
        <w:t>. Conditional severity is lognormal and increases with verification debt:</w:t>
      </w:r>
    </w:p>
    <w:p w14:paraId="314D3C0F" w14:textId="77777777" w:rsidR="00AB49D0" w:rsidRDefault="00000000">
      <w:pPr>
        <w:keepLines/>
        <w:tabs>
          <w:tab w:val="right" w:pos="8208"/>
        </w:tabs>
        <w:spacing w:before="80"/>
        <w:jc w:val="both"/>
      </w:pPr>
      <m:oMath>
        <m:sSub>
          <m:sSubPr>
            <m:ctrlPr>
              <w:rPr>
                <w:rFonts w:ascii="Cambria Math" w:hAnsi="Cambria Math"/>
              </w:rPr>
            </m:ctrlPr>
          </m:sSubPr>
          <m:e>
            <m:r>
              <w:rPr>
                <w:rFonts w:ascii="Cambria Math" w:hAnsi="Cambria Math"/>
              </w:rPr>
              <m:t>L</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t</m:t>
            </m:r>
          </m:sub>
        </m:sSub>
        <m:sSub>
          <m:sSubPr>
            <m:ctrlPr>
              <w:rPr>
                <w:rFonts w:ascii="Cambria Math" w:hAnsi="Cambria Math"/>
              </w:rPr>
            </m:ctrlPr>
          </m:sSubPr>
          <m:e>
            <m:r>
              <m:rPr>
                <m:scr m:val="script"/>
                <m:sty m:val="p"/>
              </m:rPr>
              <w:rPr>
                <w:rFonts w:ascii="Cambria Math" w:hAnsi="Cambria Math"/>
              </w:rPr>
              <m:t>l</m:t>
            </m:r>
          </m:e>
          <m:sub>
            <m:r>
              <w:rPr>
                <w:rFonts w:ascii="Cambria Math" w:hAnsi="Cambria Math"/>
              </w:rPr>
              <m:t>0</m:t>
            </m:r>
          </m:sub>
        </m:sSub>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ξ</m:t>
            </m:r>
            <m:sSub>
              <m:sSubPr>
                <m:ctrlPr>
                  <w:rPr>
                    <w:rFonts w:ascii="Cambria Math" w:hAnsi="Cambria Math"/>
                  </w:rPr>
                </m:ctrlPr>
              </m:sSubPr>
              <m:e>
                <m:r>
                  <w:rPr>
                    <w:rFonts w:ascii="Cambria Math" w:hAnsi="Cambria Math"/>
                  </w:rPr>
                  <m:t>q</m:t>
                </m:r>
              </m:e>
              <m:sub>
                <m:r>
                  <w:rPr>
                    <w:rFonts w:ascii="Cambria Math" w:hAnsi="Cambria Math"/>
                  </w:rPr>
                  <m:t>t</m:t>
                </m:r>
              </m:sub>
            </m:sSub>
          </m:e>
        </m:d>
        <m:r>
          <m:rPr>
            <m:sty m:val="p"/>
          </m:rPr>
          <w:rPr>
            <w:rFonts w:ascii="Cambria Math" w:hAnsi="Cambria Math"/>
          </w:rPr>
          <m:t>exp</m:t>
        </m:r>
        <m:d>
          <m:dPr>
            <m:ctrlPr>
              <w:rPr>
                <w:rFonts w:ascii="Cambria Math" w:hAnsi="Cambria Math"/>
              </w:rPr>
            </m:ctrlPr>
          </m:dPr>
          <m:e>
            <m:sSub>
              <m:sSubPr>
                <m:ctrlPr>
                  <w:rPr>
                    <w:rFonts w:ascii="Cambria Math" w:hAnsi="Cambria Math"/>
                  </w:rPr>
                </m:ctrlPr>
              </m:sSubPr>
              <m:e>
                <m:r>
                  <w:rPr>
                    <w:rFonts w:ascii="Cambria Math" w:hAnsi="Cambria Math"/>
                  </w:rPr>
                  <m:t>σ</m:t>
                </m:r>
              </m:e>
              <m:sub>
                <m:r>
                  <m:rPr>
                    <m:scr m:val="script"/>
                    <m:sty m:val="p"/>
                  </m:rPr>
                  <w:rPr>
                    <w:rFonts w:ascii="Cambria Math" w:hAnsi="Cambria Math"/>
                  </w:rPr>
                  <m:t>l</m:t>
                </m:r>
              </m:sub>
            </m:sSub>
            <m:sSub>
              <m:sSubPr>
                <m:ctrlPr>
                  <w:rPr>
                    <w:rFonts w:ascii="Cambria Math" w:hAnsi="Cambria Math"/>
                  </w:rPr>
                </m:ctrlPr>
              </m:sSubPr>
              <m:e>
                <m:r>
                  <w:rPr>
                    <w:rFonts w:ascii="Cambria Math" w:hAnsi="Cambria Math"/>
                  </w:rPr>
                  <m:t>Z</m:t>
                </m:r>
              </m:e>
              <m:sub>
                <m:r>
                  <w:rPr>
                    <w:rFonts w:ascii="Cambria Math" w:hAnsi="Cambria Math"/>
                  </w:rPr>
                  <m:t>t</m:t>
                </m:r>
              </m:sub>
            </m:sSub>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σ</m:t>
                    </m:r>
                  </m:e>
                  <m:sub>
                    <m:r>
                      <m:rPr>
                        <m:scr m:val="script"/>
                        <m:sty m:val="p"/>
                      </m:rPr>
                      <w:rPr>
                        <w:rFonts w:ascii="Cambria Math" w:hAnsi="Cambria Math"/>
                      </w:rPr>
                      <m:t>l</m:t>
                    </m:r>
                  </m:sub>
                  <m:sup>
                    <m:r>
                      <w:rPr>
                        <w:rFonts w:ascii="Cambria Math" w:hAnsi="Cambria Math"/>
                      </w:rPr>
                      <m:t>2</m:t>
                    </m:r>
                  </m:sup>
                </m:sSubSup>
              </m:num>
              <m:den>
                <m:r>
                  <w:rPr>
                    <w:rFonts w:ascii="Cambria Math" w:hAnsi="Cambria Math"/>
                  </w:rPr>
                  <m:t>2</m:t>
                </m:r>
              </m:den>
            </m:f>
          </m:e>
        </m: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Z</m:t>
            </m:r>
          </m:e>
          <m:sub>
            <m:r>
              <w:rPr>
                <w:rFonts w:ascii="Cambria Math" w:hAnsi="Cambria Math"/>
              </w:rPr>
              <m:t>t</m:t>
            </m:r>
          </m:sub>
        </m:sSub>
        <m:r>
          <m:rPr>
            <m:scr m:val="script"/>
            <m:sty m:val="p"/>
          </m:rP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r>
          <m:rPr>
            <m:sty m:val="p"/>
          </m:rPr>
          <w:rPr>
            <w:rFonts w:ascii="Cambria Math" w:hAnsi="Cambria Math"/>
          </w:rPr>
          <m:t>.</m:t>
        </m:r>
      </m:oMath>
      <w:r w:rsidR="00BC7290">
        <w:rPr>
          <w:rFonts w:eastAsia="Arial"/>
        </w:rPr>
        <w:tab/>
        <w:t>(16)</w:t>
      </w:r>
    </w:p>
    <w:p w14:paraId="7B05E00A" w14:textId="77777777" w:rsidR="00AB49D0" w:rsidRDefault="00BC7290">
      <w:pPr>
        <w:jc w:val="both"/>
      </w:pPr>
      <w:r>
        <w:rPr>
          <w:rFonts w:eastAsia="Arial"/>
        </w:rPr>
        <w:t>The exponential adjustment preserves the conditional mean scaling term. Period net cash flow is:</w:t>
      </w:r>
    </w:p>
    <w:p w14:paraId="2B70E29C" w14:textId="77777777" w:rsidR="00AB49D0" w:rsidRDefault="00BC7290">
      <w:pPr>
        <w:keepLines/>
        <w:tabs>
          <w:tab w:val="right" w:pos="8208"/>
        </w:tabs>
        <w:spacing w:before="80"/>
        <w:jc w:val="both"/>
      </w:pPr>
      <m:oMath>
        <m:r>
          <w:rPr>
            <w:rFonts w:ascii="Cambria Math" w:hAnsi="Cambria Math"/>
          </w:rPr>
          <m:t>C</m:t>
        </m:r>
        <m:sSub>
          <m:sSubPr>
            <m:ctrlPr>
              <w:rPr>
                <w:rFonts w:ascii="Cambria Math" w:hAnsi="Cambria Math"/>
              </w:rPr>
            </m:ctrlPr>
          </m:sSubPr>
          <m:e>
            <m:r>
              <w:rPr>
                <w:rFonts w:ascii="Cambria Math" w:hAnsi="Cambria Math"/>
              </w:rPr>
              <m:t>F</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t</m:t>
            </m:r>
          </m:sub>
        </m:sSub>
        <m:r>
          <m:rPr>
            <m:sty m:val="p"/>
          </m:rPr>
          <w:rPr>
            <w:rFonts w:ascii="Cambria Math" w:hAnsi="Cambria Math"/>
          </w:rPr>
          <m:t>-</m:t>
        </m:r>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r>
          <m:rPr>
            <m:sty m:val="p"/>
          </m:rPr>
          <w:rPr>
            <w:rFonts w:ascii="Cambria Math" w:hAnsi="Cambria Math"/>
          </w:rPr>
          <m:t>.</m:t>
        </m:r>
      </m:oMath>
      <w:r>
        <w:rPr>
          <w:rFonts w:eastAsia="Arial"/>
        </w:rPr>
        <w:tab/>
        <w:t>(17)</w:t>
      </w:r>
    </w:p>
    <w:p w14:paraId="24B241A2" w14:textId="77777777" w:rsidR="00AB49D0" w:rsidRDefault="00BC7290">
      <w:pPr>
        <w:jc w:val="both"/>
      </w:pPr>
      <w:r>
        <w:rPr>
          <w:rFonts w:eastAsia="Arial"/>
        </w:rPr>
        <w:t xml:space="preserve">The discounted firm-value index over </w:t>
      </w:r>
      <m:oMath>
        <m:r>
          <w:rPr>
            <w:rFonts w:ascii="Cambria Math" w:hAnsi="Cambria Math"/>
          </w:rPr>
          <m:t>T</m:t>
        </m:r>
      </m:oMath>
      <w:r>
        <w:rPr>
          <w:rFonts w:eastAsia="Arial"/>
        </w:rPr>
        <w:t xml:space="preserve"> periods is:</w:t>
      </w:r>
    </w:p>
    <w:p w14:paraId="658C97DA" w14:textId="77777777" w:rsidR="00AB49D0" w:rsidRDefault="00BC7290">
      <w:pPr>
        <w:keepLines/>
        <w:tabs>
          <w:tab w:val="right" w:pos="8208"/>
        </w:tabs>
        <w:spacing w:before="80"/>
        <w:jc w:val="both"/>
      </w:pPr>
      <m:oMath>
        <m:r>
          <w:rPr>
            <w:rFonts w:ascii="Cambria Math" w:hAnsi="Cambria Math"/>
          </w:rPr>
          <m:t>V</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m:t>
            </m:r>
            <m:r>
              <w:rPr>
                <w:rFonts w:ascii="Cambria Math" w:hAnsi="Cambria Math"/>
              </w:rPr>
              <m:t>0</m:t>
            </m:r>
          </m:sub>
          <m:sup>
            <m:r>
              <w:rPr>
                <w:rFonts w:ascii="Cambria Math" w:hAnsi="Cambria Math"/>
              </w:rPr>
              <m:t>T</m:t>
            </m:r>
            <m:r>
              <m:rPr>
                <m:sty m:val="p"/>
              </m:rPr>
              <w:rPr>
                <w:rFonts w:ascii="Cambria Math" w:hAnsi="Cambria Math"/>
              </w:rPr>
              <m:t>-</m:t>
            </m:r>
            <m:r>
              <w:rPr>
                <w:rFonts w:ascii="Cambria Math" w:hAnsi="Cambria Math"/>
              </w:rPr>
              <m:t>1</m:t>
            </m:r>
          </m:sup>
          <m:e>
            <m:f>
              <m:fPr>
                <m:ctrlPr>
                  <w:rPr>
                    <w:rFonts w:ascii="Cambria Math" w:hAnsi="Cambria Math"/>
                  </w:rPr>
                </m:ctrlPr>
              </m:fPr>
              <m:num>
                <m:r>
                  <w:rPr>
                    <w:rFonts w:ascii="Cambria Math" w:hAnsi="Cambria Math"/>
                  </w:rPr>
                  <m:t>C</m:t>
                </m:r>
                <m:sSub>
                  <m:sSubPr>
                    <m:ctrlPr>
                      <w:rPr>
                        <w:rFonts w:ascii="Cambria Math" w:hAnsi="Cambria Math"/>
                      </w:rPr>
                    </m:ctrlPr>
                  </m:sSubPr>
                  <m:e>
                    <m:r>
                      <w:rPr>
                        <w:rFonts w:ascii="Cambria Math" w:hAnsi="Cambria Math"/>
                      </w:rPr>
                      <m:t>F</m:t>
                    </m:r>
                  </m:e>
                  <m:sub>
                    <m:r>
                      <w:rPr>
                        <w:rFonts w:ascii="Cambria Math" w:hAnsi="Cambria Math"/>
                      </w:rPr>
                      <m:t>t</m:t>
                    </m:r>
                  </m:sub>
                </m:sSub>
              </m:num>
              <m:den>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f</m:t>
                            </m:r>
                          </m:sub>
                        </m:sSub>
                      </m:e>
                    </m:d>
                  </m:e>
                  <m:sup>
                    <m:r>
                      <w:rPr>
                        <w:rFonts w:ascii="Cambria Math" w:hAnsi="Cambria Math"/>
                      </w:rPr>
                      <m:t>t</m:t>
                    </m:r>
                  </m:sup>
                </m:sSup>
              </m:den>
            </m:f>
          </m:e>
        </m:nary>
        <m:r>
          <m:rPr>
            <m:sty m:val="p"/>
          </m:rPr>
          <w:rPr>
            <w:rFonts w:ascii="Cambria Math" w:hAnsi="Cambria Math"/>
          </w:rPr>
          <m:t>.</m:t>
        </m:r>
      </m:oMath>
      <w:r>
        <w:rPr>
          <w:rFonts w:eastAsia="Arial"/>
        </w:rPr>
        <w:tab/>
        <w:t>(18)</w:t>
      </w:r>
    </w:p>
    <w:p w14:paraId="5DAA6248" w14:textId="77777777" w:rsidR="00AB49D0" w:rsidRDefault="00BC7290">
      <w:pPr>
        <w:jc w:val="both"/>
      </w:pPr>
      <w:r>
        <w:rPr>
          <w:rFonts w:eastAsia="Arial"/>
        </w:rPr>
        <w:t xml:space="preserve">This is a model value index rather than a currency valuation. It permits internally consistent comparisons across policies without claiming calibration to a particular firm or national credit market. The two risk-related deductions in Equation (17) represent different cash-flow objects. </w:t>
      </w:r>
      <m:oMath>
        <m:sSub>
          <m:sSubPr>
            <m:ctrlPr>
              <w:rPr>
                <w:rFonts w:ascii="Cambria Math" w:hAnsi="Cambria Math"/>
              </w:rPr>
            </m:ctrlPr>
          </m:sSubPr>
          <m:e>
            <m:r>
              <w:rPr>
                <w:rFonts w:ascii="Cambria Math" w:hAnsi="Cambria Math"/>
              </w:rPr>
              <m:t>L</m:t>
            </m:r>
          </m:e>
          <m:sub>
            <m:r>
              <w:rPr>
                <w:rFonts w:ascii="Cambria Math" w:hAnsi="Cambria Math"/>
              </w:rPr>
              <m:t>t</m:t>
            </m:r>
          </m:sub>
        </m:sSub>
      </m:oMath>
      <w:r>
        <w:rPr>
          <w:rFonts w:eastAsia="Arial"/>
        </w:rPr>
        <w:t xml:space="preserve"> is a realised operating loss borne by the firm when the adverse state occurs, whereas </w:t>
      </w:r>
      <m:oMath>
        <m:r>
          <w:rPr>
            <w:rFonts w:ascii="Cambria Math" w:hAnsi="Cambria Math"/>
          </w:rPr>
          <m:t>B</m:t>
        </m:r>
        <m:sSub>
          <m:sSubPr>
            <m:ctrlPr>
              <w:rPr>
                <w:rFonts w:ascii="Cambria Math" w:hAnsi="Cambria Math"/>
              </w:rPr>
            </m:ctrlPr>
          </m:sSubPr>
          <m:e>
            <m:r>
              <w:rPr>
                <w:rFonts w:ascii="Cambria Math" w:hAnsi="Cambria Math"/>
              </w:rPr>
              <m:t>r</m:t>
            </m:r>
          </m:e>
          <m:sub>
            <m:r>
              <w:rPr>
                <w:rFonts w:ascii="Cambria Math" w:hAnsi="Cambria Math"/>
              </w:rPr>
              <m:t>D</m:t>
            </m:r>
            <m:r>
              <m:rPr>
                <m:sty m:val="p"/>
              </m:rPr>
              <w:rPr>
                <w:rFonts w:ascii="Cambria Math" w:hAnsi="Cambria Math"/>
              </w:rPr>
              <m:t>,</m:t>
            </m:r>
            <m:r>
              <w:rPr>
                <w:rFonts w:ascii="Cambria Math" w:hAnsi="Cambria Math"/>
              </w:rPr>
              <m:t>t</m:t>
            </m:r>
          </m:sub>
        </m:sSub>
      </m:oMath>
      <w:r>
        <w:rPr>
          <w:rFonts w:eastAsia="Arial"/>
        </w:rPr>
        <w:t xml:space="preserve"> is the ex ante contractual financing charge required by lenders for bearing creditor exposure. Including both therefore captures an operating-loss channel and a financing-price channel rather than charging the same item twice. The index should be read as residual discounted cash flow under a rolling-debt convention, not as an enterprise-value identity.</w:t>
      </w:r>
    </w:p>
    <w:p w14:paraId="6C89470F" w14:textId="77777777" w:rsidR="00AB49D0" w:rsidRDefault="00BC7290">
      <w:pPr>
        <w:keepNext/>
        <w:spacing w:before="120" w:after="60"/>
      </w:pPr>
      <w:bookmarkStart w:id="23" w:name="X7ab48ea12130524bfbb7a8378950870d00dd12f"/>
      <w:bookmarkEnd w:id="22"/>
      <w:r>
        <w:rPr>
          <w:rFonts w:eastAsia="Arial"/>
          <w:b/>
          <w:sz w:val="22"/>
        </w:rPr>
        <w:t>3.10 Baseline parameters and management regimes</w:t>
      </w:r>
    </w:p>
    <w:p w14:paraId="697801A8" w14:textId="77777777" w:rsidR="00AB49D0" w:rsidRDefault="00BC7290">
      <w:pPr>
        <w:jc w:val="both"/>
      </w:pPr>
      <w:r>
        <w:rPr>
          <w:rFonts w:eastAsia="Arial"/>
        </w:rPr>
        <w:t>Table 1 lists the complete baseline parameters. Values are deliberately stylised. They are selected to create economically interpretable trade-offs rather than to reproduce a particular observed data set. The audit criterion is therefore structural: whether propositions, comparative statics, and simulation outcomes are consistent with the stated equations.</w:t>
      </w:r>
    </w:p>
    <w:p w14:paraId="3BE489EF" w14:textId="77777777" w:rsidR="00AB49D0" w:rsidRDefault="00BC7290">
      <w:pPr>
        <w:keepNext/>
        <w:spacing w:before="120" w:after="60"/>
      </w:pPr>
      <w:r>
        <w:rPr>
          <w:rFonts w:eastAsia="Arial"/>
          <w:b/>
          <w:bCs/>
        </w:rPr>
        <w:t>Table 1. Baseline model parameters</w:t>
      </w:r>
    </w:p>
    <w:tbl>
      <w:tblPr>
        <w:tblW w:w="8208" w:type="dxa"/>
        <w:tblBorders>
          <w:top w:val="single" w:sz="8" w:space="0" w:color="000000"/>
          <w:left w:val="nil"/>
          <w:bottom w:val="single" w:sz="8" w:space="0" w:color="000000"/>
          <w:right w:val="nil"/>
          <w:insideH w:val="single" w:sz="4" w:space="0" w:color="BFBFBF"/>
          <w:insideV w:val="nil"/>
        </w:tblBorders>
        <w:tblLayout w:type="fixed"/>
        <w:tblLook w:val="04A0" w:firstRow="1" w:lastRow="0" w:firstColumn="1" w:lastColumn="0" w:noHBand="0" w:noVBand="1"/>
      </w:tblPr>
      <w:tblGrid>
        <w:gridCol w:w="1224"/>
        <w:gridCol w:w="1037"/>
        <w:gridCol w:w="5947"/>
      </w:tblGrid>
      <w:tr w:rsidR="00AB49D0" w14:paraId="6483F034" w14:textId="77777777">
        <w:trPr>
          <w:cantSplit/>
          <w:tblHeader/>
        </w:trPr>
        <w:tc>
          <w:tcPr>
            <w:tcW w:w="1224" w:type="dxa"/>
            <w:vAlign w:val="center"/>
          </w:tcPr>
          <w:p w14:paraId="498C71FC" w14:textId="77777777" w:rsidR="00AB49D0" w:rsidRDefault="00BC7290">
            <w:pPr>
              <w:spacing w:before="20" w:after="20"/>
            </w:pPr>
            <w:r>
              <w:rPr>
                <w:rFonts w:eastAsia="Arial"/>
                <w:b/>
                <w:sz w:val="18"/>
              </w:rPr>
              <w:t>Parameter</w:t>
            </w:r>
          </w:p>
        </w:tc>
        <w:tc>
          <w:tcPr>
            <w:tcW w:w="1037" w:type="dxa"/>
            <w:vAlign w:val="center"/>
          </w:tcPr>
          <w:p w14:paraId="2BFDBA6C" w14:textId="77777777" w:rsidR="00AB49D0" w:rsidRDefault="00BC7290">
            <w:pPr>
              <w:spacing w:before="20" w:after="20"/>
              <w:jc w:val="center"/>
            </w:pPr>
            <w:r>
              <w:rPr>
                <w:rFonts w:eastAsia="Arial"/>
                <w:b/>
                <w:sz w:val="18"/>
              </w:rPr>
              <w:t>Value</w:t>
            </w:r>
          </w:p>
        </w:tc>
        <w:tc>
          <w:tcPr>
            <w:tcW w:w="5947" w:type="dxa"/>
            <w:vAlign w:val="center"/>
          </w:tcPr>
          <w:p w14:paraId="3FE58DF6" w14:textId="77777777" w:rsidR="00AB49D0" w:rsidRDefault="00BC7290">
            <w:pPr>
              <w:spacing w:before="20" w:after="20"/>
            </w:pPr>
            <w:r>
              <w:rPr>
                <w:rFonts w:eastAsia="Arial"/>
                <w:b/>
                <w:sz w:val="18"/>
              </w:rPr>
              <w:t>Interpretation</w:t>
            </w:r>
          </w:p>
        </w:tc>
      </w:tr>
      <w:tr w:rsidR="00AB49D0" w14:paraId="5ED0BCF7" w14:textId="77777777">
        <w:trPr>
          <w:cantSplit/>
        </w:trPr>
        <w:tc>
          <w:tcPr>
            <w:tcW w:w="1224" w:type="dxa"/>
            <w:vAlign w:val="center"/>
          </w:tcPr>
          <w:p w14:paraId="34A2F2ED" w14:textId="77777777" w:rsidR="00AB49D0" w:rsidRDefault="00BC7290">
            <w:pPr>
              <w:spacing w:before="20" w:after="20"/>
            </w:pPr>
            <w:r>
              <w:rPr>
                <w:rFonts w:eastAsia="Arial"/>
                <w:i/>
                <w:sz w:val="18"/>
              </w:rPr>
              <w:t>T</w:t>
            </w:r>
          </w:p>
        </w:tc>
        <w:tc>
          <w:tcPr>
            <w:tcW w:w="1037" w:type="dxa"/>
            <w:vAlign w:val="center"/>
          </w:tcPr>
          <w:p w14:paraId="6A4E477C" w14:textId="77777777" w:rsidR="00AB49D0" w:rsidRDefault="00BC7290">
            <w:pPr>
              <w:spacing w:before="20" w:after="20"/>
              <w:jc w:val="center"/>
            </w:pPr>
            <w:r>
              <w:rPr>
                <w:rFonts w:eastAsia="Arial"/>
                <w:sz w:val="18"/>
              </w:rPr>
              <w:t>48</w:t>
            </w:r>
          </w:p>
        </w:tc>
        <w:tc>
          <w:tcPr>
            <w:tcW w:w="5947" w:type="dxa"/>
            <w:vAlign w:val="center"/>
          </w:tcPr>
          <w:p w14:paraId="581954A2" w14:textId="77777777" w:rsidR="00AB49D0" w:rsidRDefault="00BC7290">
            <w:pPr>
              <w:spacing w:before="20" w:after="20"/>
            </w:pPr>
            <w:r>
              <w:rPr>
                <w:rFonts w:eastAsia="Arial"/>
                <w:sz w:val="18"/>
              </w:rPr>
              <w:t>Quarterly horizon</w:t>
            </w:r>
          </w:p>
        </w:tc>
      </w:tr>
      <w:tr w:rsidR="00AB49D0" w14:paraId="651E8DC1" w14:textId="77777777">
        <w:trPr>
          <w:cantSplit/>
        </w:trPr>
        <w:tc>
          <w:tcPr>
            <w:tcW w:w="1224" w:type="dxa"/>
            <w:vAlign w:val="center"/>
          </w:tcPr>
          <w:p w14:paraId="08EE4213" w14:textId="77777777" w:rsidR="00AB49D0" w:rsidRDefault="00BC7290">
            <w:pPr>
              <w:spacing w:before="20" w:after="20"/>
            </w:pPr>
            <w:r>
              <w:rPr>
                <w:rFonts w:eastAsia="Arial"/>
                <w:i/>
                <w:sz w:val="18"/>
              </w:rPr>
              <w:t>q</w:t>
            </w:r>
            <w:r>
              <w:rPr>
                <w:rFonts w:eastAsia="Arial"/>
                <w:i/>
                <w:sz w:val="18"/>
                <w:vertAlign w:val="subscript"/>
              </w:rPr>
              <w:t>0</w:t>
            </w:r>
          </w:p>
        </w:tc>
        <w:tc>
          <w:tcPr>
            <w:tcW w:w="1037" w:type="dxa"/>
            <w:vAlign w:val="center"/>
          </w:tcPr>
          <w:p w14:paraId="37698D6C" w14:textId="77777777" w:rsidR="00AB49D0" w:rsidRDefault="00BC7290">
            <w:pPr>
              <w:spacing w:before="20" w:after="20"/>
              <w:jc w:val="center"/>
            </w:pPr>
            <w:r>
              <w:rPr>
                <w:rFonts w:eastAsia="Arial"/>
                <w:sz w:val="18"/>
              </w:rPr>
              <w:t>0.25</w:t>
            </w:r>
          </w:p>
        </w:tc>
        <w:tc>
          <w:tcPr>
            <w:tcW w:w="5947" w:type="dxa"/>
            <w:vAlign w:val="center"/>
          </w:tcPr>
          <w:p w14:paraId="67633CC0" w14:textId="77777777" w:rsidR="00AB49D0" w:rsidRDefault="00BC7290">
            <w:pPr>
              <w:spacing w:before="20" w:after="20"/>
            </w:pPr>
            <w:r>
              <w:rPr>
                <w:rFonts w:eastAsia="Arial"/>
                <w:sz w:val="18"/>
              </w:rPr>
              <w:t>Initial verification debt</w:t>
            </w:r>
          </w:p>
        </w:tc>
      </w:tr>
      <w:tr w:rsidR="00AB49D0" w14:paraId="2053863D" w14:textId="77777777">
        <w:trPr>
          <w:cantSplit/>
        </w:trPr>
        <w:tc>
          <w:tcPr>
            <w:tcW w:w="1224" w:type="dxa"/>
            <w:vAlign w:val="center"/>
          </w:tcPr>
          <w:p w14:paraId="6031168E" w14:textId="77777777" w:rsidR="00AB49D0" w:rsidRDefault="00BC7290">
            <w:pPr>
              <w:spacing w:before="20" w:after="20"/>
            </w:pPr>
            <w:r>
              <w:rPr>
                <w:rFonts w:eastAsia="Arial"/>
                <w:i/>
                <w:sz w:val="18"/>
              </w:rPr>
              <w:t>h</w:t>
            </w:r>
            <w:r>
              <w:rPr>
                <w:rFonts w:eastAsia="Arial"/>
                <w:i/>
                <w:sz w:val="18"/>
                <w:vertAlign w:val="subscript"/>
              </w:rPr>
              <w:t>0</w:t>
            </w:r>
          </w:p>
        </w:tc>
        <w:tc>
          <w:tcPr>
            <w:tcW w:w="1037" w:type="dxa"/>
            <w:vAlign w:val="center"/>
          </w:tcPr>
          <w:p w14:paraId="563B1F93" w14:textId="77777777" w:rsidR="00AB49D0" w:rsidRDefault="00BC7290">
            <w:pPr>
              <w:spacing w:before="20" w:after="20"/>
              <w:jc w:val="center"/>
            </w:pPr>
            <w:r>
              <w:rPr>
                <w:rFonts w:eastAsia="Arial"/>
                <w:sz w:val="18"/>
              </w:rPr>
              <w:t>0.85</w:t>
            </w:r>
          </w:p>
        </w:tc>
        <w:tc>
          <w:tcPr>
            <w:tcW w:w="5947" w:type="dxa"/>
            <w:vAlign w:val="center"/>
          </w:tcPr>
          <w:p w14:paraId="35372A03" w14:textId="77777777" w:rsidR="00AB49D0" w:rsidRDefault="00BC7290">
            <w:pPr>
              <w:spacing w:before="20" w:after="20"/>
            </w:pPr>
            <w:r>
              <w:rPr>
                <w:rFonts w:eastAsia="Arial"/>
                <w:sz w:val="18"/>
              </w:rPr>
              <w:t>Initial human oversight capability</w:t>
            </w:r>
          </w:p>
        </w:tc>
      </w:tr>
      <w:tr w:rsidR="00AB49D0" w14:paraId="46EC2A33" w14:textId="77777777">
        <w:trPr>
          <w:cantSplit/>
        </w:trPr>
        <w:tc>
          <w:tcPr>
            <w:tcW w:w="1224" w:type="dxa"/>
            <w:vAlign w:val="center"/>
          </w:tcPr>
          <w:p w14:paraId="3F51A123" w14:textId="77777777" w:rsidR="00AB49D0" w:rsidRDefault="00BC7290">
            <w:pPr>
              <w:spacing w:before="20" w:after="20"/>
            </w:pPr>
            <w:r>
              <w:rPr>
                <w:rFonts w:eastAsia="Arial"/>
                <w:i/>
                <w:sz w:val="18"/>
              </w:rPr>
              <w:lastRenderedPageBreak/>
              <w:t>μ</w:t>
            </w:r>
            <w:r>
              <w:rPr>
                <w:rFonts w:eastAsia="Arial"/>
                <w:i/>
                <w:sz w:val="18"/>
                <w:vertAlign w:val="subscript"/>
              </w:rPr>
              <w:t>0</w:t>
            </w:r>
          </w:p>
        </w:tc>
        <w:tc>
          <w:tcPr>
            <w:tcW w:w="1037" w:type="dxa"/>
            <w:vAlign w:val="center"/>
          </w:tcPr>
          <w:p w14:paraId="399F806D" w14:textId="77777777" w:rsidR="00AB49D0" w:rsidRDefault="00BC7290">
            <w:pPr>
              <w:spacing w:before="20" w:after="20"/>
              <w:jc w:val="center"/>
            </w:pPr>
            <w:r>
              <w:rPr>
                <w:rFonts w:eastAsia="Arial"/>
                <w:sz w:val="18"/>
              </w:rPr>
              <w:t>8.00</w:t>
            </w:r>
          </w:p>
        </w:tc>
        <w:tc>
          <w:tcPr>
            <w:tcW w:w="5947" w:type="dxa"/>
            <w:vAlign w:val="center"/>
          </w:tcPr>
          <w:p w14:paraId="370E9EBB" w14:textId="77777777" w:rsidR="00AB49D0" w:rsidRDefault="00BC7290">
            <w:pPr>
              <w:spacing w:before="20" w:after="20"/>
            </w:pPr>
            <w:r>
              <w:rPr>
                <w:rFonts w:eastAsia="Arial"/>
                <w:sz w:val="18"/>
              </w:rPr>
              <w:t>Baseline operating surplus</w:t>
            </w:r>
          </w:p>
        </w:tc>
      </w:tr>
      <w:tr w:rsidR="00AB49D0" w14:paraId="3BD9376D" w14:textId="77777777">
        <w:trPr>
          <w:cantSplit/>
        </w:trPr>
        <w:tc>
          <w:tcPr>
            <w:tcW w:w="1224" w:type="dxa"/>
            <w:vAlign w:val="center"/>
          </w:tcPr>
          <w:p w14:paraId="6D1BBE31" w14:textId="77777777" w:rsidR="00AB49D0" w:rsidRDefault="00BC7290">
            <w:pPr>
              <w:spacing w:before="20" w:after="20"/>
            </w:pPr>
            <w:r>
              <w:rPr>
                <w:rFonts w:eastAsia="Arial"/>
                <w:i/>
                <w:sz w:val="18"/>
              </w:rPr>
              <w:t>α</w:t>
            </w:r>
          </w:p>
        </w:tc>
        <w:tc>
          <w:tcPr>
            <w:tcW w:w="1037" w:type="dxa"/>
            <w:vAlign w:val="center"/>
          </w:tcPr>
          <w:p w14:paraId="5C5C4B92" w14:textId="77777777" w:rsidR="00AB49D0" w:rsidRDefault="00BC7290">
            <w:pPr>
              <w:spacing w:before="20" w:after="20"/>
              <w:jc w:val="center"/>
            </w:pPr>
            <w:r>
              <w:rPr>
                <w:rFonts w:eastAsia="Arial"/>
                <w:sz w:val="18"/>
              </w:rPr>
              <w:t>5.00</w:t>
            </w:r>
          </w:p>
        </w:tc>
        <w:tc>
          <w:tcPr>
            <w:tcW w:w="5947" w:type="dxa"/>
            <w:vAlign w:val="center"/>
          </w:tcPr>
          <w:p w14:paraId="5BCBFDEC" w14:textId="77777777" w:rsidR="00AB49D0" w:rsidRDefault="00BC7290">
            <w:pPr>
              <w:spacing w:before="20" w:after="20"/>
            </w:pPr>
            <w:r>
              <w:rPr>
                <w:rFonts w:eastAsia="Arial"/>
                <w:sz w:val="18"/>
              </w:rPr>
              <w:t>Direct automation productivity</w:t>
            </w:r>
          </w:p>
        </w:tc>
      </w:tr>
      <w:tr w:rsidR="00AB49D0" w14:paraId="6233A340" w14:textId="77777777">
        <w:trPr>
          <w:cantSplit/>
        </w:trPr>
        <w:tc>
          <w:tcPr>
            <w:tcW w:w="1224" w:type="dxa"/>
            <w:vAlign w:val="center"/>
          </w:tcPr>
          <w:p w14:paraId="173031A2" w14:textId="77777777" w:rsidR="00AB49D0" w:rsidRDefault="00BC7290">
            <w:pPr>
              <w:spacing w:before="20" w:after="20"/>
            </w:pPr>
            <w:r>
              <w:rPr>
                <w:rFonts w:eastAsia="Arial"/>
                <w:i/>
                <w:sz w:val="18"/>
              </w:rPr>
              <w:t>β</w:t>
            </w:r>
          </w:p>
        </w:tc>
        <w:tc>
          <w:tcPr>
            <w:tcW w:w="1037" w:type="dxa"/>
            <w:vAlign w:val="center"/>
          </w:tcPr>
          <w:p w14:paraId="2EECCFF2" w14:textId="77777777" w:rsidR="00AB49D0" w:rsidRDefault="00BC7290">
            <w:pPr>
              <w:spacing w:before="20" w:after="20"/>
              <w:jc w:val="center"/>
            </w:pPr>
            <w:r>
              <w:rPr>
                <w:rFonts w:eastAsia="Arial"/>
                <w:sz w:val="18"/>
              </w:rPr>
              <w:t>3.00</w:t>
            </w:r>
          </w:p>
        </w:tc>
        <w:tc>
          <w:tcPr>
            <w:tcW w:w="5947" w:type="dxa"/>
            <w:vAlign w:val="center"/>
          </w:tcPr>
          <w:p w14:paraId="4DF24451" w14:textId="77777777" w:rsidR="00AB49D0" w:rsidRDefault="00BC7290">
            <w:pPr>
              <w:spacing w:before="20" w:after="20"/>
            </w:pPr>
            <w:r>
              <w:rPr>
                <w:rFonts w:eastAsia="Arial"/>
                <w:sz w:val="18"/>
              </w:rPr>
              <w:t>Automation-human complementarity</w:t>
            </w:r>
          </w:p>
        </w:tc>
      </w:tr>
      <w:tr w:rsidR="00AB49D0" w14:paraId="6BE2D0F3" w14:textId="77777777">
        <w:trPr>
          <w:cantSplit/>
        </w:trPr>
        <w:tc>
          <w:tcPr>
            <w:tcW w:w="1224" w:type="dxa"/>
            <w:vAlign w:val="center"/>
          </w:tcPr>
          <w:p w14:paraId="720AC78E" w14:textId="77777777" w:rsidR="00AB49D0" w:rsidRDefault="00BC7290">
            <w:pPr>
              <w:spacing w:before="20" w:after="20"/>
            </w:pPr>
            <w:r>
              <w:rPr>
                <w:rFonts w:eastAsia="Arial"/>
                <w:i/>
                <w:sz w:val="18"/>
              </w:rPr>
              <w:t>γ</w:t>
            </w:r>
          </w:p>
        </w:tc>
        <w:tc>
          <w:tcPr>
            <w:tcW w:w="1037" w:type="dxa"/>
            <w:vAlign w:val="center"/>
          </w:tcPr>
          <w:p w14:paraId="229695B6" w14:textId="77777777" w:rsidR="00AB49D0" w:rsidRDefault="00BC7290">
            <w:pPr>
              <w:spacing w:before="20" w:after="20"/>
              <w:jc w:val="center"/>
            </w:pPr>
            <w:r>
              <w:rPr>
                <w:rFonts w:eastAsia="Arial"/>
                <w:sz w:val="18"/>
              </w:rPr>
              <w:t>1.70</w:t>
            </w:r>
          </w:p>
        </w:tc>
        <w:tc>
          <w:tcPr>
            <w:tcW w:w="5947" w:type="dxa"/>
            <w:vAlign w:val="center"/>
          </w:tcPr>
          <w:p w14:paraId="05FA3C2A" w14:textId="77777777" w:rsidR="00AB49D0" w:rsidRDefault="00BC7290">
            <w:pPr>
              <w:spacing w:before="20" w:after="20"/>
            </w:pPr>
            <w:r>
              <w:rPr>
                <w:rFonts w:eastAsia="Arial"/>
                <w:sz w:val="18"/>
              </w:rPr>
              <w:t>Assurance-enabled scalability</w:t>
            </w:r>
          </w:p>
        </w:tc>
      </w:tr>
      <w:tr w:rsidR="00AB49D0" w14:paraId="5DFC9392" w14:textId="77777777">
        <w:trPr>
          <w:cantSplit/>
        </w:trPr>
        <w:tc>
          <w:tcPr>
            <w:tcW w:w="1224" w:type="dxa"/>
            <w:vAlign w:val="center"/>
          </w:tcPr>
          <w:p w14:paraId="7776F53B" w14:textId="77777777" w:rsidR="00AB49D0" w:rsidRDefault="00BC7290">
            <w:pPr>
              <w:spacing w:before="20" w:after="20"/>
            </w:pPr>
            <w:r>
              <w:rPr>
                <w:rFonts w:eastAsia="Arial"/>
                <w:i/>
                <w:sz w:val="18"/>
              </w:rPr>
              <w:t>κ</w:t>
            </w:r>
            <w:r>
              <w:rPr>
                <w:rFonts w:eastAsia="Arial"/>
                <w:i/>
                <w:sz w:val="18"/>
                <w:vertAlign w:val="subscript"/>
              </w:rPr>
              <w:t>a</w:t>
            </w:r>
          </w:p>
        </w:tc>
        <w:tc>
          <w:tcPr>
            <w:tcW w:w="1037" w:type="dxa"/>
            <w:vAlign w:val="center"/>
          </w:tcPr>
          <w:p w14:paraId="29AADB7C" w14:textId="77777777" w:rsidR="00AB49D0" w:rsidRDefault="00BC7290">
            <w:pPr>
              <w:spacing w:before="20" w:after="20"/>
              <w:jc w:val="center"/>
            </w:pPr>
            <w:r>
              <w:rPr>
                <w:rFonts w:eastAsia="Arial"/>
                <w:sz w:val="18"/>
              </w:rPr>
              <w:t>9.00</w:t>
            </w:r>
          </w:p>
        </w:tc>
        <w:tc>
          <w:tcPr>
            <w:tcW w:w="5947" w:type="dxa"/>
            <w:vAlign w:val="center"/>
          </w:tcPr>
          <w:p w14:paraId="1AB2F20D" w14:textId="77777777" w:rsidR="00AB49D0" w:rsidRDefault="00BC7290">
            <w:pPr>
              <w:spacing w:before="20" w:after="20"/>
            </w:pPr>
            <w:r>
              <w:rPr>
                <w:rFonts w:eastAsia="Arial"/>
                <w:sz w:val="18"/>
              </w:rPr>
              <w:t>Convex automation cost</w:t>
            </w:r>
          </w:p>
        </w:tc>
      </w:tr>
      <w:tr w:rsidR="00AB49D0" w14:paraId="0BB068F1" w14:textId="77777777">
        <w:trPr>
          <w:cantSplit/>
        </w:trPr>
        <w:tc>
          <w:tcPr>
            <w:tcW w:w="1224" w:type="dxa"/>
            <w:vAlign w:val="center"/>
          </w:tcPr>
          <w:p w14:paraId="3DB62061" w14:textId="77777777" w:rsidR="00AB49D0" w:rsidRDefault="00BC7290">
            <w:pPr>
              <w:spacing w:before="20" w:after="20"/>
            </w:pPr>
            <w:r>
              <w:rPr>
                <w:rFonts w:eastAsia="Arial"/>
                <w:i/>
                <w:sz w:val="18"/>
              </w:rPr>
              <w:t>κ</w:t>
            </w:r>
            <w:r>
              <w:rPr>
                <w:rFonts w:eastAsia="Arial"/>
                <w:i/>
                <w:sz w:val="18"/>
                <w:vertAlign w:val="subscript"/>
              </w:rPr>
              <w:t>v</w:t>
            </w:r>
          </w:p>
        </w:tc>
        <w:tc>
          <w:tcPr>
            <w:tcW w:w="1037" w:type="dxa"/>
            <w:vAlign w:val="center"/>
          </w:tcPr>
          <w:p w14:paraId="0F050900" w14:textId="77777777" w:rsidR="00AB49D0" w:rsidRDefault="00BC7290">
            <w:pPr>
              <w:spacing w:before="20" w:after="20"/>
              <w:jc w:val="center"/>
            </w:pPr>
            <w:r>
              <w:rPr>
                <w:rFonts w:eastAsia="Arial"/>
                <w:sz w:val="18"/>
              </w:rPr>
              <w:t>5.20</w:t>
            </w:r>
          </w:p>
        </w:tc>
        <w:tc>
          <w:tcPr>
            <w:tcW w:w="5947" w:type="dxa"/>
            <w:vAlign w:val="center"/>
          </w:tcPr>
          <w:p w14:paraId="4F36FDB8" w14:textId="77777777" w:rsidR="00AB49D0" w:rsidRDefault="00BC7290">
            <w:pPr>
              <w:spacing w:before="20" w:after="20"/>
            </w:pPr>
            <w:r>
              <w:rPr>
                <w:rFonts w:eastAsia="Arial"/>
                <w:sz w:val="18"/>
              </w:rPr>
              <w:t>Convex verification cost</w:t>
            </w:r>
          </w:p>
        </w:tc>
      </w:tr>
      <w:tr w:rsidR="00AB49D0" w14:paraId="3A9BE167" w14:textId="77777777">
        <w:trPr>
          <w:cantSplit/>
        </w:trPr>
        <w:tc>
          <w:tcPr>
            <w:tcW w:w="1224" w:type="dxa"/>
            <w:vAlign w:val="center"/>
          </w:tcPr>
          <w:p w14:paraId="09B6AB03" w14:textId="77777777" w:rsidR="00AB49D0" w:rsidRDefault="00BC7290">
            <w:pPr>
              <w:spacing w:before="20" w:after="20"/>
            </w:pPr>
            <w:r>
              <w:rPr>
                <w:rFonts w:eastAsia="Arial"/>
                <w:i/>
                <w:sz w:val="18"/>
              </w:rPr>
              <w:t>c</w:t>
            </w:r>
            <w:r>
              <w:rPr>
                <w:rFonts w:eastAsia="Arial"/>
                <w:i/>
                <w:sz w:val="18"/>
                <w:vertAlign w:val="subscript"/>
              </w:rPr>
              <w:t>q</w:t>
            </w:r>
          </w:p>
        </w:tc>
        <w:tc>
          <w:tcPr>
            <w:tcW w:w="1037" w:type="dxa"/>
            <w:vAlign w:val="center"/>
          </w:tcPr>
          <w:p w14:paraId="3FCB542D" w14:textId="77777777" w:rsidR="00AB49D0" w:rsidRDefault="00BC7290">
            <w:pPr>
              <w:spacing w:before="20" w:after="20"/>
              <w:jc w:val="center"/>
            </w:pPr>
            <w:r>
              <w:rPr>
                <w:rFonts w:eastAsia="Arial"/>
                <w:sz w:val="18"/>
              </w:rPr>
              <w:t>0.55</w:t>
            </w:r>
          </w:p>
        </w:tc>
        <w:tc>
          <w:tcPr>
            <w:tcW w:w="5947" w:type="dxa"/>
            <w:vAlign w:val="center"/>
          </w:tcPr>
          <w:p w14:paraId="76692420" w14:textId="77777777" w:rsidR="00AB49D0" w:rsidRDefault="00BC7290">
            <w:pPr>
              <w:spacing w:before="20" w:after="20"/>
            </w:pPr>
            <w:r>
              <w:rPr>
                <w:rFonts w:eastAsia="Arial"/>
                <w:sz w:val="18"/>
              </w:rPr>
              <w:t>Operating cost of verification debt</w:t>
            </w:r>
          </w:p>
        </w:tc>
      </w:tr>
      <w:tr w:rsidR="00AB49D0" w14:paraId="00560187" w14:textId="77777777">
        <w:trPr>
          <w:cantSplit/>
        </w:trPr>
        <w:tc>
          <w:tcPr>
            <w:tcW w:w="1224" w:type="dxa"/>
            <w:vAlign w:val="center"/>
          </w:tcPr>
          <w:p w14:paraId="0922F6FA" w14:textId="77777777" w:rsidR="00AB49D0" w:rsidRDefault="00BC7290">
            <w:pPr>
              <w:spacing w:before="20" w:after="20"/>
            </w:pPr>
            <w:r>
              <w:rPr>
                <w:rFonts w:eastAsia="Arial"/>
                <w:i/>
                <w:sz w:val="18"/>
              </w:rPr>
              <w:t>c</w:t>
            </w:r>
            <w:r>
              <w:rPr>
                <w:rFonts w:eastAsia="Arial"/>
                <w:i/>
                <w:sz w:val="18"/>
                <w:vertAlign w:val="subscript"/>
              </w:rPr>
              <w:t>x</w:t>
            </w:r>
          </w:p>
        </w:tc>
        <w:tc>
          <w:tcPr>
            <w:tcW w:w="1037" w:type="dxa"/>
            <w:vAlign w:val="center"/>
          </w:tcPr>
          <w:p w14:paraId="1D697E09" w14:textId="77777777" w:rsidR="00AB49D0" w:rsidRDefault="00BC7290">
            <w:pPr>
              <w:spacing w:before="20" w:after="20"/>
              <w:jc w:val="center"/>
            </w:pPr>
            <w:r>
              <w:rPr>
                <w:rFonts w:eastAsia="Arial"/>
                <w:sz w:val="18"/>
              </w:rPr>
              <w:t>0.70</w:t>
            </w:r>
          </w:p>
        </w:tc>
        <w:tc>
          <w:tcPr>
            <w:tcW w:w="5947" w:type="dxa"/>
            <w:vAlign w:val="center"/>
          </w:tcPr>
          <w:p w14:paraId="7314CEFF" w14:textId="77777777" w:rsidR="00AB49D0" w:rsidRDefault="00BC7290">
            <w:pPr>
              <w:spacing w:before="20" w:after="20"/>
            </w:pPr>
            <w:r>
              <w:rPr>
                <w:rFonts w:eastAsia="Arial"/>
                <w:sz w:val="18"/>
              </w:rPr>
              <w:t>Cost of verifying automated surface</w:t>
            </w:r>
          </w:p>
        </w:tc>
      </w:tr>
      <w:tr w:rsidR="00AB49D0" w14:paraId="4D6829AD" w14:textId="77777777">
        <w:trPr>
          <w:cantSplit/>
        </w:trPr>
        <w:tc>
          <w:tcPr>
            <w:tcW w:w="1224" w:type="dxa"/>
            <w:vAlign w:val="center"/>
          </w:tcPr>
          <w:p w14:paraId="7E85594D" w14:textId="77777777" w:rsidR="00AB49D0" w:rsidRDefault="00BC7290">
            <w:pPr>
              <w:spacing w:before="20" w:after="20"/>
            </w:pPr>
            <w:r>
              <w:rPr>
                <w:rFonts w:eastAsia="Arial"/>
                <w:i/>
                <w:sz w:val="18"/>
              </w:rPr>
              <w:t>φ</w:t>
            </w:r>
          </w:p>
        </w:tc>
        <w:tc>
          <w:tcPr>
            <w:tcW w:w="1037" w:type="dxa"/>
            <w:vAlign w:val="center"/>
          </w:tcPr>
          <w:p w14:paraId="5CBFE731" w14:textId="77777777" w:rsidR="00AB49D0" w:rsidRDefault="00BC7290">
            <w:pPr>
              <w:spacing w:before="20" w:after="20"/>
              <w:jc w:val="center"/>
            </w:pPr>
            <w:r>
              <w:rPr>
                <w:rFonts w:eastAsia="Arial"/>
                <w:sz w:val="18"/>
              </w:rPr>
              <w:t>0.42</w:t>
            </w:r>
          </w:p>
        </w:tc>
        <w:tc>
          <w:tcPr>
            <w:tcW w:w="5947" w:type="dxa"/>
            <w:vAlign w:val="center"/>
          </w:tcPr>
          <w:p w14:paraId="49153391" w14:textId="77777777" w:rsidR="00AB49D0" w:rsidRDefault="00BC7290">
            <w:pPr>
              <w:spacing w:before="20" w:after="20"/>
            </w:pPr>
            <w:r>
              <w:rPr>
                <w:rFonts w:eastAsia="Arial"/>
                <w:sz w:val="18"/>
              </w:rPr>
              <w:t>Verification-debt creation rate</w:t>
            </w:r>
          </w:p>
        </w:tc>
      </w:tr>
      <w:tr w:rsidR="00AB49D0" w14:paraId="2CA3E248" w14:textId="77777777">
        <w:trPr>
          <w:cantSplit/>
        </w:trPr>
        <w:tc>
          <w:tcPr>
            <w:tcW w:w="1224" w:type="dxa"/>
            <w:vAlign w:val="center"/>
          </w:tcPr>
          <w:p w14:paraId="3013B02F" w14:textId="77777777" w:rsidR="00AB49D0" w:rsidRDefault="00BC7290">
            <w:pPr>
              <w:spacing w:before="20" w:after="20"/>
            </w:pPr>
            <w:r>
              <w:rPr>
                <w:rFonts w:eastAsia="Arial"/>
                <w:i/>
                <w:sz w:val="18"/>
              </w:rPr>
              <w:t>ψ</w:t>
            </w:r>
          </w:p>
        </w:tc>
        <w:tc>
          <w:tcPr>
            <w:tcW w:w="1037" w:type="dxa"/>
            <w:vAlign w:val="center"/>
          </w:tcPr>
          <w:p w14:paraId="7E5AC8D9" w14:textId="77777777" w:rsidR="00AB49D0" w:rsidRDefault="00BC7290">
            <w:pPr>
              <w:spacing w:before="20" w:after="20"/>
              <w:jc w:val="center"/>
            </w:pPr>
            <w:r>
              <w:rPr>
                <w:rFonts w:eastAsia="Arial"/>
                <w:sz w:val="18"/>
              </w:rPr>
              <w:t>0.48</w:t>
            </w:r>
          </w:p>
        </w:tc>
        <w:tc>
          <w:tcPr>
            <w:tcW w:w="5947" w:type="dxa"/>
            <w:vAlign w:val="center"/>
          </w:tcPr>
          <w:p w14:paraId="7BD81B7F" w14:textId="77777777" w:rsidR="00AB49D0" w:rsidRDefault="00BC7290">
            <w:pPr>
              <w:spacing w:before="20" w:after="20"/>
            </w:pPr>
            <w:r>
              <w:rPr>
                <w:rFonts w:eastAsia="Arial"/>
                <w:sz w:val="18"/>
              </w:rPr>
              <w:t>Verification-debt clearance rate</w:t>
            </w:r>
          </w:p>
        </w:tc>
      </w:tr>
      <w:tr w:rsidR="00AB49D0" w14:paraId="072241CE" w14:textId="77777777">
        <w:trPr>
          <w:cantSplit/>
        </w:trPr>
        <w:tc>
          <w:tcPr>
            <w:tcW w:w="1224" w:type="dxa"/>
            <w:vAlign w:val="center"/>
          </w:tcPr>
          <w:p w14:paraId="262CA379" w14:textId="77777777" w:rsidR="00AB49D0" w:rsidRDefault="00BC7290">
            <w:pPr>
              <w:spacing w:before="20" w:after="20"/>
            </w:pPr>
            <w:r>
              <w:rPr>
                <w:rFonts w:eastAsia="Arial"/>
                <w:i/>
                <w:sz w:val="18"/>
              </w:rPr>
              <w:t>δ</w:t>
            </w:r>
            <w:r>
              <w:rPr>
                <w:rFonts w:eastAsia="Arial"/>
                <w:i/>
                <w:sz w:val="18"/>
                <w:vertAlign w:val="subscript"/>
              </w:rPr>
              <w:t>q</w:t>
            </w:r>
          </w:p>
        </w:tc>
        <w:tc>
          <w:tcPr>
            <w:tcW w:w="1037" w:type="dxa"/>
            <w:vAlign w:val="center"/>
          </w:tcPr>
          <w:p w14:paraId="19881F18" w14:textId="77777777" w:rsidR="00AB49D0" w:rsidRDefault="00BC7290">
            <w:pPr>
              <w:spacing w:before="20" w:after="20"/>
              <w:jc w:val="center"/>
            </w:pPr>
            <w:r>
              <w:rPr>
                <w:rFonts w:eastAsia="Arial"/>
                <w:sz w:val="18"/>
              </w:rPr>
              <w:t>0.18</w:t>
            </w:r>
          </w:p>
        </w:tc>
        <w:tc>
          <w:tcPr>
            <w:tcW w:w="5947" w:type="dxa"/>
            <w:vAlign w:val="center"/>
          </w:tcPr>
          <w:p w14:paraId="161D8FCC" w14:textId="77777777" w:rsidR="00AB49D0" w:rsidRDefault="00BC7290">
            <w:pPr>
              <w:spacing w:before="20" w:after="20"/>
            </w:pPr>
            <w:r>
              <w:rPr>
                <w:rFonts w:eastAsia="Arial"/>
                <w:sz w:val="18"/>
              </w:rPr>
              <w:t>Passive debt decay rate</w:t>
            </w:r>
          </w:p>
        </w:tc>
      </w:tr>
      <w:tr w:rsidR="00AB49D0" w14:paraId="5510558B" w14:textId="77777777">
        <w:trPr>
          <w:cantSplit/>
        </w:trPr>
        <w:tc>
          <w:tcPr>
            <w:tcW w:w="1224" w:type="dxa"/>
            <w:vAlign w:val="center"/>
          </w:tcPr>
          <w:p w14:paraId="48433442" w14:textId="77777777" w:rsidR="00AB49D0" w:rsidRDefault="00BC7290">
            <w:pPr>
              <w:spacing w:before="20" w:after="20"/>
            </w:pPr>
            <w:r>
              <w:rPr>
                <w:rFonts w:eastAsia="Arial"/>
                <w:i/>
                <w:sz w:val="18"/>
              </w:rPr>
              <w:t>ρ</w:t>
            </w:r>
            <w:r>
              <w:rPr>
                <w:rFonts w:eastAsia="Arial"/>
                <w:i/>
                <w:sz w:val="18"/>
                <w:vertAlign w:val="subscript"/>
              </w:rPr>
              <w:t>v</w:t>
            </w:r>
          </w:p>
        </w:tc>
        <w:tc>
          <w:tcPr>
            <w:tcW w:w="1037" w:type="dxa"/>
            <w:vAlign w:val="center"/>
          </w:tcPr>
          <w:p w14:paraId="55389933" w14:textId="77777777" w:rsidR="00AB49D0" w:rsidRDefault="00BC7290">
            <w:pPr>
              <w:spacing w:before="20" w:after="20"/>
              <w:jc w:val="center"/>
            </w:pPr>
            <w:r>
              <w:rPr>
                <w:rFonts w:eastAsia="Arial"/>
                <w:sz w:val="18"/>
              </w:rPr>
              <w:t>0.10</w:t>
            </w:r>
          </w:p>
        </w:tc>
        <w:tc>
          <w:tcPr>
            <w:tcW w:w="5947" w:type="dxa"/>
            <w:vAlign w:val="center"/>
          </w:tcPr>
          <w:p w14:paraId="775A0F78" w14:textId="77777777" w:rsidR="00AB49D0" w:rsidRDefault="00BC7290">
            <w:pPr>
              <w:spacing w:before="20" w:after="20"/>
            </w:pPr>
            <w:r>
              <w:rPr>
                <w:rFonts w:eastAsia="Arial"/>
                <w:sz w:val="18"/>
              </w:rPr>
              <w:t>Verification-supported capability renewal</w:t>
            </w:r>
          </w:p>
        </w:tc>
      </w:tr>
      <w:tr w:rsidR="00AB49D0" w14:paraId="5BB5B40A" w14:textId="77777777">
        <w:trPr>
          <w:cantSplit/>
        </w:trPr>
        <w:tc>
          <w:tcPr>
            <w:tcW w:w="1224" w:type="dxa"/>
            <w:vAlign w:val="center"/>
          </w:tcPr>
          <w:p w14:paraId="6EAEA583" w14:textId="77777777" w:rsidR="00AB49D0" w:rsidRDefault="00BC7290">
            <w:pPr>
              <w:spacing w:before="20" w:after="20"/>
            </w:pPr>
            <w:r>
              <w:rPr>
                <w:rFonts w:eastAsia="Arial"/>
                <w:i/>
                <w:sz w:val="18"/>
              </w:rPr>
              <w:t>ρ</w:t>
            </w:r>
            <w:r>
              <w:rPr>
                <w:rFonts w:eastAsia="Arial"/>
                <w:i/>
                <w:sz w:val="18"/>
                <w:vertAlign w:val="subscript"/>
              </w:rPr>
              <w:t>a</w:t>
            </w:r>
          </w:p>
        </w:tc>
        <w:tc>
          <w:tcPr>
            <w:tcW w:w="1037" w:type="dxa"/>
            <w:vAlign w:val="center"/>
          </w:tcPr>
          <w:p w14:paraId="3D1081A2" w14:textId="77777777" w:rsidR="00AB49D0" w:rsidRDefault="00BC7290">
            <w:pPr>
              <w:spacing w:before="20" w:after="20"/>
              <w:jc w:val="center"/>
            </w:pPr>
            <w:r>
              <w:rPr>
                <w:rFonts w:eastAsia="Arial"/>
                <w:sz w:val="18"/>
              </w:rPr>
              <w:t>0.07</w:t>
            </w:r>
          </w:p>
        </w:tc>
        <w:tc>
          <w:tcPr>
            <w:tcW w:w="5947" w:type="dxa"/>
            <w:vAlign w:val="center"/>
          </w:tcPr>
          <w:p w14:paraId="3D4A052F" w14:textId="77777777" w:rsidR="00AB49D0" w:rsidRDefault="00BC7290">
            <w:pPr>
              <w:spacing w:before="20" w:after="20"/>
            </w:pPr>
            <w:r>
              <w:rPr>
                <w:rFonts w:eastAsia="Arial"/>
                <w:sz w:val="18"/>
              </w:rPr>
              <w:t>Capability erosion under weakly verified automation</w:t>
            </w:r>
          </w:p>
        </w:tc>
      </w:tr>
      <w:tr w:rsidR="00AB49D0" w14:paraId="1869F084" w14:textId="77777777">
        <w:trPr>
          <w:cantSplit/>
        </w:trPr>
        <w:tc>
          <w:tcPr>
            <w:tcW w:w="1224" w:type="dxa"/>
            <w:vAlign w:val="center"/>
          </w:tcPr>
          <w:p w14:paraId="64C8C6E9" w14:textId="77777777" w:rsidR="00AB49D0" w:rsidRDefault="00BC7290">
            <w:pPr>
              <w:spacing w:before="20" w:after="20"/>
            </w:pPr>
            <w:r>
              <w:rPr>
                <w:rFonts w:eastAsia="Arial"/>
                <w:i/>
                <w:sz w:val="18"/>
              </w:rPr>
              <w:t>θ</w:t>
            </w:r>
            <w:r>
              <w:rPr>
                <w:rFonts w:eastAsia="Arial"/>
                <w:i/>
                <w:sz w:val="18"/>
                <w:vertAlign w:val="subscript"/>
              </w:rPr>
              <w:t>0</w:t>
            </w:r>
          </w:p>
        </w:tc>
        <w:tc>
          <w:tcPr>
            <w:tcW w:w="1037" w:type="dxa"/>
            <w:vAlign w:val="center"/>
          </w:tcPr>
          <w:p w14:paraId="0583CC56" w14:textId="77777777" w:rsidR="00AB49D0" w:rsidRDefault="00BC7290">
            <w:pPr>
              <w:spacing w:before="20" w:after="20"/>
              <w:jc w:val="center"/>
            </w:pPr>
            <w:r>
              <w:rPr>
                <w:rFonts w:eastAsia="Arial"/>
                <w:sz w:val="18"/>
              </w:rPr>
              <w:t>-5.60</w:t>
            </w:r>
          </w:p>
        </w:tc>
        <w:tc>
          <w:tcPr>
            <w:tcW w:w="5947" w:type="dxa"/>
            <w:vAlign w:val="center"/>
          </w:tcPr>
          <w:p w14:paraId="2C42C41A" w14:textId="77777777" w:rsidR="00AB49D0" w:rsidRDefault="00BC7290">
            <w:pPr>
              <w:spacing w:before="20" w:after="20"/>
            </w:pPr>
            <w:r>
              <w:rPr>
                <w:rFonts w:eastAsia="Arial"/>
                <w:sz w:val="18"/>
              </w:rPr>
              <w:t>Baseline logit intercept</w:t>
            </w:r>
          </w:p>
        </w:tc>
      </w:tr>
      <w:tr w:rsidR="00AB49D0" w14:paraId="20172BA5" w14:textId="77777777">
        <w:trPr>
          <w:cantSplit/>
        </w:trPr>
        <w:tc>
          <w:tcPr>
            <w:tcW w:w="1224" w:type="dxa"/>
            <w:vAlign w:val="center"/>
          </w:tcPr>
          <w:p w14:paraId="333CADFA" w14:textId="77777777" w:rsidR="00AB49D0" w:rsidRDefault="00BC7290">
            <w:pPr>
              <w:spacing w:before="20" w:after="20"/>
            </w:pPr>
            <w:r>
              <w:rPr>
                <w:rFonts w:eastAsia="Arial"/>
                <w:i/>
                <w:sz w:val="18"/>
              </w:rPr>
              <w:t>θ</w:t>
            </w:r>
            <w:r>
              <w:rPr>
                <w:rFonts w:eastAsia="Arial"/>
                <w:i/>
                <w:sz w:val="18"/>
                <w:vertAlign w:val="subscript"/>
              </w:rPr>
              <w:t>q</w:t>
            </w:r>
          </w:p>
        </w:tc>
        <w:tc>
          <w:tcPr>
            <w:tcW w:w="1037" w:type="dxa"/>
            <w:vAlign w:val="center"/>
          </w:tcPr>
          <w:p w14:paraId="39EB283D" w14:textId="77777777" w:rsidR="00AB49D0" w:rsidRDefault="00BC7290">
            <w:pPr>
              <w:spacing w:before="20" w:after="20"/>
              <w:jc w:val="center"/>
            </w:pPr>
            <w:r>
              <w:rPr>
                <w:rFonts w:eastAsia="Arial"/>
                <w:sz w:val="18"/>
              </w:rPr>
              <w:t>0.75</w:t>
            </w:r>
          </w:p>
        </w:tc>
        <w:tc>
          <w:tcPr>
            <w:tcW w:w="5947" w:type="dxa"/>
            <w:vAlign w:val="center"/>
          </w:tcPr>
          <w:p w14:paraId="0D736C87" w14:textId="77777777" w:rsidR="00AB49D0" w:rsidRDefault="00BC7290">
            <w:pPr>
              <w:spacing w:before="20" w:after="20"/>
            </w:pPr>
            <w:r>
              <w:rPr>
                <w:rFonts w:eastAsia="Arial"/>
                <w:sz w:val="18"/>
              </w:rPr>
              <w:t>Verification-debt risk coefficient</w:t>
            </w:r>
          </w:p>
        </w:tc>
      </w:tr>
      <w:tr w:rsidR="00AB49D0" w14:paraId="13E626E5" w14:textId="77777777">
        <w:trPr>
          <w:cantSplit/>
        </w:trPr>
        <w:tc>
          <w:tcPr>
            <w:tcW w:w="1224" w:type="dxa"/>
            <w:vAlign w:val="center"/>
          </w:tcPr>
          <w:p w14:paraId="33F2200D" w14:textId="77777777" w:rsidR="00AB49D0" w:rsidRDefault="00BC7290">
            <w:pPr>
              <w:spacing w:before="20" w:after="20"/>
            </w:pPr>
            <w:r>
              <w:rPr>
                <w:rFonts w:eastAsia="Arial"/>
                <w:i/>
                <w:sz w:val="18"/>
              </w:rPr>
              <w:t>θ</w:t>
            </w:r>
            <w:r>
              <w:rPr>
                <w:rFonts w:eastAsia="Arial"/>
                <w:i/>
                <w:sz w:val="18"/>
                <w:vertAlign w:val="subscript"/>
              </w:rPr>
              <w:t>u</w:t>
            </w:r>
          </w:p>
        </w:tc>
        <w:tc>
          <w:tcPr>
            <w:tcW w:w="1037" w:type="dxa"/>
            <w:vAlign w:val="center"/>
          </w:tcPr>
          <w:p w14:paraId="6AC454A8" w14:textId="77777777" w:rsidR="00AB49D0" w:rsidRDefault="00BC7290">
            <w:pPr>
              <w:spacing w:before="20" w:after="20"/>
              <w:jc w:val="center"/>
            </w:pPr>
            <w:r>
              <w:rPr>
                <w:rFonts w:eastAsia="Arial"/>
                <w:sz w:val="18"/>
              </w:rPr>
              <w:t>0.55</w:t>
            </w:r>
          </w:p>
        </w:tc>
        <w:tc>
          <w:tcPr>
            <w:tcW w:w="5947" w:type="dxa"/>
            <w:vAlign w:val="center"/>
          </w:tcPr>
          <w:p w14:paraId="08F0AB3E" w14:textId="77777777" w:rsidR="00AB49D0" w:rsidRDefault="00BC7290">
            <w:pPr>
              <w:spacing w:before="20" w:after="20"/>
            </w:pPr>
            <w:r>
              <w:rPr>
                <w:rFonts w:eastAsia="Arial"/>
                <w:sz w:val="18"/>
              </w:rPr>
              <w:t>Uncertainty-risk coefficient</w:t>
            </w:r>
          </w:p>
        </w:tc>
      </w:tr>
      <w:tr w:rsidR="00AB49D0" w14:paraId="7FCEE846" w14:textId="77777777">
        <w:trPr>
          <w:cantSplit/>
        </w:trPr>
        <w:tc>
          <w:tcPr>
            <w:tcW w:w="1224" w:type="dxa"/>
            <w:vAlign w:val="center"/>
          </w:tcPr>
          <w:p w14:paraId="7F6EC999" w14:textId="77777777" w:rsidR="00AB49D0" w:rsidRDefault="00BC7290">
            <w:pPr>
              <w:spacing w:before="20" w:after="20"/>
            </w:pPr>
            <w:r>
              <w:rPr>
                <w:rFonts w:eastAsia="Arial"/>
                <w:i/>
                <w:sz w:val="18"/>
              </w:rPr>
              <w:t>θ</w:t>
            </w:r>
            <w:r>
              <w:rPr>
                <w:rFonts w:eastAsia="Arial"/>
                <w:i/>
                <w:sz w:val="18"/>
                <w:vertAlign w:val="subscript"/>
              </w:rPr>
              <w:t>a</w:t>
            </w:r>
          </w:p>
        </w:tc>
        <w:tc>
          <w:tcPr>
            <w:tcW w:w="1037" w:type="dxa"/>
            <w:vAlign w:val="center"/>
          </w:tcPr>
          <w:p w14:paraId="5838EB71" w14:textId="77777777" w:rsidR="00AB49D0" w:rsidRDefault="00BC7290">
            <w:pPr>
              <w:spacing w:before="20" w:after="20"/>
              <w:jc w:val="center"/>
            </w:pPr>
            <w:r>
              <w:rPr>
                <w:rFonts w:eastAsia="Arial"/>
                <w:sz w:val="18"/>
              </w:rPr>
              <w:t>1.40</w:t>
            </w:r>
          </w:p>
        </w:tc>
        <w:tc>
          <w:tcPr>
            <w:tcW w:w="5947" w:type="dxa"/>
            <w:vAlign w:val="center"/>
          </w:tcPr>
          <w:p w14:paraId="1AAD2771" w14:textId="77777777" w:rsidR="00AB49D0" w:rsidRDefault="00BC7290">
            <w:pPr>
              <w:spacing w:before="20" w:after="20"/>
            </w:pPr>
            <w:r>
              <w:rPr>
                <w:rFonts w:eastAsia="Arial"/>
                <w:sz w:val="18"/>
              </w:rPr>
              <w:t>Direct automation-risk coefficient</w:t>
            </w:r>
          </w:p>
        </w:tc>
      </w:tr>
      <w:tr w:rsidR="00AB49D0" w14:paraId="75CE2B88" w14:textId="77777777">
        <w:trPr>
          <w:cantSplit/>
        </w:trPr>
        <w:tc>
          <w:tcPr>
            <w:tcW w:w="1224" w:type="dxa"/>
            <w:vAlign w:val="center"/>
          </w:tcPr>
          <w:p w14:paraId="3FB1B78C" w14:textId="77777777" w:rsidR="00AB49D0" w:rsidRDefault="00BC7290">
            <w:pPr>
              <w:spacing w:before="20" w:after="20"/>
            </w:pPr>
            <w:r>
              <w:rPr>
                <w:rFonts w:eastAsia="Arial"/>
                <w:i/>
                <w:sz w:val="18"/>
              </w:rPr>
              <w:t>θ</w:t>
            </w:r>
            <w:r>
              <w:rPr>
                <w:rFonts w:eastAsia="Arial"/>
                <w:i/>
                <w:sz w:val="18"/>
                <w:vertAlign w:val="subscript"/>
              </w:rPr>
              <w:t>av</w:t>
            </w:r>
          </w:p>
        </w:tc>
        <w:tc>
          <w:tcPr>
            <w:tcW w:w="1037" w:type="dxa"/>
            <w:vAlign w:val="center"/>
          </w:tcPr>
          <w:p w14:paraId="1FDB41EA" w14:textId="77777777" w:rsidR="00AB49D0" w:rsidRDefault="00BC7290">
            <w:pPr>
              <w:spacing w:before="20" w:after="20"/>
              <w:jc w:val="center"/>
            </w:pPr>
            <w:r>
              <w:rPr>
                <w:rFonts w:eastAsia="Arial"/>
                <w:sz w:val="18"/>
              </w:rPr>
              <w:t>2.60</w:t>
            </w:r>
          </w:p>
        </w:tc>
        <w:tc>
          <w:tcPr>
            <w:tcW w:w="5947" w:type="dxa"/>
            <w:vAlign w:val="center"/>
          </w:tcPr>
          <w:p w14:paraId="397C6F7F" w14:textId="77777777" w:rsidR="00AB49D0" w:rsidRDefault="00BC7290">
            <w:pPr>
              <w:spacing w:before="20" w:after="20"/>
            </w:pPr>
            <w:r>
              <w:rPr>
                <w:rFonts w:eastAsia="Arial"/>
                <w:sz w:val="18"/>
              </w:rPr>
              <w:t>Automation-verification risk offset</w:t>
            </w:r>
          </w:p>
        </w:tc>
      </w:tr>
      <w:tr w:rsidR="00AB49D0" w14:paraId="0E142FD0" w14:textId="77777777">
        <w:trPr>
          <w:cantSplit/>
        </w:trPr>
        <w:tc>
          <w:tcPr>
            <w:tcW w:w="1224" w:type="dxa"/>
            <w:vAlign w:val="center"/>
          </w:tcPr>
          <w:p w14:paraId="0168FCCB" w14:textId="77777777" w:rsidR="00AB49D0" w:rsidRDefault="00BC7290">
            <w:pPr>
              <w:spacing w:before="20" w:after="20"/>
            </w:pPr>
            <w:r>
              <w:rPr>
                <w:rFonts w:eastAsia="Arial"/>
                <w:i/>
                <w:sz w:val="18"/>
              </w:rPr>
              <w:t>θ</w:t>
            </w:r>
            <w:r>
              <w:rPr>
                <w:rFonts w:eastAsia="Arial"/>
                <w:i/>
                <w:sz w:val="18"/>
                <w:vertAlign w:val="subscript"/>
              </w:rPr>
              <w:t>h</w:t>
            </w:r>
          </w:p>
        </w:tc>
        <w:tc>
          <w:tcPr>
            <w:tcW w:w="1037" w:type="dxa"/>
            <w:vAlign w:val="center"/>
          </w:tcPr>
          <w:p w14:paraId="33B698F1" w14:textId="77777777" w:rsidR="00AB49D0" w:rsidRDefault="00BC7290">
            <w:pPr>
              <w:spacing w:before="20" w:after="20"/>
              <w:jc w:val="center"/>
            </w:pPr>
            <w:r>
              <w:rPr>
                <w:rFonts w:eastAsia="Arial"/>
                <w:sz w:val="18"/>
              </w:rPr>
              <w:t>0.90</w:t>
            </w:r>
          </w:p>
        </w:tc>
        <w:tc>
          <w:tcPr>
            <w:tcW w:w="5947" w:type="dxa"/>
            <w:vAlign w:val="center"/>
          </w:tcPr>
          <w:p w14:paraId="7F161AEF" w14:textId="77777777" w:rsidR="00AB49D0" w:rsidRDefault="00BC7290">
            <w:pPr>
              <w:spacing w:before="20" w:after="20"/>
            </w:pPr>
            <w:r>
              <w:rPr>
                <w:rFonts w:eastAsia="Arial"/>
                <w:sz w:val="18"/>
              </w:rPr>
              <w:t>Human capability risk reduction</w:t>
            </w:r>
          </w:p>
        </w:tc>
      </w:tr>
      <w:tr w:rsidR="00AB49D0" w14:paraId="73018691" w14:textId="77777777">
        <w:trPr>
          <w:cantSplit/>
        </w:trPr>
        <w:tc>
          <w:tcPr>
            <w:tcW w:w="1224" w:type="dxa"/>
            <w:vAlign w:val="center"/>
          </w:tcPr>
          <w:p w14:paraId="377AE680" w14:textId="77777777" w:rsidR="00AB49D0" w:rsidRDefault="00BC7290">
            <w:pPr>
              <w:spacing w:before="20" w:after="20"/>
            </w:pPr>
            <w:r>
              <w:rPr>
                <w:rFonts w:eastAsia="Arial"/>
                <w:i/>
                <w:sz w:val="18"/>
              </w:rPr>
              <w:t>ρ</w:t>
            </w:r>
            <w:r>
              <w:rPr>
                <w:rFonts w:eastAsia="Arial"/>
                <w:i/>
                <w:sz w:val="18"/>
                <w:vertAlign w:val="subscript"/>
              </w:rPr>
              <w:t>x</w:t>
            </w:r>
          </w:p>
        </w:tc>
        <w:tc>
          <w:tcPr>
            <w:tcW w:w="1037" w:type="dxa"/>
            <w:vAlign w:val="center"/>
          </w:tcPr>
          <w:p w14:paraId="00E98F3A" w14:textId="77777777" w:rsidR="00AB49D0" w:rsidRDefault="00BC7290">
            <w:pPr>
              <w:spacing w:before="20" w:after="20"/>
              <w:jc w:val="center"/>
            </w:pPr>
            <w:r>
              <w:rPr>
                <w:rFonts w:eastAsia="Arial"/>
                <w:sz w:val="18"/>
              </w:rPr>
              <w:t>0.65</w:t>
            </w:r>
          </w:p>
        </w:tc>
        <w:tc>
          <w:tcPr>
            <w:tcW w:w="5947" w:type="dxa"/>
            <w:vAlign w:val="center"/>
          </w:tcPr>
          <w:p w14:paraId="1B284591" w14:textId="77777777" w:rsidR="00AB49D0" w:rsidRDefault="00BC7290">
            <w:pPr>
              <w:spacing w:before="20" w:after="20"/>
            </w:pPr>
            <w:r>
              <w:rPr>
                <w:rFonts w:eastAsia="Arial"/>
                <w:sz w:val="18"/>
              </w:rPr>
              <w:t>Uncertainty persistence</w:t>
            </w:r>
          </w:p>
        </w:tc>
      </w:tr>
      <w:tr w:rsidR="00AB49D0" w14:paraId="2EF4CE08" w14:textId="77777777">
        <w:trPr>
          <w:cantSplit/>
        </w:trPr>
        <w:tc>
          <w:tcPr>
            <w:tcW w:w="1224" w:type="dxa"/>
            <w:vAlign w:val="center"/>
          </w:tcPr>
          <w:p w14:paraId="1C946B8A" w14:textId="77777777" w:rsidR="00AB49D0" w:rsidRDefault="00BC7290">
            <w:pPr>
              <w:spacing w:before="20" w:after="20"/>
            </w:pPr>
            <w:r>
              <w:rPr>
                <w:rFonts w:eastAsia="Arial"/>
                <w:i/>
                <w:sz w:val="18"/>
              </w:rPr>
              <w:t>σ</w:t>
            </w:r>
            <w:r>
              <w:rPr>
                <w:rFonts w:eastAsia="Arial"/>
                <w:i/>
                <w:sz w:val="18"/>
                <w:vertAlign w:val="subscript"/>
              </w:rPr>
              <w:t>x</w:t>
            </w:r>
          </w:p>
        </w:tc>
        <w:tc>
          <w:tcPr>
            <w:tcW w:w="1037" w:type="dxa"/>
            <w:vAlign w:val="center"/>
          </w:tcPr>
          <w:p w14:paraId="04EE5CEF" w14:textId="77777777" w:rsidR="00AB49D0" w:rsidRDefault="00BC7290">
            <w:pPr>
              <w:spacing w:before="20" w:after="20"/>
              <w:jc w:val="center"/>
            </w:pPr>
            <w:r>
              <w:rPr>
                <w:rFonts w:eastAsia="Arial"/>
                <w:sz w:val="18"/>
              </w:rPr>
              <w:t>0.35</w:t>
            </w:r>
          </w:p>
        </w:tc>
        <w:tc>
          <w:tcPr>
            <w:tcW w:w="5947" w:type="dxa"/>
            <w:vAlign w:val="center"/>
          </w:tcPr>
          <w:p w14:paraId="47700175" w14:textId="77777777" w:rsidR="00AB49D0" w:rsidRDefault="00BC7290">
            <w:pPr>
              <w:spacing w:before="20" w:after="20"/>
            </w:pPr>
            <w:r>
              <w:rPr>
                <w:rFonts w:eastAsia="Arial"/>
                <w:sz w:val="18"/>
              </w:rPr>
              <w:t>Uncertainty innovation scale</w:t>
            </w:r>
          </w:p>
        </w:tc>
      </w:tr>
      <w:tr w:rsidR="00AB49D0" w14:paraId="5945DD54" w14:textId="77777777">
        <w:trPr>
          <w:cantSplit/>
        </w:trPr>
        <w:tc>
          <w:tcPr>
            <w:tcW w:w="1224" w:type="dxa"/>
            <w:vAlign w:val="center"/>
          </w:tcPr>
          <w:p w14:paraId="0090CB4C" w14:textId="77777777" w:rsidR="00AB49D0" w:rsidRDefault="00BC7290">
            <w:pPr>
              <w:spacing w:before="20" w:after="20"/>
            </w:pPr>
            <w:r>
              <w:rPr>
                <w:rFonts w:eastAsia="Arial"/>
                <w:i/>
                <w:sz w:val="18"/>
              </w:rPr>
              <w:t>σ</w:t>
            </w:r>
            <w:r>
              <w:rPr>
                <w:rFonts w:eastAsia="Arial"/>
                <w:i/>
                <w:sz w:val="18"/>
                <w:vertAlign w:val="subscript"/>
              </w:rPr>
              <w:t>ε</w:t>
            </w:r>
          </w:p>
        </w:tc>
        <w:tc>
          <w:tcPr>
            <w:tcW w:w="1037" w:type="dxa"/>
            <w:vAlign w:val="center"/>
          </w:tcPr>
          <w:p w14:paraId="4DD3D389" w14:textId="77777777" w:rsidR="00AB49D0" w:rsidRDefault="00BC7290">
            <w:pPr>
              <w:spacing w:before="20" w:after="20"/>
              <w:jc w:val="center"/>
            </w:pPr>
            <w:r>
              <w:rPr>
                <w:rFonts w:eastAsia="Arial"/>
                <w:sz w:val="18"/>
              </w:rPr>
              <w:t>0.70</w:t>
            </w:r>
          </w:p>
        </w:tc>
        <w:tc>
          <w:tcPr>
            <w:tcW w:w="5947" w:type="dxa"/>
            <w:vAlign w:val="center"/>
          </w:tcPr>
          <w:p w14:paraId="52672010" w14:textId="77777777" w:rsidR="00AB49D0" w:rsidRDefault="00BC7290">
            <w:pPr>
              <w:spacing w:before="20" w:after="20"/>
            </w:pPr>
            <w:r>
              <w:rPr>
                <w:rFonts w:eastAsia="Arial"/>
                <w:sz w:val="18"/>
              </w:rPr>
              <w:t>Operating-surplus shock scale</w:t>
            </w:r>
          </w:p>
        </w:tc>
      </w:tr>
      <w:tr w:rsidR="00AB49D0" w14:paraId="42420299" w14:textId="77777777">
        <w:trPr>
          <w:cantSplit/>
        </w:trPr>
        <w:tc>
          <w:tcPr>
            <w:tcW w:w="1224" w:type="dxa"/>
            <w:vAlign w:val="center"/>
          </w:tcPr>
          <w:p w14:paraId="6848BF59" w14:textId="77777777" w:rsidR="00AB49D0" w:rsidRDefault="00BC7290">
            <w:pPr>
              <w:spacing w:before="20" w:after="20"/>
            </w:pPr>
            <w:r>
              <w:rPr>
                <w:rFonts w:eastAsia="Arial"/>
                <w:i/>
                <w:sz w:val="18"/>
              </w:rPr>
              <w:t>r</w:t>
            </w:r>
            <w:r>
              <w:rPr>
                <w:rFonts w:eastAsia="Arial"/>
                <w:i/>
                <w:sz w:val="18"/>
                <w:vertAlign w:val="subscript"/>
              </w:rPr>
              <w:t>f</w:t>
            </w:r>
          </w:p>
        </w:tc>
        <w:tc>
          <w:tcPr>
            <w:tcW w:w="1037" w:type="dxa"/>
            <w:vAlign w:val="center"/>
          </w:tcPr>
          <w:p w14:paraId="49E19F62" w14:textId="77777777" w:rsidR="00AB49D0" w:rsidRDefault="00BC7290">
            <w:pPr>
              <w:spacing w:before="20" w:after="20"/>
              <w:jc w:val="center"/>
            </w:pPr>
            <w:r>
              <w:rPr>
                <w:rFonts w:eastAsia="Arial"/>
                <w:sz w:val="18"/>
              </w:rPr>
              <w:t>0.008</w:t>
            </w:r>
          </w:p>
        </w:tc>
        <w:tc>
          <w:tcPr>
            <w:tcW w:w="5947" w:type="dxa"/>
            <w:vAlign w:val="center"/>
          </w:tcPr>
          <w:p w14:paraId="6FAC5B93" w14:textId="77777777" w:rsidR="00AB49D0" w:rsidRDefault="00BC7290">
            <w:pPr>
              <w:spacing w:before="20" w:after="20"/>
            </w:pPr>
            <w:r>
              <w:rPr>
                <w:rFonts w:eastAsia="Arial"/>
                <w:sz w:val="18"/>
              </w:rPr>
              <w:t>Quarterly risk-free rate</w:t>
            </w:r>
          </w:p>
        </w:tc>
      </w:tr>
      <w:tr w:rsidR="00AB49D0" w14:paraId="0E864077" w14:textId="77777777">
        <w:trPr>
          <w:cantSplit/>
        </w:trPr>
        <w:tc>
          <w:tcPr>
            <w:tcW w:w="1224" w:type="dxa"/>
            <w:vAlign w:val="center"/>
          </w:tcPr>
          <w:p w14:paraId="796A8C82" w14:textId="77777777" w:rsidR="00AB49D0" w:rsidRDefault="00BC7290">
            <w:pPr>
              <w:spacing w:before="20" w:after="20"/>
            </w:pPr>
            <w:r>
              <w:rPr>
                <w:rFonts w:eastAsia="Arial"/>
                <w:i/>
                <w:sz w:val="18"/>
              </w:rPr>
              <w:t>λ</w:t>
            </w:r>
          </w:p>
        </w:tc>
        <w:tc>
          <w:tcPr>
            <w:tcW w:w="1037" w:type="dxa"/>
            <w:vAlign w:val="center"/>
          </w:tcPr>
          <w:p w14:paraId="079D4AC5" w14:textId="77777777" w:rsidR="00AB49D0" w:rsidRDefault="00BC7290">
            <w:pPr>
              <w:spacing w:before="20" w:after="20"/>
              <w:jc w:val="center"/>
            </w:pPr>
            <w:r>
              <w:rPr>
                <w:rFonts w:eastAsia="Arial"/>
                <w:sz w:val="18"/>
              </w:rPr>
              <w:t>0.60</w:t>
            </w:r>
          </w:p>
        </w:tc>
        <w:tc>
          <w:tcPr>
            <w:tcW w:w="5947" w:type="dxa"/>
            <w:vAlign w:val="center"/>
          </w:tcPr>
          <w:p w14:paraId="384A1EA4" w14:textId="77777777" w:rsidR="00AB49D0" w:rsidRDefault="00BC7290">
            <w:pPr>
              <w:spacing w:before="20" w:after="20"/>
            </w:pPr>
            <w:r>
              <w:rPr>
                <w:rFonts w:eastAsia="Arial"/>
                <w:sz w:val="18"/>
              </w:rPr>
              <w:t>Creditor loss fraction in priced adverse state</w:t>
            </w:r>
          </w:p>
        </w:tc>
      </w:tr>
      <w:tr w:rsidR="00AB49D0" w14:paraId="25799DB3" w14:textId="77777777">
        <w:trPr>
          <w:cantSplit/>
        </w:trPr>
        <w:tc>
          <w:tcPr>
            <w:tcW w:w="1224" w:type="dxa"/>
            <w:vAlign w:val="center"/>
          </w:tcPr>
          <w:p w14:paraId="4F63C243" w14:textId="77777777" w:rsidR="00AB49D0" w:rsidRDefault="00BC7290">
            <w:pPr>
              <w:spacing w:before="20" w:after="20"/>
            </w:pPr>
            <w:r>
              <w:rPr>
                <w:rFonts w:eastAsia="Arial"/>
                <w:i/>
                <w:sz w:val="18"/>
              </w:rPr>
              <w:t>B̄</w:t>
            </w:r>
          </w:p>
        </w:tc>
        <w:tc>
          <w:tcPr>
            <w:tcW w:w="1037" w:type="dxa"/>
            <w:vAlign w:val="center"/>
          </w:tcPr>
          <w:p w14:paraId="4120648C" w14:textId="77777777" w:rsidR="00AB49D0" w:rsidRDefault="00BC7290">
            <w:pPr>
              <w:spacing w:before="20" w:after="20"/>
              <w:jc w:val="center"/>
            </w:pPr>
            <w:r>
              <w:rPr>
                <w:rFonts w:eastAsia="Arial"/>
                <w:sz w:val="18"/>
              </w:rPr>
              <w:t>12.00</w:t>
            </w:r>
          </w:p>
        </w:tc>
        <w:tc>
          <w:tcPr>
            <w:tcW w:w="5947" w:type="dxa"/>
            <w:vAlign w:val="center"/>
          </w:tcPr>
          <w:p w14:paraId="12BE3165" w14:textId="77777777" w:rsidR="00AB49D0" w:rsidRDefault="00BC7290">
            <w:pPr>
              <w:spacing w:before="20" w:after="20"/>
            </w:pPr>
            <w:r>
              <w:rPr>
                <w:rFonts w:eastAsia="Arial"/>
                <w:sz w:val="18"/>
              </w:rPr>
              <w:t>Debt-scale parameter</w:t>
            </w:r>
          </w:p>
        </w:tc>
      </w:tr>
      <w:tr w:rsidR="00AB49D0" w14:paraId="484B67DE" w14:textId="77777777">
        <w:trPr>
          <w:cantSplit/>
        </w:trPr>
        <w:tc>
          <w:tcPr>
            <w:tcW w:w="1224" w:type="dxa"/>
            <w:vAlign w:val="center"/>
          </w:tcPr>
          <w:p w14:paraId="45A3A3BC" w14:textId="77777777" w:rsidR="00AB49D0" w:rsidRDefault="00BC7290">
            <w:pPr>
              <w:spacing w:before="20" w:after="20"/>
            </w:pPr>
            <w:r>
              <w:rPr>
                <w:rFonts w:eastAsia="Arial"/>
                <w:i/>
                <w:sz w:val="18"/>
              </w:rPr>
              <w:t>ω</w:t>
            </w:r>
          </w:p>
        </w:tc>
        <w:tc>
          <w:tcPr>
            <w:tcW w:w="1037" w:type="dxa"/>
            <w:vAlign w:val="center"/>
          </w:tcPr>
          <w:p w14:paraId="31CD369E" w14:textId="77777777" w:rsidR="00AB49D0" w:rsidRDefault="00BC7290">
            <w:pPr>
              <w:spacing w:before="20" w:after="20"/>
              <w:jc w:val="center"/>
            </w:pPr>
            <w:r>
              <w:rPr>
                <w:rFonts w:eastAsia="Arial"/>
                <w:sz w:val="18"/>
              </w:rPr>
              <w:t>0.55</w:t>
            </w:r>
          </w:p>
        </w:tc>
        <w:tc>
          <w:tcPr>
            <w:tcW w:w="5947" w:type="dxa"/>
            <w:vAlign w:val="center"/>
          </w:tcPr>
          <w:p w14:paraId="28B524A4" w14:textId="77777777" w:rsidR="00AB49D0" w:rsidRDefault="00BC7290">
            <w:pPr>
              <w:spacing w:before="20" w:after="20"/>
            </w:pPr>
            <w:r>
              <w:rPr>
                <w:rFonts w:eastAsia="Arial"/>
                <w:sz w:val="18"/>
              </w:rPr>
              <w:t>Baseline financing intensity, so B = B̄ω</w:t>
            </w:r>
          </w:p>
        </w:tc>
      </w:tr>
      <w:tr w:rsidR="00AB49D0" w14:paraId="1DAC233A" w14:textId="77777777">
        <w:trPr>
          <w:cantSplit/>
        </w:trPr>
        <w:tc>
          <w:tcPr>
            <w:tcW w:w="1224" w:type="dxa"/>
            <w:vAlign w:val="center"/>
          </w:tcPr>
          <w:p w14:paraId="0FDC83A5" w14:textId="77777777" w:rsidR="00AB49D0" w:rsidRDefault="00BC7290">
            <w:pPr>
              <w:spacing w:before="20" w:after="20"/>
            </w:pPr>
            <w:r>
              <w:rPr>
                <w:rFonts w:eastAsia="Arial"/>
                <w:i/>
                <w:sz w:val="18"/>
              </w:rPr>
              <w:t>ℓ</w:t>
            </w:r>
            <w:r>
              <w:rPr>
                <w:rFonts w:eastAsia="Arial"/>
                <w:i/>
                <w:sz w:val="18"/>
                <w:vertAlign w:val="subscript"/>
              </w:rPr>
              <w:t>0</w:t>
            </w:r>
          </w:p>
        </w:tc>
        <w:tc>
          <w:tcPr>
            <w:tcW w:w="1037" w:type="dxa"/>
            <w:vAlign w:val="center"/>
          </w:tcPr>
          <w:p w14:paraId="19B31C2C" w14:textId="77777777" w:rsidR="00AB49D0" w:rsidRDefault="00BC7290">
            <w:pPr>
              <w:spacing w:before="20" w:after="20"/>
              <w:jc w:val="center"/>
            </w:pPr>
            <w:r>
              <w:rPr>
                <w:rFonts w:eastAsia="Arial"/>
                <w:sz w:val="18"/>
              </w:rPr>
              <w:t>8.00</w:t>
            </w:r>
          </w:p>
        </w:tc>
        <w:tc>
          <w:tcPr>
            <w:tcW w:w="5947" w:type="dxa"/>
            <w:vAlign w:val="center"/>
          </w:tcPr>
          <w:p w14:paraId="074C858D" w14:textId="77777777" w:rsidR="00AB49D0" w:rsidRDefault="00BC7290">
            <w:pPr>
              <w:spacing w:before="20" w:after="20"/>
            </w:pPr>
            <w:r>
              <w:rPr>
                <w:rFonts w:eastAsia="Arial"/>
                <w:sz w:val="18"/>
              </w:rPr>
              <w:t>Mean baseline incident severity</w:t>
            </w:r>
          </w:p>
        </w:tc>
      </w:tr>
      <w:tr w:rsidR="00AB49D0" w14:paraId="1A2E57A9" w14:textId="77777777">
        <w:trPr>
          <w:cantSplit/>
        </w:trPr>
        <w:tc>
          <w:tcPr>
            <w:tcW w:w="1224" w:type="dxa"/>
            <w:vAlign w:val="center"/>
          </w:tcPr>
          <w:p w14:paraId="6FD039F7" w14:textId="77777777" w:rsidR="00AB49D0" w:rsidRDefault="00BC7290">
            <w:pPr>
              <w:spacing w:before="20" w:after="20"/>
            </w:pPr>
            <w:r>
              <w:rPr>
                <w:rFonts w:eastAsia="Arial"/>
                <w:i/>
                <w:sz w:val="18"/>
              </w:rPr>
              <w:t>ξ</w:t>
            </w:r>
          </w:p>
        </w:tc>
        <w:tc>
          <w:tcPr>
            <w:tcW w:w="1037" w:type="dxa"/>
            <w:vAlign w:val="center"/>
          </w:tcPr>
          <w:p w14:paraId="224CA707" w14:textId="77777777" w:rsidR="00AB49D0" w:rsidRDefault="00BC7290">
            <w:pPr>
              <w:spacing w:before="20" w:after="20"/>
              <w:jc w:val="center"/>
            </w:pPr>
            <w:r>
              <w:rPr>
                <w:rFonts w:eastAsia="Arial"/>
                <w:sz w:val="18"/>
              </w:rPr>
              <w:t>0.45</w:t>
            </w:r>
          </w:p>
        </w:tc>
        <w:tc>
          <w:tcPr>
            <w:tcW w:w="5947" w:type="dxa"/>
            <w:vAlign w:val="center"/>
          </w:tcPr>
          <w:p w14:paraId="71B07967" w14:textId="77777777" w:rsidR="00AB49D0" w:rsidRDefault="00BC7290">
            <w:pPr>
              <w:spacing w:before="20" w:after="20"/>
            </w:pPr>
            <w:r>
              <w:rPr>
                <w:rFonts w:eastAsia="Arial"/>
                <w:sz w:val="18"/>
              </w:rPr>
              <w:t>Verification-debt severity multiplier</w:t>
            </w:r>
          </w:p>
        </w:tc>
      </w:tr>
      <w:tr w:rsidR="00AB49D0" w14:paraId="01FD42D2" w14:textId="77777777">
        <w:trPr>
          <w:cantSplit/>
        </w:trPr>
        <w:tc>
          <w:tcPr>
            <w:tcW w:w="1224" w:type="dxa"/>
            <w:vAlign w:val="center"/>
          </w:tcPr>
          <w:p w14:paraId="7EE5AFF4" w14:textId="77777777" w:rsidR="00AB49D0" w:rsidRDefault="00BC7290">
            <w:pPr>
              <w:spacing w:before="20" w:after="20"/>
            </w:pPr>
            <w:r>
              <w:rPr>
                <w:rFonts w:eastAsia="Arial"/>
                <w:i/>
                <w:sz w:val="18"/>
              </w:rPr>
              <w:t>σ</w:t>
            </w:r>
            <w:r>
              <w:rPr>
                <w:rFonts w:eastAsia="Arial"/>
                <w:i/>
                <w:sz w:val="18"/>
                <w:vertAlign w:val="subscript"/>
              </w:rPr>
              <w:t>ℓ</w:t>
            </w:r>
          </w:p>
        </w:tc>
        <w:tc>
          <w:tcPr>
            <w:tcW w:w="1037" w:type="dxa"/>
            <w:vAlign w:val="center"/>
          </w:tcPr>
          <w:p w14:paraId="4C9C215F" w14:textId="77777777" w:rsidR="00AB49D0" w:rsidRDefault="00BC7290">
            <w:pPr>
              <w:spacing w:before="20" w:after="20"/>
              <w:jc w:val="center"/>
            </w:pPr>
            <w:r>
              <w:rPr>
                <w:rFonts w:eastAsia="Arial"/>
                <w:sz w:val="18"/>
              </w:rPr>
              <w:t>0.35</w:t>
            </w:r>
          </w:p>
        </w:tc>
        <w:tc>
          <w:tcPr>
            <w:tcW w:w="5947" w:type="dxa"/>
            <w:vAlign w:val="center"/>
          </w:tcPr>
          <w:p w14:paraId="1CB90B90" w14:textId="77777777" w:rsidR="00AB49D0" w:rsidRDefault="00BC7290">
            <w:pPr>
              <w:spacing w:before="20" w:after="20"/>
            </w:pPr>
            <w:r>
              <w:rPr>
                <w:rFonts w:eastAsia="Arial"/>
                <w:sz w:val="18"/>
              </w:rPr>
              <w:t>Lognormal incident-severity volatility</w:t>
            </w:r>
          </w:p>
        </w:tc>
      </w:tr>
    </w:tbl>
    <w:p w14:paraId="6BF92BE8" w14:textId="77777777" w:rsidR="00AB49D0" w:rsidRDefault="00BC7290">
      <w:pPr>
        <w:jc w:val="both"/>
      </w:pPr>
      <w:r>
        <w:rPr>
          <w:rFonts w:eastAsia="Arial"/>
        </w:rPr>
        <w:t xml:space="preserve">Five stylised fixed policies are compared. Conventional controls use low automation and moderate verification </w:t>
      </w:r>
      <m:oMath>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0.20</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0.45</m:t>
            </m:r>
          </m:e>
        </m:d>
      </m:oMath>
      <w:r>
        <w:rPr>
          <w:rFonts w:eastAsia="Arial"/>
        </w:rPr>
        <w:t xml:space="preserve">. Acceleration-first uses high automation with weak verification </w:t>
      </w:r>
      <m:oMath>
        <m:d>
          <m:dPr>
            <m:ctrlPr>
              <w:rPr>
                <w:rFonts w:ascii="Cambria Math" w:hAnsi="Cambria Math"/>
              </w:rPr>
            </m:ctrlPr>
          </m:dPr>
          <m:e>
            <m:r>
              <w:rPr>
                <w:rFonts w:ascii="Cambria Math" w:hAnsi="Cambria Math"/>
              </w:rPr>
              <m:t>0.90</m:t>
            </m:r>
            <m:r>
              <m:rPr>
                <m:sty m:val="p"/>
              </m:rPr>
              <w:rPr>
                <w:rFonts w:ascii="Cambria Math" w:hAnsi="Cambria Math"/>
              </w:rPr>
              <m:t>,</m:t>
            </m:r>
            <m:r>
              <w:rPr>
                <w:rFonts w:ascii="Cambria Math" w:hAnsi="Cambria Math"/>
              </w:rPr>
              <m:t>0.20</m:t>
            </m:r>
          </m:e>
        </m:d>
      </m:oMath>
      <w:r>
        <w:rPr>
          <w:rFonts w:eastAsia="Arial"/>
        </w:rPr>
        <w:t xml:space="preserve">. Balanced assurance uses moderate-high automation and verification </w:t>
      </w:r>
      <m:oMath>
        <m:d>
          <m:dPr>
            <m:ctrlPr>
              <w:rPr>
                <w:rFonts w:ascii="Cambria Math" w:hAnsi="Cambria Math"/>
              </w:rPr>
            </m:ctrlPr>
          </m:dPr>
          <m:e>
            <m:r>
              <w:rPr>
                <w:rFonts w:ascii="Cambria Math" w:hAnsi="Cambria Math"/>
              </w:rPr>
              <m:t>0.65</m:t>
            </m:r>
            <m:r>
              <m:rPr>
                <m:sty m:val="p"/>
              </m:rPr>
              <w:rPr>
                <w:rFonts w:ascii="Cambria Math" w:hAnsi="Cambria Math"/>
              </w:rPr>
              <m:t>,</m:t>
            </m:r>
            <m:r>
              <w:rPr>
                <w:rFonts w:ascii="Cambria Math" w:hAnsi="Cambria Math"/>
              </w:rPr>
              <m:t>0.65</m:t>
            </m:r>
          </m:e>
        </m:d>
      </m:oMath>
      <w:r>
        <w:rPr>
          <w:rFonts w:eastAsia="Arial"/>
        </w:rPr>
        <w:t xml:space="preserve">. Assurance-scaled automation uses high automation with verification near the analytically relevant threshold </w:t>
      </w:r>
      <m:oMath>
        <m:d>
          <m:dPr>
            <m:ctrlPr>
              <w:rPr>
                <w:rFonts w:ascii="Cambria Math" w:hAnsi="Cambria Math"/>
              </w:rPr>
            </m:ctrlPr>
          </m:dPr>
          <m:e>
            <m:r>
              <w:rPr>
                <w:rFonts w:ascii="Cambria Math" w:hAnsi="Cambria Math"/>
              </w:rPr>
              <m:t>0.85</m:t>
            </m:r>
            <m:r>
              <m:rPr>
                <m:sty m:val="p"/>
              </m:rPr>
              <w:rPr>
                <w:rFonts w:ascii="Cambria Math" w:hAnsi="Cambria Math"/>
              </w:rPr>
              <m:t>,</m:t>
            </m:r>
            <m:r>
              <w:rPr>
                <w:rFonts w:ascii="Cambria Math" w:hAnsi="Cambria Math"/>
              </w:rPr>
              <m:t>0.60</m:t>
            </m:r>
          </m:e>
        </m:d>
      </m:oMath>
      <w:r>
        <w:rPr>
          <w:rFonts w:eastAsia="Arial"/>
        </w:rPr>
        <w:t xml:space="preserve">. Assurance-heavy uses moderate automation and very high verification </w:t>
      </w:r>
      <m:oMath>
        <m:d>
          <m:dPr>
            <m:ctrlPr>
              <w:rPr>
                <w:rFonts w:ascii="Cambria Math" w:hAnsi="Cambria Math"/>
              </w:rPr>
            </m:ctrlPr>
          </m:dPr>
          <m:e>
            <m:r>
              <w:rPr>
                <w:rFonts w:ascii="Cambria Math" w:hAnsi="Cambria Math"/>
              </w:rPr>
              <m:t>0.45</m:t>
            </m:r>
            <m:r>
              <m:rPr>
                <m:sty m:val="p"/>
              </m:rPr>
              <w:rPr>
                <w:rFonts w:ascii="Cambria Math" w:hAnsi="Cambria Math"/>
              </w:rPr>
              <m:t>,</m:t>
            </m:r>
            <m:r>
              <w:rPr>
                <w:rFonts w:ascii="Cambria Math" w:hAnsi="Cambria Math"/>
              </w:rPr>
              <m:t>0.95</m:t>
            </m:r>
          </m:e>
        </m:d>
      </m:oMath>
      <w:r>
        <w:rPr>
          <w:rFonts w:eastAsia="Arial"/>
        </w:rPr>
        <w:t>.</w:t>
      </w:r>
    </w:p>
    <w:p w14:paraId="51165746" w14:textId="77777777" w:rsidR="00AB49D0" w:rsidRDefault="00BC7290">
      <w:pPr>
        <w:keepNext/>
        <w:spacing w:before="120" w:after="60"/>
      </w:pPr>
      <w:bookmarkStart w:id="24" w:name="X2b3b0542b08e1f1dd9cc6d49efaf71da0783427"/>
      <w:bookmarkEnd w:id="23"/>
      <w:r>
        <w:rPr>
          <w:rFonts w:eastAsia="Arial"/>
          <w:b/>
          <w:sz w:val="22"/>
        </w:rPr>
        <w:t>3.11 Computational implementation, reproducibility, and generative artificial intelligence use</w:t>
      </w:r>
    </w:p>
    <w:p w14:paraId="611EE9E0" w14:textId="77777777" w:rsidR="00AB49D0" w:rsidRDefault="00BC7290">
      <w:pPr>
        <w:jc w:val="both"/>
      </w:pPr>
      <w:r>
        <w:rPr>
          <w:rFonts w:eastAsia="Arial"/>
        </w:rPr>
        <w:t xml:space="preserve">The simulation was implemented in Python using NumPy for random-number generation and vectorised state updates, pandas for result tabulation, and Matplotlib for figures. The master random seed was 20260810. The complete baseline parameter set is reported in Table 1 and the equations above; the policy grid spans 0.10 to 0.95 in increments of 0.05 for both </w:t>
      </w:r>
      <m:oMath>
        <m:r>
          <w:rPr>
            <w:rFonts w:ascii="Cambria Math" w:hAnsi="Cambria Math"/>
          </w:rPr>
          <m:t>a</m:t>
        </m:r>
      </m:oMath>
      <w:r>
        <w:rPr>
          <w:rFonts w:eastAsia="Arial"/>
        </w:rPr>
        <w:t xml:space="preserve"> and </w:t>
      </w:r>
      <m:oMath>
        <m:r>
          <w:rPr>
            <w:rFonts w:ascii="Cambria Math" w:hAnsi="Cambria Math"/>
          </w:rPr>
          <m:t>v</m:t>
        </m:r>
      </m:oMath>
      <w:r>
        <w:rPr>
          <w:rFonts w:eastAsia="Arial"/>
        </w:rPr>
        <w:t>. Common random numbers were used for paired policy comparisons and grid evaluations.</w:t>
      </w:r>
    </w:p>
    <w:p w14:paraId="79FF2138" w14:textId="77777777" w:rsidR="00AB49D0" w:rsidRDefault="00BC7290">
      <w:pPr>
        <w:jc w:val="both"/>
      </w:pPr>
      <w:r>
        <w:rPr>
          <w:rFonts w:eastAsia="Arial"/>
        </w:rPr>
        <w:t xml:space="preserve">OpenAI ChatGPT (GPT-5.6 Sol model/version, provided by OpenAI; accessed August 2026) was used as a drafting, coding, language-editing, and formatting assistant during manuscript preparation. It did not provide external empirical observations. Simulation outputs reported in the article were generated from the explicit model and checked against the analytical equations, parameter bounds, convergence behaviour, and independent recomputation of </w:t>
      </w:r>
      <w:r>
        <w:rPr>
          <w:rFonts w:eastAsia="Arial"/>
        </w:rPr>
        <w:lastRenderedPageBreak/>
        <w:t>summary statistics. The author retains responsibility for the final submitted manuscript, consistent with the journal’s artificial intelligence policy.</w:t>
      </w:r>
    </w:p>
    <w:p w14:paraId="4BAA624C" w14:textId="77777777" w:rsidR="00AB49D0" w:rsidRDefault="00BC7290">
      <w:pPr>
        <w:pStyle w:val="Heading1"/>
        <w:spacing w:before="160" w:after="100"/>
      </w:pPr>
      <w:bookmarkStart w:id="25" w:name="results-and-discussion"/>
      <w:bookmarkEnd w:id="12"/>
      <w:bookmarkEnd w:id="24"/>
      <w:commentRangeStart w:id="26"/>
      <w:r>
        <w:rPr>
          <w:rFonts w:eastAsia="Arial"/>
          <w:sz w:val="22"/>
        </w:rPr>
        <w:t>4. RESULTS AND DISCUSSION</w:t>
      </w:r>
      <w:commentRangeEnd w:id="26"/>
      <w:r w:rsidR="00DC23A6">
        <w:rPr>
          <w:rStyle w:val="CommentReference"/>
          <w:sz w:val="28"/>
          <w:szCs w:val="20"/>
        </w:rPr>
        <w:commentReference w:id="26"/>
      </w:r>
    </w:p>
    <w:p w14:paraId="6289C850" w14:textId="77777777" w:rsidR="00AB49D0" w:rsidRDefault="00BC7290">
      <w:pPr>
        <w:keepNext/>
        <w:spacing w:before="120" w:after="60"/>
      </w:pPr>
      <w:bookmarkStart w:id="27" w:name="regime-comparison"/>
      <w:r>
        <w:rPr>
          <w:rFonts w:eastAsia="Arial"/>
          <w:b/>
          <w:sz w:val="22"/>
        </w:rPr>
        <w:t>4.1 Regime comparison</w:t>
      </w:r>
    </w:p>
    <w:p w14:paraId="5AD68292" w14:textId="77777777" w:rsidR="00AB49D0" w:rsidRDefault="00BC7290">
      <w:pPr>
        <w:jc w:val="both"/>
      </w:pPr>
      <w:r>
        <w:rPr>
          <w:rFonts w:eastAsia="Arial"/>
        </w:rPr>
        <w:t>The five-regime experiment produces a clear distinction between task acceleration and financing-adjusted value. Table 2 reports mean discounted firm value with its Monte Carlo standard error in parentheses, average quarterly borrowing premium, mean probability of the priced adverse state, terminal verification debt, and terminal human capability.</w:t>
      </w:r>
    </w:p>
    <w:p w14:paraId="725C0F40" w14:textId="77777777" w:rsidR="00AB49D0" w:rsidRDefault="00BC7290">
      <w:pPr>
        <w:keepNext/>
        <w:spacing w:before="120" w:after="60"/>
      </w:pPr>
      <w:r>
        <w:rPr>
          <w:rFonts w:eastAsia="Arial"/>
          <w:b/>
          <w:bCs/>
        </w:rPr>
        <w:t>Table 2. Outcomes for five stylised management regimes</w:t>
      </w:r>
    </w:p>
    <w:tbl>
      <w:tblPr>
        <w:tblW w:w="8179" w:type="dxa"/>
        <w:tblBorders>
          <w:top w:val="single" w:sz="8" w:space="0" w:color="000000"/>
          <w:left w:val="nil"/>
          <w:bottom w:val="single" w:sz="8" w:space="0" w:color="000000"/>
          <w:right w:val="nil"/>
          <w:insideH w:val="single" w:sz="4" w:space="0" w:color="BFBFBF"/>
          <w:insideV w:val="nil"/>
        </w:tblBorders>
        <w:tblLayout w:type="fixed"/>
        <w:tblLook w:val="04A0" w:firstRow="1" w:lastRow="0" w:firstColumn="1" w:lastColumn="0" w:noHBand="0" w:noVBand="1"/>
      </w:tblPr>
      <w:tblGrid>
        <w:gridCol w:w="1699"/>
        <w:gridCol w:w="1123"/>
        <w:gridCol w:w="1195"/>
        <w:gridCol w:w="1224"/>
        <w:gridCol w:w="1498"/>
        <w:gridCol w:w="720"/>
        <w:gridCol w:w="720"/>
      </w:tblGrid>
      <w:tr w:rsidR="00AB49D0" w14:paraId="479C1713" w14:textId="77777777">
        <w:trPr>
          <w:cantSplit/>
          <w:tblHeader/>
        </w:trPr>
        <w:tc>
          <w:tcPr>
            <w:tcW w:w="1699" w:type="dxa"/>
            <w:vAlign w:val="center"/>
          </w:tcPr>
          <w:p w14:paraId="50C1FFE3" w14:textId="77777777" w:rsidR="00AB49D0" w:rsidRDefault="00BC7290">
            <w:pPr>
              <w:spacing w:before="20" w:after="20"/>
            </w:pPr>
            <w:r>
              <w:rPr>
                <w:rFonts w:eastAsia="Arial"/>
                <w:b/>
                <w:sz w:val="16"/>
              </w:rPr>
              <w:t>Regime</w:t>
            </w:r>
          </w:p>
        </w:tc>
        <w:tc>
          <w:tcPr>
            <w:tcW w:w="1123" w:type="dxa"/>
            <w:vAlign w:val="center"/>
          </w:tcPr>
          <w:p w14:paraId="3D828833" w14:textId="77777777" w:rsidR="00AB49D0" w:rsidRDefault="00BC7290">
            <w:pPr>
              <w:spacing w:before="20" w:after="20"/>
              <w:jc w:val="center"/>
            </w:pPr>
            <w:r>
              <w:rPr>
                <w:rFonts w:eastAsia="Arial"/>
                <w:b/>
                <w:sz w:val="16"/>
              </w:rPr>
              <w:t>Policy (a, v)</w:t>
            </w:r>
          </w:p>
        </w:tc>
        <w:tc>
          <w:tcPr>
            <w:tcW w:w="1195" w:type="dxa"/>
            <w:vAlign w:val="center"/>
          </w:tcPr>
          <w:p w14:paraId="53AFD31C" w14:textId="77777777" w:rsidR="00AB49D0" w:rsidRDefault="00BC7290">
            <w:pPr>
              <w:spacing w:before="20" w:after="20"/>
              <w:jc w:val="center"/>
            </w:pPr>
            <w:r>
              <w:rPr>
                <w:rFonts w:eastAsia="Arial"/>
                <w:b/>
                <w:sz w:val="16"/>
              </w:rPr>
              <w:t>Mean value (MCSE)</w:t>
            </w:r>
          </w:p>
        </w:tc>
        <w:tc>
          <w:tcPr>
            <w:tcW w:w="1224" w:type="dxa"/>
            <w:vAlign w:val="center"/>
          </w:tcPr>
          <w:p w14:paraId="1B42B70F" w14:textId="77777777" w:rsidR="00AB49D0" w:rsidRDefault="00BC7290">
            <w:pPr>
              <w:spacing w:before="20" w:after="20"/>
              <w:jc w:val="center"/>
            </w:pPr>
            <w:r>
              <w:rPr>
                <w:rFonts w:eastAsia="Arial"/>
                <w:b/>
                <w:sz w:val="16"/>
              </w:rPr>
              <w:t>Borrowing premium (bp)</w:t>
            </w:r>
          </w:p>
        </w:tc>
        <w:tc>
          <w:tcPr>
            <w:tcW w:w="1498" w:type="dxa"/>
            <w:vAlign w:val="center"/>
          </w:tcPr>
          <w:p w14:paraId="697584C7" w14:textId="77777777" w:rsidR="00AB49D0" w:rsidRDefault="00BC7290">
            <w:pPr>
              <w:spacing w:before="20" w:after="20"/>
              <w:jc w:val="center"/>
            </w:pPr>
            <w:r>
              <w:rPr>
                <w:rFonts w:eastAsia="Arial"/>
                <w:b/>
                <w:sz w:val="16"/>
              </w:rPr>
              <w:t>Priced adverse-state probability (%)</w:t>
            </w:r>
          </w:p>
        </w:tc>
        <w:tc>
          <w:tcPr>
            <w:tcW w:w="720" w:type="dxa"/>
            <w:vAlign w:val="center"/>
          </w:tcPr>
          <w:p w14:paraId="5C73A753" w14:textId="77777777" w:rsidR="00AB49D0" w:rsidRDefault="00BC7290">
            <w:pPr>
              <w:spacing w:before="20" w:after="20"/>
              <w:jc w:val="center"/>
            </w:pPr>
            <w:r>
              <w:rPr>
                <w:rFonts w:eastAsia="Arial"/>
                <w:b/>
                <w:sz w:val="16"/>
              </w:rPr>
              <w:t>End q</w:t>
            </w:r>
          </w:p>
        </w:tc>
        <w:tc>
          <w:tcPr>
            <w:tcW w:w="720" w:type="dxa"/>
            <w:vAlign w:val="center"/>
          </w:tcPr>
          <w:p w14:paraId="5BE6FD9B" w14:textId="77777777" w:rsidR="00AB49D0" w:rsidRDefault="00BC7290">
            <w:pPr>
              <w:spacing w:before="20" w:after="20"/>
              <w:jc w:val="center"/>
            </w:pPr>
            <w:r>
              <w:rPr>
                <w:rFonts w:eastAsia="Arial"/>
                <w:b/>
                <w:sz w:val="16"/>
              </w:rPr>
              <w:t>End h</w:t>
            </w:r>
          </w:p>
        </w:tc>
      </w:tr>
      <w:tr w:rsidR="00AB49D0" w14:paraId="21CDEF94" w14:textId="77777777">
        <w:trPr>
          <w:cantSplit/>
        </w:trPr>
        <w:tc>
          <w:tcPr>
            <w:tcW w:w="1699" w:type="dxa"/>
            <w:vAlign w:val="center"/>
          </w:tcPr>
          <w:p w14:paraId="4A2DFFBB" w14:textId="77777777" w:rsidR="00AB49D0" w:rsidRDefault="00BC7290">
            <w:pPr>
              <w:spacing w:before="20" w:after="20"/>
            </w:pPr>
            <w:r>
              <w:rPr>
                <w:rFonts w:eastAsia="Arial"/>
                <w:sz w:val="16"/>
              </w:rPr>
              <w:t>Conventional controls</w:t>
            </w:r>
          </w:p>
        </w:tc>
        <w:tc>
          <w:tcPr>
            <w:tcW w:w="1123" w:type="dxa"/>
            <w:vAlign w:val="center"/>
          </w:tcPr>
          <w:p w14:paraId="61B87BE1" w14:textId="77777777" w:rsidR="00AB49D0" w:rsidRDefault="00BC7290">
            <w:pPr>
              <w:spacing w:before="20" w:after="20"/>
              <w:jc w:val="center"/>
            </w:pPr>
            <w:r>
              <w:rPr>
                <w:rFonts w:eastAsia="Arial"/>
                <w:sz w:val="16"/>
              </w:rPr>
              <w:t>(0.20, 0.45)</w:t>
            </w:r>
          </w:p>
        </w:tc>
        <w:tc>
          <w:tcPr>
            <w:tcW w:w="1195" w:type="dxa"/>
            <w:vAlign w:val="center"/>
          </w:tcPr>
          <w:p w14:paraId="7D75437F" w14:textId="77777777" w:rsidR="00AB49D0" w:rsidRDefault="00BC7290">
            <w:pPr>
              <w:spacing w:before="20" w:after="20"/>
              <w:jc w:val="center"/>
            </w:pPr>
            <w:r>
              <w:rPr>
                <w:rFonts w:eastAsia="Arial"/>
                <w:sz w:val="16"/>
              </w:rPr>
              <w:t>352.97 (0.03)</w:t>
            </w:r>
          </w:p>
        </w:tc>
        <w:tc>
          <w:tcPr>
            <w:tcW w:w="1224" w:type="dxa"/>
            <w:vAlign w:val="center"/>
          </w:tcPr>
          <w:p w14:paraId="16AB5A66" w14:textId="77777777" w:rsidR="00AB49D0" w:rsidRDefault="00BC7290">
            <w:pPr>
              <w:spacing w:before="20" w:after="20"/>
              <w:jc w:val="center"/>
            </w:pPr>
            <w:r>
              <w:rPr>
                <w:rFonts w:eastAsia="Arial"/>
                <w:sz w:val="16"/>
              </w:rPr>
              <w:t>12.21</w:t>
            </w:r>
          </w:p>
        </w:tc>
        <w:tc>
          <w:tcPr>
            <w:tcW w:w="1498" w:type="dxa"/>
            <w:vAlign w:val="center"/>
          </w:tcPr>
          <w:p w14:paraId="46B7A6E3" w14:textId="77777777" w:rsidR="00AB49D0" w:rsidRDefault="00BC7290">
            <w:pPr>
              <w:spacing w:before="20" w:after="20"/>
              <w:jc w:val="center"/>
            </w:pPr>
            <w:r>
              <w:rPr>
                <w:rFonts w:eastAsia="Arial"/>
                <w:sz w:val="16"/>
              </w:rPr>
              <w:t>0.202</w:t>
            </w:r>
          </w:p>
        </w:tc>
        <w:tc>
          <w:tcPr>
            <w:tcW w:w="720" w:type="dxa"/>
            <w:vAlign w:val="center"/>
          </w:tcPr>
          <w:p w14:paraId="0E8A3646" w14:textId="77777777" w:rsidR="00AB49D0" w:rsidRDefault="00BC7290">
            <w:pPr>
              <w:spacing w:before="20" w:after="20"/>
              <w:jc w:val="center"/>
            </w:pPr>
            <w:r>
              <w:rPr>
                <w:rFonts w:eastAsia="Arial"/>
                <w:sz w:val="16"/>
              </w:rPr>
              <w:t>0.000</w:t>
            </w:r>
          </w:p>
        </w:tc>
        <w:tc>
          <w:tcPr>
            <w:tcW w:w="720" w:type="dxa"/>
            <w:vAlign w:val="center"/>
          </w:tcPr>
          <w:p w14:paraId="6750CCCE" w14:textId="77777777" w:rsidR="00AB49D0" w:rsidRDefault="00BC7290">
            <w:pPr>
              <w:spacing w:before="20" w:after="20"/>
              <w:jc w:val="center"/>
            </w:pPr>
            <w:r>
              <w:rPr>
                <w:rFonts w:eastAsia="Arial"/>
                <w:sz w:val="16"/>
              </w:rPr>
              <w:t>0.854</w:t>
            </w:r>
          </w:p>
        </w:tc>
      </w:tr>
      <w:tr w:rsidR="00AB49D0" w14:paraId="57A12889" w14:textId="77777777">
        <w:trPr>
          <w:cantSplit/>
        </w:trPr>
        <w:tc>
          <w:tcPr>
            <w:tcW w:w="1699" w:type="dxa"/>
            <w:vAlign w:val="center"/>
          </w:tcPr>
          <w:p w14:paraId="746CB417" w14:textId="77777777" w:rsidR="00AB49D0" w:rsidRDefault="00BC7290">
            <w:pPr>
              <w:spacing w:before="20" w:after="20"/>
            </w:pPr>
            <w:r>
              <w:rPr>
                <w:rFonts w:eastAsia="Arial"/>
                <w:sz w:val="16"/>
              </w:rPr>
              <w:t>Acceleration-first</w:t>
            </w:r>
          </w:p>
        </w:tc>
        <w:tc>
          <w:tcPr>
            <w:tcW w:w="1123" w:type="dxa"/>
            <w:vAlign w:val="center"/>
          </w:tcPr>
          <w:p w14:paraId="0945C075" w14:textId="77777777" w:rsidR="00AB49D0" w:rsidRDefault="00BC7290">
            <w:pPr>
              <w:spacing w:before="20" w:after="20"/>
              <w:jc w:val="center"/>
            </w:pPr>
            <w:r>
              <w:rPr>
                <w:rFonts w:eastAsia="Arial"/>
                <w:sz w:val="16"/>
              </w:rPr>
              <w:t>(0.90, 0.20)</w:t>
            </w:r>
          </w:p>
        </w:tc>
        <w:tc>
          <w:tcPr>
            <w:tcW w:w="1195" w:type="dxa"/>
            <w:vAlign w:val="center"/>
          </w:tcPr>
          <w:p w14:paraId="53F503C5" w14:textId="77777777" w:rsidR="00AB49D0" w:rsidRDefault="00BC7290">
            <w:pPr>
              <w:spacing w:before="20" w:after="20"/>
              <w:jc w:val="center"/>
            </w:pPr>
            <w:r>
              <w:rPr>
                <w:rFonts w:eastAsia="Arial"/>
                <w:sz w:val="16"/>
              </w:rPr>
              <w:t>356.82 (0.10)</w:t>
            </w:r>
          </w:p>
        </w:tc>
        <w:tc>
          <w:tcPr>
            <w:tcW w:w="1224" w:type="dxa"/>
            <w:vAlign w:val="center"/>
          </w:tcPr>
          <w:p w14:paraId="799E9067" w14:textId="77777777" w:rsidR="00AB49D0" w:rsidRDefault="00BC7290">
            <w:pPr>
              <w:spacing w:before="20" w:after="20"/>
              <w:jc w:val="center"/>
            </w:pPr>
            <w:r>
              <w:rPr>
                <w:rFonts w:eastAsia="Arial"/>
                <w:sz w:val="16"/>
              </w:rPr>
              <w:t>130.56</w:t>
            </w:r>
          </w:p>
        </w:tc>
        <w:tc>
          <w:tcPr>
            <w:tcW w:w="1498" w:type="dxa"/>
            <w:vAlign w:val="center"/>
          </w:tcPr>
          <w:p w14:paraId="5316B894" w14:textId="77777777" w:rsidR="00AB49D0" w:rsidRDefault="00BC7290">
            <w:pPr>
              <w:spacing w:before="20" w:after="20"/>
              <w:jc w:val="center"/>
            </w:pPr>
            <w:r>
              <w:rPr>
                <w:rFonts w:eastAsia="Arial"/>
                <w:sz w:val="16"/>
              </w:rPr>
              <w:t>2.125</w:t>
            </w:r>
          </w:p>
        </w:tc>
        <w:tc>
          <w:tcPr>
            <w:tcW w:w="720" w:type="dxa"/>
            <w:vAlign w:val="center"/>
          </w:tcPr>
          <w:p w14:paraId="29B3D4AB" w14:textId="77777777" w:rsidR="00AB49D0" w:rsidRDefault="00BC7290">
            <w:pPr>
              <w:spacing w:before="20" w:after="20"/>
              <w:jc w:val="center"/>
            </w:pPr>
            <w:r>
              <w:rPr>
                <w:rFonts w:eastAsia="Arial"/>
                <w:sz w:val="16"/>
              </w:rPr>
              <w:t>1.821</w:t>
            </w:r>
          </w:p>
        </w:tc>
        <w:tc>
          <w:tcPr>
            <w:tcW w:w="720" w:type="dxa"/>
            <w:vAlign w:val="center"/>
          </w:tcPr>
          <w:p w14:paraId="72F261DC" w14:textId="77777777" w:rsidR="00AB49D0" w:rsidRDefault="00BC7290">
            <w:pPr>
              <w:spacing w:before="20" w:after="20"/>
              <w:jc w:val="center"/>
            </w:pPr>
            <w:r>
              <w:rPr>
                <w:rFonts w:eastAsia="Arial"/>
                <w:sz w:val="16"/>
              </w:rPr>
              <w:t>0.301</w:t>
            </w:r>
          </w:p>
        </w:tc>
      </w:tr>
      <w:tr w:rsidR="00AB49D0" w14:paraId="35790C70" w14:textId="77777777">
        <w:trPr>
          <w:cantSplit/>
        </w:trPr>
        <w:tc>
          <w:tcPr>
            <w:tcW w:w="1699" w:type="dxa"/>
            <w:vAlign w:val="center"/>
          </w:tcPr>
          <w:p w14:paraId="5C9CF419" w14:textId="77777777" w:rsidR="00AB49D0" w:rsidRDefault="00BC7290">
            <w:pPr>
              <w:spacing w:before="20" w:after="20"/>
            </w:pPr>
            <w:r>
              <w:rPr>
                <w:rFonts w:eastAsia="Arial"/>
                <w:sz w:val="16"/>
              </w:rPr>
              <w:t>Balanced assurance</w:t>
            </w:r>
          </w:p>
        </w:tc>
        <w:tc>
          <w:tcPr>
            <w:tcW w:w="1123" w:type="dxa"/>
            <w:vAlign w:val="center"/>
          </w:tcPr>
          <w:p w14:paraId="0C4D453E" w14:textId="77777777" w:rsidR="00AB49D0" w:rsidRDefault="00BC7290">
            <w:pPr>
              <w:spacing w:before="20" w:after="20"/>
              <w:jc w:val="center"/>
            </w:pPr>
            <w:r>
              <w:rPr>
                <w:rFonts w:eastAsia="Arial"/>
                <w:sz w:val="16"/>
              </w:rPr>
              <w:t>(0.65, 0.65)</w:t>
            </w:r>
          </w:p>
        </w:tc>
        <w:tc>
          <w:tcPr>
            <w:tcW w:w="1195" w:type="dxa"/>
            <w:vAlign w:val="center"/>
          </w:tcPr>
          <w:p w14:paraId="0B660D0E" w14:textId="77777777" w:rsidR="00AB49D0" w:rsidRDefault="00BC7290">
            <w:pPr>
              <w:spacing w:before="20" w:after="20"/>
              <w:jc w:val="center"/>
            </w:pPr>
            <w:r>
              <w:rPr>
                <w:rFonts w:eastAsia="Arial"/>
                <w:sz w:val="16"/>
              </w:rPr>
              <w:t>408.01 (0.03)</w:t>
            </w:r>
          </w:p>
        </w:tc>
        <w:tc>
          <w:tcPr>
            <w:tcW w:w="1224" w:type="dxa"/>
            <w:vAlign w:val="center"/>
          </w:tcPr>
          <w:p w14:paraId="650F8808" w14:textId="77777777" w:rsidR="00AB49D0" w:rsidRDefault="00BC7290">
            <w:pPr>
              <w:spacing w:before="20" w:after="20"/>
              <w:jc w:val="center"/>
            </w:pPr>
            <w:r>
              <w:rPr>
                <w:rFonts w:eastAsia="Arial"/>
                <w:sz w:val="16"/>
              </w:rPr>
              <w:t>9.99</w:t>
            </w:r>
          </w:p>
        </w:tc>
        <w:tc>
          <w:tcPr>
            <w:tcW w:w="1498" w:type="dxa"/>
            <w:vAlign w:val="center"/>
          </w:tcPr>
          <w:p w14:paraId="1FE292B8" w14:textId="77777777" w:rsidR="00AB49D0" w:rsidRDefault="00BC7290">
            <w:pPr>
              <w:spacing w:before="20" w:after="20"/>
              <w:jc w:val="center"/>
            </w:pPr>
            <w:r>
              <w:rPr>
                <w:rFonts w:eastAsia="Arial"/>
                <w:sz w:val="16"/>
              </w:rPr>
              <w:t>0.165</w:t>
            </w:r>
          </w:p>
        </w:tc>
        <w:tc>
          <w:tcPr>
            <w:tcW w:w="720" w:type="dxa"/>
            <w:vAlign w:val="center"/>
          </w:tcPr>
          <w:p w14:paraId="52236154" w14:textId="77777777" w:rsidR="00AB49D0" w:rsidRDefault="00BC7290">
            <w:pPr>
              <w:spacing w:before="20" w:after="20"/>
              <w:jc w:val="center"/>
            </w:pPr>
            <w:r>
              <w:rPr>
                <w:rFonts w:eastAsia="Arial"/>
                <w:sz w:val="16"/>
              </w:rPr>
              <w:t>0.000</w:t>
            </w:r>
          </w:p>
        </w:tc>
        <w:tc>
          <w:tcPr>
            <w:tcW w:w="720" w:type="dxa"/>
            <w:vAlign w:val="center"/>
          </w:tcPr>
          <w:p w14:paraId="3259AE1B" w14:textId="77777777" w:rsidR="00AB49D0" w:rsidRDefault="00BC7290">
            <w:pPr>
              <w:spacing w:before="20" w:after="20"/>
              <w:jc w:val="center"/>
            </w:pPr>
            <w:r>
              <w:rPr>
                <w:rFonts w:eastAsia="Arial"/>
                <w:sz w:val="16"/>
              </w:rPr>
              <w:t>0.804</w:t>
            </w:r>
          </w:p>
        </w:tc>
      </w:tr>
      <w:tr w:rsidR="00AB49D0" w14:paraId="3AFA2515" w14:textId="77777777">
        <w:trPr>
          <w:cantSplit/>
        </w:trPr>
        <w:tc>
          <w:tcPr>
            <w:tcW w:w="1699" w:type="dxa"/>
            <w:vAlign w:val="center"/>
          </w:tcPr>
          <w:p w14:paraId="7FDEFB3A" w14:textId="77777777" w:rsidR="00AB49D0" w:rsidRDefault="00BC7290">
            <w:pPr>
              <w:spacing w:before="20" w:after="20"/>
            </w:pPr>
            <w:r>
              <w:rPr>
                <w:rFonts w:eastAsia="Arial"/>
                <w:sz w:val="16"/>
              </w:rPr>
              <w:t>Assurance-scaled automation</w:t>
            </w:r>
          </w:p>
        </w:tc>
        <w:tc>
          <w:tcPr>
            <w:tcW w:w="1123" w:type="dxa"/>
            <w:vAlign w:val="center"/>
          </w:tcPr>
          <w:p w14:paraId="2858D868" w14:textId="77777777" w:rsidR="00AB49D0" w:rsidRDefault="00BC7290">
            <w:pPr>
              <w:spacing w:before="20" w:after="20"/>
              <w:jc w:val="center"/>
            </w:pPr>
            <w:r>
              <w:rPr>
                <w:rFonts w:eastAsia="Arial"/>
                <w:sz w:val="16"/>
              </w:rPr>
              <w:t>(0.85, 0.60)</w:t>
            </w:r>
          </w:p>
        </w:tc>
        <w:tc>
          <w:tcPr>
            <w:tcW w:w="1195" w:type="dxa"/>
            <w:vAlign w:val="center"/>
          </w:tcPr>
          <w:p w14:paraId="7372DCD4" w14:textId="77777777" w:rsidR="00AB49D0" w:rsidRDefault="00BC7290">
            <w:pPr>
              <w:spacing w:before="20" w:after="20"/>
              <w:jc w:val="center"/>
            </w:pPr>
            <w:r>
              <w:rPr>
                <w:rFonts w:eastAsia="Arial"/>
                <w:sz w:val="16"/>
              </w:rPr>
              <w:t>416.69 (0.03)</w:t>
            </w:r>
          </w:p>
        </w:tc>
        <w:tc>
          <w:tcPr>
            <w:tcW w:w="1224" w:type="dxa"/>
            <w:vAlign w:val="center"/>
          </w:tcPr>
          <w:p w14:paraId="188EA30F" w14:textId="77777777" w:rsidR="00AB49D0" w:rsidRDefault="00BC7290">
            <w:pPr>
              <w:spacing w:before="20" w:after="20"/>
              <w:jc w:val="center"/>
            </w:pPr>
            <w:r>
              <w:rPr>
                <w:rFonts w:eastAsia="Arial"/>
                <w:sz w:val="16"/>
              </w:rPr>
              <w:t>11.31</w:t>
            </w:r>
          </w:p>
        </w:tc>
        <w:tc>
          <w:tcPr>
            <w:tcW w:w="1498" w:type="dxa"/>
            <w:vAlign w:val="center"/>
          </w:tcPr>
          <w:p w14:paraId="33123B9C" w14:textId="77777777" w:rsidR="00AB49D0" w:rsidRDefault="00BC7290">
            <w:pPr>
              <w:spacing w:before="20" w:after="20"/>
              <w:jc w:val="center"/>
            </w:pPr>
            <w:r>
              <w:rPr>
                <w:rFonts w:eastAsia="Arial"/>
                <w:sz w:val="16"/>
              </w:rPr>
              <w:t>0.187</w:t>
            </w:r>
          </w:p>
        </w:tc>
        <w:tc>
          <w:tcPr>
            <w:tcW w:w="720" w:type="dxa"/>
            <w:vAlign w:val="center"/>
          </w:tcPr>
          <w:p w14:paraId="5D859C3F" w14:textId="77777777" w:rsidR="00AB49D0" w:rsidRDefault="00BC7290">
            <w:pPr>
              <w:spacing w:before="20" w:after="20"/>
              <w:jc w:val="center"/>
            </w:pPr>
            <w:r>
              <w:rPr>
                <w:rFonts w:eastAsia="Arial"/>
                <w:sz w:val="16"/>
              </w:rPr>
              <w:t>0.015</w:t>
            </w:r>
          </w:p>
        </w:tc>
        <w:tc>
          <w:tcPr>
            <w:tcW w:w="720" w:type="dxa"/>
            <w:vAlign w:val="center"/>
          </w:tcPr>
          <w:p w14:paraId="69C80F26" w14:textId="77777777" w:rsidR="00AB49D0" w:rsidRDefault="00BC7290">
            <w:pPr>
              <w:spacing w:before="20" w:after="20"/>
              <w:jc w:val="center"/>
            </w:pPr>
            <w:r>
              <w:rPr>
                <w:rFonts w:eastAsia="Arial"/>
                <w:sz w:val="16"/>
              </w:rPr>
              <w:t>0.718</w:t>
            </w:r>
          </w:p>
        </w:tc>
      </w:tr>
      <w:tr w:rsidR="00AB49D0" w14:paraId="48A4A08E" w14:textId="77777777">
        <w:trPr>
          <w:cantSplit/>
        </w:trPr>
        <w:tc>
          <w:tcPr>
            <w:tcW w:w="1699" w:type="dxa"/>
            <w:vAlign w:val="center"/>
          </w:tcPr>
          <w:p w14:paraId="296D6F45" w14:textId="77777777" w:rsidR="00AB49D0" w:rsidRDefault="00BC7290">
            <w:pPr>
              <w:spacing w:before="20" w:after="20"/>
            </w:pPr>
            <w:r>
              <w:rPr>
                <w:rFonts w:eastAsia="Arial"/>
                <w:sz w:val="16"/>
              </w:rPr>
              <w:t>Assurance-heavy</w:t>
            </w:r>
          </w:p>
        </w:tc>
        <w:tc>
          <w:tcPr>
            <w:tcW w:w="1123" w:type="dxa"/>
            <w:vAlign w:val="center"/>
          </w:tcPr>
          <w:p w14:paraId="66527F55" w14:textId="77777777" w:rsidR="00AB49D0" w:rsidRDefault="00BC7290">
            <w:pPr>
              <w:spacing w:before="20" w:after="20"/>
              <w:jc w:val="center"/>
            </w:pPr>
            <w:r>
              <w:rPr>
                <w:rFonts w:eastAsia="Arial"/>
                <w:sz w:val="16"/>
              </w:rPr>
              <w:t>(0.45, 0.95)</w:t>
            </w:r>
          </w:p>
        </w:tc>
        <w:tc>
          <w:tcPr>
            <w:tcW w:w="1195" w:type="dxa"/>
            <w:vAlign w:val="center"/>
          </w:tcPr>
          <w:p w14:paraId="05EBD4D9" w14:textId="77777777" w:rsidR="00AB49D0" w:rsidRDefault="00BC7290">
            <w:pPr>
              <w:spacing w:before="20" w:after="20"/>
              <w:jc w:val="center"/>
            </w:pPr>
            <w:r>
              <w:rPr>
                <w:rFonts w:eastAsia="Arial"/>
                <w:sz w:val="16"/>
              </w:rPr>
              <w:t>345.84 (0.03)</w:t>
            </w:r>
          </w:p>
        </w:tc>
        <w:tc>
          <w:tcPr>
            <w:tcW w:w="1224" w:type="dxa"/>
            <w:vAlign w:val="center"/>
          </w:tcPr>
          <w:p w14:paraId="43512AB3" w14:textId="77777777" w:rsidR="00AB49D0" w:rsidRDefault="00BC7290">
            <w:pPr>
              <w:spacing w:before="20" w:after="20"/>
              <w:jc w:val="center"/>
            </w:pPr>
            <w:r>
              <w:rPr>
                <w:rFonts w:eastAsia="Arial"/>
                <w:sz w:val="16"/>
              </w:rPr>
              <w:t>6.57</w:t>
            </w:r>
          </w:p>
        </w:tc>
        <w:tc>
          <w:tcPr>
            <w:tcW w:w="1498" w:type="dxa"/>
            <w:vAlign w:val="center"/>
          </w:tcPr>
          <w:p w14:paraId="1BDFF2C4" w14:textId="77777777" w:rsidR="00AB49D0" w:rsidRDefault="00BC7290">
            <w:pPr>
              <w:spacing w:before="20" w:after="20"/>
              <w:jc w:val="center"/>
            </w:pPr>
            <w:r>
              <w:rPr>
                <w:rFonts w:eastAsia="Arial"/>
                <w:sz w:val="16"/>
              </w:rPr>
              <w:t>0.109</w:t>
            </w:r>
          </w:p>
        </w:tc>
        <w:tc>
          <w:tcPr>
            <w:tcW w:w="720" w:type="dxa"/>
            <w:vAlign w:val="center"/>
          </w:tcPr>
          <w:p w14:paraId="79710598" w14:textId="77777777" w:rsidR="00AB49D0" w:rsidRDefault="00BC7290">
            <w:pPr>
              <w:spacing w:before="20" w:after="20"/>
              <w:jc w:val="center"/>
            </w:pPr>
            <w:r>
              <w:rPr>
                <w:rFonts w:eastAsia="Arial"/>
                <w:sz w:val="16"/>
              </w:rPr>
              <w:t>0.000</w:t>
            </w:r>
          </w:p>
        </w:tc>
        <w:tc>
          <w:tcPr>
            <w:tcW w:w="720" w:type="dxa"/>
            <w:vAlign w:val="center"/>
          </w:tcPr>
          <w:p w14:paraId="7FF0817D" w14:textId="77777777" w:rsidR="00AB49D0" w:rsidRDefault="00BC7290">
            <w:pPr>
              <w:spacing w:before="20" w:after="20"/>
              <w:jc w:val="center"/>
            </w:pPr>
            <w:r>
              <w:rPr>
                <w:rFonts w:eastAsia="Arial"/>
                <w:sz w:val="16"/>
              </w:rPr>
              <w:t>0.983</w:t>
            </w:r>
          </w:p>
        </w:tc>
      </w:tr>
    </w:tbl>
    <w:p w14:paraId="6EB04312" w14:textId="77777777" w:rsidR="00AB49D0" w:rsidRDefault="00BC7290">
      <w:pPr>
        <w:jc w:val="both"/>
      </w:pPr>
      <w:r>
        <w:rPr>
          <w:rFonts w:eastAsia="Arial"/>
        </w:rPr>
        <w:t>The acceleration-first policy illustrates the artificial intelligence verification premium most strongly. Its mean quarterly borrowing premium is 130.56 basis points, roughly eleven times the conventional-control premium and more than thirteen times the balanced-assurance premium. This outcome is not imposed directly. It emerges because high automation combined with low verification increases verification debt, erodes human oversight capability, raises the logistic incident probability, and then feeds into the lender zero-profit pricing condition. The same regime averages 1.013 priced adverse states over 48 quarters, compared with 0.080 under balanced assurance and 0.091 under assurance-scaled automation.</w:t>
      </w:r>
    </w:p>
    <w:p w14:paraId="7B0A016C" w14:textId="77777777" w:rsidR="00AB49D0" w:rsidRDefault="00BC7290">
      <w:pPr>
        <w:jc w:val="both"/>
      </w:pPr>
      <w:r>
        <w:rPr>
          <w:rFonts w:eastAsia="Arial"/>
        </w:rPr>
        <w:t>The high spread is economically consequential in the model even though acceleration-first initially produces substantial operating gains. Mean discounted value under acceleration-first is 356.82, only slightly above conventional controls at 352.97 and well below balanced assurance at 408.01. Using common random numbers, balanced assurance exceeds acceleration-first by 51.20 value units with a 95% Monte Carlo interval for the mean difference of [51.02, 51.38]. Assurance-scaled automation exceeds acceleration-first by 59.88 units, with interval [59.70, 60.05]. These are simulation-precision intervals, not empirical confidence intervals about real firms.</w:t>
      </w:r>
    </w:p>
    <w:p w14:paraId="49E57E0D" w14:textId="77777777" w:rsidR="00AB49D0" w:rsidRDefault="00BC7290">
      <w:pPr>
        <w:jc w:val="both"/>
      </w:pPr>
      <w:r>
        <w:rPr>
          <w:rFonts w:eastAsia="Arial"/>
        </w:rPr>
        <w:t>Assurance-heavy has the lowest borrowing premium, 6.57 basis points, and the highest terminal human capability, 0.983. Yet its mean firm value is only 345.84 because the direct and convex costs of verification outweigh the incremental risk reduction at its lower automation level. This result supports Proposition 4: risk minimisation is not value maximisation.</w:t>
      </w:r>
    </w:p>
    <w:p w14:paraId="04218F45" w14:textId="77777777" w:rsidR="00AB49D0" w:rsidRDefault="00BC7290">
      <w:pPr>
        <w:jc w:val="both"/>
      </w:pPr>
      <w:r>
        <w:rPr>
          <w:rFonts w:eastAsia="Arial"/>
        </w:rPr>
        <w:t>Figure 1 shows the time path of the mean borrowing premium. The premium under acceleration-first separates progressively as verification debt accumulates and human capability erodes. The remaining regimes stay in a comparatively low-premium region.</w:t>
      </w:r>
    </w:p>
    <w:p w14:paraId="1681F5AD" w14:textId="77777777" w:rsidR="00AB49D0" w:rsidRDefault="00BC7290">
      <w:pPr>
        <w:keepNext/>
        <w:spacing w:before="100" w:after="40"/>
        <w:jc w:val="center"/>
      </w:pPr>
      <w:r>
        <w:rPr>
          <w:noProof/>
        </w:rPr>
        <w:lastRenderedPageBreak/>
        <w:drawing>
          <wp:inline distT="0" distB="0" distL="0" distR="0" wp14:anchorId="5B0465F3" wp14:editId="52C7FACF">
            <wp:extent cx="5207000" cy="3149913"/>
            <wp:effectExtent l="0" t="0" r="0" b="0"/>
            <wp:docPr id="41" name="Picture" descr="Fig. 1. Mean borrowing premium by management regime over 48 quarters. Values are basis points above the quarterly risk-free rate."/>
            <wp:cNvGraphicFramePr/>
            <a:graphic xmlns:a="http://schemas.openxmlformats.org/drawingml/2006/main">
              <a:graphicData uri="http://schemas.openxmlformats.org/drawingml/2006/picture">
                <pic:pic xmlns:pic="http://schemas.openxmlformats.org/drawingml/2006/picture">
                  <pic:nvPicPr>
                    <pic:cNvPr id="42" name="Picture" descr="ajefm_assets/figure1_spread_paths.png"/>
                    <pic:cNvPicPr>
                      <a:picLocks noChangeAspect="1" noChangeArrowheads="1"/>
                    </pic:cNvPicPr>
                  </pic:nvPicPr>
                  <pic:blipFill>
                    <a:blip r:embed="rId11"/>
                    <a:stretch>
                      <a:fillRect/>
                    </a:stretch>
                  </pic:blipFill>
                  <pic:spPr bwMode="auto">
                    <a:xfrm>
                      <a:off x="0" y="0"/>
                      <a:ext cx="5207000" cy="3149913"/>
                    </a:xfrm>
                    <a:prstGeom prst="rect">
                      <a:avLst/>
                    </a:prstGeom>
                    <a:noFill/>
                    <a:ln w="9525">
                      <a:noFill/>
                      <a:headEnd/>
                      <a:tailEnd/>
                    </a:ln>
                  </pic:spPr>
                </pic:pic>
              </a:graphicData>
            </a:graphic>
          </wp:inline>
        </w:drawing>
      </w:r>
    </w:p>
    <w:p w14:paraId="12BABCC0" w14:textId="77777777" w:rsidR="00AB49D0" w:rsidRDefault="00BC7290">
      <w:pPr>
        <w:spacing w:after="120"/>
        <w:jc w:val="center"/>
      </w:pPr>
      <w:r>
        <w:rPr>
          <w:rFonts w:eastAsia="Arial"/>
          <w:i/>
          <w:sz w:val="18"/>
        </w:rPr>
        <w:t>Fig. 1. Mean borrowing premium by management regime over 48 quarters. Values are basis points above the quarterly risk-free rate.</w:t>
      </w:r>
    </w:p>
    <w:p w14:paraId="20E7CF7E" w14:textId="77777777" w:rsidR="00AB49D0" w:rsidRDefault="00BC7290">
      <w:pPr>
        <w:keepNext/>
        <w:spacing w:before="120" w:after="60"/>
      </w:pPr>
      <w:bookmarkStart w:id="28" w:name="policy-space-search-and-the-value-ridge"/>
      <w:bookmarkEnd w:id="27"/>
      <w:r>
        <w:rPr>
          <w:rFonts w:eastAsia="Arial"/>
          <w:b/>
          <w:sz w:val="22"/>
        </w:rPr>
        <w:t>4.2 Policy-space search and the value ridge</w:t>
      </w:r>
    </w:p>
    <w:p w14:paraId="780FE205" w14:textId="77777777" w:rsidR="00AB49D0" w:rsidRDefault="00BC7290">
      <w:pPr>
        <w:jc w:val="both"/>
      </w:pPr>
      <w:r>
        <w:rPr>
          <w:rFonts w:eastAsia="Arial"/>
        </w:rPr>
        <w:t xml:space="preserve">The 324-policy search confirms that the preferred policy is interior in verification and close to interior in automation. The highest evaluated point is </w:t>
      </w:r>
      <m:oMath>
        <m:r>
          <w:rPr>
            <w:rFonts w:ascii="Cambria Math" w:hAnsi="Cambria Math"/>
          </w:rPr>
          <m:t>a</m:t>
        </m:r>
        <m:r>
          <m:rPr>
            <m:sty m:val="p"/>
          </m:rPr>
          <w:rPr>
            <w:rFonts w:ascii="Cambria Math" w:hAnsi="Cambria Math"/>
          </w:rPr>
          <m:t>=</m:t>
        </m:r>
        <m:r>
          <w:rPr>
            <w:rFonts w:ascii="Cambria Math" w:hAnsi="Cambria Math"/>
          </w:rPr>
          <m:t>0.80</m:t>
        </m:r>
      </m:oMath>
      <w:r>
        <w:rPr>
          <w:rFonts w:eastAsia="Arial"/>
        </w:rPr>
        <w:t xml:space="preserve"> and </w:t>
      </w:r>
      <m:oMath>
        <m:r>
          <w:rPr>
            <w:rFonts w:ascii="Cambria Math" w:hAnsi="Cambria Math"/>
          </w:rPr>
          <m:t>v</m:t>
        </m:r>
        <m:r>
          <m:rPr>
            <m:sty m:val="p"/>
          </m:rPr>
          <w:rPr>
            <w:rFonts w:ascii="Cambria Math" w:hAnsi="Cambria Math"/>
          </w:rPr>
          <m:t>=</m:t>
        </m:r>
        <m:r>
          <w:rPr>
            <w:rFonts w:ascii="Cambria Math" w:hAnsi="Cambria Math"/>
          </w:rPr>
          <m:t>0.55</m:t>
        </m:r>
      </m:oMath>
      <w:r>
        <w:rPr>
          <w:rFonts w:eastAsia="Arial"/>
        </w:rPr>
        <w:t xml:space="preserve">, with mean discounted value 417.51 and an average quarterly borrowing premium of 13.20 basis points. The next-best policy, </w:t>
      </w:r>
      <m:oMath>
        <m:r>
          <w:rPr>
            <w:rFonts w:ascii="Cambria Math" w:hAnsi="Cambria Math"/>
          </w:rPr>
          <m:t>a</m:t>
        </m:r>
        <m:r>
          <m:rPr>
            <m:sty m:val="p"/>
          </m:rPr>
          <w:rPr>
            <w:rFonts w:ascii="Cambria Math" w:hAnsi="Cambria Math"/>
          </w:rPr>
          <m:t>=</m:t>
        </m:r>
        <m:r>
          <w:rPr>
            <w:rFonts w:ascii="Cambria Math" w:hAnsi="Cambria Math"/>
          </w:rPr>
          <m:t>0.75</m:t>
        </m:r>
      </m:oMath>
      <w:r>
        <w:rPr>
          <w:rFonts w:eastAsia="Arial"/>
        </w:rPr>
        <w:t xml:space="preserve"> and </w:t>
      </w:r>
      <m:oMath>
        <m:r>
          <w:rPr>
            <w:rFonts w:ascii="Cambria Math" w:hAnsi="Cambria Math"/>
          </w:rPr>
          <m:t>v</m:t>
        </m:r>
        <m:r>
          <m:rPr>
            <m:sty m:val="p"/>
          </m:rPr>
          <w:rPr>
            <w:rFonts w:ascii="Cambria Math" w:hAnsi="Cambria Math"/>
          </w:rPr>
          <m:t>=</m:t>
        </m:r>
        <m:r>
          <w:rPr>
            <w:rFonts w:ascii="Cambria Math" w:hAnsi="Cambria Math"/>
          </w:rPr>
          <m:t>0.55</m:t>
        </m:r>
      </m:oMath>
      <w:r>
        <w:rPr>
          <w:rFonts w:eastAsia="Arial"/>
        </w:rPr>
        <w:t>, produces 417.32. Several nearby combinations differ by less than one value unit, indicating a relatively flat value ridge rather than a knife-edge optimum.</w:t>
      </w:r>
    </w:p>
    <w:p w14:paraId="145EE470" w14:textId="77777777" w:rsidR="00AB49D0" w:rsidRDefault="00BC7290">
      <w:pPr>
        <w:jc w:val="both"/>
      </w:pPr>
      <w:r>
        <w:rPr>
          <w:rFonts w:eastAsia="Arial"/>
        </w:rPr>
        <w:t xml:space="preserve">This flatness is important. The model should not be interpreted as recommending the exact numerical pair </w:t>
      </w:r>
      <m:oMath>
        <m:d>
          <m:dPr>
            <m:ctrlPr>
              <w:rPr>
                <w:rFonts w:ascii="Cambria Math" w:hAnsi="Cambria Math"/>
              </w:rPr>
            </m:ctrlPr>
          </m:dPr>
          <m:e>
            <m:r>
              <w:rPr>
                <w:rFonts w:ascii="Cambria Math" w:hAnsi="Cambria Math"/>
              </w:rPr>
              <m:t>0.80</m:t>
            </m:r>
            <m:r>
              <m:rPr>
                <m:sty m:val="p"/>
              </m:rPr>
              <w:rPr>
                <w:rFonts w:ascii="Cambria Math" w:hAnsi="Cambria Math"/>
              </w:rPr>
              <m:t>,</m:t>
            </m:r>
            <m:r>
              <w:rPr>
                <w:rFonts w:ascii="Cambria Math" w:hAnsi="Cambria Math"/>
              </w:rPr>
              <m:t>0.55</m:t>
            </m:r>
          </m:e>
        </m:d>
      </m:oMath>
      <w:r>
        <w:rPr>
          <w:rFonts w:eastAsia="Arial"/>
        </w:rPr>
        <w:t>. Instead, it identifies a region in which automation is high enough to exploit productivity gains while verification is sufficient to prevent the financing penalty from becoming dominant. Small deviations inside this region have modest value effects, whereas moving toward high automation and very weak verification produces sharp deterioration.</w:t>
      </w:r>
    </w:p>
    <w:p w14:paraId="176E51AA" w14:textId="77777777" w:rsidR="00AB49D0" w:rsidRDefault="00BC7290">
      <w:pPr>
        <w:jc w:val="both"/>
      </w:pPr>
      <w:r>
        <w:rPr>
          <w:rFonts w:eastAsia="Arial"/>
        </w:rPr>
        <w:t>Figure 2 displays the full value surface. Low automation limits the productivity contribution even when verification is strong. High automation combined with very low verification creates a steep penalty through verification debt, capability erosion, incidents, and borrowing costs. Very high verification also reduces value because assurance itself is costly. The resulting surface provides the computational counterpart to Proposition 4.</w:t>
      </w:r>
    </w:p>
    <w:p w14:paraId="7E3FAA57" w14:textId="77777777" w:rsidR="00AB49D0" w:rsidRDefault="00BC7290">
      <w:pPr>
        <w:keepNext/>
        <w:spacing w:before="100" w:after="40"/>
        <w:jc w:val="center"/>
      </w:pPr>
      <w:r>
        <w:rPr>
          <w:noProof/>
        </w:rPr>
        <w:lastRenderedPageBreak/>
        <w:drawing>
          <wp:inline distT="0" distB="0" distL="0" distR="0" wp14:anchorId="5CEDC7BD" wp14:editId="2914971F">
            <wp:extent cx="5207000" cy="3929993"/>
            <wp:effectExtent l="0" t="0" r="0" b="0"/>
            <wp:docPr id="45" name="Picture" descr="Fig. 2. Mean discounted firm value across the 324-policy automation-verification grid. The cross marks the highest evaluated policy, a=0.80, v=0.55."/>
            <wp:cNvGraphicFramePr/>
            <a:graphic xmlns:a="http://schemas.openxmlformats.org/drawingml/2006/main">
              <a:graphicData uri="http://schemas.openxmlformats.org/drawingml/2006/picture">
                <pic:pic xmlns:pic="http://schemas.openxmlformats.org/drawingml/2006/picture">
                  <pic:nvPicPr>
                    <pic:cNvPr id="46" name="Picture" descr="ajefm_assets/figure2_policy_surface.png"/>
                    <pic:cNvPicPr>
                      <a:picLocks noChangeAspect="1" noChangeArrowheads="1"/>
                    </pic:cNvPicPr>
                  </pic:nvPicPr>
                  <pic:blipFill>
                    <a:blip r:embed="rId12"/>
                    <a:stretch>
                      <a:fillRect/>
                    </a:stretch>
                  </pic:blipFill>
                  <pic:spPr bwMode="auto">
                    <a:xfrm>
                      <a:off x="0" y="0"/>
                      <a:ext cx="5207000" cy="3929993"/>
                    </a:xfrm>
                    <a:prstGeom prst="rect">
                      <a:avLst/>
                    </a:prstGeom>
                    <a:noFill/>
                    <a:ln w="9525">
                      <a:noFill/>
                      <a:headEnd/>
                      <a:tailEnd/>
                    </a:ln>
                  </pic:spPr>
                </pic:pic>
              </a:graphicData>
            </a:graphic>
          </wp:inline>
        </w:drawing>
      </w:r>
    </w:p>
    <w:p w14:paraId="6B76C5A9" w14:textId="77777777" w:rsidR="00AB49D0" w:rsidRDefault="00BC7290">
      <w:pPr>
        <w:spacing w:after="120"/>
        <w:jc w:val="center"/>
      </w:pPr>
      <w:r>
        <w:rPr>
          <w:rFonts w:eastAsia="Arial"/>
          <w:i/>
          <w:sz w:val="18"/>
        </w:rPr>
        <w:t xml:space="preserve">Fig. 2. Mean discounted firm value across the 324-policy automation-verification grid. The cross marks the highest evaluated policy, </w:t>
      </w:r>
      <m:oMath>
        <m:r>
          <w:rPr>
            <w:rFonts w:ascii="Cambria Math" w:hAnsi="Cambria Math"/>
          </w:rPr>
          <m:t>a</m:t>
        </m:r>
        <m:r>
          <m:rPr>
            <m:sty m:val="p"/>
          </m:rPr>
          <w:rPr>
            <w:rFonts w:ascii="Cambria Math" w:hAnsi="Cambria Math"/>
          </w:rPr>
          <m:t>=</m:t>
        </m:r>
        <m:r>
          <w:rPr>
            <w:rFonts w:ascii="Cambria Math" w:hAnsi="Cambria Math"/>
          </w:rPr>
          <m:t>0.80</m:t>
        </m:r>
      </m:oMath>
      <w:r>
        <w:rPr>
          <w:rFonts w:eastAsia="Arial"/>
          <w:i/>
          <w:sz w:val="18"/>
        </w:rPr>
        <w:t xml:space="preserve">, </w:t>
      </w:r>
      <m:oMath>
        <m:r>
          <w:rPr>
            <w:rFonts w:ascii="Cambria Math" w:hAnsi="Cambria Math"/>
          </w:rPr>
          <m:t>v</m:t>
        </m:r>
        <m:r>
          <m:rPr>
            <m:sty m:val="p"/>
          </m:rPr>
          <w:rPr>
            <w:rFonts w:ascii="Cambria Math" w:hAnsi="Cambria Math"/>
          </w:rPr>
          <m:t>=</m:t>
        </m:r>
        <m:r>
          <w:rPr>
            <w:rFonts w:ascii="Cambria Math" w:hAnsi="Cambria Math"/>
          </w:rPr>
          <m:t>0.55</m:t>
        </m:r>
      </m:oMath>
      <w:r>
        <w:rPr>
          <w:rFonts w:eastAsia="Arial"/>
          <w:i/>
          <w:sz w:val="18"/>
        </w:rPr>
        <w:t>.</w:t>
      </w:r>
    </w:p>
    <w:p w14:paraId="4689E08D" w14:textId="77777777" w:rsidR="00AB49D0" w:rsidRDefault="00BC7290">
      <w:pPr>
        <w:keepNext/>
        <w:spacing w:before="120" w:after="60"/>
      </w:pPr>
      <w:bookmarkStart w:id="29" w:name="X0d128d4cf8ceb6bef616545efa2bd7082a7f3da"/>
      <w:bookmarkEnd w:id="28"/>
      <w:r>
        <w:rPr>
          <w:rFonts w:eastAsia="Arial"/>
          <w:b/>
          <w:sz w:val="22"/>
        </w:rPr>
        <w:t>4.3 Analytical threshold and numerical optimum</w:t>
      </w:r>
    </w:p>
    <w:p w14:paraId="32785A50" w14:textId="77777777" w:rsidR="00AB49D0" w:rsidRDefault="00BC7290">
      <w:pPr>
        <w:jc w:val="both"/>
      </w:pPr>
      <w:r>
        <w:rPr>
          <w:rFonts w:eastAsia="Arial"/>
        </w:rPr>
        <w:t xml:space="preserve">The baseline direct-risk threshold from Equation (12) is </w:t>
      </w:r>
      <m:oMath>
        <m:sSubSup>
          <m:sSubSupPr>
            <m:ctrlPr>
              <w:rPr>
                <w:rFonts w:ascii="Cambria Math" w:hAnsi="Cambria Math"/>
              </w:rPr>
            </m:ctrlPr>
          </m:sSubSupPr>
          <m:e>
            <m:r>
              <w:rPr>
                <w:rFonts w:ascii="Cambria Math" w:hAnsi="Cambria Math"/>
              </w:rPr>
              <m:t>v</m:t>
            </m:r>
          </m:e>
          <m:sub>
            <m:r>
              <w:rPr>
                <w:rFonts w:ascii="Cambria Math" w:hAnsi="Cambria Math"/>
              </w:rPr>
              <m:t>p</m:t>
            </m:r>
          </m:sub>
          <m:sup>
            <m:r>
              <m:rPr>
                <m:sty m:val="p"/>
              </m:rPr>
              <w:rPr>
                <w:rFonts w:ascii="Cambria Math" w:hAnsi="Cambria Math"/>
              </w:rPr>
              <m:t>crit</m:t>
            </m:r>
          </m:sup>
        </m:sSubSup>
        <m:r>
          <m:rPr>
            <m:sty m:val="p"/>
          </m:rPr>
          <w:rPr>
            <w:rFonts w:ascii="Cambria Math" w:hAnsi="Cambria Math"/>
          </w:rPr>
          <m:t>=</m:t>
        </m:r>
        <m:r>
          <w:rPr>
            <w:rFonts w:ascii="Cambria Math" w:hAnsi="Cambria Math"/>
          </w:rPr>
          <m:t>0.538</m:t>
        </m:r>
      </m:oMath>
      <w:r>
        <w:rPr>
          <w:rFonts w:eastAsia="Arial"/>
        </w:rPr>
        <w:t xml:space="preserve">. The value-maximising grid point uses </w:t>
      </w:r>
      <m:oMath>
        <m:r>
          <w:rPr>
            <w:rFonts w:ascii="Cambria Math" w:hAnsi="Cambria Math"/>
          </w:rPr>
          <m:t>v</m:t>
        </m:r>
        <m:r>
          <m:rPr>
            <m:sty m:val="p"/>
          </m:rPr>
          <w:rPr>
            <w:rFonts w:ascii="Cambria Math" w:hAnsi="Cambria Math"/>
          </w:rPr>
          <m:t>=</m:t>
        </m:r>
        <m:r>
          <w:rPr>
            <w:rFonts w:ascii="Cambria Math" w:hAnsi="Cambria Math"/>
          </w:rPr>
          <m:t>0.55</m:t>
        </m:r>
      </m:oMath>
      <w:r>
        <w:rPr>
          <w:rFonts w:eastAsia="Arial"/>
        </w:rPr>
        <w:t>, immediately above that threshold. This alignment is not a mathematical necessity because the value function also includes direct verification cost, verification-debt dynamics, human capability, incident severity, and debt service. It nevertheless provides a useful structural check: the numerical search places the optimum close to the point at which verification becomes strong enough for additional automation to stop raising contemporaneous risk.</w:t>
      </w:r>
    </w:p>
    <w:p w14:paraId="4E2D87C7" w14:textId="77777777" w:rsidR="00AB49D0" w:rsidRDefault="00BC7290">
      <w:pPr>
        <w:jc w:val="both"/>
      </w:pPr>
      <w:r>
        <w:rPr>
          <w:rFonts w:eastAsia="Arial"/>
        </w:rPr>
        <w:t xml:space="preserve">At the baseline initial state with </w:t>
      </w:r>
      <m:oMath>
        <m:r>
          <w:rPr>
            <w:rFonts w:ascii="Cambria Math" w:hAnsi="Cambria Math"/>
          </w:rPr>
          <m:t>a</m:t>
        </m:r>
        <m:r>
          <m:rPr>
            <m:sty m:val="p"/>
          </m:rPr>
          <w:rPr>
            <w:rFonts w:ascii="Cambria Math" w:hAnsi="Cambria Math"/>
          </w:rPr>
          <m:t>=</m:t>
        </m:r>
        <m:r>
          <w:rPr>
            <w:rFonts w:ascii="Cambria Math" w:hAnsi="Cambria Math"/>
          </w:rPr>
          <m:t>0.80</m:t>
        </m:r>
      </m:oMath>
      <w:r>
        <w:rPr>
          <w:rFonts w:eastAsia="Arial"/>
        </w:rPr>
        <w:t xml:space="preserve">, </w:t>
      </w:r>
      <m:oMath>
        <m:sSub>
          <m:sSubPr>
            <m:ctrlPr>
              <w:rPr>
                <w:rFonts w:ascii="Cambria Math" w:hAnsi="Cambria Math"/>
              </w:rPr>
            </m:ctrlPr>
          </m:sSubPr>
          <m:e>
            <m:r>
              <w:rPr>
                <w:rFonts w:ascii="Cambria Math" w:hAnsi="Cambria Math"/>
              </w:rPr>
              <m:t>h</m:t>
            </m:r>
          </m:e>
          <m:sub>
            <m:r>
              <w:rPr>
                <w:rFonts w:ascii="Cambria Math" w:hAnsi="Cambria Math"/>
              </w:rPr>
              <m:t>0</m:t>
            </m:r>
          </m:sub>
        </m:sSub>
        <m:r>
          <m:rPr>
            <m:sty m:val="p"/>
          </m:rPr>
          <w:rPr>
            <w:rFonts w:ascii="Cambria Math" w:hAnsi="Cambria Math"/>
          </w:rPr>
          <m:t>=</m:t>
        </m:r>
        <m:r>
          <w:rPr>
            <w:rFonts w:ascii="Cambria Math" w:hAnsi="Cambria Math"/>
          </w:rPr>
          <m:t>0.85</m:t>
        </m:r>
      </m:oMath>
      <w:r>
        <w:rPr>
          <w:rFonts w:eastAsia="Arial"/>
        </w:rPr>
        <w:t xml:space="preserve">, and </w:t>
      </w:r>
      <m:oMath>
        <m:sSub>
          <m:sSubPr>
            <m:ctrlPr>
              <w:rPr>
                <w:rFonts w:ascii="Cambria Math" w:hAnsi="Cambria Math"/>
              </w:rPr>
            </m:ctrlPr>
          </m:sSubPr>
          <m:e>
            <m:r>
              <w:rPr>
                <w:rFonts w:ascii="Cambria Math" w:hAnsi="Cambria Math"/>
              </w:rPr>
              <m:t>u</m:t>
            </m:r>
          </m:e>
          <m:sub>
            <m:r>
              <w:rPr>
                <w:rFonts w:ascii="Cambria Math" w:hAnsi="Cambria Math"/>
              </w:rPr>
              <m:t>0</m:t>
            </m:r>
          </m:sub>
        </m:sSub>
        <m:r>
          <m:rPr>
            <m:sty m:val="p"/>
          </m:rPr>
          <w:rPr>
            <w:rFonts w:ascii="Cambria Math" w:hAnsi="Cambria Math"/>
          </w:rPr>
          <m:t>=</m:t>
        </m:r>
        <m:r>
          <w:rPr>
            <w:rFonts w:ascii="Cambria Math" w:hAnsi="Cambria Math"/>
          </w:rPr>
          <m:t>0</m:t>
        </m:r>
      </m:oMath>
      <w:r>
        <w:rPr>
          <w:rFonts w:eastAsia="Arial"/>
        </w:rPr>
        <w:t xml:space="preserve">, Equation (14) gives </w:t>
      </w:r>
      <m:oMath>
        <m:sSubSup>
          <m:sSubSupPr>
            <m:ctrlPr>
              <w:rPr>
                <w:rFonts w:ascii="Cambria Math" w:hAnsi="Cambria Math"/>
              </w:rPr>
            </m:ctrlPr>
          </m:sSubSupPr>
          <m:e>
            <m:r>
              <w:rPr>
                <w:rFonts w:ascii="Cambria Math" w:hAnsi="Cambria Math"/>
              </w:rPr>
              <m:t>v</m:t>
            </m:r>
          </m:e>
          <m:sub>
            <m:r>
              <w:rPr>
                <w:rFonts w:ascii="Cambria Math" w:hAnsi="Cambria Math"/>
              </w:rPr>
              <m:t>q</m:t>
            </m:r>
          </m:sub>
          <m:sup>
            <m:r>
              <m:rPr>
                <m:sty m:val="p"/>
              </m:rPr>
              <w:rPr>
                <w:rFonts w:ascii="Cambria Math" w:hAnsi="Cambria Math"/>
              </w:rPr>
              <m:t>crit</m:t>
            </m:r>
          </m:sup>
        </m:sSubSup>
        <m:r>
          <m:rPr>
            <m:sty m:val="p"/>
          </m:rPr>
          <w:rPr>
            <w:rFonts w:ascii="Cambria Math" w:hAnsi="Cambria Math"/>
          </w:rPr>
          <m:t>≈</m:t>
        </m:r>
        <m:r>
          <w:rPr>
            <w:rFonts w:ascii="Cambria Math" w:hAnsi="Cambria Math"/>
          </w:rPr>
          <m:t>0.452</m:t>
        </m:r>
      </m:oMath>
      <w:r>
        <w:rPr>
          <w:rFonts w:eastAsia="Arial"/>
        </w:rPr>
        <w:t xml:space="preserve">. The combined initial assurance threshold is therefore </w:t>
      </w:r>
      <m:oMath>
        <m:sSubSup>
          <m:sSubSupPr>
            <m:ctrlPr>
              <w:rPr>
                <w:rFonts w:ascii="Cambria Math" w:hAnsi="Cambria Math"/>
              </w:rPr>
            </m:ctrlPr>
          </m:sSubSupPr>
          <m:e>
            <m:r>
              <w:rPr>
                <w:rFonts w:ascii="Cambria Math" w:hAnsi="Cambria Math"/>
              </w:rPr>
              <m:t>v</m:t>
            </m:r>
          </m:e>
          <m:sub>
            <m:r>
              <w:rPr>
                <w:rFonts w:ascii="Cambria Math" w:hAnsi="Cambria Math"/>
              </w:rPr>
              <m:t>A</m:t>
            </m:r>
          </m:sub>
          <m:sup>
            <m:r>
              <m:rPr>
                <m:sty m:val="p"/>
              </m:rPr>
              <w:rPr>
                <w:rFonts w:ascii="Cambria Math" w:hAnsi="Cambria Math"/>
              </w:rPr>
              <m:t>crit</m:t>
            </m:r>
          </m:sup>
        </m:sSubSup>
        <m:r>
          <m:rPr>
            <m:sty m:val="p"/>
          </m:rPr>
          <w:rPr>
            <w:rFonts w:ascii="Cambria Math" w:hAnsi="Cambria Math"/>
          </w:rPr>
          <m:t>=max</m:t>
        </m:r>
        <m:d>
          <m:dPr>
            <m:ctrlPr>
              <w:rPr>
                <w:rFonts w:ascii="Cambria Math" w:hAnsi="Cambria Math"/>
              </w:rPr>
            </m:ctrlPr>
          </m:dPr>
          <m:e>
            <m:r>
              <w:rPr>
                <w:rFonts w:ascii="Cambria Math" w:hAnsi="Cambria Math"/>
              </w:rPr>
              <m:t>0.538</m:t>
            </m:r>
            <m:r>
              <m:rPr>
                <m:sty m:val="p"/>
              </m:rPr>
              <w:rPr>
                <w:rFonts w:ascii="Cambria Math" w:hAnsi="Cambria Math"/>
              </w:rPr>
              <m:t>,</m:t>
            </m:r>
            <m:r>
              <w:rPr>
                <w:rFonts w:ascii="Cambria Math" w:hAnsi="Cambria Math"/>
              </w:rPr>
              <m:t>0.452</m:t>
            </m:r>
          </m:e>
        </m:d>
        <m:r>
          <m:rPr>
            <m:sty m:val="p"/>
          </m:rPr>
          <w:rPr>
            <w:rFonts w:ascii="Cambria Math" w:hAnsi="Cambria Math"/>
          </w:rPr>
          <m:t>=</m:t>
        </m:r>
        <m:r>
          <w:rPr>
            <w:rFonts w:ascii="Cambria Math" w:hAnsi="Cambria Math"/>
          </w:rPr>
          <m:t>0.538</m:t>
        </m:r>
      </m:oMath>
      <w:r>
        <w:rPr>
          <w:rFonts w:eastAsia="Arial"/>
        </w:rPr>
        <w:t>. Environmental uncertainty can raise the debt non-accumulation threshold over time, while human capability can fall if automation remains insufficiently verified. The dynamic system therefore rewards some buffer above the initial threshold.</w:t>
      </w:r>
    </w:p>
    <w:p w14:paraId="43BEB988" w14:textId="77777777" w:rsidR="00AB49D0" w:rsidRDefault="00BC7290">
      <w:pPr>
        <w:jc w:val="both"/>
      </w:pPr>
      <w:r>
        <w:rPr>
          <w:rFonts w:eastAsia="Arial"/>
        </w:rPr>
        <w:t xml:space="preserve">Figure 3 isolates verification intensity at </w:t>
      </w:r>
      <m:oMath>
        <m:r>
          <w:rPr>
            <w:rFonts w:ascii="Cambria Math" w:hAnsi="Cambria Math"/>
          </w:rPr>
          <m:t>a</m:t>
        </m:r>
        <m:r>
          <m:rPr>
            <m:sty m:val="p"/>
          </m:rPr>
          <w:rPr>
            <w:rFonts w:ascii="Cambria Math" w:hAnsi="Cambria Math"/>
          </w:rPr>
          <m:t>=</m:t>
        </m:r>
        <m:r>
          <w:rPr>
            <w:rFonts w:ascii="Cambria Math" w:hAnsi="Cambria Math"/>
          </w:rPr>
          <m:t>0.80</m:t>
        </m:r>
      </m:oMath>
      <w:r>
        <w:rPr>
          <w:rFonts w:eastAsia="Arial"/>
        </w:rPr>
        <w:t>. Value rises steeply from weak verification, reaches a maximum around 0.55, then declines as the marginal assurance benefit is overtaken by verification cost. This is the central economic trade-off of the paper.</w:t>
      </w:r>
    </w:p>
    <w:p w14:paraId="06E060E4" w14:textId="77777777" w:rsidR="00AB49D0" w:rsidRDefault="00BC7290">
      <w:pPr>
        <w:keepNext/>
        <w:spacing w:before="100" w:after="40"/>
        <w:jc w:val="center"/>
      </w:pPr>
      <w:r>
        <w:rPr>
          <w:noProof/>
        </w:rPr>
        <w:lastRenderedPageBreak/>
        <w:drawing>
          <wp:inline distT="0" distB="0" distL="0" distR="0" wp14:anchorId="15F64499" wp14:editId="23B26E3C">
            <wp:extent cx="5207000" cy="3233721"/>
            <wp:effectExtent l="0" t="0" r="0" b="0"/>
            <wp:docPr id="49" name="Picture" descr="Fig. 3. Verification sweep at automation intensity a=0.80. Mean discounted firm value peaks near the analytical direct-risk threshold."/>
            <wp:cNvGraphicFramePr/>
            <a:graphic xmlns:a="http://schemas.openxmlformats.org/drawingml/2006/main">
              <a:graphicData uri="http://schemas.openxmlformats.org/drawingml/2006/picture">
                <pic:pic xmlns:pic="http://schemas.openxmlformats.org/drawingml/2006/picture">
                  <pic:nvPicPr>
                    <pic:cNvPr id="50" name="Picture" descr="ajefm_assets/figure3_verification_sweep.png"/>
                    <pic:cNvPicPr>
                      <a:picLocks noChangeAspect="1" noChangeArrowheads="1"/>
                    </pic:cNvPicPr>
                  </pic:nvPicPr>
                  <pic:blipFill>
                    <a:blip r:embed="rId13"/>
                    <a:stretch>
                      <a:fillRect/>
                    </a:stretch>
                  </pic:blipFill>
                  <pic:spPr bwMode="auto">
                    <a:xfrm>
                      <a:off x="0" y="0"/>
                      <a:ext cx="5207000" cy="3233721"/>
                    </a:xfrm>
                    <a:prstGeom prst="rect">
                      <a:avLst/>
                    </a:prstGeom>
                    <a:noFill/>
                    <a:ln w="9525">
                      <a:noFill/>
                      <a:headEnd/>
                      <a:tailEnd/>
                    </a:ln>
                  </pic:spPr>
                </pic:pic>
              </a:graphicData>
            </a:graphic>
          </wp:inline>
        </w:drawing>
      </w:r>
    </w:p>
    <w:p w14:paraId="68F1AD11" w14:textId="77777777" w:rsidR="00AB49D0" w:rsidRDefault="00BC7290">
      <w:pPr>
        <w:spacing w:after="120"/>
        <w:jc w:val="center"/>
      </w:pPr>
      <w:r>
        <w:rPr>
          <w:rFonts w:eastAsia="Arial"/>
          <w:i/>
          <w:sz w:val="18"/>
        </w:rPr>
        <w:t xml:space="preserve">Fig. 3. Verification sweep at automation intensity </w:t>
      </w:r>
      <m:oMath>
        <m:r>
          <w:rPr>
            <w:rFonts w:ascii="Cambria Math" w:hAnsi="Cambria Math"/>
          </w:rPr>
          <m:t>a</m:t>
        </m:r>
        <m:r>
          <m:rPr>
            <m:sty m:val="p"/>
          </m:rPr>
          <w:rPr>
            <w:rFonts w:ascii="Cambria Math" w:hAnsi="Cambria Math"/>
          </w:rPr>
          <m:t>=</m:t>
        </m:r>
        <m:r>
          <w:rPr>
            <w:rFonts w:ascii="Cambria Math" w:hAnsi="Cambria Math"/>
          </w:rPr>
          <m:t>0.80</m:t>
        </m:r>
      </m:oMath>
      <w:r>
        <w:rPr>
          <w:rFonts w:eastAsia="Arial"/>
          <w:i/>
          <w:sz w:val="18"/>
        </w:rPr>
        <w:t>. Mean discounted firm value peaks near the analytical direct-risk threshold.</w:t>
      </w:r>
    </w:p>
    <w:p w14:paraId="1A8965C1" w14:textId="77777777" w:rsidR="00AB49D0" w:rsidRDefault="00BC7290">
      <w:pPr>
        <w:keepNext/>
        <w:spacing w:before="120" w:after="60"/>
      </w:pPr>
      <w:bookmarkStart w:id="30" w:name="sensitivity-analysis"/>
      <w:bookmarkEnd w:id="29"/>
      <w:r>
        <w:rPr>
          <w:rFonts w:eastAsia="Arial"/>
          <w:b/>
          <w:sz w:val="22"/>
        </w:rPr>
        <w:t>4.4 Sensitivity analysis</w:t>
      </w:r>
    </w:p>
    <w:p w14:paraId="24116B44" w14:textId="77777777" w:rsidR="00AB49D0" w:rsidRDefault="00BC7290">
      <w:pPr>
        <w:jc w:val="both"/>
      </w:pPr>
      <w:r>
        <w:rPr>
          <w:rFonts w:eastAsia="Arial"/>
        </w:rPr>
        <w:t>Table 3 reports the best policy found in repeated grid searches under alternative structural assumptions. The base optimum is stable to moderate changes in leverage and loss-given-default, although the borrowing premium changes mechanically with loss severity. More importantly, the preferred policy shifts in the expected direction when the productivity return to automation changes.</w:t>
      </w:r>
    </w:p>
    <w:p w14:paraId="4B4CD47D" w14:textId="77777777" w:rsidR="00AB49D0" w:rsidRDefault="00BC7290">
      <w:pPr>
        <w:keepNext/>
        <w:spacing w:before="120" w:after="60"/>
      </w:pPr>
      <w:r>
        <w:rPr>
          <w:rFonts w:eastAsia="Arial"/>
          <w:b/>
          <w:bCs/>
        </w:rPr>
        <w:t>Table 3. Policy-search sensitivity results</w:t>
      </w:r>
    </w:p>
    <w:tbl>
      <w:tblPr>
        <w:tblW w:w="7473" w:type="dxa"/>
        <w:tblBorders>
          <w:top w:val="single" w:sz="8" w:space="0" w:color="000000"/>
          <w:left w:val="nil"/>
          <w:bottom w:val="single" w:sz="8" w:space="0" w:color="000000"/>
          <w:right w:val="nil"/>
          <w:insideH w:val="single" w:sz="4" w:space="0" w:color="BFBFBF"/>
          <w:insideV w:val="nil"/>
        </w:tblBorders>
        <w:tblLayout w:type="fixed"/>
        <w:tblLook w:val="04A0" w:firstRow="1" w:lastRow="0" w:firstColumn="1" w:lastColumn="0" w:noHBand="0" w:noVBand="1"/>
      </w:tblPr>
      <w:tblGrid>
        <w:gridCol w:w="2376"/>
        <w:gridCol w:w="691"/>
        <w:gridCol w:w="691"/>
        <w:gridCol w:w="979"/>
        <w:gridCol w:w="1296"/>
        <w:gridCol w:w="720"/>
        <w:gridCol w:w="720"/>
      </w:tblGrid>
      <w:tr w:rsidR="00AB49D0" w14:paraId="76D1AFA6" w14:textId="77777777">
        <w:trPr>
          <w:cantSplit/>
          <w:tblHeader/>
        </w:trPr>
        <w:tc>
          <w:tcPr>
            <w:tcW w:w="2376" w:type="dxa"/>
            <w:vAlign w:val="center"/>
          </w:tcPr>
          <w:p w14:paraId="5D808F82" w14:textId="77777777" w:rsidR="00AB49D0" w:rsidRDefault="00BC7290">
            <w:pPr>
              <w:spacing w:before="20" w:after="20"/>
            </w:pPr>
            <w:r>
              <w:rPr>
                <w:rFonts w:eastAsia="Arial"/>
                <w:b/>
                <w:sz w:val="15"/>
              </w:rPr>
              <w:t>Scenario</w:t>
            </w:r>
          </w:p>
        </w:tc>
        <w:tc>
          <w:tcPr>
            <w:tcW w:w="691" w:type="dxa"/>
            <w:vAlign w:val="center"/>
          </w:tcPr>
          <w:p w14:paraId="280E4EBC" w14:textId="77777777" w:rsidR="00AB49D0" w:rsidRDefault="00BC7290">
            <w:pPr>
              <w:spacing w:before="20" w:after="20"/>
              <w:jc w:val="center"/>
            </w:pPr>
            <w:r>
              <w:rPr>
                <w:rFonts w:eastAsia="Arial"/>
                <w:b/>
                <w:sz w:val="15"/>
              </w:rPr>
              <w:t>Best a</w:t>
            </w:r>
          </w:p>
        </w:tc>
        <w:tc>
          <w:tcPr>
            <w:tcW w:w="691" w:type="dxa"/>
            <w:vAlign w:val="center"/>
          </w:tcPr>
          <w:p w14:paraId="47EF5A56" w14:textId="77777777" w:rsidR="00AB49D0" w:rsidRDefault="00BC7290">
            <w:pPr>
              <w:spacing w:before="20" w:after="20"/>
              <w:jc w:val="center"/>
            </w:pPr>
            <w:r>
              <w:rPr>
                <w:rFonts w:eastAsia="Arial"/>
                <w:b/>
                <w:sz w:val="15"/>
              </w:rPr>
              <w:t>Best v</w:t>
            </w:r>
          </w:p>
        </w:tc>
        <w:tc>
          <w:tcPr>
            <w:tcW w:w="979" w:type="dxa"/>
            <w:vAlign w:val="center"/>
          </w:tcPr>
          <w:p w14:paraId="44697F7E" w14:textId="77777777" w:rsidR="00AB49D0" w:rsidRDefault="00BC7290">
            <w:pPr>
              <w:spacing w:before="20" w:after="20"/>
              <w:jc w:val="center"/>
            </w:pPr>
            <w:r>
              <w:rPr>
                <w:rFonts w:eastAsia="Arial"/>
                <w:b/>
                <w:sz w:val="15"/>
              </w:rPr>
              <w:t>Mean value</w:t>
            </w:r>
          </w:p>
        </w:tc>
        <w:tc>
          <w:tcPr>
            <w:tcW w:w="1296" w:type="dxa"/>
            <w:vAlign w:val="center"/>
          </w:tcPr>
          <w:p w14:paraId="1E4CCDFB" w14:textId="77777777" w:rsidR="00AB49D0" w:rsidRDefault="00BC7290">
            <w:pPr>
              <w:spacing w:before="20" w:after="20"/>
              <w:jc w:val="center"/>
            </w:pPr>
            <w:r>
              <w:rPr>
                <w:rFonts w:eastAsia="Arial"/>
                <w:b/>
                <w:sz w:val="15"/>
              </w:rPr>
              <w:t>Borrowing premium (bp)</w:t>
            </w:r>
          </w:p>
        </w:tc>
        <w:tc>
          <w:tcPr>
            <w:tcW w:w="720" w:type="dxa"/>
            <w:vAlign w:val="center"/>
          </w:tcPr>
          <w:p w14:paraId="0386DB6C" w14:textId="77777777" w:rsidR="00AB49D0" w:rsidRDefault="00BC7290">
            <w:pPr>
              <w:spacing w:before="20" w:after="20"/>
              <w:jc w:val="center"/>
            </w:pPr>
            <w:r>
              <w:rPr>
                <w:rFonts w:eastAsia="Arial"/>
                <w:b/>
                <w:sz w:val="15"/>
              </w:rPr>
              <w:t>End q</w:t>
            </w:r>
          </w:p>
        </w:tc>
        <w:tc>
          <w:tcPr>
            <w:tcW w:w="720" w:type="dxa"/>
            <w:vAlign w:val="center"/>
          </w:tcPr>
          <w:p w14:paraId="679C6B6A" w14:textId="77777777" w:rsidR="00AB49D0" w:rsidRDefault="00BC7290">
            <w:pPr>
              <w:spacing w:before="20" w:after="20"/>
              <w:jc w:val="center"/>
            </w:pPr>
            <w:r>
              <w:rPr>
                <w:rFonts w:eastAsia="Arial"/>
                <w:b/>
                <w:sz w:val="15"/>
              </w:rPr>
              <w:t>End h</w:t>
            </w:r>
          </w:p>
        </w:tc>
      </w:tr>
      <w:tr w:rsidR="00AB49D0" w14:paraId="114D92C4" w14:textId="77777777">
        <w:trPr>
          <w:cantSplit/>
        </w:trPr>
        <w:tc>
          <w:tcPr>
            <w:tcW w:w="2376" w:type="dxa"/>
            <w:vAlign w:val="center"/>
          </w:tcPr>
          <w:p w14:paraId="654C73F4" w14:textId="77777777" w:rsidR="00AB49D0" w:rsidRDefault="00BC7290">
            <w:pPr>
              <w:spacing w:before="20" w:after="20"/>
            </w:pPr>
            <w:r>
              <w:rPr>
                <w:rFonts w:eastAsia="Arial"/>
                <w:sz w:val="15"/>
              </w:rPr>
              <w:t>Baseline</w:t>
            </w:r>
          </w:p>
        </w:tc>
        <w:tc>
          <w:tcPr>
            <w:tcW w:w="691" w:type="dxa"/>
            <w:vAlign w:val="center"/>
          </w:tcPr>
          <w:p w14:paraId="41095333" w14:textId="77777777" w:rsidR="00AB49D0" w:rsidRDefault="00BC7290">
            <w:pPr>
              <w:spacing w:before="20" w:after="20"/>
              <w:jc w:val="center"/>
            </w:pPr>
            <w:r>
              <w:rPr>
                <w:rFonts w:eastAsia="Arial"/>
                <w:sz w:val="15"/>
              </w:rPr>
              <w:t>0.80</w:t>
            </w:r>
          </w:p>
        </w:tc>
        <w:tc>
          <w:tcPr>
            <w:tcW w:w="691" w:type="dxa"/>
            <w:vAlign w:val="center"/>
          </w:tcPr>
          <w:p w14:paraId="1DC99329" w14:textId="77777777" w:rsidR="00AB49D0" w:rsidRDefault="00BC7290">
            <w:pPr>
              <w:spacing w:before="20" w:after="20"/>
              <w:jc w:val="center"/>
            </w:pPr>
            <w:r>
              <w:rPr>
                <w:rFonts w:eastAsia="Arial"/>
                <w:sz w:val="15"/>
              </w:rPr>
              <w:t>0.55</w:t>
            </w:r>
          </w:p>
        </w:tc>
        <w:tc>
          <w:tcPr>
            <w:tcW w:w="979" w:type="dxa"/>
            <w:vAlign w:val="center"/>
          </w:tcPr>
          <w:p w14:paraId="591F583F" w14:textId="77777777" w:rsidR="00AB49D0" w:rsidRDefault="00BC7290">
            <w:pPr>
              <w:spacing w:before="20" w:after="20"/>
              <w:jc w:val="center"/>
            </w:pPr>
            <w:r>
              <w:rPr>
                <w:rFonts w:eastAsia="Arial"/>
                <w:sz w:val="15"/>
              </w:rPr>
              <w:t>417.53</w:t>
            </w:r>
          </w:p>
        </w:tc>
        <w:tc>
          <w:tcPr>
            <w:tcW w:w="1296" w:type="dxa"/>
            <w:vAlign w:val="center"/>
          </w:tcPr>
          <w:p w14:paraId="22894640" w14:textId="77777777" w:rsidR="00AB49D0" w:rsidRDefault="00BC7290">
            <w:pPr>
              <w:spacing w:before="20" w:after="20"/>
              <w:jc w:val="center"/>
            </w:pPr>
            <w:r>
              <w:rPr>
                <w:rFonts w:eastAsia="Arial"/>
                <w:sz w:val="15"/>
              </w:rPr>
              <w:t>13.19</w:t>
            </w:r>
          </w:p>
        </w:tc>
        <w:tc>
          <w:tcPr>
            <w:tcW w:w="720" w:type="dxa"/>
            <w:vAlign w:val="center"/>
          </w:tcPr>
          <w:p w14:paraId="0758C52B" w14:textId="77777777" w:rsidR="00AB49D0" w:rsidRDefault="00BC7290">
            <w:pPr>
              <w:spacing w:before="20" w:after="20"/>
              <w:jc w:val="center"/>
            </w:pPr>
            <w:r>
              <w:rPr>
                <w:rFonts w:eastAsia="Arial"/>
                <w:sz w:val="15"/>
              </w:rPr>
              <w:t>0.054</w:t>
            </w:r>
          </w:p>
        </w:tc>
        <w:tc>
          <w:tcPr>
            <w:tcW w:w="720" w:type="dxa"/>
            <w:vAlign w:val="center"/>
          </w:tcPr>
          <w:p w14:paraId="7390B3C5" w14:textId="77777777" w:rsidR="00AB49D0" w:rsidRDefault="00BC7290">
            <w:pPr>
              <w:spacing w:before="20" w:after="20"/>
              <w:jc w:val="center"/>
            </w:pPr>
            <w:r>
              <w:rPr>
                <w:rFonts w:eastAsia="Arial"/>
                <w:sz w:val="15"/>
              </w:rPr>
              <w:t>0.689</w:t>
            </w:r>
          </w:p>
        </w:tc>
      </w:tr>
      <w:tr w:rsidR="00AB49D0" w14:paraId="5841E969" w14:textId="77777777">
        <w:trPr>
          <w:cantSplit/>
        </w:trPr>
        <w:tc>
          <w:tcPr>
            <w:tcW w:w="2376" w:type="dxa"/>
            <w:vAlign w:val="center"/>
          </w:tcPr>
          <w:p w14:paraId="680428F7" w14:textId="77777777" w:rsidR="00AB49D0" w:rsidRDefault="00BC7290">
            <w:pPr>
              <w:spacing w:before="20" w:after="20"/>
            </w:pPr>
            <w:r>
              <w:rPr>
                <w:rFonts w:eastAsia="Arial"/>
                <w:sz w:val="15"/>
              </w:rPr>
              <w:t>Low leverage (0.30)</w:t>
            </w:r>
          </w:p>
        </w:tc>
        <w:tc>
          <w:tcPr>
            <w:tcW w:w="691" w:type="dxa"/>
            <w:vAlign w:val="center"/>
          </w:tcPr>
          <w:p w14:paraId="02A47BAD" w14:textId="77777777" w:rsidR="00AB49D0" w:rsidRDefault="00BC7290">
            <w:pPr>
              <w:spacing w:before="20" w:after="20"/>
              <w:jc w:val="center"/>
            </w:pPr>
            <w:r>
              <w:rPr>
                <w:rFonts w:eastAsia="Arial"/>
                <w:sz w:val="15"/>
              </w:rPr>
              <w:t>0.80</w:t>
            </w:r>
          </w:p>
        </w:tc>
        <w:tc>
          <w:tcPr>
            <w:tcW w:w="691" w:type="dxa"/>
            <w:vAlign w:val="center"/>
          </w:tcPr>
          <w:p w14:paraId="7B295D8E" w14:textId="77777777" w:rsidR="00AB49D0" w:rsidRDefault="00BC7290">
            <w:pPr>
              <w:spacing w:before="20" w:after="20"/>
              <w:jc w:val="center"/>
            </w:pPr>
            <w:r>
              <w:rPr>
                <w:rFonts w:eastAsia="Arial"/>
                <w:sz w:val="15"/>
              </w:rPr>
              <w:t>0.55</w:t>
            </w:r>
          </w:p>
        </w:tc>
        <w:tc>
          <w:tcPr>
            <w:tcW w:w="979" w:type="dxa"/>
            <w:vAlign w:val="center"/>
          </w:tcPr>
          <w:p w14:paraId="7CF71C40" w14:textId="77777777" w:rsidR="00AB49D0" w:rsidRDefault="00BC7290">
            <w:pPr>
              <w:spacing w:before="20" w:after="20"/>
              <w:jc w:val="center"/>
            </w:pPr>
            <w:r>
              <w:rPr>
                <w:rFonts w:eastAsia="Arial"/>
                <w:sz w:val="15"/>
              </w:rPr>
              <w:t>418.65</w:t>
            </w:r>
          </w:p>
        </w:tc>
        <w:tc>
          <w:tcPr>
            <w:tcW w:w="1296" w:type="dxa"/>
            <w:vAlign w:val="center"/>
          </w:tcPr>
          <w:p w14:paraId="2F03CA59" w14:textId="77777777" w:rsidR="00AB49D0" w:rsidRDefault="00BC7290">
            <w:pPr>
              <w:spacing w:before="20" w:after="20"/>
              <w:jc w:val="center"/>
            </w:pPr>
            <w:r>
              <w:rPr>
                <w:rFonts w:eastAsia="Arial"/>
                <w:sz w:val="15"/>
              </w:rPr>
              <w:t>13.19</w:t>
            </w:r>
          </w:p>
        </w:tc>
        <w:tc>
          <w:tcPr>
            <w:tcW w:w="720" w:type="dxa"/>
            <w:vAlign w:val="center"/>
          </w:tcPr>
          <w:p w14:paraId="3F767EFD" w14:textId="77777777" w:rsidR="00AB49D0" w:rsidRDefault="00BC7290">
            <w:pPr>
              <w:spacing w:before="20" w:after="20"/>
              <w:jc w:val="center"/>
            </w:pPr>
            <w:r>
              <w:rPr>
                <w:rFonts w:eastAsia="Arial"/>
                <w:sz w:val="15"/>
              </w:rPr>
              <w:t>0.054</w:t>
            </w:r>
          </w:p>
        </w:tc>
        <w:tc>
          <w:tcPr>
            <w:tcW w:w="720" w:type="dxa"/>
            <w:vAlign w:val="center"/>
          </w:tcPr>
          <w:p w14:paraId="3FF294C4" w14:textId="77777777" w:rsidR="00AB49D0" w:rsidRDefault="00BC7290">
            <w:pPr>
              <w:spacing w:before="20" w:after="20"/>
              <w:jc w:val="center"/>
            </w:pPr>
            <w:r>
              <w:rPr>
                <w:rFonts w:eastAsia="Arial"/>
                <w:sz w:val="15"/>
              </w:rPr>
              <w:t>0.689</w:t>
            </w:r>
          </w:p>
        </w:tc>
      </w:tr>
      <w:tr w:rsidR="00AB49D0" w14:paraId="4AD31B96" w14:textId="77777777">
        <w:trPr>
          <w:cantSplit/>
        </w:trPr>
        <w:tc>
          <w:tcPr>
            <w:tcW w:w="2376" w:type="dxa"/>
            <w:vAlign w:val="center"/>
          </w:tcPr>
          <w:p w14:paraId="73A4428C" w14:textId="77777777" w:rsidR="00AB49D0" w:rsidRDefault="00BC7290">
            <w:pPr>
              <w:spacing w:before="20" w:after="20"/>
            </w:pPr>
            <w:r>
              <w:rPr>
                <w:rFonts w:eastAsia="Arial"/>
                <w:sz w:val="15"/>
              </w:rPr>
              <w:t>High leverage (0.75)</w:t>
            </w:r>
          </w:p>
        </w:tc>
        <w:tc>
          <w:tcPr>
            <w:tcW w:w="691" w:type="dxa"/>
            <w:vAlign w:val="center"/>
          </w:tcPr>
          <w:p w14:paraId="7F99FA27" w14:textId="77777777" w:rsidR="00AB49D0" w:rsidRDefault="00BC7290">
            <w:pPr>
              <w:spacing w:before="20" w:after="20"/>
              <w:jc w:val="center"/>
            </w:pPr>
            <w:r>
              <w:rPr>
                <w:rFonts w:eastAsia="Arial"/>
                <w:sz w:val="15"/>
              </w:rPr>
              <w:t>0.80</w:t>
            </w:r>
          </w:p>
        </w:tc>
        <w:tc>
          <w:tcPr>
            <w:tcW w:w="691" w:type="dxa"/>
            <w:vAlign w:val="center"/>
          </w:tcPr>
          <w:p w14:paraId="511EAFC4" w14:textId="77777777" w:rsidR="00AB49D0" w:rsidRDefault="00BC7290">
            <w:pPr>
              <w:spacing w:before="20" w:after="20"/>
              <w:jc w:val="center"/>
            </w:pPr>
            <w:r>
              <w:rPr>
                <w:rFonts w:eastAsia="Arial"/>
                <w:sz w:val="15"/>
              </w:rPr>
              <w:t>0.55</w:t>
            </w:r>
          </w:p>
        </w:tc>
        <w:tc>
          <w:tcPr>
            <w:tcW w:w="979" w:type="dxa"/>
            <w:vAlign w:val="center"/>
          </w:tcPr>
          <w:p w14:paraId="2149C6F3" w14:textId="77777777" w:rsidR="00AB49D0" w:rsidRDefault="00BC7290">
            <w:pPr>
              <w:spacing w:before="20" w:after="20"/>
              <w:jc w:val="center"/>
            </w:pPr>
            <w:r>
              <w:rPr>
                <w:rFonts w:eastAsia="Arial"/>
                <w:sz w:val="15"/>
              </w:rPr>
              <w:t>416.63</w:t>
            </w:r>
          </w:p>
        </w:tc>
        <w:tc>
          <w:tcPr>
            <w:tcW w:w="1296" w:type="dxa"/>
            <w:vAlign w:val="center"/>
          </w:tcPr>
          <w:p w14:paraId="26621C77" w14:textId="77777777" w:rsidR="00AB49D0" w:rsidRDefault="00BC7290">
            <w:pPr>
              <w:spacing w:before="20" w:after="20"/>
              <w:jc w:val="center"/>
            </w:pPr>
            <w:r>
              <w:rPr>
                <w:rFonts w:eastAsia="Arial"/>
                <w:sz w:val="15"/>
              </w:rPr>
              <w:t>13.19</w:t>
            </w:r>
          </w:p>
        </w:tc>
        <w:tc>
          <w:tcPr>
            <w:tcW w:w="720" w:type="dxa"/>
            <w:vAlign w:val="center"/>
          </w:tcPr>
          <w:p w14:paraId="1CEABFF3" w14:textId="77777777" w:rsidR="00AB49D0" w:rsidRDefault="00BC7290">
            <w:pPr>
              <w:spacing w:before="20" w:after="20"/>
              <w:jc w:val="center"/>
            </w:pPr>
            <w:r>
              <w:rPr>
                <w:rFonts w:eastAsia="Arial"/>
                <w:sz w:val="15"/>
              </w:rPr>
              <w:t>0.054</w:t>
            </w:r>
          </w:p>
        </w:tc>
        <w:tc>
          <w:tcPr>
            <w:tcW w:w="720" w:type="dxa"/>
            <w:vAlign w:val="center"/>
          </w:tcPr>
          <w:p w14:paraId="74D28206" w14:textId="77777777" w:rsidR="00AB49D0" w:rsidRDefault="00BC7290">
            <w:pPr>
              <w:spacing w:before="20" w:after="20"/>
              <w:jc w:val="center"/>
            </w:pPr>
            <w:r>
              <w:rPr>
                <w:rFonts w:eastAsia="Arial"/>
                <w:sz w:val="15"/>
              </w:rPr>
              <w:t>0.689</w:t>
            </w:r>
          </w:p>
        </w:tc>
      </w:tr>
      <w:tr w:rsidR="00AB49D0" w14:paraId="7AADF1AC" w14:textId="77777777">
        <w:trPr>
          <w:cantSplit/>
        </w:trPr>
        <w:tc>
          <w:tcPr>
            <w:tcW w:w="2376" w:type="dxa"/>
            <w:vAlign w:val="center"/>
          </w:tcPr>
          <w:p w14:paraId="1FD629A1" w14:textId="77777777" w:rsidR="00AB49D0" w:rsidRDefault="00BC7290">
            <w:pPr>
              <w:spacing w:before="20" w:after="20"/>
            </w:pPr>
            <w:r>
              <w:rPr>
                <w:rFonts w:eastAsia="Arial"/>
                <w:sz w:val="15"/>
              </w:rPr>
              <w:t>Low creditor loss fraction (0.40)</w:t>
            </w:r>
          </w:p>
        </w:tc>
        <w:tc>
          <w:tcPr>
            <w:tcW w:w="691" w:type="dxa"/>
            <w:vAlign w:val="center"/>
          </w:tcPr>
          <w:p w14:paraId="7607BAAF" w14:textId="77777777" w:rsidR="00AB49D0" w:rsidRDefault="00BC7290">
            <w:pPr>
              <w:spacing w:before="20" w:after="20"/>
              <w:jc w:val="center"/>
            </w:pPr>
            <w:r>
              <w:rPr>
                <w:rFonts w:eastAsia="Arial"/>
                <w:sz w:val="15"/>
              </w:rPr>
              <w:t>0.80</w:t>
            </w:r>
          </w:p>
        </w:tc>
        <w:tc>
          <w:tcPr>
            <w:tcW w:w="691" w:type="dxa"/>
            <w:vAlign w:val="center"/>
          </w:tcPr>
          <w:p w14:paraId="2191CA6E" w14:textId="77777777" w:rsidR="00AB49D0" w:rsidRDefault="00BC7290">
            <w:pPr>
              <w:spacing w:before="20" w:after="20"/>
              <w:jc w:val="center"/>
            </w:pPr>
            <w:r>
              <w:rPr>
                <w:rFonts w:eastAsia="Arial"/>
                <w:sz w:val="15"/>
              </w:rPr>
              <w:t>0.55</w:t>
            </w:r>
          </w:p>
        </w:tc>
        <w:tc>
          <w:tcPr>
            <w:tcW w:w="979" w:type="dxa"/>
            <w:vAlign w:val="center"/>
          </w:tcPr>
          <w:p w14:paraId="710FA55D" w14:textId="77777777" w:rsidR="00AB49D0" w:rsidRDefault="00BC7290">
            <w:pPr>
              <w:spacing w:before="20" w:after="20"/>
              <w:jc w:val="center"/>
            </w:pPr>
            <w:r>
              <w:rPr>
                <w:rFonts w:eastAsia="Arial"/>
                <w:sz w:val="15"/>
              </w:rPr>
              <w:t>417.64</w:t>
            </w:r>
          </w:p>
        </w:tc>
        <w:tc>
          <w:tcPr>
            <w:tcW w:w="1296" w:type="dxa"/>
            <w:vAlign w:val="center"/>
          </w:tcPr>
          <w:p w14:paraId="0047E4F6" w14:textId="77777777" w:rsidR="00AB49D0" w:rsidRDefault="00BC7290">
            <w:pPr>
              <w:spacing w:before="20" w:after="20"/>
              <w:jc w:val="center"/>
            </w:pPr>
            <w:r>
              <w:rPr>
                <w:rFonts w:eastAsia="Arial"/>
                <w:sz w:val="15"/>
              </w:rPr>
              <w:t>8.79</w:t>
            </w:r>
          </w:p>
        </w:tc>
        <w:tc>
          <w:tcPr>
            <w:tcW w:w="720" w:type="dxa"/>
            <w:vAlign w:val="center"/>
          </w:tcPr>
          <w:p w14:paraId="612774BA" w14:textId="77777777" w:rsidR="00AB49D0" w:rsidRDefault="00BC7290">
            <w:pPr>
              <w:spacing w:before="20" w:after="20"/>
              <w:jc w:val="center"/>
            </w:pPr>
            <w:r>
              <w:rPr>
                <w:rFonts w:eastAsia="Arial"/>
                <w:sz w:val="15"/>
              </w:rPr>
              <w:t>0.054</w:t>
            </w:r>
          </w:p>
        </w:tc>
        <w:tc>
          <w:tcPr>
            <w:tcW w:w="720" w:type="dxa"/>
            <w:vAlign w:val="center"/>
          </w:tcPr>
          <w:p w14:paraId="41B5E8BA" w14:textId="77777777" w:rsidR="00AB49D0" w:rsidRDefault="00BC7290">
            <w:pPr>
              <w:spacing w:before="20" w:after="20"/>
              <w:jc w:val="center"/>
            </w:pPr>
            <w:r>
              <w:rPr>
                <w:rFonts w:eastAsia="Arial"/>
                <w:sz w:val="15"/>
              </w:rPr>
              <w:t>0.689</w:t>
            </w:r>
          </w:p>
        </w:tc>
      </w:tr>
      <w:tr w:rsidR="00AB49D0" w14:paraId="675D00E5" w14:textId="77777777">
        <w:trPr>
          <w:cantSplit/>
        </w:trPr>
        <w:tc>
          <w:tcPr>
            <w:tcW w:w="2376" w:type="dxa"/>
            <w:vAlign w:val="center"/>
          </w:tcPr>
          <w:p w14:paraId="7E1D45F9" w14:textId="77777777" w:rsidR="00AB49D0" w:rsidRDefault="00BC7290">
            <w:pPr>
              <w:spacing w:before="20" w:after="20"/>
            </w:pPr>
            <w:r>
              <w:rPr>
                <w:rFonts w:eastAsia="Arial"/>
                <w:sz w:val="15"/>
              </w:rPr>
              <w:t>High creditor loss fraction (0.80)</w:t>
            </w:r>
          </w:p>
        </w:tc>
        <w:tc>
          <w:tcPr>
            <w:tcW w:w="691" w:type="dxa"/>
            <w:vAlign w:val="center"/>
          </w:tcPr>
          <w:p w14:paraId="44125047" w14:textId="77777777" w:rsidR="00AB49D0" w:rsidRDefault="00BC7290">
            <w:pPr>
              <w:spacing w:before="20" w:after="20"/>
              <w:jc w:val="center"/>
            </w:pPr>
            <w:r>
              <w:rPr>
                <w:rFonts w:eastAsia="Arial"/>
                <w:sz w:val="15"/>
              </w:rPr>
              <w:t>0.80</w:t>
            </w:r>
          </w:p>
        </w:tc>
        <w:tc>
          <w:tcPr>
            <w:tcW w:w="691" w:type="dxa"/>
            <w:vAlign w:val="center"/>
          </w:tcPr>
          <w:p w14:paraId="0D9E8026" w14:textId="77777777" w:rsidR="00AB49D0" w:rsidRDefault="00BC7290">
            <w:pPr>
              <w:spacing w:before="20" w:after="20"/>
              <w:jc w:val="center"/>
            </w:pPr>
            <w:r>
              <w:rPr>
                <w:rFonts w:eastAsia="Arial"/>
                <w:sz w:val="15"/>
              </w:rPr>
              <w:t>0.55</w:t>
            </w:r>
          </w:p>
        </w:tc>
        <w:tc>
          <w:tcPr>
            <w:tcW w:w="979" w:type="dxa"/>
            <w:vAlign w:val="center"/>
          </w:tcPr>
          <w:p w14:paraId="14A6E8CE" w14:textId="77777777" w:rsidR="00AB49D0" w:rsidRDefault="00BC7290">
            <w:pPr>
              <w:spacing w:before="20" w:after="20"/>
              <w:jc w:val="center"/>
            </w:pPr>
            <w:r>
              <w:rPr>
                <w:rFonts w:eastAsia="Arial"/>
                <w:sz w:val="15"/>
              </w:rPr>
              <w:t>417.41</w:t>
            </w:r>
          </w:p>
        </w:tc>
        <w:tc>
          <w:tcPr>
            <w:tcW w:w="1296" w:type="dxa"/>
            <w:vAlign w:val="center"/>
          </w:tcPr>
          <w:p w14:paraId="623DE6BF" w14:textId="77777777" w:rsidR="00AB49D0" w:rsidRDefault="00BC7290">
            <w:pPr>
              <w:spacing w:before="20" w:after="20"/>
              <w:jc w:val="center"/>
            </w:pPr>
            <w:r>
              <w:rPr>
                <w:rFonts w:eastAsia="Arial"/>
                <w:sz w:val="15"/>
              </w:rPr>
              <w:t>17.60</w:t>
            </w:r>
          </w:p>
        </w:tc>
        <w:tc>
          <w:tcPr>
            <w:tcW w:w="720" w:type="dxa"/>
            <w:vAlign w:val="center"/>
          </w:tcPr>
          <w:p w14:paraId="7BCA2B43" w14:textId="77777777" w:rsidR="00AB49D0" w:rsidRDefault="00BC7290">
            <w:pPr>
              <w:spacing w:before="20" w:after="20"/>
              <w:jc w:val="center"/>
            </w:pPr>
            <w:r>
              <w:rPr>
                <w:rFonts w:eastAsia="Arial"/>
                <w:sz w:val="15"/>
              </w:rPr>
              <w:t>0.054</w:t>
            </w:r>
          </w:p>
        </w:tc>
        <w:tc>
          <w:tcPr>
            <w:tcW w:w="720" w:type="dxa"/>
            <w:vAlign w:val="center"/>
          </w:tcPr>
          <w:p w14:paraId="15EAAF8A" w14:textId="77777777" w:rsidR="00AB49D0" w:rsidRDefault="00BC7290">
            <w:pPr>
              <w:spacing w:before="20" w:after="20"/>
              <w:jc w:val="center"/>
            </w:pPr>
            <w:r>
              <w:rPr>
                <w:rFonts w:eastAsia="Arial"/>
                <w:sz w:val="15"/>
              </w:rPr>
              <w:t>0.689</w:t>
            </w:r>
          </w:p>
        </w:tc>
      </w:tr>
      <w:tr w:rsidR="00AB49D0" w14:paraId="300F7407" w14:textId="77777777">
        <w:trPr>
          <w:cantSplit/>
        </w:trPr>
        <w:tc>
          <w:tcPr>
            <w:tcW w:w="2376" w:type="dxa"/>
            <w:vAlign w:val="center"/>
          </w:tcPr>
          <w:p w14:paraId="75F84122" w14:textId="77777777" w:rsidR="00AB49D0" w:rsidRDefault="00BC7290">
            <w:pPr>
              <w:spacing w:before="20" w:after="20"/>
            </w:pPr>
            <w:r>
              <w:rPr>
                <w:rFonts w:eastAsia="Arial"/>
                <w:sz w:val="15"/>
              </w:rPr>
              <w:t>Lower artificial intelligence productivity (-20%)</w:t>
            </w:r>
          </w:p>
        </w:tc>
        <w:tc>
          <w:tcPr>
            <w:tcW w:w="691" w:type="dxa"/>
            <w:vAlign w:val="center"/>
          </w:tcPr>
          <w:p w14:paraId="4FE79D6D" w14:textId="77777777" w:rsidR="00AB49D0" w:rsidRDefault="00BC7290">
            <w:pPr>
              <w:spacing w:before="20" w:after="20"/>
              <w:jc w:val="center"/>
            </w:pPr>
            <w:r>
              <w:rPr>
                <w:rFonts w:eastAsia="Arial"/>
                <w:sz w:val="15"/>
              </w:rPr>
              <w:t>0.65</w:t>
            </w:r>
          </w:p>
        </w:tc>
        <w:tc>
          <w:tcPr>
            <w:tcW w:w="691" w:type="dxa"/>
            <w:vAlign w:val="center"/>
          </w:tcPr>
          <w:p w14:paraId="038F43FB" w14:textId="77777777" w:rsidR="00AB49D0" w:rsidRDefault="00BC7290">
            <w:pPr>
              <w:spacing w:before="20" w:after="20"/>
              <w:jc w:val="center"/>
            </w:pPr>
            <w:r>
              <w:rPr>
                <w:rFonts w:eastAsia="Arial"/>
                <w:sz w:val="15"/>
              </w:rPr>
              <w:t>0.50</w:t>
            </w:r>
          </w:p>
        </w:tc>
        <w:tc>
          <w:tcPr>
            <w:tcW w:w="979" w:type="dxa"/>
            <w:vAlign w:val="center"/>
          </w:tcPr>
          <w:p w14:paraId="2A2F9E72" w14:textId="77777777" w:rsidR="00AB49D0" w:rsidRDefault="00BC7290">
            <w:pPr>
              <w:spacing w:before="20" w:after="20"/>
              <w:jc w:val="center"/>
            </w:pPr>
            <w:r>
              <w:rPr>
                <w:rFonts w:eastAsia="Arial"/>
                <w:sz w:val="15"/>
              </w:rPr>
              <w:t>388.77</w:t>
            </w:r>
          </w:p>
        </w:tc>
        <w:tc>
          <w:tcPr>
            <w:tcW w:w="1296" w:type="dxa"/>
            <w:vAlign w:val="center"/>
          </w:tcPr>
          <w:p w14:paraId="7FDE3FF8" w14:textId="77777777" w:rsidR="00AB49D0" w:rsidRDefault="00BC7290">
            <w:pPr>
              <w:spacing w:before="20" w:after="20"/>
              <w:jc w:val="center"/>
            </w:pPr>
            <w:r>
              <w:rPr>
                <w:rFonts w:eastAsia="Arial"/>
                <w:sz w:val="15"/>
              </w:rPr>
              <w:t>14.28</w:t>
            </w:r>
          </w:p>
        </w:tc>
        <w:tc>
          <w:tcPr>
            <w:tcW w:w="720" w:type="dxa"/>
            <w:vAlign w:val="center"/>
          </w:tcPr>
          <w:p w14:paraId="0C491504" w14:textId="77777777" w:rsidR="00AB49D0" w:rsidRDefault="00BC7290">
            <w:pPr>
              <w:spacing w:before="20" w:after="20"/>
              <w:jc w:val="center"/>
            </w:pPr>
            <w:r>
              <w:rPr>
                <w:rFonts w:eastAsia="Arial"/>
                <w:sz w:val="15"/>
              </w:rPr>
              <w:t>0.045</w:t>
            </w:r>
          </w:p>
        </w:tc>
        <w:tc>
          <w:tcPr>
            <w:tcW w:w="720" w:type="dxa"/>
            <w:vAlign w:val="center"/>
          </w:tcPr>
          <w:p w14:paraId="6AB8011C" w14:textId="77777777" w:rsidR="00AB49D0" w:rsidRDefault="00BC7290">
            <w:pPr>
              <w:spacing w:before="20" w:after="20"/>
              <w:jc w:val="center"/>
            </w:pPr>
            <w:r>
              <w:rPr>
                <w:rFonts w:eastAsia="Arial"/>
                <w:sz w:val="15"/>
              </w:rPr>
              <w:t>0.692</w:t>
            </w:r>
          </w:p>
        </w:tc>
      </w:tr>
      <w:tr w:rsidR="00AB49D0" w14:paraId="04B94B99" w14:textId="77777777">
        <w:trPr>
          <w:cantSplit/>
        </w:trPr>
        <w:tc>
          <w:tcPr>
            <w:tcW w:w="2376" w:type="dxa"/>
            <w:vAlign w:val="center"/>
          </w:tcPr>
          <w:p w14:paraId="5BE2F6C0" w14:textId="77777777" w:rsidR="00AB49D0" w:rsidRDefault="00BC7290">
            <w:pPr>
              <w:spacing w:before="20" w:after="20"/>
            </w:pPr>
            <w:r>
              <w:rPr>
                <w:rFonts w:eastAsia="Arial"/>
                <w:sz w:val="15"/>
              </w:rPr>
              <w:t>Higher artificial intelligence productivity (+20%)</w:t>
            </w:r>
          </w:p>
        </w:tc>
        <w:tc>
          <w:tcPr>
            <w:tcW w:w="691" w:type="dxa"/>
            <w:vAlign w:val="center"/>
          </w:tcPr>
          <w:p w14:paraId="2D210529" w14:textId="77777777" w:rsidR="00AB49D0" w:rsidRDefault="00BC7290">
            <w:pPr>
              <w:spacing w:before="20" w:after="20"/>
              <w:jc w:val="center"/>
            </w:pPr>
            <w:r>
              <w:rPr>
                <w:rFonts w:eastAsia="Arial"/>
                <w:sz w:val="15"/>
              </w:rPr>
              <w:t>0.90</w:t>
            </w:r>
          </w:p>
        </w:tc>
        <w:tc>
          <w:tcPr>
            <w:tcW w:w="691" w:type="dxa"/>
            <w:vAlign w:val="center"/>
          </w:tcPr>
          <w:p w14:paraId="66CFAE77" w14:textId="77777777" w:rsidR="00AB49D0" w:rsidRDefault="00BC7290">
            <w:pPr>
              <w:spacing w:before="20" w:after="20"/>
              <w:jc w:val="center"/>
            </w:pPr>
            <w:r>
              <w:rPr>
                <w:rFonts w:eastAsia="Arial"/>
                <w:sz w:val="15"/>
              </w:rPr>
              <w:t>0.60</w:t>
            </w:r>
          </w:p>
        </w:tc>
        <w:tc>
          <w:tcPr>
            <w:tcW w:w="979" w:type="dxa"/>
            <w:vAlign w:val="center"/>
          </w:tcPr>
          <w:p w14:paraId="4864EA64" w14:textId="77777777" w:rsidR="00AB49D0" w:rsidRDefault="00BC7290">
            <w:pPr>
              <w:spacing w:before="20" w:after="20"/>
              <w:jc w:val="center"/>
            </w:pPr>
            <w:r>
              <w:rPr>
                <w:rFonts w:eastAsia="Arial"/>
                <w:sz w:val="15"/>
              </w:rPr>
              <w:t>451.57</w:t>
            </w:r>
          </w:p>
        </w:tc>
        <w:tc>
          <w:tcPr>
            <w:tcW w:w="1296" w:type="dxa"/>
            <w:vAlign w:val="center"/>
          </w:tcPr>
          <w:p w14:paraId="6280CC07" w14:textId="77777777" w:rsidR="00AB49D0" w:rsidRDefault="00BC7290">
            <w:pPr>
              <w:spacing w:before="20" w:after="20"/>
              <w:jc w:val="center"/>
            </w:pPr>
            <w:r>
              <w:rPr>
                <w:rFonts w:eastAsia="Arial"/>
                <w:sz w:val="15"/>
              </w:rPr>
              <w:t>11.38</w:t>
            </w:r>
          </w:p>
        </w:tc>
        <w:tc>
          <w:tcPr>
            <w:tcW w:w="720" w:type="dxa"/>
            <w:vAlign w:val="center"/>
          </w:tcPr>
          <w:p w14:paraId="0220103F" w14:textId="77777777" w:rsidR="00AB49D0" w:rsidRDefault="00BC7290">
            <w:pPr>
              <w:spacing w:before="20" w:after="20"/>
              <w:jc w:val="center"/>
            </w:pPr>
            <w:r>
              <w:rPr>
                <w:rFonts w:eastAsia="Arial"/>
                <w:sz w:val="15"/>
              </w:rPr>
              <w:t>0.028</w:t>
            </w:r>
          </w:p>
        </w:tc>
        <w:tc>
          <w:tcPr>
            <w:tcW w:w="720" w:type="dxa"/>
            <w:vAlign w:val="center"/>
          </w:tcPr>
          <w:p w14:paraId="231C035A" w14:textId="77777777" w:rsidR="00AB49D0" w:rsidRDefault="00BC7290">
            <w:pPr>
              <w:spacing w:before="20" w:after="20"/>
              <w:jc w:val="center"/>
            </w:pPr>
            <w:r>
              <w:rPr>
                <w:rFonts w:eastAsia="Arial"/>
                <w:sz w:val="15"/>
              </w:rPr>
              <w:t>0.706</w:t>
            </w:r>
          </w:p>
        </w:tc>
      </w:tr>
      <w:tr w:rsidR="00AB49D0" w14:paraId="6E21DC6E" w14:textId="77777777">
        <w:trPr>
          <w:cantSplit/>
        </w:trPr>
        <w:tc>
          <w:tcPr>
            <w:tcW w:w="2376" w:type="dxa"/>
            <w:vAlign w:val="center"/>
          </w:tcPr>
          <w:p w14:paraId="5395E407" w14:textId="77777777" w:rsidR="00AB49D0" w:rsidRDefault="00BC7290">
            <w:pPr>
              <w:spacing w:before="20" w:after="20"/>
            </w:pPr>
            <w:r>
              <w:rPr>
                <w:rFonts w:eastAsia="Arial"/>
                <w:sz w:val="15"/>
              </w:rPr>
              <w:t>Higher unmanaged-risk sensitivity (+20%)</w:t>
            </w:r>
          </w:p>
        </w:tc>
        <w:tc>
          <w:tcPr>
            <w:tcW w:w="691" w:type="dxa"/>
            <w:vAlign w:val="center"/>
          </w:tcPr>
          <w:p w14:paraId="3859CA45" w14:textId="77777777" w:rsidR="00AB49D0" w:rsidRDefault="00BC7290">
            <w:pPr>
              <w:spacing w:before="20" w:after="20"/>
              <w:jc w:val="center"/>
            </w:pPr>
            <w:r>
              <w:rPr>
                <w:rFonts w:eastAsia="Arial"/>
                <w:sz w:val="15"/>
              </w:rPr>
              <w:t>0.80</w:t>
            </w:r>
          </w:p>
        </w:tc>
        <w:tc>
          <w:tcPr>
            <w:tcW w:w="691" w:type="dxa"/>
            <w:vAlign w:val="center"/>
          </w:tcPr>
          <w:p w14:paraId="67B177DB" w14:textId="77777777" w:rsidR="00AB49D0" w:rsidRDefault="00BC7290">
            <w:pPr>
              <w:spacing w:before="20" w:after="20"/>
              <w:jc w:val="center"/>
            </w:pPr>
            <w:r>
              <w:rPr>
                <w:rFonts w:eastAsia="Arial"/>
                <w:sz w:val="15"/>
              </w:rPr>
              <w:t>0.55</w:t>
            </w:r>
          </w:p>
        </w:tc>
        <w:tc>
          <w:tcPr>
            <w:tcW w:w="979" w:type="dxa"/>
            <w:vAlign w:val="center"/>
          </w:tcPr>
          <w:p w14:paraId="1E4FEEA4" w14:textId="77777777" w:rsidR="00AB49D0" w:rsidRDefault="00BC7290">
            <w:pPr>
              <w:spacing w:before="20" w:after="20"/>
              <w:jc w:val="center"/>
            </w:pPr>
            <w:r>
              <w:rPr>
                <w:rFonts w:eastAsia="Arial"/>
                <w:sz w:val="15"/>
              </w:rPr>
              <w:t>417.20</w:t>
            </w:r>
          </w:p>
        </w:tc>
        <w:tc>
          <w:tcPr>
            <w:tcW w:w="1296" w:type="dxa"/>
            <w:vAlign w:val="center"/>
          </w:tcPr>
          <w:p w14:paraId="7B82DA7F" w14:textId="77777777" w:rsidR="00AB49D0" w:rsidRDefault="00BC7290">
            <w:pPr>
              <w:spacing w:before="20" w:after="20"/>
              <w:jc w:val="center"/>
            </w:pPr>
            <w:r>
              <w:rPr>
                <w:rFonts w:eastAsia="Arial"/>
                <w:sz w:val="15"/>
              </w:rPr>
              <w:t>17.09</w:t>
            </w:r>
          </w:p>
        </w:tc>
        <w:tc>
          <w:tcPr>
            <w:tcW w:w="720" w:type="dxa"/>
            <w:vAlign w:val="center"/>
          </w:tcPr>
          <w:p w14:paraId="660540EE" w14:textId="77777777" w:rsidR="00AB49D0" w:rsidRDefault="00BC7290">
            <w:pPr>
              <w:spacing w:before="20" w:after="20"/>
              <w:jc w:val="center"/>
            </w:pPr>
            <w:r>
              <w:rPr>
                <w:rFonts w:eastAsia="Arial"/>
                <w:sz w:val="15"/>
              </w:rPr>
              <w:t>0.054</w:t>
            </w:r>
          </w:p>
        </w:tc>
        <w:tc>
          <w:tcPr>
            <w:tcW w:w="720" w:type="dxa"/>
            <w:vAlign w:val="center"/>
          </w:tcPr>
          <w:p w14:paraId="7298E1F8" w14:textId="77777777" w:rsidR="00AB49D0" w:rsidRDefault="00BC7290">
            <w:pPr>
              <w:spacing w:before="20" w:after="20"/>
              <w:jc w:val="center"/>
            </w:pPr>
            <w:r>
              <w:rPr>
                <w:rFonts w:eastAsia="Arial"/>
                <w:sz w:val="15"/>
              </w:rPr>
              <w:t>0.689</w:t>
            </w:r>
          </w:p>
        </w:tc>
      </w:tr>
    </w:tbl>
    <w:p w14:paraId="2412532F" w14:textId="77777777" w:rsidR="00AB49D0" w:rsidRDefault="00BC7290">
      <w:pPr>
        <w:jc w:val="both"/>
      </w:pPr>
      <w:r>
        <w:rPr>
          <w:rFonts w:eastAsia="Arial"/>
        </w:rPr>
        <w:t>The leverage results require careful interpretation. Leverage changes the level of value because more debt is exposed to the priced rate, but it does not change the best grid coordinates in this baseline range. This is a feature of the chosen parameterisation, not a general theorem. A stronger financing-cost coefficient, tighter liquidity constraint, or endogenous debt quantity could make the optimal technology policy more leverage-sensitive.</w:t>
      </w:r>
    </w:p>
    <w:p w14:paraId="6E0E0937" w14:textId="77777777" w:rsidR="00AB49D0" w:rsidRDefault="00BC7290">
      <w:pPr>
        <w:jc w:val="both"/>
      </w:pPr>
      <w:r>
        <w:rPr>
          <w:rFonts w:eastAsia="Arial"/>
        </w:rPr>
        <w:t xml:space="preserve">Changing the creditor loss fraction from 0.40 to 0.80 shifts the mean borrowing premium at the best policy from 8.79 to 17.60 basis points, exactly reflecting the lender pricing channel in </w:t>
      </w:r>
      <w:r>
        <w:rPr>
          <w:rFonts w:eastAsia="Arial"/>
        </w:rPr>
        <w:lastRenderedPageBreak/>
        <w:t>Equation (9). The optimal grid coordinates remain unchanged because the operating productivity and verification-cost terms are still dominant around the value ridge.</w:t>
      </w:r>
    </w:p>
    <w:p w14:paraId="2B846656" w14:textId="77777777" w:rsidR="00AB49D0" w:rsidRDefault="00BC7290">
      <w:pPr>
        <w:jc w:val="both"/>
      </w:pPr>
      <w:r>
        <w:rPr>
          <w:rFonts w:eastAsia="Arial"/>
        </w:rPr>
        <w:t xml:space="preserve">The artificial intelligence productivity scenarios generate larger policy changes. When the direct productivity coefficient falls by 20%, the best grid point moves to lower automation </w:t>
      </w:r>
      <m:oMath>
        <m:d>
          <m:dPr>
            <m:ctrlPr>
              <w:rPr>
                <w:rFonts w:ascii="Cambria Math" w:hAnsi="Cambria Math"/>
              </w:rPr>
            </m:ctrlPr>
          </m:dPr>
          <m:e>
            <m:r>
              <w:rPr>
                <w:rFonts w:ascii="Cambria Math" w:hAnsi="Cambria Math"/>
              </w:rPr>
              <m:t>0.65</m:t>
            </m:r>
          </m:e>
        </m:d>
      </m:oMath>
      <w:r>
        <w:rPr>
          <w:rFonts w:eastAsia="Arial"/>
        </w:rPr>
        <w:t xml:space="preserve"> and slightly lower verification </w:t>
      </w:r>
      <m:oMath>
        <m:d>
          <m:dPr>
            <m:ctrlPr>
              <w:rPr>
                <w:rFonts w:ascii="Cambria Math" w:hAnsi="Cambria Math"/>
              </w:rPr>
            </m:ctrlPr>
          </m:dPr>
          <m:e>
            <m:r>
              <w:rPr>
                <w:rFonts w:ascii="Cambria Math" w:hAnsi="Cambria Math"/>
              </w:rPr>
              <m:t>0.50</m:t>
            </m:r>
          </m:e>
        </m:d>
      </m:oMath>
      <w:r>
        <w:rPr>
          <w:rFonts w:eastAsia="Arial"/>
        </w:rPr>
        <w:t xml:space="preserve">. When productivity rises by 20%, the best policy moves to </w:t>
      </w:r>
      <m:oMath>
        <m:r>
          <w:rPr>
            <w:rFonts w:ascii="Cambria Math" w:hAnsi="Cambria Math"/>
          </w:rPr>
          <m:t>a</m:t>
        </m:r>
        <m:r>
          <m:rPr>
            <m:sty m:val="p"/>
          </m:rPr>
          <w:rPr>
            <w:rFonts w:ascii="Cambria Math" w:hAnsi="Cambria Math"/>
          </w:rPr>
          <m:t>=</m:t>
        </m:r>
        <m:r>
          <w:rPr>
            <w:rFonts w:ascii="Cambria Math" w:hAnsi="Cambria Math"/>
          </w:rPr>
          <m:t>0.90</m:t>
        </m:r>
      </m:oMath>
      <w:r>
        <w:rPr>
          <w:rFonts w:eastAsia="Arial"/>
        </w:rPr>
        <w:t xml:space="preserve"> and </w:t>
      </w:r>
      <m:oMath>
        <m:r>
          <w:rPr>
            <w:rFonts w:ascii="Cambria Math" w:hAnsi="Cambria Math"/>
          </w:rPr>
          <m:t>v</m:t>
        </m:r>
        <m:r>
          <m:rPr>
            <m:sty m:val="p"/>
          </m:rPr>
          <w:rPr>
            <w:rFonts w:ascii="Cambria Math" w:hAnsi="Cambria Math"/>
          </w:rPr>
          <m:t>=</m:t>
        </m:r>
        <m:r>
          <w:rPr>
            <w:rFonts w:ascii="Cambria Math" w:hAnsi="Cambria Math"/>
          </w:rPr>
          <m:t>0.60</m:t>
        </m:r>
      </m:oMath>
      <w:r>
        <w:rPr>
          <w:rFonts w:eastAsia="Arial"/>
        </w:rPr>
        <w:t>. The verification requirement therefore scales with the economically justified automation level. This result is consistent with the paper’s central claim: assurance should be proportional to deployment rather than treated as a fixed overhead.</w:t>
      </w:r>
    </w:p>
    <w:p w14:paraId="1156C5B1" w14:textId="77777777" w:rsidR="00AB49D0" w:rsidRDefault="00BC7290">
      <w:pPr>
        <w:jc w:val="both"/>
      </w:pPr>
      <w:r>
        <w:rPr>
          <w:rFonts w:eastAsia="Arial"/>
        </w:rPr>
        <w:t>Increasing the coefficients on unmanaged risk by 20% raises the borrowing premium at the preferred policy from 13.19 to 17.09 basis points while leaving the discrete grid optimum unchanged. The result again indicates local flatness. A finer continuous optimisation could shift the exact coordinates, but the economically relevant conclusion is the persistence of a moderate-high verification region.</w:t>
      </w:r>
    </w:p>
    <w:p w14:paraId="48EABF9D" w14:textId="77777777" w:rsidR="00AB49D0" w:rsidRDefault="00BC7290">
      <w:pPr>
        <w:keepNext/>
        <w:spacing w:before="120" w:after="60"/>
      </w:pPr>
      <w:bookmarkStart w:id="31" w:name="interpretation-for-corporate-finance"/>
      <w:bookmarkEnd w:id="30"/>
      <w:r>
        <w:rPr>
          <w:rFonts w:eastAsia="Arial"/>
          <w:b/>
          <w:sz w:val="22"/>
        </w:rPr>
        <w:t>4.5 Interpretation for corporate finance</w:t>
      </w:r>
    </w:p>
    <w:p w14:paraId="70C5B93B" w14:textId="77777777" w:rsidR="00AB49D0" w:rsidRDefault="00BC7290">
      <w:pPr>
        <w:jc w:val="both"/>
      </w:pPr>
      <w:r>
        <w:rPr>
          <w:rFonts w:eastAsia="Arial"/>
        </w:rPr>
        <w:t>The model creates a new corporate-finance interpretation of artificial intelligence governance. Verification spending can be viewed as a form of risk-reducing intangible investment. Like internal control, disclosure quality, audit quality, cybersecurity investment, or covenant compliance, it can affect the distribution of future cash flows and the information set of capital providers. The difference is that artificial intelligence assurance is tightly coupled to the scale of automation. A fixed verification architecture can become insufficient as automated decision scope expands.</w:t>
      </w:r>
    </w:p>
    <w:p w14:paraId="6C600C69" w14:textId="77777777" w:rsidR="00AB49D0" w:rsidRDefault="00BC7290">
      <w:pPr>
        <w:jc w:val="both"/>
      </w:pPr>
      <w:r>
        <w:rPr>
          <w:rFonts w:eastAsia="Arial"/>
        </w:rPr>
        <w:t>This relationship is especially relevant to firms whose intangible processes are difficult for lenders to inspect directly. Outside financiers may observe revenue growth, margins, headcount reduction, or capital expenditure while lacking direct visibility into model dependency, exception handling, human fallback, or verification backlog. Under such conditions, credible evidence of testing and governance can have financial value because it reduces uncertainty about adverse states. This interpretation parallels the broader evidence that transparency and information quality can affect financing costs (Easley &amp; O’Hara, 2004; Lambert et al., 2007; Brugler et al., 2022).</w:t>
      </w:r>
    </w:p>
    <w:p w14:paraId="3BC8FB46" w14:textId="77777777" w:rsidR="00AB49D0" w:rsidRDefault="00BC7290">
      <w:pPr>
        <w:jc w:val="both"/>
      </w:pPr>
      <w:r>
        <w:rPr>
          <w:rFonts w:eastAsia="Arial"/>
        </w:rPr>
        <w:t>The artificial intelligence verification premium also suggests a role for debt covenants and technology-risk disclosure. Lenders could condition pricing not on a generic statement that a borrower “uses artificial intelligence” but on measurable assurance indicators, such as independent validation coverage, incident rates, unresolved high-severity findings, model inventory completeness, concentration in external model providers, fallback capacity, and the share of consequential automated decisions subject to effective human challenge. The model does not estimate the market price of these indicators, but it provides a theoretical rationale for why such a price can exist.</w:t>
      </w:r>
    </w:p>
    <w:p w14:paraId="285C9242" w14:textId="77777777" w:rsidR="00AB49D0" w:rsidRDefault="00BC7290">
      <w:pPr>
        <w:keepNext/>
        <w:spacing w:before="120" w:after="60"/>
      </w:pPr>
      <w:bookmarkStart w:id="32" w:name="interpretation-for-management"/>
      <w:bookmarkEnd w:id="31"/>
      <w:r>
        <w:rPr>
          <w:rFonts w:eastAsia="Arial"/>
          <w:b/>
          <w:sz w:val="22"/>
        </w:rPr>
        <w:t>4.6 Interpretation for management</w:t>
      </w:r>
    </w:p>
    <w:p w14:paraId="0263C20D" w14:textId="77777777" w:rsidR="00AB49D0" w:rsidRDefault="00BC7290">
      <w:pPr>
        <w:jc w:val="both"/>
      </w:pPr>
      <w:r>
        <w:rPr>
          <w:rFonts w:eastAsia="Arial"/>
        </w:rPr>
        <w:t>For managers, the main implication is that productivity dashboards can be incomplete. A policy that raises throughput while increasing verification debt may appear successful before financing and tail-risk effects are visible. The acceleration-first simulation captures this possibility: value from automation is real, but the borrowing premium rises enough to erode a substantial part of the advantage.</w:t>
      </w:r>
    </w:p>
    <w:p w14:paraId="4818188E" w14:textId="77777777" w:rsidR="00AB49D0" w:rsidRDefault="00BC7290">
      <w:pPr>
        <w:jc w:val="both"/>
      </w:pPr>
      <w:r>
        <w:rPr>
          <w:rFonts w:eastAsia="Arial"/>
        </w:rPr>
        <w:t xml:space="preserve">A second implication is that more assurance is not always better. Assurance-heavy policy delivers the lowest spread and incident frequency but the lowest value among the three strongly controlled regimes. Governance quality should therefore be assessed in relation to materiality and deployment scope. This is consistent with model-risk practice, which generally scales validation requirements to model materiality and potential impact rather than </w:t>
      </w:r>
      <w:r>
        <w:rPr>
          <w:rFonts w:eastAsia="Arial"/>
        </w:rPr>
        <w:lastRenderedPageBreak/>
        <w:t>demanding the maximum control burden for every use (Board of Governors of the Federal Reserve System &amp; Office of the Comptroller of the Currency, 2011).</w:t>
      </w:r>
    </w:p>
    <w:p w14:paraId="5F72E364" w14:textId="77777777" w:rsidR="00AB49D0" w:rsidRDefault="00BC7290">
      <w:pPr>
        <w:jc w:val="both"/>
      </w:pPr>
      <w:r>
        <w:rPr>
          <w:rFonts w:eastAsia="Arial"/>
        </w:rPr>
        <w:t>A third implication is that preserving human capability has option value. Equation (4) makes expertise an endogenous stock. When weakly verified automation displaces active review, human capability erodes and future verification becomes less effective. This creates hysteresis: after a long period of unchecked automation, increasing the verification budget may not immediately restore risk control. Training, rotation, manual fallback exercises, and deliberate retention of domain expertise can therefore be interpreted as financing-relevant resilience investments.</w:t>
      </w:r>
    </w:p>
    <w:p w14:paraId="558A6212" w14:textId="77777777" w:rsidR="00AB49D0" w:rsidRDefault="00BC7290">
      <w:pPr>
        <w:keepNext/>
        <w:spacing w:before="120" w:after="60"/>
      </w:pPr>
      <w:bookmarkStart w:id="33" w:name="X65f88daa0be3cca917c299f295267d99fd3b9f2"/>
      <w:bookmarkEnd w:id="32"/>
      <w:r>
        <w:rPr>
          <w:rFonts w:eastAsia="Arial"/>
          <w:b/>
          <w:sz w:val="22"/>
        </w:rPr>
        <w:t>4.7 Relationship to the verification-debt literature</w:t>
      </w:r>
    </w:p>
    <w:p w14:paraId="38E13836" w14:textId="77777777" w:rsidR="00AB49D0" w:rsidRDefault="00BC7290">
      <w:pPr>
        <w:jc w:val="both"/>
      </w:pPr>
      <w:r>
        <w:rPr>
          <w:rFonts w:eastAsia="Arial"/>
        </w:rPr>
        <w:t>The study is conceptually related to the verification-debt framework developed by Tan (2026), but the contribution is not a replication. The earlier model explains how artificial intelligence-enabled productivity can coexist with internal organisational fragility and shows that extensive automation can remain valuable when verification is strong. The present paper adds an external price mechanism. Verification debt enters a probabilistic loss function, lenders price that probability through a zero-profit condition, and the resulting spread feeds back into firm value. This transforms verification debt from an internal management stock into a potential capital-market variable.</w:t>
      </w:r>
    </w:p>
    <w:p w14:paraId="33364A22" w14:textId="77777777" w:rsidR="00AB49D0" w:rsidRDefault="00BC7290">
      <w:pPr>
        <w:jc w:val="both"/>
      </w:pPr>
      <w:r>
        <w:rPr>
          <w:rFonts w:eastAsia="Arial"/>
        </w:rPr>
        <w:t>The distinction matters because a firm can remain operationally productive while experiencing a deterioration in financing terms. Conversely, a firm that invests in credible assurance may receive a financing benefit even when the assurance activity appears to reduce short-run operating efficiency. The artificial intelligence verification premium therefore provides a mechanism for reconciling technology governance with shareholder-value and creditor-value perspectives.</w:t>
      </w:r>
    </w:p>
    <w:p w14:paraId="44C6BE03" w14:textId="77777777" w:rsidR="00AB49D0" w:rsidRDefault="00BC7290">
      <w:pPr>
        <w:keepNext/>
        <w:spacing w:before="120" w:after="60"/>
      </w:pPr>
      <w:bookmarkStart w:id="34" w:name="Xd4a93ae45df6d7f87f1e0785c8e8a21680cf5a4"/>
      <w:bookmarkEnd w:id="33"/>
      <w:r>
        <w:rPr>
          <w:rFonts w:eastAsia="Arial"/>
          <w:b/>
          <w:sz w:val="22"/>
        </w:rPr>
        <w:t>4.8 Limitations and directions for empirical testing</w:t>
      </w:r>
    </w:p>
    <w:p w14:paraId="177453C2" w14:textId="77777777" w:rsidR="00AB49D0" w:rsidRDefault="00BC7290">
      <w:pPr>
        <w:jc w:val="both"/>
      </w:pPr>
      <w:r>
        <w:rPr>
          <w:rFonts w:eastAsia="Arial"/>
        </w:rPr>
        <w:t>The model has six important limitations. First, parameter values are stylised rather than estimated from corporate loan or bond data. The numerical spread levels should not be interpreted as forecasts. Second, lenders are represented by a competitive one-period pricing condition with exogenous loss-given-default. Real credit markets include maturity structure, collateral, covenants, ratings, taxes, liquidity premia, relationship banking, and strategic renegotiation. Third, the firm uses fixed automation and verification policies in the main experiments. Endogenous adaptive control would allow managers to respond to realised debt, incidents, or financing conditions.</w:t>
      </w:r>
    </w:p>
    <w:p w14:paraId="64BDE4B5" w14:textId="77777777" w:rsidR="00AB49D0" w:rsidRDefault="00BC7290">
      <w:pPr>
        <w:jc w:val="both"/>
      </w:pPr>
      <w:r>
        <w:rPr>
          <w:rFonts w:eastAsia="Arial"/>
        </w:rPr>
        <w:t>Fourth, the model treats the priced failure probability as if lenders can form an adequate risk estimate. In practice, artificial intelligence opacity may itself create estimation error. A richer model could separate true risk from observed assurance signals and study signalling equilibria, adverse selection, or rating disagreement. Fifth, the model contains a single representative class of automation. Actual firms use heterogeneous systems across low-stakes and high-stakes tasks, with different failure correlations and verification requirements. Sixth, human capability is represented by one bounded stock, whereas real organisations contain multiple forms of technical, domain, legal, and managerial expertise.</w:t>
      </w:r>
    </w:p>
    <w:p w14:paraId="63FBEC89" w14:textId="77777777" w:rsidR="00AB49D0" w:rsidRDefault="00BC7290">
      <w:pPr>
        <w:jc w:val="both"/>
      </w:pPr>
      <w:r>
        <w:rPr>
          <w:rFonts w:eastAsia="Arial"/>
        </w:rPr>
        <w:t>These limitations define an empirical research agenda. Future studies could test whether firms with more extensive artificial intelligence exposure face different loan spreads, bond yields, covenant intensity, insurance pricing, or rating outlooks after controlling for conventional risk. The central identification challenge would be measurement of assurance quality. Potential measures include model validation coverage, internal-audit findings, disclosed artificial intelligence incidents, governance committee structure, third-party concentration, assurance expenditure, and verification backlog. Natural experiments created by new disclosure rules or supervisory guidance could help establish causality.</w:t>
      </w:r>
    </w:p>
    <w:p w14:paraId="52AE3C7A" w14:textId="77777777" w:rsidR="00AB49D0" w:rsidRDefault="00BC7290">
      <w:pPr>
        <w:jc w:val="both"/>
      </w:pPr>
      <w:r>
        <w:rPr>
          <w:rFonts w:eastAsia="Arial"/>
        </w:rPr>
        <w:lastRenderedPageBreak/>
        <w:t>A second empirical strategy would focus on within-firm project financing. If two business units have similar conventional financial characteristics but differ in the materiality and verification quality of automated decision systems, internal hurdle rates, capital allocations, or insurance costs may reveal a shadow artificial intelligence verification premium before external markets price it directly.</w:t>
      </w:r>
    </w:p>
    <w:p w14:paraId="01530611" w14:textId="77777777" w:rsidR="00AB49D0" w:rsidRDefault="00BC7290">
      <w:pPr>
        <w:pStyle w:val="Heading1"/>
        <w:spacing w:before="160" w:after="100"/>
      </w:pPr>
      <w:bookmarkStart w:id="35" w:name="conclusion"/>
      <w:bookmarkEnd w:id="25"/>
      <w:bookmarkEnd w:id="34"/>
      <w:commentRangeStart w:id="36"/>
      <w:r>
        <w:rPr>
          <w:rFonts w:eastAsia="Arial"/>
          <w:sz w:val="22"/>
        </w:rPr>
        <w:t>5. CONCLUSION</w:t>
      </w:r>
      <w:commentRangeEnd w:id="36"/>
      <w:r w:rsidR="007F4C66">
        <w:rPr>
          <w:rStyle w:val="CommentReference"/>
          <w:sz w:val="28"/>
          <w:szCs w:val="20"/>
        </w:rPr>
        <w:commentReference w:id="36"/>
      </w:r>
    </w:p>
    <w:p w14:paraId="691C634F" w14:textId="77777777" w:rsidR="00AB49D0" w:rsidRDefault="00BC7290">
      <w:pPr>
        <w:jc w:val="both"/>
      </w:pPr>
      <w:r>
        <w:rPr>
          <w:rFonts w:eastAsia="Arial"/>
        </w:rPr>
        <w:t>This study develops the artificial intelligence verification premium as a bridge between artificial intelligence management and corporate finance. The model begins from a simple proposition: if weakly verified automation changes the probability of adverse operating outcomes, competitive lenders should price that change. Once verification debt and human oversight capability are allowed to evolve dynamically, the cost of debt becomes path-dependent rather than a static function of automation intensity.</w:t>
      </w:r>
    </w:p>
    <w:p w14:paraId="011AC331" w14:textId="77777777" w:rsidR="00AB49D0" w:rsidRDefault="00BC7290">
      <w:pPr>
        <w:jc w:val="both"/>
      </w:pPr>
      <w:r>
        <w:rPr>
          <w:rFonts w:eastAsia="Arial"/>
        </w:rPr>
        <w:t>The analytical results show that the borrowing premium is increasing and convex in priced failure probability. They also identify a direct-risk verification threshold and a verification-debt non-accumulation threshold. The computational experiments reinforce these mechanisms. Acceleration-first automation generates a mean borrowing premium of 130.56 basis points per quarter and a discounted value of 356.82, while balanced assurance and assurance-scaled automation keep premiums near 10 to 11 basis points and produce materially higher value. A full policy search identifies a broad value ridge around high but not maximal automation and moderate-high verification. The best evaluated point, automation 0.80 and verification 0.55, lies just above the analytical direct-risk threshold of 0.538.</w:t>
      </w:r>
    </w:p>
    <w:p w14:paraId="7ABEE68B" w14:textId="77777777" w:rsidR="00AB49D0" w:rsidRDefault="00BC7290">
      <w:pPr>
        <w:jc w:val="both"/>
      </w:pPr>
      <w:r>
        <w:rPr>
          <w:rFonts w:eastAsia="Arial"/>
        </w:rPr>
        <w:t>The main implication is conditional rather than anti-technology. Artificial intelligence can improve firm value, including at high automation intensity, when assurance scales with deployment. Weak verification can convert some of the productivity gain into an endogenous financing penalty, while excessive verification can destroy value through its direct cost. Corporate artificial intelligence strategy should therefore optimise productivity, assurance, human capability, and financing jointly.</w:t>
      </w:r>
    </w:p>
    <w:p w14:paraId="089F6819" w14:textId="77777777" w:rsidR="00AB49D0" w:rsidRDefault="00BC7290">
      <w:pPr>
        <w:jc w:val="both"/>
      </w:pPr>
      <w:r>
        <w:rPr>
          <w:rFonts w:eastAsia="Arial"/>
        </w:rPr>
        <w:t>For finance research, the framework suggests that artificial intelligence governance may become a priced intangible characteristic of the firm. For managers, it implies that verification is not merely a technical control or compliance expense. Under plausible financing conditions, it can be part of the firm’s cost-of-capital architecture.</w:t>
      </w:r>
    </w:p>
    <w:p w14:paraId="7607ACBF" w14:textId="77777777" w:rsidR="00AB49D0" w:rsidRDefault="00BC7290">
      <w:pPr>
        <w:pStyle w:val="Heading1"/>
        <w:spacing w:before="160" w:after="100"/>
      </w:pPr>
      <w:bookmarkStart w:id="37" w:name="competing-interests"/>
      <w:bookmarkEnd w:id="35"/>
      <w:r>
        <w:rPr>
          <w:rFonts w:eastAsia="Arial"/>
          <w:sz w:val="22"/>
        </w:rPr>
        <w:t>COMPETING INTERESTS</w:t>
      </w:r>
    </w:p>
    <w:p w14:paraId="1F7B09E9" w14:textId="77777777" w:rsidR="00AB49D0" w:rsidRDefault="00BC7290">
      <w:pPr>
        <w:jc w:val="both"/>
      </w:pPr>
      <w:r>
        <w:rPr>
          <w:rFonts w:eastAsia="Arial"/>
        </w:rPr>
        <w:t>The author declares that no competing interests exist.</w:t>
      </w:r>
    </w:p>
    <w:p w14:paraId="56843796" w14:textId="77777777" w:rsidR="00AB49D0" w:rsidRDefault="00BC7290">
      <w:pPr>
        <w:pStyle w:val="Heading1"/>
        <w:spacing w:before="160" w:after="100"/>
      </w:pPr>
      <w:bookmarkStart w:id="38" w:name="ethical-approval"/>
      <w:bookmarkEnd w:id="37"/>
      <w:r>
        <w:rPr>
          <w:rFonts w:eastAsia="Arial"/>
          <w:sz w:val="22"/>
        </w:rPr>
        <w:t>ETHICAL APPROVAL</w:t>
      </w:r>
    </w:p>
    <w:p w14:paraId="29555B19" w14:textId="77777777" w:rsidR="00AB49D0" w:rsidRDefault="00BC7290">
      <w:pPr>
        <w:jc w:val="both"/>
      </w:pPr>
      <w:r>
        <w:rPr>
          <w:rFonts w:eastAsia="Arial"/>
        </w:rPr>
        <w:t>Not applicable. The study is theoretical and computational and uses no human participants, personal data, patient information, animal subjects, or proprietary organisational data.</w:t>
      </w:r>
    </w:p>
    <w:p w14:paraId="4A948D3F" w14:textId="77777777" w:rsidR="00AB49D0" w:rsidRDefault="00BC7290">
      <w:pPr>
        <w:pStyle w:val="Heading1"/>
        <w:spacing w:before="160" w:after="100"/>
      </w:pPr>
      <w:bookmarkStart w:id="39" w:name="data-and-code-availability"/>
      <w:bookmarkEnd w:id="38"/>
      <w:r>
        <w:rPr>
          <w:rFonts w:eastAsia="Arial"/>
          <w:sz w:val="22"/>
        </w:rPr>
        <w:t>DATA AND CODE AVAILABILITY</w:t>
      </w:r>
    </w:p>
    <w:p w14:paraId="3FFB8872" w14:textId="77777777" w:rsidR="00AB49D0" w:rsidRDefault="00BC7290">
      <w:pPr>
        <w:jc w:val="both"/>
        <w:rPr>
          <w:rFonts w:eastAsia="Arial"/>
        </w:rPr>
      </w:pPr>
      <w:r>
        <w:rPr>
          <w:rFonts w:eastAsia="Arial"/>
        </w:rPr>
        <w:t>No external empirical dataset was used. All reported numerical results are generated from the equations and parameter values stated in the manuscript using the master random seed 20260810. The Python simulation code used to generate the tables and figures is available from the corresponding author and can be supplied as supplementary material.</w:t>
      </w:r>
    </w:p>
    <w:p w14:paraId="2FAE6019" w14:textId="77777777" w:rsidR="00BC337A" w:rsidRPr="000839CE" w:rsidRDefault="00BC337A" w:rsidP="00BC337A">
      <w:pPr>
        <w:spacing w:after="0"/>
        <w:rPr>
          <w:rFonts w:ascii="Times New Roman" w:hAnsi="Times New Roman"/>
          <w:b/>
        </w:rPr>
      </w:pPr>
      <w:bookmarkStart w:id="40" w:name="_Hlk234486585"/>
      <w:bookmarkStart w:id="41" w:name="_Hlk234075571"/>
      <w:bookmarkStart w:id="42" w:name="_Hlk232755622"/>
      <w:r w:rsidRPr="000839CE">
        <w:rPr>
          <w:rFonts w:ascii="Times New Roman" w:hAnsi="Times New Roman"/>
          <w:b/>
        </w:rPr>
        <w:t>Declaration of AI Use</w:t>
      </w:r>
    </w:p>
    <w:p w14:paraId="4FA95B06" w14:textId="77777777" w:rsidR="00BC337A" w:rsidRPr="000839CE" w:rsidRDefault="00BC337A" w:rsidP="00BC337A">
      <w:pPr>
        <w:spacing w:after="0"/>
        <w:rPr>
          <w:rFonts w:ascii="Times New Roman" w:hAnsi="Times New Roman"/>
        </w:rPr>
      </w:pPr>
      <w:bookmarkStart w:id="43" w:name="_Hlk234486575"/>
      <w:bookmarkEnd w:id="40"/>
    </w:p>
    <w:p w14:paraId="2F15DB02" w14:textId="77777777" w:rsidR="00BC337A" w:rsidRPr="000839CE" w:rsidRDefault="00BC337A" w:rsidP="00BC337A">
      <w:pPr>
        <w:spacing w:after="0"/>
        <w:jc w:val="both"/>
        <w:rPr>
          <w:rFonts w:ascii="Times New Roman" w:hAnsi="Times New Roman"/>
        </w:rPr>
      </w:pPr>
      <w:r w:rsidRPr="00C56790">
        <w:rPr>
          <w:rFonts w:ascii="Times New Roman" w:hAnsi="Times New Roman"/>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w:t>
      </w:r>
      <w:r w:rsidRPr="00C56790">
        <w:rPr>
          <w:rFonts w:ascii="Times New Roman" w:hAnsi="Times New Roman"/>
        </w:rPr>
        <w:lastRenderedPageBreak/>
        <w:t>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41"/>
      <w:r w:rsidRPr="00C56790">
        <w:rPr>
          <w:rFonts w:ascii="Times New Roman" w:hAnsi="Times New Roman"/>
        </w:rPr>
        <w:t>.</w:t>
      </w:r>
    </w:p>
    <w:bookmarkEnd w:id="42"/>
    <w:bookmarkEnd w:id="43"/>
    <w:p w14:paraId="747FAFCB" w14:textId="77777777" w:rsidR="00BC337A" w:rsidRDefault="00BC337A">
      <w:pPr>
        <w:jc w:val="both"/>
      </w:pPr>
    </w:p>
    <w:p w14:paraId="6187F74E" w14:textId="77777777" w:rsidR="00AB49D0" w:rsidRDefault="00BC7290">
      <w:pPr>
        <w:pStyle w:val="Heading1"/>
        <w:spacing w:before="160" w:after="100"/>
      </w:pPr>
      <w:bookmarkStart w:id="44" w:name="references"/>
      <w:bookmarkEnd w:id="39"/>
      <w:commentRangeStart w:id="45"/>
      <w:r>
        <w:rPr>
          <w:rFonts w:eastAsia="Arial"/>
          <w:sz w:val="22"/>
        </w:rPr>
        <w:t>REFERENCES</w:t>
      </w:r>
      <w:commentRangeEnd w:id="45"/>
      <w:r w:rsidR="007F4C66">
        <w:rPr>
          <w:rStyle w:val="CommentReference"/>
          <w:sz w:val="28"/>
          <w:szCs w:val="20"/>
        </w:rPr>
        <w:commentReference w:id="45"/>
      </w:r>
    </w:p>
    <w:p w14:paraId="38274F37" w14:textId="77777777" w:rsidR="00AB49D0" w:rsidRDefault="00BC7290">
      <w:pPr>
        <w:spacing w:after="80"/>
        <w:ind w:left="360" w:hanging="360"/>
      </w:pPr>
      <w:r>
        <w:rPr>
          <w:rFonts w:eastAsia="Arial"/>
        </w:rPr>
        <w:t xml:space="preserve">Acemoglu, D. (2025). The simple macroeconomics of AI. </w:t>
      </w:r>
      <w:r>
        <w:rPr>
          <w:rFonts w:eastAsia="Arial"/>
          <w:i/>
          <w:iCs/>
        </w:rPr>
        <w:t>Economic Policy, 40</w:t>
      </w:r>
      <w:r>
        <w:rPr>
          <w:rFonts w:eastAsia="Arial"/>
        </w:rPr>
        <w:t>(121), 13-58. https://doi.org/10.1093/epolic/eiae042</w:t>
      </w:r>
    </w:p>
    <w:p w14:paraId="5716CFB0" w14:textId="77777777" w:rsidR="00AB49D0" w:rsidRDefault="00BC7290">
      <w:pPr>
        <w:spacing w:after="80"/>
        <w:ind w:left="360" w:hanging="360"/>
      </w:pPr>
      <w:r>
        <w:rPr>
          <w:rFonts w:eastAsia="Arial"/>
        </w:rPr>
        <w:t xml:space="preserve">Board of Governors of the Federal Reserve System, &amp; Office of the Comptroller of the Currency. (2011). </w:t>
      </w:r>
      <w:r>
        <w:rPr>
          <w:rFonts w:eastAsia="Arial"/>
          <w:i/>
          <w:iCs/>
        </w:rPr>
        <w:t>Supervisory guidance on model risk management (SR 11-7 / OCC 2011-12).</w:t>
      </w:r>
      <w:r>
        <w:rPr>
          <w:rFonts w:eastAsia="Arial"/>
        </w:rPr>
        <w:t xml:space="preserve"> https://www.federalreserve.gov/supervisionreg/srletters/sr1107.htm</w:t>
      </w:r>
    </w:p>
    <w:p w14:paraId="212A838F" w14:textId="77777777" w:rsidR="00AB49D0" w:rsidRDefault="00BC7290">
      <w:pPr>
        <w:spacing w:after="80"/>
        <w:ind w:left="360" w:hanging="360"/>
      </w:pPr>
      <w:r>
        <w:rPr>
          <w:rFonts w:eastAsia="Arial"/>
        </w:rPr>
        <w:t xml:space="preserve">Brugler, J., Comerton-Forde, C., &amp; Martin, J. S. (2022). Secondary market transparency and corporate bond issuing costs. </w:t>
      </w:r>
      <w:r>
        <w:rPr>
          <w:rFonts w:eastAsia="Arial"/>
          <w:i/>
          <w:iCs/>
        </w:rPr>
        <w:t>Review of Finance, 26</w:t>
      </w:r>
      <w:r>
        <w:rPr>
          <w:rFonts w:eastAsia="Arial"/>
        </w:rPr>
        <w:t>(1), 43-77. https://doi.org/10.1093/rof/rfab017</w:t>
      </w:r>
    </w:p>
    <w:p w14:paraId="7705B8A6" w14:textId="77777777" w:rsidR="00AB49D0" w:rsidRDefault="00BC7290">
      <w:pPr>
        <w:spacing w:after="80"/>
        <w:ind w:left="360" w:hanging="360"/>
      </w:pPr>
      <w:r>
        <w:rPr>
          <w:rFonts w:eastAsia="Arial"/>
        </w:rPr>
        <w:t xml:space="preserve">Brynjolfsson, E., Li, D., &amp; Raymond, L. (2025). Generative AI at work. </w:t>
      </w:r>
      <w:r>
        <w:rPr>
          <w:rFonts w:eastAsia="Arial"/>
          <w:i/>
          <w:iCs/>
        </w:rPr>
        <w:t>The Quarterly Journal of Economics, 140</w:t>
      </w:r>
      <w:r>
        <w:rPr>
          <w:rFonts w:eastAsia="Arial"/>
        </w:rPr>
        <w:t>(2), 889-942. https://doi.org/10.1093/qje/qjae044</w:t>
      </w:r>
    </w:p>
    <w:p w14:paraId="31899EE2" w14:textId="77777777" w:rsidR="00AB49D0" w:rsidRDefault="00BC7290">
      <w:pPr>
        <w:spacing w:after="80"/>
        <w:ind w:left="360" w:hanging="360"/>
      </w:pPr>
      <w:r w:rsidRPr="002A2BC0">
        <w:rPr>
          <w:rFonts w:eastAsia="Arial"/>
          <w:lang w:val="pt-BR"/>
        </w:rPr>
        <w:t xml:space="preserve">Crisanto, J. C., Leuterio, C. B., Prenio, J., &amp; Yong, J. (2024). </w:t>
      </w:r>
      <w:r>
        <w:rPr>
          <w:rFonts w:eastAsia="Arial"/>
          <w:i/>
          <w:iCs/>
        </w:rPr>
        <w:t>Regulating AI in the financial sector: Recent developments and main challenges</w:t>
      </w:r>
      <w:r>
        <w:rPr>
          <w:rFonts w:eastAsia="Arial"/>
        </w:rPr>
        <w:t xml:space="preserve"> (FSI Insights on Policy Implementation No. 63). Bank for International Settlements. https://www.bis.org/fsi/publ/insights63.htm</w:t>
      </w:r>
    </w:p>
    <w:p w14:paraId="07A11135" w14:textId="77777777" w:rsidR="00AB49D0" w:rsidRDefault="00BC7290">
      <w:pPr>
        <w:spacing w:after="80"/>
        <w:ind w:left="360" w:hanging="360"/>
      </w:pPr>
      <w:r>
        <w:rPr>
          <w:rFonts w:eastAsia="Arial"/>
        </w:rPr>
        <w:t xml:space="preserve">Diamond, D. W. (1984). Financial intermediation and delegated monitoring. </w:t>
      </w:r>
      <w:r>
        <w:rPr>
          <w:rFonts w:eastAsia="Arial"/>
          <w:i/>
          <w:iCs/>
        </w:rPr>
        <w:t>The Review of Economic Studies, 51</w:t>
      </w:r>
      <w:r>
        <w:rPr>
          <w:rFonts w:eastAsia="Arial"/>
        </w:rPr>
        <w:t>(3), 393-414. https://doi.org/10.2307/2297430</w:t>
      </w:r>
    </w:p>
    <w:p w14:paraId="491DCE35" w14:textId="77777777" w:rsidR="00AB49D0" w:rsidRDefault="00BC7290">
      <w:pPr>
        <w:spacing w:after="80"/>
        <w:ind w:left="360" w:hanging="360"/>
      </w:pPr>
      <w:r>
        <w:rPr>
          <w:rFonts w:eastAsia="Arial"/>
        </w:rPr>
        <w:t xml:space="preserve">Easley, D., &amp; O’Hara, M. (2004). Information and the cost of capital. </w:t>
      </w:r>
      <w:r>
        <w:rPr>
          <w:rFonts w:eastAsia="Arial"/>
          <w:i/>
          <w:iCs/>
        </w:rPr>
        <w:t>The Journal of Finance, 59</w:t>
      </w:r>
      <w:r>
        <w:rPr>
          <w:rFonts w:eastAsia="Arial"/>
        </w:rPr>
        <w:t>(4), 1553-1583. https://doi.org/10.1111/j.1540-6261.2004.00672.x</w:t>
      </w:r>
    </w:p>
    <w:p w14:paraId="177CAAB0" w14:textId="77777777" w:rsidR="00AB49D0" w:rsidRDefault="00BC7290">
      <w:pPr>
        <w:spacing w:after="80"/>
        <w:ind w:left="360" w:hanging="360"/>
      </w:pPr>
      <w:r>
        <w:rPr>
          <w:rFonts w:eastAsia="Arial"/>
        </w:rPr>
        <w:t xml:space="preserve">Financial Stability Board. (2024). </w:t>
      </w:r>
      <w:r>
        <w:rPr>
          <w:rFonts w:eastAsia="Arial"/>
          <w:i/>
          <w:iCs/>
        </w:rPr>
        <w:t>The financial stability implications of artificial intelligence.</w:t>
      </w:r>
      <w:r>
        <w:rPr>
          <w:rFonts w:eastAsia="Arial"/>
        </w:rPr>
        <w:t xml:space="preserve"> https://www.fsb.org/2024/11/the-financial-stability-implications-of-artificial-intelligence/</w:t>
      </w:r>
    </w:p>
    <w:p w14:paraId="24ACD6D7" w14:textId="77777777" w:rsidR="00AB49D0" w:rsidRDefault="00BC7290">
      <w:pPr>
        <w:spacing w:after="80"/>
        <w:ind w:left="360" w:hanging="360"/>
      </w:pPr>
      <w:r>
        <w:rPr>
          <w:rFonts w:eastAsia="Arial"/>
        </w:rPr>
        <w:t xml:space="preserve">Gans, J. S. (2025). How learning about harms impacts the optimal rate of artificial intelligence adoption. </w:t>
      </w:r>
      <w:r>
        <w:rPr>
          <w:rFonts w:eastAsia="Arial"/>
          <w:i/>
          <w:iCs/>
        </w:rPr>
        <w:t>Economic Policy, 40</w:t>
      </w:r>
      <w:r>
        <w:rPr>
          <w:rFonts w:eastAsia="Arial"/>
        </w:rPr>
        <w:t>(121), 199-219. https://doi.org/10.1093/epolic/eiae053</w:t>
      </w:r>
    </w:p>
    <w:p w14:paraId="15BAB2BA" w14:textId="77777777" w:rsidR="00AB49D0" w:rsidRDefault="00BC7290">
      <w:pPr>
        <w:spacing w:after="80"/>
        <w:ind w:left="360" w:hanging="360"/>
      </w:pPr>
      <w:r>
        <w:rPr>
          <w:rFonts w:eastAsia="Arial"/>
        </w:rPr>
        <w:t xml:space="preserve">Holmström, B., &amp; Tirole, J. (1997). Financial intermediation, loanable funds, and the real sector. </w:t>
      </w:r>
      <w:r>
        <w:rPr>
          <w:rFonts w:eastAsia="Arial"/>
          <w:i/>
          <w:iCs/>
        </w:rPr>
        <w:t>The Quarterly Journal of Economics, 112</w:t>
      </w:r>
      <w:r>
        <w:rPr>
          <w:rFonts w:eastAsia="Arial"/>
        </w:rPr>
        <w:t>(3), 663-691. https://doi.org/10.1162/003355397555316</w:t>
      </w:r>
    </w:p>
    <w:p w14:paraId="36673B06" w14:textId="77777777" w:rsidR="00AB49D0" w:rsidRDefault="00BC7290">
      <w:pPr>
        <w:spacing w:after="80"/>
        <w:ind w:left="360" w:hanging="360"/>
      </w:pPr>
      <w:r>
        <w:rPr>
          <w:rFonts w:eastAsia="Arial"/>
        </w:rPr>
        <w:t xml:space="preserve">Iannamorelli, A., Nobili, S., Scalia, A., &amp; Zaccaria, L. (2024). Asymmetric information and corporate lending: Evidence from SME bond markets. </w:t>
      </w:r>
      <w:r>
        <w:rPr>
          <w:rFonts w:eastAsia="Arial"/>
          <w:i/>
          <w:iCs/>
        </w:rPr>
        <w:t>Review of Finance, 28</w:t>
      </w:r>
      <w:r>
        <w:rPr>
          <w:rFonts w:eastAsia="Arial"/>
        </w:rPr>
        <w:t>(1), 163-201. https://doi.org/10.1093/rof/rfad024</w:t>
      </w:r>
    </w:p>
    <w:p w14:paraId="31502A86" w14:textId="77777777" w:rsidR="00AB49D0" w:rsidRDefault="00BC7290">
      <w:pPr>
        <w:spacing w:after="80"/>
        <w:ind w:left="360" w:hanging="360"/>
      </w:pPr>
      <w:r>
        <w:rPr>
          <w:rFonts w:eastAsia="Arial"/>
        </w:rPr>
        <w:t xml:space="preserve">Jensen, M. C., &amp; Meckling, W. H. (1976). Theory of the firm: Managerial behavior, agency costs and ownership structure. </w:t>
      </w:r>
      <w:r>
        <w:rPr>
          <w:rFonts w:eastAsia="Arial"/>
          <w:i/>
          <w:iCs/>
        </w:rPr>
        <w:t>Journal of Financial Economics, 3</w:t>
      </w:r>
      <w:r>
        <w:rPr>
          <w:rFonts w:eastAsia="Arial"/>
        </w:rPr>
        <w:t>(4), 305-360. https://doi.org/10.1016/0304-405X(76)90026-X</w:t>
      </w:r>
    </w:p>
    <w:p w14:paraId="6B7C2C3F" w14:textId="77777777" w:rsidR="00AB49D0" w:rsidRDefault="00BC7290">
      <w:pPr>
        <w:spacing w:after="80"/>
        <w:ind w:left="360" w:hanging="360"/>
      </w:pPr>
      <w:r>
        <w:rPr>
          <w:rFonts w:eastAsia="Arial"/>
        </w:rPr>
        <w:t xml:space="preserve">Korinek, A., &amp; Vipra, J. (2025). Concentrating intelligence: Scaling and market structure in artificial intelligence. </w:t>
      </w:r>
      <w:r>
        <w:rPr>
          <w:rFonts w:eastAsia="Arial"/>
          <w:i/>
          <w:iCs/>
        </w:rPr>
        <w:t>Economic Policy, 40</w:t>
      </w:r>
      <w:r>
        <w:rPr>
          <w:rFonts w:eastAsia="Arial"/>
        </w:rPr>
        <w:t>(121), 225-256. https://doi.org/10.1093/epolic/eiae057</w:t>
      </w:r>
    </w:p>
    <w:p w14:paraId="15BA575D" w14:textId="77777777" w:rsidR="00AB49D0" w:rsidRDefault="00BC7290">
      <w:pPr>
        <w:spacing w:after="80"/>
        <w:ind w:left="360" w:hanging="360"/>
      </w:pPr>
      <w:r>
        <w:rPr>
          <w:rFonts w:eastAsia="Arial"/>
        </w:rPr>
        <w:t xml:space="preserve">Lambert, R., Leuz, C., &amp; Verrecchia, R. E. (2007). Accounting information, disclosure, and the cost of capital. </w:t>
      </w:r>
      <w:r>
        <w:rPr>
          <w:rFonts w:eastAsia="Arial"/>
          <w:i/>
          <w:iCs/>
        </w:rPr>
        <w:t>Journal of Accounting Research, 45</w:t>
      </w:r>
      <w:r>
        <w:rPr>
          <w:rFonts w:eastAsia="Arial"/>
        </w:rPr>
        <w:t>(2), 385-420. https://doi.org/10.1111/j.1475-679X.2007.00238.x</w:t>
      </w:r>
    </w:p>
    <w:p w14:paraId="28B6429C" w14:textId="77777777" w:rsidR="00AB49D0" w:rsidRDefault="00BC7290">
      <w:pPr>
        <w:spacing w:after="80"/>
        <w:ind w:left="360" w:hanging="360"/>
      </w:pPr>
      <w:r>
        <w:rPr>
          <w:rFonts w:eastAsia="Arial"/>
        </w:rPr>
        <w:t xml:space="preserve">Merton, R. C. (1974). On the pricing of corporate debt: The risk structure of interest rates. </w:t>
      </w:r>
      <w:r>
        <w:rPr>
          <w:rFonts w:eastAsia="Arial"/>
          <w:i/>
          <w:iCs/>
        </w:rPr>
        <w:t>The Journal of Finance, 29</w:t>
      </w:r>
      <w:r>
        <w:rPr>
          <w:rFonts w:eastAsia="Arial"/>
        </w:rPr>
        <w:t>(2), 449-470. https://doi.org/10.1111/j.1540-6261.1974.tb03058.x</w:t>
      </w:r>
    </w:p>
    <w:p w14:paraId="73261A82" w14:textId="77777777" w:rsidR="00AB49D0" w:rsidRDefault="00BC7290">
      <w:pPr>
        <w:spacing w:after="80"/>
        <w:ind w:left="360" w:hanging="360"/>
      </w:pPr>
      <w:r>
        <w:rPr>
          <w:rFonts w:eastAsia="Arial"/>
        </w:rPr>
        <w:lastRenderedPageBreak/>
        <w:t xml:space="preserve">Myers, S. C. (1977). Determinants of corporate borrowing. </w:t>
      </w:r>
      <w:r>
        <w:rPr>
          <w:rFonts w:eastAsia="Arial"/>
          <w:i/>
          <w:iCs/>
        </w:rPr>
        <w:t>Journal of Financial Economics, 5</w:t>
      </w:r>
      <w:r>
        <w:rPr>
          <w:rFonts w:eastAsia="Arial"/>
        </w:rPr>
        <w:t>(2), 147-175. https://doi.org/10.1016/0304-405X(77)90015-0</w:t>
      </w:r>
    </w:p>
    <w:p w14:paraId="17D3E424" w14:textId="77777777" w:rsidR="00AB49D0" w:rsidRDefault="00BC7290">
      <w:pPr>
        <w:spacing w:after="80"/>
        <w:ind w:left="360" w:hanging="360"/>
      </w:pPr>
      <w:r>
        <w:rPr>
          <w:rFonts w:eastAsia="Arial"/>
        </w:rPr>
        <w:t xml:space="preserve">Myers, S. C., &amp; Majluf, N. S. (1984). Corporate financing and investment decisions when firms have information that investors do not have. </w:t>
      </w:r>
      <w:r>
        <w:rPr>
          <w:rFonts w:eastAsia="Arial"/>
          <w:i/>
          <w:iCs/>
        </w:rPr>
        <w:t>Journal of Financial Economics, 13</w:t>
      </w:r>
      <w:r>
        <w:rPr>
          <w:rFonts w:eastAsia="Arial"/>
        </w:rPr>
        <w:t>(2), 187-221. https://doi.org/10.1016/0304-405X(84)90023-0</w:t>
      </w:r>
    </w:p>
    <w:p w14:paraId="36E3F6BF" w14:textId="77777777" w:rsidR="00AB49D0" w:rsidRDefault="00BC7290">
      <w:pPr>
        <w:spacing w:after="80"/>
        <w:ind w:left="360" w:hanging="360"/>
      </w:pPr>
      <w:r>
        <w:rPr>
          <w:rFonts w:eastAsia="Arial"/>
        </w:rPr>
        <w:t xml:space="preserve">National Institute of Standards and Technology. (2023). </w:t>
      </w:r>
      <w:r>
        <w:rPr>
          <w:rFonts w:eastAsia="Arial"/>
          <w:i/>
          <w:iCs/>
        </w:rPr>
        <w:t>Artificial intelligence risk management framework (AI RMF 1.0)</w:t>
      </w:r>
      <w:r>
        <w:rPr>
          <w:rFonts w:eastAsia="Arial"/>
        </w:rPr>
        <w:t xml:space="preserve"> (NIST AI 100-1). https://doi.org/10.6028/NIST.AI.100-1</w:t>
      </w:r>
    </w:p>
    <w:p w14:paraId="627DC3AB" w14:textId="77777777" w:rsidR="00AB49D0" w:rsidRDefault="00BC7290">
      <w:pPr>
        <w:spacing w:after="80"/>
        <w:ind w:left="360" w:hanging="360"/>
      </w:pPr>
      <w:r>
        <w:rPr>
          <w:rFonts w:eastAsia="Arial"/>
        </w:rPr>
        <w:t xml:space="preserve">Noy, S., &amp; Zhang, W. (2023). Experimental evidence on the productivity effects of generative artificial intelligence. </w:t>
      </w:r>
      <w:r>
        <w:rPr>
          <w:rFonts w:eastAsia="Arial"/>
          <w:i/>
          <w:iCs/>
        </w:rPr>
        <w:t>Science, 381</w:t>
      </w:r>
      <w:r>
        <w:rPr>
          <w:rFonts w:eastAsia="Arial"/>
        </w:rPr>
        <w:t>(6654), 187-192. https://doi.org/10.1126/science.adh2586</w:t>
      </w:r>
    </w:p>
    <w:p w14:paraId="0DC85F80" w14:textId="77777777" w:rsidR="00AB49D0" w:rsidRDefault="00BC7290">
      <w:pPr>
        <w:spacing w:after="80"/>
        <w:ind w:left="360" w:hanging="360"/>
      </w:pPr>
      <w:r>
        <w:rPr>
          <w:rFonts w:eastAsia="Arial"/>
        </w:rPr>
        <w:t xml:space="preserve">Tan, K. H. (2026). The coordination compression trap: A dynamic model of AI-enabled productivity, verification debt, and organisational resilience in global knowledge firms. </w:t>
      </w:r>
      <w:r>
        <w:rPr>
          <w:rFonts w:eastAsia="Arial"/>
          <w:i/>
          <w:iCs/>
        </w:rPr>
        <w:t>Journal of Global Economics, Management and Business Research, 18</w:t>
      </w:r>
      <w:r>
        <w:rPr>
          <w:rFonts w:eastAsia="Arial"/>
        </w:rPr>
        <w:t>(3), 256-278. https://doi.org/10.56557/jgembr/2026/v18i310956</w:t>
      </w:r>
      <w:bookmarkEnd w:id="44"/>
    </w:p>
    <w:sectPr w:rsidR="00AB49D0" w:rsidSect="00DB2A55">
      <w:headerReference w:type="even" r:id="rId14"/>
      <w:headerReference w:type="default" r:id="rId15"/>
      <w:footerReference w:type="even" r:id="rId16"/>
      <w:footerReference w:type="default" r:id="rId17"/>
      <w:headerReference w:type="first" r:id="rId18"/>
      <w:footerReference w:type="first" r:id="rId19"/>
      <w:pgSz w:w="12240" w:h="15840" w:code="1"/>
      <w:pgMar w:top="1440" w:right="2016" w:bottom="2016" w:left="2016" w:header="720" w:footer="1296"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unday Bello" w:date="2026-08-14T02:28:00Z" w:initials="SB">
    <w:p w14:paraId="398C1737" w14:textId="579A9B13" w:rsidR="002A2BC0" w:rsidRDefault="002A2BC0">
      <w:pPr>
        <w:pStyle w:val="CommentText"/>
      </w:pPr>
      <w:r>
        <w:rPr>
          <w:rStyle w:val="CommentReference"/>
        </w:rPr>
        <w:annotationRef/>
      </w:r>
      <w:r w:rsidRPr="0094229C">
        <w:rPr>
          <w:sz w:val="24"/>
          <w:szCs w:val="24"/>
        </w:rPr>
        <w:t>The title is somewhat dense. The authors may consider whether “automation opacity” is sufficiently familiar to the target readership or whether the relationship between verification, borrowing costs, and firm value could be expressed more directly. Nevertheless, the current title is appropriate and intellectually interesting.</w:t>
      </w:r>
    </w:p>
  </w:comment>
  <w:comment w:id="3" w:author="Sunday Bello" w:date="2026-08-14T02:29:00Z" w:initials="SB">
    <w:p w14:paraId="5CEE097E" w14:textId="3B59D709" w:rsidR="002A2BC0" w:rsidRPr="002A2BC0" w:rsidRDefault="002A2BC0" w:rsidP="002A2BC0">
      <w:pPr>
        <w:spacing w:after="160" w:line="278" w:lineRule="auto"/>
        <w:rPr>
          <w:rFonts w:ascii="Times New Roman" w:hAnsi="Times New Roman"/>
          <w:sz w:val="24"/>
          <w:szCs w:val="24"/>
        </w:rPr>
      </w:pPr>
      <w:r>
        <w:rPr>
          <w:rStyle w:val="CommentReference"/>
        </w:rPr>
        <w:annotationRef/>
      </w:r>
      <w:r w:rsidRPr="0094229C">
        <w:rPr>
          <w:rFonts w:ascii="Times New Roman" w:hAnsi="Times New Roman"/>
          <w:sz w:val="24"/>
          <w:szCs w:val="24"/>
        </w:rPr>
        <w:t>The abstract could be slightly streamlined to reduce technical detail and give greater prominence to the central theoretical contribution</w:t>
      </w:r>
      <w:r w:rsidRPr="002A2BC0">
        <w:rPr>
          <w:rFonts w:ascii="Times New Roman" w:hAnsi="Times New Roman"/>
        </w:rPr>
        <w:t>,</w:t>
      </w:r>
      <w:r>
        <w:rPr>
          <w:rFonts w:ascii="Times New Roman" w:hAnsi="Times New Roman"/>
        </w:rPr>
        <w:t xml:space="preserve"> </w:t>
      </w:r>
      <w:r w:rsidRPr="0094229C">
        <w:rPr>
          <w:rFonts w:ascii="Times New Roman" w:hAnsi="Times New Roman"/>
          <w:sz w:val="24"/>
          <w:szCs w:val="24"/>
        </w:rPr>
        <w:t>namely, how inadequate AI verification can be transmitted into corporate financing costs. The distinction between model-derived results and simulation results could also be made slightly clearer.</w:t>
      </w:r>
    </w:p>
  </w:comment>
  <w:comment w:id="5" w:author="Sunday Bello" w:date="2026-08-14T02:31:00Z" w:initials="SB">
    <w:p w14:paraId="6F8BFDE4" w14:textId="2D9E64B8" w:rsidR="002A2BC0" w:rsidRDefault="002A2BC0">
      <w:pPr>
        <w:pStyle w:val="CommentText"/>
      </w:pPr>
      <w:r>
        <w:rPr>
          <w:rStyle w:val="CommentReference"/>
        </w:rPr>
        <w:annotationRef/>
      </w:r>
      <w:r w:rsidRPr="0094229C">
        <w:rPr>
          <w:sz w:val="24"/>
          <w:szCs w:val="24"/>
        </w:rPr>
        <w:t>The research gap could be made even more explicit before the contribution statement. In particular, the authors should distinguish more sharply between what existing AI-risk literature already establishes and what the present verification-premium model adds. A concise statement of the precise research question or propositions guiding the model would also improve focus.</w:t>
      </w:r>
    </w:p>
  </w:comment>
  <w:comment w:id="7" w:author="Sunday Bello" w:date="2026-08-14T02:32:00Z" w:initials="SB">
    <w:p w14:paraId="0BCAD4A2" w14:textId="77777777" w:rsidR="002A2BC0" w:rsidRDefault="002A2BC0">
      <w:pPr>
        <w:pStyle w:val="CommentText"/>
        <w:rPr>
          <w:sz w:val="24"/>
          <w:szCs w:val="24"/>
        </w:rPr>
      </w:pPr>
      <w:r>
        <w:rPr>
          <w:rStyle w:val="CommentReference"/>
        </w:rPr>
        <w:annotationRef/>
      </w:r>
      <w:r w:rsidRPr="0094229C">
        <w:rPr>
          <w:sz w:val="24"/>
          <w:szCs w:val="24"/>
        </w:rPr>
        <w:t>The literature base should be strengthened with a few more recent empirical studies from 2024–2026 that directly examine AI adoption in relation to financing costs, corporate risk, debt pricing, and firm value. This would allow the authors to position the proposed verification premium more clearly against emerging empirical evidence. The review should also make clearer whether the proposed mechanism is intended as an extension of existing theories or as a new theoretical mechanism connecting otherwise separate literatures.</w:t>
      </w:r>
    </w:p>
    <w:p w14:paraId="248D89FA" w14:textId="77777777" w:rsidR="002A2BC0" w:rsidRDefault="002A2BC0">
      <w:pPr>
        <w:pStyle w:val="CommentText"/>
        <w:rPr>
          <w:sz w:val="24"/>
          <w:szCs w:val="24"/>
        </w:rPr>
      </w:pPr>
    </w:p>
    <w:p w14:paraId="2B9BBBEC" w14:textId="64F3125C" w:rsidR="002A2BC0" w:rsidRDefault="002A2BC0">
      <w:pPr>
        <w:pStyle w:val="CommentText"/>
      </w:pPr>
      <w:r w:rsidRPr="0094229C">
        <w:rPr>
          <w:sz w:val="24"/>
          <w:szCs w:val="24"/>
        </w:rPr>
        <w:t>The assumptions underlying the model should be stated as explicitly and economically as possible. In particular, readers would benefit from a concise explanation of why the selected functional relationships and parameterisations are appropriate. The distinction between verification debt, operational risk, and priced credit risk should also remain very clear throughout the model development.</w:t>
      </w:r>
    </w:p>
  </w:comment>
  <w:comment w:id="13" w:author="Sunday Bello" w:date="2026-08-14T02:34:00Z" w:initials="SB">
    <w:p w14:paraId="7CBA86B1" w14:textId="72E98B4F" w:rsidR="00DC23A6" w:rsidRDefault="00DC23A6">
      <w:pPr>
        <w:pStyle w:val="CommentText"/>
      </w:pPr>
      <w:r>
        <w:rPr>
          <w:rStyle w:val="CommentReference"/>
        </w:rPr>
        <w:annotationRef/>
      </w:r>
      <w:r w:rsidRPr="0094229C">
        <w:rPr>
          <w:sz w:val="24"/>
          <w:szCs w:val="24"/>
        </w:rPr>
        <w:t>The authors should provide sufficient information for computational reproducibility, including the principal parameter assumptions, simulation procedure, randomisation approach, and criteria used to select the policy grid. It would also be useful to state explicitly how the robustness of the simulation results was assessed across alternative parameter values.</w:t>
      </w:r>
    </w:p>
  </w:comment>
  <w:comment w:id="26" w:author="Sunday Bello" w:date="2026-08-14T02:35:00Z" w:initials="SB">
    <w:p w14:paraId="38CCAD6A" w14:textId="77777777" w:rsidR="00DC23A6" w:rsidRDefault="00DC23A6">
      <w:pPr>
        <w:pStyle w:val="CommentText"/>
        <w:rPr>
          <w:sz w:val="24"/>
          <w:szCs w:val="24"/>
        </w:rPr>
      </w:pPr>
      <w:r>
        <w:rPr>
          <w:rStyle w:val="CommentReference"/>
        </w:rPr>
        <w:annotationRef/>
      </w:r>
      <w:r w:rsidRPr="0094229C">
        <w:rPr>
          <w:sz w:val="24"/>
          <w:szCs w:val="24"/>
        </w:rPr>
        <w:t>The presentation could distinguish more explicitly between model-generated analytical results, Monte Carlo estimates, and policy-search results. This would help readers understand which conclusions are mathematical implications of the model and which depend on the simulation assumptions. Where possible, uncertainty measures or dispersion around the principal simulation outcomes could also be reported.</w:t>
      </w:r>
    </w:p>
    <w:p w14:paraId="7E4CDB1B" w14:textId="77777777" w:rsidR="007F4C66" w:rsidRDefault="007F4C66">
      <w:pPr>
        <w:pStyle w:val="CommentText"/>
        <w:rPr>
          <w:sz w:val="24"/>
          <w:szCs w:val="24"/>
        </w:rPr>
      </w:pPr>
    </w:p>
    <w:p w14:paraId="0C083A15" w14:textId="77777777" w:rsidR="007F4C66" w:rsidRDefault="007F4C66">
      <w:pPr>
        <w:pStyle w:val="CommentText"/>
        <w:rPr>
          <w:sz w:val="24"/>
          <w:szCs w:val="24"/>
        </w:rPr>
      </w:pPr>
      <w:r w:rsidRPr="0094229C">
        <w:rPr>
          <w:sz w:val="24"/>
          <w:szCs w:val="24"/>
        </w:rPr>
        <w:t>The discussion should engage more explicitly with the possibility that AI adoption can reduce rather than increase corporate risk and financing costs when appropriately governed. Discussing this apparent tension would strengthen the paper's central argument by showing that the verification premium is conditional rather than an assumption that AI necessarily raises borrowing costs. The practical implications for corporate managers, lenders, and regulators could also be stated more distinctly.</w:t>
      </w:r>
    </w:p>
    <w:p w14:paraId="152ADE2A" w14:textId="77777777" w:rsidR="007F4C66" w:rsidRDefault="007F4C66">
      <w:pPr>
        <w:pStyle w:val="CommentText"/>
        <w:rPr>
          <w:sz w:val="24"/>
          <w:szCs w:val="24"/>
        </w:rPr>
      </w:pPr>
    </w:p>
    <w:p w14:paraId="50A457B5" w14:textId="2899B37F" w:rsidR="007F4C66" w:rsidRDefault="007F4C66">
      <w:pPr>
        <w:pStyle w:val="CommentText"/>
      </w:pPr>
      <w:r w:rsidRPr="0094229C">
        <w:rPr>
          <w:sz w:val="24"/>
          <w:szCs w:val="24"/>
        </w:rPr>
        <w:t>Figures should clearly distinguish policy regimes, parameter spaces, thresholds, and simulated outcomes. Captions should be sufficiently self-contained so that readers can understand the principal message without repeatedly returning to the main text.</w:t>
      </w:r>
    </w:p>
  </w:comment>
  <w:comment w:id="36" w:author="Sunday Bello" w:date="2026-08-14T02:37:00Z" w:initials="SB">
    <w:p w14:paraId="7A09C476" w14:textId="77777777" w:rsidR="007F4C66" w:rsidRDefault="007F4C66">
      <w:pPr>
        <w:pStyle w:val="CommentText"/>
        <w:rPr>
          <w:sz w:val="24"/>
          <w:szCs w:val="24"/>
        </w:rPr>
      </w:pPr>
      <w:r>
        <w:rPr>
          <w:rStyle w:val="CommentReference"/>
        </w:rPr>
        <w:annotationRef/>
      </w:r>
      <w:r w:rsidRPr="0094229C">
        <w:rPr>
          <w:sz w:val="24"/>
          <w:szCs w:val="24"/>
        </w:rPr>
        <w:t>The conclusion should avoid extending the simulation results beyond what the model can establish empirically. A brief statement acknowledging the stylised nature of the model and the need for future empirical validation using firm-level financing and AI-adoption data would strengthen the conclusion.</w:t>
      </w:r>
    </w:p>
    <w:p w14:paraId="43CADB1A" w14:textId="77777777" w:rsidR="007F4C66" w:rsidRDefault="007F4C66">
      <w:pPr>
        <w:pStyle w:val="CommentText"/>
        <w:rPr>
          <w:sz w:val="24"/>
          <w:szCs w:val="24"/>
        </w:rPr>
      </w:pPr>
    </w:p>
    <w:p w14:paraId="70B58C0D" w14:textId="58443EC6" w:rsidR="007F4C66" w:rsidRDefault="007F4C66">
      <w:pPr>
        <w:pStyle w:val="CommentText"/>
      </w:pPr>
      <w:r w:rsidRPr="0094229C">
        <w:rPr>
          <w:sz w:val="24"/>
          <w:szCs w:val="24"/>
        </w:rPr>
        <w:t>The manuscript should explicitly acknowledge limitations arising from the use of synthetic firms and simulated data, stylised assumptions about lender behaviour, parameter specification, and the absence of direct firm-level empirical validation. These limitations do not undermine the model's contribution but are important for interpreting the numerical results.</w:t>
      </w:r>
    </w:p>
  </w:comment>
  <w:comment w:id="45" w:author="Sunday Bello" w:date="2026-08-14T02:39:00Z" w:initials="SB">
    <w:p w14:paraId="2454843A" w14:textId="77777777" w:rsidR="007F4C66" w:rsidRDefault="007F4C66">
      <w:pPr>
        <w:pStyle w:val="CommentText"/>
        <w:rPr>
          <w:sz w:val="24"/>
          <w:szCs w:val="24"/>
        </w:rPr>
      </w:pPr>
      <w:r>
        <w:rPr>
          <w:rStyle w:val="CommentReference"/>
        </w:rPr>
        <w:annotationRef/>
      </w:r>
      <w:r w:rsidRPr="0094229C">
        <w:rPr>
          <w:sz w:val="24"/>
          <w:szCs w:val="24"/>
        </w:rPr>
        <w:t>The references should be expanded modestly with 4–6 recent peer-reviewed studies from 2024–2026, particularly those examining AI adoption, financing costs, corporate financial risk, and firm value. This would improve the manuscript's contemporary positioning without unnecessarily expanding the paper.</w:t>
      </w:r>
    </w:p>
    <w:p w14:paraId="0A321AA2" w14:textId="77777777" w:rsidR="007F4C66" w:rsidRDefault="007F4C66">
      <w:pPr>
        <w:pStyle w:val="CommentText"/>
        <w:rPr>
          <w:sz w:val="24"/>
          <w:szCs w:val="24"/>
        </w:rPr>
      </w:pPr>
    </w:p>
    <w:p w14:paraId="3F34735F" w14:textId="664BC60C" w:rsidR="007F4C66" w:rsidRPr="0094229C" w:rsidRDefault="007F4C66" w:rsidP="007F4C66">
      <w:pPr>
        <w:spacing w:after="160" w:line="278" w:lineRule="auto"/>
        <w:rPr>
          <w:rFonts w:ascii="Times New Roman" w:hAnsi="Times New Roman"/>
          <w:b/>
          <w:bCs/>
          <w:sz w:val="24"/>
          <w:szCs w:val="24"/>
        </w:rPr>
      </w:pPr>
      <w:r w:rsidRPr="0094229C">
        <w:rPr>
          <w:rFonts w:ascii="Times New Roman" w:hAnsi="Times New Roman"/>
          <w:b/>
          <w:bCs/>
          <w:sz w:val="24"/>
          <w:szCs w:val="24"/>
        </w:rPr>
        <w:t>Language and Presentation</w:t>
      </w:r>
      <w:r w:rsidRPr="0094229C">
        <w:rPr>
          <w:rFonts w:ascii="Times New Roman" w:hAnsi="Times New Roman"/>
          <w:sz w:val="24"/>
          <w:szCs w:val="24"/>
        </w:rPr>
        <w:br/>
        <w:t>The manuscript is generally well written, coherent, and technically presented. The terminology is appropriate for an interdisciplinary finance/AI audience.</w:t>
      </w:r>
      <w:r>
        <w:rPr>
          <w:rFonts w:ascii="Times New Roman" w:hAnsi="Times New Roman"/>
          <w:b/>
          <w:bCs/>
        </w:rPr>
        <w:t xml:space="preserve"> </w:t>
      </w:r>
      <w:r>
        <w:rPr>
          <w:rFonts w:ascii="Times New Roman" w:hAnsi="Times New Roman"/>
        </w:rPr>
        <w:t>A</w:t>
      </w:r>
      <w:r>
        <w:rPr>
          <w:rFonts w:ascii="Times New Roman" w:hAnsi="Times New Roman"/>
          <w:b/>
          <w:bCs/>
        </w:rPr>
        <w:t xml:space="preserve"> </w:t>
      </w:r>
      <w:r w:rsidRPr="0094229C">
        <w:rPr>
          <w:rFonts w:ascii="Times New Roman" w:hAnsi="Times New Roman"/>
          <w:sz w:val="24"/>
          <w:szCs w:val="24"/>
        </w:rPr>
        <w:t>final language edit is recommended to shorten some long sentences and reduce repeated use of terms such as “verification,” “artificial intelligence,” and “financing costs” where the meaning is already established. The manuscript would benefit from a final consistency check for terminology, notation, abbreviations, equations, and references.</w:t>
      </w:r>
    </w:p>
    <w:p w14:paraId="1F2B980B" w14:textId="232867AC" w:rsidR="007F4C66" w:rsidRPr="007F4C66" w:rsidRDefault="007F4C66">
      <w:pPr>
        <w:pStyle w:val="CommentText"/>
        <w:rPr>
          <w:lang w:val="en-US"/>
        </w:rPr>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8C1737" w15:done="0"/>
  <w15:commentEx w15:paraId="5CEE097E" w15:done="0"/>
  <w15:commentEx w15:paraId="6F8BFDE4" w15:done="0"/>
  <w15:commentEx w15:paraId="2B9BBBEC" w15:done="0"/>
  <w15:commentEx w15:paraId="7CBA86B1" w15:done="0"/>
  <w15:commentEx w15:paraId="50A457B5" w15:done="0"/>
  <w15:commentEx w15:paraId="70B58C0D" w15:done="0"/>
  <w15:commentEx w15:paraId="1F2B98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4298A20" w16cex:dateUtc="2026-08-14T01:28:00Z"/>
  <w16cex:commentExtensible w16cex:durableId="57703303" w16cex:dateUtc="2026-08-14T01:29:00Z"/>
  <w16cex:commentExtensible w16cex:durableId="5220F3C9" w16cex:dateUtc="2026-08-14T01:31:00Z"/>
  <w16cex:commentExtensible w16cex:durableId="253985B6" w16cex:dateUtc="2026-08-14T01:32:00Z"/>
  <w16cex:commentExtensible w16cex:durableId="04E7522D" w16cex:dateUtc="2026-08-14T01:34:00Z"/>
  <w16cex:commentExtensible w16cex:durableId="364525F9" w16cex:dateUtc="2026-08-14T01:35:00Z"/>
  <w16cex:commentExtensible w16cex:durableId="30757C71" w16cex:dateUtc="2026-08-14T01:37:00Z"/>
  <w16cex:commentExtensible w16cex:durableId="237411CB" w16cex:dateUtc="2026-08-14T01: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8C1737" w16cid:durableId="74298A20"/>
  <w16cid:commentId w16cid:paraId="5CEE097E" w16cid:durableId="57703303"/>
  <w16cid:commentId w16cid:paraId="6F8BFDE4" w16cid:durableId="5220F3C9"/>
  <w16cid:commentId w16cid:paraId="2B9BBBEC" w16cid:durableId="253985B6"/>
  <w16cid:commentId w16cid:paraId="7CBA86B1" w16cid:durableId="04E7522D"/>
  <w16cid:commentId w16cid:paraId="50A457B5" w16cid:durableId="364525F9"/>
  <w16cid:commentId w16cid:paraId="70B58C0D" w16cid:durableId="30757C71"/>
  <w16cid:commentId w16cid:paraId="1F2B980B" w16cid:durableId="237411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A02F4" w14:textId="77777777" w:rsidR="00D00E0F" w:rsidRDefault="00D00E0F">
      <w:pPr>
        <w:spacing w:after="0"/>
      </w:pPr>
      <w:r>
        <w:separator/>
      </w:r>
    </w:p>
  </w:endnote>
  <w:endnote w:type="continuationSeparator" w:id="0">
    <w:p w14:paraId="5C895594" w14:textId="77777777" w:rsidR="00D00E0F" w:rsidRDefault="00D00E0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3631" w14:textId="77777777" w:rsidR="00DB2A55" w:rsidRDefault="00DB2A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38E6" w14:textId="77777777" w:rsidR="00DB2A55" w:rsidRDefault="00DB2A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D300" w14:textId="41F6C788" w:rsidR="00754C9A" w:rsidRPr="00DB2A55" w:rsidRDefault="00754C9A" w:rsidP="00DB2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E05DB" w14:textId="77777777" w:rsidR="00D00E0F" w:rsidRDefault="00D00E0F">
      <w:r>
        <w:separator/>
      </w:r>
    </w:p>
  </w:footnote>
  <w:footnote w:type="continuationSeparator" w:id="0">
    <w:p w14:paraId="7663EE93" w14:textId="77777777" w:rsidR="00D00E0F" w:rsidRDefault="00D00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57A9" w14:textId="322170F7" w:rsidR="00DB2A55" w:rsidRDefault="00000000">
    <w:pPr>
      <w:pStyle w:val="Header"/>
    </w:pPr>
    <w:r>
      <w:rPr>
        <w:noProof/>
      </w:rPr>
      <w:pict w14:anchorId="351643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29592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9690" w14:textId="164DCE79" w:rsidR="00DB2A55" w:rsidRDefault="00000000">
    <w:pPr>
      <w:pStyle w:val="Header"/>
    </w:pPr>
    <w:r>
      <w:rPr>
        <w:noProof/>
      </w:rPr>
      <w:pict w14:anchorId="38259E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29592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84D5" w14:textId="746BDB47" w:rsidR="00296529" w:rsidRPr="00296529" w:rsidRDefault="00000000" w:rsidP="00296529">
    <w:pPr>
      <w:ind w:left="2160"/>
      <w:jc w:val="center"/>
      <w:rPr>
        <w:rFonts w:ascii="Times New Roman" w:eastAsia="Calibri" w:hAnsi="Times New Roman"/>
        <w:i/>
        <w:sz w:val="18"/>
        <w:szCs w:val="22"/>
      </w:rPr>
    </w:pPr>
    <w:r>
      <w:rPr>
        <w:noProof/>
      </w:rPr>
      <w:pict w14:anchorId="194483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29592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p w14:paraId="5C18B1A6"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3A641814"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CFC8AE3"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F68F536"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8941526"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3FC2872"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A990"/>
    <w:multiLevelType w:val="multilevel"/>
    <w:tmpl w:val="BA92F33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0750525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72205910">
    <w:abstractNumId w:val="16"/>
  </w:num>
  <w:num w:numId="3" w16cid:durableId="1228228723">
    <w:abstractNumId w:val="24"/>
  </w:num>
  <w:num w:numId="4" w16cid:durableId="170054164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693411708">
    <w:abstractNumId w:val="8"/>
  </w:num>
  <w:num w:numId="6" w16cid:durableId="1394818636">
    <w:abstractNumId w:val="7"/>
  </w:num>
  <w:num w:numId="7" w16cid:durableId="1791898053">
    <w:abstractNumId w:val="2"/>
  </w:num>
  <w:num w:numId="8" w16cid:durableId="342829840">
    <w:abstractNumId w:val="13"/>
  </w:num>
  <w:num w:numId="9" w16cid:durableId="1471827929">
    <w:abstractNumId w:val="26"/>
  </w:num>
  <w:num w:numId="10" w16cid:durableId="1808355791">
    <w:abstractNumId w:val="3"/>
  </w:num>
  <w:num w:numId="11" w16cid:durableId="2023162917">
    <w:abstractNumId w:val="19"/>
  </w:num>
  <w:num w:numId="12" w16cid:durableId="1399403381">
    <w:abstractNumId w:val="4"/>
  </w:num>
  <w:num w:numId="13" w16cid:durableId="336277838">
    <w:abstractNumId w:val="18"/>
  </w:num>
  <w:num w:numId="14" w16cid:durableId="458837430">
    <w:abstractNumId w:val="9"/>
  </w:num>
  <w:num w:numId="15" w16cid:durableId="1998533965">
    <w:abstractNumId w:val="22"/>
  </w:num>
  <w:num w:numId="16" w16cid:durableId="1401099145">
    <w:abstractNumId w:val="6"/>
  </w:num>
  <w:num w:numId="17" w16cid:durableId="5642865">
    <w:abstractNumId w:val="23"/>
  </w:num>
  <w:num w:numId="18" w16cid:durableId="391319707">
    <w:abstractNumId w:val="15"/>
  </w:num>
  <w:num w:numId="19" w16cid:durableId="1210335283">
    <w:abstractNumId w:val="29"/>
  </w:num>
  <w:num w:numId="20" w16cid:durableId="1651053483">
    <w:abstractNumId w:val="12"/>
  </w:num>
  <w:num w:numId="21" w16cid:durableId="1414012730">
    <w:abstractNumId w:val="10"/>
  </w:num>
  <w:num w:numId="22" w16cid:durableId="419645548">
    <w:abstractNumId w:val="14"/>
  </w:num>
  <w:num w:numId="23" w16cid:durableId="567156549">
    <w:abstractNumId w:val="20"/>
  </w:num>
  <w:num w:numId="24" w16cid:durableId="524174247">
    <w:abstractNumId w:val="27"/>
  </w:num>
  <w:num w:numId="25" w16cid:durableId="1471820643">
    <w:abstractNumId w:val="5"/>
  </w:num>
  <w:num w:numId="26" w16cid:durableId="1316183825">
    <w:abstractNumId w:val="17"/>
  </w:num>
  <w:num w:numId="27" w16cid:durableId="1734424201">
    <w:abstractNumId w:val="21"/>
  </w:num>
  <w:num w:numId="28" w16cid:durableId="1173446542">
    <w:abstractNumId w:val="28"/>
  </w:num>
  <w:num w:numId="29" w16cid:durableId="477841015">
    <w:abstractNumId w:val="25"/>
  </w:num>
  <w:num w:numId="30" w16cid:durableId="1774936684">
    <w:abstractNumId w:val="11"/>
  </w:num>
  <w:num w:numId="31" w16cid:durableId="123666564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nday Bello">
    <w15:presenceInfo w15:providerId="Windows Live" w15:userId="f459cad13bf544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36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87926"/>
    <w:rsid w:val="000A47FA"/>
    <w:rsid w:val="000A65D3"/>
    <w:rsid w:val="000B1E33"/>
    <w:rsid w:val="000D689F"/>
    <w:rsid w:val="000E7B7B"/>
    <w:rsid w:val="000E7D62"/>
    <w:rsid w:val="00103357"/>
    <w:rsid w:val="00123C9F"/>
    <w:rsid w:val="00125CD2"/>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A2BC0"/>
    <w:rsid w:val="002B27FB"/>
    <w:rsid w:val="002B685A"/>
    <w:rsid w:val="002C57D2"/>
    <w:rsid w:val="002E0D56"/>
    <w:rsid w:val="002F7F14"/>
    <w:rsid w:val="00315186"/>
    <w:rsid w:val="0033343E"/>
    <w:rsid w:val="003512C2"/>
    <w:rsid w:val="00371FB6"/>
    <w:rsid w:val="003763C1"/>
    <w:rsid w:val="00376BBE"/>
    <w:rsid w:val="0039224F"/>
    <w:rsid w:val="003A43A4"/>
    <w:rsid w:val="003A7E18"/>
    <w:rsid w:val="003C4C86"/>
    <w:rsid w:val="003C6258"/>
    <w:rsid w:val="003E2904"/>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3056E"/>
    <w:rsid w:val="00554FDA"/>
    <w:rsid w:val="005C784C"/>
    <w:rsid w:val="005D17F6"/>
    <w:rsid w:val="005E5539"/>
    <w:rsid w:val="00602BF5"/>
    <w:rsid w:val="00617FDD"/>
    <w:rsid w:val="00633614"/>
    <w:rsid w:val="00633F68"/>
    <w:rsid w:val="00636EB2"/>
    <w:rsid w:val="006375B8"/>
    <w:rsid w:val="0066510A"/>
    <w:rsid w:val="00673F9F"/>
    <w:rsid w:val="0068066B"/>
    <w:rsid w:val="00686953"/>
    <w:rsid w:val="00687DEA"/>
    <w:rsid w:val="00687E67"/>
    <w:rsid w:val="006967F7"/>
    <w:rsid w:val="006A250C"/>
    <w:rsid w:val="006B21D3"/>
    <w:rsid w:val="006B57D0"/>
    <w:rsid w:val="006D30FF"/>
    <w:rsid w:val="006D6940"/>
    <w:rsid w:val="006F11EC"/>
    <w:rsid w:val="0070082C"/>
    <w:rsid w:val="00713C10"/>
    <w:rsid w:val="007369E6"/>
    <w:rsid w:val="00746E59"/>
    <w:rsid w:val="00754C9A"/>
    <w:rsid w:val="0075599A"/>
    <w:rsid w:val="00761D52"/>
    <w:rsid w:val="0077749E"/>
    <w:rsid w:val="00790ADA"/>
    <w:rsid w:val="007D2288"/>
    <w:rsid w:val="007E088F"/>
    <w:rsid w:val="007F4C66"/>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49D0"/>
    <w:rsid w:val="00AB703F"/>
    <w:rsid w:val="00AC6BB8"/>
    <w:rsid w:val="00AE008F"/>
    <w:rsid w:val="00B01FCD"/>
    <w:rsid w:val="00B1776C"/>
    <w:rsid w:val="00B52583"/>
    <w:rsid w:val="00B52896"/>
    <w:rsid w:val="00B95236"/>
    <w:rsid w:val="00B96BD9"/>
    <w:rsid w:val="00BA1B01"/>
    <w:rsid w:val="00BA2641"/>
    <w:rsid w:val="00BB37AA"/>
    <w:rsid w:val="00BC337A"/>
    <w:rsid w:val="00BC53A0"/>
    <w:rsid w:val="00BC7290"/>
    <w:rsid w:val="00BE62AD"/>
    <w:rsid w:val="00BF121F"/>
    <w:rsid w:val="00BF1F80"/>
    <w:rsid w:val="00C12D1A"/>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00E0F"/>
    <w:rsid w:val="00D173F1"/>
    <w:rsid w:val="00D74CB0"/>
    <w:rsid w:val="00D8295D"/>
    <w:rsid w:val="00DB2A55"/>
    <w:rsid w:val="00DC23A6"/>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469F0"/>
    <w:rsid w:val="00F50056"/>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845E9F"/>
  <w15:docId w15:val="{4BCEF27A-CA65-D648-B248-8D4DEDC5E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pPr>
      <w:spacing w:after="100"/>
    </w:pPr>
    <w:rPr>
      <w:rFonts w:ascii="Arial" w:hAnsi="Arial"/>
    </w:rPr>
  </w:style>
  <w:style w:type="paragraph" w:styleId="Heading1">
    <w:name w:val="heading 1"/>
    <w:basedOn w:val="Normal"/>
    <w:next w:val="Normal"/>
    <w:qFormat/>
    <w:rsid w:val="00423789"/>
    <w:pPr>
      <w:keepNext/>
      <w:spacing w:before="240" w:after="60"/>
      <w:outlineLvl w:val="0"/>
    </w:pPr>
    <w:rPr>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styleId="CommentSubject">
    <w:name w:val="annotation subject"/>
    <w:basedOn w:val="CommentText"/>
    <w:next w:val="CommentText"/>
    <w:link w:val="CommentSubjectChar"/>
    <w:semiHidden/>
    <w:unhideWhenUsed/>
    <w:rsid w:val="002A2BC0"/>
    <w:rPr>
      <w:rFonts w:ascii="Arial" w:hAnsi="Arial"/>
      <w:b/>
      <w:bCs/>
      <w:lang w:val="en-US" w:eastAsia="en-US"/>
    </w:rPr>
  </w:style>
  <w:style w:type="character" w:customStyle="1" w:styleId="CommentSubjectChar">
    <w:name w:val="Comment Subject Char"/>
    <w:basedOn w:val="CommentTextChar"/>
    <w:link w:val="CommentSubject"/>
    <w:semiHidden/>
    <w:rsid w:val="002A2BC0"/>
    <w:rPr>
      <w:rFonts w:ascii="Arial" w:hAnsi="Arial"/>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eader" Target="header2.xml"/><Relationship Id="rId10" Type="http://schemas.microsoft.com/office/2018/08/relationships/commentsExtensible" Target="commentsExtensible.xml"/><Relationship Id="rId19" Type="http://schemas.openxmlformats.org/officeDocument/2006/relationships/footer" Target="footer3.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2007 paper template</Template>
  <TotalTime>11</TotalTime>
  <Pages>17</Pages>
  <Words>7614</Words>
  <Characters>43405</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50918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Artificial Intelligence Verification Premium: A Dynamic Model of Automation Opacity, Borrowing Costs, and Firm Value</dc:title>
  <dc:subject>Artificial intelligence governance, cost of debt, verification, and firm value</dc:subject>
  <dc:creator>Kwan Hong TAN</dc:creator>
  <cp:keywords>artificial intelligence; cost of debt; verification; firm value; model risk; corporate finance; automation; information asymmetry</cp:keywords>
  <cp:lastModifiedBy>Sunday Bello</cp:lastModifiedBy>
  <cp:revision>5</cp:revision>
  <dcterms:created xsi:type="dcterms:W3CDTF">2026-08-13T22:44:00Z</dcterms:created>
  <dcterms:modified xsi:type="dcterms:W3CDTF">2026-08-14T01:42:00Z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d21c89c3-f2ca-4dbf-b4bf-4cfa3187fbc2</vt:lpwstr>
  </property>
</Properties>
</file>