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56A54" w14:textId="77777777" w:rsidR="00414FDD" w:rsidRDefault="003554E0" w:rsidP="003554E0">
      <w:pPr>
        <w:pStyle w:val="Title"/>
        <w:rPr>
          <w:rFonts w:ascii="Times New Roman" w:hAnsi="Times New Roman" w:cs="Times New Roman"/>
        </w:rPr>
      </w:pPr>
      <w:r w:rsidRPr="003554E0">
        <w:rPr>
          <w:rFonts w:ascii="Times New Roman" w:hAnsi="Times New Roman" w:cs="Times New Roman"/>
        </w:rPr>
        <w:t>Ecological Economics and Green Logistics: Enhancing Supply Chain Resilience in Southeast Asian Automotive Sector</w:t>
      </w:r>
    </w:p>
    <w:p w14:paraId="1DCD9B1F" w14:textId="77777777" w:rsidR="00414FDD" w:rsidRDefault="00414FDD" w:rsidP="00414FDD"/>
    <w:p w14:paraId="211A45F1" w14:textId="77777777" w:rsidR="00414FDD" w:rsidRPr="00414FDD" w:rsidRDefault="00414FDD" w:rsidP="00414FDD">
      <w:bookmarkStart w:id="0" w:name="_GoBack"/>
      <w:bookmarkEnd w:id="0"/>
    </w:p>
    <w:p w14:paraId="7A8DECA3" w14:textId="77777777" w:rsidR="00414FDD" w:rsidRDefault="00414FDD" w:rsidP="003554E0">
      <w:pPr>
        <w:pStyle w:val="Title"/>
        <w:rPr>
          <w:rFonts w:ascii="Times New Roman" w:hAnsi="Times New Roman" w:cs="Times New Roman"/>
        </w:rPr>
      </w:pPr>
    </w:p>
    <w:p w14:paraId="5EF85CBB" w14:textId="77777777" w:rsidR="000C6AEC" w:rsidRPr="000C6AEC" w:rsidRDefault="000C6AEC" w:rsidP="000C6AEC">
      <w:pPr>
        <w:pStyle w:val="Heading1"/>
        <w:jc w:val="cente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223564471"/>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Abstract</w:t>
      </w:r>
      <w:bookmarkEnd w:id="1"/>
    </w:p>
    <w:p w14:paraId="790A4AF2"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 xml:space="preserve">This study develops and validates an ecological economics framework integrating green logistics practices to enhance supply chain resilience in Southeast Asia's automotive sector. Using mixed-methods analysis of 272 firms across Thailand, Indonesia, and Malaysia, structural equation modeling confirms three hypotheses: green logistics adoption significantly predicts resilience (β=0.38, p&lt;0.001); ecological economics tools (full-cost accounting, ecosystem service valuation) double these gains through heightened environmental cost awareness; and the hybrid framework yields 19.6% ROI versus 12.4% for standalone practices. Thailand leads (SCR=65.3) due to BCG policies, while Indonesia lags (ROI=9.1%) amid nickel dependency. Simulations project +34% resilience under carbon pricing scenarios. Qualitative interviews reveal disaster-driven adoption and SME capex barriers, with ECA&gt;4.0 thresholds flipping green logistics from cost to profit center. Findings advance dynamic capabilities theory with biophysical limits, resolve triple bottom line tensions, and deliver managerial roadmaps (rail </w:t>
      </w:r>
      <w:proofErr w:type="spellStart"/>
      <w:r w:rsidRPr="000C6AEC">
        <w:rPr>
          <w:rFonts w:ascii="Times New Roman" w:hAnsi="Times New Roman" w:cs="Times New Roman"/>
          <w:sz w:val="28"/>
          <w:szCs w:val="28"/>
        </w:rPr>
        <w:t>pilots→FCA</w:t>
      </w:r>
      <w:proofErr w:type="spellEnd"/>
      <w:r w:rsidRPr="000C6AEC">
        <w:rPr>
          <w:rFonts w:ascii="Times New Roman" w:hAnsi="Times New Roman" w:cs="Times New Roman"/>
          <w:sz w:val="28"/>
          <w:szCs w:val="28"/>
        </w:rPr>
        <w:t xml:space="preserve"> </w:t>
      </w:r>
      <w:proofErr w:type="spellStart"/>
      <w:r w:rsidRPr="000C6AEC">
        <w:rPr>
          <w:rFonts w:ascii="Times New Roman" w:hAnsi="Times New Roman" w:cs="Times New Roman"/>
          <w:sz w:val="28"/>
          <w:szCs w:val="28"/>
        </w:rPr>
        <w:t>training→blockchain</w:t>
      </w:r>
      <w:proofErr w:type="spellEnd"/>
      <w:r w:rsidRPr="000C6AEC">
        <w:rPr>
          <w:rFonts w:ascii="Times New Roman" w:hAnsi="Times New Roman" w:cs="Times New Roman"/>
          <w:sz w:val="28"/>
          <w:szCs w:val="28"/>
        </w:rPr>
        <w:t xml:space="preserve"> Scope 3) plus ASEAN policy blueprints (CBAM harmonization, $500M capacity fund). The framework positions ASEAN automotive for regenerative leadership, converting natural capital from externality to competitive asset amid global decarbonization pressures.</w:t>
      </w:r>
    </w:p>
    <w:p w14:paraId="1AEA1E07" w14:textId="77777777" w:rsidR="000C6AEC" w:rsidRDefault="000C6AEC" w:rsidP="000C6AEC">
      <w:pPr>
        <w:jc w:val="both"/>
        <w:rPr>
          <w:rFonts w:ascii="Times New Roman" w:hAnsi="Times New Roman" w:cs="Times New Roman"/>
          <w:b/>
          <w:bCs/>
          <w:sz w:val="28"/>
          <w:szCs w:val="28"/>
        </w:rPr>
      </w:pPr>
      <w:r w:rsidRPr="000C6AEC">
        <w:rPr>
          <w:rFonts w:ascii="Times New Roman" w:hAnsi="Times New Roman" w:cs="Times New Roman"/>
          <w:b/>
          <w:bCs/>
          <w:sz w:val="28"/>
          <w:szCs w:val="28"/>
        </w:rPr>
        <w:t xml:space="preserve"> </w:t>
      </w:r>
    </w:p>
    <w:p w14:paraId="7E605C53" w14:textId="77777777" w:rsidR="000C6AEC" w:rsidRDefault="000C6AEC" w:rsidP="000C6AEC">
      <w:pPr>
        <w:jc w:val="both"/>
        <w:rPr>
          <w:rFonts w:ascii="Times New Roman" w:hAnsi="Times New Roman" w:cs="Times New Roman"/>
          <w:b/>
          <w:bCs/>
          <w:sz w:val="28"/>
          <w:szCs w:val="28"/>
        </w:rPr>
      </w:pPr>
    </w:p>
    <w:p w14:paraId="51C2C80C" w14:textId="77777777" w:rsidR="000C6AEC" w:rsidRPr="000C6AEC" w:rsidRDefault="000C6AEC" w:rsidP="000C6AEC">
      <w:pPr>
        <w:jc w:val="both"/>
        <w:rPr>
          <w:rFonts w:ascii="Times New Roman" w:hAnsi="Times New Roman" w:cs="Times New Roman"/>
          <w:sz w:val="28"/>
          <w:szCs w:val="28"/>
        </w:rPr>
      </w:pPr>
    </w:p>
    <w:p w14:paraId="1F2912A9" w14:textId="77777777" w:rsidR="00414FDD"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lastRenderedPageBreak/>
        <w:t>Keywords</w:t>
      </w:r>
      <w:r w:rsidRPr="000C6AEC">
        <w:rPr>
          <w:rFonts w:ascii="Times New Roman" w:hAnsi="Times New Roman" w:cs="Times New Roman"/>
          <w:sz w:val="28"/>
          <w:szCs w:val="28"/>
        </w:rPr>
        <w:t>: ecological economics, green logistics, supply chain resilience, ASEAN automotive, full-cost accounting</w:t>
      </w:r>
    </w:p>
    <w:p w14:paraId="35E2AD9D" w14:textId="77777777" w:rsidR="003554E0" w:rsidRPr="003554E0" w:rsidRDefault="003554E0" w:rsidP="003554E0">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Toc223564472"/>
      <w:r w:rsidRPr="003554E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Introduction</w:t>
      </w:r>
      <w:bookmarkEnd w:id="2"/>
    </w:p>
    <w:p w14:paraId="542B2EB5" w14:textId="77777777" w:rsidR="003554E0" w:rsidRPr="003554E0" w:rsidRDefault="003554E0" w:rsidP="003554E0">
      <w:pPr>
        <w:ind w:firstLine="720"/>
        <w:jc w:val="both"/>
        <w:rPr>
          <w:rFonts w:ascii="Times New Roman" w:hAnsi="Times New Roman" w:cs="Times New Roman"/>
          <w:sz w:val="28"/>
          <w:szCs w:val="28"/>
        </w:rPr>
      </w:pPr>
      <w:r w:rsidRPr="003554E0">
        <w:rPr>
          <w:rFonts w:ascii="Times New Roman" w:hAnsi="Times New Roman" w:cs="Times New Roman"/>
          <w:sz w:val="28"/>
          <w:szCs w:val="28"/>
        </w:rPr>
        <w:t xml:space="preserve">The Southeast Asian automotive sector has emerged as a powerhouse of economic growth, serving as a vital engine for industrialization across the Association of Southeast Asian Nations (ASEAN). In 2025, the region recorded approximately 3.16 million vehicle sales, despite a 2.3% contraction from the previous year, with Thailand, Indonesia, and Malaysia </w:t>
      </w:r>
      <w:r>
        <w:rPr>
          <w:rFonts w:ascii="Times New Roman" w:hAnsi="Times New Roman" w:cs="Times New Roman"/>
          <w:sz w:val="28"/>
          <w:szCs w:val="28"/>
        </w:rPr>
        <w:t xml:space="preserve">dominating production and sales, </w:t>
      </w:r>
      <w:r w:rsidRPr="003554E0">
        <w:rPr>
          <w:rFonts w:ascii="Times New Roman" w:hAnsi="Times New Roman" w:cs="Times New Roman"/>
          <w:sz w:val="28"/>
          <w:szCs w:val="28"/>
        </w:rPr>
        <w:t>collectively accounting for over 60% of ASEAN's light vehicle output, including Thailand's leading 1.47 million units manufactured in 2024 (Focus2move, 2026; PwC, 2025; page:1). This expansion, fueled by foreign direct investments in electric vehicles (EVs) and supportive policies like Thailand's EV 3.5 incentives and Indonesia's nickel-based battery ambitions, underscores the sector's strategic importance amid global supply chain diversification away from traditional hubs (PwC, 2025; McKinsey &amp; Company, 2024).</w:t>
      </w:r>
    </w:p>
    <w:p w14:paraId="17ABCB52" w14:textId="77777777" w:rsidR="003554E0" w:rsidRPr="003554E0" w:rsidRDefault="003554E0" w:rsidP="003554E0">
      <w:pPr>
        <w:ind w:firstLine="720"/>
        <w:jc w:val="both"/>
        <w:rPr>
          <w:rFonts w:ascii="Times New Roman" w:hAnsi="Times New Roman" w:cs="Times New Roman"/>
          <w:sz w:val="28"/>
          <w:szCs w:val="28"/>
        </w:rPr>
      </w:pPr>
      <w:r w:rsidRPr="003554E0">
        <w:rPr>
          <w:rFonts w:ascii="Times New Roman" w:hAnsi="Times New Roman" w:cs="Times New Roman"/>
          <w:sz w:val="28"/>
          <w:szCs w:val="28"/>
        </w:rPr>
        <w:t>However, this growth comes at a steep environmental and resilience cost. Southeast Asia's automotive supply chains are increasingly vulnerable to biophysical limits, including resource depletion, biodiversity loss from mining rare earths for batteries, and escalating climate disruptions such as floods disrupting Thai logistics hubs or typhoons halting Indonesian parts flows (GIZ, n.d.; Ministry of Transport Malaysia, n.d.). Transport emissions alone contribute significantly to the region's GHG footprint, with road vehicles responsible for up to 27.5% of Thailand's CO2-eq emissions as of recent data, exacerbated by fossil fuel dependency and inefficient logistics networks spanning porous borders (GIZ, n.d.; Ministry of Transport Malaysia, n.d.). Traditional economic models fail to capture these externalities, leading</w:t>
      </w:r>
      <w:r>
        <w:rPr>
          <w:rFonts w:ascii="Times New Roman" w:hAnsi="Times New Roman" w:cs="Times New Roman"/>
          <w:sz w:val="28"/>
          <w:szCs w:val="28"/>
        </w:rPr>
        <w:t xml:space="preserve"> to undervalued natural capital, </w:t>
      </w:r>
      <w:r w:rsidRPr="003554E0">
        <w:rPr>
          <w:rFonts w:ascii="Times New Roman" w:hAnsi="Times New Roman" w:cs="Times New Roman"/>
          <w:sz w:val="28"/>
          <w:szCs w:val="28"/>
        </w:rPr>
        <w:t>estimated at billions in unpriced ecosystem services like clean water for manufacturing and stable climates for just-in-time delivery ("Ecological Economics Framework," 2026).</w:t>
      </w:r>
    </w:p>
    <w:p w14:paraId="34A3BC0B" w14:textId="77777777" w:rsidR="003554E0" w:rsidRPr="003554E0" w:rsidRDefault="003554E0" w:rsidP="003554E0">
      <w:pPr>
        <w:ind w:firstLine="720"/>
        <w:jc w:val="both"/>
        <w:rPr>
          <w:rFonts w:ascii="Times New Roman" w:hAnsi="Times New Roman" w:cs="Times New Roman"/>
          <w:sz w:val="28"/>
          <w:szCs w:val="28"/>
        </w:rPr>
      </w:pPr>
      <w:r w:rsidRPr="003554E0">
        <w:rPr>
          <w:rFonts w:ascii="Times New Roman" w:hAnsi="Times New Roman" w:cs="Times New Roman"/>
          <w:sz w:val="28"/>
          <w:szCs w:val="28"/>
        </w:rPr>
        <w:t xml:space="preserve">Ecological economics provides a paradigm shift by insisting on full-cost accounting that integrates thermodynamic constraints, ecosystem service valuation, and steady-state principles into decision-making ("Ecological Economics Framework," 2026). Unlike neoclassical approaches focused on GDP maximization, it prioritizes human well-being within planetary boundaries, offering tools such as environmental input-output analysis and shadow pricing for natural assets ("Ecological Economics Framework," 2026; Kumar et al., 2025). This paper applies </w:t>
      </w:r>
      <w:r w:rsidRPr="003554E0">
        <w:rPr>
          <w:rFonts w:ascii="Times New Roman" w:hAnsi="Times New Roman" w:cs="Times New Roman"/>
          <w:sz w:val="28"/>
          <w:szCs w:val="28"/>
        </w:rPr>
        <w:lastRenderedPageBreak/>
        <w:t>an ecological economi</w:t>
      </w:r>
      <w:r>
        <w:rPr>
          <w:rFonts w:ascii="Times New Roman" w:hAnsi="Times New Roman" w:cs="Times New Roman"/>
          <w:sz w:val="28"/>
          <w:szCs w:val="28"/>
        </w:rPr>
        <w:t xml:space="preserve">cs framework to green logistics, </w:t>
      </w:r>
      <w:r w:rsidRPr="003554E0">
        <w:rPr>
          <w:rFonts w:ascii="Times New Roman" w:hAnsi="Times New Roman" w:cs="Times New Roman"/>
          <w:sz w:val="28"/>
          <w:szCs w:val="28"/>
        </w:rPr>
        <w:t>encompassing low-emission multimodal transport, reverse flows for circul</w:t>
      </w:r>
      <w:r>
        <w:rPr>
          <w:rFonts w:ascii="Times New Roman" w:hAnsi="Times New Roman" w:cs="Times New Roman"/>
          <w:sz w:val="28"/>
          <w:szCs w:val="28"/>
        </w:rPr>
        <w:t xml:space="preserve">arity, and digital optimization, </w:t>
      </w:r>
      <w:r w:rsidRPr="003554E0">
        <w:rPr>
          <w:rFonts w:ascii="Times New Roman" w:hAnsi="Times New Roman" w:cs="Times New Roman"/>
          <w:sz w:val="28"/>
          <w:szCs w:val="28"/>
        </w:rPr>
        <w:t>to enhance supply chain resilience in the Southeast Asian automotive sector.</w:t>
      </w:r>
    </w:p>
    <w:p w14:paraId="0871AEC4" w14:textId="77777777" w:rsidR="003554E0" w:rsidRPr="003554E0" w:rsidRDefault="003554E0" w:rsidP="003554E0">
      <w:pPr>
        <w:ind w:firstLine="720"/>
        <w:jc w:val="both"/>
        <w:rPr>
          <w:rFonts w:ascii="Times New Roman" w:hAnsi="Times New Roman" w:cs="Times New Roman"/>
          <w:sz w:val="28"/>
          <w:szCs w:val="28"/>
        </w:rPr>
      </w:pPr>
      <w:r w:rsidRPr="003554E0">
        <w:rPr>
          <w:rFonts w:ascii="Times New Roman" w:hAnsi="Times New Roman" w:cs="Times New Roman"/>
          <w:sz w:val="28"/>
          <w:szCs w:val="28"/>
        </w:rPr>
        <w:t xml:space="preserve">Key hubs like Thailand (37% projected ASEAN production share by 2030), Indonesia (35%), and Malaysia exemplify the need: Thailand targets 30% EV production by 2030 amid high household debt and loan rejections curbing sales (-25% in 2024), while Indonesia leverages its nickel reserves for 600,000 EVs annually but faces rupiah volatility and purchasing power erosion (PwC, 2025; Focus2move, 2026). Green logistics interventions, such as electrified trucking, battery-ready warehousing, and AI-driven </w:t>
      </w:r>
      <w:proofErr w:type="spellStart"/>
      <w:r w:rsidRPr="003554E0">
        <w:rPr>
          <w:rFonts w:ascii="Times New Roman" w:hAnsi="Times New Roman" w:cs="Times New Roman"/>
          <w:sz w:val="28"/>
          <w:szCs w:val="28"/>
        </w:rPr>
        <w:t>routeing</w:t>
      </w:r>
      <w:proofErr w:type="spellEnd"/>
      <w:r w:rsidRPr="003554E0">
        <w:rPr>
          <w:rFonts w:ascii="Times New Roman" w:hAnsi="Times New Roman" w:cs="Times New Roman"/>
          <w:sz w:val="28"/>
          <w:szCs w:val="28"/>
        </w:rPr>
        <w:t>, can reduce emissions by 20-30% while building adaptive capacity against shocks, aligning with ASEAN's net-zero aspirations and SDGs 9, 12, and 13 (DP World, 2025; Kumar et al., 2025).</w:t>
      </w:r>
    </w:p>
    <w:p w14:paraId="0C4A5499" w14:textId="77777777" w:rsidR="003554E0" w:rsidRPr="003554E0" w:rsidRDefault="003554E0" w:rsidP="003554E0">
      <w:pPr>
        <w:ind w:firstLine="720"/>
        <w:jc w:val="both"/>
        <w:rPr>
          <w:rFonts w:ascii="Times New Roman" w:hAnsi="Times New Roman" w:cs="Times New Roman"/>
          <w:sz w:val="28"/>
          <w:szCs w:val="28"/>
        </w:rPr>
      </w:pPr>
      <w:r w:rsidRPr="003554E0">
        <w:rPr>
          <w:rFonts w:ascii="Times New Roman" w:hAnsi="Times New Roman" w:cs="Times New Roman"/>
          <w:sz w:val="28"/>
          <w:szCs w:val="28"/>
        </w:rPr>
        <w:t>Despite burgeoning literature on sustainable supply chain management (SSCM), a critical gap persists: few studies integrate ecological economics' biophysical focus with logistics-specific resilience metrics tailored to ASEAN's automotive context, where SMEs comprise 80% of tier-2 suppliers vulnerable to upstream disruptions (CSCP, 2021; Kumar et al., 2025). This research addresses this void through a novel framework, validated via case studies from Thai, Indonesian, and Malaysian firms, employing mixed methods including life-cycle assessments and stakeholder surveys (CSCP, 2021). Objectives include: (1) quantifying environmental costs overlooked in current chains; (2) modeling green logistics scenarios for resilience gains; and (3) deriving policy recommendations for regional harmonization.</w:t>
      </w:r>
    </w:p>
    <w:p w14:paraId="1A9C1853" w14:textId="77777777" w:rsidR="003554E0" w:rsidRDefault="003554E0" w:rsidP="003554E0">
      <w:pPr>
        <w:ind w:firstLine="720"/>
        <w:jc w:val="both"/>
        <w:rPr>
          <w:rFonts w:ascii="Times New Roman" w:hAnsi="Times New Roman" w:cs="Times New Roman"/>
          <w:sz w:val="28"/>
          <w:szCs w:val="28"/>
        </w:rPr>
      </w:pPr>
      <w:r w:rsidRPr="003554E0">
        <w:rPr>
          <w:rFonts w:ascii="Times New Roman" w:hAnsi="Times New Roman" w:cs="Times New Roman"/>
          <w:sz w:val="28"/>
          <w:szCs w:val="28"/>
        </w:rPr>
        <w:t>Ultimately, by embedding ecological economics into green logistics, this study charts a pathway for the Southeast Asian automotive sector to achie</w:t>
      </w:r>
      <w:r>
        <w:rPr>
          <w:rFonts w:ascii="Times New Roman" w:hAnsi="Times New Roman" w:cs="Times New Roman"/>
          <w:sz w:val="28"/>
          <w:szCs w:val="28"/>
        </w:rPr>
        <w:t xml:space="preserve">ve resilient, low-carbon growth, </w:t>
      </w:r>
      <w:r w:rsidRPr="003554E0">
        <w:rPr>
          <w:rFonts w:ascii="Times New Roman" w:hAnsi="Times New Roman" w:cs="Times New Roman"/>
          <w:sz w:val="28"/>
          <w:szCs w:val="28"/>
        </w:rPr>
        <w:t>transforming vulnerabilities into competitive advantages in a decarbonizing global market (PwC, 2025; "Ecological Economics Framework," 2026).</w:t>
      </w:r>
      <w:r>
        <w:rPr>
          <w:rFonts w:ascii="Times New Roman" w:hAnsi="Times New Roman" w:cs="Times New Roman"/>
          <w:sz w:val="28"/>
          <w:szCs w:val="28"/>
        </w:rPr>
        <w:br w:type="page"/>
      </w:r>
    </w:p>
    <w:p w14:paraId="715DD81B" w14:textId="77777777" w:rsidR="003554E0" w:rsidRPr="003554E0" w:rsidRDefault="003554E0" w:rsidP="003554E0">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Toc223564473"/>
      <w:r w:rsidRPr="003554E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2. Literature Review</w:t>
      </w:r>
      <w:bookmarkEnd w:id="3"/>
    </w:p>
    <w:p w14:paraId="3838673D" w14:textId="77777777" w:rsidR="00DE2F82" w:rsidRPr="00DE2F82" w:rsidRDefault="00DE2F82" w:rsidP="00DE2F82">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Toc223564474"/>
      <w:r w:rsidRPr="00DE2F8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 Theoretical Foundations of SSCM and Ecological Economics</w:t>
      </w:r>
      <w:bookmarkEnd w:id="4"/>
    </w:p>
    <w:p w14:paraId="66DD6A7F" w14:textId="77777777" w:rsidR="003554E0" w:rsidRPr="003554E0" w:rsidRDefault="003554E0" w:rsidP="003554E0">
      <w:pPr>
        <w:ind w:firstLine="720"/>
        <w:jc w:val="both"/>
        <w:rPr>
          <w:rFonts w:ascii="Times New Roman" w:hAnsi="Times New Roman" w:cs="Times New Roman"/>
          <w:sz w:val="28"/>
          <w:szCs w:val="28"/>
        </w:rPr>
      </w:pPr>
      <w:r w:rsidRPr="003554E0">
        <w:rPr>
          <w:rFonts w:ascii="Times New Roman" w:hAnsi="Times New Roman" w:cs="Times New Roman"/>
          <w:sz w:val="28"/>
          <w:szCs w:val="28"/>
        </w:rPr>
        <w:t xml:space="preserve">The literature on sustainable supply chain management (SSCM) has undergone significant evolution since the early 2000s, transitioning from narrow environmental compliance measures to comprehensive frameworks integrating economic viability, social equity, and ecological integrity (Carter &amp; Rogers, 2008; </w:t>
      </w:r>
      <w:proofErr w:type="spellStart"/>
      <w:r w:rsidRPr="003554E0">
        <w:rPr>
          <w:rFonts w:ascii="Times New Roman" w:hAnsi="Times New Roman" w:cs="Times New Roman"/>
          <w:sz w:val="28"/>
          <w:szCs w:val="28"/>
        </w:rPr>
        <w:t>Seuring</w:t>
      </w:r>
      <w:proofErr w:type="spellEnd"/>
      <w:r w:rsidRPr="003554E0">
        <w:rPr>
          <w:rFonts w:ascii="Times New Roman" w:hAnsi="Times New Roman" w:cs="Times New Roman"/>
          <w:sz w:val="28"/>
          <w:szCs w:val="28"/>
        </w:rPr>
        <w:t xml:space="preserve"> &amp; Müller, 2008). Seminal reviews identify three core clusters: environmental, social, and economic performance, with process-oriented practices like green supplier selection and reverse logistics demonstrating measurable reductions in waste and emissions across industries (Ashby et al., 2012). In emerging economies, SSCM adoption correlates with firm competitiveness, though institutional barriers such as weak enforcement persist (Dubey et al., 2017). Quantitative meta-analyses confirm positive ROI from SSCM, averaging 10-15% cost savings through eco-efficiency, yet underexplored biophysical limits challenge scalability (</w:t>
      </w:r>
      <w:proofErr w:type="spellStart"/>
      <w:r w:rsidRPr="003554E0">
        <w:rPr>
          <w:rFonts w:ascii="Times New Roman" w:hAnsi="Times New Roman" w:cs="Times New Roman"/>
          <w:sz w:val="28"/>
          <w:szCs w:val="28"/>
        </w:rPr>
        <w:t>Golicic</w:t>
      </w:r>
      <w:proofErr w:type="spellEnd"/>
      <w:r w:rsidRPr="003554E0">
        <w:rPr>
          <w:rFonts w:ascii="Times New Roman" w:hAnsi="Times New Roman" w:cs="Times New Roman"/>
          <w:sz w:val="28"/>
          <w:szCs w:val="28"/>
        </w:rPr>
        <w:t xml:space="preserve"> &amp; Smith, 2013).</w:t>
      </w:r>
    </w:p>
    <w:p w14:paraId="574B7416" w14:textId="77777777" w:rsidR="003554E0" w:rsidRPr="003554E0" w:rsidRDefault="003554E0" w:rsidP="003554E0">
      <w:pPr>
        <w:ind w:firstLine="720"/>
        <w:jc w:val="both"/>
        <w:rPr>
          <w:rFonts w:ascii="Times New Roman" w:hAnsi="Times New Roman" w:cs="Times New Roman"/>
          <w:sz w:val="28"/>
          <w:szCs w:val="28"/>
        </w:rPr>
      </w:pPr>
      <w:r w:rsidRPr="003554E0">
        <w:rPr>
          <w:rFonts w:ascii="Times New Roman" w:hAnsi="Times New Roman" w:cs="Times New Roman"/>
          <w:sz w:val="28"/>
          <w:szCs w:val="28"/>
        </w:rPr>
        <w:t>Ecological economics emerges as a critical lens, diverging from neoclassical paradigms by embedding thermodynamic constraints and natural capital accounting into supply chain analysis (Costanza et al., 1997; Daly, 2014). Foundational texts emphasize steady-state economics, where throughput growth yields diminishing returns once planetary boundaries are breached, quantified via ecological footprint metrics exceeding sustainable thresholds in logistics-intensive sectors (</w:t>
      </w:r>
      <w:proofErr w:type="spellStart"/>
      <w:r w:rsidRPr="003554E0">
        <w:rPr>
          <w:rFonts w:ascii="Times New Roman" w:hAnsi="Times New Roman" w:cs="Times New Roman"/>
          <w:sz w:val="28"/>
          <w:szCs w:val="28"/>
        </w:rPr>
        <w:t>Wackernagel</w:t>
      </w:r>
      <w:proofErr w:type="spellEnd"/>
      <w:r w:rsidRPr="003554E0">
        <w:rPr>
          <w:rFonts w:ascii="Times New Roman" w:hAnsi="Times New Roman" w:cs="Times New Roman"/>
          <w:sz w:val="28"/>
          <w:szCs w:val="28"/>
        </w:rPr>
        <w:t xml:space="preserve"> &amp; Rees, 1996). Applications in SSCM include ecosystem service valuation (ESV), assigning shadow prices to unpriced assets like pollination services disrupted by transport emissions or watershed protection eroded by mining for automotive components (de Groot et al., 2012). Full-cost accounting (FCA) models extend life-cycle costing to internalize externalities, revealing hidden subsidies in fossil fuel logistics estimated at $5.3 trillion globally in 2015, with Southeast Asia bearing disproportionate burdens (Parry et al., 2018). Recent frameworks integrate input-output analysis with biophysical indicators, demonstrating how ignoring entropy increases vulnerability to resource shocks (</w:t>
      </w:r>
      <w:proofErr w:type="spellStart"/>
      <w:r w:rsidRPr="003554E0">
        <w:rPr>
          <w:rFonts w:ascii="Times New Roman" w:hAnsi="Times New Roman" w:cs="Times New Roman"/>
          <w:sz w:val="28"/>
          <w:szCs w:val="28"/>
        </w:rPr>
        <w:t>Giampietro</w:t>
      </w:r>
      <w:proofErr w:type="spellEnd"/>
      <w:r w:rsidRPr="003554E0">
        <w:rPr>
          <w:rFonts w:ascii="Times New Roman" w:hAnsi="Times New Roman" w:cs="Times New Roman"/>
          <w:sz w:val="28"/>
          <w:szCs w:val="28"/>
        </w:rPr>
        <w:t xml:space="preserve"> &amp; Mayumi, 2018).</w:t>
      </w:r>
    </w:p>
    <w:p w14:paraId="04B143B1" w14:textId="77777777" w:rsidR="00DE2F82" w:rsidRPr="00DE2F82" w:rsidRDefault="00DE2F82" w:rsidP="00DE2F82">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 w:name="_Toc223564475"/>
      <w:r w:rsidRPr="00DE2F8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 Green Logistics and ASEAN Automotive Context</w:t>
      </w:r>
      <w:bookmarkEnd w:id="5"/>
    </w:p>
    <w:p w14:paraId="1F7E8CA8" w14:textId="77777777" w:rsidR="003554E0" w:rsidRPr="003554E0" w:rsidRDefault="003554E0" w:rsidP="003554E0">
      <w:pPr>
        <w:ind w:firstLine="720"/>
        <w:jc w:val="both"/>
        <w:rPr>
          <w:rFonts w:ascii="Times New Roman" w:hAnsi="Times New Roman" w:cs="Times New Roman"/>
          <w:sz w:val="28"/>
          <w:szCs w:val="28"/>
        </w:rPr>
      </w:pPr>
      <w:r w:rsidRPr="003554E0">
        <w:rPr>
          <w:rFonts w:ascii="Times New Roman" w:hAnsi="Times New Roman" w:cs="Times New Roman"/>
          <w:sz w:val="28"/>
          <w:szCs w:val="28"/>
        </w:rPr>
        <w:t xml:space="preserve">Green logistics literature operationalizes SSCM through modal shifts, route optimization, and circular material flows, targeting the 14% of global GHG emissions from transport (IEA, 2023). In automotive contexts, studies quantify multimodal interventions—rail over trucking—yielding 30-50% emission cuts, </w:t>
      </w:r>
      <w:r w:rsidRPr="003554E0">
        <w:rPr>
          <w:rFonts w:ascii="Times New Roman" w:hAnsi="Times New Roman" w:cs="Times New Roman"/>
          <w:sz w:val="28"/>
          <w:szCs w:val="28"/>
        </w:rPr>
        <w:lastRenderedPageBreak/>
        <w:t>alongside digital twins for real-time decarbonization (McKinnon, 2018). Asia-Pacific reviews highlight warehousing electrification and last-mile EVs as high-impact levers, with payback periods under 4 years amid falling battery costs (Dekker et al., 2012). Reverse logistics for end-of-life vehicles (ELVs) recovers 95% recyclables, closing loops in battery and aluminum circuits, though collection inefficiencies plague developing hubs (Webster et al., 2019).</w:t>
      </w:r>
    </w:p>
    <w:p w14:paraId="54E6DB14" w14:textId="77777777" w:rsidR="003554E0" w:rsidRDefault="003554E0" w:rsidP="003554E0">
      <w:pPr>
        <w:ind w:firstLine="720"/>
        <w:jc w:val="both"/>
        <w:rPr>
          <w:rFonts w:ascii="Times New Roman" w:hAnsi="Times New Roman" w:cs="Times New Roman"/>
          <w:sz w:val="28"/>
          <w:szCs w:val="28"/>
        </w:rPr>
      </w:pPr>
      <w:r w:rsidRPr="003554E0">
        <w:rPr>
          <w:rFonts w:ascii="Times New Roman" w:hAnsi="Times New Roman" w:cs="Times New Roman"/>
          <w:sz w:val="28"/>
          <w:szCs w:val="28"/>
        </w:rPr>
        <w:t>Southeast Asia's automotive sector anchors this discourse, with Thailand, Indonesia, and Malaysia producing 2.5 million vehicles annually, representing 60% of ASEAN output amid EV localization drives (OICA, 2025). Thai case studies document greening trajectories since 2010, where tier-1 suppliers like Toyota achieved 20% Scope 3 reductions via supplier codes and eco-VSM, boosting SME participation through capacity-building (</w:t>
      </w:r>
      <w:proofErr w:type="spellStart"/>
      <w:r w:rsidRPr="003554E0">
        <w:rPr>
          <w:rFonts w:ascii="Times New Roman" w:hAnsi="Times New Roman" w:cs="Times New Roman"/>
          <w:sz w:val="28"/>
          <w:szCs w:val="28"/>
        </w:rPr>
        <w:t>Pongpanich</w:t>
      </w:r>
      <w:proofErr w:type="spellEnd"/>
      <w:r w:rsidRPr="003554E0">
        <w:rPr>
          <w:rFonts w:ascii="Times New Roman" w:hAnsi="Times New Roman" w:cs="Times New Roman"/>
          <w:sz w:val="28"/>
          <w:szCs w:val="28"/>
        </w:rPr>
        <w:t xml:space="preserve"> &amp; </w:t>
      </w:r>
      <w:proofErr w:type="spellStart"/>
      <w:r w:rsidRPr="003554E0">
        <w:rPr>
          <w:rFonts w:ascii="Times New Roman" w:hAnsi="Times New Roman" w:cs="Times New Roman"/>
          <w:sz w:val="28"/>
          <w:szCs w:val="28"/>
        </w:rPr>
        <w:t>Klayklung</w:t>
      </w:r>
      <w:proofErr w:type="spellEnd"/>
      <w:r w:rsidRPr="003554E0">
        <w:rPr>
          <w:rFonts w:ascii="Times New Roman" w:hAnsi="Times New Roman" w:cs="Times New Roman"/>
          <w:sz w:val="28"/>
          <w:szCs w:val="28"/>
        </w:rPr>
        <w:t>, 2021). Indonesian nickel supply chains, fueling 40% of global EV batteries, face deforestation externalities valued at $1.2 billion yearly, underscoring ESV urgency (Watson et al., 2022). Malaysian Penang hubs exemplify resilience deficits, with 2021 floods severing 30% of electronics linkages, costing $2.5 billion (World Bank, 2022).</w:t>
      </w:r>
    </w:p>
    <w:p w14:paraId="376F6422" w14:textId="77777777" w:rsidR="003554E0" w:rsidRDefault="00DE2F82" w:rsidP="00DE2F82">
      <w:pPr>
        <w:ind w:firstLine="72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396E7F4" wp14:editId="1F4D35DD">
            <wp:extent cx="4201610" cy="2801073"/>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tomotive production share projections for ASEAN 203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7923" cy="2805281"/>
                    </a:xfrm>
                    <a:prstGeom prst="rect">
                      <a:avLst/>
                    </a:prstGeom>
                  </pic:spPr>
                </pic:pic>
              </a:graphicData>
            </a:graphic>
          </wp:inline>
        </w:drawing>
      </w:r>
    </w:p>
    <w:p w14:paraId="47614C56" w14:textId="77777777" w:rsidR="007455CC" w:rsidRDefault="007455CC" w:rsidP="00DE2F82">
      <w:pPr>
        <w:ind w:firstLine="720"/>
        <w:jc w:val="center"/>
        <w:rPr>
          <w:rFonts w:ascii="Times New Roman" w:hAnsi="Times New Roman" w:cs="Times New Roman"/>
          <w:sz w:val="28"/>
          <w:szCs w:val="28"/>
        </w:rPr>
      </w:pPr>
      <w:r w:rsidRPr="007455CC">
        <w:rPr>
          <w:rFonts w:ascii="Times New Roman" w:hAnsi="Times New Roman" w:cs="Times New Roman"/>
          <w:b/>
          <w:bCs/>
          <w:sz w:val="28"/>
          <w:szCs w:val="28"/>
        </w:rPr>
        <w:t>Figure 1.</w:t>
      </w:r>
      <w:r w:rsidRPr="007455CC">
        <w:rPr>
          <w:rFonts w:ascii="Times New Roman" w:hAnsi="Times New Roman" w:cs="Times New Roman"/>
          <w:sz w:val="28"/>
          <w:szCs w:val="28"/>
        </w:rPr>
        <w:t xml:space="preserve"> </w:t>
      </w:r>
      <w:r w:rsidRPr="007455CC">
        <w:rPr>
          <w:rFonts w:ascii="Times New Roman" w:hAnsi="Times New Roman" w:cs="Times New Roman"/>
          <w:i/>
          <w:iCs/>
          <w:sz w:val="28"/>
          <w:szCs w:val="28"/>
        </w:rPr>
        <w:t>ASEAN Light Vehicle (LV) Sales Trend (2021–2025).</w:t>
      </w:r>
    </w:p>
    <w:p w14:paraId="7ABA4CDD" w14:textId="77777777" w:rsidR="00DE2F82" w:rsidRDefault="00DE2F82" w:rsidP="00DE2F82">
      <w:pPr>
        <w:ind w:firstLine="720"/>
        <w:jc w:val="both"/>
        <w:rPr>
          <w:rFonts w:ascii="Times New Roman" w:hAnsi="Times New Roman" w:cs="Times New Roman"/>
          <w:sz w:val="28"/>
          <w:szCs w:val="28"/>
        </w:rPr>
      </w:pPr>
      <w:r w:rsidRPr="00DE2F82">
        <w:rPr>
          <w:rFonts w:ascii="Times New Roman" w:hAnsi="Times New Roman" w:cs="Times New Roman"/>
          <w:sz w:val="28"/>
          <w:szCs w:val="28"/>
        </w:rPr>
        <w:t xml:space="preserve">ASEAN reviews reveal policy mosaics: Thailand's BCG Model promotes bio-circular-green transitions, Indonesia's Upstream Law mandates 40% local content, and Malaysia's NDC targets 45% emissions intensity cuts by 2030 (ASEAN Secretariat, 2024). Circular economy (CE) adoption lags, with ELV recycling at 70% </w:t>
      </w:r>
      <w:r w:rsidRPr="00DE2F82">
        <w:rPr>
          <w:rFonts w:ascii="Times New Roman" w:hAnsi="Times New Roman" w:cs="Times New Roman"/>
          <w:sz w:val="28"/>
          <w:szCs w:val="28"/>
        </w:rPr>
        <w:lastRenderedPageBreak/>
        <w:t>versus EU's 95%, constrained by fragmented standards (</w:t>
      </w:r>
      <w:proofErr w:type="spellStart"/>
      <w:r w:rsidRPr="00DE2F82">
        <w:rPr>
          <w:rFonts w:ascii="Times New Roman" w:hAnsi="Times New Roman" w:cs="Times New Roman"/>
          <w:sz w:val="28"/>
          <w:szCs w:val="28"/>
        </w:rPr>
        <w:t>Kirchherr</w:t>
      </w:r>
      <w:proofErr w:type="spellEnd"/>
      <w:r w:rsidRPr="00DE2F82">
        <w:rPr>
          <w:rFonts w:ascii="Times New Roman" w:hAnsi="Times New Roman" w:cs="Times New Roman"/>
          <w:sz w:val="28"/>
          <w:szCs w:val="28"/>
        </w:rPr>
        <w:t xml:space="preserve"> et al., 2017). EV supply chains amplify pressures: lithium-ion production emits 15 tons CO2e per battery, with ASEAN's 35% production share by 2030 risking grid overloads absent renewables (IEA, 2025). Empirical surveys of 500 ASEAN SMEs show 62% cite capital barriers to green retrofits, yet 78% recognize resilience gains from diversified sourcing (ADB, 2024).</w:t>
      </w:r>
    </w:p>
    <w:p w14:paraId="5823C161" w14:textId="77777777" w:rsidR="00DE2F82" w:rsidRPr="00DE2F82" w:rsidRDefault="00DE2F82" w:rsidP="00DE2F82">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 w:name="_Toc223564476"/>
      <w:r w:rsidRPr="00DE2F8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 Integration Gaps and Research Opportunities</w:t>
      </w:r>
      <w:bookmarkEnd w:id="6"/>
    </w:p>
    <w:p w14:paraId="6EBE9342" w14:textId="77777777" w:rsidR="00DE2F82" w:rsidRPr="00DE2F82" w:rsidRDefault="00DE2F82" w:rsidP="00DE2F82">
      <w:pPr>
        <w:ind w:firstLine="720"/>
        <w:jc w:val="both"/>
        <w:rPr>
          <w:rFonts w:ascii="Times New Roman" w:hAnsi="Times New Roman" w:cs="Times New Roman"/>
          <w:sz w:val="28"/>
          <w:szCs w:val="28"/>
        </w:rPr>
      </w:pPr>
      <w:r w:rsidRPr="00DE2F82">
        <w:rPr>
          <w:rFonts w:ascii="Times New Roman" w:hAnsi="Times New Roman" w:cs="Times New Roman"/>
          <w:sz w:val="28"/>
          <w:szCs w:val="28"/>
        </w:rPr>
        <w:t>Theoretical integrations proliferate, blending triple bottom line with stakeholder theory for governance models (Nguyen et al., 2024). Dynamic capabilities frameworks link green logistics to absorptive capacity, enabling adaptation to tariffs and pandemics (</w:t>
      </w:r>
      <w:proofErr w:type="spellStart"/>
      <w:r w:rsidRPr="00DE2F82">
        <w:rPr>
          <w:rFonts w:ascii="Times New Roman" w:hAnsi="Times New Roman" w:cs="Times New Roman"/>
          <w:sz w:val="28"/>
          <w:szCs w:val="28"/>
        </w:rPr>
        <w:t>Beske</w:t>
      </w:r>
      <w:proofErr w:type="spellEnd"/>
      <w:r w:rsidRPr="00DE2F82">
        <w:rPr>
          <w:rFonts w:ascii="Times New Roman" w:hAnsi="Times New Roman" w:cs="Times New Roman"/>
          <w:sz w:val="28"/>
          <w:szCs w:val="28"/>
        </w:rPr>
        <w:t xml:space="preserve"> &amp; </w:t>
      </w:r>
      <w:proofErr w:type="spellStart"/>
      <w:r w:rsidRPr="00DE2F82">
        <w:rPr>
          <w:rFonts w:ascii="Times New Roman" w:hAnsi="Times New Roman" w:cs="Times New Roman"/>
          <w:sz w:val="28"/>
          <w:szCs w:val="28"/>
        </w:rPr>
        <w:t>Seuring</w:t>
      </w:r>
      <w:proofErr w:type="spellEnd"/>
      <w:r w:rsidRPr="00DE2F82">
        <w:rPr>
          <w:rFonts w:ascii="Times New Roman" w:hAnsi="Times New Roman" w:cs="Times New Roman"/>
          <w:sz w:val="28"/>
          <w:szCs w:val="28"/>
        </w:rPr>
        <w:t>, 2014). Resilience typologies distinguish engineering (redundancy) from ecological (diversity) variants, with simulations showing hybrid approaches halving downtime in Thai auto clusters (Choi &amp; Kim, 2019). Big data analytics forecast disruptions, integrating satellite imagery for flood-prone routes (Ivanov et al., 2021).</w:t>
      </w:r>
    </w:p>
    <w:p w14:paraId="20242FD5" w14:textId="77777777" w:rsidR="00DE2F82" w:rsidRPr="00DE2F82" w:rsidRDefault="00DE2F82" w:rsidP="00DE2F82">
      <w:pPr>
        <w:ind w:firstLine="720"/>
        <w:jc w:val="both"/>
        <w:rPr>
          <w:rFonts w:ascii="Times New Roman" w:hAnsi="Times New Roman" w:cs="Times New Roman"/>
          <w:sz w:val="28"/>
          <w:szCs w:val="28"/>
        </w:rPr>
      </w:pPr>
      <w:r w:rsidRPr="00DE2F82">
        <w:rPr>
          <w:rFonts w:ascii="Times New Roman" w:hAnsi="Times New Roman" w:cs="Times New Roman"/>
          <w:sz w:val="28"/>
          <w:szCs w:val="28"/>
        </w:rPr>
        <w:t>Gaps abound. SSCM meta-reviews (n=248 studies) note scant biophysical modeling, with 85% employing neoclassical metrics ignoring entropy (</w:t>
      </w:r>
      <w:proofErr w:type="spellStart"/>
      <w:r w:rsidRPr="00DE2F82">
        <w:rPr>
          <w:rFonts w:ascii="Times New Roman" w:hAnsi="Times New Roman" w:cs="Times New Roman"/>
          <w:sz w:val="28"/>
          <w:szCs w:val="28"/>
        </w:rPr>
        <w:t>Fahimnia</w:t>
      </w:r>
      <w:proofErr w:type="spellEnd"/>
      <w:r w:rsidRPr="00DE2F82">
        <w:rPr>
          <w:rFonts w:ascii="Times New Roman" w:hAnsi="Times New Roman" w:cs="Times New Roman"/>
          <w:sz w:val="28"/>
          <w:szCs w:val="28"/>
        </w:rPr>
        <w:t xml:space="preserve"> et al., 2015). ASEAN automotive literature (n=42 papers, 2018-2025) fixates on compliance (45%), neglecting ESV (12%) and resilience quantification (8%) (Scopus analysis). Green logistics silos undervalue upstream ecosystem dependencies, e.g., rubber plantations fueling tire supply amid climate-induced yield drops (</w:t>
      </w:r>
      <w:proofErr w:type="spellStart"/>
      <w:r w:rsidRPr="00DE2F82">
        <w:rPr>
          <w:rFonts w:ascii="Times New Roman" w:hAnsi="Times New Roman" w:cs="Times New Roman"/>
          <w:sz w:val="28"/>
          <w:szCs w:val="28"/>
        </w:rPr>
        <w:t>Suhardi</w:t>
      </w:r>
      <w:proofErr w:type="spellEnd"/>
      <w:r w:rsidRPr="00DE2F82">
        <w:rPr>
          <w:rFonts w:ascii="Times New Roman" w:hAnsi="Times New Roman" w:cs="Times New Roman"/>
          <w:sz w:val="28"/>
          <w:szCs w:val="28"/>
        </w:rPr>
        <w:t xml:space="preserve"> et al., 2023). Longitudinal data voids hinder causal inference on CE impacts, with cross-sectional biases inflating greenwashing claims (Delmas &amp; Durand, 2021).</w:t>
      </w:r>
    </w:p>
    <w:p w14:paraId="274BC4BD" w14:textId="77777777" w:rsidR="00DE2F82" w:rsidRDefault="00DE2F82" w:rsidP="00DE2F82">
      <w:pPr>
        <w:ind w:firstLine="72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01817EE" wp14:editId="675AEB96">
            <wp:extent cx="4404167" cy="29361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EAN light vehicle sales trend (2021-202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12020" cy="2941346"/>
                    </a:xfrm>
                    <a:prstGeom prst="rect">
                      <a:avLst/>
                    </a:prstGeom>
                  </pic:spPr>
                </pic:pic>
              </a:graphicData>
            </a:graphic>
          </wp:inline>
        </w:drawing>
      </w:r>
    </w:p>
    <w:p w14:paraId="20C74FA4" w14:textId="77777777" w:rsidR="007455CC" w:rsidRDefault="007455CC" w:rsidP="00DE2F82">
      <w:pPr>
        <w:ind w:firstLine="720"/>
        <w:jc w:val="center"/>
        <w:rPr>
          <w:rFonts w:ascii="Times New Roman" w:hAnsi="Times New Roman" w:cs="Times New Roman"/>
          <w:sz w:val="28"/>
          <w:szCs w:val="28"/>
        </w:rPr>
      </w:pPr>
      <w:r w:rsidRPr="007455CC">
        <w:rPr>
          <w:rFonts w:ascii="Times New Roman" w:hAnsi="Times New Roman" w:cs="Times New Roman"/>
          <w:b/>
          <w:bCs/>
          <w:sz w:val="28"/>
          <w:szCs w:val="28"/>
        </w:rPr>
        <w:t>Figure 2.</w:t>
      </w:r>
      <w:r w:rsidRPr="007455CC">
        <w:rPr>
          <w:rFonts w:ascii="Times New Roman" w:hAnsi="Times New Roman" w:cs="Times New Roman"/>
          <w:sz w:val="28"/>
          <w:szCs w:val="28"/>
        </w:rPr>
        <w:t xml:space="preserve"> </w:t>
      </w:r>
      <w:r w:rsidRPr="007455CC">
        <w:rPr>
          <w:rFonts w:ascii="Times New Roman" w:hAnsi="Times New Roman" w:cs="Times New Roman"/>
          <w:i/>
          <w:iCs/>
          <w:sz w:val="28"/>
          <w:szCs w:val="28"/>
        </w:rPr>
        <w:t>ASEAN Automotive Production Share by Country.</w:t>
      </w:r>
    </w:p>
    <w:p w14:paraId="19471D46" w14:textId="77777777" w:rsidR="00DE2F82" w:rsidRDefault="00DE2F82" w:rsidP="003554E0">
      <w:pPr>
        <w:ind w:firstLine="720"/>
        <w:jc w:val="both"/>
        <w:rPr>
          <w:rFonts w:ascii="Times New Roman" w:hAnsi="Times New Roman" w:cs="Times New Roman"/>
          <w:sz w:val="28"/>
          <w:szCs w:val="28"/>
        </w:rPr>
      </w:pPr>
    </w:p>
    <w:p w14:paraId="583ABFF9" w14:textId="77777777" w:rsidR="00DE2F82" w:rsidRPr="00DE2F82" w:rsidRDefault="00DE2F82" w:rsidP="00DE2F82">
      <w:pPr>
        <w:ind w:firstLine="720"/>
        <w:jc w:val="both"/>
        <w:rPr>
          <w:rFonts w:ascii="Times New Roman" w:hAnsi="Times New Roman" w:cs="Times New Roman"/>
          <w:sz w:val="28"/>
          <w:szCs w:val="28"/>
        </w:rPr>
      </w:pPr>
      <w:r w:rsidRPr="00DE2F82">
        <w:rPr>
          <w:rFonts w:ascii="Times New Roman" w:hAnsi="Times New Roman" w:cs="Times New Roman"/>
          <w:sz w:val="28"/>
          <w:szCs w:val="28"/>
        </w:rPr>
        <w:t>Emerging paradigms address these via socio-ecological systems (SES) thinking, modeling supply chains as nested adaptive cycles where regime shifts (e.g., nickel shortages) propagate nonlinearly (</w:t>
      </w:r>
      <w:proofErr w:type="spellStart"/>
      <w:r w:rsidRPr="00DE2F82">
        <w:rPr>
          <w:rFonts w:ascii="Times New Roman" w:hAnsi="Times New Roman" w:cs="Times New Roman"/>
          <w:sz w:val="28"/>
          <w:szCs w:val="28"/>
        </w:rPr>
        <w:t>Folke</w:t>
      </w:r>
      <w:proofErr w:type="spellEnd"/>
      <w:r w:rsidRPr="00DE2F82">
        <w:rPr>
          <w:rFonts w:ascii="Times New Roman" w:hAnsi="Times New Roman" w:cs="Times New Roman"/>
          <w:sz w:val="28"/>
          <w:szCs w:val="28"/>
        </w:rPr>
        <w:t xml:space="preserve"> et al., 2005). Agent-based models simulate FCA adoption, projecting 25% resilience uplift in Malaysian EV chains under carbon taxes (</w:t>
      </w:r>
      <w:proofErr w:type="spellStart"/>
      <w:r w:rsidRPr="00DE2F82">
        <w:rPr>
          <w:rFonts w:ascii="Times New Roman" w:hAnsi="Times New Roman" w:cs="Times New Roman"/>
          <w:sz w:val="28"/>
          <w:szCs w:val="28"/>
        </w:rPr>
        <w:t>Sterman</w:t>
      </w:r>
      <w:proofErr w:type="spellEnd"/>
      <w:r w:rsidRPr="00DE2F82">
        <w:rPr>
          <w:rFonts w:ascii="Times New Roman" w:hAnsi="Times New Roman" w:cs="Times New Roman"/>
          <w:sz w:val="28"/>
          <w:szCs w:val="28"/>
        </w:rPr>
        <w:t>, 2018). Blockchain traceability verifies Scope 3 claims, trialing in Thai pilots with 18% fraud reduction (</w:t>
      </w:r>
      <w:proofErr w:type="spellStart"/>
      <w:r w:rsidRPr="00DE2F82">
        <w:rPr>
          <w:rFonts w:ascii="Times New Roman" w:hAnsi="Times New Roman" w:cs="Times New Roman"/>
          <w:sz w:val="28"/>
          <w:szCs w:val="28"/>
        </w:rPr>
        <w:t>Kshetri</w:t>
      </w:r>
      <w:proofErr w:type="spellEnd"/>
      <w:r w:rsidRPr="00DE2F82">
        <w:rPr>
          <w:rFonts w:ascii="Times New Roman" w:hAnsi="Times New Roman" w:cs="Times New Roman"/>
          <w:sz w:val="28"/>
          <w:szCs w:val="28"/>
        </w:rPr>
        <w:t>, 2021). Policy mixes blending subsidies and disclosure regimes accelerate diffusion, per ASEAN CE Roadmap (2025).</w:t>
      </w:r>
    </w:p>
    <w:p w14:paraId="60E3A07A" w14:textId="77777777" w:rsidR="00DE2F82" w:rsidRPr="00DE2F82" w:rsidRDefault="00DE2F82" w:rsidP="00DE2F82">
      <w:pPr>
        <w:ind w:firstLine="720"/>
        <w:jc w:val="both"/>
        <w:rPr>
          <w:rFonts w:ascii="Times New Roman" w:hAnsi="Times New Roman" w:cs="Times New Roman"/>
          <w:sz w:val="28"/>
          <w:szCs w:val="28"/>
        </w:rPr>
      </w:pPr>
      <w:r w:rsidRPr="00DE2F82">
        <w:rPr>
          <w:rFonts w:ascii="Times New Roman" w:hAnsi="Times New Roman" w:cs="Times New Roman"/>
          <w:sz w:val="28"/>
          <w:szCs w:val="28"/>
        </w:rPr>
        <w:t>Automotive-specific voids persist: Scope 3 emissions dominate (70-80%), yet logistics-focused interventions cover &lt;20% of variance in resilience scores (</w:t>
      </w:r>
      <w:proofErr w:type="spellStart"/>
      <w:r w:rsidRPr="00DE2F82">
        <w:rPr>
          <w:rFonts w:ascii="Times New Roman" w:hAnsi="Times New Roman" w:cs="Times New Roman"/>
          <w:sz w:val="28"/>
          <w:szCs w:val="28"/>
        </w:rPr>
        <w:t>Tasa</w:t>
      </w:r>
      <w:proofErr w:type="spellEnd"/>
      <w:r w:rsidRPr="00DE2F82">
        <w:rPr>
          <w:rFonts w:ascii="Times New Roman" w:hAnsi="Times New Roman" w:cs="Times New Roman"/>
          <w:sz w:val="28"/>
          <w:szCs w:val="28"/>
        </w:rPr>
        <w:t xml:space="preserve"> Analytics, 2025). Thai-German Cooperation (2018-2023) greened 200 SMEs, cutting energy 15%, but scaled poorly absent regional harmonization (GIZ, 2023). Indonesian studies overlook transboundary haze risks to Singapore-Malaysia linkages, valuing air quality losses at $300 million yearly (Silvestri et al., 2024).</w:t>
      </w:r>
    </w:p>
    <w:p w14:paraId="17904D2D" w14:textId="77777777" w:rsidR="00DE2F82" w:rsidRPr="003554E0" w:rsidRDefault="00DE2F82" w:rsidP="003554E0">
      <w:pPr>
        <w:ind w:firstLine="72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60CC983" wp14:editId="539B6F45">
            <wp:extent cx="4352081" cy="29013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istics emissions by source in APA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55559" cy="2903706"/>
                    </a:xfrm>
                    <a:prstGeom prst="rect">
                      <a:avLst/>
                    </a:prstGeom>
                  </pic:spPr>
                </pic:pic>
              </a:graphicData>
            </a:graphic>
          </wp:inline>
        </w:drawing>
      </w:r>
    </w:p>
    <w:p w14:paraId="15ED7D8F" w14:textId="77777777" w:rsidR="007F274D" w:rsidRDefault="007455CC" w:rsidP="003554E0">
      <w:pPr>
        <w:jc w:val="both"/>
        <w:rPr>
          <w:rFonts w:ascii="Times New Roman" w:hAnsi="Times New Roman" w:cs="Times New Roman"/>
          <w:i/>
          <w:iCs/>
          <w:sz w:val="28"/>
          <w:szCs w:val="28"/>
        </w:rPr>
      </w:pPr>
      <w:r w:rsidRPr="007455CC">
        <w:rPr>
          <w:rFonts w:ascii="Times New Roman" w:hAnsi="Times New Roman" w:cs="Times New Roman"/>
          <w:b/>
          <w:bCs/>
          <w:sz w:val="28"/>
          <w:szCs w:val="28"/>
        </w:rPr>
        <w:t>Figure 3.</w:t>
      </w:r>
      <w:r w:rsidRPr="007455CC">
        <w:rPr>
          <w:rFonts w:ascii="Times New Roman" w:hAnsi="Times New Roman" w:cs="Times New Roman"/>
          <w:sz w:val="28"/>
          <w:szCs w:val="28"/>
        </w:rPr>
        <w:t xml:space="preserve"> </w:t>
      </w:r>
      <w:r w:rsidRPr="007455CC">
        <w:rPr>
          <w:rFonts w:ascii="Times New Roman" w:hAnsi="Times New Roman" w:cs="Times New Roman"/>
          <w:i/>
          <w:iCs/>
          <w:sz w:val="28"/>
          <w:szCs w:val="28"/>
        </w:rPr>
        <w:t>Logistics Emissions by Source (Asia–Pacific Automotive Sector).</w:t>
      </w:r>
    </w:p>
    <w:p w14:paraId="52F691FE" w14:textId="77777777" w:rsidR="007455CC" w:rsidRPr="00542355" w:rsidRDefault="00542355" w:rsidP="00542355">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 w:name="_Toc223564477"/>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Methodology</w:t>
      </w:r>
      <w:bookmarkEnd w:id="7"/>
    </w:p>
    <w:p w14:paraId="584B9C35" w14:textId="77777777" w:rsidR="007455CC" w:rsidRPr="00542355" w:rsidRDefault="007455CC" w:rsidP="00542355">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8" w:name="_Toc223564478"/>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 Research Design</w:t>
      </w:r>
      <w:bookmarkEnd w:id="8"/>
    </w:p>
    <w:p w14:paraId="67B47C69" w14:textId="77777777" w:rsidR="007455CC" w:rsidRPr="007455CC" w:rsidRDefault="007455CC" w:rsidP="00542355">
      <w:pPr>
        <w:ind w:firstLine="720"/>
        <w:jc w:val="both"/>
        <w:rPr>
          <w:rFonts w:ascii="Times New Roman" w:hAnsi="Times New Roman" w:cs="Times New Roman"/>
          <w:sz w:val="28"/>
          <w:szCs w:val="28"/>
        </w:rPr>
      </w:pPr>
      <w:r w:rsidRPr="007455CC">
        <w:rPr>
          <w:rFonts w:ascii="Times New Roman" w:hAnsi="Times New Roman" w:cs="Times New Roman"/>
          <w:sz w:val="28"/>
          <w:szCs w:val="28"/>
        </w:rPr>
        <w:t xml:space="preserve">This study adopts a sequential explanatory mixed-methods design, strategically combining quantitative modeling, econometric analysis, and qualitative case studies to rigorously test an ecological economics framework for green logistics resilience in Southeast Asian automotive supply chains. Following Creswell and Plano Clark's (2017) established protocol, the research unfolds in two integrated phases: Phase 1 delivers quantitative baseline data through large-scale surveys, structural equation modeling (SEM), and system dynamics simulations across Thailand, Indonesia, and Malaysia; Phase 2 employs in-depth qualitative exploration to unpack statistical findings via semi-structured interviews, focus groups, and multi-firm case studies. This approach addresses ASEAN's unique heterogeneity—varying regulatory maturity, SME dominance (80% tier-2 suppliers), and transboundary supply chain dynamics—while ensuring methodological triangulation for enhanced construct validity and generalizability (Teddlie &amp; </w:t>
      </w:r>
      <w:proofErr w:type="spellStart"/>
      <w:r w:rsidRPr="007455CC">
        <w:rPr>
          <w:rFonts w:ascii="Times New Roman" w:hAnsi="Times New Roman" w:cs="Times New Roman"/>
          <w:sz w:val="28"/>
          <w:szCs w:val="28"/>
        </w:rPr>
        <w:t>Tashakkori</w:t>
      </w:r>
      <w:proofErr w:type="spellEnd"/>
      <w:r w:rsidRPr="007455CC">
        <w:rPr>
          <w:rFonts w:ascii="Times New Roman" w:hAnsi="Times New Roman" w:cs="Times New Roman"/>
          <w:sz w:val="28"/>
          <w:szCs w:val="28"/>
        </w:rPr>
        <w:t>, 2009).</w:t>
      </w:r>
    </w:p>
    <w:p w14:paraId="1215BC36" w14:textId="77777777" w:rsidR="007455CC" w:rsidRPr="007455CC" w:rsidRDefault="007455CC" w:rsidP="007455CC">
      <w:pPr>
        <w:jc w:val="both"/>
        <w:rPr>
          <w:rFonts w:ascii="Times New Roman" w:hAnsi="Times New Roman" w:cs="Times New Roman"/>
          <w:sz w:val="28"/>
          <w:szCs w:val="28"/>
        </w:rPr>
      </w:pPr>
      <w:r w:rsidRPr="007455CC">
        <w:rPr>
          <w:rFonts w:ascii="Times New Roman" w:hAnsi="Times New Roman" w:cs="Times New Roman"/>
          <w:b/>
          <w:bCs/>
          <w:sz w:val="28"/>
          <w:szCs w:val="28"/>
        </w:rPr>
        <w:t>Three directional hypotheses anchor the quantitative testing phase:</w:t>
      </w:r>
    </w:p>
    <w:p w14:paraId="66E224F4" w14:textId="77777777" w:rsidR="007455CC" w:rsidRPr="007455CC" w:rsidRDefault="007455CC" w:rsidP="007455CC">
      <w:pPr>
        <w:numPr>
          <w:ilvl w:val="0"/>
          <w:numId w:val="1"/>
        </w:numPr>
        <w:jc w:val="both"/>
        <w:rPr>
          <w:rFonts w:ascii="Times New Roman" w:hAnsi="Times New Roman" w:cs="Times New Roman"/>
          <w:sz w:val="28"/>
          <w:szCs w:val="28"/>
        </w:rPr>
      </w:pPr>
      <w:r w:rsidRPr="007455CC">
        <w:rPr>
          <w:rFonts w:ascii="Times New Roman" w:hAnsi="Times New Roman" w:cs="Times New Roman"/>
          <w:b/>
          <w:bCs/>
          <w:sz w:val="28"/>
          <w:szCs w:val="28"/>
        </w:rPr>
        <w:t>H1</w:t>
      </w:r>
      <w:r w:rsidRPr="007455CC">
        <w:rPr>
          <w:rFonts w:ascii="Times New Roman" w:hAnsi="Times New Roman" w:cs="Times New Roman"/>
          <w:sz w:val="28"/>
          <w:szCs w:val="28"/>
        </w:rPr>
        <w:t xml:space="preserve">: Firms implementing comprehensive green logistics practices (multimodal transport, electrified warehousing, reverse material flows) demonstrate 20-30% higher supply chain resilience scores (measured via the </w:t>
      </w:r>
      <w:r w:rsidRPr="007455CC">
        <w:rPr>
          <w:rFonts w:ascii="Times New Roman" w:hAnsi="Times New Roman" w:cs="Times New Roman"/>
          <w:sz w:val="28"/>
          <w:szCs w:val="28"/>
        </w:rPr>
        <w:lastRenderedPageBreak/>
        <w:t>validated Supply Chain Resilience Assessment Index, SCRAI) compared to conventional logistics adopters, controlling for firm size, tier, and country effects.</w:t>
      </w:r>
    </w:p>
    <w:p w14:paraId="0CB08D78" w14:textId="77777777" w:rsidR="007455CC" w:rsidRPr="007455CC" w:rsidRDefault="007455CC" w:rsidP="007455CC">
      <w:pPr>
        <w:numPr>
          <w:ilvl w:val="0"/>
          <w:numId w:val="1"/>
        </w:numPr>
        <w:jc w:val="both"/>
        <w:rPr>
          <w:rFonts w:ascii="Times New Roman" w:hAnsi="Times New Roman" w:cs="Times New Roman"/>
          <w:sz w:val="28"/>
          <w:szCs w:val="28"/>
        </w:rPr>
      </w:pPr>
      <w:r w:rsidRPr="007455CC">
        <w:rPr>
          <w:rFonts w:ascii="Times New Roman" w:hAnsi="Times New Roman" w:cs="Times New Roman"/>
          <w:b/>
          <w:bCs/>
          <w:sz w:val="28"/>
          <w:szCs w:val="28"/>
        </w:rPr>
        <w:t>H2</w:t>
      </w:r>
      <w:r w:rsidRPr="007455CC">
        <w:rPr>
          <w:rFonts w:ascii="Times New Roman" w:hAnsi="Times New Roman" w:cs="Times New Roman"/>
          <w:sz w:val="28"/>
          <w:szCs w:val="28"/>
        </w:rPr>
        <w:t>: Integration of ecological economics tools—specifically full-cost accounting (FCA) and ecosystem service valuation (ESV)—moderates the green logistics → resilience relationship, increasing managerial environmental cost awareness by ≥25% (pre/post intervention scores) and accelerating adoption rates among SMEs.</w:t>
      </w:r>
    </w:p>
    <w:p w14:paraId="6C2FEC7D" w14:textId="77777777" w:rsidR="007455CC" w:rsidRPr="007455CC" w:rsidRDefault="007455CC" w:rsidP="007455CC">
      <w:pPr>
        <w:numPr>
          <w:ilvl w:val="0"/>
          <w:numId w:val="1"/>
        </w:numPr>
        <w:jc w:val="both"/>
        <w:rPr>
          <w:rFonts w:ascii="Times New Roman" w:hAnsi="Times New Roman" w:cs="Times New Roman"/>
          <w:sz w:val="28"/>
          <w:szCs w:val="28"/>
        </w:rPr>
      </w:pPr>
      <w:r w:rsidRPr="007455CC">
        <w:rPr>
          <w:rFonts w:ascii="Times New Roman" w:hAnsi="Times New Roman" w:cs="Times New Roman"/>
          <w:b/>
          <w:bCs/>
          <w:sz w:val="28"/>
          <w:szCs w:val="28"/>
        </w:rPr>
        <w:t>H3</w:t>
      </w:r>
      <w:r w:rsidRPr="007455CC">
        <w:rPr>
          <w:rFonts w:ascii="Times New Roman" w:hAnsi="Times New Roman" w:cs="Times New Roman"/>
          <w:sz w:val="28"/>
          <w:szCs w:val="28"/>
        </w:rPr>
        <w:t>: Hybrid ecological economics-green logistics frameworks generate superior economic returns (ROI &gt;15%, NPV &gt;10% over 5 years) versus standalone sustainable supply chain management (SSCM) approaches, with strongest effects in high-disruption environments (flood-prone Thai Eastern Seaboard, nickel-volatile Indonesian clusters).</w:t>
      </w:r>
    </w:p>
    <w:p w14:paraId="05906496" w14:textId="77777777" w:rsidR="007455CC" w:rsidRPr="007455CC" w:rsidRDefault="007455CC" w:rsidP="00542355">
      <w:pPr>
        <w:ind w:firstLine="360"/>
        <w:jc w:val="both"/>
        <w:rPr>
          <w:rFonts w:ascii="Times New Roman" w:hAnsi="Times New Roman" w:cs="Times New Roman"/>
          <w:sz w:val="28"/>
          <w:szCs w:val="28"/>
        </w:rPr>
      </w:pPr>
      <w:r w:rsidRPr="007455CC">
        <w:rPr>
          <w:rFonts w:ascii="Times New Roman" w:hAnsi="Times New Roman" w:cs="Times New Roman"/>
          <w:b/>
          <w:bCs/>
          <w:sz w:val="28"/>
          <w:szCs w:val="28"/>
        </w:rPr>
        <w:t>Philosophical positioning</w:t>
      </w:r>
      <w:r w:rsidRPr="007455CC">
        <w:rPr>
          <w:rFonts w:ascii="Times New Roman" w:hAnsi="Times New Roman" w:cs="Times New Roman"/>
          <w:sz w:val="28"/>
          <w:szCs w:val="28"/>
        </w:rPr>
        <w:t>: Pragmatism guides method selection, prioritizing actionable insights over purist paradigms (Morgan, 2014). The design accommodates ASEAN's data scarcity through Bayesian priors in SEM and robust standard errors for small-N country subsamples. Timeline: Quantitative data collection (June-August 2026), analysis (September-October), qualitative follow-up (November-December), integration (January 2027). Expected n=300 surveys, 24 interviews, 3 embedded cases.</w:t>
      </w:r>
    </w:p>
    <w:p w14:paraId="0F6F74A2" w14:textId="77777777" w:rsidR="007455CC" w:rsidRPr="007455CC" w:rsidRDefault="007455CC" w:rsidP="00542355">
      <w:pPr>
        <w:ind w:firstLine="360"/>
        <w:jc w:val="both"/>
        <w:rPr>
          <w:rFonts w:ascii="Times New Roman" w:hAnsi="Times New Roman" w:cs="Times New Roman"/>
          <w:sz w:val="28"/>
          <w:szCs w:val="28"/>
        </w:rPr>
      </w:pPr>
      <w:r w:rsidRPr="007455CC">
        <w:rPr>
          <w:rFonts w:ascii="Times New Roman" w:hAnsi="Times New Roman" w:cs="Times New Roman"/>
          <w:sz w:val="28"/>
          <w:szCs w:val="28"/>
        </w:rPr>
        <w:t>Power analysis (G*Power 3.1, α=0.05, power=0.90, f²=0.15, 5 predictors) confirms minimum n=255; anticipated 91% response rate yields n=272. Multi-level modeling accounts for firm clustering within industrial estates (Rayong, Bekasi, Penang). Ethical protocols follow APA standards, with IRB approval secured March 2026, including GDPR-compliant data handling for cross-border flows.</w:t>
      </w:r>
    </w:p>
    <w:p w14:paraId="41DA2FC9" w14:textId="77777777" w:rsidR="007455CC" w:rsidRPr="00542355" w:rsidRDefault="007455CC" w:rsidP="00542355">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 w:name="_Toc223564479"/>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 Conceptual Framework</w:t>
      </w:r>
      <w:bookmarkEnd w:id="9"/>
    </w:p>
    <w:p w14:paraId="6A68100D" w14:textId="77777777" w:rsidR="007455CC" w:rsidRPr="007455CC" w:rsidRDefault="007455CC" w:rsidP="00542355">
      <w:pPr>
        <w:ind w:firstLine="720"/>
        <w:jc w:val="both"/>
        <w:rPr>
          <w:rFonts w:ascii="Times New Roman" w:hAnsi="Times New Roman" w:cs="Times New Roman"/>
          <w:sz w:val="28"/>
          <w:szCs w:val="28"/>
        </w:rPr>
      </w:pPr>
      <w:r w:rsidRPr="007455CC">
        <w:rPr>
          <w:rFonts w:ascii="Times New Roman" w:hAnsi="Times New Roman" w:cs="Times New Roman"/>
          <w:sz w:val="28"/>
          <w:szCs w:val="28"/>
        </w:rPr>
        <w:t>The proposed framework operationalizes ecological economics within green logistics resilience through a systems lens, integrating </w:t>
      </w:r>
      <w:r w:rsidRPr="007455CC">
        <w:rPr>
          <w:rFonts w:ascii="Times New Roman" w:hAnsi="Times New Roman" w:cs="Times New Roman"/>
          <w:b/>
          <w:bCs/>
          <w:sz w:val="28"/>
          <w:szCs w:val="28"/>
        </w:rPr>
        <w:t>natural capital valuation</w:t>
      </w:r>
      <w:r w:rsidRPr="007455CC">
        <w:rPr>
          <w:rFonts w:ascii="Times New Roman" w:hAnsi="Times New Roman" w:cs="Times New Roman"/>
          <w:sz w:val="28"/>
          <w:szCs w:val="28"/>
        </w:rPr>
        <w:t> (FCA, ESV), </w:t>
      </w:r>
      <w:r w:rsidRPr="007455CC">
        <w:rPr>
          <w:rFonts w:ascii="Times New Roman" w:hAnsi="Times New Roman" w:cs="Times New Roman"/>
          <w:b/>
          <w:bCs/>
          <w:sz w:val="28"/>
          <w:szCs w:val="28"/>
        </w:rPr>
        <w:t>biophysical limits</w:t>
      </w:r>
      <w:r w:rsidRPr="007455CC">
        <w:rPr>
          <w:rFonts w:ascii="Times New Roman" w:hAnsi="Times New Roman" w:cs="Times New Roman"/>
          <w:sz w:val="28"/>
          <w:szCs w:val="28"/>
        </w:rPr>
        <w:t> (thermodynamic throughput), and </w:t>
      </w:r>
      <w:r w:rsidRPr="007455CC">
        <w:rPr>
          <w:rFonts w:ascii="Times New Roman" w:hAnsi="Times New Roman" w:cs="Times New Roman"/>
          <w:b/>
          <w:bCs/>
          <w:sz w:val="28"/>
          <w:szCs w:val="28"/>
        </w:rPr>
        <w:t>resilience engineering</w:t>
      </w:r>
      <w:r w:rsidRPr="007455CC">
        <w:rPr>
          <w:rFonts w:ascii="Times New Roman" w:hAnsi="Times New Roman" w:cs="Times New Roman"/>
          <w:sz w:val="28"/>
          <w:szCs w:val="28"/>
        </w:rPr>
        <w:t> (redundancy, adaptability) across supply chain echelons. Grounded in steady-state economics (Daly, 2014), it rejects infinite growth assumptions, instead modeling logistic flows within planetary boundaries via the </w:t>
      </w:r>
      <w:r w:rsidRPr="007455CC">
        <w:rPr>
          <w:rFonts w:ascii="Times New Roman" w:hAnsi="Times New Roman" w:cs="Times New Roman"/>
          <w:b/>
          <w:bCs/>
          <w:sz w:val="28"/>
          <w:szCs w:val="28"/>
        </w:rPr>
        <w:t>Doughnut Economics</w:t>
      </w:r>
      <w:r w:rsidRPr="007455CC">
        <w:rPr>
          <w:rFonts w:ascii="Times New Roman" w:hAnsi="Times New Roman" w:cs="Times New Roman"/>
          <w:sz w:val="28"/>
          <w:szCs w:val="28"/>
        </w:rPr>
        <w:t> safe operating space (</w:t>
      </w:r>
      <w:proofErr w:type="spellStart"/>
      <w:r w:rsidRPr="007455CC">
        <w:rPr>
          <w:rFonts w:ascii="Times New Roman" w:hAnsi="Times New Roman" w:cs="Times New Roman"/>
          <w:sz w:val="28"/>
          <w:szCs w:val="28"/>
        </w:rPr>
        <w:t>Raworth</w:t>
      </w:r>
      <w:proofErr w:type="spellEnd"/>
      <w:r w:rsidRPr="007455CC">
        <w:rPr>
          <w:rFonts w:ascii="Times New Roman" w:hAnsi="Times New Roman" w:cs="Times New Roman"/>
          <w:sz w:val="28"/>
          <w:szCs w:val="28"/>
        </w:rPr>
        <w:t>, 2017).</w:t>
      </w:r>
    </w:p>
    <w:p w14:paraId="353CC15A" w14:textId="77777777" w:rsidR="00542355" w:rsidRDefault="00542355" w:rsidP="007455CC">
      <w:pPr>
        <w:jc w:val="both"/>
        <w:rPr>
          <w:rFonts w:ascii="Times New Roman" w:hAnsi="Times New Roman" w:cs="Times New Roman"/>
          <w:b/>
          <w:bCs/>
          <w:sz w:val="28"/>
          <w:szCs w:val="28"/>
        </w:rPr>
      </w:pPr>
    </w:p>
    <w:p w14:paraId="76D2727B" w14:textId="00CBDB5F" w:rsidR="007455CC" w:rsidRPr="007455CC" w:rsidRDefault="007805F9" w:rsidP="007455CC">
      <w:pPr>
        <w:jc w:val="both"/>
        <w:rPr>
          <w:rFonts w:ascii="Times New Roman" w:hAnsi="Times New Roman" w:cs="Times New Roman"/>
          <w:sz w:val="28"/>
          <w:szCs w:val="28"/>
        </w:rPr>
      </w:pPr>
      <w:r>
        <w:rPr>
          <w:rFonts w:ascii="Times New Roman" w:hAnsi="Times New Roman" w:cs="Times New Roman"/>
          <w:b/>
          <w:bCs/>
          <w:sz w:val="28"/>
          <w:szCs w:val="28"/>
        </w:rPr>
        <w:lastRenderedPageBreak/>
        <w:t>List 1-</w:t>
      </w:r>
      <w:r w:rsidR="007455CC" w:rsidRPr="007455CC">
        <w:rPr>
          <w:rFonts w:ascii="Times New Roman" w:hAnsi="Times New Roman" w:cs="Times New Roman"/>
          <w:b/>
          <w:bCs/>
          <w:sz w:val="28"/>
          <w:szCs w:val="28"/>
        </w:rPr>
        <w:t>Core constructs and operationalization</w:t>
      </w:r>
    </w:p>
    <w:tbl>
      <w:tblPr>
        <w:tblW w:w="5000" w:type="pct"/>
        <w:tblCellMar>
          <w:top w:w="15" w:type="dxa"/>
          <w:left w:w="15" w:type="dxa"/>
          <w:bottom w:w="15" w:type="dxa"/>
          <w:right w:w="15" w:type="dxa"/>
        </w:tblCellMar>
        <w:tblLook w:val="04A0" w:firstRow="1" w:lastRow="0" w:firstColumn="1" w:lastColumn="0" w:noHBand="0" w:noVBand="1"/>
      </w:tblPr>
      <w:tblGrid>
        <w:gridCol w:w="2244"/>
        <w:gridCol w:w="1755"/>
        <w:gridCol w:w="3881"/>
        <w:gridCol w:w="1464"/>
      </w:tblGrid>
      <w:tr w:rsidR="00542355" w:rsidRPr="00542355" w14:paraId="49025671" w14:textId="77777777" w:rsidTr="00542355">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27EE242"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Construct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58BA9DF8"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Theoretical Root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A4B2271"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Measurement (Multi-Item Scales)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F751061"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Expected Direction</w:t>
            </w:r>
          </w:p>
        </w:tc>
      </w:tr>
      <w:tr w:rsidR="00542355" w:rsidRPr="00542355" w14:paraId="3D38F583"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BB1AF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Green Logistics Adoption (GLA)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0687D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McKinnon (2018)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9624B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15-item, 5-point Likert: Modal shift ratio (% rail/sea), EV fleet penetration, reverse logistics recovery rate (target: 70% ELV recyclables), carbon-optimal routing (AI telematics)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0C3423"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 H1, H3</w:t>
            </w:r>
          </w:p>
        </w:tc>
      </w:tr>
      <w:tr w:rsidR="00542355" w:rsidRPr="00542355" w14:paraId="058D7B44"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2F716A"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Ecological Economics Integration (EEI)</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01ECCA5"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Costanza et al. (1997)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89DA75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12-item index: FCA implementation (yes/no + maturity 0-5), ESV shadow pricing ($/ha ecosystem services), biophysical LCA (energy return on investment, EROI &gt;3:1)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288BF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 Moderator H2</w:t>
            </w:r>
          </w:p>
        </w:tc>
      </w:tr>
      <w:tr w:rsidR="00542355" w:rsidRPr="00542355" w14:paraId="2235DC60"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FBE839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Supply Chain Resilience (SCR)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ACB3848" w14:textId="77777777" w:rsidR="00542355" w:rsidRPr="00542355" w:rsidRDefault="00542355" w:rsidP="00542355">
            <w:pPr>
              <w:spacing w:after="0" w:line="240" w:lineRule="auto"/>
              <w:rPr>
                <w:rFonts w:ascii="Arial" w:eastAsia="Times New Roman" w:hAnsi="Arial" w:cs="Arial"/>
                <w:sz w:val="24"/>
                <w:szCs w:val="24"/>
              </w:rPr>
            </w:pPr>
            <w:proofErr w:type="spellStart"/>
            <w:r w:rsidRPr="00542355">
              <w:rPr>
                <w:rFonts w:ascii="Arial" w:eastAsia="Times New Roman" w:hAnsi="Arial" w:cs="Arial"/>
                <w:sz w:val="24"/>
                <w:szCs w:val="24"/>
              </w:rPr>
              <w:t>Ponomarov</w:t>
            </w:r>
            <w:proofErr w:type="spellEnd"/>
            <w:r w:rsidRPr="00542355">
              <w:rPr>
                <w:rFonts w:ascii="Arial" w:eastAsia="Times New Roman" w:hAnsi="Arial" w:cs="Arial"/>
                <w:sz w:val="24"/>
                <w:szCs w:val="24"/>
              </w:rPr>
              <w:t xml:space="preserve"> &amp; Holcomb (2008)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3B08B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SCRAI composite (α=0.92): Speed (recovery days), Scale (affected nodes), Strength (financial buffer), Scope (tier coverage); 0-100 normalized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0CAE16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DV H1-H3</w:t>
            </w:r>
          </w:p>
        </w:tc>
      </w:tr>
      <w:tr w:rsidR="00542355" w:rsidRPr="00542355" w14:paraId="21881F68"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540BF2"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Environmental Cost Awareness (ECA)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E5AF7D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de Groot et al. (2012)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E1C98B"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10-item pre/</w:t>
            </w:r>
            <w:proofErr w:type="spellStart"/>
            <w:r w:rsidRPr="00542355">
              <w:rPr>
                <w:rFonts w:ascii="Arial" w:eastAsia="Times New Roman" w:hAnsi="Arial" w:cs="Arial"/>
                <w:sz w:val="24"/>
                <w:szCs w:val="24"/>
              </w:rPr>
              <w:t>post test</w:t>
            </w:r>
            <w:proofErr w:type="spellEnd"/>
            <w:r w:rsidRPr="00542355">
              <w:rPr>
                <w:rFonts w:ascii="Arial" w:eastAsia="Times New Roman" w:hAnsi="Arial" w:cs="Arial"/>
                <w:sz w:val="24"/>
                <w:szCs w:val="24"/>
              </w:rPr>
              <w:t xml:space="preserve"> + perception scale: Externalities recognition (water stress, biodiversity credits), willingness-to-pay carbon taxes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AFDB14F"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Mediator H2</w:t>
            </w:r>
          </w:p>
        </w:tc>
      </w:tr>
      <w:tr w:rsidR="00542355" w:rsidRPr="00542355" w14:paraId="5BFAD2C6"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E29AE6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Economic Performance (EP)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01556A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Carter &amp; Rogers (2008)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AB04F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Objective metrics: Logistics cost reduction (%), ROI (NPV@8% discount), TCO savings vs. baseline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EB251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DV H3</w:t>
            </w:r>
          </w:p>
        </w:tc>
      </w:tr>
      <w:tr w:rsidR="00542355" w:rsidRPr="00542355" w14:paraId="64751959"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74D39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Contextual Moderators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E623A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Dubey et al. (2017)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F237FA"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Firm size (employees), tier (1-3), disruption exposure index (flood/typhoon frequency), policy stringency (NDC targets)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E5A2CC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Controls</w:t>
            </w:r>
          </w:p>
        </w:tc>
      </w:tr>
    </w:tbl>
    <w:p w14:paraId="7B5A4EC2"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Hypothesized relationships (SEM paths):</w:t>
      </w:r>
    </w:p>
    <w:p w14:paraId="528C6A1A"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GLA → SCR (β1 &gt; 0.25, H1)</w:t>
      </w:r>
    </w:p>
    <w:p w14:paraId="6FCF4A93"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EEI × GLA → SCR (β2 &gt; 0.15, H2)</w:t>
      </w:r>
    </w:p>
    <w:p w14:paraId="7E6CCF27"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GLA + EEI → EP (β3 &gt; 0.20, H3)</w:t>
      </w:r>
    </w:p>
    <w:p w14:paraId="2F53FEC9"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lastRenderedPageBreak/>
        <w:t>ECA mediates EEI → GLA</w:t>
      </w:r>
    </w:p>
    <w:p w14:paraId="446222FC"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Country dummies moderate all paths</w:t>
      </w:r>
    </w:p>
    <w:p w14:paraId="03E4FFB5" w14:textId="77777777" w:rsidR="00542355" w:rsidRPr="00542355" w:rsidRDefault="00542355" w:rsidP="00542355">
      <w:pPr>
        <w:ind w:firstLine="720"/>
        <w:jc w:val="both"/>
        <w:rPr>
          <w:rFonts w:ascii="Times New Roman" w:hAnsi="Times New Roman" w:cs="Times New Roman"/>
          <w:sz w:val="28"/>
          <w:szCs w:val="28"/>
        </w:rPr>
      </w:pPr>
      <w:r w:rsidRPr="00542355">
        <w:rPr>
          <w:rFonts w:ascii="Times New Roman" w:hAnsi="Times New Roman" w:cs="Times New Roman"/>
          <w:b/>
          <w:bCs/>
          <w:sz w:val="28"/>
          <w:szCs w:val="28"/>
        </w:rPr>
        <w:t>Model boundaries</w:t>
      </w:r>
      <w:r w:rsidRPr="00542355">
        <w:rPr>
          <w:rFonts w:ascii="Times New Roman" w:hAnsi="Times New Roman" w:cs="Times New Roman"/>
          <w:sz w:val="28"/>
          <w:szCs w:val="28"/>
        </w:rPr>
        <w:t>: Upstream (raw materials: nickel, rubber) → Midstream (assembly hubs) → Downstream (distribution, ELV). Excludes Scope 1/2; focuses Scope 3 logistics (70-80% total emissions). Validation via pilot (n=30 Thai SMEs, convergent validity ρ&gt;0.70, discriminant FORNELL-LARCKER &gt;0.50).</w:t>
      </w:r>
    </w:p>
    <w:p w14:paraId="03327449" w14:textId="77777777" w:rsidR="00542355" w:rsidRPr="00542355" w:rsidRDefault="00542355" w:rsidP="00542355">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 w:name="_Toc223564480"/>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 Sampling and Data Collection</w:t>
      </w:r>
      <w:bookmarkEnd w:id="10"/>
    </w:p>
    <w:p w14:paraId="41A3CA78" w14:textId="77777777" w:rsidR="00542355" w:rsidRDefault="00542355" w:rsidP="00542355">
      <w:pPr>
        <w:ind w:firstLine="720"/>
        <w:jc w:val="both"/>
        <w:rPr>
          <w:rFonts w:ascii="Times New Roman" w:hAnsi="Times New Roman" w:cs="Times New Roman"/>
          <w:sz w:val="28"/>
          <w:szCs w:val="28"/>
        </w:rPr>
      </w:pPr>
      <w:r w:rsidRPr="00542355">
        <w:rPr>
          <w:rFonts w:ascii="Times New Roman" w:hAnsi="Times New Roman" w:cs="Times New Roman"/>
          <w:b/>
          <w:bCs/>
          <w:sz w:val="28"/>
          <w:szCs w:val="28"/>
        </w:rPr>
        <w:t>Quantitative sampling</w:t>
      </w:r>
      <w:r w:rsidRPr="00542355">
        <w:rPr>
          <w:rFonts w:ascii="Times New Roman" w:hAnsi="Times New Roman" w:cs="Times New Roman"/>
          <w:sz w:val="28"/>
          <w:szCs w:val="28"/>
        </w:rPr>
        <w:t>: Stratified purposive design targets </w:t>
      </w:r>
      <w:r w:rsidRPr="00542355">
        <w:rPr>
          <w:rFonts w:ascii="Times New Roman" w:hAnsi="Times New Roman" w:cs="Times New Roman"/>
          <w:b/>
          <w:bCs/>
          <w:sz w:val="28"/>
          <w:szCs w:val="28"/>
        </w:rPr>
        <w:t>n=300</w:t>
      </w:r>
      <w:r w:rsidRPr="00542355">
        <w:rPr>
          <w:rFonts w:ascii="Times New Roman" w:hAnsi="Times New Roman" w:cs="Times New Roman"/>
          <w:sz w:val="28"/>
          <w:szCs w:val="28"/>
        </w:rPr>
        <w:t> automotive firms (100/country × 3 tiers) across primary hubs: Thailand (Rayong-Amata City, 37% ASEAN production), Indonesia (Bekasi-</w:t>
      </w:r>
      <w:proofErr w:type="spellStart"/>
      <w:r w:rsidRPr="00542355">
        <w:rPr>
          <w:rFonts w:ascii="Times New Roman" w:hAnsi="Times New Roman" w:cs="Times New Roman"/>
          <w:sz w:val="28"/>
          <w:szCs w:val="28"/>
        </w:rPr>
        <w:t>Karawang</w:t>
      </w:r>
      <w:proofErr w:type="spellEnd"/>
      <w:r w:rsidRPr="00542355">
        <w:rPr>
          <w:rFonts w:ascii="Times New Roman" w:hAnsi="Times New Roman" w:cs="Times New Roman"/>
          <w:sz w:val="28"/>
          <w:szCs w:val="28"/>
        </w:rPr>
        <w:t xml:space="preserve">, 35%), Malaysia (Penang-Shah </w:t>
      </w:r>
      <w:proofErr w:type="spellStart"/>
      <w:r w:rsidRPr="00542355">
        <w:rPr>
          <w:rFonts w:ascii="Times New Roman" w:hAnsi="Times New Roman" w:cs="Times New Roman"/>
          <w:sz w:val="28"/>
          <w:szCs w:val="28"/>
        </w:rPr>
        <w:t>Alam</w:t>
      </w:r>
      <w:proofErr w:type="spellEnd"/>
      <w:r w:rsidRPr="00542355">
        <w:rPr>
          <w:rFonts w:ascii="Times New Roman" w:hAnsi="Times New Roman" w:cs="Times New Roman"/>
          <w:sz w:val="28"/>
          <w:szCs w:val="28"/>
        </w:rPr>
        <w:t>, 10%). Inclusion: &gt;50 employees, active 2020-2026, OEM/supplier status. Exclusion: pure trading firms. Quota matrix ensures balance:</w:t>
      </w:r>
    </w:p>
    <w:p w14:paraId="79DFF9D2" w14:textId="6FB2D66B" w:rsidR="007805F9" w:rsidRPr="00542355" w:rsidRDefault="007805F9" w:rsidP="00542355">
      <w:pPr>
        <w:ind w:firstLine="720"/>
        <w:jc w:val="both"/>
        <w:rPr>
          <w:rFonts w:ascii="Times New Roman" w:hAnsi="Times New Roman" w:cs="Times New Roman"/>
          <w:sz w:val="28"/>
          <w:szCs w:val="28"/>
        </w:rPr>
      </w:pPr>
      <w:r>
        <w:rPr>
          <w:rFonts w:ascii="Times New Roman" w:hAnsi="Times New Roman" w:cs="Times New Roman"/>
          <w:sz w:val="28"/>
          <w:szCs w:val="28"/>
        </w:rPr>
        <w:t>List 2-</w:t>
      </w:r>
      <w:r w:rsidR="00745E83">
        <w:rPr>
          <w:rFonts w:ascii="Times New Roman" w:hAnsi="Times New Roman" w:cs="Times New Roman"/>
          <w:sz w:val="28"/>
          <w:szCs w:val="28"/>
        </w:rPr>
        <w:t xml:space="preserve"> Data Collection Countries</w:t>
      </w:r>
    </w:p>
    <w:tbl>
      <w:tblPr>
        <w:tblW w:w="5000" w:type="pct"/>
        <w:tblCellMar>
          <w:top w:w="15" w:type="dxa"/>
          <w:left w:w="15" w:type="dxa"/>
          <w:bottom w:w="15" w:type="dxa"/>
          <w:right w:w="15" w:type="dxa"/>
        </w:tblCellMar>
        <w:tblLook w:val="04A0" w:firstRow="1" w:lastRow="0" w:firstColumn="1" w:lastColumn="0" w:noHBand="0" w:noVBand="1"/>
      </w:tblPr>
      <w:tblGrid>
        <w:gridCol w:w="1934"/>
        <w:gridCol w:w="2072"/>
        <w:gridCol w:w="2413"/>
        <w:gridCol w:w="1981"/>
        <w:gridCol w:w="944"/>
      </w:tblGrid>
      <w:tr w:rsidR="00542355" w:rsidRPr="00542355" w14:paraId="135ACB88" w14:textId="77777777" w:rsidTr="00542355">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39B2F0B"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Country/Tier</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368947C"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Tier 1 (OEMs)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E152A91"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Tier 2 (Modules)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D0EEE7F"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Tier 3 (Parts)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0E02E3D"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Total</w:t>
            </w:r>
          </w:p>
        </w:tc>
      </w:tr>
      <w:tr w:rsidR="00542355" w:rsidRPr="00542355" w14:paraId="3D652C9E"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D3ECD1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Thailand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4DC28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B2D1F4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40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156C9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45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F2A9B5"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100</w:t>
            </w:r>
          </w:p>
        </w:tc>
      </w:tr>
      <w:tr w:rsidR="00542355" w:rsidRPr="00542355" w14:paraId="2414BE79"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6D752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Indonesia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B34252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81DD7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42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1A4D6A"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46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18A8E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100</w:t>
            </w:r>
          </w:p>
        </w:tc>
      </w:tr>
      <w:tr w:rsidR="00542355" w:rsidRPr="00542355" w14:paraId="2A89CD5D"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DBFAE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Malaysia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4354CAD"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BCB841B"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97D202"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52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060542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100</w:t>
            </w:r>
          </w:p>
        </w:tc>
      </w:tr>
      <w:tr w:rsidR="00542355" w:rsidRPr="00542355" w14:paraId="279EB267"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98372A"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Total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88F99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37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EDBB33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120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7799B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143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050677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b/>
                <w:bCs/>
                <w:sz w:val="24"/>
                <w:szCs w:val="24"/>
              </w:rPr>
              <w:t>300</w:t>
            </w:r>
          </w:p>
        </w:tc>
      </w:tr>
    </w:tbl>
    <w:p w14:paraId="0E2ECF4C" w14:textId="77777777" w:rsidR="00542355" w:rsidRPr="00542355" w:rsidRDefault="00542355" w:rsidP="00542355">
      <w:pPr>
        <w:ind w:firstLine="720"/>
        <w:jc w:val="both"/>
        <w:rPr>
          <w:rFonts w:ascii="Times New Roman" w:hAnsi="Times New Roman" w:cs="Times New Roman"/>
          <w:sz w:val="28"/>
          <w:szCs w:val="28"/>
        </w:rPr>
      </w:pPr>
      <w:r w:rsidRPr="00542355">
        <w:rPr>
          <w:rFonts w:ascii="Times New Roman" w:hAnsi="Times New Roman" w:cs="Times New Roman"/>
          <w:b/>
          <w:bCs/>
          <w:sz w:val="28"/>
          <w:szCs w:val="28"/>
        </w:rPr>
        <w:t>Recruitment</w:t>
      </w:r>
      <w:r w:rsidRPr="00542355">
        <w:rPr>
          <w:rFonts w:ascii="Times New Roman" w:hAnsi="Times New Roman" w:cs="Times New Roman"/>
          <w:sz w:val="28"/>
          <w:szCs w:val="28"/>
        </w:rPr>
        <w:t xml:space="preserve">: Thai Automotive Industry Association (TAIA), </w:t>
      </w:r>
      <w:proofErr w:type="spellStart"/>
      <w:r w:rsidRPr="00542355">
        <w:rPr>
          <w:rFonts w:ascii="Times New Roman" w:hAnsi="Times New Roman" w:cs="Times New Roman"/>
          <w:sz w:val="28"/>
          <w:szCs w:val="28"/>
        </w:rPr>
        <w:t>Gabungan</w:t>
      </w:r>
      <w:proofErr w:type="spellEnd"/>
      <w:r w:rsidRPr="00542355">
        <w:rPr>
          <w:rFonts w:ascii="Times New Roman" w:hAnsi="Times New Roman" w:cs="Times New Roman"/>
          <w:sz w:val="28"/>
          <w:szCs w:val="28"/>
        </w:rPr>
        <w:t xml:space="preserve"> </w:t>
      </w:r>
      <w:proofErr w:type="spellStart"/>
      <w:r w:rsidRPr="00542355">
        <w:rPr>
          <w:rFonts w:ascii="Times New Roman" w:hAnsi="Times New Roman" w:cs="Times New Roman"/>
          <w:sz w:val="28"/>
          <w:szCs w:val="28"/>
        </w:rPr>
        <w:t>Industri</w:t>
      </w:r>
      <w:proofErr w:type="spellEnd"/>
      <w:r w:rsidRPr="00542355">
        <w:rPr>
          <w:rFonts w:ascii="Times New Roman" w:hAnsi="Times New Roman" w:cs="Times New Roman"/>
          <w:sz w:val="28"/>
          <w:szCs w:val="28"/>
        </w:rPr>
        <w:t xml:space="preserve"> </w:t>
      </w:r>
      <w:proofErr w:type="spellStart"/>
      <w:r w:rsidRPr="00542355">
        <w:rPr>
          <w:rFonts w:ascii="Times New Roman" w:hAnsi="Times New Roman" w:cs="Times New Roman"/>
          <w:sz w:val="28"/>
          <w:szCs w:val="28"/>
        </w:rPr>
        <w:t>Kendaraan</w:t>
      </w:r>
      <w:proofErr w:type="spellEnd"/>
      <w:r w:rsidRPr="00542355">
        <w:rPr>
          <w:rFonts w:ascii="Times New Roman" w:hAnsi="Times New Roman" w:cs="Times New Roman"/>
          <w:sz w:val="28"/>
          <w:szCs w:val="28"/>
        </w:rPr>
        <w:t xml:space="preserve"> </w:t>
      </w:r>
      <w:proofErr w:type="spellStart"/>
      <w:r w:rsidRPr="00542355">
        <w:rPr>
          <w:rFonts w:ascii="Times New Roman" w:hAnsi="Times New Roman" w:cs="Times New Roman"/>
          <w:sz w:val="28"/>
          <w:szCs w:val="28"/>
        </w:rPr>
        <w:t>Bermotor</w:t>
      </w:r>
      <w:proofErr w:type="spellEnd"/>
      <w:r w:rsidRPr="00542355">
        <w:rPr>
          <w:rFonts w:ascii="Times New Roman" w:hAnsi="Times New Roman" w:cs="Times New Roman"/>
          <w:sz w:val="28"/>
          <w:szCs w:val="28"/>
        </w:rPr>
        <w:t xml:space="preserve"> Indonesia (</w:t>
      </w:r>
      <w:proofErr w:type="spellStart"/>
      <w:r w:rsidRPr="00542355">
        <w:rPr>
          <w:rFonts w:ascii="Times New Roman" w:hAnsi="Times New Roman" w:cs="Times New Roman"/>
          <w:sz w:val="28"/>
          <w:szCs w:val="28"/>
        </w:rPr>
        <w:t>Gaikindo</w:t>
      </w:r>
      <w:proofErr w:type="spellEnd"/>
      <w:r w:rsidRPr="00542355">
        <w:rPr>
          <w:rFonts w:ascii="Times New Roman" w:hAnsi="Times New Roman" w:cs="Times New Roman"/>
          <w:sz w:val="28"/>
          <w:szCs w:val="28"/>
        </w:rPr>
        <w:t xml:space="preserve">), Malaysian Automotive Association (MAA) databases + LinkedIn/Snowball. Incentives: Benchmark report, executive summary. Response tracking via </w:t>
      </w:r>
      <w:proofErr w:type="spellStart"/>
      <w:r w:rsidRPr="00542355">
        <w:rPr>
          <w:rFonts w:ascii="Times New Roman" w:hAnsi="Times New Roman" w:cs="Times New Roman"/>
          <w:sz w:val="28"/>
          <w:szCs w:val="28"/>
        </w:rPr>
        <w:t>Dillman</w:t>
      </w:r>
      <w:proofErr w:type="spellEnd"/>
      <w:r w:rsidRPr="00542355">
        <w:rPr>
          <w:rFonts w:ascii="Times New Roman" w:hAnsi="Times New Roman" w:cs="Times New Roman"/>
          <w:sz w:val="28"/>
          <w:szCs w:val="28"/>
        </w:rPr>
        <w:t xml:space="preserve"> (2014) </w:t>
      </w:r>
      <w:proofErr w:type="spellStart"/>
      <w:r w:rsidRPr="00542355">
        <w:rPr>
          <w:rFonts w:ascii="Times New Roman" w:hAnsi="Times New Roman" w:cs="Times New Roman"/>
          <w:sz w:val="28"/>
          <w:szCs w:val="28"/>
        </w:rPr>
        <w:t>tailormaking</w:t>
      </w:r>
      <w:proofErr w:type="spellEnd"/>
      <w:r w:rsidRPr="00542355">
        <w:rPr>
          <w:rFonts w:ascii="Times New Roman" w:hAnsi="Times New Roman" w:cs="Times New Roman"/>
          <w:sz w:val="28"/>
          <w:szCs w:val="28"/>
        </w:rPr>
        <w:t xml:space="preserve"> (3 waves, 91% yield).</w:t>
      </w:r>
    </w:p>
    <w:p w14:paraId="34D3491D" w14:textId="77777777" w:rsidR="00542355" w:rsidRPr="00542355" w:rsidRDefault="00542355" w:rsidP="00542355">
      <w:pPr>
        <w:ind w:firstLine="720"/>
        <w:jc w:val="both"/>
        <w:rPr>
          <w:rFonts w:ascii="Times New Roman" w:hAnsi="Times New Roman" w:cs="Times New Roman"/>
          <w:sz w:val="28"/>
          <w:szCs w:val="28"/>
        </w:rPr>
      </w:pPr>
      <w:r w:rsidRPr="00542355">
        <w:rPr>
          <w:rFonts w:ascii="Times New Roman" w:hAnsi="Times New Roman" w:cs="Times New Roman"/>
          <w:b/>
          <w:bCs/>
          <w:sz w:val="28"/>
          <w:szCs w:val="28"/>
        </w:rPr>
        <w:t>Qualitative sampling</w:t>
      </w:r>
      <w:r w:rsidRPr="00542355">
        <w:rPr>
          <w:rFonts w:ascii="Times New Roman" w:hAnsi="Times New Roman" w:cs="Times New Roman"/>
          <w:sz w:val="28"/>
          <w:szCs w:val="28"/>
        </w:rPr>
        <w:t>: Purposive intensity sampling selects </w:t>
      </w:r>
      <w:r w:rsidRPr="00542355">
        <w:rPr>
          <w:rFonts w:ascii="Times New Roman" w:hAnsi="Times New Roman" w:cs="Times New Roman"/>
          <w:b/>
          <w:bCs/>
          <w:sz w:val="28"/>
          <w:szCs w:val="28"/>
        </w:rPr>
        <w:t>24 interviewees</w:t>
      </w:r>
      <w:r w:rsidRPr="00542355">
        <w:rPr>
          <w:rFonts w:ascii="Times New Roman" w:hAnsi="Times New Roman" w:cs="Times New Roman"/>
          <w:sz w:val="28"/>
          <w:szCs w:val="28"/>
        </w:rPr>
        <w:t> (8/country: 2 high-GLA, 2 low-GLA, 2 high-EEI, 2 low-EEI per H1-H3 quartiles) + </w:t>
      </w:r>
      <w:r w:rsidRPr="00542355">
        <w:rPr>
          <w:rFonts w:ascii="Times New Roman" w:hAnsi="Times New Roman" w:cs="Times New Roman"/>
          <w:b/>
          <w:bCs/>
          <w:sz w:val="28"/>
          <w:szCs w:val="28"/>
        </w:rPr>
        <w:t>3 embedded cases</w:t>
      </w:r>
      <w:r w:rsidRPr="00542355">
        <w:rPr>
          <w:rFonts w:ascii="Times New Roman" w:hAnsi="Times New Roman" w:cs="Times New Roman"/>
          <w:sz w:val="28"/>
          <w:szCs w:val="28"/>
        </w:rPr>
        <w:t xml:space="preserve"> (Toyota Thailand, Astra Honda Indonesia, Proton Malaysia). Focus groups (n=6, 8 participants each) probe deviant cases. Criteria: C-suite/supply chain managers, &gt;5 </w:t>
      </w:r>
      <w:proofErr w:type="spellStart"/>
      <w:r w:rsidRPr="00542355">
        <w:rPr>
          <w:rFonts w:ascii="Times New Roman" w:hAnsi="Times New Roman" w:cs="Times New Roman"/>
          <w:sz w:val="28"/>
          <w:szCs w:val="28"/>
        </w:rPr>
        <w:t>years experience</w:t>
      </w:r>
      <w:proofErr w:type="spellEnd"/>
      <w:r w:rsidRPr="00542355">
        <w:rPr>
          <w:rFonts w:ascii="Times New Roman" w:hAnsi="Times New Roman" w:cs="Times New Roman"/>
          <w:sz w:val="28"/>
          <w:szCs w:val="28"/>
        </w:rPr>
        <w:t>.</w:t>
      </w:r>
    </w:p>
    <w:p w14:paraId="28A8A159"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Multi-source triangulation</w:t>
      </w:r>
      <w:r w:rsidRPr="00542355">
        <w:rPr>
          <w:rFonts w:ascii="Times New Roman" w:hAnsi="Times New Roman" w:cs="Times New Roman"/>
          <w:sz w:val="28"/>
          <w:szCs w:val="28"/>
        </w:rPr>
        <w:t>:</w:t>
      </w:r>
    </w:p>
    <w:p w14:paraId="68429591" w14:textId="77777777" w:rsidR="00542355" w:rsidRPr="00542355" w:rsidRDefault="00542355" w:rsidP="00542355">
      <w:pPr>
        <w:numPr>
          <w:ilvl w:val="0"/>
          <w:numId w:val="2"/>
        </w:numPr>
        <w:jc w:val="both"/>
        <w:rPr>
          <w:rFonts w:ascii="Times New Roman" w:hAnsi="Times New Roman" w:cs="Times New Roman"/>
          <w:sz w:val="28"/>
          <w:szCs w:val="28"/>
        </w:rPr>
      </w:pPr>
      <w:r w:rsidRPr="00542355">
        <w:rPr>
          <w:rFonts w:ascii="Times New Roman" w:hAnsi="Times New Roman" w:cs="Times New Roman"/>
          <w:b/>
          <w:bCs/>
          <w:sz w:val="28"/>
          <w:szCs w:val="28"/>
        </w:rPr>
        <w:lastRenderedPageBreak/>
        <w:t>Primary</w:t>
      </w:r>
      <w:r w:rsidRPr="00542355">
        <w:rPr>
          <w:rFonts w:ascii="Times New Roman" w:hAnsi="Times New Roman" w:cs="Times New Roman"/>
          <w:sz w:val="28"/>
          <w:szCs w:val="28"/>
        </w:rPr>
        <w:t>: Online surveys (Qualtrics, Thai/Bahasa/English, June 1-Aug 15, 2026)</w:t>
      </w:r>
    </w:p>
    <w:p w14:paraId="5D70CB64" w14:textId="77777777" w:rsidR="00542355" w:rsidRPr="00542355" w:rsidRDefault="00542355" w:rsidP="00542355">
      <w:pPr>
        <w:numPr>
          <w:ilvl w:val="0"/>
          <w:numId w:val="2"/>
        </w:numPr>
        <w:jc w:val="both"/>
        <w:rPr>
          <w:rFonts w:ascii="Times New Roman" w:hAnsi="Times New Roman" w:cs="Times New Roman"/>
          <w:sz w:val="28"/>
          <w:szCs w:val="28"/>
        </w:rPr>
      </w:pPr>
      <w:r w:rsidRPr="00542355">
        <w:rPr>
          <w:rFonts w:ascii="Times New Roman" w:hAnsi="Times New Roman" w:cs="Times New Roman"/>
          <w:b/>
          <w:bCs/>
          <w:sz w:val="28"/>
          <w:szCs w:val="28"/>
        </w:rPr>
        <w:t>Secondary</w:t>
      </w:r>
      <w:r w:rsidRPr="00542355">
        <w:rPr>
          <w:rFonts w:ascii="Times New Roman" w:hAnsi="Times New Roman" w:cs="Times New Roman"/>
          <w:sz w:val="28"/>
          <w:szCs w:val="28"/>
        </w:rPr>
        <w:t>: OICA production stats (2025), ASEAN Secretariat CE reports, firm ESG disclosures (S&amp;P Global), logistics emissions inventories (CDP Supply Chain)</w:t>
      </w:r>
    </w:p>
    <w:p w14:paraId="4B37B4DD" w14:textId="77777777" w:rsidR="00542355" w:rsidRPr="00542355" w:rsidRDefault="00542355" w:rsidP="00542355">
      <w:pPr>
        <w:numPr>
          <w:ilvl w:val="0"/>
          <w:numId w:val="2"/>
        </w:numPr>
        <w:jc w:val="both"/>
        <w:rPr>
          <w:rFonts w:ascii="Times New Roman" w:hAnsi="Times New Roman" w:cs="Times New Roman"/>
          <w:sz w:val="28"/>
          <w:szCs w:val="28"/>
        </w:rPr>
      </w:pPr>
      <w:r w:rsidRPr="00542355">
        <w:rPr>
          <w:rFonts w:ascii="Times New Roman" w:hAnsi="Times New Roman" w:cs="Times New Roman"/>
          <w:b/>
          <w:bCs/>
          <w:sz w:val="28"/>
          <w:szCs w:val="28"/>
        </w:rPr>
        <w:t>Archival</w:t>
      </w:r>
      <w:r w:rsidRPr="00542355">
        <w:rPr>
          <w:rFonts w:ascii="Times New Roman" w:hAnsi="Times New Roman" w:cs="Times New Roman"/>
          <w:sz w:val="28"/>
          <w:szCs w:val="28"/>
        </w:rPr>
        <w:t xml:space="preserve">: Customs data (UN </w:t>
      </w:r>
      <w:proofErr w:type="spellStart"/>
      <w:r w:rsidRPr="00542355">
        <w:rPr>
          <w:rFonts w:ascii="Times New Roman" w:hAnsi="Times New Roman" w:cs="Times New Roman"/>
          <w:sz w:val="28"/>
          <w:szCs w:val="28"/>
        </w:rPr>
        <w:t>Comtrade</w:t>
      </w:r>
      <w:proofErr w:type="spellEnd"/>
      <w:r w:rsidRPr="00542355">
        <w:rPr>
          <w:rFonts w:ascii="Times New Roman" w:hAnsi="Times New Roman" w:cs="Times New Roman"/>
          <w:sz w:val="28"/>
          <w:szCs w:val="28"/>
        </w:rPr>
        <w:t xml:space="preserve"> HS87 vehicles/parts), weather disruption logs (flood frequency 2018-2025)</w:t>
      </w:r>
    </w:p>
    <w:p w14:paraId="33224D97" w14:textId="77777777" w:rsidR="00542355" w:rsidRPr="00542355" w:rsidRDefault="00542355" w:rsidP="00542355">
      <w:pPr>
        <w:ind w:firstLine="360"/>
        <w:jc w:val="both"/>
        <w:rPr>
          <w:rFonts w:ascii="Times New Roman" w:hAnsi="Times New Roman" w:cs="Times New Roman"/>
          <w:sz w:val="28"/>
          <w:szCs w:val="28"/>
        </w:rPr>
      </w:pPr>
      <w:r w:rsidRPr="00542355">
        <w:rPr>
          <w:rFonts w:ascii="Times New Roman" w:hAnsi="Times New Roman" w:cs="Times New Roman"/>
          <w:b/>
          <w:bCs/>
          <w:sz w:val="28"/>
          <w:szCs w:val="28"/>
        </w:rPr>
        <w:t>Data quality protocols</w:t>
      </w:r>
      <w:r w:rsidRPr="00542355">
        <w:rPr>
          <w:rFonts w:ascii="Times New Roman" w:hAnsi="Times New Roman" w:cs="Times New Roman"/>
          <w:sz w:val="28"/>
          <w:szCs w:val="28"/>
        </w:rPr>
        <w:t>: Real-time validation (logic checks, &gt;80% completion), non-response bias tests (early vs. late), social desirability (Marlowe-Crowne short form).</w:t>
      </w:r>
    </w:p>
    <w:p w14:paraId="46076263" w14:textId="77777777" w:rsidR="00542355" w:rsidRPr="00542355" w:rsidRDefault="00542355" w:rsidP="00542355">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 w:name="_Toc223564481"/>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 Data Collection Instruments</w:t>
      </w:r>
      <w:bookmarkEnd w:id="11"/>
    </w:p>
    <w:p w14:paraId="24564336"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Survey instrument</w:t>
      </w:r>
      <w:r w:rsidRPr="00542355">
        <w:rPr>
          <w:rFonts w:ascii="Times New Roman" w:hAnsi="Times New Roman" w:cs="Times New Roman"/>
          <w:sz w:val="28"/>
          <w:szCs w:val="28"/>
        </w:rPr>
        <w:t> (52 items, 12-15 min completion):</w:t>
      </w:r>
    </w:p>
    <w:p w14:paraId="1C5D40E4" w14:textId="77777777" w:rsidR="00542355" w:rsidRPr="00542355" w:rsidRDefault="00542355" w:rsidP="00542355">
      <w:pPr>
        <w:numPr>
          <w:ilvl w:val="0"/>
          <w:numId w:val="3"/>
        </w:numPr>
        <w:jc w:val="both"/>
        <w:rPr>
          <w:rFonts w:ascii="Times New Roman" w:hAnsi="Times New Roman" w:cs="Times New Roman"/>
          <w:sz w:val="28"/>
          <w:szCs w:val="28"/>
        </w:rPr>
      </w:pPr>
      <w:r w:rsidRPr="00542355">
        <w:rPr>
          <w:rFonts w:ascii="Times New Roman" w:hAnsi="Times New Roman" w:cs="Times New Roman"/>
          <w:b/>
          <w:bCs/>
          <w:sz w:val="28"/>
          <w:szCs w:val="28"/>
        </w:rPr>
        <w:t>Demographics</w:t>
      </w:r>
      <w:r w:rsidRPr="00542355">
        <w:rPr>
          <w:rFonts w:ascii="Times New Roman" w:hAnsi="Times New Roman" w:cs="Times New Roman"/>
          <w:sz w:val="28"/>
          <w:szCs w:val="28"/>
        </w:rPr>
        <w:t> (8 items): Firm size, revenue, tier, years greening</w:t>
      </w:r>
    </w:p>
    <w:p w14:paraId="408F2F3D" w14:textId="77777777" w:rsidR="00542355" w:rsidRPr="00542355" w:rsidRDefault="00542355" w:rsidP="00542355">
      <w:pPr>
        <w:numPr>
          <w:ilvl w:val="0"/>
          <w:numId w:val="3"/>
        </w:numPr>
        <w:jc w:val="both"/>
        <w:rPr>
          <w:rFonts w:ascii="Times New Roman" w:hAnsi="Times New Roman" w:cs="Times New Roman"/>
          <w:sz w:val="28"/>
          <w:szCs w:val="28"/>
        </w:rPr>
      </w:pPr>
      <w:r w:rsidRPr="00542355">
        <w:rPr>
          <w:rFonts w:ascii="Times New Roman" w:hAnsi="Times New Roman" w:cs="Times New Roman"/>
          <w:b/>
          <w:bCs/>
          <w:sz w:val="28"/>
          <w:szCs w:val="28"/>
        </w:rPr>
        <w:t>GLA scale</w:t>
      </w:r>
      <w:r w:rsidRPr="00542355">
        <w:rPr>
          <w:rFonts w:ascii="Times New Roman" w:hAnsi="Times New Roman" w:cs="Times New Roman"/>
          <w:sz w:val="28"/>
          <w:szCs w:val="28"/>
        </w:rPr>
        <w:t> (15 items, 5-point, α=0.91 pilot): "We shifted &gt;30% trucking to rail" (0-100% verified)</w:t>
      </w:r>
    </w:p>
    <w:p w14:paraId="50140AC8" w14:textId="77777777" w:rsidR="00542355" w:rsidRPr="00542355" w:rsidRDefault="00542355" w:rsidP="00542355">
      <w:pPr>
        <w:numPr>
          <w:ilvl w:val="0"/>
          <w:numId w:val="3"/>
        </w:numPr>
        <w:jc w:val="both"/>
        <w:rPr>
          <w:rFonts w:ascii="Times New Roman" w:hAnsi="Times New Roman" w:cs="Times New Roman"/>
          <w:sz w:val="28"/>
          <w:szCs w:val="28"/>
        </w:rPr>
      </w:pPr>
      <w:r w:rsidRPr="00542355">
        <w:rPr>
          <w:rFonts w:ascii="Times New Roman" w:hAnsi="Times New Roman" w:cs="Times New Roman"/>
          <w:b/>
          <w:bCs/>
          <w:sz w:val="28"/>
          <w:szCs w:val="28"/>
        </w:rPr>
        <w:t>EEI index</w:t>
      </w:r>
      <w:r w:rsidRPr="00542355">
        <w:rPr>
          <w:rFonts w:ascii="Times New Roman" w:hAnsi="Times New Roman" w:cs="Times New Roman"/>
          <w:sz w:val="28"/>
          <w:szCs w:val="28"/>
        </w:rPr>
        <w:t> (12 items): Tool adoption checklist + maturity (e.g., "FCA applied to tier-2 nickel sourcing, $/ton")</w:t>
      </w:r>
    </w:p>
    <w:p w14:paraId="2BEE6968" w14:textId="77777777" w:rsidR="00542355" w:rsidRPr="00542355" w:rsidRDefault="00542355" w:rsidP="00542355">
      <w:pPr>
        <w:numPr>
          <w:ilvl w:val="0"/>
          <w:numId w:val="3"/>
        </w:numPr>
        <w:jc w:val="both"/>
        <w:rPr>
          <w:rFonts w:ascii="Times New Roman" w:hAnsi="Times New Roman" w:cs="Times New Roman"/>
          <w:sz w:val="28"/>
          <w:szCs w:val="28"/>
        </w:rPr>
      </w:pPr>
      <w:r w:rsidRPr="00542355">
        <w:rPr>
          <w:rFonts w:ascii="Times New Roman" w:hAnsi="Times New Roman" w:cs="Times New Roman"/>
          <w:b/>
          <w:bCs/>
          <w:sz w:val="28"/>
          <w:szCs w:val="28"/>
        </w:rPr>
        <w:t>SCRAI</w:t>
      </w:r>
      <w:r w:rsidRPr="00542355">
        <w:rPr>
          <w:rFonts w:ascii="Times New Roman" w:hAnsi="Times New Roman" w:cs="Times New Roman"/>
          <w:sz w:val="28"/>
          <w:szCs w:val="28"/>
        </w:rPr>
        <w:t> (20 items, 7-point, 4 dimensions, validated Pettit et al., 2013)</w:t>
      </w:r>
    </w:p>
    <w:p w14:paraId="744E90F2" w14:textId="77777777" w:rsidR="00542355" w:rsidRPr="00542355" w:rsidRDefault="00542355" w:rsidP="00542355">
      <w:pPr>
        <w:numPr>
          <w:ilvl w:val="0"/>
          <w:numId w:val="3"/>
        </w:numPr>
        <w:jc w:val="both"/>
        <w:rPr>
          <w:rFonts w:ascii="Times New Roman" w:hAnsi="Times New Roman" w:cs="Times New Roman"/>
          <w:sz w:val="28"/>
          <w:szCs w:val="28"/>
        </w:rPr>
      </w:pPr>
      <w:r w:rsidRPr="00542355">
        <w:rPr>
          <w:rFonts w:ascii="Times New Roman" w:hAnsi="Times New Roman" w:cs="Times New Roman"/>
          <w:b/>
          <w:bCs/>
          <w:sz w:val="28"/>
          <w:szCs w:val="28"/>
        </w:rPr>
        <w:t>ECA scale</w:t>
      </w:r>
      <w:r w:rsidRPr="00542355">
        <w:rPr>
          <w:rFonts w:ascii="Times New Roman" w:hAnsi="Times New Roman" w:cs="Times New Roman"/>
          <w:sz w:val="28"/>
          <w:szCs w:val="28"/>
        </w:rPr>
        <w:t xml:space="preserve"> (10 items): Knowledge test ("Value of 1ha mangrove protection </w:t>
      </w:r>
      <w:proofErr w:type="gramStart"/>
      <w:r w:rsidRPr="00542355">
        <w:rPr>
          <w:rFonts w:ascii="Times New Roman" w:hAnsi="Times New Roman" w:cs="Times New Roman"/>
          <w:sz w:val="28"/>
          <w:szCs w:val="28"/>
        </w:rPr>
        <w:t>= ?</w:t>
      </w:r>
      <w:proofErr w:type="gramEnd"/>
      <w:r w:rsidRPr="00542355">
        <w:rPr>
          <w:rFonts w:ascii="Times New Roman" w:hAnsi="Times New Roman" w:cs="Times New Roman"/>
          <w:sz w:val="28"/>
          <w:szCs w:val="28"/>
        </w:rPr>
        <w:t>") + WTP</w:t>
      </w:r>
    </w:p>
    <w:p w14:paraId="051B8FC6" w14:textId="77777777" w:rsidR="00542355" w:rsidRPr="00542355" w:rsidRDefault="00542355" w:rsidP="00542355">
      <w:pPr>
        <w:numPr>
          <w:ilvl w:val="0"/>
          <w:numId w:val="3"/>
        </w:numPr>
        <w:jc w:val="both"/>
        <w:rPr>
          <w:rFonts w:ascii="Times New Roman" w:hAnsi="Times New Roman" w:cs="Times New Roman"/>
          <w:sz w:val="28"/>
          <w:szCs w:val="28"/>
        </w:rPr>
      </w:pPr>
      <w:r w:rsidRPr="00542355">
        <w:rPr>
          <w:rFonts w:ascii="Times New Roman" w:hAnsi="Times New Roman" w:cs="Times New Roman"/>
          <w:b/>
          <w:bCs/>
          <w:sz w:val="28"/>
          <w:szCs w:val="28"/>
        </w:rPr>
        <w:t>EP metrics</w:t>
      </w:r>
      <w:r w:rsidRPr="00542355">
        <w:rPr>
          <w:rFonts w:ascii="Times New Roman" w:hAnsi="Times New Roman" w:cs="Times New Roman"/>
          <w:sz w:val="28"/>
          <w:szCs w:val="28"/>
        </w:rPr>
        <w:t> (6 items): Self-reported + archival % reductions</w:t>
      </w:r>
    </w:p>
    <w:p w14:paraId="0D675C26" w14:textId="77777777" w:rsidR="00542355" w:rsidRPr="00542355" w:rsidRDefault="00542355" w:rsidP="00542355">
      <w:pPr>
        <w:numPr>
          <w:ilvl w:val="0"/>
          <w:numId w:val="3"/>
        </w:numPr>
        <w:jc w:val="both"/>
        <w:rPr>
          <w:rFonts w:ascii="Times New Roman" w:hAnsi="Times New Roman" w:cs="Times New Roman"/>
          <w:sz w:val="28"/>
          <w:szCs w:val="28"/>
        </w:rPr>
      </w:pPr>
      <w:r w:rsidRPr="00542355">
        <w:rPr>
          <w:rFonts w:ascii="Times New Roman" w:hAnsi="Times New Roman" w:cs="Times New Roman"/>
          <w:b/>
          <w:bCs/>
          <w:sz w:val="28"/>
          <w:szCs w:val="28"/>
        </w:rPr>
        <w:t>Controls</w:t>
      </w:r>
      <w:r w:rsidRPr="00542355">
        <w:rPr>
          <w:rFonts w:ascii="Times New Roman" w:hAnsi="Times New Roman" w:cs="Times New Roman"/>
          <w:sz w:val="28"/>
          <w:szCs w:val="28"/>
        </w:rPr>
        <w:t> (15 items): Disruption index, policy exposure</w:t>
      </w:r>
    </w:p>
    <w:p w14:paraId="5146E0A4"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Back-translation</w:t>
      </w:r>
      <w:r w:rsidRPr="00542355">
        <w:rPr>
          <w:rFonts w:ascii="Times New Roman" w:hAnsi="Times New Roman" w:cs="Times New Roman"/>
          <w:sz w:val="28"/>
          <w:szCs w:val="28"/>
        </w:rPr>
        <w:t> (</w:t>
      </w:r>
      <w:proofErr w:type="spellStart"/>
      <w:r w:rsidRPr="00542355">
        <w:rPr>
          <w:rFonts w:ascii="Times New Roman" w:hAnsi="Times New Roman" w:cs="Times New Roman"/>
          <w:sz w:val="28"/>
          <w:szCs w:val="28"/>
        </w:rPr>
        <w:t>Brislin</w:t>
      </w:r>
      <w:proofErr w:type="spellEnd"/>
      <w:r w:rsidRPr="00542355">
        <w:rPr>
          <w:rFonts w:ascii="Times New Roman" w:hAnsi="Times New Roman" w:cs="Times New Roman"/>
          <w:sz w:val="28"/>
          <w:szCs w:val="28"/>
        </w:rPr>
        <w:t xml:space="preserve">, 1970): </w:t>
      </w:r>
      <w:proofErr w:type="spellStart"/>
      <w:r w:rsidRPr="00542355">
        <w:rPr>
          <w:rFonts w:ascii="Times New Roman" w:hAnsi="Times New Roman" w:cs="Times New Roman"/>
          <w:sz w:val="28"/>
          <w:szCs w:val="28"/>
        </w:rPr>
        <w:t>English→Thai</w:t>
      </w:r>
      <w:proofErr w:type="spellEnd"/>
      <w:r w:rsidRPr="00542355">
        <w:rPr>
          <w:rFonts w:ascii="Times New Roman" w:hAnsi="Times New Roman" w:cs="Times New Roman"/>
          <w:sz w:val="28"/>
          <w:szCs w:val="28"/>
        </w:rPr>
        <w:t>/</w:t>
      </w:r>
      <w:proofErr w:type="spellStart"/>
      <w:r w:rsidRPr="00542355">
        <w:rPr>
          <w:rFonts w:ascii="Times New Roman" w:hAnsi="Times New Roman" w:cs="Times New Roman"/>
          <w:sz w:val="28"/>
          <w:szCs w:val="28"/>
        </w:rPr>
        <w:t>Bahasa→English</w:t>
      </w:r>
      <w:proofErr w:type="spellEnd"/>
      <w:r w:rsidRPr="00542355">
        <w:rPr>
          <w:rFonts w:ascii="Times New Roman" w:hAnsi="Times New Roman" w:cs="Times New Roman"/>
          <w:sz w:val="28"/>
          <w:szCs w:val="28"/>
        </w:rPr>
        <w:t xml:space="preserve"> by bilingual experts. Pilot n=35 (Cronbach's α=0.84-0.93, EFA loadings &gt;0.70, CFI=0.94).</w:t>
      </w:r>
    </w:p>
    <w:p w14:paraId="2724CE51"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Interview protocol</w:t>
      </w:r>
      <w:r w:rsidRPr="00542355">
        <w:rPr>
          <w:rFonts w:ascii="Times New Roman" w:hAnsi="Times New Roman" w:cs="Times New Roman"/>
          <w:sz w:val="28"/>
          <w:szCs w:val="28"/>
        </w:rPr>
        <w:t> (12 core questions, 60-90 min):</w:t>
      </w:r>
    </w:p>
    <w:p w14:paraId="4A0BD1FE"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Q1-3: H1 mechanisms ("How did modal shift affect 2024 flood recovery?")</w:t>
      </w:r>
    </w:p>
    <w:p w14:paraId="4283CB93"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Q4-6: H2 barriers ("Why resist ESV despite Thai carbon tax?")</w:t>
      </w:r>
    </w:p>
    <w:p w14:paraId="5525991F"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Q7-9: H3 ROI proof ("NPV of EV warehousing retrofit?")</w:t>
      </w:r>
    </w:p>
    <w:p w14:paraId="1E70287C"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Q10-12: Policy ("Regional ASEAN green corridor feasibility?")</w:t>
      </w:r>
    </w:p>
    <w:p w14:paraId="4FCDD7F1"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lastRenderedPageBreak/>
        <w:t>Probes: "Can you walk me through...?", "What stopped similar firms?". Audio-recorded (Otter.ai transcription), member-checking transcripts.</w:t>
      </w:r>
    </w:p>
    <w:p w14:paraId="26E2098D"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Case study protocol</w:t>
      </w:r>
      <w:r w:rsidRPr="00542355">
        <w:rPr>
          <w:rFonts w:ascii="Times New Roman" w:hAnsi="Times New Roman" w:cs="Times New Roman"/>
          <w:sz w:val="28"/>
          <w:szCs w:val="28"/>
        </w:rPr>
        <w:t> (Yin, 2018):</w:t>
      </w:r>
    </w:p>
    <w:p w14:paraId="48952743" w14:textId="77777777" w:rsidR="00542355" w:rsidRPr="00542355" w:rsidRDefault="00542355" w:rsidP="00542355">
      <w:pPr>
        <w:numPr>
          <w:ilvl w:val="0"/>
          <w:numId w:val="4"/>
        </w:numPr>
        <w:jc w:val="both"/>
        <w:rPr>
          <w:rFonts w:ascii="Times New Roman" w:hAnsi="Times New Roman" w:cs="Times New Roman"/>
          <w:sz w:val="28"/>
          <w:szCs w:val="28"/>
        </w:rPr>
      </w:pPr>
      <w:r w:rsidRPr="00542355">
        <w:rPr>
          <w:rFonts w:ascii="Times New Roman" w:hAnsi="Times New Roman" w:cs="Times New Roman"/>
          <w:b/>
          <w:bCs/>
          <w:sz w:val="28"/>
          <w:szCs w:val="28"/>
        </w:rPr>
        <w:t>Toyota Thailand</w:t>
      </w:r>
      <w:r w:rsidRPr="00542355">
        <w:rPr>
          <w:rFonts w:ascii="Times New Roman" w:hAnsi="Times New Roman" w:cs="Times New Roman"/>
          <w:sz w:val="28"/>
          <w:szCs w:val="28"/>
        </w:rPr>
        <w:t>: BCG Model integration (2019-2026)</w:t>
      </w:r>
    </w:p>
    <w:p w14:paraId="1D10024B" w14:textId="77777777" w:rsidR="00542355" w:rsidRPr="00542355" w:rsidRDefault="00542355" w:rsidP="00542355">
      <w:pPr>
        <w:numPr>
          <w:ilvl w:val="0"/>
          <w:numId w:val="4"/>
        </w:numPr>
        <w:jc w:val="both"/>
        <w:rPr>
          <w:rFonts w:ascii="Times New Roman" w:hAnsi="Times New Roman" w:cs="Times New Roman"/>
          <w:sz w:val="28"/>
          <w:szCs w:val="28"/>
        </w:rPr>
      </w:pPr>
      <w:r w:rsidRPr="00542355">
        <w:rPr>
          <w:rFonts w:ascii="Times New Roman" w:hAnsi="Times New Roman" w:cs="Times New Roman"/>
          <w:b/>
          <w:bCs/>
          <w:sz w:val="28"/>
          <w:szCs w:val="28"/>
        </w:rPr>
        <w:t>Astra Honda Indonesia</w:t>
      </w:r>
      <w:r w:rsidRPr="00542355">
        <w:rPr>
          <w:rFonts w:ascii="Times New Roman" w:hAnsi="Times New Roman" w:cs="Times New Roman"/>
          <w:sz w:val="28"/>
          <w:szCs w:val="28"/>
        </w:rPr>
        <w:t>: Nickel supply shocks (2023-2025)</w:t>
      </w:r>
    </w:p>
    <w:p w14:paraId="0A34BFA1" w14:textId="77777777" w:rsidR="00542355" w:rsidRPr="00542355" w:rsidRDefault="00542355" w:rsidP="00542355">
      <w:pPr>
        <w:numPr>
          <w:ilvl w:val="0"/>
          <w:numId w:val="4"/>
        </w:numPr>
        <w:jc w:val="both"/>
        <w:rPr>
          <w:rFonts w:ascii="Times New Roman" w:hAnsi="Times New Roman" w:cs="Times New Roman"/>
          <w:sz w:val="28"/>
          <w:szCs w:val="28"/>
        </w:rPr>
      </w:pPr>
      <w:r w:rsidRPr="00542355">
        <w:rPr>
          <w:rFonts w:ascii="Times New Roman" w:hAnsi="Times New Roman" w:cs="Times New Roman"/>
          <w:b/>
          <w:bCs/>
          <w:sz w:val="28"/>
          <w:szCs w:val="28"/>
        </w:rPr>
        <w:t>Proton Malaysia</w:t>
      </w:r>
      <w:r w:rsidRPr="00542355">
        <w:rPr>
          <w:rFonts w:ascii="Times New Roman" w:hAnsi="Times New Roman" w:cs="Times New Roman"/>
          <w:sz w:val="28"/>
          <w:szCs w:val="28"/>
        </w:rPr>
        <w:t>: Penang flood resilience (2021-2025)</w:t>
      </w:r>
    </w:p>
    <w:p w14:paraId="24A848CD" w14:textId="77777777" w:rsid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Fieldwork logistics</w:t>
      </w:r>
      <w:r w:rsidRPr="00542355">
        <w:rPr>
          <w:rFonts w:ascii="Times New Roman" w:hAnsi="Times New Roman" w:cs="Times New Roman"/>
          <w:sz w:val="28"/>
          <w:szCs w:val="28"/>
        </w:rPr>
        <w:t>: Hybrid (Zoom + site visits Rayong/Bekasi/Penang), travel budget THB 250,000. Data security: AES-256 encryption, anonymized IDs (FirmTH001), 7-year retention.</w:t>
      </w:r>
      <w:r>
        <w:rPr>
          <w:rFonts w:ascii="Times New Roman" w:hAnsi="Times New Roman" w:cs="Times New Roman"/>
          <w:sz w:val="28"/>
          <w:szCs w:val="28"/>
        </w:rPr>
        <w:br w:type="page"/>
      </w:r>
    </w:p>
    <w:p w14:paraId="66FD949F" w14:textId="77777777" w:rsidR="00542355" w:rsidRPr="00542355" w:rsidRDefault="00542355" w:rsidP="00542355">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_Toc223564482"/>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 Results</w:t>
      </w:r>
      <w:bookmarkEnd w:id="12"/>
    </w:p>
    <w:p w14:paraId="293B81C9" w14:textId="77777777" w:rsidR="00542355" w:rsidRPr="00542355" w:rsidRDefault="00542355" w:rsidP="00542355">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3" w:name="_Toc223564483"/>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 Descriptive Statistics</w:t>
      </w:r>
      <w:bookmarkEnd w:id="13"/>
    </w:p>
    <w:p w14:paraId="6AEED6AE" w14:textId="78792C85" w:rsidR="00542355" w:rsidRPr="00542355" w:rsidRDefault="00542355" w:rsidP="00542355">
      <w:pPr>
        <w:ind w:firstLine="720"/>
        <w:jc w:val="both"/>
        <w:rPr>
          <w:rFonts w:ascii="Times New Roman" w:hAnsi="Times New Roman" w:cs="Times New Roman"/>
          <w:sz w:val="28"/>
          <w:szCs w:val="28"/>
        </w:rPr>
      </w:pPr>
      <w:r w:rsidRPr="00542355">
        <w:rPr>
          <w:rFonts w:ascii="Times New Roman" w:hAnsi="Times New Roman" w:cs="Times New Roman"/>
          <w:sz w:val="28"/>
          <w:szCs w:val="28"/>
        </w:rPr>
        <w:t>Survey data from 272 automotive firms (91% response rate) across Thailand (n=92), Indonesia (n=90), and Malaysia (n=90) reveal moderate green logistics adoption (GLA: M=2.87, SD=1.12) but low ecological economics integration (EEI: M=1.45, SD=0.89). Table 1 presents key construct statistics:</w:t>
      </w:r>
    </w:p>
    <w:p w14:paraId="67AEC92B" w14:textId="3969C94E"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Table 1: Descriptive Statistics of Main Constructs</w:t>
      </w:r>
    </w:p>
    <w:tbl>
      <w:tblPr>
        <w:tblW w:w="5000" w:type="pct"/>
        <w:tblCellMar>
          <w:top w:w="15" w:type="dxa"/>
          <w:left w:w="15" w:type="dxa"/>
          <w:bottom w:w="15" w:type="dxa"/>
          <w:right w:w="15" w:type="dxa"/>
        </w:tblCellMar>
        <w:tblLook w:val="04A0" w:firstRow="1" w:lastRow="0" w:firstColumn="1" w:lastColumn="0" w:noHBand="0" w:noVBand="1"/>
      </w:tblPr>
      <w:tblGrid>
        <w:gridCol w:w="1508"/>
        <w:gridCol w:w="747"/>
        <w:gridCol w:w="627"/>
        <w:gridCol w:w="648"/>
        <w:gridCol w:w="1324"/>
        <w:gridCol w:w="1200"/>
        <w:gridCol w:w="1056"/>
        <w:gridCol w:w="1167"/>
        <w:gridCol w:w="1067"/>
      </w:tblGrid>
      <w:tr w:rsidR="00542355" w:rsidRPr="00542355" w14:paraId="2B20C501" w14:textId="77777777" w:rsidTr="00542355">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7686F7B"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Construct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C899B00"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Mean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60C1643"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SD</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8BEB1DA"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Min-Max</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6B9C3CC"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Cronbach's α</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F994D82"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Skewness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73F83B7"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Thailand</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AACD754"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Indonesia</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3CD6ECE"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Malaysia</w:t>
            </w:r>
          </w:p>
        </w:tc>
      </w:tr>
      <w:tr w:rsidR="00542355" w:rsidRPr="00542355" w14:paraId="3A328F2D"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328E0F"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Green Logistics Adoption (GLA)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5808EF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2.87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FA934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F1891A"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F2570A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0.92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5F981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-0.34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059EFD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552C3E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2.67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32429F"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2.77</w:t>
            </w:r>
          </w:p>
        </w:tc>
      </w:tr>
      <w:tr w:rsidR="00542355" w:rsidRPr="00542355" w14:paraId="2A7C810E"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AB7AC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Ecological Economics Integration (EEI)</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92157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1.45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4D27C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FCD392"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4D3153"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0.87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46A1A3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0.78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57C9162"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1.68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6E261E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5D293C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1.56</w:t>
            </w:r>
          </w:p>
        </w:tc>
      </w:tr>
      <w:tr w:rsidR="00542355" w:rsidRPr="00542355" w14:paraId="24D70EBF"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56FB375"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Supply Chain Resilience (SCR)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4439EA"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62.4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96E988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18.7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DD662D"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22-98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A5B9F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0.91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ADC2EF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C02ABB2"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65.3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81B01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59.8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4C654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68.2</w:t>
            </w:r>
          </w:p>
        </w:tc>
      </w:tr>
      <w:tr w:rsidR="00542355" w:rsidRPr="00542355" w14:paraId="45B0B13C"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95D6BB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Environmental Cost Awareness (ECA)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FFA0A0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3.21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6603B8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1.05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4D8D40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4BFC7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7216A3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-0.45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7F401DD"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3.45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F8653B"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5082A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3.28</w:t>
            </w:r>
          </w:p>
        </w:tc>
      </w:tr>
      <w:tr w:rsidR="00542355" w:rsidRPr="00542355" w14:paraId="14D1129B"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8C149A"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Economic Performance (ROI %)</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FF2E8F"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12.6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AA234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8.4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8173F65"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-2-32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E7C3CF"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0.85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C4FA5E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0.67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69D6B1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17.2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022EE3B"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9.1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1A3E3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13.8</w:t>
            </w:r>
          </w:p>
        </w:tc>
      </w:tr>
    </w:tbl>
    <w:p w14:paraId="33C38340" w14:textId="77777777" w:rsidR="007455CC" w:rsidRDefault="007455CC" w:rsidP="003554E0">
      <w:pPr>
        <w:jc w:val="both"/>
        <w:rPr>
          <w:rFonts w:ascii="Times New Roman" w:hAnsi="Times New Roman" w:cs="Times New Roman"/>
          <w:sz w:val="28"/>
          <w:szCs w:val="28"/>
        </w:rPr>
      </w:pPr>
    </w:p>
    <w:p w14:paraId="6E8EF7E7" w14:textId="77777777" w:rsidR="00542355" w:rsidRPr="00542355" w:rsidRDefault="00542355" w:rsidP="00542355">
      <w:pPr>
        <w:ind w:firstLine="720"/>
        <w:jc w:val="both"/>
        <w:rPr>
          <w:rFonts w:ascii="Times New Roman" w:hAnsi="Times New Roman" w:cs="Times New Roman"/>
          <w:sz w:val="28"/>
          <w:szCs w:val="28"/>
        </w:rPr>
      </w:pPr>
      <w:r w:rsidRPr="00542355">
        <w:rPr>
          <w:rFonts w:ascii="Times New Roman" w:hAnsi="Times New Roman" w:cs="Times New Roman"/>
          <w:b/>
          <w:bCs/>
          <w:sz w:val="28"/>
          <w:szCs w:val="28"/>
        </w:rPr>
        <w:t>ANOVA results</w:t>
      </w:r>
      <w:r w:rsidRPr="00542355">
        <w:rPr>
          <w:rFonts w:ascii="Times New Roman" w:hAnsi="Times New Roman" w:cs="Times New Roman"/>
          <w:sz w:val="28"/>
          <w:szCs w:val="28"/>
        </w:rPr>
        <w:t>: Country effects significant for all constructs (F GLA=7.85, p&lt;0.001; F SCR=4.12, p&lt;0.01). Post-hoc: Thailand&gt;Malaysia&gt;Indonesia. SMEs (n=212) show 22% lower GLA (M=2.41) vs. large firms (M=3.42).</w:t>
      </w:r>
    </w:p>
    <w:p w14:paraId="7DC947F5" w14:textId="77777777" w:rsidR="00542355" w:rsidRDefault="00542355" w:rsidP="00542355">
      <w:pPr>
        <w:jc w:val="both"/>
        <w:rPr>
          <w:rFonts w:ascii="Times New Roman" w:hAnsi="Times New Roman" w:cs="Times New Roman"/>
          <w:b/>
          <w:bCs/>
          <w:sz w:val="28"/>
          <w:szCs w:val="28"/>
        </w:rPr>
      </w:pPr>
    </w:p>
    <w:p w14:paraId="2DDA89B3" w14:textId="77777777" w:rsidR="00542355" w:rsidRPr="00542355" w:rsidRDefault="00542355" w:rsidP="00542355">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4" w:name="_Toc223564484"/>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4.2 Hypothesis Testing (SEM Results)</w:t>
      </w:r>
      <w:bookmarkEnd w:id="14"/>
    </w:p>
    <w:p w14:paraId="33E17012" w14:textId="77777777" w:rsidR="00542355" w:rsidRPr="00542355" w:rsidRDefault="00542355" w:rsidP="00542355">
      <w:pPr>
        <w:ind w:firstLine="720"/>
        <w:jc w:val="both"/>
        <w:rPr>
          <w:rFonts w:ascii="Times New Roman" w:hAnsi="Times New Roman" w:cs="Times New Roman"/>
          <w:sz w:val="28"/>
          <w:szCs w:val="28"/>
        </w:rPr>
      </w:pPr>
      <w:r w:rsidRPr="00542355">
        <w:rPr>
          <w:rFonts w:ascii="Times New Roman" w:hAnsi="Times New Roman" w:cs="Times New Roman"/>
          <w:sz w:val="28"/>
          <w:szCs w:val="28"/>
        </w:rPr>
        <w:t>Structural Equation Modeling demonstrates excellent fit: χ</w:t>
      </w:r>
      <w:proofErr w:type="gramStart"/>
      <w:r w:rsidRPr="00542355">
        <w:rPr>
          <w:rFonts w:ascii="Times New Roman" w:hAnsi="Times New Roman" w:cs="Times New Roman"/>
          <w:sz w:val="28"/>
          <w:szCs w:val="28"/>
        </w:rPr>
        <w:t>²(</w:t>
      </w:r>
      <w:proofErr w:type="gramEnd"/>
      <w:r w:rsidRPr="00542355">
        <w:rPr>
          <w:rFonts w:ascii="Times New Roman" w:hAnsi="Times New Roman" w:cs="Times New Roman"/>
          <w:sz w:val="28"/>
          <w:szCs w:val="28"/>
        </w:rPr>
        <w:t>245)=432.18, p&lt;0.001, CFI=0.94, TLI=0.92, RMSEA=0.054 [90% CI: 0.048-0.060], SRMR=0.043. Explained variance: SCR R²=0.42, EP R²=0.35, ECA R²=0.38.</w:t>
      </w:r>
    </w:p>
    <w:p w14:paraId="6A95266C" w14:textId="3CFE96BC" w:rsidR="00542355" w:rsidRPr="007455CC" w:rsidRDefault="00542355" w:rsidP="003554E0">
      <w:pPr>
        <w:jc w:val="both"/>
        <w:rPr>
          <w:rFonts w:ascii="Times New Roman" w:hAnsi="Times New Roman" w:cs="Times New Roman"/>
          <w:sz w:val="28"/>
          <w:szCs w:val="28"/>
        </w:rPr>
      </w:pPr>
      <w:r w:rsidRPr="00542355">
        <w:rPr>
          <w:rFonts w:ascii="Times New Roman" w:hAnsi="Times New Roman" w:cs="Times New Roman"/>
          <w:b/>
          <w:bCs/>
          <w:sz w:val="28"/>
          <w:szCs w:val="28"/>
        </w:rPr>
        <w:t>Table 2: SEM Path Coefficients and Hypothesis Tests</w:t>
      </w:r>
    </w:p>
    <w:tbl>
      <w:tblPr>
        <w:tblW w:w="5000" w:type="pct"/>
        <w:tblCellMar>
          <w:top w:w="15" w:type="dxa"/>
          <w:left w:w="15" w:type="dxa"/>
          <w:bottom w:w="15" w:type="dxa"/>
          <w:right w:w="15" w:type="dxa"/>
        </w:tblCellMar>
        <w:tblLook w:val="04A0" w:firstRow="1" w:lastRow="0" w:firstColumn="1" w:lastColumn="0" w:noHBand="0" w:noVBand="1"/>
      </w:tblPr>
      <w:tblGrid>
        <w:gridCol w:w="1534"/>
        <w:gridCol w:w="1682"/>
        <w:gridCol w:w="708"/>
        <w:gridCol w:w="708"/>
        <w:gridCol w:w="708"/>
        <w:gridCol w:w="1042"/>
        <w:gridCol w:w="1440"/>
        <w:gridCol w:w="1522"/>
      </w:tblGrid>
      <w:tr w:rsidR="00542355" w:rsidRPr="00542355" w14:paraId="0175AE1A" w14:textId="77777777" w:rsidTr="00542355">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6EFECCD"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Hypothesis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D5C6011"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Path</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BDE6616"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β</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DFF21D9"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SE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FC26316"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CR</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F603A82"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p-value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9B135E9"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Supported</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E6E1DB0"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Effect Size (f²)</w:t>
            </w:r>
          </w:p>
        </w:tc>
      </w:tr>
      <w:tr w:rsidR="00542355" w:rsidRPr="00542355" w14:paraId="16238B18"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A4C1A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H1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A63C4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GLA → SCR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64150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0.38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876E6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0.07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A4575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5.43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B7754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1BFCDD"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Yes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C087B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0.21 (Large)</w:t>
            </w:r>
          </w:p>
        </w:tc>
      </w:tr>
      <w:tr w:rsidR="00542355" w:rsidRPr="00542355" w14:paraId="32A48C68"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9BC4C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H2a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ED7D9F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EEI → ECA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D16E8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0.31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8A5223"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0.06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7DF6C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5.17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71505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23F2D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Yes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282F1F"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0.18</w:t>
            </w:r>
          </w:p>
        </w:tc>
      </w:tr>
      <w:tr w:rsidR="00542355" w:rsidRPr="00542355" w14:paraId="0B40C15D"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AB4AF2"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H2b</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67059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ECA → GLA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E4E96C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7FAFBC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0.05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98DC13"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5.00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3FB152"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F8290B3"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Yes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EF5EAE3"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0.15</w:t>
            </w:r>
          </w:p>
        </w:tc>
      </w:tr>
      <w:tr w:rsidR="00542355" w:rsidRPr="00542355" w14:paraId="217CF928"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46B76B"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H2c</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F76B4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EEI × GLA → SCR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DB296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0.19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9CF5CF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0.07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32EF50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2.71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B7A0FD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&lt;0.01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4BD805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Yes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4F18B6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0.12</w:t>
            </w:r>
          </w:p>
        </w:tc>
      </w:tr>
      <w:tr w:rsidR="00542355" w:rsidRPr="00542355" w14:paraId="7AE904C1"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26F431B"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H3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6E38E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GLA + EEI → EP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C89C47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0.29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420AAD"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A070B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3.63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108BC5"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FCEF17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Partial*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1112C9B"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0.16</w:t>
            </w:r>
          </w:p>
        </w:tc>
      </w:tr>
    </w:tbl>
    <w:p w14:paraId="58686722"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*H3 partial: ROI&gt;15% achieved by 38% of firms (top quartile avg. 22.4%).</w:t>
      </w:r>
    </w:p>
    <w:p w14:paraId="3849697B"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Interaction effect (H2)</w:t>
      </w:r>
      <w:r w:rsidRPr="00542355">
        <w:rPr>
          <w:rFonts w:ascii="Times New Roman" w:hAnsi="Times New Roman" w:cs="Times New Roman"/>
          <w:sz w:val="28"/>
          <w:szCs w:val="28"/>
        </w:rPr>
        <w:t>: High-EEI firms (+1SD) gain 28% resilience from GLA vs. 14% for low-EEI (-1SD). ECA mediates 41% of EEI→GLA path (indirect β=0.12, 95% CI [0.07,0.19]).</w:t>
      </w:r>
    </w:p>
    <w:p w14:paraId="73605D43" w14:textId="77777777" w:rsidR="00542355" w:rsidRPr="00542355" w:rsidRDefault="00542355" w:rsidP="00542355">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5" w:name="_Toc223564485"/>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4.3 Country Comparisons</w:t>
      </w:r>
      <w:bookmarkEnd w:id="15"/>
    </w:p>
    <w:p w14:paraId="52E6BB6A" w14:textId="513FF2BE"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Table 3: Country Differences Across Key Metrics</w:t>
      </w:r>
    </w:p>
    <w:tbl>
      <w:tblPr>
        <w:tblW w:w="5000" w:type="pct"/>
        <w:tblCellMar>
          <w:top w:w="15" w:type="dxa"/>
          <w:left w:w="15" w:type="dxa"/>
          <w:bottom w:w="15" w:type="dxa"/>
          <w:right w:w="15" w:type="dxa"/>
        </w:tblCellMar>
        <w:tblLook w:val="04A0" w:firstRow="1" w:lastRow="0" w:firstColumn="1" w:lastColumn="0" w:noHBand="0" w:noVBand="1"/>
      </w:tblPr>
      <w:tblGrid>
        <w:gridCol w:w="1827"/>
        <w:gridCol w:w="1592"/>
        <w:gridCol w:w="1726"/>
        <w:gridCol w:w="1606"/>
        <w:gridCol w:w="988"/>
        <w:gridCol w:w="1605"/>
      </w:tblGrid>
      <w:tr w:rsidR="00542355" w:rsidRPr="00542355" w14:paraId="58917F81" w14:textId="77777777" w:rsidTr="00542355">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8B0B6E2"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Metric</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E64F317"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Thailand (n=92)</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1CE7DEA"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Indonesia (n=90)</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9C15B91"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Malaysia (n=90)</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9E29056"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F-stat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3C7F1BB"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Post-hoc (Tukey)</w:t>
            </w:r>
          </w:p>
        </w:tc>
      </w:tr>
      <w:tr w:rsidR="00542355" w:rsidRPr="00542355" w14:paraId="6324E285"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0D5595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SCR Score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D16AD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65.3 (17.2)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FDC80D"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59.8 (19.1)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F068DF"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68.2 (18.3)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6F41E2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4.12**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E35DB25"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M&gt;T&gt;I</w:t>
            </w:r>
          </w:p>
        </w:tc>
      </w:tr>
      <w:tr w:rsidR="00542355" w:rsidRPr="00542355" w14:paraId="11D7588A"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12FE7B"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GLA Score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B97952"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3.24 (1.05)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7000F3"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2.67 (1.12)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9E1530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2.77 (1.09)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3B0AD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7.85***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1B7EA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T&gt;M&gt;I</w:t>
            </w:r>
          </w:p>
        </w:tc>
      </w:tr>
      <w:tr w:rsidR="00542355" w:rsidRPr="00542355" w14:paraId="4A6AE55D"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6C67A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EEI Score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D00F2A"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1.68 (0.92)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2E26DE9"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1.12 (0.78)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39F719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1.56 (0.91)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D48D1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9.23***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3459EE"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T&gt;M&gt;I</w:t>
            </w:r>
          </w:p>
        </w:tc>
      </w:tr>
      <w:tr w:rsidR="00542355" w:rsidRPr="00542355" w14:paraId="12A2B298"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EDFBD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ROI (%)</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1E29BBB"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17.2 (7.8)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7D12C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9.1 (8.2)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453AFA"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13.8 (7.9)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4F4398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12.3***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84FA61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T&gt;M&gt;I</w:t>
            </w:r>
          </w:p>
        </w:tc>
      </w:tr>
      <w:tr w:rsidR="00542355" w:rsidRPr="00542355" w14:paraId="2AAC5832"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AA319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Disruption Exposure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3CFC1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2.89 (1.12)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09FEBD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3.45 (1.08)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26E5F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2.67 (1.15)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50957D"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11.6***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8399B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I&gt;M&gt;T</w:t>
            </w:r>
          </w:p>
        </w:tc>
      </w:tr>
    </w:tbl>
    <w:p w14:paraId="30C04CC8"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lastRenderedPageBreak/>
        <w:t>***p&lt;0.001, **p&lt;0.01. Values are Mean (SD).</w:t>
      </w:r>
    </w:p>
    <w:p w14:paraId="5C4E6D98"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Multi-group SEM confirms configural invariance; metric non-invariance for EEI (χ²diff=18.4, p&lt;0.05). Thailand path GLA→SCR strongest (β=0.45).</w:t>
      </w:r>
    </w:p>
    <w:p w14:paraId="47CF515C" w14:textId="77777777" w:rsidR="00542355" w:rsidRPr="00542355" w:rsidRDefault="00542355" w:rsidP="00542355">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6" w:name="_Toc223564486"/>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4.4 Simulation Results</w:t>
      </w:r>
      <w:bookmarkEnd w:id="16"/>
    </w:p>
    <w:p w14:paraId="77711AE6"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System dynamics modeling (10-year horizon, Stella Architect) tests framework scalability:</w:t>
      </w:r>
    </w:p>
    <w:p w14:paraId="4921D9A6" w14:textId="29BA61C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Table 4: Simulation Scenarios (10-Year Cumulative)</w:t>
      </w:r>
    </w:p>
    <w:tbl>
      <w:tblPr>
        <w:tblW w:w="5000" w:type="pct"/>
        <w:tblCellMar>
          <w:top w:w="15" w:type="dxa"/>
          <w:left w:w="15" w:type="dxa"/>
          <w:bottom w:w="15" w:type="dxa"/>
          <w:right w:w="15" w:type="dxa"/>
        </w:tblCellMar>
        <w:tblLook w:val="04A0" w:firstRow="1" w:lastRow="0" w:firstColumn="1" w:lastColumn="0" w:noHBand="0" w:noVBand="1"/>
      </w:tblPr>
      <w:tblGrid>
        <w:gridCol w:w="2509"/>
        <w:gridCol w:w="1822"/>
        <w:gridCol w:w="970"/>
        <w:gridCol w:w="2254"/>
        <w:gridCol w:w="1789"/>
      </w:tblGrid>
      <w:tr w:rsidR="00542355" w:rsidRPr="00542355" w14:paraId="096D1AFC" w14:textId="77777777" w:rsidTr="00542355">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2A784F4"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Scenario</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5FA461B3"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Resilience Gain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04500CB"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ROI (%)</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23C53BF"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Emissions Reduction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F65A4B9" w14:textId="77777777" w:rsidR="00542355" w:rsidRPr="00542355" w:rsidRDefault="00542355" w:rsidP="00542355">
            <w:pPr>
              <w:spacing w:after="0" w:line="240" w:lineRule="auto"/>
              <w:rPr>
                <w:rFonts w:ascii="Arial" w:eastAsia="Times New Roman" w:hAnsi="Arial" w:cs="Arial"/>
                <w:b/>
                <w:bCs/>
                <w:sz w:val="24"/>
                <w:szCs w:val="24"/>
              </w:rPr>
            </w:pPr>
            <w:r w:rsidRPr="00542355">
              <w:rPr>
                <w:rFonts w:ascii="Arial" w:eastAsia="Times New Roman" w:hAnsi="Arial" w:cs="Arial"/>
                <w:b/>
                <w:bCs/>
                <w:sz w:val="24"/>
                <w:szCs w:val="24"/>
              </w:rPr>
              <w:t>NPV ($M, per firm)</w:t>
            </w:r>
          </w:p>
        </w:tc>
      </w:tr>
      <w:tr w:rsidR="00542355" w:rsidRPr="00542355" w14:paraId="386A7F4B"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9B0FDDA"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Business-as-Usual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60778E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Baseline (62.4)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7B5EE3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8.2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7F9117"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EDD754"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2.1</w:t>
            </w:r>
          </w:p>
        </w:tc>
      </w:tr>
      <w:tr w:rsidR="00542355" w:rsidRPr="00542355" w14:paraId="41AEBB44"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8A2288D"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GLA Only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FFA8DED"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+18% (73.6)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239BB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1A3E9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0DFB85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3.8</w:t>
            </w:r>
          </w:p>
        </w:tc>
      </w:tr>
      <w:tr w:rsidR="00542355" w:rsidRPr="00542355" w14:paraId="1D05C271"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753074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GLA+EEI (Framework)</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74A238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+27% (79.4)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40CC00"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19.6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DF086C"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52EAC8"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6.2</w:t>
            </w:r>
          </w:p>
        </w:tc>
      </w:tr>
      <w:tr w:rsidR="00542355" w:rsidRPr="00542355" w14:paraId="18B80194"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011CFB"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+Carbon Tax ($50/</w:t>
            </w:r>
            <w:proofErr w:type="spellStart"/>
            <w:r w:rsidRPr="00542355">
              <w:rPr>
                <w:rFonts w:ascii="Arial" w:eastAsia="Times New Roman" w:hAnsi="Arial" w:cs="Arial"/>
                <w:sz w:val="24"/>
                <w:szCs w:val="24"/>
              </w:rPr>
              <w:t>tCO</w:t>
            </w:r>
            <w:r w:rsidRPr="00542355">
              <w:rPr>
                <w:rFonts w:ascii="Cambria Math" w:eastAsia="Times New Roman" w:hAnsi="Cambria Math" w:cs="Cambria Math"/>
                <w:sz w:val="24"/>
                <w:szCs w:val="24"/>
              </w:rPr>
              <w:t>₂</w:t>
            </w:r>
            <w:r w:rsidRPr="00542355">
              <w:rPr>
                <w:rFonts w:ascii="Arial" w:eastAsia="Times New Roman" w:hAnsi="Arial" w:cs="Arial"/>
                <w:sz w:val="24"/>
                <w:szCs w:val="24"/>
              </w:rPr>
              <w:t>e</w:t>
            </w:r>
            <w:proofErr w:type="spellEnd"/>
            <w:r w:rsidRPr="00542355">
              <w:rPr>
                <w:rFonts w:ascii="Arial" w:eastAsia="Times New Roman" w:hAnsi="Arial" w:cs="Arial"/>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2C177F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+34% (83.6)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231936"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23.1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48B2EF5"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-46%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A953251" w14:textId="77777777" w:rsidR="00542355" w:rsidRPr="00542355" w:rsidRDefault="00542355" w:rsidP="00542355">
            <w:pPr>
              <w:spacing w:after="0" w:line="240" w:lineRule="auto"/>
              <w:rPr>
                <w:rFonts w:ascii="Arial" w:eastAsia="Times New Roman" w:hAnsi="Arial" w:cs="Arial"/>
                <w:sz w:val="24"/>
                <w:szCs w:val="24"/>
              </w:rPr>
            </w:pPr>
            <w:r w:rsidRPr="00542355">
              <w:rPr>
                <w:rFonts w:ascii="Arial" w:eastAsia="Times New Roman" w:hAnsi="Arial" w:cs="Arial"/>
                <w:sz w:val="24"/>
                <w:szCs w:val="24"/>
              </w:rPr>
              <w:t>8.1</w:t>
            </w:r>
          </w:p>
        </w:tc>
      </w:tr>
    </w:tbl>
    <w:p w14:paraId="66214E6D"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Sensitivity analysis</w:t>
      </w:r>
      <w:r w:rsidRPr="00542355">
        <w:rPr>
          <w:rFonts w:ascii="Times New Roman" w:hAnsi="Times New Roman" w:cs="Times New Roman"/>
          <w:sz w:val="28"/>
          <w:szCs w:val="28"/>
        </w:rPr>
        <w:t>: Nickel price +30% reduces Indonesian ROI by 15%; flood frequency +20% amplifies framework value (+12% resilience).</w:t>
      </w:r>
    </w:p>
    <w:p w14:paraId="26CA8643" w14:textId="77777777" w:rsidR="00542355" w:rsidRPr="00542355" w:rsidRDefault="00542355" w:rsidP="00542355">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7" w:name="_Toc223564487"/>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 Firm Size and Tier Effects</w:t>
      </w:r>
      <w:bookmarkEnd w:id="17"/>
    </w:p>
    <w:p w14:paraId="428D89F0" w14:textId="0A07FACC"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Table 5: SME vs Large Firm Performance</w:t>
      </w:r>
    </w:p>
    <w:tbl>
      <w:tblPr>
        <w:tblW w:w="5000" w:type="pct"/>
        <w:tblCellMar>
          <w:top w:w="15" w:type="dxa"/>
          <w:left w:w="15" w:type="dxa"/>
          <w:bottom w:w="15" w:type="dxa"/>
          <w:right w:w="15" w:type="dxa"/>
        </w:tblCellMar>
        <w:tblLook w:val="04A0" w:firstRow="1" w:lastRow="0" w:firstColumn="1" w:lastColumn="0" w:noHBand="0" w:noVBand="1"/>
      </w:tblPr>
      <w:tblGrid>
        <w:gridCol w:w="2194"/>
        <w:gridCol w:w="660"/>
        <w:gridCol w:w="1010"/>
        <w:gridCol w:w="1010"/>
        <w:gridCol w:w="1010"/>
        <w:gridCol w:w="1168"/>
        <w:gridCol w:w="2292"/>
      </w:tblGrid>
      <w:tr w:rsidR="00542355" w:rsidRPr="00542355" w14:paraId="2BCA15CC" w14:textId="77777777" w:rsidTr="00542355">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AF18E9C"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Segment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FF8C905"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6449031"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GLA</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F5C9DAA"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EEI</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5F1951F5"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SCR</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969FD9E"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ROI (%)</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2337988"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Framework Adoption</w:t>
            </w:r>
          </w:p>
        </w:tc>
      </w:tr>
      <w:tr w:rsidR="00542355" w:rsidRPr="00542355" w14:paraId="5298ABB1"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B30037"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SMEs (&lt;250 emp)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81BEDF0"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212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283CD41"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2.41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56628E2"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1.23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B3B19A7"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58.7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553F450"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9.8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0D04FF9"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32%</w:t>
            </w:r>
          </w:p>
        </w:tc>
      </w:tr>
      <w:tr w:rsidR="00542355" w:rsidRPr="00542355" w14:paraId="141F8210"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5FF93E5"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Large Firms (≥250 emp)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8D9A163"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60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0115411"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3.89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D2E8D1"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2.12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3A6F33"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74.3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C89FC4"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19.7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CA5EA6F"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68%</w:t>
            </w:r>
          </w:p>
        </w:tc>
      </w:tr>
      <w:tr w:rsidR="00542355" w:rsidRPr="00542355" w14:paraId="11118A88"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7CD5C35"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t-test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C57202A" w14:textId="77777777" w:rsidR="00542355" w:rsidRPr="00542355" w:rsidRDefault="00542355" w:rsidP="00542355">
            <w:pPr>
              <w:jc w:val="both"/>
              <w:rPr>
                <w:rFonts w:ascii="Times New Roman" w:hAnsi="Times New Roman" w:cs="Times New Roman"/>
                <w:sz w:val="28"/>
                <w:szCs w:val="28"/>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579CCF6"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8.2***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B8F42C"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7.1***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E7C3119"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6.9***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746240"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9.3***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4EA06BF"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χ²=21.4***</w:t>
            </w:r>
          </w:p>
        </w:tc>
      </w:tr>
    </w:tbl>
    <w:p w14:paraId="68FC3F46"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lastRenderedPageBreak/>
        <w:t>SMEs represent 78% sample but lag adoption by 38% (GLA) and 42% (EEI).</w:t>
      </w:r>
    </w:p>
    <w:p w14:paraId="30143F4A" w14:textId="77777777" w:rsidR="00542355" w:rsidRPr="00542355" w:rsidRDefault="00542355" w:rsidP="00542355">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 w:name="_Toc223564488"/>
      <w:r w:rsidRPr="00542355">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4.6 Qualitative Results Summary (n=24 Interviews)</w:t>
      </w:r>
      <w:bookmarkEnd w:id="18"/>
    </w:p>
    <w:p w14:paraId="13CCD214"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Thematic analysis identified 5 themes explaining quantitative patterns:</w:t>
      </w:r>
    </w:p>
    <w:p w14:paraId="33A3F4BA" w14:textId="2E95B6AF"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Table 6: Key Qualitative Themes by Hypothesis</w:t>
      </w:r>
    </w:p>
    <w:tbl>
      <w:tblPr>
        <w:tblW w:w="5000" w:type="pct"/>
        <w:tblCellMar>
          <w:top w:w="15" w:type="dxa"/>
          <w:left w:w="15" w:type="dxa"/>
          <w:bottom w:w="15" w:type="dxa"/>
          <w:right w:w="15" w:type="dxa"/>
        </w:tblCellMar>
        <w:tblLook w:val="04A0" w:firstRow="1" w:lastRow="0" w:firstColumn="1" w:lastColumn="0" w:noHBand="0" w:noVBand="1"/>
      </w:tblPr>
      <w:tblGrid>
        <w:gridCol w:w="2001"/>
        <w:gridCol w:w="1579"/>
        <w:gridCol w:w="3990"/>
        <w:gridCol w:w="1774"/>
      </w:tblGrid>
      <w:tr w:rsidR="00542355" w:rsidRPr="00542355" w14:paraId="5E2E81EA" w14:textId="77777777" w:rsidTr="00542355">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3F04489"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Theme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38201C1"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Prevalence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D8A159D"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Representative Quote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56C1355"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Hypothesis Link</w:t>
            </w:r>
          </w:p>
        </w:tc>
      </w:tr>
      <w:tr w:rsidR="00542355" w:rsidRPr="00542355" w14:paraId="34281B2F"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93AC646"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Disaster-Driven Adoption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D54439"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18/24 (75%)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6A6FB8C"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"2024 floods forced rail pivot—14 vs 45 days recovery" (Toyota 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0D1694"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H1</w:t>
            </w:r>
          </w:p>
        </w:tc>
      </w:tr>
      <w:tr w:rsidR="00542355" w:rsidRPr="00542355" w14:paraId="30465213"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A7B7D0"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Valuation Resistance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4362F5"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15/24 (63%)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3813EB"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"Nickel $20k/ton &gt; mangrove math" (Astra ID)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060E537"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H2</w:t>
            </w:r>
          </w:p>
        </w:tc>
      </w:tr>
      <w:tr w:rsidR="00542355" w:rsidRPr="00542355" w14:paraId="6D494A0C"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C77208"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Capex Barriers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6E4930"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16/24 (67%)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BFA9DB1"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"EV warehouse = 3yr payback, no financing" (SME MY)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8804E50"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H3</w:t>
            </w:r>
          </w:p>
        </w:tc>
      </w:tr>
      <w:tr w:rsidR="00542355" w:rsidRPr="00542355" w14:paraId="79C625BD"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FAA9949"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Policy Leverage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EC740CA"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12/24 (50%)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D0D52DB"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"BCG training flipped C-suite mindset" (Thai tier-2)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3094B9"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H2</w:t>
            </w:r>
          </w:p>
        </w:tc>
      </w:tr>
      <w:tr w:rsidR="00542355" w:rsidRPr="00542355" w14:paraId="5907E121"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A2CE21"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Market Premiums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DCAAC52"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9/24 (38%)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418196"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"Scope 3 verification = EU price premium" (Proton)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150906"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H3</w:t>
            </w:r>
          </w:p>
        </w:tc>
      </w:tr>
    </w:tbl>
    <w:p w14:paraId="1E549770"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Case summaries</w:t>
      </w:r>
      <w:r w:rsidRPr="00542355">
        <w:rPr>
          <w:rFonts w:ascii="Times New Roman" w:hAnsi="Times New Roman" w:cs="Times New Roman"/>
          <w:sz w:val="28"/>
          <w:szCs w:val="28"/>
        </w:rPr>
        <w:t>:</w:t>
      </w:r>
    </w:p>
    <w:p w14:paraId="2E425777" w14:textId="77777777" w:rsidR="00542355" w:rsidRPr="00542355" w:rsidRDefault="00542355" w:rsidP="00542355">
      <w:pPr>
        <w:numPr>
          <w:ilvl w:val="0"/>
          <w:numId w:val="5"/>
        </w:numPr>
        <w:jc w:val="both"/>
        <w:rPr>
          <w:rFonts w:ascii="Times New Roman" w:hAnsi="Times New Roman" w:cs="Times New Roman"/>
          <w:sz w:val="28"/>
          <w:szCs w:val="28"/>
        </w:rPr>
      </w:pPr>
      <w:r w:rsidRPr="00542355">
        <w:rPr>
          <w:rFonts w:ascii="Times New Roman" w:hAnsi="Times New Roman" w:cs="Times New Roman"/>
          <w:b/>
          <w:bCs/>
          <w:sz w:val="28"/>
          <w:szCs w:val="28"/>
        </w:rPr>
        <w:t>Toyota Thailand</w:t>
      </w:r>
      <w:r w:rsidRPr="00542355">
        <w:rPr>
          <w:rFonts w:ascii="Times New Roman" w:hAnsi="Times New Roman" w:cs="Times New Roman"/>
          <w:sz w:val="28"/>
          <w:szCs w:val="28"/>
        </w:rPr>
        <w:t>: GLA=4.2, SCR=85, ROI=21% (BCG success)</w:t>
      </w:r>
    </w:p>
    <w:p w14:paraId="4222376A" w14:textId="77777777" w:rsidR="00542355" w:rsidRPr="00542355" w:rsidRDefault="00542355" w:rsidP="00542355">
      <w:pPr>
        <w:numPr>
          <w:ilvl w:val="0"/>
          <w:numId w:val="5"/>
        </w:numPr>
        <w:jc w:val="both"/>
        <w:rPr>
          <w:rFonts w:ascii="Times New Roman" w:hAnsi="Times New Roman" w:cs="Times New Roman"/>
          <w:sz w:val="28"/>
          <w:szCs w:val="28"/>
        </w:rPr>
      </w:pPr>
      <w:r w:rsidRPr="00542355">
        <w:rPr>
          <w:rFonts w:ascii="Times New Roman" w:hAnsi="Times New Roman" w:cs="Times New Roman"/>
          <w:b/>
          <w:bCs/>
          <w:sz w:val="28"/>
          <w:szCs w:val="28"/>
        </w:rPr>
        <w:t>Astra Honda Indonesia</w:t>
      </w:r>
      <w:r w:rsidRPr="00542355">
        <w:rPr>
          <w:rFonts w:ascii="Times New Roman" w:hAnsi="Times New Roman" w:cs="Times New Roman"/>
          <w:sz w:val="28"/>
          <w:szCs w:val="28"/>
        </w:rPr>
        <w:t>: GLA=2.1, SCR=54, ROI=7% (nickel shocks)</w:t>
      </w:r>
    </w:p>
    <w:p w14:paraId="35B4A66A" w14:textId="77777777" w:rsidR="00542355" w:rsidRPr="00542355" w:rsidRDefault="00542355" w:rsidP="00542355">
      <w:pPr>
        <w:numPr>
          <w:ilvl w:val="0"/>
          <w:numId w:val="5"/>
        </w:numPr>
        <w:jc w:val="both"/>
        <w:rPr>
          <w:rFonts w:ascii="Times New Roman" w:hAnsi="Times New Roman" w:cs="Times New Roman"/>
          <w:sz w:val="28"/>
          <w:szCs w:val="28"/>
        </w:rPr>
      </w:pPr>
      <w:r w:rsidRPr="00542355">
        <w:rPr>
          <w:rFonts w:ascii="Times New Roman" w:hAnsi="Times New Roman" w:cs="Times New Roman"/>
          <w:b/>
          <w:bCs/>
          <w:sz w:val="28"/>
          <w:szCs w:val="28"/>
        </w:rPr>
        <w:t>Proton Malaysia</w:t>
      </w:r>
      <w:r w:rsidRPr="00542355">
        <w:rPr>
          <w:rFonts w:ascii="Times New Roman" w:hAnsi="Times New Roman" w:cs="Times New Roman"/>
          <w:sz w:val="28"/>
          <w:szCs w:val="28"/>
        </w:rPr>
        <w:t>: GLA=3.5, SCR=76, ROI=16% (post-flood gains)</w:t>
      </w:r>
    </w:p>
    <w:p w14:paraId="6E61003B" w14:textId="77777777" w:rsidR="00542355" w:rsidRPr="000C6AEC" w:rsidRDefault="00542355" w:rsidP="000C6AEC">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9" w:name="_Toc223564489"/>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4.7 Robustness Tests</w:t>
      </w:r>
      <w:bookmarkEnd w:id="19"/>
    </w:p>
    <w:p w14:paraId="1A52BB77" w14:textId="295E08F1"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Table 7: Robustness Check Results</w:t>
      </w:r>
    </w:p>
    <w:tbl>
      <w:tblPr>
        <w:tblW w:w="5000" w:type="pct"/>
        <w:tblCellMar>
          <w:top w:w="15" w:type="dxa"/>
          <w:left w:w="15" w:type="dxa"/>
          <w:bottom w:w="15" w:type="dxa"/>
          <w:right w:w="15" w:type="dxa"/>
        </w:tblCellMar>
        <w:tblLook w:val="04A0" w:firstRow="1" w:lastRow="0" w:firstColumn="1" w:lastColumn="0" w:noHBand="0" w:noVBand="1"/>
      </w:tblPr>
      <w:tblGrid>
        <w:gridCol w:w="3272"/>
        <w:gridCol w:w="2533"/>
        <w:gridCol w:w="2085"/>
        <w:gridCol w:w="1454"/>
      </w:tblGrid>
      <w:tr w:rsidR="00542355" w:rsidRPr="00542355" w14:paraId="132EB13D" w14:textId="77777777" w:rsidTr="00542355">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2EE8A96"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lastRenderedPageBreak/>
              <w:t>Test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4478BD6"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Statistic</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7CC6796"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Pass Criteria</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7AEACF9" w14:textId="77777777" w:rsidR="00542355" w:rsidRPr="00542355" w:rsidRDefault="00542355" w:rsidP="00542355">
            <w:pPr>
              <w:jc w:val="both"/>
              <w:rPr>
                <w:rFonts w:ascii="Times New Roman" w:hAnsi="Times New Roman" w:cs="Times New Roman"/>
                <w:b/>
                <w:bCs/>
                <w:sz w:val="28"/>
                <w:szCs w:val="28"/>
              </w:rPr>
            </w:pPr>
            <w:r w:rsidRPr="00542355">
              <w:rPr>
                <w:rFonts w:ascii="Times New Roman" w:hAnsi="Times New Roman" w:cs="Times New Roman"/>
                <w:b/>
                <w:bCs/>
                <w:sz w:val="28"/>
                <w:szCs w:val="28"/>
              </w:rPr>
              <w:t>Result</w:t>
            </w:r>
          </w:p>
        </w:tc>
      </w:tr>
      <w:tr w:rsidR="00542355" w:rsidRPr="00542355" w14:paraId="015DADEC"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523067"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Harman's Single Factor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179E95"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38.2% variance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A2B98B1"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&lt;50%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58D8615"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Pass</w:t>
            </w:r>
          </w:p>
        </w:tc>
      </w:tr>
      <w:tr w:rsidR="00542355" w:rsidRPr="00542355" w14:paraId="1A399444"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E5E57E"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Endogeneity (IV: Policy Stringency)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BA1D36F"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β GLA→SCR=0.36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394BA9"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Stable ±0.05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186723"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Confirmed</w:t>
            </w:r>
          </w:p>
        </w:tc>
      </w:tr>
      <w:tr w:rsidR="00542355" w:rsidRPr="00542355" w14:paraId="6ACF4F99"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F9B36B"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Common Method Bias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64EAFB"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ΔR²&lt;0.02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979A97"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Temporal separation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C1272E9"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Pass</w:t>
            </w:r>
          </w:p>
        </w:tc>
      </w:tr>
      <w:tr w:rsidR="00542355" w:rsidRPr="00542355" w14:paraId="0411BA06"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E2DA3A2"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SME Subsample (n=212)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EB4BDB"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SCR R²=0.39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C9C769"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&gt;0.30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FF3B91F"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Replicates</w:t>
            </w:r>
          </w:p>
        </w:tc>
      </w:tr>
      <w:tr w:rsidR="00542355" w:rsidRPr="00542355" w14:paraId="7D3D85C2" w14:textId="77777777" w:rsidTr="0054235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1A30E7"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Alternative Resilience Measure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D2D4A8"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 xml:space="preserve">Pettit Index </w:t>
            </w:r>
            <w:proofErr w:type="spellStart"/>
            <w:r w:rsidRPr="00542355">
              <w:rPr>
                <w:rFonts w:ascii="Times New Roman" w:hAnsi="Times New Roman" w:cs="Times New Roman"/>
                <w:sz w:val="28"/>
                <w:szCs w:val="28"/>
              </w:rPr>
              <w:t>corr</w:t>
            </w:r>
            <w:proofErr w:type="spellEnd"/>
            <w:r w:rsidRPr="00542355">
              <w:rPr>
                <w:rFonts w:ascii="Times New Roman" w:hAnsi="Times New Roman" w:cs="Times New Roman"/>
                <w:sz w:val="28"/>
                <w:szCs w:val="28"/>
              </w:rPr>
              <w:t>=0.89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34D020"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r&gt;0.80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214414"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sz w:val="28"/>
                <w:szCs w:val="28"/>
              </w:rPr>
              <w:t>Valid</w:t>
            </w:r>
          </w:p>
        </w:tc>
      </w:tr>
    </w:tbl>
    <w:p w14:paraId="3C416328" w14:textId="77777777" w:rsidR="00542355" w:rsidRPr="000C6AEC" w:rsidRDefault="00542355" w:rsidP="000C6AEC">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0" w:name="_Toc223564490"/>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4.8 Breakthrough Finding</w:t>
      </w:r>
      <w:bookmarkEnd w:id="20"/>
    </w:p>
    <w:p w14:paraId="3385BCCA" w14:textId="77777777" w:rsidR="00542355" w:rsidRPr="00542355" w:rsidRDefault="00542355" w:rsidP="00542355">
      <w:pPr>
        <w:jc w:val="both"/>
        <w:rPr>
          <w:rFonts w:ascii="Times New Roman" w:hAnsi="Times New Roman" w:cs="Times New Roman"/>
          <w:sz w:val="28"/>
          <w:szCs w:val="28"/>
        </w:rPr>
      </w:pPr>
      <w:r w:rsidRPr="00542355">
        <w:rPr>
          <w:rFonts w:ascii="Times New Roman" w:hAnsi="Times New Roman" w:cs="Times New Roman"/>
          <w:b/>
          <w:bCs/>
          <w:sz w:val="28"/>
          <w:szCs w:val="28"/>
        </w:rPr>
        <w:t>Threshold effect</w:t>
      </w:r>
      <w:r w:rsidRPr="00542355">
        <w:rPr>
          <w:rFonts w:ascii="Times New Roman" w:hAnsi="Times New Roman" w:cs="Times New Roman"/>
          <w:sz w:val="28"/>
          <w:szCs w:val="28"/>
        </w:rPr>
        <w:t>: EEI adoption flips GLA from cost center (ROI=8% when ECA&lt;3.0) to profit center (ROI=22% when ECA&gt;4.0), explaining 67% of high-performer variance.</w:t>
      </w:r>
    </w:p>
    <w:p w14:paraId="2CA86142" w14:textId="77777777" w:rsidR="0076088A" w:rsidRPr="0076088A" w:rsidRDefault="00542355" w:rsidP="0076088A">
      <w:pPr>
        <w:rPr>
          <w:rFonts w:ascii="Times New Roman" w:hAnsi="Times New Roman" w:cs="Times New Roman"/>
          <w:sz w:val="28"/>
          <w:szCs w:val="28"/>
        </w:rPr>
      </w:pPr>
      <w:r w:rsidRPr="0076088A">
        <w:rPr>
          <w:rFonts w:ascii="Times New Roman" w:hAnsi="Times New Roman" w:cs="Times New Roman"/>
          <w:sz w:val="28"/>
          <w:szCs w:val="28"/>
        </w:rPr>
        <w:t>Summary: All hypotheses supported with strong effect sizes. Framework delivers 27% resilience uplift, 19.6% ROI, and 38% emissions reduction—most pronounced in Thailand, scalable via ECA capacity-building for SMEs.</w:t>
      </w:r>
      <w:r w:rsidR="0076088A" w:rsidRPr="0076088A">
        <w:rPr>
          <w:rFonts w:ascii="Times New Roman" w:hAnsi="Times New Roman" w:cs="Times New Roman"/>
          <w:sz w:val="28"/>
          <w:szCs w:val="28"/>
        </w:rPr>
        <w:br w:type="page"/>
      </w:r>
    </w:p>
    <w:p w14:paraId="52A7EC94" w14:textId="77777777" w:rsidR="000C6AEC" w:rsidRPr="000C6AEC" w:rsidRDefault="000C6AEC" w:rsidP="0076088A">
      <w:pPr>
        <w:pStyle w:val="Heading1"/>
        <w:rPr>
          <w:rStyle w:val="Heading1Cha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1" w:name="_Toc223564491"/>
      <w:r w:rsidRPr="000C6AEC">
        <w:rPr>
          <w:rStyle w:val="Heading1Cha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5. Discussion</w:t>
      </w:r>
      <w:bookmarkEnd w:id="21"/>
    </w:p>
    <w:p w14:paraId="0F2BCE2C" w14:textId="77777777" w:rsidR="000C6AEC" w:rsidRPr="000C6AEC" w:rsidRDefault="000C6AEC" w:rsidP="000C6AEC">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2" w:name="_Toc223564492"/>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 Theoretical Implications</w:t>
      </w:r>
      <w:bookmarkEnd w:id="22"/>
    </w:p>
    <w:p w14:paraId="1E9130BF"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The findings substantially advance supply chain management (SCM) theory by demonstrating that ecological economics (EE) principles—long siloed in environmental economics—serve as powerful moderators when integrated with green logistics practices. Hypothesis 1 confirmation (β=0.38, p&lt;0.001) validates dynamic capabilities theory (Teece et al., 1997) in ASEAN contexts, where green logistics adoption builds absorptive capacity for shocks, explaining 32% of resilience variance. This extends Pettit et al.'s (2013) SCRAI framework beyond engineering resilience (redundancy) to ecological resilience (diversity in modal options, circular flows), with top-quartile adopters achieving 78.4 vs. 51.2 SCR scores—a 53% performance gap.</w:t>
      </w:r>
    </w:p>
    <w:p w14:paraId="4307E328"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Most critically, H2's moderation effect (EEI×GLA→SCR, β=0.19, p&lt;0.01) bridges Costanza et al.'s (1997) natural capital valuation with SCM, showing full-cost accounting (FCA) and ecosystem service valuation (ESV) amplify green logistics by 100% (28% vs. 14% resilience gains). ECA's 41% mediation role operationalizes Doughnut Economics (</w:t>
      </w:r>
      <w:proofErr w:type="spellStart"/>
      <w:r w:rsidRPr="000C6AEC">
        <w:rPr>
          <w:rFonts w:ascii="Times New Roman" w:hAnsi="Times New Roman" w:cs="Times New Roman"/>
          <w:sz w:val="28"/>
          <w:szCs w:val="28"/>
        </w:rPr>
        <w:t>Raworth</w:t>
      </w:r>
      <w:proofErr w:type="spellEnd"/>
      <w:r w:rsidRPr="000C6AEC">
        <w:rPr>
          <w:rFonts w:ascii="Times New Roman" w:hAnsi="Times New Roman" w:cs="Times New Roman"/>
          <w:sz w:val="28"/>
          <w:szCs w:val="28"/>
        </w:rPr>
        <w:t xml:space="preserve">, 2017), where cognitive shifts from GDP-centric to biophysical metrics flip managerial paradigms—Thai BCG training exemplars scored ECA=3.45 vs. Indonesia's 2.89. This resolves </w:t>
      </w:r>
      <w:proofErr w:type="spellStart"/>
      <w:r w:rsidRPr="000C6AEC">
        <w:rPr>
          <w:rFonts w:ascii="Times New Roman" w:hAnsi="Times New Roman" w:cs="Times New Roman"/>
          <w:sz w:val="28"/>
          <w:szCs w:val="28"/>
        </w:rPr>
        <w:t>Seuring</w:t>
      </w:r>
      <w:proofErr w:type="spellEnd"/>
      <w:r w:rsidRPr="000C6AEC">
        <w:rPr>
          <w:rFonts w:ascii="Times New Roman" w:hAnsi="Times New Roman" w:cs="Times New Roman"/>
          <w:sz w:val="28"/>
          <w:szCs w:val="28"/>
        </w:rPr>
        <w:t xml:space="preserve"> and Müller's (2008) triple bottom line tensions, proving EE resolves the "ecology vs. economy" tradeoff through shadow pricing.</w:t>
      </w:r>
    </w:p>
    <w:p w14:paraId="20A25238" w14:textId="1C0A3682" w:rsid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H3's partial support (ROI=19.6% framework vs. 12.4% GLA-only) nuances resource-based view (RBV) theory (Barney, 1991), positioning integrated frameworks as rare, valuable, inimitable resources yielding sustained competitive advantage—but only above ECA&gt;4.0 thresholds. Simulation results (Table 4) extend system dynamics literature (</w:t>
      </w:r>
      <w:proofErr w:type="spellStart"/>
      <w:r w:rsidRPr="000C6AEC">
        <w:rPr>
          <w:rFonts w:ascii="Times New Roman" w:hAnsi="Times New Roman" w:cs="Times New Roman"/>
          <w:sz w:val="28"/>
          <w:szCs w:val="28"/>
        </w:rPr>
        <w:t>Sterman</w:t>
      </w:r>
      <w:proofErr w:type="spellEnd"/>
      <w:r w:rsidRPr="000C6AEC">
        <w:rPr>
          <w:rFonts w:ascii="Times New Roman" w:hAnsi="Times New Roman" w:cs="Times New Roman"/>
          <w:sz w:val="28"/>
          <w:szCs w:val="28"/>
        </w:rPr>
        <w:t>, 2000), quantifying reinforcing loops where resilience investments compound via reduced downtime (14 vs. 45 days recovery).</w:t>
      </w:r>
    </w:p>
    <w:p w14:paraId="0E38FC46" w14:textId="77777777" w:rsidR="000C6AEC" w:rsidRDefault="000C6AEC" w:rsidP="000C6AEC">
      <w:pPr>
        <w:ind w:firstLine="720"/>
        <w:jc w:val="both"/>
        <w:rPr>
          <w:rFonts w:ascii="Times New Roman" w:hAnsi="Times New Roman" w:cs="Times New Roman"/>
          <w:sz w:val="28"/>
          <w:szCs w:val="28"/>
        </w:rPr>
      </w:pPr>
    </w:p>
    <w:p w14:paraId="3B32B94F" w14:textId="77777777" w:rsidR="000C6AEC" w:rsidRDefault="000C6AEC" w:rsidP="000C6AEC">
      <w:pPr>
        <w:ind w:firstLine="720"/>
        <w:jc w:val="both"/>
        <w:rPr>
          <w:rFonts w:ascii="Times New Roman" w:hAnsi="Times New Roman" w:cs="Times New Roman"/>
          <w:sz w:val="28"/>
          <w:szCs w:val="28"/>
        </w:rPr>
      </w:pPr>
    </w:p>
    <w:p w14:paraId="23FBE82A" w14:textId="77777777" w:rsidR="000C6AEC" w:rsidRDefault="000C6AEC" w:rsidP="000C6AEC">
      <w:pPr>
        <w:ind w:firstLine="720"/>
        <w:jc w:val="both"/>
        <w:rPr>
          <w:rFonts w:ascii="Times New Roman" w:hAnsi="Times New Roman" w:cs="Times New Roman"/>
          <w:sz w:val="28"/>
          <w:szCs w:val="28"/>
        </w:rPr>
      </w:pPr>
    </w:p>
    <w:p w14:paraId="12064C48" w14:textId="77777777" w:rsidR="000C6AEC" w:rsidRDefault="000C6AEC" w:rsidP="000C6AEC">
      <w:pPr>
        <w:ind w:firstLine="720"/>
        <w:jc w:val="both"/>
        <w:rPr>
          <w:rFonts w:ascii="Times New Roman" w:hAnsi="Times New Roman" w:cs="Times New Roman"/>
          <w:sz w:val="28"/>
          <w:szCs w:val="28"/>
        </w:rPr>
      </w:pPr>
    </w:p>
    <w:p w14:paraId="16A92267" w14:textId="77777777" w:rsidR="000C6AEC" w:rsidRPr="000C6AEC" w:rsidRDefault="000C6AEC" w:rsidP="000C6AEC">
      <w:pPr>
        <w:ind w:firstLine="720"/>
        <w:jc w:val="both"/>
        <w:rPr>
          <w:rFonts w:ascii="Times New Roman" w:hAnsi="Times New Roman" w:cs="Times New Roman"/>
          <w:sz w:val="28"/>
          <w:szCs w:val="28"/>
        </w:rPr>
      </w:pPr>
    </w:p>
    <w:p w14:paraId="71997E64" w14:textId="155DDDC1"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lastRenderedPageBreak/>
        <w:t xml:space="preserve">Table </w:t>
      </w:r>
      <w:r w:rsidR="007805F9">
        <w:rPr>
          <w:rFonts w:ascii="Times New Roman" w:hAnsi="Times New Roman" w:cs="Times New Roman"/>
          <w:b/>
          <w:bCs/>
          <w:sz w:val="28"/>
          <w:szCs w:val="28"/>
        </w:rPr>
        <w:t>8</w:t>
      </w:r>
      <w:r w:rsidRPr="000C6AEC">
        <w:rPr>
          <w:rFonts w:ascii="Times New Roman" w:hAnsi="Times New Roman" w:cs="Times New Roman"/>
          <w:b/>
          <w:bCs/>
          <w:sz w:val="28"/>
          <w:szCs w:val="28"/>
        </w:rPr>
        <w:t>: Theoretical Contributions by Paradigm</w:t>
      </w:r>
    </w:p>
    <w:tbl>
      <w:tblPr>
        <w:tblW w:w="8711"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353"/>
        <w:gridCol w:w="1797"/>
        <w:gridCol w:w="2480"/>
        <w:gridCol w:w="2081"/>
      </w:tblGrid>
      <w:tr w:rsidR="000C6AEC" w:rsidRPr="000C6AEC" w14:paraId="77689B8A" w14:textId="77777777" w:rsidTr="000C6AEC">
        <w:trPr>
          <w:trHeight w:val="452"/>
          <w:tblHeade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892AC47" w14:textId="77777777" w:rsidR="000C6AEC" w:rsidRPr="000C6AEC" w:rsidRDefault="000C6AEC" w:rsidP="000C6AEC">
            <w:pPr>
              <w:jc w:val="both"/>
              <w:rPr>
                <w:rFonts w:ascii="Times New Roman" w:hAnsi="Times New Roman" w:cs="Times New Roman"/>
                <w:b/>
                <w:bCs/>
                <w:sz w:val="28"/>
                <w:szCs w:val="28"/>
              </w:rPr>
            </w:pPr>
            <w:r w:rsidRPr="000C6AEC">
              <w:rPr>
                <w:rFonts w:ascii="Times New Roman" w:hAnsi="Times New Roman" w:cs="Times New Roman"/>
                <w:b/>
                <w:bCs/>
                <w:sz w:val="28"/>
                <w:szCs w:val="28"/>
              </w:rPr>
              <w:t>Paradigm</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DE7F3A4" w14:textId="77777777" w:rsidR="000C6AEC" w:rsidRPr="000C6AEC" w:rsidRDefault="000C6AEC" w:rsidP="000C6AEC">
            <w:pPr>
              <w:jc w:val="both"/>
              <w:rPr>
                <w:rFonts w:ascii="Times New Roman" w:hAnsi="Times New Roman" w:cs="Times New Roman"/>
                <w:b/>
                <w:bCs/>
                <w:sz w:val="28"/>
                <w:szCs w:val="28"/>
              </w:rPr>
            </w:pPr>
            <w:r w:rsidRPr="000C6AEC">
              <w:rPr>
                <w:rFonts w:ascii="Times New Roman" w:hAnsi="Times New Roman" w:cs="Times New Roman"/>
                <w:b/>
                <w:bCs/>
                <w:sz w:val="28"/>
                <w:szCs w:val="28"/>
              </w:rPr>
              <w:t>Gap Addressed</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67A97DE" w14:textId="77777777" w:rsidR="000C6AEC" w:rsidRPr="000C6AEC" w:rsidRDefault="000C6AEC" w:rsidP="000C6AEC">
            <w:pPr>
              <w:jc w:val="both"/>
              <w:rPr>
                <w:rFonts w:ascii="Times New Roman" w:hAnsi="Times New Roman" w:cs="Times New Roman"/>
                <w:b/>
                <w:bCs/>
                <w:sz w:val="28"/>
                <w:szCs w:val="28"/>
              </w:rPr>
            </w:pPr>
            <w:r w:rsidRPr="000C6AEC">
              <w:rPr>
                <w:rFonts w:ascii="Times New Roman" w:hAnsi="Times New Roman" w:cs="Times New Roman"/>
                <w:b/>
                <w:bCs/>
                <w:sz w:val="28"/>
                <w:szCs w:val="28"/>
              </w:rPr>
              <w:t>Contribution</w:t>
            </w:r>
          </w:p>
        </w:tc>
        <w:tc>
          <w:tcPr>
            <w:tcW w:w="0" w:type="auto"/>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08210FD2" w14:textId="77777777" w:rsidR="000C6AEC" w:rsidRPr="000C6AEC" w:rsidRDefault="000C6AEC" w:rsidP="000C6AEC">
            <w:pPr>
              <w:jc w:val="both"/>
              <w:rPr>
                <w:rFonts w:ascii="Times New Roman" w:hAnsi="Times New Roman" w:cs="Times New Roman"/>
                <w:b/>
                <w:bCs/>
                <w:sz w:val="28"/>
                <w:szCs w:val="28"/>
              </w:rPr>
            </w:pPr>
            <w:r w:rsidRPr="000C6AEC">
              <w:rPr>
                <w:rFonts w:ascii="Times New Roman" w:hAnsi="Times New Roman" w:cs="Times New Roman"/>
                <w:b/>
                <w:bCs/>
                <w:sz w:val="28"/>
                <w:szCs w:val="28"/>
              </w:rPr>
              <w:t>Key Finding</w:t>
            </w:r>
          </w:p>
        </w:tc>
      </w:tr>
      <w:tr w:rsidR="000C6AEC" w:rsidRPr="000C6AEC" w14:paraId="48986BFB" w14:textId="77777777" w:rsidTr="000C6AEC">
        <w:trPr>
          <w:trHeight w:val="760"/>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323FC71"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Dynamic Capabilities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6981F8B"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ASEAN empirics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4FEDC95"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Green logistics as resilience capability</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0611CBE"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β=0.38 GLA→SCR</w:t>
            </w:r>
          </w:p>
        </w:tc>
      </w:tr>
      <w:tr w:rsidR="000C6AEC" w:rsidRPr="000C6AEC" w14:paraId="223FD72E" w14:textId="77777777" w:rsidTr="000C6AEC">
        <w:trPr>
          <w:trHeight w:val="760"/>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A73568D"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Natural Capital Accounting</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5CC14F2"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SCM application</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14C6AD3"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EEI doubles GLA effectiveness</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3BAACB23"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+14% resilience moderation</w:t>
            </w:r>
          </w:p>
        </w:tc>
      </w:tr>
      <w:tr w:rsidR="000C6AEC" w:rsidRPr="000C6AEC" w14:paraId="1B477CF0" w14:textId="77777777" w:rsidTr="000C6AEC">
        <w:trPr>
          <w:trHeight w:val="768"/>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62ED4E9"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RBV/Sustained Advantage</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DAA8FEA"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ROI proof</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35FD05D"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Framework &gt; standalone SSCM</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DC936C9"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19.6% vs 12.4% ROI</w:t>
            </w:r>
          </w:p>
        </w:tc>
      </w:tr>
      <w:tr w:rsidR="000C6AEC" w:rsidRPr="000C6AEC" w14:paraId="3CBDC120" w14:textId="77777777" w:rsidTr="000C6AEC">
        <w:trPr>
          <w:trHeight w:val="752"/>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2090B458"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Socio-Ecological Systems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6A634D70"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Supply chain nesting</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7E9EA7BD"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 xml:space="preserve">ECA threshold flips </w:t>
            </w:r>
            <w:proofErr w:type="spellStart"/>
            <w:r w:rsidRPr="000C6AEC">
              <w:rPr>
                <w:rFonts w:ascii="Times New Roman" w:hAnsi="Times New Roman" w:cs="Times New Roman"/>
                <w:sz w:val="28"/>
                <w:szCs w:val="28"/>
              </w:rPr>
              <w:t>cost→profit</w:t>
            </w:r>
            <w:proofErr w:type="spellEnd"/>
          </w:p>
        </w:tc>
        <w:tc>
          <w:tcPr>
            <w:tcW w:w="0" w:type="auto"/>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14:paraId="2795E6A3"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ROI 8%→22% at ECA&gt;4.0</w:t>
            </w:r>
          </w:p>
        </w:tc>
      </w:tr>
    </w:tbl>
    <w:p w14:paraId="56A6AE28" w14:textId="77777777" w:rsidR="000C6AEC" w:rsidRPr="000C6AEC" w:rsidRDefault="000C6AEC" w:rsidP="000C6AEC">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3" w:name="_Toc223564493"/>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5.2 Contextual Interpretation: ASEAN Automotive Realities</w:t>
      </w:r>
      <w:bookmarkEnd w:id="23"/>
    </w:p>
    <w:p w14:paraId="537423F3"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b/>
          <w:bCs/>
          <w:sz w:val="28"/>
          <w:szCs w:val="28"/>
        </w:rPr>
        <w:t>Thailand's leadership</w:t>
      </w:r>
      <w:r w:rsidRPr="000C6AEC">
        <w:rPr>
          <w:rFonts w:ascii="Times New Roman" w:hAnsi="Times New Roman" w:cs="Times New Roman"/>
          <w:sz w:val="28"/>
          <w:szCs w:val="28"/>
        </w:rPr>
        <w:t> (GLA=3.24, ROI=17.2%) embodies policy-induced path dependency: BCG Model's mandatory ESG reporting since 2021 created institutional isomorphism (DiMaggio &amp; Powell, 1983), with Toyota's SCR=85 validating mimetic pressures. Qualitative data reveals "flood-forced rail pivots" as punctuated equilibrium events (</w:t>
      </w:r>
      <w:proofErr w:type="spellStart"/>
      <w:r w:rsidRPr="000C6AEC">
        <w:rPr>
          <w:rFonts w:ascii="Times New Roman" w:hAnsi="Times New Roman" w:cs="Times New Roman"/>
          <w:sz w:val="28"/>
          <w:szCs w:val="28"/>
        </w:rPr>
        <w:t>Gersick</w:t>
      </w:r>
      <w:proofErr w:type="spellEnd"/>
      <w:r w:rsidRPr="000C6AEC">
        <w:rPr>
          <w:rFonts w:ascii="Times New Roman" w:hAnsi="Times New Roman" w:cs="Times New Roman"/>
          <w:sz w:val="28"/>
          <w:szCs w:val="28"/>
        </w:rPr>
        <w:t>, 1991), accelerating adoption absent pre-existing EEI.</w:t>
      </w:r>
    </w:p>
    <w:p w14:paraId="2993FEF0"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b/>
          <w:bCs/>
          <w:sz w:val="28"/>
          <w:szCs w:val="28"/>
        </w:rPr>
        <w:t>Indonesia's lag</w:t>
      </w:r>
      <w:r w:rsidRPr="000C6AEC">
        <w:rPr>
          <w:rFonts w:ascii="Times New Roman" w:hAnsi="Times New Roman" w:cs="Times New Roman"/>
          <w:sz w:val="28"/>
          <w:szCs w:val="28"/>
        </w:rPr>
        <w:t xml:space="preserve"> (EEI=1.12, ROI=9.1%) reflects commodity curse dynamics: nickel's $20k/ton price overshadows ESV ("mangrove math"), creating cognitive lock-in despite 35% ASEAN production share. Astra Honda's SCR=54 confirms resource dependence theory (Pfeffer &amp; </w:t>
      </w:r>
      <w:proofErr w:type="spellStart"/>
      <w:r w:rsidRPr="000C6AEC">
        <w:rPr>
          <w:rFonts w:ascii="Times New Roman" w:hAnsi="Times New Roman" w:cs="Times New Roman"/>
          <w:sz w:val="28"/>
          <w:szCs w:val="28"/>
        </w:rPr>
        <w:t>Salancik</w:t>
      </w:r>
      <w:proofErr w:type="spellEnd"/>
      <w:r w:rsidRPr="000C6AEC">
        <w:rPr>
          <w:rFonts w:ascii="Times New Roman" w:hAnsi="Times New Roman" w:cs="Times New Roman"/>
          <w:sz w:val="28"/>
          <w:szCs w:val="28"/>
        </w:rPr>
        <w:t xml:space="preserve">, 1978)—downstream </w:t>
      </w:r>
      <w:proofErr w:type="gramStart"/>
      <w:r w:rsidRPr="000C6AEC">
        <w:rPr>
          <w:rFonts w:ascii="Times New Roman" w:hAnsi="Times New Roman" w:cs="Times New Roman"/>
          <w:sz w:val="28"/>
          <w:szCs w:val="28"/>
        </w:rPr>
        <w:t>assemblers</w:t>
      </w:r>
      <w:proofErr w:type="gramEnd"/>
      <w:r w:rsidRPr="000C6AEC">
        <w:rPr>
          <w:rFonts w:ascii="Times New Roman" w:hAnsi="Times New Roman" w:cs="Times New Roman"/>
          <w:sz w:val="28"/>
          <w:szCs w:val="28"/>
        </w:rPr>
        <w:t xml:space="preserve"> hostage to volatile upstream mining amid rupiah crashes and 2025 export bans.</w:t>
      </w:r>
    </w:p>
    <w:p w14:paraId="2DA818FA"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b/>
          <w:bCs/>
          <w:sz w:val="28"/>
          <w:szCs w:val="28"/>
        </w:rPr>
        <w:t>Malaysia's adaptation</w:t>
      </w:r>
      <w:r w:rsidRPr="000C6AEC">
        <w:rPr>
          <w:rFonts w:ascii="Times New Roman" w:hAnsi="Times New Roman" w:cs="Times New Roman"/>
          <w:sz w:val="28"/>
          <w:szCs w:val="28"/>
        </w:rPr>
        <w:t xml:space="preserve"> (SCR=68.2) exemplifies learning from crisis: 2021 Penang floods ($2.5B losses) triggered double-loop learning (Argyris &amp; Schön, 1978), with Proton's blockchain Scope 3 verification unlocking EU premiums. Yet </w:t>
      </w:r>
      <w:r w:rsidRPr="000C6AEC">
        <w:rPr>
          <w:rFonts w:ascii="Times New Roman" w:hAnsi="Times New Roman" w:cs="Times New Roman"/>
          <w:sz w:val="28"/>
          <w:szCs w:val="28"/>
        </w:rPr>
        <w:lastRenderedPageBreak/>
        <w:t>SME capex barriers (67% interview theme) signal financing market failures characteristic of middle-income traps.</w:t>
      </w:r>
    </w:p>
    <w:p w14:paraId="24D2F5DB"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Country patterns align with institutional theory: Thailand's coercive isomorphism (regulation), Malaysia's normative (professional networks post-flood), Indonesia's none—explaining path coefficient variances (Thailand β=0.45 vs. Indonesia β=0.28).</w:t>
      </w:r>
    </w:p>
    <w:p w14:paraId="4C2E8D87" w14:textId="77777777" w:rsidR="000C6AEC" w:rsidRPr="000C6AEC" w:rsidRDefault="000C6AEC" w:rsidP="000C6AEC">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4" w:name="_Toc223564494"/>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5.3 Managerial Implications</w:t>
      </w:r>
      <w:bookmarkEnd w:id="24"/>
    </w:p>
    <w:p w14:paraId="30F84C03"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Adoption roadmap</w:t>
      </w:r>
      <w:r w:rsidRPr="000C6AEC">
        <w:rPr>
          <w:rFonts w:ascii="Times New Roman" w:hAnsi="Times New Roman" w:cs="Times New Roman"/>
          <w:sz w:val="28"/>
          <w:szCs w:val="28"/>
        </w:rPr>
        <w:t> for 80% SME suppliers:</w:t>
      </w:r>
    </w:p>
    <w:p w14:paraId="4088CC02" w14:textId="77777777" w:rsidR="000C6AEC" w:rsidRPr="000C6AEC" w:rsidRDefault="000C6AEC" w:rsidP="000C6AEC">
      <w:pPr>
        <w:numPr>
          <w:ilvl w:val="0"/>
          <w:numId w:val="6"/>
        </w:numPr>
        <w:jc w:val="both"/>
        <w:rPr>
          <w:rFonts w:ascii="Times New Roman" w:hAnsi="Times New Roman" w:cs="Times New Roman"/>
          <w:sz w:val="28"/>
          <w:szCs w:val="28"/>
        </w:rPr>
      </w:pPr>
      <w:r w:rsidRPr="000C6AEC">
        <w:rPr>
          <w:rFonts w:ascii="Times New Roman" w:hAnsi="Times New Roman" w:cs="Times New Roman"/>
          <w:b/>
          <w:bCs/>
          <w:sz w:val="28"/>
          <w:szCs w:val="28"/>
        </w:rPr>
        <w:t>Phase 1 (0-12 months)</w:t>
      </w:r>
      <w:r w:rsidRPr="000C6AEC">
        <w:rPr>
          <w:rFonts w:ascii="Times New Roman" w:hAnsi="Times New Roman" w:cs="Times New Roman"/>
          <w:sz w:val="28"/>
          <w:szCs w:val="28"/>
        </w:rPr>
        <w:t>: Modal shift pilots (rail&gt;30% volume) yield quickest ROI (12.4%)</w:t>
      </w:r>
    </w:p>
    <w:p w14:paraId="5B07360D" w14:textId="77777777" w:rsidR="000C6AEC" w:rsidRPr="000C6AEC" w:rsidRDefault="000C6AEC" w:rsidP="000C6AEC">
      <w:pPr>
        <w:numPr>
          <w:ilvl w:val="0"/>
          <w:numId w:val="6"/>
        </w:numPr>
        <w:jc w:val="both"/>
        <w:rPr>
          <w:rFonts w:ascii="Times New Roman" w:hAnsi="Times New Roman" w:cs="Times New Roman"/>
          <w:sz w:val="28"/>
          <w:szCs w:val="28"/>
        </w:rPr>
      </w:pPr>
      <w:r w:rsidRPr="000C6AEC">
        <w:rPr>
          <w:rFonts w:ascii="Times New Roman" w:hAnsi="Times New Roman" w:cs="Times New Roman"/>
          <w:b/>
          <w:bCs/>
          <w:sz w:val="28"/>
          <w:szCs w:val="28"/>
        </w:rPr>
        <w:t>Phase 2 (12-24 months)</w:t>
      </w:r>
      <w:r w:rsidRPr="000C6AEC">
        <w:rPr>
          <w:rFonts w:ascii="Times New Roman" w:hAnsi="Times New Roman" w:cs="Times New Roman"/>
          <w:sz w:val="28"/>
          <w:szCs w:val="28"/>
        </w:rPr>
        <w:t>: FCA training flips ECA&gt;4.0, unlocking 28% resilience bonus</w:t>
      </w:r>
    </w:p>
    <w:p w14:paraId="3EB17BF2" w14:textId="77777777" w:rsidR="000C6AEC" w:rsidRPr="000C6AEC" w:rsidRDefault="000C6AEC" w:rsidP="000C6AEC">
      <w:pPr>
        <w:numPr>
          <w:ilvl w:val="0"/>
          <w:numId w:val="6"/>
        </w:numPr>
        <w:jc w:val="both"/>
        <w:rPr>
          <w:rFonts w:ascii="Times New Roman" w:hAnsi="Times New Roman" w:cs="Times New Roman"/>
          <w:sz w:val="28"/>
          <w:szCs w:val="28"/>
        </w:rPr>
      </w:pPr>
      <w:r w:rsidRPr="000C6AEC">
        <w:rPr>
          <w:rFonts w:ascii="Times New Roman" w:hAnsi="Times New Roman" w:cs="Times New Roman"/>
          <w:b/>
          <w:bCs/>
          <w:sz w:val="28"/>
          <w:szCs w:val="28"/>
        </w:rPr>
        <w:t>Phase 3 (24-36 months)</w:t>
      </w:r>
      <w:r w:rsidRPr="000C6AEC">
        <w:rPr>
          <w:rFonts w:ascii="Times New Roman" w:hAnsi="Times New Roman" w:cs="Times New Roman"/>
          <w:sz w:val="28"/>
          <w:szCs w:val="28"/>
        </w:rPr>
        <w:t>: ESV for tier-2 nickel/rubber + blockchain = 19.6% framework ROI</w:t>
      </w:r>
    </w:p>
    <w:p w14:paraId="39ECC9FB"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SME toolkit</w:t>
      </w:r>
      <w:r w:rsidRPr="000C6AEC">
        <w:rPr>
          <w:rFonts w:ascii="Times New Roman" w:hAnsi="Times New Roman" w:cs="Times New Roman"/>
          <w:sz w:val="28"/>
          <w:szCs w:val="28"/>
        </w:rPr>
        <w:t>:</w:t>
      </w:r>
    </w:p>
    <w:p w14:paraId="4C0D7E92" w14:textId="77777777" w:rsidR="000C6AEC" w:rsidRPr="000C6AEC" w:rsidRDefault="000C6AEC" w:rsidP="000C6AEC">
      <w:pPr>
        <w:numPr>
          <w:ilvl w:val="0"/>
          <w:numId w:val="7"/>
        </w:numPr>
        <w:jc w:val="both"/>
        <w:rPr>
          <w:rFonts w:ascii="Times New Roman" w:hAnsi="Times New Roman" w:cs="Times New Roman"/>
          <w:sz w:val="28"/>
          <w:szCs w:val="28"/>
        </w:rPr>
      </w:pPr>
      <w:r w:rsidRPr="000C6AEC">
        <w:rPr>
          <w:rFonts w:ascii="Times New Roman" w:hAnsi="Times New Roman" w:cs="Times New Roman"/>
          <w:b/>
          <w:bCs/>
          <w:sz w:val="28"/>
          <w:szCs w:val="28"/>
        </w:rPr>
        <w:t>Quick wins</w:t>
      </w:r>
      <w:r w:rsidRPr="000C6AEC">
        <w:rPr>
          <w:rFonts w:ascii="Times New Roman" w:hAnsi="Times New Roman" w:cs="Times New Roman"/>
          <w:sz w:val="28"/>
          <w:szCs w:val="28"/>
        </w:rPr>
        <w:t>: Carbon-optimal routing (AI telematics, -15% fuel)</w:t>
      </w:r>
    </w:p>
    <w:p w14:paraId="3CBD7F74" w14:textId="77777777" w:rsidR="000C6AEC" w:rsidRPr="000C6AEC" w:rsidRDefault="000C6AEC" w:rsidP="000C6AEC">
      <w:pPr>
        <w:numPr>
          <w:ilvl w:val="0"/>
          <w:numId w:val="7"/>
        </w:numPr>
        <w:jc w:val="both"/>
        <w:rPr>
          <w:rFonts w:ascii="Times New Roman" w:hAnsi="Times New Roman" w:cs="Times New Roman"/>
          <w:sz w:val="28"/>
          <w:szCs w:val="28"/>
        </w:rPr>
      </w:pPr>
      <w:r w:rsidRPr="000C6AEC">
        <w:rPr>
          <w:rFonts w:ascii="Times New Roman" w:hAnsi="Times New Roman" w:cs="Times New Roman"/>
          <w:b/>
          <w:bCs/>
          <w:sz w:val="28"/>
          <w:szCs w:val="28"/>
        </w:rPr>
        <w:t>Capex solutions</w:t>
      </w:r>
      <w:r w:rsidRPr="000C6AEC">
        <w:rPr>
          <w:rFonts w:ascii="Times New Roman" w:hAnsi="Times New Roman" w:cs="Times New Roman"/>
          <w:sz w:val="28"/>
          <w:szCs w:val="28"/>
        </w:rPr>
        <w:t>: Leasing electrified warehouses (3yr payback)</w:t>
      </w:r>
    </w:p>
    <w:p w14:paraId="4CCF6BDE" w14:textId="77777777" w:rsidR="000C6AEC" w:rsidRPr="000C6AEC" w:rsidRDefault="000C6AEC" w:rsidP="000C6AEC">
      <w:pPr>
        <w:numPr>
          <w:ilvl w:val="0"/>
          <w:numId w:val="7"/>
        </w:numPr>
        <w:jc w:val="both"/>
        <w:rPr>
          <w:rFonts w:ascii="Times New Roman" w:hAnsi="Times New Roman" w:cs="Times New Roman"/>
          <w:sz w:val="28"/>
          <w:szCs w:val="28"/>
        </w:rPr>
      </w:pPr>
      <w:r w:rsidRPr="000C6AEC">
        <w:rPr>
          <w:rFonts w:ascii="Times New Roman" w:hAnsi="Times New Roman" w:cs="Times New Roman"/>
          <w:b/>
          <w:bCs/>
          <w:sz w:val="28"/>
          <w:szCs w:val="28"/>
        </w:rPr>
        <w:t>Verification</w:t>
      </w:r>
      <w:r w:rsidRPr="000C6AEC">
        <w:rPr>
          <w:rFonts w:ascii="Times New Roman" w:hAnsi="Times New Roman" w:cs="Times New Roman"/>
          <w:sz w:val="28"/>
          <w:szCs w:val="28"/>
        </w:rPr>
        <w:t>: CDP Supply Chain Program for Scope 3 premiums</w:t>
      </w:r>
    </w:p>
    <w:p w14:paraId="4C69FE9C"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OEM leverage</w:t>
      </w:r>
      <w:r w:rsidRPr="000C6AEC">
        <w:rPr>
          <w:rFonts w:ascii="Times New Roman" w:hAnsi="Times New Roman" w:cs="Times New Roman"/>
          <w:sz w:val="28"/>
          <w:szCs w:val="28"/>
        </w:rPr>
        <w:t>: Supplier scorecards weighted 40% green logistics + 20% EEI maturity. Toyota model: BCG training cascades to 200 tier-2 SMEs.</w:t>
      </w:r>
    </w:p>
    <w:p w14:paraId="19599425"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Disruption playbook</w:t>
      </w:r>
      <w:r w:rsidRPr="000C6AEC">
        <w:rPr>
          <w:rFonts w:ascii="Times New Roman" w:hAnsi="Times New Roman" w:cs="Times New Roman"/>
          <w:sz w:val="28"/>
          <w:szCs w:val="28"/>
        </w:rPr>
        <w:t>:</w:t>
      </w:r>
    </w:p>
    <w:p w14:paraId="1C951161"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Flood (Thailand): Pre-position rail buffers (+14 days recovery)</w:t>
      </w:r>
    </w:p>
    <w:p w14:paraId="1DC88A16"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Nickel shock (Indonesia): ESV diversification contracts (-15% ROI risk)</w:t>
      </w:r>
    </w:p>
    <w:p w14:paraId="31662B49"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Currency crash: Local content + CE recycling (Proton strategy)</w:t>
      </w:r>
    </w:p>
    <w:p w14:paraId="37975953" w14:textId="77777777" w:rsidR="000C6AEC" w:rsidRPr="000C6AEC" w:rsidRDefault="000C6AEC" w:rsidP="000C6AEC">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5" w:name="_Toc223564495"/>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5.4 Policy Recommendations</w:t>
      </w:r>
      <w:bookmarkEnd w:id="25"/>
    </w:p>
    <w:p w14:paraId="444A9BC5"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Regional harmonization</w:t>
      </w:r>
      <w:r w:rsidRPr="000C6AEC">
        <w:rPr>
          <w:rFonts w:ascii="Times New Roman" w:hAnsi="Times New Roman" w:cs="Times New Roman"/>
          <w:sz w:val="28"/>
          <w:szCs w:val="28"/>
        </w:rPr>
        <w:t> via ASEAN Framework on Supply Chain Resilience (2026):</w:t>
      </w:r>
    </w:p>
    <w:p w14:paraId="7D46AD81" w14:textId="77777777" w:rsidR="000C6AEC" w:rsidRPr="000C6AEC" w:rsidRDefault="000C6AEC" w:rsidP="000C6AEC">
      <w:pPr>
        <w:numPr>
          <w:ilvl w:val="0"/>
          <w:numId w:val="8"/>
        </w:numPr>
        <w:jc w:val="both"/>
        <w:rPr>
          <w:rFonts w:ascii="Times New Roman" w:hAnsi="Times New Roman" w:cs="Times New Roman"/>
          <w:sz w:val="28"/>
          <w:szCs w:val="28"/>
        </w:rPr>
      </w:pPr>
      <w:r w:rsidRPr="000C6AEC">
        <w:rPr>
          <w:rFonts w:ascii="Times New Roman" w:hAnsi="Times New Roman" w:cs="Times New Roman"/>
          <w:b/>
          <w:bCs/>
          <w:sz w:val="28"/>
          <w:szCs w:val="28"/>
        </w:rPr>
        <w:t>Carbon Border Adjustment Mechanism (CBAM)</w:t>
      </w:r>
      <w:r w:rsidRPr="000C6AEC">
        <w:rPr>
          <w:rFonts w:ascii="Times New Roman" w:hAnsi="Times New Roman" w:cs="Times New Roman"/>
          <w:sz w:val="28"/>
          <w:szCs w:val="28"/>
        </w:rPr>
        <w:t>: $50/</w:t>
      </w:r>
      <w:proofErr w:type="spellStart"/>
      <w:r w:rsidRPr="000C6AEC">
        <w:rPr>
          <w:rFonts w:ascii="Times New Roman" w:hAnsi="Times New Roman" w:cs="Times New Roman"/>
          <w:sz w:val="28"/>
          <w:szCs w:val="28"/>
        </w:rPr>
        <w:t>tCO₂e</w:t>
      </w:r>
      <w:proofErr w:type="spellEnd"/>
      <w:r w:rsidRPr="000C6AEC">
        <w:rPr>
          <w:rFonts w:ascii="Times New Roman" w:hAnsi="Times New Roman" w:cs="Times New Roman"/>
          <w:sz w:val="28"/>
          <w:szCs w:val="28"/>
        </w:rPr>
        <w:t xml:space="preserve"> floor aligns Thai/Indonesian costs</w:t>
      </w:r>
    </w:p>
    <w:p w14:paraId="1B7B1F02" w14:textId="77777777" w:rsidR="000C6AEC" w:rsidRPr="000C6AEC" w:rsidRDefault="000C6AEC" w:rsidP="000C6AEC">
      <w:pPr>
        <w:numPr>
          <w:ilvl w:val="0"/>
          <w:numId w:val="8"/>
        </w:numPr>
        <w:jc w:val="both"/>
        <w:rPr>
          <w:rFonts w:ascii="Times New Roman" w:hAnsi="Times New Roman" w:cs="Times New Roman"/>
          <w:sz w:val="28"/>
          <w:szCs w:val="28"/>
        </w:rPr>
      </w:pPr>
      <w:r w:rsidRPr="000C6AEC">
        <w:rPr>
          <w:rFonts w:ascii="Times New Roman" w:hAnsi="Times New Roman" w:cs="Times New Roman"/>
          <w:b/>
          <w:bCs/>
          <w:sz w:val="28"/>
          <w:szCs w:val="28"/>
        </w:rPr>
        <w:lastRenderedPageBreak/>
        <w:t>EEI Capacity Fund</w:t>
      </w:r>
      <w:r w:rsidRPr="000C6AEC">
        <w:rPr>
          <w:rFonts w:ascii="Times New Roman" w:hAnsi="Times New Roman" w:cs="Times New Roman"/>
          <w:sz w:val="28"/>
          <w:szCs w:val="28"/>
        </w:rPr>
        <w:t>: $500M for SME FCA/ESV training (Thai-German model scaled)</w:t>
      </w:r>
    </w:p>
    <w:p w14:paraId="5D614DFE" w14:textId="77777777" w:rsidR="000C6AEC" w:rsidRPr="000C6AEC" w:rsidRDefault="000C6AEC" w:rsidP="000C6AEC">
      <w:pPr>
        <w:numPr>
          <w:ilvl w:val="0"/>
          <w:numId w:val="8"/>
        </w:numPr>
        <w:jc w:val="both"/>
        <w:rPr>
          <w:rFonts w:ascii="Times New Roman" w:hAnsi="Times New Roman" w:cs="Times New Roman"/>
          <w:sz w:val="28"/>
          <w:szCs w:val="28"/>
        </w:rPr>
      </w:pPr>
      <w:r w:rsidRPr="000C6AEC">
        <w:rPr>
          <w:rFonts w:ascii="Times New Roman" w:hAnsi="Times New Roman" w:cs="Times New Roman"/>
          <w:b/>
          <w:bCs/>
          <w:sz w:val="28"/>
          <w:szCs w:val="28"/>
        </w:rPr>
        <w:t>Green Corridor Standards</w:t>
      </w:r>
      <w:r w:rsidRPr="000C6AEC">
        <w:rPr>
          <w:rFonts w:ascii="Times New Roman" w:hAnsi="Times New Roman" w:cs="Times New Roman"/>
          <w:sz w:val="28"/>
          <w:szCs w:val="28"/>
        </w:rPr>
        <w:t>: Harmonized ELV recycling (target 85% vs. current 70%)</w:t>
      </w:r>
    </w:p>
    <w:p w14:paraId="78F9E0F0" w14:textId="77777777" w:rsidR="000C6AEC" w:rsidRPr="000C6AEC" w:rsidRDefault="000C6AEC" w:rsidP="000C6AEC">
      <w:pPr>
        <w:numPr>
          <w:ilvl w:val="0"/>
          <w:numId w:val="8"/>
        </w:numPr>
        <w:jc w:val="both"/>
        <w:rPr>
          <w:rFonts w:ascii="Times New Roman" w:hAnsi="Times New Roman" w:cs="Times New Roman"/>
          <w:sz w:val="28"/>
          <w:szCs w:val="28"/>
        </w:rPr>
      </w:pPr>
      <w:r w:rsidRPr="000C6AEC">
        <w:rPr>
          <w:rFonts w:ascii="Times New Roman" w:hAnsi="Times New Roman" w:cs="Times New Roman"/>
          <w:b/>
          <w:bCs/>
          <w:sz w:val="28"/>
          <w:szCs w:val="28"/>
        </w:rPr>
        <w:t>Nickel Pact</w:t>
      </w:r>
      <w:r w:rsidRPr="000C6AEC">
        <w:rPr>
          <w:rFonts w:ascii="Times New Roman" w:hAnsi="Times New Roman" w:cs="Times New Roman"/>
          <w:sz w:val="28"/>
          <w:szCs w:val="28"/>
        </w:rPr>
        <w:t>: ESV quotas for mining leases (Indonesia deforestation offset)</w:t>
      </w:r>
    </w:p>
    <w:p w14:paraId="253744F6"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National tailoring</w:t>
      </w:r>
      <w:r w:rsidRPr="000C6AEC">
        <w:rPr>
          <w:rFonts w:ascii="Times New Roman" w:hAnsi="Times New Roman" w:cs="Times New Roman"/>
          <w:sz w:val="28"/>
          <w:szCs w:val="28"/>
        </w:rPr>
        <w:t>:</w:t>
      </w:r>
    </w:p>
    <w:p w14:paraId="545D48E3" w14:textId="77777777" w:rsidR="000C6AEC" w:rsidRPr="000C6AEC" w:rsidRDefault="000C6AEC" w:rsidP="000C6AEC">
      <w:pPr>
        <w:numPr>
          <w:ilvl w:val="0"/>
          <w:numId w:val="9"/>
        </w:numPr>
        <w:jc w:val="both"/>
        <w:rPr>
          <w:rFonts w:ascii="Times New Roman" w:hAnsi="Times New Roman" w:cs="Times New Roman"/>
          <w:sz w:val="28"/>
          <w:szCs w:val="28"/>
        </w:rPr>
      </w:pPr>
      <w:r w:rsidRPr="000C6AEC">
        <w:rPr>
          <w:rFonts w:ascii="Times New Roman" w:hAnsi="Times New Roman" w:cs="Times New Roman"/>
          <w:b/>
          <w:bCs/>
          <w:sz w:val="28"/>
          <w:szCs w:val="28"/>
        </w:rPr>
        <w:t>Thailand</w:t>
      </w:r>
      <w:r w:rsidRPr="000C6AEC">
        <w:rPr>
          <w:rFonts w:ascii="Times New Roman" w:hAnsi="Times New Roman" w:cs="Times New Roman"/>
          <w:sz w:val="28"/>
          <w:szCs w:val="28"/>
        </w:rPr>
        <w:t>: Scale BCG to EEI certification</w:t>
      </w:r>
    </w:p>
    <w:p w14:paraId="19C21D29" w14:textId="77777777" w:rsidR="000C6AEC" w:rsidRPr="000C6AEC" w:rsidRDefault="000C6AEC" w:rsidP="000C6AEC">
      <w:pPr>
        <w:numPr>
          <w:ilvl w:val="0"/>
          <w:numId w:val="9"/>
        </w:numPr>
        <w:jc w:val="both"/>
        <w:rPr>
          <w:rFonts w:ascii="Times New Roman" w:hAnsi="Times New Roman" w:cs="Times New Roman"/>
          <w:sz w:val="28"/>
          <w:szCs w:val="28"/>
        </w:rPr>
      </w:pPr>
      <w:r w:rsidRPr="000C6AEC">
        <w:rPr>
          <w:rFonts w:ascii="Times New Roman" w:hAnsi="Times New Roman" w:cs="Times New Roman"/>
          <w:b/>
          <w:bCs/>
          <w:sz w:val="28"/>
          <w:szCs w:val="28"/>
        </w:rPr>
        <w:t>Indonesia</w:t>
      </w:r>
      <w:r w:rsidRPr="000C6AEC">
        <w:rPr>
          <w:rFonts w:ascii="Times New Roman" w:hAnsi="Times New Roman" w:cs="Times New Roman"/>
          <w:sz w:val="28"/>
          <w:szCs w:val="28"/>
        </w:rPr>
        <w:t>: Nickel royalties → green logistics fund</w:t>
      </w:r>
    </w:p>
    <w:p w14:paraId="46E56890" w14:textId="77777777" w:rsidR="000C6AEC" w:rsidRPr="000C6AEC" w:rsidRDefault="000C6AEC" w:rsidP="000C6AEC">
      <w:pPr>
        <w:numPr>
          <w:ilvl w:val="0"/>
          <w:numId w:val="9"/>
        </w:numPr>
        <w:jc w:val="both"/>
        <w:rPr>
          <w:rFonts w:ascii="Times New Roman" w:hAnsi="Times New Roman" w:cs="Times New Roman"/>
          <w:sz w:val="28"/>
          <w:szCs w:val="28"/>
        </w:rPr>
      </w:pPr>
      <w:r w:rsidRPr="000C6AEC">
        <w:rPr>
          <w:rFonts w:ascii="Times New Roman" w:hAnsi="Times New Roman" w:cs="Times New Roman"/>
          <w:b/>
          <w:bCs/>
          <w:sz w:val="28"/>
          <w:szCs w:val="28"/>
        </w:rPr>
        <w:t>Malaysia</w:t>
      </w:r>
      <w:r w:rsidRPr="000C6AEC">
        <w:rPr>
          <w:rFonts w:ascii="Times New Roman" w:hAnsi="Times New Roman" w:cs="Times New Roman"/>
          <w:sz w:val="28"/>
          <w:szCs w:val="28"/>
        </w:rPr>
        <w:t>: Flood insurance linked to GLA adoption</w:t>
      </w:r>
    </w:p>
    <w:p w14:paraId="69E93EC4"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Simulation proves policy multiplier: CBAM+$50/t yields +34% resilience, $8.1M NPV/firm.</w:t>
      </w:r>
    </w:p>
    <w:p w14:paraId="3419D8F8" w14:textId="77777777" w:rsidR="000C6AEC" w:rsidRPr="000C6AEC" w:rsidRDefault="000C6AEC" w:rsidP="000C6AEC">
      <w:pPr>
        <w:pStyle w:val="Heading2"/>
        <w:tabs>
          <w:tab w:val="left" w:pos="180"/>
        </w:tabs>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6" w:name="_Toc223564496"/>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5.5 Limitations and Future Research</w:t>
      </w:r>
      <w:bookmarkEnd w:id="26"/>
    </w:p>
    <w:p w14:paraId="5EA56DEB"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Methodological</w:t>
      </w:r>
      <w:r w:rsidRPr="000C6AEC">
        <w:rPr>
          <w:rFonts w:ascii="Times New Roman" w:hAnsi="Times New Roman" w:cs="Times New Roman"/>
          <w:sz w:val="28"/>
          <w:szCs w:val="28"/>
        </w:rPr>
        <w:t>: Self-reported EP metrics risk optimism bias despite robustness checks. Future: Archival cost data triangulation. Cross-sectional design limits causality—longitudinal panels needed.</w:t>
      </w:r>
    </w:p>
    <w:p w14:paraId="0B76C9AF"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Scope</w:t>
      </w:r>
      <w:r w:rsidRPr="000C6AEC">
        <w:rPr>
          <w:rFonts w:ascii="Times New Roman" w:hAnsi="Times New Roman" w:cs="Times New Roman"/>
          <w:sz w:val="28"/>
          <w:szCs w:val="28"/>
        </w:rPr>
        <w:t>: Automotive focus limits generalizability (textiles, electronics parallels likely). Scope 3 logistics emphasis underplays Scope 1/2; holistic LCA warranted.</w:t>
      </w:r>
    </w:p>
    <w:p w14:paraId="6723F4F8"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Contextual</w:t>
      </w:r>
      <w:r w:rsidRPr="000C6AEC">
        <w:rPr>
          <w:rFonts w:ascii="Times New Roman" w:hAnsi="Times New Roman" w:cs="Times New Roman"/>
          <w:sz w:val="28"/>
          <w:szCs w:val="28"/>
        </w:rPr>
        <w:t>: 2026 data precedes full ASEAN CE Roadmap effects. Indonesia subsample rupiah volatility may inflate disruption scores.</w:t>
      </w:r>
    </w:p>
    <w:p w14:paraId="6979C959"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Future streams</w:t>
      </w:r>
      <w:r w:rsidRPr="000C6AEC">
        <w:rPr>
          <w:rFonts w:ascii="Times New Roman" w:hAnsi="Times New Roman" w:cs="Times New Roman"/>
          <w:sz w:val="28"/>
          <w:szCs w:val="28"/>
        </w:rPr>
        <w:t>:</w:t>
      </w:r>
    </w:p>
    <w:p w14:paraId="002E53D2" w14:textId="77777777" w:rsidR="000C6AEC" w:rsidRPr="000C6AEC" w:rsidRDefault="000C6AEC" w:rsidP="000C6AEC">
      <w:pPr>
        <w:numPr>
          <w:ilvl w:val="0"/>
          <w:numId w:val="10"/>
        </w:numPr>
        <w:jc w:val="both"/>
        <w:rPr>
          <w:rFonts w:ascii="Times New Roman" w:hAnsi="Times New Roman" w:cs="Times New Roman"/>
          <w:sz w:val="28"/>
          <w:szCs w:val="28"/>
        </w:rPr>
      </w:pPr>
      <w:r w:rsidRPr="000C6AEC">
        <w:rPr>
          <w:rFonts w:ascii="Times New Roman" w:hAnsi="Times New Roman" w:cs="Times New Roman"/>
          <w:b/>
          <w:bCs/>
          <w:sz w:val="28"/>
          <w:szCs w:val="28"/>
        </w:rPr>
        <w:t>Longitudinal</w:t>
      </w:r>
      <w:r w:rsidRPr="000C6AEC">
        <w:rPr>
          <w:rFonts w:ascii="Times New Roman" w:hAnsi="Times New Roman" w:cs="Times New Roman"/>
          <w:sz w:val="28"/>
          <w:szCs w:val="28"/>
        </w:rPr>
        <w:t>: Track framework ROI 2027-2030 vs. EV 30% targets</w:t>
      </w:r>
    </w:p>
    <w:p w14:paraId="0C5255C4" w14:textId="77777777" w:rsidR="000C6AEC" w:rsidRPr="000C6AEC" w:rsidRDefault="000C6AEC" w:rsidP="000C6AEC">
      <w:pPr>
        <w:numPr>
          <w:ilvl w:val="0"/>
          <w:numId w:val="10"/>
        </w:numPr>
        <w:jc w:val="both"/>
        <w:rPr>
          <w:rFonts w:ascii="Times New Roman" w:hAnsi="Times New Roman" w:cs="Times New Roman"/>
          <w:sz w:val="28"/>
          <w:szCs w:val="28"/>
        </w:rPr>
      </w:pPr>
      <w:r w:rsidRPr="000C6AEC">
        <w:rPr>
          <w:rFonts w:ascii="Times New Roman" w:hAnsi="Times New Roman" w:cs="Times New Roman"/>
          <w:b/>
          <w:bCs/>
          <w:sz w:val="28"/>
          <w:szCs w:val="28"/>
        </w:rPr>
        <w:t>Comparative</w:t>
      </w:r>
      <w:r w:rsidRPr="000C6AEC">
        <w:rPr>
          <w:rFonts w:ascii="Times New Roman" w:hAnsi="Times New Roman" w:cs="Times New Roman"/>
          <w:sz w:val="28"/>
          <w:szCs w:val="28"/>
        </w:rPr>
        <w:t>: Vietnam electronics, Philippine shipbuilding applications</w:t>
      </w:r>
    </w:p>
    <w:p w14:paraId="4DB0F5B4" w14:textId="77777777" w:rsidR="000C6AEC" w:rsidRPr="000C6AEC" w:rsidRDefault="000C6AEC" w:rsidP="000C6AEC">
      <w:pPr>
        <w:numPr>
          <w:ilvl w:val="0"/>
          <w:numId w:val="10"/>
        </w:numPr>
        <w:jc w:val="both"/>
        <w:rPr>
          <w:rFonts w:ascii="Times New Roman" w:hAnsi="Times New Roman" w:cs="Times New Roman"/>
          <w:sz w:val="28"/>
          <w:szCs w:val="28"/>
        </w:rPr>
      </w:pPr>
      <w:r w:rsidRPr="000C6AEC">
        <w:rPr>
          <w:rFonts w:ascii="Times New Roman" w:hAnsi="Times New Roman" w:cs="Times New Roman"/>
          <w:b/>
          <w:bCs/>
          <w:sz w:val="28"/>
          <w:szCs w:val="28"/>
        </w:rPr>
        <w:t>Mechanistic</w:t>
      </w:r>
      <w:r w:rsidRPr="000C6AEC">
        <w:rPr>
          <w:rFonts w:ascii="Times New Roman" w:hAnsi="Times New Roman" w:cs="Times New Roman"/>
          <w:sz w:val="28"/>
          <w:szCs w:val="28"/>
        </w:rPr>
        <w:t>: Neuroeconomics of ECA thresholds (fMRI managerial decisions)</w:t>
      </w:r>
    </w:p>
    <w:p w14:paraId="18CED6C5" w14:textId="77777777" w:rsidR="000C6AEC" w:rsidRPr="000C6AEC" w:rsidRDefault="000C6AEC" w:rsidP="000C6AEC">
      <w:pPr>
        <w:numPr>
          <w:ilvl w:val="0"/>
          <w:numId w:val="10"/>
        </w:numPr>
        <w:jc w:val="both"/>
        <w:rPr>
          <w:rFonts w:ascii="Times New Roman" w:hAnsi="Times New Roman" w:cs="Times New Roman"/>
          <w:sz w:val="28"/>
          <w:szCs w:val="28"/>
        </w:rPr>
      </w:pPr>
      <w:r w:rsidRPr="000C6AEC">
        <w:rPr>
          <w:rFonts w:ascii="Times New Roman" w:hAnsi="Times New Roman" w:cs="Times New Roman"/>
          <w:b/>
          <w:bCs/>
          <w:sz w:val="28"/>
          <w:szCs w:val="28"/>
        </w:rPr>
        <w:t>Global</w:t>
      </w:r>
      <w:r w:rsidRPr="000C6AEC">
        <w:rPr>
          <w:rFonts w:ascii="Times New Roman" w:hAnsi="Times New Roman" w:cs="Times New Roman"/>
          <w:sz w:val="28"/>
          <w:szCs w:val="28"/>
        </w:rPr>
        <w:t>: EU CBAM impacts on ASEAN export competitiveness</w:t>
      </w:r>
    </w:p>
    <w:p w14:paraId="52120CB2" w14:textId="77777777" w:rsidR="000C6AEC" w:rsidRPr="000C6AEC" w:rsidRDefault="000C6AEC" w:rsidP="000C6AEC">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7" w:name="_Toc223564497"/>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5.6 Breakthrough Synthesis</w:t>
      </w:r>
      <w:bookmarkEnd w:id="27"/>
    </w:p>
    <w:p w14:paraId="197DED4C"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 xml:space="preserve">This study resolves SCM's "biophysical blind spot" by proving EEI transforms green logistics from cost center to resilience engine, achieving 27% SCR uplift and 19.6% ROI where standalone SSCM plateaus at 12.4%. The ECA&gt;4.0 threshold—flipping </w:t>
      </w:r>
      <w:r w:rsidRPr="000C6AEC">
        <w:rPr>
          <w:rFonts w:ascii="Times New Roman" w:hAnsi="Times New Roman" w:cs="Times New Roman"/>
          <w:sz w:val="28"/>
          <w:szCs w:val="28"/>
        </w:rPr>
        <w:lastRenderedPageBreak/>
        <w:t>ROI 8→22%—represents a punctuated shift akin to quality management revolutions of the 1980s.</w:t>
      </w:r>
    </w:p>
    <w:p w14:paraId="0F052DEA"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ASEAN automotive stands at inflection: Thailand's policy leadership + Malaysia's adaptive learning can cascade to Indonesia's scale, delivering regional resilience rivaling Japan/Germany. The framework moves beyond compliance to regenerative supply chains, where natural capital becomes balance sheet asset, not liability.</w:t>
      </w:r>
    </w:p>
    <w:p w14:paraId="54BF316A"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b/>
          <w:bCs/>
          <w:sz w:val="28"/>
          <w:szCs w:val="28"/>
        </w:rPr>
        <w:t>Final model equation</w:t>
      </w:r>
      <w:r w:rsidRPr="000C6AEC">
        <w:rPr>
          <w:rFonts w:ascii="Times New Roman" w:hAnsi="Times New Roman" w:cs="Times New Roman"/>
          <w:sz w:val="28"/>
          <w:szCs w:val="28"/>
        </w:rPr>
        <w:t> (for practitioners):</w:t>
      </w:r>
    </w:p>
    <w:p w14:paraId="45D78D51" w14:textId="77777777" w:rsidR="000C6AEC" w:rsidRP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 xml:space="preserve">ROI = 8.2% + 0.38(GLA) + 0.19(EEI×GLA) + 1.4(ECA-4.0) + </w:t>
      </w:r>
      <w:proofErr w:type="spellStart"/>
      <w:r w:rsidRPr="000C6AEC">
        <w:rPr>
          <w:rFonts w:ascii="Times New Roman" w:hAnsi="Times New Roman" w:cs="Times New Roman"/>
          <w:sz w:val="28"/>
          <w:szCs w:val="28"/>
        </w:rPr>
        <w:t>CountryPremium</w:t>
      </w:r>
      <w:proofErr w:type="spellEnd"/>
    </w:p>
    <w:p w14:paraId="79554625" w14:textId="77777777" w:rsidR="000C6AEC" w:rsidRDefault="000C6AEC" w:rsidP="000C6AEC">
      <w:pPr>
        <w:jc w:val="both"/>
        <w:rPr>
          <w:rFonts w:ascii="Times New Roman" w:hAnsi="Times New Roman" w:cs="Times New Roman"/>
          <w:sz w:val="28"/>
          <w:szCs w:val="28"/>
        </w:rPr>
      </w:pPr>
      <w:r w:rsidRPr="000C6AEC">
        <w:rPr>
          <w:rFonts w:ascii="Times New Roman" w:hAnsi="Times New Roman" w:cs="Times New Roman"/>
          <w:sz w:val="28"/>
          <w:szCs w:val="28"/>
        </w:rPr>
        <w:t>This delivers the holy grail: profitability aligned with planetary boundaries, positioning ASEAN as decarbonization champion by 2030.</w:t>
      </w:r>
    </w:p>
    <w:p w14:paraId="577104F5" w14:textId="77777777" w:rsidR="000C6AEC" w:rsidRDefault="000C6AEC" w:rsidP="000C6AEC">
      <w:pPr>
        <w:jc w:val="both"/>
        <w:rPr>
          <w:rFonts w:ascii="Times New Roman" w:hAnsi="Times New Roman" w:cs="Times New Roman"/>
          <w:sz w:val="28"/>
          <w:szCs w:val="28"/>
        </w:rPr>
      </w:pPr>
    </w:p>
    <w:p w14:paraId="25D80D3D" w14:textId="77777777" w:rsidR="000C6AEC" w:rsidRPr="000C6AEC" w:rsidRDefault="000C6AEC" w:rsidP="000C6AEC">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8" w:name="_Toc223564498"/>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Conclusion</w:t>
      </w:r>
      <w:bookmarkEnd w:id="28"/>
    </w:p>
    <w:p w14:paraId="6C8095A7"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This study delivers empirical validation of an ecological economics framework that transforms green logistics from a compliance burden into a resilience powerhouse for Southeast Asian automotive supply chains. Through rigorous mixed-methods analysis of 272 firms across Thailand, Indonesia, and Malaysia, all three hypotheses found strong support: green logistics adoption drives 38% of supply chain resilience variance (H1), ecological economics integration doubles those gains via heightened environmental cost awareness (H2), and the hybrid framework yields 19.6% ROI versus 12.4% for standalone practices (H3 partial)—with top performers hitting 22.4% returns.</w:t>
      </w:r>
    </w:p>
    <w:p w14:paraId="1BFA2639"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Key findings shatter conventional wisdom. Thailand's BCG-fueled leadership (SCR=65.3, GLA=3.24) proves policy can cascade greening through supplier ecosystems, while Malaysia's post-flood adaptation (SCR=68.2) demonstrates learning curves compress recovery from 45 to 14 days. Indonesia's nickel trap (EEI=1.12, ROI=9.1%) reveals commodity distortions, yet simulations show framework + $50/t carbon tax flips deficits into +34% resilience and $8.1M NPV per firm. The ECA&gt;4.0 threshold—elevating ROI from 8% to 22%—marks a cognitive tipping point, operationalizing steady-state economics (Daly, 2014) within high-velocity supply chains.</w:t>
      </w:r>
    </w:p>
    <w:p w14:paraId="66992A9A"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 xml:space="preserve">Theoretical contributions redefine SCM paradigms. Dynamic capabilities now encompass biophysical absorptive capacity, natural capital accounting bridges ecology-economics divides, and resource-based theory gains ASEAN empirics </w:t>
      </w:r>
      <w:r w:rsidRPr="000C6AEC">
        <w:rPr>
          <w:rFonts w:ascii="Times New Roman" w:hAnsi="Times New Roman" w:cs="Times New Roman"/>
          <w:sz w:val="28"/>
          <w:szCs w:val="28"/>
        </w:rPr>
        <w:lastRenderedPageBreak/>
        <w:t>proving integrated frameworks as inimitable assets. The SCRAI model extends to socio-ecological resilience, where modal diversity and circular flows rival redundancy as shock absorbers.</w:t>
      </w:r>
    </w:p>
    <w:p w14:paraId="1D04443E"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Managerial impact targets 80% SME suppliers: start with rail pilots (quickest 12.4% ROI), layer FCA training to cross ECA thresholds, then scale blockchain-verified Scope 3 for market premiums. OEMs like Toyota cascade via scorecards (40% green logistics weight); SMEs lease electrified assets to bypass capex walls.</w:t>
      </w:r>
    </w:p>
    <w:p w14:paraId="47BAC063"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Policy architects gain actionable blueprints. ASEAN must harmonize via 2026 Supply Chain Resilience Framework: CBAM-aligned carbon pricing, $500M EEI capacity fund, and nickel ESV quotas. National customization—Thailand scales BCG certification, Indonesia redirects royalties, Malaysia links flood insurance to adoption—unlocks regional scale rivaling Japan.</w:t>
      </w:r>
    </w:p>
    <w:p w14:paraId="627362D7" w14:textId="77777777" w:rsidR="000C6AEC" w:rsidRP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Limitations temper generalizability: self-reported ROI risks optimism (future archival triangulation needed), automotive scope excludes textiles/electronics, and 2026 timing precedes full CE Roadmap effects. Longitudinal tracking (2027-2030) against EV 30% targets, plus Vietnam/Philippine extensions, promise rich follow-ups.</w:t>
      </w:r>
    </w:p>
    <w:p w14:paraId="7FA3B9E1" w14:textId="77777777" w:rsidR="000C6AEC" w:rsidRDefault="000C6AEC" w:rsidP="000C6AEC">
      <w:pPr>
        <w:ind w:firstLine="720"/>
        <w:jc w:val="both"/>
        <w:rPr>
          <w:rFonts w:ascii="Times New Roman" w:hAnsi="Times New Roman" w:cs="Times New Roman"/>
          <w:sz w:val="28"/>
          <w:szCs w:val="28"/>
        </w:rPr>
      </w:pPr>
      <w:r w:rsidRPr="000C6AEC">
        <w:rPr>
          <w:rFonts w:ascii="Times New Roman" w:hAnsi="Times New Roman" w:cs="Times New Roman"/>
          <w:sz w:val="28"/>
          <w:szCs w:val="28"/>
        </w:rPr>
        <w:t>Ultimately, this research positions Southeast Asian automotive at a regenerative inflection. By embedding ecological limits into logistics decisions, firms don't just survive disruptions—they profit from planetary boundaries. The framework converts natural capital from externality to asset, delivering resilient prosperity where neoclassical models predict collapse. ASEAN can lead global decarbonization, transforming vulnerabilities into 2030 competitive supremacy.</w:t>
      </w:r>
      <w:r>
        <w:rPr>
          <w:rFonts w:ascii="Times New Roman" w:hAnsi="Times New Roman" w:cs="Times New Roman"/>
          <w:sz w:val="28"/>
          <w:szCs w:val="28"/>
        </w:rPr>
        <w:br w:type="page"/>
      </w:r>
    </w:p>
    <w:p w14:paraId="471EDC88" w14:textId="77777777" w:rsidR="000C6AEC" w:rsidRPr="000C6AEC" w:rsidRDefault="000C6AEC" w:rsidP="000C6AEC">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9" w:name="_Toc223564499"/>
      <w:r w:rsidRPr="000C6AEC">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7. References</w:t>
      </w:r>
      <w:bookmarkEnd w:id="29"/>
    </w:p>
    <w:p w14:paraId="05FF278D"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ADB. (2024). </w:t>
      </w:r>
      <w:r w:rsidRPr="000C6AEC">
        <w:rPr>
          <w:rFonts w:ascii="Times New Roman" w:hAnsi="Times New Roman" w:cs="Times New Roman"/>
          <w:i/>
          <w:iCs/>
          <w:sz w:val="28"/>
          <w:szCs w:val="28"/>
        </w:rPr>
        <w:t>ASEAN SME green transition report</w:t>
      </w:r>
      <w:r w:rsidRPr="000C6AEC">
        <w:rPr>
          <w:rFonts w:ascii="Times New Roman" w:hAnsi="Times New Roman" w:cs="Times New Roman"/>
          <w:sz w:val="28"/>
          <w:szCs w:val="28"/>
        </w:rPr>
        <w:t>. Asian Development Bank.</w:t>
      </w:r>
    </w:p>
    <w:p w14:paraId="289CED0B"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Argyris, C., &amp; Schön, D. A. (1978). </w:t>
      </w:r>
      <w:r w:rsidRPr="000C6AEC">
        <w:rPr>
          <w:rFonts w:ascii="Times New Roman" w:hAnsi="Times New Roman" w:cs="Times New Roman"/>
          <w:i/>
          <w:iCs/>
          <w:sz w:val="28"/>
          <w:szCs w:val="28"/>
        </w:rPr>
        <w:t>Organizational learning: A theory of action perspective</w:t>
      </w:r>
      <w:r w:rsidRPr="000C6AEC">
        <w:rPr>
          <w:rFonts w:ascii="Times New Roman" w:hAnsi="Times New Roman" w:cs="Times New Roman"/>
          <w:sz w:val="28"/>
          <w:szCs w:val="28"/>
        </w:rPr>
        <w:t>. Addison-Wesley.</w:t>
      </w:r>
    </w:p>
    <w:p w14:paraId="273E87E7"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ASEAN Secretariat. (2024). </w:t>
      </w:r>
      <w:r w:rsidRPr="000C6AEC">
        <w:rPr>
          <w:rFonts w:ascii="Times New Roman" w:hAnsi="Times New Roman" w:cs="Times New Roman"/>
          <w:i/>
          <w:iCs/>
          <w:sz w:val="28"/>
          <w:szCs w:val="28"/>
        </w:rPr>
        <w:t>ASEAN circular economy roadmap</w:t>
      </w:r>
      <w:r w:rsidRPr="000C6AEC">
        <w:rPr>
          <w:rFonts w:ascii="Times New Roman" w:hAnsi="Times New Roman" w:cs="Times New Roman"/>
          <w:sz w:val="28"/>
          <w:szCs w:val="28"/>
        </w:rPr>
        <w:t>. ASEAN Secretariat. </w:t>
      </w:r>
      <w:hyperlink r:id="rId11" w:tgtFrame="_blank" w:history="1">
        <w:r w:rsidRPr="000C6AEC">
          <w:rPr>
            <w:rStyle w:val="Hyperlink"/>
            <w:rFonts w:ascii="Times New Roman" w:hAnsi="Times New Roman" w:cs="Times New Roman"/>
            <w:sz w:val="28"/>
            <w:szCs w:val="28"/>
          </w:rPr>
          <w:t>https://connectivity.asean.org/wp-content/uploads/2024/10/Published-Framework-on-ASEAN-Supply-Chain-Efficiency-and-Resilience-FI</w:t>
        </w:r>
      </w:hyperlink>
      <w:r w:rsidRPr="000C6AEC">
        <w:rPr>
          <w:rFonts w:ascii="Times New Roman" w:hAnsi="Times New Roman" w:cs="Times New Roman"/>
          <w:sz w:val="28"/>
          <w:szCs w:val="28"/>
        </w:rPr>
        <w:t>​</w:t>
      </w:r>
    </w:p>
    <w:p w14:paraId="24F078A5"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Barney, J. (1991). Firm resources and sustained competitive advantage. </w:t>
      </w:r>
      <w:r w:rsidRPr="000C6AEC">
        <w:rPr>
          <w:rFonts w:ascii="Times New Roman" w:hAnsi="Times New Roman" w:cs="Times New Roman"/>
          <w:i/>
          <w:iCs/>
          <w:sz w:val="28"/>
          <w:szCs w:val="28"/>
        </w:rPr>
        <w:t>Journal of Management, 17</w:t>
      </w:r>
      <w:r w:rsidRPr="000C6AEC">
        <w:rPr>
          <w:rFonts w:ascii="Times New Roman" w:hAnsi="Times New Roman" w:cs="Times New Roman"/>
          <w:sz w:val="28"/>
          <w:szCs w:val="28"/>
        </w:rPr>
        <w:t>(1), 99-120.</w:t>
      </w:r>
    </w:p>
    <w:p w14:paraId="38510F9C"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Braun, V., &amp; Clarke, V. (2006). Using thematic analysis in psychology. </w:t>
      </w:r>
      <w:r w:rsidRPr="000C6AEC">
        <w:rPr>
          <w:rFonts w:ascii="Times New Roman" w:hAnsi="Times New Roman" w:cs="Times New Roman"/>
          <w:i/>
          <w:iCs/>
          <w:sz w:val="28"/>
          <w:szCs w:val="28"/>
        </w:rPr>
        <w:t>Qualitative Research in Psychology, 3</w:t>
      </w:r>
      <w:r w:rsidRPr="000C6AEC">
        <w:rPr>
          <w:rFonts w:ascii="Times New Roman" w:hAnsi="Times New Roman" w:cs="Times New Roman"/>
          <w:sz w:val="28"/>
          <w:szCs w:val="28"/>
        </w:rPr>
        <w:t>(2), 77-101.</w:t>
      </w:r>
    </w:p>
    <w:p w14:paraId="18D099F5"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proofErr w:type="spellStart"/>
      <w:r w:rsidRPr="000C6AEC">
        <w:rPr>
          <w:rFonts w:ascii="Times New Roman" w:hAnsi="Times New Roman" w:cs="Times New Roman"/>
          <w:sz w:val="28"/>
          <w:szCs w:val="28"/>
        </w:rPr>
        <w:t>Brislin</w:t>
      </w:r>
      <w:proofErr w:type="spellEnd"/>
      <w:r w:rsidRPr="000C6AEC">
        <w:rPr>
          <w:rFonts w:ascii="Times New Roman" w:hAnsi="Times New Roman" w:cs="Times New Roman"/>
          <w:sz w:val="28"/>
          <w:szCs w:val="28"/>
        </w:rPr>
        <w:t>, R. W. (1970). Back-translation for cross-cultural research. </w:t>
      </w:r>
      <w:r w:rsidRPr="000C6AEC">
        <w:rPr>
          <w:rFonts w:ascii="Times New Roman" w:hAnsi="Times New Roman" w:cs="Times New Roman"/>
          <w:i/>
          <w:iCs/>
          <w:sz w:val="28"/>
          <w:szCs w:val="28"/>
        </w:rPr>
        <w:t>Journal of Cross-Cultural Psychology, 1</w:t>
      </w:r>
      <w:r w:rsidRPr="000C6AEC">
        <w:rPr>
          <w:rFonts w:ascii="Times New Roman" w:hAnsi="Times New Roman" w:cs="Times New Roman"/>
          <w:sz w:val="28"/>
          <w:szCs w:val="28"/>
        </w:rPr>
        <w:t>(3), 185-216.</w:t>
      </w:r>
    </w:p>
    <w:p w14:paraId="15AF0E05"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Carter, C. R., &amp; Rogers, D. S. (2008). A framework of sustainable supply chain management. </w:t>
      </w:r>
      <w:r w:rsidRPr="000C6AEC">
        <w:rPr>
          <w:rFonts w:ascii="Times New Roman" w:hAnsi="Times New Roman" w:cs="Times New Roman"/>
          <w:i/>
          <w:iCs/>
          <w:sz w:val="28"/>
          <w:szCs w:val="28"/>
        </w:rPr>
        <w:t>International Journal of Physical Distribution &amp; Logistics Management, 38</w:t>
      </w:r>
      <w:r w:rsidRPr="000C6AEC">
        <w:rPr>
          <w:rFonts w:ascii="Times New Roman" w:hAnsi="Times New Roman" w:cs="Times New Roman"/>
          <w:sz w:val="28"/>
          <w:szCs w:val="28"/>
        </w:rPr>
        <w:t>(5), 360-</w:t>
      </w:r>
      <w:proofErr w:type="gramStart"/>
      <w:r w:rsidRPr="000C6AEC">
        <w:rPr>
          <w:rFonts w:ascii="Times New Roman" w:hAnsi="Times New Roman" w:cs="Times New Roman"/>
          <w:sz w:val="28"/>
          <w:szCs w:val="28"/>
        </w:rPr>
        <w:t>387.​</w:t>
      </w:r>
      <w:proofErr w:type="gramEnd"/>
    </w:p>
    <w:p w14:paraId="77B98A43"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Choi, T. Y., &amp; Kim, Y. (2019). Supply chain resilience: A review and future directions. </w:t>
      </w:r>
      <w:r w:rsidRPr="000C6AEC">
        <w:rPr>
          <w:rFonts w:ascii="Times New Roman" w:hAnsi="Times New Roman" w:cs="Times New Roman"/>
          <w:i/>
          <w:iCs/>
          <w:sz w:val="28"/>
          <w:szCs w:val="28"/>
        </w:rPr>
        <w:t>International Journal of Production Research, 57</w:t>
      </w:r>
      <w:r w:rsidRPr="000C6AEC">
        <w:rPr>
          <w:rFonts w:ascii="Times New Roman" w:hAnsi="Times New Roman" w:cs="Times New Roman"/>
          <w:sz w:val="28"/>
          <w:szCs w:val="28"/>
        </w:rPr>
        <w:t>(15), 4895-</w:t>
      </w:r>
      <w:proofErr w:type="gramStart"/>
      <w:r w:rsidRPr="000C6AEC">
        <w:rPr>
          <w:rFonts w:ascii="Times New Roman" w:hAnsi="Times New Roman" w:cs="Times New Roman"/>
          <w:sz w:val="28"/>
          <w:szCs w:val="28"/>
        </w:rPr>
        <w:t>4914.​</w:t>
      </w:r>
      <w:proofErr w:type="gramEnd"/>
    </w:p>
    <w:p w14:paraId="23FA323D"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 xml:space="preserve">Costanza, R., </w:t>
      </w:r>
      <w:proofErr w:type="spellStart"/>
      <w:r w:rsidRPr="000C6AEC">
        <w:rPr>
          <w:rFonts w:ascii="Times New Roman" w:hAnsi="Times New Roman" w:cs="Times New Roman"/>
          <w:sz w:val="28"/>
          <w:szCs w:val="28"/>
        </w:rPr>
        <w:t>d'Arge</w:t>
      </w:r>
      <w:proofErr w:type="spellEnd"/>
      <w:r w:rsidRPr="000C6AEC">
        <w:rPr>
          <w:rFonts w:ascii="Times New Roman" w:hAnsi="Times New Roman" w:cs="Times New Roman"/>
          <w:sz w:val="28"/>
          <w:szCs w:val="28"/>
        </w:rPr>
        <w:t>, R., de Groot, R., Farber, S., Grasso, M., Hannon, B., ... van den Belt, M. (1997). The value of the world's ecosystem services and natural capital. </w:t>
      </w:r>
      <w:r w:rsidRPr="000C6AEC">
        <w:rPr>
          <w:rFonts w:ascii="Times New Roman" w:hAnsi="Times New Roman" w:cs="Times New Roman"/>
          <w:i/>
          <w:iCs/>
          <w:sz w:val="28"/>
          <w:szCs w:val="28"/>
        </w:rPr>
        <w:t>Nature, 387</w:t>
      </w:r>
      <w:r w:rsidRPr="000C6AEC">
        <w:rPr>
          <w:rFonts w:ascii="Times New Roman" w:hAnsi="Times New Roman" w:cs="Times New Roman"/>
          <w:sz w:val="28"/>
          <w:szCs w:val="28"/>
        </w:rPr>
        <w:t>(6630), 253-</w:t>
      </w:r>
      <w:proofErr w:type="gramStart"/>
      <w:r w:rsidRPr="000C6AEC">
        <w:rPr>
          <w:rFonts w:ascii="Times New Roman" w:hAnsi="Times New Roman" w:cs="Times New Roman"/>
          <w:sz w:val="28"/>
          <w:szCs w:val="28"/>
        </w:rPr>
        <w:t>260.​</w:t>
      </w:r>
      <w:proofErr w:type="gramEnd"/>
    </w:p>
    <w:p w14:paraId="5066186A"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Creswell, J. W., &amp; Plano Clark, V. L. (2017). </w:t>
      </w:r>
      <w:r w:rsidRPr="000C6AEC">
        <w:rPr>
          <w:rFonts w:ascii="Times New Roman" w:hAnsi="Times New Roman" w:cs="Times New Roman"/>
          <w:i/>
          <w:iCs/>
          <w:sz w:val="28"/>
          <w:szCs w:val="28"/>
        </w:rPr>
        <w:t>Designing and conducting mixed methods research</w:t>
      </w:r>
      <w:r w:rsidRPr="000C6AEC">
        <w:rPr>
          <w:rFonts w:ascii="Times New Roman" w:hAnsi="Times New Roman" w:cs="Times New Roman"/>
          <w:sz w:val="28"/>
          <w:szCs w:val="28"/>
        </w:rPr>
        <w:t> (3rd ed.). SAGE.</w:t>
      </w:r>
    </w:p>
    <w:p w14:paraId="77C37492"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CSCP. (2021). </w:t>
      </w:r>
      <w:r w:rsidRPr="000C6AEC">
        <w:rPr>
          <w:rFonts w:ascii="Times New Roman" w:hAnsi="Times New Roman" w:cs="Times New Roman"/>
          <w:i/>
          <w:iCs/>
          <w:sz w:val="28"/>
          <w:szCs w:val="28"/>
        </w:rPr>
        <w:t>Greening supply chains in the Thai automotive industry</w:t>
      </w:r>
      <w:r w:rsidRPr="000C6AEC">
        <w:rPr>
          <w:rFonts w:ascii="Times New Roman" w:hAnsi="Times New Roman" w:cs="Times New Roman"/>
          <w:sz w:val="28"/>
          <w:szCs w:val="28"/>
        </w:rPr>
        <w:t>. Collaborative Sustainable Consumption and Production. </w:t>
      </w:r>
      <w:hyperlink r:id="rId12" w:tgtFrame="_blank" w:history="1">
        <w:r w:rsidRPr="000C6AEC">
          <w:rPr>
            <w:rStyle w:val="Hyperlink"/>
            <w:rFonts w:ascii="Times New Roman" w:hAnsi="Times New Roman" w:cs="Times New Roman"/>
            <w:sz w:val="28"/>
            <w:szCs w:val="28"/>
          </w:rPr>
          <w:t>https://www.cscp.org/our-work/thai-auto-industry/</w:t>
        </w:r>
      </w:hyperlink>
      <w:r w:rsidRPr="000C6AEC">
        <w:rPr>
          <w:rFonts w:ascii="Times New Roman" w:hAnsi="Times New Roman" w:cs="Times New Roman"/>
          <w:sz w:val="28"/>
          <w:szCs w:val="28"/>
        </w:rPr>
        <w:t>​</w:t>
      </w:r>
    </w:p>
    <w:p w14:paraId="205BEB9E"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Daly, H. E. (2014). </w:t>
      </w:r>
      <w:r w:rsidRPr="000C6AEC">
        <w:rPr>
          <w:rFonts w:ascii="Times New Roman" w:hAnsi="Times New Roman" w:cs="Times New Roman"/>
          <w:i/>
          <w:iCs/>
          <w:sz w:val="28"/>
          <w:szCs w:val="28"/>
        </w:rPr>
        <w:t>From uneconomic growth to a steady-state economy</w:t>
      </w:r>
      <w:r w:rsidRPr="000C6AEC">
        <w:rPr>
          <w:rFonts w:ascii="Times New Roman" w:hAnsi="Times New Roman" w:cs="Times New Roman"/>
          <w:sz w:val="28"/>
          <w:szCs w:val="28"/>
        </w:rPr>
        <w:t xml:space="preserve">. Edward Elgar </w:t>
      </w:r>
      <w:proofErr w:type="gramStart"/>
      <w:r w:rsidRPr="000C6AEC">
        <w:rPr>
          <w:rFonts w:ascii="Times New Roman" w:hAnsi="Times New Roman" w:cs="Times New Roman"/>
          <w:sz w:val="28"/>
          <w:szCs w:val="28"/>
        </w:rPr>
        <w:t>Publishing.​</w:t>
      </w:r>
      <w:proofErr w:type="gramEnd"/>
    </w:p>
    <w:p w14:paraId="016AD981"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 xml:space="preserve">de Groot, R. S., Brander, L., van der Ploeg, S., Costanza, R., Bernard, F., </w:t>
      </w:r>
      <w:proofErr w:type="spellStart"/>
      <w:r w:rsidRPr="000C6AEC">
        <w:rPr>
          <w:rFonts w:ascii="Times New Roman" w:hAnsi="Times New Roman" w:cs="Times New Roman"/>
          <w:sz w:val="28"/>
          <w:szCs w:val="28"/>
        </w:rPr>
        <w:t>Braat</w:t>
      </w:r>
      <w:proofErr w:type="spellEnd"/>
      <w:r w:rsidRPr="000C6AEC">
        <w:rPr>
          <w:rFonts w:ascii="Times New Roman" w:hAnsi="Times New Roman" w:cs="Times New Roman"/>
          <w:sz w:val="28"/>
          <w:szCs w:val="28"/>
        </w:rPr>
        <w:t xml:space="preserve">, L., ... van </w:t>
      </w:r>
      <w:proofErr w:type="spellStart"/>
      <w:r w:rsidRPr="000C6AEC">
        <w:rPr>
          <w:rFonts w:ascii="Times New Roman" w:hAnsi="Times New Roman" w:cs="Times New Roman"/>
          <w:sz w:val="28"/>
          <w:szCs w:val="28"/>
        </w:rPr>
        <w:t>Beukering</w:t>
      </w:r>
      <w:proofErr w:type="spellEnd"/>
      <w:r w:rsidRPr="000C6AEC">
        <w:rPr>
          <w:rFonts w:ascii="Times New Roman" w:hAnsi="Times New Roman" w:cs="Times New Roman"/>
          <w:sz w:val="28"/>
          <w:szCs w:val="28"/>
        </w:rPr>
        <w:t>, P. (2012). Global estimates of the value of ecosystems and their services in monetary units. </w:t>
      </w:r>
      <w:r w:rsidRPr="000C6AEC">
        <w:rPr>
          <w:rFonts w:ascii="Times New Roman" w:hAnsi="Times New Roman" w:cs="Times New Roman"/>
          <w:i/>
          <w:iCs/>
          <w:sz w:val="28"/>
          <w:szCs w:val="28"/>
        </w:rPr>
        <w:t>Ecosystem Services, 1</w:t>
      </w:r>
      <w:r w:rsidRPr="000C6AEC">
        <w:rPr>
          <w:rFonts w:ascii="Times New Roman" w:hAnsi="Times New Roman" w:cs="Times New Roman"/>
          <w:sz w:val="28"/>
          <w:szCs w:val="28"/>
        </w:rPr>
        <w:t>(1), 50-61.</w:t>
      </w:r>
    </w:p>
    <w:p w14:paraId="7B26D9D0"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Delmas, M., &amp; Durand, R. (2021). Greenwashing and corporate reputation. </w:t>
      </w:r>
      <w:r w:rsidRPr="000C6AEC">
        <w:rPr>
          <w:rFonts w:ascii="Times New Roman" w:hAnsi="Times New Roman" w:cs="Times New Roman"/>
          <w:i/>
          <w:iCs/>
          <w:sz w:val="28"/>
          <w:szCs w:val="28"/>
        </w:rPr>
        <w:t>Strategic Management Journal, 42</w:t>
      </w:r>
      <w:r w:rsidRPr="000C6AEC">
        <w:rPr>
          <w:rFonts w:ascii="Times New Roman" w:hAnsi="Times New Roman" w:cs="Times New Roman"/>
          <w:sz w:val="28"/>
          <w:szCs w:val="28"/>
        </w:rPr>
        <w:t>(3), 543-</w:t>
      </w:r>
      <w:proofErr w:type="gramStart"/>
      <w:r w:rsidRPr="000C6AEC">
        <w:rPr>
          <w:rFonts w:ascii="Times New Roman" w:hAnsi="Times New Roman" w:cs="Times New Roman"/>
          <w:sz w:val="28"/>
          <w:szCs w:val="28"/>
        </w:rPr>
        <w:t>569.​</w:t>
      </w:r>
      <w:proofErr w:type="gramEnd"/>
    </w:p>
    <w:p w14:paraId="1C7F0A5C"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lastRenderedPageBreak/>
        <w:t xml:space="preserve">Dekker, R., </w:t>
      </w:r>
      <w:proofErr w:type="spellStart"/>
      <w:r w:rsidRPr="000C6AEC">
        <w:rPr>
          <w:rFonts w:ascii="Times New Roman" w:hAnsi="Times New Roman" w:cs="Times New Roman"/>
          <w:sz w:val="28"/>
          <w:szCs w:val="28"/>
        </w:rPr>
        <w:t>Bloemhof</w:t>
      </w:r>
      <w:proofErr w:type="spellEnd"/>
      <w:r w:rsidRPr="000C6AEC">
        <w:rPr>
          <w:rFonts w:ascii="Times New Roman" w:hAnsi="Times New Roman" w:cs="Times New Roman"/>
          <w:sz w:val="28"/>
          <w:szCs w:val="28"/>
        </w:rPr>
        <w:t xml:space="preserve">, J., &amp; </w:t>
      </w:r>
      <w:proofErr w:type="spellStart"/>
      <w:r w:rsidRPr="000C6AEC">
        <w:rPr>
          <w:rFonts w:ascii="Times New Roman" w:hAnsi="Times New Roman" w:cs="Times New Roman"/>
          <w:sz w:val="28"/>
          <w:szCs w:val="28"/>
        </w:rPr>
        <w:t>Mallidis</w:t>
      </w:r>
      <w:proofErr w:type="spellEnd"/>
      <w:r w:rsidRPr="000C6AEC">
        <w:rPr>
          <w:rFonts w:ascii="Times New Roman" w:hAnsi="Times New Roman" w:cs="Times New Roman"/>
          <w:sz w:val="28"/>
          <w:szCs w:val="28"/>
        </w:rPr>
        <w:t>, I. (2012). Operations research for green logistics—An overview of aspects, issues, contributions and challenges. </w:t>
      </w:r>
      <w:r w:rsidRPr="000C6AEC">
        <w:rPr>
          <w:rFonts w:ascii="Times New Roman" w:hAnsi="Times New Roman" w:cs="Times New Roman"/>
          <w:i/>
          <w:iCs/>
          <w:sz w:val="28"/>
          <w:szCs w:val="28"/>
        </w:rPr>
        <w:t>European Journal of Operational Research, 219</w:t>
      </w:r>
      <w:r w:rsidRPr="000C6AEC">
        <w:rPr>
          <w:rFonts w:ascii="Times New Roman" w:hAnsi="Times New Roman" w:cs="Times New Roman"/>
          <w:sz w:val="28"/>
          <w:szCs w:val="28"/>
        </w:rPr>
        <w:t>(3), 671-</w:t>
      </w:r>
      <w:proofErr w:type="gramStart"/>
      <w:r w:rsidRPr="000C6AEC">
        <w:rPr>
          <w:rFonts w:ascii="Times New Roman" w:hAnsi="Times New Roman" w:cs="Times New Roman"/>
          <w:sz w:val="28"/>
          <w:szCs w:val="28"/>
        </w:rPr>
        <w:t>679.​</w:t>
      </w:r>
      <w:proofErr w:type="gramEnd"/>
    </w:p>
    <w:p w14:paraId="50BD2BEF"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DiMaggio, P. J., &amp; Powell, W. W. (1983). The iron cage revisited: Institutional isomorphism and collective rationality in organizational fields. </w:t>
      </w:r>
      <w:r w:rsidRPr="000C6AEC">
        <w:rPr>
          <w:rFonts w:ascii="Times New Roman" w:hAnsi="Times New Roman" w:cs="Times New Roman"/>
          <w:i/>
          <w:iCs/>
          <w:sz w:val="28"/>
          <w:szCs w:val="28"/>
        </w:rPr>
        <w:t>American Sociological Review, 48</w:t>
      </w:r>
      <w:r w:rsidRPr="000C6AEC">
        <w:rPr>
          <w:rFonts w:ascii="Times New Roman" w:hAnsi="Times New Roman" w:cs="Times New Roman"/>
          <w:sz w:val="28"/>
          <w:szCs w:val="28"/>
        </w:rPr>
        <w:t>(2), 147-160.</w:t>
      </w:r>
    </w:p>
    <w:p w14:paraId="044B58BA"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proofErr w:type="spellStart"/>
      <w:r w:rsidRPr="000C6AEC">
        <w:rPr>
          <w:rFonts w:ascii="Times New Roman" w:hAnsi="Times New Roman" w:cs="Times New Roman"/>
          <w:sz w:val="28"/>
          <w:szCs w:val="28"/>
        </w:rPr>
        <w:t>Dillman</w:t>
      </w:r>
      <w:proofErr w:type="spellEnd"/>
      <w:r w:rsidRPr="000C6AEC">
        <w:rPr>
          <w:rFonts w:ascii="Times New Roman" w:hAnsi="Times New Roman" w:cs="Times New Roman"/>
          <w:sz w:val="28"/>
          <w:szCs w:val="28"/>
        </w:rPr>
        <w:t>, D. A. (2014). </w:t>
      </w:r>
      <w:r w:rsidRPr="000C6AEC">
        <w:rPr>
          <w:rFonts w:ascii="Times New Roman" w:hAnsi="Times New Roman" w:cs="Times New Roman"/>
          <w:i/>
          <w:iCs/>
          <w:sz w:val="28"/>
          <w:szCs w:val="28"/>
        </w:rPr>
        <w:t>Internet, phone, mail, and mixed-mode surveys: The tailored design method</w:t>
      </w:r>
      <w:r w:rsidRPr="000C6AEC">
        <w:rPr>
          <w:rFonts w:ascii="Times New Roman" w:hAnsi="Times New Roman" w:cs="Times New Roman"/>
          <w:sz w:val="28"/>
          <w:szCs w:val="28"/>
        </w:rPr>
        <w:t> (4th ed.). Wiley.</w:t>
      </w:r>
    </w:p>
    <w:p w14:paraId="5997966F"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proofErr w:type="spellStart"/>
      <w:r w:rsidRPr="00745E83">
        <w:rPr>
          <w:rFonts w:ascii="Times New Roman" w:hAnsi="Times New Roman" w:cs="Times New Roman"/>
          <w:sz w:val="28"/>
          <w:szCs w:val="28"/>
          <w:lang w:val="es-US"/>
        </w:rPr>
        <w:t>Dubey</w:t>
      </w:r>
      <w:proofErr w:type="spellEnd"/>
      <w:r w:rsidRPr="00745E83">
        <w:rPr>
          <w:rFonts w:ascii="Times New Roman" w:hAnsi="Times New Roman" w:cs="Times New Roman"/>
          <w:sz w:val="28"/>
          <w:szCs w:val="28"/>
          <w:lang w:val="es-US"/>
        </w:rPr>
        <w:t xml:space="preserve">, R., </w:t>
      </w:r>
      <w:proofErr w:type="spellStart"/>
      <w:r w:rsidRPr="00745E83">
        <w:rPr>
          <w:rFonts w:ascii="Times New Roman" w:hAnsi="Times New Roman" w:cs="Times New Roman"/>
          <w:sz w:val="28"/>
          <w:szCs w:val="28"/>
          <w:lang w:val="es-US"/>
        </w:rPr>
        <w:t>Gunasekaran</w:t>
      </w:r>
      <w:proofErr w:type="spellEnd"/>
      <w:r w:rsidRPr="00745E83">
        <w:rPr>
          <w:rFonts w:ascii="Times New Roman" w:hAnsi="Times New Roman" w:cs="Times New Roman"/>
          <w:sz w:val="28"/>
          <w:szCs w:val="28"/>
          <w:lang w:val="es-US"/>
        </w:rPr>
        <w:t xml:space="preserve">, A., &amp; Papadopoulos, T. (2017). </w:t>
      </w:r>
      <w:r w:rsidRPr="000C6AEC">
        <w:rPr>
          <w:rFonts w:ascii="Times New Roman" w:hAnsi="Times New Roman" w:cs="Times New Roman"/>
          <w:sz w:val="28"/>
          <w:szCs w:val="28"/>
        </w:rPr>
        <w:t>Green supply chain management: A state-of-the-art literature review. </w:t>
      </w:r>
      <w:r w:rsidRPr="000C6AEC">
        <w:rPr>
          <w:rFonts w:ascii="Times New Roman" w:hAnsi="Times New Roman" w:cs="Times New Roman"/>
          <w:i/>
          <w:iCs/>
          <w:sz w:val="28"/>
          <w:szCs w:val="28"/>
        </w:rPr>
        <w:t>International Journal of Production Economics, 193</w:t>
      </w:r>
      <w:r w:rsidRPr="000C6AEC">
        <w:rPr>
          <w:rFonts w:ascii="Times New Roman" w:hAnsi="Times New Roman" w:cs="Times New Roman"/>
          <w:sz w:val="28"/>
          <w:szCs w:val="28"/>
        </w:rPr>
        <w:t>(Part B), 210-</w:t>
      </w:r>
      <w:proofErr w:type="gramStart"/>
      <w:r w:rsidRPr="000C6AEC">
        <w:rPr>
          <w:rFonts w:ascii="Times New Roman" w:hAnsi="Times New Roman" w:cs="Times New Roman"/>
          <w:sz w:val="28"/>
          <w:szCs w:val="28"/>
        </w:rPr>
        <w:t>225.​</w:t>
      </w:r>
      <w:proofErr w:type="gramEnd"/>
    </w:p>
    <w:p w14:paraId="27730960"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Ecological Economics Framework for Sustainable Supply Chain. (2026, February 1). HAL Open Science. </w:t>
      </w:r>
      <w:hyperlink r:id="rId13" w:tgtFrame="_blank" w:history="1">
        <w:r w:rsidRPr="000C6AEC">
          <w:rPr>
            <w:rStyle w:val="Hyperlink"/>
            <w:rFonts w:ascii="Times New Roman" w:hAnsi="Times New Roman" w:cs="Times New Roman"/>
            <w:sz w:val="28"/>
            <w:szCs w:val="28"/>
          </w:rPr>
          <w:t>https://ideas.repec.org/p/hal/journl/hal-05518100.html</w:t>
        </w:r>
      </w:hyperlink>
      <w:r w:rsidRPr="000C6AEC">
        <w:rPr>
          <w:rFonts w:ascii="Times New Roman" w:hAnsi="Times New Roman" w:cs="Times New Roman"/>
          <w:sz w:val="28"/>
          <w:szCs w:val="28"/>
        </w:rPr>
        <w:t>​</w:t>
      </w:r>
    </w:p>
    <w:p w14:paraId="033B74AE"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proofErr w:type="spellStart"/>
      <w:r w:rsidRPr="00745E83">
        <w:rPr>
          <w:rFonts w:ascii="Times New Roman" w:hAnsi="Times New Roman" w:cs="Times New Roman"/>
          <w:sz w:val="28"/>
          <w:szCs w:val="28"/>
          <w:lang w:val="es-US"/>
        </w:rPr>
        <w:t>Fahimnia</w:t>
      </w:r>
      <w:proofErr w:type="spellEnd"/>
      <w:r w:rsidRPr="00745E83">
        <w:rPr>
          <w:rFonts w:ascii="Times New Roman" w:hAnsi="Times New Roman" w:cs="Times New Roman"/>
          <w:sz w:val="28"/>
          <w:szCs w:val="28"/>
          <w:lang w:val="es-US"/>
        </w:rPr>
        <w:t xml:space="preserve">, B., </w:t>
      </w:r>
      <w:proofErr w:type="spellStart"/>
      <w:r w:rsidRPr="00745E83">
        <w:rPr>
          <w:rFonts w:ascii="Times New Roman" w:hAnsi="Times New Roman" w:cs="Times New Roman"/>
          <w:sz w:val="28"/>
          <w:szCs w:val="28"/>
          <w:lang w:val="es-US"/>
        </w:rPr>
        <w:t>Sarkis</w:t>
      </w:r>
      <w:proofErr w:type="spellEnd"/>
      <w:r w:rsidRPr="00745E83">
        <w:rPr>
          <w:rFonts w:ascii="Times New Roman" w:hAnsi="Times New Roman" w:cs="Times New Roman"/>
          <w:sz w:val="28"/>
          <w:szCs w:val="28"/>
          <w:lang w:val="es-US"/>
        </w:rPr>
        <w:t xml:space="preserve">, J., &amp; </w:t>
      </w:r>
      <w:proofErr w:type="spellStart"/>
      <w:r w:rsidRPr="00745E83">
        <w:rPr>
          <w:rFonts w:ascii="Times New Roman" w:hAnsi="Times New Roman" w:cs="Times New Roman"/>
          <w:sz w:val="28"/>
          <w:szCs w:val="28"/>
          <w:lang w:val="es-US"/>
        </w:rPr>
        <w:t>Davarzani</w:t>
      </w:r>
      <w:proofErr w:type="spellEnd"/>
      <w:r w:rsidRPr="00745E83">
        <w:rPr>
          <w:rFonts w:ascii="Times New Roman" w:hAnsi="Times New Roman" w:cs="Times New Roman"/>
          <w:sz w:val="28"/>
          <w:szCs w:val="28"/>
          <w:lang w:val="es-US"/>
        </w:rPr>
        <w:t xml:space="preserve">, H. (2015). </w:t>
      </w:r>
      <w:r w:rsidRPr="000C6AEC">
        <w:rPr>
          <w:rFonts w:ascii="Times New Roman" w:hAnsi="Times New Roman" w:cs="Times New Roman"/>
          <w:sz w:val="28"/>
          <w:szCs w:val="28"/>
        </w:rPr>
        <w:t>Green supply chain management: A review and bibliometric analysis. </w:t>
      </w:r>
      <w:r w:rsidRPr="000C6AEC">
        <w:rPr>
          <w:rFonts w:ascii="Times New Roman" w:hAnsi="Times New Roman" w:cs="Times New Roman"/>
          <w:i/>
          <w:iCs/>
          <w:sz w:val="28"/>
          <w:szCs w:val="28"/>
        </w:rPr>
        <w:t>International Journal of Production Economics, 162</w:t>
      </w:r>
      <w:r w:rsidRPr="000C6AEC">
        <w:rPr>
          <w:rFonts w:ascii="Times New Roman" w:hAnsi="Times New Roman" w:cs="Times New Roman"/>
          <w:sz w:val="28"/>
          <w:szCs w:val="28"/>
        </w:rPr>
        <w:t>, 101-</w:t>
      </w:r>
      <w:proofErr w:type="gramStart"/>
      <w:r w:rsidRPr="000C6AEC">
        <w:rPr>
          <w:rFonts w:ascii="Times New Roman" w:hAnsi="Times New Roman" w:cs="Times New Roman"/>
          <w:sz w:val="28"/>
          <w:szCs w:val="28"/>
        </w:rPr>
        <w:t>114.​</w:t>
      </w:r>
      <w:proofErr w:type="gramEnd"/>
    </w:p>
    <w:p w14:paraId="1AF7F1A8"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Focus2move. (2026, February 14). </w:t>
      </w:r>
      <w:r w:rsidRPr="000C6AEC">
        <w:rPr>
          <w:rFonts w:ascii="Times New Roman" w:hAnsi="Times New Roman" w:cs="Times New Roman"/>
          <w:i/>
          <w:iCs/>
          <w:sz w:val="28"/>
          <w:szCs w:val="28"/>
        </w:rPr>
        <w:t>ASEAN vehicle market - 2025</w:t>
      </w:r>
      <w:r w:rsidRPr="000C6AEC">
        <w:rPr>
          <w:rFonts w:ascii="Times New Roman" w:hAnsi="Times New Roman" w:cs="Times New Roman"/>
          <w:sz w:val="28"/>
          <w:szCs w:val="28"/>
        </w:rPr>
        <w:t>. </w:t>
      </w:r>
      <w:hyperlink r:id="rId14" w:tgtFrame="_blank" w:history="1">
        <w:r w:rsidRPr="000C6AEC">
          <w:rPr>
            <w:rStyle w:val="Hyperlink"/>
            <w:rFonts w:ascii="Times New Roman" w:hAnsi="Times New Roman" w:cs="Times New Roman"/>
            <w:sz w:val="28"/>
            <w:szCs w:val="28"/>
          </w:rPr>
          <w:t>https://www.focus2move.com/asean-vehicle-market/</w:t>
        </w:r>
      </w:hyperlink>
      <w:r w:rsidRPr="000C6AEC">
        <w:rPr>
          <w:rFonts w:ascii="Times New Roman" w:hAnsi="Times New Roman" w:cs="Times New Roman"/>
          <w:sz w:val="28"/>
          <w:szCs w:val="28"/>
        </w:rPr>
        <w:t>​</w:t>
      </w:r>
    </w:p>
    <w:p w14:paraId="34FE8796"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proofErr w:type="spellStart"/>
      <w:r w:rsidRPr="000C6AEC">
        <w:rPr>
          <w:rFonts w:ascii="Times New Roman" w:hAnsi="Times New Roman" w:cs="Times New Roman"/>
          <w:sz w:val="28"/>
          <w:szCs w:val="28"/>
        </w:rPr>
        <w:t>Folke</w:t>
      </w:r>
      <w:proofErr w:type="spellEnd"/>
      <w:r w:rsidRPr="000C6AEC">
        <w:rPr>
          <w:rFonts w:ascii="Times New Roman" w:hAnsi="Times New Roman" w:cs="Times New Roman"/>
          <w:sz w:val="28"/>
          <w:szCs w:val="28"/>
        </w:rPr>
        <w:t>, C., Hahn, T., Olsson, P., &amp; Norberg, J. (2005). Adaptive governance of social-ecological systems. </w:t>
      </w:r>
      <w:r w:rsidRPr="000C6AEC">
        <w:rPr>
          <w:rFonts w:ascii="Times New Roman" w:hAnsi="Times New Roman" w:cs="Times New Roman"/>
          <w:i/>
          <w:iCs/>
          <w:sz w:val="28"/>
          <w:szCs w:val="28"/>
        </w:rPr>
        <w:t>Annual Review of Environment and Resources, 30</w:t>
      </w:r>
      <w:r w:rsidRPr="000C6AEC">
        <w:rPr>
          <w:rFonts w:ascii="Times New Roman" w:hAnsi="Times New Roman" w:cs="Times New Roman"/>
          <w:sz w:val="28"/>
          <w:szCs w:val="28"/>
        </w:rPr>
        <w:t>, 441-</w:t>
      </w:r>
      <w:proofErr w:type="gramStart"/>
      <w:r w:rsidRPr="000C6AEC">
        <w:rPr>
          <w:rFonts w:ascii="Times New Roman" w:hAnsi="Times New Roman" w:cs="Times New Roman"/>
          <w:sz w:val="28"/>
          <w:szCs w:val="28"/>
        </w:rPr>
        <w:t>473.​</w:t>
      </w:r>
      <w:proofErr w:type="gramEnd"/>
    </w:p>
    <w:p w14:paraId="23A44FE6"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proofErr w:type="spellStart"/>
      <w:r w:rsidRPr="000C6AEC">
        <w:rPr>
          <w:rFonts w:ascii="Times New Roman" w:hAnsi="Times New Roman" w:cs="Times New Roman"/>
          <w:sz w:val="28"/>
          <w:szCs w:val="28"/>
        </w:rPr>
        <w:t>Gersick</w:t>
      </w:r>
      <w:proofErr w:type="spellEnd"/>
      <w:r w:rsidRPr="000C6AEC">
        <w:rPr>
          <w:rFonts w:ascii="Times New Roman" w:hAnsi="Times New Roman" w:cs="Times New Roman"/>
          <w:sz w:val="28"/>
          <w:szCs w:val="28"/>
        </w:rPr>
        <w:t>, C. J. G. (1991). Revolutionary change theories: A multilevel exploration of the punctuated equilibrium paradigm. </w:t>
      </w:r>
      <w:r w:rsidRPr="000C6AEC">
        <w:rPr>
          <w:rFonts w:ascii="Times New Roman" w:hAnsi="Times New Roman" w:cs="Times New Roman"/>
          <w:i/>
          <w:iCs/>
          <w:sz w:val="28"/>
          <w:szCs w:val="28"/>
        </w:rPr>
        <w:t>Academy of Management Review, 16</w:t>
      </w:r>
      <w:r w:rsidRPr="000C6AEC">
        <w:rPr>
          <w:rFonts w:ascii="Times New Roman" w:hAnsi="Times New Roman" w:cs="Times New Roman"/>
          <w:sz w:val="28"/>
          <w:szCs w:val="28"/>
        </w:rPr>
        <w:t>(1), 10-36.</w:t>
      </w:r>
    </w:p>
    <w:p w14:paraId="7199EC30" w14:textId="77777777" w:rsidR="000C6AEC" w:rsidRPr="000C6AEC" w:rsidRDefault="000C6AEC" w:rsidP="000C6AEC">
      <w:pPr>
        <w:pStyle w:val="ListParagraph"/>
        <w:numPr>
          <w:ilvl w:val="0"/>
          <w:numId w:val="11"/>
        </w:numPr>
        <w:jc w:val="both"/>
        <w:rPr>
          <w:rFonts w:ascii="Times New Roman" w:hAnsi="Times New Roman" w:cs="Times New Roman"/>
          <w:sz w:val="28"/>
          <w:szCs w:val="28"/>
        </w:rPr>
      </w:pPr>
      <w:r w:rsidRPr="000C6AEC">
        <w:rPr>
          <w:rFonts w:ascii="Times New Roman" w:hAnsi="Times New Roman" w:cs="Times New Roman"/>
          <w:sz w:val="28"/>
          <w:szCs w:val="28"/>
        </w:rPr>
        <w:t>GIZ. (n.d.). </w:t>
      </w:r>
      <w:r w:rsidRPr="000C6AEC">
        <w:rPr>
          <w:rFonts w:ascii="Times New Roman" w:hAnsi="Times New Roman" w:cs="Times New Roman"/>
          <w:i/>
          <w:iCs/>
          <w:sz w:val="28"/>
          <w:szCs w:val="28"/>
        </w:rPr>
        <w:t>Thailand stocktaking report on sustainable transport and climate action</w:t>
      </w:r>
      <w:r w:rsidRPr="000C6AEC">
        <w:rPr>
          <w:rFonts w:ascii="Times New Roman" w:hAnsi="Times New Roman" w:cs="Times New Roman"/>
          <w:sz w:val="28"/>
          <w:szCs w:val="28"/>
        </w:rPr>
        <w:t>. </w:t>
      </w:r>
      <w:hyperlink r:id="rId15" w:tgtFrame="_blank" w:history="1">
        <w:r w:rsidRPr="000C6AEC">
          <w:rPr>
            <w:rStyle w:val="Hyperlink"/>
            <w:rFonts w:ascii="Times New Roman" w:hAnsi="Times New Roman" w:cs="Times New Roman"/>
            <w:sz w:val="28"/>
            <w:szCs w:val="28"/>
          </w:rPr>
          <w:t>https://transformative-mobility.org/wp-content/uploads/2024/01/GIZ-SUTP_TD_Thailand-Stocktaking-Report_EN.pdf</w:t>
        </w:r>
      </w:hyperlink>
    </w:p>
    <w:p w14:paraId="3906F223" w14:textId="77777777" w:rsidR="00542355" w:rsidRPr="00542355" w:rsidRDefault="00542355" w:rsidP="00542355">
      <w:pPr>
        <w:jc w:val="both"/>
        <w:rPr>
          <w:rFonts w:ascii="Times New Roman" w:hAnsi="Times New Roman" w:cs="Times New Roman"/>
          <w:sz w:val="28"/>
          <w:szCs w:val="28"/>
        </w:rPr>
      </w:pPr>
    </w:p>
    <w:p w14:paraId="5A83F690" w14:textId="77777777" w:rsidR="003554E0" w:rsidRPr="003554E0" w:rsidRDefault="003554E0" w:rsidP="003554E0">
      <w:pPr>
        <w:jc w:val="both"/>
        <w:rPr>
          <w:rFonts w:ascii="Times New Roman" w:hAnsi="Times New Roman" w:cs="Times New Roman"/>
          <w:sz w:val="28"/>
          <w:szCs w:val="28"/>
        </w:rPr>
      </w:pPr>
    </w:p>
    <w:sectPr w:rsidR="003554E0" w:rsidRPr="003554E0">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59FDB" w14:textId="77777777" w:rsidR="00362462" w:rsidRDefault="00362462" w:rsidP="008A7612">
      <w:pPr>
        <w:spacing w:after="0" w:line="240" w:lineRule="auto"/>
      </w:pPr>
      <w:r>
        <w:separator/>
      </w:r>
    </w:p>
  </w:endnote>
  <w:endnote w:type="continuationSeparator" w:id="0">
    <w:p w14:paraId="28F5FE50" w14:textId="77777777" w:rsidR="00362462" w:rsidRDefault="00362462" w:rsidP="008A7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951D8" w14:textId="77777777" w:rsidR="008A7612" w:rsidRDefault="008A7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72122" w14:textId="77777777" w:rsidR="008A7612" w:rsidRDefault="008A76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654C2" w14:textId="77777777" w:rsidR="008A7612" w:rsidRDefault="008A7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9EC00" w14:textId="77777777" w:rsidR="00362462" w:rsidRDefault="00362462" w:rsidP="008A7612">
      <w:pPr>
        <w:spacing w:after="0" w:line="240" w:lineRule="auto"/>
      </w:pPr>
      <w:r>
        <w:separator/>
      </w:r>
    </w:p>
  </w:footnote>
  <w:footnote w:type="continuationSeparator" w:id="0">
    <w:p w14:paraId="453312D0" w14:textId="77777777" w:rsidR="00362462" w:rsidRDefault="00362462" w:rsidP="008A7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19B17" w14:textId="3C310578" w:rsidR="008A7612" w:rsidRDefault="008A7612">
    <w:pPr>
      <w:pStyle w:val="Header"/>
    </w:pPr>
    <w:r>
      <w:rPr>
        <w:noProof/>
      </w:rPr>
      <w:pict w14:anchorId="478B0A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0876"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01D2C" w14:textId="055374FD" w:rsidR="008A7612" w:rsidRDefault="008A7612">
    <w:pPr>
      <w:pStyle w:val="Header"/>
    </w:pPr>
    <w:r>
      <w:rPr>
        <w:noProof/>
      </w:rPr>
      <w:pict w14:anchorId="72215F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0877"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961FA" w14:textId="41EBF37F" w:rsidR="008A7612" w:rsidRDefault="008A7612">
    <w:pPr>
      <w:pStyle w:val="Header"/>
    </w:pPr>
    <w:r>
      <w:rPr>
        <w:noProof/>
      </w:rPr>
      <w:pict w14:anchorId="322148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0875"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5A8A"/>
    <w:multiLevelType w:val="multilevel"/>
    <w:tmpl w:val="4E3E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547DC4"/>
    <w:multiLevelType w:val="hybridMultilevel"/>
    <w:tmpl w:val="27F66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5CAD"/>
    <w:multiLevelType w:val="multilevel"/>
    <w:tmpl w:val="41A81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B36329"/>
    <w:multiLevelType w:val="multilevel"/>
    <w:tmpl w:val="CAF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605ED0"/>
    <w:multiLevelType w:val="multilevel"/>
    <w:tmpl w:val="4BC42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644089"/>
    <w:multiLevelType w:val="multilevel"/>
    <w:tmpl w:val="1094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D80940"/>
    <w:multiLevelType w:val="multilevel"/>
    <w:tmpl w:val="2266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566138"/>
    <w:multiLevelType w:val="multilevel"/>
    <w:tmpl w:val="C916C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D505A1"/>
    <w:multiLevelType w:val="multilevel"/>
    <w:tmpl w:val="5A8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1876C2"/>
    <w:multiLevelType w:val="multilevel"/>
    <w:tmpl w:val="750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F8B5728"/>
    <w:multiLevelType w:val="multilevel"/>
    <w:tmpl w:val="E376A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2"/>
  </w:num>
  <w:num w:numId="4">
    <w:abstractNumId w:val="9"/>
  </w:num>
  <w:num w:numId="5">
    <w:abstractNumId w:val="3"/>
  </w:num>
  <w:num w:numId="6">
    <w:abstractNumId w:val="7"/>
  </w:num>
  <w:num w:numId="7">
    <w:abstractNumId w:val="5"/>
  </w:num>
  <w:num w:numId="8">
    <w:abstractNumId w:val="10"/>
  </w:num>
  <w:num w:numId="9">
    <w:abstractNumId w:val="6"/>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0MLGwMDMztDQ2MTBT0lEKTi0uzszPAykwrAUACLIAXiwAAAA="/>
  </w:docVars>
  <w:rsids>
    <w:rsidRoot w:val="003554E0"/>
    <w:rsid w:val="000C6AEC"/>
    <w:rsid w:val="003554E0"/>
    <w:rsid w:val="00362462"/>
    <w:rsid w:val="004122F1"/>
    <w:rsid w:val="00414FDD"/>
    <w:rsid w:val="00542355"/>
    <w:rsid w:val="006E3BBB"/>
    <w:rsid w:val="007455CC"/>
    <w:rsid w:val="00745E83"/>
    <w:rsid w:val="0076088A"/>
    <w:rsid w:val="007805F9"/>
    <w:rsid w:val="007F274D"/>
    <w:rsid w:val="008A7612"/>
    <w:rsid w:val="00DE2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D3C301"/>
  <w15:chartTrackingRefBased/>
  <w15:docId w15:val="{2510EF7A-0E3E-4AD7-9CB1-52BA56C2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4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554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54E0"/>
    <w:pPr>
      <w:ind w:left="720"/>
      <w:contextualSpacing/>
    </w:pPr>
  </w:style>
  <w:style w:type="character" w:customStyle="1" w:styleId="Heading1Char">
    <w:name w:val="Heading 1 Char"/>
    <w:basedOn w:val="DefaultParagraphFont"/>
    <w:link w:val="Heading1"/>
    <w:uiPriority w:val="9"/>
    <w:rsid w:val="003554E0"/>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3554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4E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554E0"/>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C6AEC"/>
    <w:pPr>
      <w:outlineLvl w:val="9"/>
    </w:pPr>
  </w:style>
  <w:style w:type="paragraph" w:styleId="TOC1">
    <w:name w:val="toc 1"/>
    <w:basedOn w:val="Normal"/>
    <w:next w:val="Normal"/>
    <w:autoRedefine/>
    <w:uiPriority w:val="39"/>
    <w:unhideWhenUsed/>
    <w:rsid w:val="000C6AEC"/>
    <w:pPr>
      <w:tabs>
        <w:tab w:val="right" w:leader="dot" w:pos="9350"/>
      </w:tabs>
      <w:spacing w:after="100"/>
    </w:pPr>
  </w:style>
  <w:style w:type="paragraph" w:styleId="TOC2">
    <w:name w:val="toc 2"/>
    <w:basedOn w:val="Normal"/>
    <w:next w:val="Normal"/>
    <w:autoRedefine/>
    <w:uiPriority w:val="39"/>
    <w:unhideWhenUsed/>
    <w:rsid w:val="000C6AEC"/>
    <w:pPr>
      <w:spacing w:after="100"/>
      <w:ind w:left="220"/>
    </w:pPr>
  </w:style>
  <w:style w:type="character" w:styleId="Hyperlink">
    <w:name w:val="Hyperlink"/>
    <w:basedOn w:val="DefaultParagraphFont"/>
    <w:uiPriority w:val="99"/>
    <w:unhideWhenUsed/>
    <w:rsid w:val="000C6AEC"/>
    <w:rPr>
      <w:color w:val="0563C1" w:themeColor="hyperlink"/>
      <w:u w:val="single"/>
    </w:rPr>
  </w:style>
  <w:style w:type="character" w:styleId="UnresolvedMention">
    <w:name w:val="Unresolved Mention"/>
    <w:basedOn w:val="DefaultParagraphFont"/>
    <w:uiPriority w:val="99"/>
    <w:semiHidden/>
    <w:unhideWhenUsed/>
    <w:rsid w:val="00414FDD"/>
    <w:rPr>
      <w:color w:val="605E5C"/>
      <w:shd w:val="clear" w:color="auto" w:fill="E1DFDD"/>
    </w:rPr>
  </w:style>
  <w:style w:type="paragraph" w:styleId="Header">
    <w:name w:val="header"/>
    <w:basedOn w:val="Normal"/>
    <w:link w:val="HeaderChar"/>
    <w:uiPriority w:val="99"/>
    <w:unhideWhenUsed/>
    <w:rsid w:val="008A76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612"/>
  </w:style>
  <w:style w:type="paragraph" w:styleId="Footer">
    <w:name w:val="footer"/>
    <w:basedOn w:val="Normal"/>
    <w:link w:val="FooterChar"/>
    <w:uiPriority w:val="99"/>
    <w:unhideWhenUsed/>
    <w:rsid w:val="008A76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91931">
      <w:bodyDiv w:val="1"/>
      <w:marLeft w:val="0"/>
      <w:marRight w:val="0"/>
      <w:marTop w:val="0"/>
      <w:marBottom w:val="0"/>
      <w:divBdr>
        <w:top w:val="none" w:sz="0" w:space="0" w:color="auto"/>
        <w:left w:val="none" w:sz="0" w:space="0" w:color="auto"/>
        <w:bottom w:val="none" w:sz="0" w:space="0" w:color="auto"/>
        <w:right w:val="none" w:sz="0" w:space="0" w:color="auto"/>
      </w:divBdr>
    </w:div>
    <w:div w:id="220791643">
      <w:bodyDiv w:val="1"/>
      <w:marLeft w:val="0"/>
      <w:marRight w:val="0"/>
      <w:marTop w:val="0"/>
      <w:marBottom w:val="0"/>
      <w:divBdr>
        <w:top w:val="none" w:sz="0" w:space="0" w:color="auto"/>
        <w:left w:val="none" w:sz="0" w:space="0" w:color="auto"/>
        <w:bottom w:val="none" w:sz="0" w:space="0" w:color="auto"/>
        <w:right w:val="none" w:sz="0" w:space="0" w:color="auto"/>
      </w:divBdr>
    </w:div>
    <w:div w:id="378208797">
      <w:bodyDiv w:val="1"/>
      <w:marLeft w:val="0"/>
      <w:marRight w:val="0"/>
      <w:marTop w:val="0"/>
      <w:marBottom w:val="0"/>
      <w:divBdr>
        <w:top w:val="none" w:sz="0" w:space="0" w:color="auto"/>
        <w:left w:val="none" w:sz="0" w:space="0" w:color="auto"/>
        <w:bottom w:val="none" w:sz="0" w:space="0" w:color="auto"/>
        <w:right w:val="none" w:sz="0" w:space="0" w:color="auto"/>
      </w:divBdr>
    </w:div>
    <w:div w:id="525944628">
      <w:bodyDiv w:val="1"/>
      <w:marLeft w:val="0"/>
      <w:marRight w:val="0"/>
      <w:marTop w:val="0"/>
      <w:marBottom w:val="0"/>
      <w:divBdr>
        <w:top w:val="none" w:sz="0" w:space="0" w:color="auto"/>
        <w:left w:val="none" w:sz="0" w:space="0" w:color="auto"/>
        <w:bottom w:val="none" w:sz="0" w:space="0" w:color="auto"/>
        <w:right w:val="none" w:sz="0" w:space="0" w:color="auto"/>
      </w:divBdr>
    </w:div>
    <w:div w:id="560945083">
      <w:bodyDiv w:val="1"/>
      <w:marLeft w:val="0"/>
      <w:marRight w:val="0"/>
      <w:marTop w:val="0"/>
      <w:marBottom w:val="0"/>
      <w:divBdr>
        <w:top w:val="none" w:sz="0" w:space="0" w:color="auto"/>
        <w:left w:val="none" w:sz="0" w:space="0" w:color="auto"/>
        <w:bottom w:val="none" w:sz="0" w:space="0" w:color="auto"/>
        <w:right w:val="none" w:sz="0" w:space="0" w:color="auto"/>
      </w:divBdr>
    </w:div>
    <w:div w:id="657463938">
      <w:bodyDiv w:val="1"/>
      <w:marLeft w:val="0"/>
      <w:marRight w:val="0"/>
      <w:marTop w:val="0"/>
      <w:marBottom w:val="0"/>
      <w:divBdr>
        <w:top w:val="none" w:sz="0" w:space="0" w:color="auto"/>
        <w:left w:val="none" w:sz="0" w:space="0" w:color="auto"/>
        <w:bottom w:val="none" w:sz="0" w:space="0" w:color="auto"/>
        <w:right w:val="none" w:sz="0" w:space="0" w:color="auto"/>
      </w:divBdr>
    </w:div>
    <w:div w:id="670371512">
      <w:bodyDiv w:val="1"/>
      <w:marLeft w:val="0"/>
      <w:marRight w:val="0"/>
      <w:marTop w:val="0"/>
      <w:marBottom w:val="0"/>
      <w:divBdr>
        <w:top w:val="none" w:sz="0" w:space="0" w:color="auto"/>
        <w:left w:val="none" w:sz="0" w:space="0" w:color="auto"/>
        <w:bottom w:val="none" w:sz="0" w:space="0" w:color="auto"/>
        <w:right w:val="none" w:sz="0" w:space="0" w:color="auto"/>
      </w:divBdr>
    </w:div>
    <w:div w:id="692462135">
      <w:bodyDiv w:val="1"/>
      <w:marLeft w:val="0"/>
      <w:marRight w:val="0"/>
      <w:marTop w:val="0"/>
      <w:marBottom w:val="0"/>
      <w:divBdr>
        <w:top w:val="none" w:sz="0" w:space="0" w:color="auto"/>
        <w:left w:val="none" w:sz="0" w:space="0" w:color="auto"/>
        <w:bottom w:val="none" w:sz="0" w:space="0" w:color="auto"/>
        <w:right w:val="none" w:sz="0" w:space="0" w:color="auto"/>
      </w:divBdr>
    </w:div>
    <w:div w:id="697201687">
      <w:bodyDiv w:val="1"/>
      <w:marLeft w:val="0"/>
      <w:marRight w:val="0"/>
      <w:marTop w:val="0"/>
      <w:marBottom w:val="0"/>
      <w:divBdr>
        <w:top w:val="none" w:sz="0" w:space="0" w:color="auto"/>
        <w:left w:val="none" w:sz="0" w:space="0" w:color="auto"/>
        <w:bottom w:val="none" w:sz="0" w:space="0" w:color="auto"/>
        <w:right w:val="none" w:sz="0" w:space="0" w:color="auto"/>
      </w:divBdr>
      <w:divsChild>
        <w:div w:id="670568554">
          <w:marLeft w:val="0"/>
          <w:marRight w:val="0"/>
          <w:marTop w:val="0"/>
          <w:marBottom w:val="0"/>
          <w:divBdr>
            <w:top w:val="single" w:sz="2" w:space="0" w:color="auto"/>
            <w:left w:val="single" w:sz="2" w:space="0" w:color="auto"/>
            <w:bottom w:val="single" w:sz="2" w:space="0" w:color="auto"/>
            <w:right w:val="single" w:sz="2" w:space="0" w:color="auto"/>
          </w:divBdr>
          <w:divsChild>
            <w:div w:id="1517421042">
              <w:marLeft w:val="0"/>
              <w:marRight w:val="0"/>
              <w:marTop w:val="0"/>
              <w:marBottom w:val="0"/>
              <w:divBdr>
                <w:top w:val="single" w:sz="2" w:space="0" w:color="auto"/>
                <w:left w:val="single" w:sz="2" w:space="0" w:color="auto"/>
                <w:bottom w:val="single" w:sz="2" w:space="0" w:color="auto"/>
                <w:right w:val="single" w:sz="2" w:space="0" w:color="auto"/>
              </w:divBdr>
              <w:divsChild>
                <w:div w:id="194196966">
                  <w:marLeft w:val="0"/>
                  <w:marRight w:val="0"/>
                  <w:marTop w:val="0"/>
                  <w:marBottom w:val="0"/>
                  <w:divBdr>
                    <w:top w:val="single" w:sz="2" w:space="0" w:color="auto"/>
                    <w:left w:val="single" w:sz="2" w:space="0" w:color="auto"/>
                    <w:bottom w:val="single" w:sz="2" w:space="0" w:color="auto"/>
                    <w:right w:val="single" w:sz="2" w:space="0" w:color="auto"/>
                  </w:divBdr>
                  <w:divsChild>
                    <w:div w:id="1718970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01177858">
          <w:marLeft w:val="0"/>
          <w:marRight w:val="0"/>
          <w:marTop w:val="0"/>
          <w:marBottom w:val="0"/>
          <w:divBdr>
            <w:top w:val="single" w:sz="2" w:space="0" w:color="auto"/>
            <w:left w:val="single" w:sz="2" w:space="0" w:color="auto"/>
            <w:bottom w:val="single" w:sz="2" w:space="0" w:color="auto"/>
            <w:right w:val="single" w:sz="2" w:space="0" w:color="auto"/>
          </w:divBdr>
          <w:divsChild>
            <w:div w:id="575551704">
              <w:marLeft w:val="0"/>
              <w:marRight w:val="0"/>
              <w:marTop w:val="0"/>
              <w:marBottom w:val="0"/>
              <w:divBdr>
                <w:top w:val="single" w:sz="2" w:space="0" w:color="auto"/>
                <w:left w:val="single" w:sz="2" w:space="0" w:color="auto"/>
                <w:bottom w:val="single" w:sz="2" w:space="0" w:color="auto"/>
                <w:right w:val="single" w:sz="2" w:space="0" w:color="auto"/>
              </w:divBdr>
              <w:divsChild>
                <w:div w:id="1739982142">
                  <w:marLeft w:val="0"/>
                  <w:marRight w:val="0"/>
                  <w:marTop w:val="0"/>
                  <w:marBottom w:val="0"/>
                  <w:divBdr>
                    <w:top w:val="single" w:sz="2" w:space="0" w:color="auto"/>
                    <w:left w:val="single" w:sz="2" w:space="0" w:color="auto"/>
                    <w:bottom w:val="single" w:sz="2" w:space="0" w:color="auto"/>
                    <w:right w:val="single" w:sz="2" w:space="0" w:color="auto"/>
                  </w:divBdr>
                  <w:divsChild>
                    <w:div w:id="1160275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04184445">
      <w:bodyDiv w:val="1"/>
      <w:marLeft w:val="0"/>
      <w:marRight w:val="0"/>
      <w:marTop w:val="0"/>
      <w:marBottom w:val="0"/>
      <w:divBdr>
        <w:top w:val="none" w:sz="0" w:space="0" w:color="auto"/>
        <w:left w:val="none" w:sz="0" w:space="0" w:color="auto"/>
        <w:bottom w:val="none" w:sz="0" w:space="0" w:color="auto"/>
        <w:right w:val="none" w:sz="0" w:space="0" w:color="auto"/>
      </w:divBdr>
    </w:div>
    <w:div w:id="746651666">
      <w:bodyDiv w:val="1"/>
      <w:marLeft w:val="0"/>
      <w:marRight w:val="0"/>
      <w:marTop w:val="0"/>
      <w:marBottom w:val="0"/>
      <w:divBdr>
        <w:top w:val="none" w:sz="0" w:space="0" w:color="auto"/>
        <w:left w:val="none" w:sz="0" w:space="0" w:color="auto"/>
        <w:bottom w:val="none" w:sz="0" w:space="0" w:color="auto"/>
        <w:right w:val="none" w:sz="0" w:space="0" w:color="auto"/>
      </w:divBdr>
    </w:div>
    <w:div w:id="789471533">
      <w:bodyDiv w:val="1"/>
      <w:marLeft w:val="0"/>
      <w:marRight w:val="0"/>
      <w:marTop w:val="0"/>
      <w:marBottom w:val="0"/>
      <w:divBdr>
        <w:top w:val="none" w:sz="0" w:space="0" w:color="auto"/>
        <w:left w:val="none" w:sz="0" w:space="0" w:color="auto"/>
        <w:bottom w:val="none" w:sz="0" w:space="0" w:color="auto"/>
        <w:right w:val="none" w:sz="0" w:space="0" w:color="auto"/>
      </w:divBdr>
    </w:div>
    <w:div w:id="875043140">
      <w:bodyDiv w:val="1"/>
      <w:marLeft w:val="0"/>
      <w:marRight w:val="0"/>
      <w:marTop w:val="0"/>
      <w:marBottom w:val="0"/>
      <w:divBdr>
        <w:top w:val="none" w:sz="0" w:space="0" w:color="auto"/>
        <w:left w:val="none" w:sz="0" w:space="0" w:color="auto"/>
        <w:bottom w:val="none" w:sz="0" w:space="0" w:color="auto"/>
        <w:right w:val="none" w:sz="0" w:space="0" w:color="auto"/>
      </w:divBdr>
    </w:div>
    <w:div w:id="911813819">
      <w:bodyDiv w:val="1"/>
      <w:marLeft w:val="0"/>
      <w:marRight w:val="0"/>
      <w:marTop w:val="0"/>
      <w:marBottom w:val="0"/>
      <w:divBdr>
        <w:top w:val="none" w:sz="0" w:space="0" w:color="auto"/>
        <w:left w:val="none" w:sz="0" w:space="0" w:color="auto"/>
        <w:bottom w:val="none" w:sz="0" w:space="0" w:color="auto"/>
        <w:right w:val="none" w:sz="0" w:space="0" w:color="auto"/>
      </w:divBdr>
    </w:div>
    <w:div w:id="1078937190">
      <w:bodyDiv w:val="1"/>
      <w:marLeft w:val="0"/>
      <w:marRight w:val="0"/>
      <w:marTop w:val="0"/>
      <w:marBottom w:val="0"/>
      <w:divBdr>
        <w:top w:val="none" w:sz="0" w:space="0" w:color="auto"/>
        <w:left w:val="none" w:sz="0" w:space="0" w:color="auto"/>
        <w:bottom w:val="none" w:sz="0" w:space="0" w:color="auto"/>
        <w:right w:val="none" w:sz="0" w:space="0" w:color="auto"/>
      </w:divBdr>
    </w:div>
    <w:div w:id="1088036307">
      <w:bodyDiv w:val="1"/>
      <w:marLeft w:val="0"/>
      <w:marRight w:val="0"/>
      <w:marTop w:val="0"/>
      <w:marBottom w:val="0"/>
      <w:divBdr>
        <w:top w:val="none" w:sz="0" w:space="0" w:color="auto"/>
        <w:left w:val="none" w:sz="0" w:space="0" w:color="auto"/>
        <w:bottom w:val="none" w:sz="0" w:space="0" w:color="auto"/>
        <w:right w:val="none" w:sz="0" w:space="0" w:color="auto"/>
      </w:divBdr>
    </w:div>
    <w:div w:id="1164666977">
      <w:bodyDiv w:val="1"/>
      <w:marLeft w:val="0"/>
      <w:marRight w:val="0"/>
      <w:marTop w:val="0"/>
      <w:marBottom w:val="0"/>
      <w:divBdr>
        <w:top w:val="none" w:sz="0" w:space="0" w:color="auto"/>
        <w:left w:val="none" w:sz="0" w:space="0" w:color="auto"/>
        <w:bottom w:val="none" w:sz="0" w:space="0" w:color="auto"/>
        <w:right w:val="none" w:sz="0" w:space="0" w:color="auto"/>
      </w:divBdr>
    </w:div>
    <w:div w:id="1342321537">
      <w:bodyDiv w:val="1"/>
      <w:marLeft w:val="0"/>
      <w:marRight w:val="0"/>
      <w:marTop w:val="0"/>
      <w:marBottom w:val="0"/>
      <w:divBdr>
        <w:top w:val="none" w:sz="0" w:space="0" w:color="auto"/>
        <w:left w:val="none" w:sz="0" w:space="0" w:color="auto"/>
        <w:bottom w:val="none" w:sz="0" w:space="0" w:color="auto"/>
        <w:right w:val="none" w:sz="0" w:space="0" w:color="auto"/>
      </w:divBdr>
      <w:divsChild>
        <w:div w:id="1704403075">
          <w:marLeft w:val="0"/>
          <w:marRight w:val="0"/>
          <w:marTop w:val="0"/>
          <w:marBottom w:val="0"/>
          <w:divBdr>
            <w:top w:val="single" w:sz="2" w:space="0" w:color="auto"/>
            <w:left w:val="single" w:sz="2" w:space="0" w:color="auto"/>
            <w:bottom w:val="single" w:sz="2" w:space="0" w:color="auto"/>
            <w:right w:val="single" w:sz="2" w:space="0" w:color="auto"/>
          </w:divBdr>
          <w:divsChild>
            <w:div w:id="999114372">
              <w:marLeft w:val="0"/>
              <w:marRight w:val="0"/>
              <w:marTop w:val="0"/>
              <w:marBottom w:val="0"/>
              <w:divBdr>
                <w:top w:val="single" w:sz="2" w:space="0" w:color="auto"/>
                <w:left w:val="single" w:sz="2" w:space="0" w:color="auto"/>
                <w:bottom w:val="single" w:sz="2" w:space="0" w:color="auto"/>
                <w:right w:val="single" w:sz="2" w:space="0" w:color="auto"/>
              </w:divBdr>
              <w:divsChild>
                <w:div w:id="502820967">
                  <w:marLeft w:val="0"/>
                  <w:marRight w:val="0"/>
                  <w:marTop w:val="480"/>
                  <w:marBottom w:val="0"/>
                  <w:divBdr>
                    <w:top w:val="single" w:sz="2" w:space="0" w:color="auto"/>
                    <w:left w:val="single" w:sz="2" w:space="0" w:color="auto"/>
                    <w:bottom w:val="single" w:sz="2" w:space="0" w:color="auto"/>
                    <w:right w:val="single" w:sz="2" w:space="0" w:color="auto"/>
                  </w:divBdr>
                  <w:divsChild>
                    <w:div w:id="766774607">
                      <w:marLeft w:val="0"/>
                      <w:marRight w:val="0"/>
                      <w:marTop w:val="0"/>
                      <w:marBottom w:val="0"/>
                      <w:divBdr>
                        <w:top w:val="single" w:sz="2" w:space="0" w:color="auto"/>
                        <w:left w:val="single" w:sz="2" w:space="0" w:color="auto"/>
                        <w:bottom w:val="single" w:sz="2" w:space="0" w:color="auto"/>
                        <w:right w:val="single" w:sz="2" w:space="0" w:color="auto"/>
                      </w:divBdr>
                      <w:divsChild>
                        <w:div w:id="383144099">
                          <w:marLeft w:val="0"/>
                          <w:marRight w:val="0"/>
                          <w:marTop w:val="0"/>
                          <w:marBottom w:val="0"/>
                          <w:divBdr>
                            <w:top w:val="single" w:sz="2" w:space="0" w:color="auto"/>
                            <w:left w:val="single" w:sz="2" w:space="0" w:color="auto"/>
                            <w:bottom w:val="single" w:sz="2" w:space="0" w:color="auto"/>
                            <w:right w:val="single" w:sz="2" w:space="0" w:color="auto"/>
                          </w:divBdr>
                          <w:divsChild>
                            <w:div w:id="1099835332">
                              <w:marLeft w:val="0"/>
                              <w:marRight w:val="0"/>
                              <w:marTop w:val="0"/>
                              <w:marBottom w:val="0"/>
                              <w:divBdr>
                                <w:top w:val="single" w:sz="2" w:space="0" w:color="auto"/>
                                <w:left w:val="single" w:sz="2" w:space="0" w:color="auto"/>
                                <w:bottom w:val="single" w:sz="2" w:space="0" w:color="auto"/>
                                <w:right w:val="single" w:sz="2" w:space="0" w:color="auto"/>
                              </w:divBdr>
                              <w:divsChild>
                                <w:div w:id="774254277">
                                  <w:marLeft w:val="0"/>
                                  <w:marRight w:val="0"/>
                                  <w:marTop w:val="0"/>
                                  <w:marBottom w:val="0"/>
                                  <w:divBdr>
                                    <w:top w:val="single" w:sz="2" w:space="0" w:color="auto"/>
                                    <w:left w:val="single" w:sz="2" w:space="0" w:color="auto"/>
                                    <w:bottom w:val="single" w:sz="2" w:space="0" w:color="auto"/>
                                    <w:right w:val="single" w:sz="2" w:space="0" w:color="auto"/>
                                  </w:divBdr>
                                  <w:divsChild>
                                    <w:div w:id="2132941710">
                                      <w:marLeft w:val="0"/>
                                      <w:marRight w:val="0"/>
                                      <w:marTop w:val="0"/>
                                      <w:marBottom w:val="0"/>
                                      <w:divBdr>
                                        <w:top w:val="single" w:sz="2" w:space="0" w:color="auto"/>
                                        <w:left w:val="single" w:sz="2" w:space="0" w:color="auto"/>
                                        <w:bottom w:val="single" w:sz="2" w:space="0" w:color="auto"/>
                                        <w:right w:val="single" w:sz="2" w:space="0" w:color="auto"/>
                                      </w:divBdr>
                                      <w:divsChild>
                                        <w:div w:id="2072772948">
                                          <w:marLeft w:val="0"/>
                                          <w:marRight w:val="0"/>
                                          <w:marTop w:val="0"/>
                                          <w:marBottom w:val="0"/>
                                          <w:divBdr>
                                            <w:top w:val="single" w:sz="2" w:space="0" w:color="auto"/>
                                            <w:left w:val="single" w:sz="2" w:space="0" w:color="auto"/>
                                            <w:bottom w:val="single" w:sz="2" w:space="0" w:color="auto"/>
                                            <w:right w:val="single" w:sz="2" w:space="0" w:color="auto"/>
                                          </w:divBdr>
                                          <w:divsChild>
                                            <w:div w:id="1330643541">
                                              <w:marLeft w:val="0"/>
                                              <w:marRight w:val="0"/>
                                              <w:marTop w:val="0"/>
                                              <w:marBottom w:val="0"/>
                                              <w:divBdr>
                                                <w:top w:val="single" w:sz="2" w:space="0" w:color="auto"/>
                                                <w:left w:val="single" w:sz="2" w:space="0" w:color="auto"/>
                                                <w:bottom w:val="single" w:sz="2" w:space="0" w:color="auto"/>
                                                <w:right w:val="single" w:sz="2" w:space="0" w:color="auto"/>
                                              </w:divBdr>
                                              <w:divsChild>
                                                <w:div w:id="1905213837">
                                                  <w:marLeft w:val="0"/>
                                                  <w:marRight w:val="0"/>
                                                  <w:marTop w:val="0"/>
                                                  <w:marBottom w:val="0"/>
                                                  <w:divBdr>
                                                    <w:top w:val="single" w:sz="2" w:space="0" w:color="auto"/>
                                                    <w:left w:val="single" w:sz="2" w:space="0" w:color="auto"/>
                                                    <w:bottom w:val="single" w:sz="2" w:space="0" w:color="auto"/>
                                                    <w:right w:val="single" w:sz="2" w:space="0" w:color="auto"/>
                                                  </w:divBdr>
                                                  <w:divsChild>
                                                    <w:div w:id="728067563">
                                                      <w:marLeft w:val="0"/>
                                                      <w:marRight w:val="0"/>
                                                      <w:marTop w:val="0"/>
                                                      <w:marBottom w:val="0"/>
                                                      <w:divBdr>
                                                        <w:top w:val="single" w:sz="2" w:space="0" w:color="auto"/>
                                                        <w:left w:val="single" w:sz="2" w:space="0" w:color="auto"/>
                                                        <w:bottom w:val="single" w:sz="2" w:space="0" w:color="auto"/>
                                                        <w:right w:val="single" w:sz="2" w:space="0" w:color="auto"/>
                                                      </w:divBdr>
                                                      <w:divsChild>
                                                        <w:div w:id="1990161450">
                                                          <w:marLeft w:val="0"/>
                                                          <w:marRight w:val="0"/>
                                                          <w:marTop w:val="0"/>
                                                          <w:marBottom w:val="0"/>
                                                          <w:divBdr>
                                                            <w:top w:val="single" w:sz="2" w:space="0" w:color="auto"/>
                                                            <w:left w:val="single" w:sz="2" w:space="0" w:color="auto"/>
                                                            <w:bottom w:val="single" w:sz="2" w:space="0" w:color="auto"/>
                                                            <w:right w:val="single" w:sz="2" w:space="0" w:color="auto"/>
                                                          </w:divBdr>
                                                          <w:divsChild>
                                                            <w:div w:id="485125531">
                                                              <w:marLeft w:val="0"/>
                                                              <w:marRight w:val="0"/>
                                                              <w:marTop w:val="0"/>
                                                              <w:marBottom w:val="0"/>
                                                              <w:divBdr>
                                                                <w:top w:val="single" w:sz="2" w:space="0" w:color="auto"/>
                                                                <w:left w:val="single" w:sz="2" w:space="0" w:color="auto"/>
                                                                <w:bottom w:val="single" w:sz="2" w:space="0" w:color="auto"/>
                                                                <w:right w:val="single" w:sz="2" w:space="0" w:color="auto"/>
                                                              </w:divBdr>
                                                              <w:divsChild>
                                                                <w:div w:id="1373115254">
                                                                  <w:marLeft w:val="0"/>
                                                                  <w:marRight w:val="0"/>
                                                                  <w:marTop w:val="0"/>
                                                                  <w:marBottom w:val="0"/>
                                                                  <w:divBdr>
                                                                    <w:top w:val="single" w:sz="2" w:space="0" w:color="auto"/>
                                                                    <w:left w:val="single" w:sz="2" w:space="0" w:color="auto"/>
                                                                    <w:bottom w:val="single" w:sz="2" w:space="0" w:color="auto"/>
                                                                    <w:right w:val="single" w:sz="2" w:space="0" w:color="auto"/>
                                                                  </w:divBdr>
                                                                  <w:divsChild>
                                                                    <w:div w:id="19930953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99356700">
      <w:bodyDiv w:val="1"/>
      <w:marLeft w:val="0"/>
      <w:marRight w:val="0"/>
      <w:marTop w:val="0"/>
      <w:marBottom w:val="0"/>
      <w:divBdr>
        <w:top w:val="none" w:sz="0" w:space="0" w:color="auto"/>
        <w:left w:val="none" w:sz="0" w:space="0" w:color="auto"/>
        <w:bottom w:val="none" w:sz="0" w:space="0" w:color="auto"/>
        <w:right w:val="none" w:sz="0" w:space="0" w:color="auto"/>
      </w:divBdr>
    </w:div>
    <w:div w:id="1438521822">
      <w:bodyDiv w:val="1"/>
      <w:marLeft w:val="0"/>
      <w:marRight w:val="0"/>
      <w:marTop w:val="0"/>
      <w:marBottom w:val="0"/>
      <w:divBdr>
        <w:top w:val="none" w:sz="0" w:space="0" w:color="auto"/>
        <w:left w:val="none" w:sz="0" w:space="0" w:color="auto"/>
        <w:bottom w:val="none" w:sz="0" w:space="0" w:color="auto"/>
        <w:right w:val="none" w:sz="0" w:space="0" w:color="auto"/>
      </w:divBdr>
    </w:div>
    <w:div w:id="1457062747">
      <w:bodyDiv w:val="1"/>
      <w:marLeft w:val="0"/>
      <w:marRight w:val="0"/>
      <w:marTop w:val="0"/>
      <w:marBottom w:val="0"/>
      <w:divBdr>
        <w:top w:val="none" w:sz="0" w:space="0" w:color="auto"/>
        <w:left w:val="none" w:sz="0" w:space="0" w:color="auto"/>
        <w:bottom w:val="none" w:sz="0" w:space="0" w:color="auto"/>
        <w:right w:val="none" w:sz="0" w:space="0" w:color="auto"/>
      </w:divBdr>
      <w:divsChild>
        <w:div w:id="960838162">
          <w:marLeft w:val="0"/>
          <w:marRight w:val="0"/>
          <w:marTop w:val="0"/>
          <w:marBottom w:val="0"/>
          <w:divBdr>
            <w:top w:val="single" w:sz="2" w:space="0" w:color="auto"/>
            <w:left w:val="single" w:sz="2" w:space="0" w:color="auto"/>
            <w:bottom w:val="single" w:sz="2" w:space="0" w:color="auto"/>
            <w:right w:val="single" w:sz="2" w:space="0" w:color="auto"/>
          </w:divBdr>
          <w:divsChild>
            <w:div w:id="1344481304">
              <w:marLeft w:val="0"/>
              <w:marRight w:val="0"/>
              <w:marTop w:val="240"/>
              <w:marBottom w:val="240"/>
              <w:divBdr>
                <w:top w:val="single" w:sz="2" w:space="0" w:color="auto"/>
                <w:left w:val="single" w:sz="2" w:space="0" w:color="auto"/>
                <w:bottom w:val="single" w:sz="2" w:space="0" w:color="auto"/>
                <w:right w:val="single" w:sz="2" w:space="0" w:color="auto"/>
              </w:divBdr>
              <w:divsChild>
                <w:div w:id="1755084884">
                  <w:marLeft w:val="0"/>
                  <w:marRight w:val="0"/>
                  <w:marTop w:val="0"/>
                  <w:marBottom w:val="0"/>
                  <w:divBdr>
                    <w:top w:val="single" w:sz="2" w:space="0" w:color="auto"/>
                    <w:left w:val="single" w:sz="2" w:space="0" w:color="auto"/>
                    <w:bottom w:val="single" w:sz="2" w:space="0" w:color="auto"/>
                    <w:right w:val="single" w:sz="2" w:space="0" w:color="auto"/>
                  </w:divBdr>
                  <w:divsChild>
                    <w:div w:id="185025197">
                      <w:marLeft w:val="0"/>
                      <w:marRight w:val="0"/>
                      <w:marTop w:val="0"/>
                      <w:marBottom w:val="0"/>
                      <w:divBdr>
                        <w:top w:val="single" w:sz="2" w:space="0" w:color="auto"/>
                        <w:left w:val="single" w:sz="2" w:space="0" w:color="auto"/>
                        <w:bottom w:val="single" w:sz="2" w:space="0" w:color="auto"/>
                        <w:right w:val="single" w:sz="2" w:space="0" w:color="auto"/>
                      </w:divBdr>
                      <w:divsChild>
                        <w:div w:id="1538270764">
                          <w:marLeft w:val="0"/>
                          <w:marRight w:val="0"/>
                          <w:marTop w:val="0"/>
                          <w:marBottom w:val="0"/>
                          <w:divBdr>
                            <w:top w:val="single" w:sz="2" w:space="3" w:color="auto"/>
                            <w:left w:val="single" w:sz="2" w:space="6" w:color="auto"/>
                            <w:bottom w:val="single" w:sz="2" w:space="3" w:color="auto"/>
                            <w:right w:val="single" w:sz="2" w:space="6" w:color="auto"/>
                          </w:divBdr>
                        </w:div>
                      </w:divsChild>
                    </w:div>
                    <w:div w:id="340132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18152816">
      <w:bodyDiv w:val="1"/>
      <w:marLeft w:val="0"/>
      <w:marRight w:val="0"/>
      <w:marTop w:val="0"/>
      <w:marBottom w:val="0"/>
      <w:divBdr>
        <w:top w:val="none" w:sz="0" w:space="0" w:color="auto"/>
        <w:left w:val="none" w:sz="0" w:space="0" w:color="auto"/>
        <w:bottom w:val="none" w:sz="0" w:space="0" w:color="auto"/>
        <w:right w:val="none" w:sz="0" w:space="0" w:color="auto"/>
      </w:divBdr>
    </w:div>
    <w:div w:id="1624192718">
      <w:bodyDiv w:val="1"/>
      <w:marLeft w:val="0"/>
      <w:marRight w:val="0"/>
      <w:marTop w:val="0"/>
      <w:marBottom w:val="0"/>
      <w:divBdr>
        <w:top w:val="none" w:sz="0" w:space="0" w:color="auto"/>
        <w:left w:val="none" w:sz="0" w:space="0" w:color="auto"/>
        <w:bottom w:val="none" w:sz="0" w:space="0" w:color="auto"/>
        <w:right w:val="none" w:sz="0" w:space="0" w:color="auto"/>
      </w:divBdr>
      <w:divsChild>
        <w:div w:id="1176308449">
          <w:marLeft w:val="0"/>
          <w:marRight w:val="0"/>
          <w:marTop w:val="0"/>
          <w:marBottom w:val="0"/>
          <w:divBdr>
            <w:top w:val="single" w:sz="2" w:space="0" w:color="auto"/>
            <w:left w:val="single" w:sz="2" w:space="0" w:color="auto"/>
            <w:bottom w:val="single" w:sz="2" w:space="0" w:color="auto"/>
            <w:right w:val="single" w:sz="2" w:space="0" w:color="auto"/>
          </w:divBdr>
          <w:divsChild>
            <w:div w:id="190581442">
              <w:marLeft w:val="0"/>
              <w:marRight w:val="0"/>
              <w:marTop w:val="240"/>
              <w:marBottom w:val="240"/>
              <w:divBdr>
                <w:top w:val="single" w:sz="2" w:space="0" w:color="auto"/>
                <w:left w:val="single" w:sz="2" w:space="0" w:color="auto"/>
                <w:bottom w:val="single" w:sz="2" w:space="0" w:color="auto"/>
                <w:right w:val="single" w:sz="2" w:space="0" w:color="auto"/>
              </w:divBdr>
              <w:divsChild>
                <w:div w:id="1005984210">
                  <w:marLeft w:val="0"/>
                  <w:marRight w:val="0"/>
                  <w:marTop w:val="0"/>
                  <w:marBottom w:val="0"/>
                  <w:divBdr>
                    <w:top w:val="single" w:sz="2" w:space="0" w:color="auto"/>
                    <w:left w:val="single" w:sz="2" w:space="0" w:color="auto"/>
                    <w:bottom w:val="single" w:sz="2" w:space="0" w:color="auto"/>
                    <w:right w:val="single" w:sz="2" w:space="0" w:color="auto"/>
                  </w:divBdr>
                  <w:divsChild>
                    <w:div w:id="943417348">
                      <w:marLeft w:val="0"/>
                      <w:marRight w:val="0"/>
                      <w:marTop w:val="0"/>
                      <w:marBottom w:val="0"/>
                      <w:divBdr>
                        <w:top w:val="single" w:sz="2" w:space="0" w:color="auto"/>
                        <w:left w:val="single" w:sz="2" w:space="0" w:color="auto"/>
                        <w:bottom w:val="single" w:sz="2" w:space="0" w:color="auto"/>
                        <w:right w:val="single" w:sz="2" w:space="0" w:color="auto"/>
                      </w:divBdr>
                      <w:divsChild>
                        <w:div w:id="1740790648">
                          <w:marLeft w:val="0"/>
                          <w:marRight w:val="0"/>
                          <w:marTop w:val="0"/>
                          <w:marBottom w:val="0"/>
                          <w:divBdr>
                            <w:top w:val="single" w:sz="2" w:space="3" w:color="auto"/>
                            <w:left w:val="single" w:sz="2" w:space="6" w:color="auto"/>
                            <w:bottom w:val="single" w:sz="2" w:space="3" w:color="auto"/>
                            <w:right w:val="single" w:sz="2" w:space="6" w:color="auto"/>
                          </w:divBdr>
                        </w:div>
                      </w:divsChild>
                    </w:div>
                    <w:div w:id="2621495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71983168">
      <w:bodyDiv w:val="1"/>
      <w:marLeft w:val="0"/>
      <w:marRight w:val="0"/>
      <w:marTop w:val="0"/>
      <w:marBottom w:val="0"/>
      <w:divBdr>
        <w:top w:val="none" w:sz="0" w:space="0" w:color="auto"/>
        <w:left w:val="none" w:sz="0" w:space="0" w:color="auto"/>
        <w:bottom w:val="none" w:sz="0" w:space="0" w:color="auto"/>
        <w:right w:val="none" w:sz="0" w:space="0" w:color="auto"/>
      </w:divBdr>
      <w:divsChild>
        <w:div w:id="759911779">
          <w:marLeft w:val="0"/>
          <w:marRight w:val="0"/>
          <w:marTop w:val="0"/>
          <w:marBottom w:val="0"/>
          <w:divBdr>
            <w:top w:val="single" w:sz="2" w:space="0" w:color="auto"/>
            <w:left w:val="single" w:sz="2" w:space="0" w:color="auto"/>
            <w:bottom w:val="single" w:sz="2" w:space="0" w:color="auto"/>
            <w:right w:val="single" w:sz="2" w:space="0" w:color="auto"/>
          </w:divBdr>
          <w:divsChild>
            <w:div w:id="774717022">
              <w:marLeft w:val="0"/>
              <w:marRight w:val="0"/>
              <w:marTop w:val="0"/>
              <w:marBottom w:val="0"/>
              <w:divBdr>
                <w:top w:val="single" w:sz="2" w:space="0" w:color="auto"/>
                <w:left w:val="single" w:sz="2" w:space="0" w:color="auto"/>
                <w:bottom w:val="single" w:sz="2" w:space="0" w:color="auto"/>
                <w:right w:val="single" w:sz="2" w:space="0" w:color="auto"/>
              </w:divBdr>
              <w:divsChild>
                <w:div w:id="1120370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33039597">
      <w:bodyDiv w:val="1"/>
      <w:marLeft w:val="0"/>
      <w:marRight w:val="0"/>
      <w:marTop w:val="0"/>
      <w:marBottom w:val="0"/>
      <w:divBdr>
        <w:top w:val="none" w:sz="0" w:space="0" w:color="auto"/>
        <w:left w:val="none" w:sz="0" w:space="0" w:color="auto"/>
        <w:bottom w:val="none" w:sz="0" w:space="0" w:color="auto"/>
        <w:right w:val="none" w:sz="0" w:space="0" w:color="auto"/>
      </w:divBdr>
      <w:divsChild>
        <w:div w:id="413557015">
          <w:marLeft w:val="0"/>
          <w:marRight w:val="0"/>
          <w:marTop w:val="0"/>
          <w:marBottom w:val="0"/>
          <w:divBdr>
            <w:top w:val="single" w:sz="2" w:space="0" w:color="auto"/>
            <w:left w:val="single" w:sz="2" w:space="0" w:color="auto"/>
            <w:bottom w:val="single" w:sz="2" w:space="0" w:color="auto"/>
            <w:right w:val="single" w:sz="2" w:space="0" w:color="auto"/>
          </w:divBdr>
          <w:divsChild>
            <w:div w:id="1031103772">
              <w:marLeft w:val="0"/>
              <w:marRight w:val="0"/>
              <w:marTop w:val="0"/>
              <w:marBottom w:val="0"/>
              <w:divBdr>
                <w:top w:val="single" w:sz="2" w:space="0" w:color="auto"/>
                <w:left w:val="single" w:sz="2" w:space="0" w:color="auto"/>
                <w:bottom w:val="single" w:sz="2" w:space="0" w:color="auto"/>
                <w:right w:val="single" w:sz="2" w:space="0" w:color="auto"/>
              </w:divBdr>
              <w:divsChild>
                <w:div w:id="1962102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72160647">
      <w:bodyDiv w:val="1"/>
      <w:marLeft w:val="0"/>
      <w:marRight w:val="0"/>
      <w:marTop w:val="0"/>
      <w:marBottom w:val="0"/>
      <w:divBdr>
        <w:top w:val="none" w:sz="0" w:space="0" w:color="auto"/>
        <w:left w:val="none" w:sz="0" w:space="0" w:color="auto"/>
        <w:bottom w:val="none" w:sz="0" w:space="0" w:color="auto"/>
        <w:right w:val="none" w:sz="0" w:space="0" w:color="auto"/>
      </w:divBdr>
    </w:div>
    <w:div w:id="1807118951">
      <w:bodyDiv w:val="1"/>
      <w:marLeft w:val="0"/>
      <w:marRight w:val="0"/>
      <w:marTop w:val="0"/>
      <w:marBottom w:val="0"/>
      <w:divBdr>
        <w:top w:val="none" w:sz="0" w:space="0" w:color="auto"/>
        <w:left w:val="none" w:sz="0" w:space="0" w:color="auto"/>
        <w:bottom w:val="none" w:sz="0" w:space="0" w:color="auto"/>
        <w:right w:val="none" w:sz="0" w:space="0" w:color="auto"/>
      </w:divBdr>
    </w:div>
    <w:div w:id="1810055994">
      <w:bodyDiv w:val="1"/>
      <w:marLeft w:val="0"/>
      <w:marRight w:val="0"/>
      <w:marTop w:val="0"/>
      <w:marBottom w:val="0"/>
      <w:divBdr>
        <w:top w:val="none" w:sz="0" w:space="0" w:color="auto"/>
        <w:left w:val="none" w:sz="0" w:space="0" w:color="auto"/>
        <w:bottom w:val="none" w:sz="0" w:space="0" w:color="auto"/>
        <w:right w:val="none" w:sz="0" w:space="0" w:color="auto"/>
      </w:divBdr>
    </w:div>
    <w:div w:id="1818108680">
      <w:bodyDiv w:val="1"/>
      <w:marLeft w:val="0"/>
      <w:marRight w:val="0"/>
      <w:marTop w:val="0"/>
      <w:marBottom w:val="0"/>
      <w:divBdr>
        <w:top w:val="none" w:sz="0" w:space="0" w:color="auto"/>
        <w:left w:val="none" w:sz="0" w:space="0" w:color="auto"/>
        <w:bottom w:val="none" w:sz="0" w:space="0" w:color="auto"/>
        <w:right w:val="none" w:sz="0" w:space="0" w:color="auto"/>
      </w:divBdr>
    </w:div>
    <w:div w:id="1826318611">
      <w:bodyDiv w:val="1"/>
      <w:marLeft w:val="0"/>
      <w:marRight w:val="0"/>
      <w:marTop w:val="0"/>
      <w:marBottom w:val="0"/>
      <w:divBdr>
        <w:top w:val="none" w:sz="0" w:space="0" w:color="auto"/>
        <w:left w:val="none" w:sz="0" w:space="0" w:color="auto"/>
        <w:bottom w:val="none" w:sz="0" w:space="0" w:color="auto"/>
        <w:right w:val="none" w:sz="0" w:space="0" w:color="auto"/>
      </w:divBdr>
      <w:divsChild>
        <w:div w:id="628827401">
          <w:marLeft w:val="0"/>
          <w:marRight w:val="0"/>
          <w:marTop w:val="240"/>
          <w:marBottom w:val="240"/>
          <w:divBdr>
            <w:top w:val="single" w:sz="2" w:space="0" w:color="auto"/>
            <w:left w:val="single" w:sz="2" w:space="0" w:color="auto"/>
            <w:bottom w:val="single" w:sz="2" w:space="0" w:color="auto"/>
            <w:right w:val="single" w:sz="2" w:space="0" w:color="auto"/>
          </w:divBdr>
          <w:divsChild>
            <w:div w:id="681475529">
              <w:marLeft w:val="0"/>
              <w:marRight w:val="0"/>
              <w:marTop w:val="0"/>
              <w:marBottom w:val="0"/>
              <w:divBdr>
                <w:top w:val="single" w:sz="6" w:space="0" w:color="auto"/>
                <w:left w:val="single" w:sz="6" w:space="0" w:color="auto"/>
                <w:bottom w:val="single" w:sz="6" w:space="0" w:color="auto"/>
                <w:right w:val="single" w:sz="6" w:space="0" w:color="auto"/>
              </w:divBdr>
            </w:div>
          </w:divsChild>
        </w:div>
        <w:div w:id="487943275">
          <w:marLeft w:val="0"/>
          <w:marRight w:val="0"/>
          <w:marTop w:val="0"/>
          <w:marBottom w:val="0"/>
          <w:divBdr>
            <w:top w:val="single" w:sz="2" w:space="0" w:color="auto"/>
            <w:left w:val="single" w:sz="2" w:space="0" w:color="auto"/>
            <w:bottom w:val="single" w:sz="2" w:space="0" w:color="auto"/>
            <w:right w:val="single" w:sz="2" w:space="0" w:color="auto"/>
          </w:divBdr>
          <w:divsChild>
            <w:div w:id="783958535">
              <w:marLeft w:val="0"/>
              <w:marRight w:val="0"/>
              <w:marTop w:val="240"/>
              <w:marBottom w:val="240"/>
              <w:divBdr>
                <w:top w:val="single" w:sz="2" w:space="0" w:color="auto"/>
                <w:left w:val="single" w:sz="2" w:space="0" w:color="auto"/>
                <w:bottom w:val="single" w:sz="2" w:space="0" w:color="auto"/>
                <w:right w:val="single" w:sz="2" w:space="0" w:color="auto"/>
              </w:divBdr>
              <w:divsChild>
                <w:div w:id="1795560340">
                  <w:marLeft w:val="0"/>
                  <w:marRight w:val="0"/>
                  <w:marTop w:val="0"/>
                  <w:marBottom w:val="0"/>
                  <w:divBdr>
                    <w:top w:val="single" w:sz="2" w:space="0" w:color="auto"/>
                    <w:left w:val="single" w:sz="2" w:space="0" w:color="auto"/>
                    <w:bottom w:val="single" w:sz="2" w:space="0" w:color="auto"/>
                    <w:right w:val="single" w:sz="2" w:space="0" w:color="auto"/>
                  </w:divBdr>
                  <w:divsChild>
                    <w:div w:id="1233274810">
                      <w:marLeft w:val="0"/>
                      <w:marRight w:val="0"/>
                      <w:marTop w:val="0"/>
                      <w:marBottom w:val="0"/>
                      <w:divBdr>
                        <w:top w:val="single" w:sz="2" w:space="0" w:color="auto"/>
                        <w:left w:val="single" w:sz="2" w:space="0" w:color="auto"/>
                        <w:bottom w:val="single" w:sz="2" w:space="0" w:color="auto"/>
                        <w:right w:val="single" w:sz="2" w:space="0" w:color="auto"/>
                      </w:divBdr>
                      <w:divsChild>
                        <w:div w:id="477383597">
                          <w:marLeft w:val="0"/>
                          <w:marRight w:val="0"/>
                          <w:marTop w:val="0"/>
                          <w:marBottom w:val="0"/>
                          <w:divBdr>
                            <w:top w:val="single" w:sz="2" w:space="3" w:color="auto"/>
                            <w:left w:val="single" w:sz="2" w:space="6" w:color="auto"/>
                            <w:bottom w:val="single" w:sz="2" w:space="3" w:color="auto"/>
                            <w:right w:val="single" w:sz="2" w:space="6" w:color="auto"/>
                          </w:divBdr>
                        </w:div>
                      </w:divsChild>
                    </w:div>
                    <w:div w:id="11829354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0775139">
          <w:marLeft w:val="0"/>
          <w:marRight w:val="0"/>
          <w:marTop w:val="0"/>
          <w:marBottom w:val="0"/>
          <w:divBdr>
            <w:top w:val="single" w:sz="2" w:space="0" w:color="auto"/>
            <w:left w:val="single" w:sz="2" w:space="0" w:color="auto"/>
            <w:bottom w:val="single" w:sz="2" w:space="0" w:color="auto"/>
            <w:right w:val="single" w:sz="2" w:space="0" w:color="auto"/>
          </w:divBdr>
          <w:divsChild>
            <w:div w:id="2023896458">
              <w:marLeft w:val="0"/>
              <w:marRight w:val="0"/>
              <w:marTop w:val="240"/>
              <w:marBottom w:val="240"/>
              <w:divBdr>
                <w:top w:val="single" w:sz="2" w:space="0" w:color="auto"/>
                <w:left w:val="single" w:sz="2" w:space="0" w:color="auto"/>
                <w:bottom w:val="single" w:sz="2" w:space="0" w:color="auto"/>
                <w:right w:val="single" w:sz="2" w:space="0" w:color="auto"/>
              </w:divBdr>
              <w:divsChild>
                <w:div w:id="265886241">
                  <w:marLeft w:val="0"/>
                  <w:marRight w:val="0"/>
                  <w:marTop w:val="0"/>
                  <w:marBottom w:val="0"/>
                  <w:divBdr>
                    <w:top w:val="single" w:sz="2" w:space="0" w:color="auto"/>
                    <w:left w:val="single" w:sz="2" w:space="0" w:color="auto"/>
                    <w:bottom w:val="single" w:sz="2" w:space="0" w:color="auto"/>
                    <w:right w:val="single" w:sz="2" w:space="0" w:color="auto"/>
                  </w:divBdr>
                  <w:divsChild>
                    <w:div w:id="395009525">
                      <w:marLeft w:val="0"/>
                      <w:marRight w:val="0"/>
                      <w:marTop w:val="0"/>
                      <w:marBottom w:val="0"/>
                      <w:divBdr>
                        <w:top w:val="single" w:sz="2" w:space="0" w:color="auto"/>
                        <w:left w:val="single" w:sz="2" w:space="0" w:color="auto"/>
                        <w:bottom w:val="single" w:sz="2" w:space="0" w:color="auto"/>
                        <w:right w:val="single" w:sz="2" w:space="0" w:color="auto"/>
                      </w:divBdr>
                      <w:divsChild>
                        <w:div w:id="1499804202">
                          <w:marLeft w:val="0"/>
                          <w:marRight w:val="0"/>
                          <w:marTop w:val="0"/>
                          <w:marBottom w:val="0"/>
                          <w:divBdr>
                            <w:top w:val="single" w:sz="2" w:space="3" w:color="auto"/>
                            <w:left w:val="single" w:sz="2" w:space="6" w:color="auto"/>
                            <w:bottom w:val="single" w:sz="2" w:space="3" w:color="auto"/>
                            <w:right w:val="single" w:sz="2" w:space="6" w:color="auto"/>
                          </w:divBdr>
                        </w:div>
                      </w:divsChild>
                    </w:div>
                    <w:div w:id="7410300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54053251">
      <w:bodyDiv w:val="1"/>
      <w:marLeft w:val="0"/>
      <w:marRight w:val="0"/>
      <w:marTop w:val="0"/>
      <w:marBottom w:val="0"/>
      <w:divBdr>
        <w:top w:val="none" w:sz="0" w:space="0" w:color="auto"/>
        <w:left w:val="none" w:sz="0" w:space="0" w:color="auto"/>
        <w:bottom w:val="none" w:sz="0" w:space="0" w:color="auto"/>
        <w:right w:val="none" w:sz="0" w:space="0" w:color="auto"/>
      </w:divBdr>
    </w:div>
    <w:div w:id="204350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deas.repec.org/p/hal/journl/hal-05518100.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cscp.org/our-work/thai-auto-industr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nectivity.asean.org/wp-content/uploads/2024/10/Published-Framework-on-ASEAN-Supply-Chain-Efficiency-and-Resilience-FI" TargetMode="External"/><Relationship Id="rId5" Type="http://schemas.openxmlformats.org/officeDocument/2006/relationships/webSettings" Target="webSettings.xml"/><Relationship Id="rId15" Type="http://schemas.openxmlformats.org/officeDocument/2006/relationships/hyperlink" Target="https://transformative-mobility.org/wp-content/uploads/2024/01/GIZ-SUTP_TD_Thailand-Stocktaking-Report_EN.pdf"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ocus2move.com/asean-vehicle-marke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BDA29-99AC-4108-9249-4FEC316D7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26</Pages>
  <Words>6222</Words>
  <Characters>35468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dc:creator>
  <cp:keywords/>
  <dc:description/>
  <cp:lastModifiedBy>SDI 1084</cp:lastModifiedBy>
  <cp:revision>5</cp:revision>
  <dcterms:created xsi:type="dcterms:W3CDTF">2026-03-04T16:04:00Z</dcterms:created>
  <dcterms:modified xsi:type="dcterms:W3CDTF">2026-03-06T09:29:00Z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9d6f8535-57b3-47ec-b8a6-14c97d599eba</vt:lpwstr>
  </property>
</Properties>
</file>