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C72BB7" w14:textId="77777777" w:rsidR="00882BD0" w:rsidRDefault="009D73FE">
      <w:pPr>
        <w:pStyle w:val="Title"/>
        <w:jc w:val="center"/>
      </w:pPr>
      <w:r>
        <w:t>Biotechnology for Aquatic Animal Health and Sustainable Aquaculture: Advances, Evidence Gaps and Responsible Translation</w:t>
      </w:r>
    </w:p>
    <w:p w14:paraId="70DF70BA" w14:textId="77777777" w:rsidR="00882BD0" w:rsidRDefault="009D73FE">
      <w:pPr>
        <w:pStyle w:val="Heading1"/>
      </w:pPr>
      <w:r>
        <w:t>Abstract</w:t>
      </w:r>
    </w:p>
    <w:p w14:paraId="46F47DDD" w14:textId="77777777" w:rsidR="00882BD0" w:rsidRDefault="009D73FE">
      <w:pPr>
        <w:spacing w:after="160"/>
      </w:pPr>
      <w:r>
        <w:t>Aquaculture is increasingly expected to supply nutritious aquatic foods while reducing disease losses, antimicrobial dependence, feed-resource pressure and environmental emissions. Biotechnology is central to this transition, but evidence is fragmented across genetics, diagnostics, immunology, microbial ecology, feed science and production-system engineering. This critical narrative review evaluates how contemporary biotechnologies influence aquatic animal health and sustainability, with emphasis on farmed finfish and shellfish and on interventions that connect biological mechanism to measurable production or environmental outcomes. Literature published from 1 January 2000 to 30 May 2026 was identified through accessible scholarly indexes, bibliographic databases, institutional sources and citation searching, then appraised for methodological quality, field relevance, reproducibility and evidence-claim alignment. Genomic selection has the strongest translational record among advanced genetic approaches because it can increase disease resistance cumulatively without introducing a novel allele, although its benefit depends on representative challenge phenotypes and maintenance of genetic diversity. Genome editing offers precise functional validation and potential improvements in sterility, growth and resistance, but commercial health claims remain less mature than laboratory proofs of concept and require stringent off-target, welfare and ecological assessment. Molecular diagnostics, environmental nucleic-acid surveillance and vaccines can shift disease control towards prevention, yet sensitivity, sampling design, pathogen viability and delivery logistics constrain field interpretation. Probiotics, biofloc communities and bacteriophages can reduce pathogen pressure and support host function, but inconsistent strain characterisation and context-dependent performance limit generalisation. Feed biotechnology can decouple production from marine ingredients through microbial, insect and engineered oil resources, although life-cycle benefits depend on substrates, processing, digestibility and effects on product quality. Recirculating, aquaponic and integrated multi-trophic systems can recover nutrients and improve biosecurity, but transfer impacts to energy demand and operational complexity. The evidence therefore supports an integrated, risk-proportionate portfolio rather than a single technological solution. Future progress requires harmonised field endpoints, multi-site validation, genomic and microbial stewardship, transparent life-cycle accounting and governance that makes innovation accessible beyond highly capitalised production sectors.</w:t>
      </w:r>
    </w:p>
    <w:p w14:paraId="2C8D6F83" w14:textId="77777777" w:rsidR="00882BD0" w:rsidRDefault="009D73FE">
      <w:r>
        <w:rPr>
          <w:b/>
        </w:rPr>
        <w:t xml:space="preserve">Keywords: </w:t>
      </w:r>
      <w:r>
        <w:t>aquaculture biotechnology; aquatic animal health; genomic selection; genome editing; molecular diagnostics; microbiome engineering; alternative aquafeeds; circular aquaculture</w:t>
      </w:r>
    </w:p>
    <w:p w14:paraId="48FBC177" w14:textId="77777777" w:rsidR="00882BD0" w:rsidRDefault="009D73FE">
      <w:pPr>
        <w:pStyle w:val="Heading1"/>
      </w:pPr>
      <w:r>
        <w:t>1. Introduction</w:t>
      </w:r>
    </w:p>
    <w:p w14:paraId="7D39DA01" w14:textId="77777777" w:rsidR="00882BD0" w:rsidRDefault="009D73FE">
      <w:pPr>
        <w:pStyle w:val="BodyText"/>
      </w:pPr>
      <w:r>
        <w:t xml:space="preserve">Aquaculture has moved from a supplementary source of aquatic food to a central component of global food systems. Farmed aquatic animals now contribute a large and growing share of the fish and shellfish consumed by people, while production spans highly industrialised salmon and shrimp sectors, carp and tilapia farming, molluscan culture and diverse small-scale systems. This expansion has nutritional and livelihood value, but it also concentrates biological risk. High stocking densities, animal movement, environmental variability and intensified feed inputs can increase pathogen transmission, chronic stress, waste production and dependence on therapeutic interventions. The sustainability question is therefore inseparable from aquatic animal health: disease reduces survival and feed efficiency, weakens farmer income, encourages emergency antimicrobial use </w:t>
      </w:r>
      <w:r>
        <w:lastRenderedPageBreak/>
        <w:t>and can create ecological consequences through pathogen release, chemical treatment and escaped animals (Food and Agriculture Organization of the United Nations [FAO], 2024; Naylor et al., 2021).</w:t>
      </w:r>
    </w:p>
    <w:p w14:paraId="2F6D4828" w14:textId="77777777" w:rsidR="00882BD0" w:rsidRDefault="009D73FE">
      <w:pPr>
        <w:pStyle w:val="BodyText"/>
      </w:pPr>
      <w:r>
        <w:t>Biotechnology in aquaculture encompasses more than genetic modification. It includes genomic selection, functional genomics and genome editing; molecular diagnostics and nucleic-acid surveillance; vaccines and novel delivery platforms; probiotics, microbial community management and bacteriophages; fermentation-derived and engineered feed ingredients; and biologically mediated water treatment or nutrient recovery. These technologies act at different organisational levels. Some alter the host genotype, others influence immunity or the microbiome, while still others regulate the farm environment or recycle nutrients. Their effects are consequently difficult to compare using a single outcome such as growth rate. A technology may improve survival yet increase energy demand, reduce antimicrobial use yet create regulatory uncertainty, or recover nutrients while adding operational complexity. A critical assessment must therefore connect mechanism, animal-health outcome, environmental performance, social feasibility and biosafety rather than treating innovation as intrinsically sustainable.</w:t>
      </w:r>
    </w:p>
    <w:p w14:paraId="0E7600AC" w14:textId="77777777" w:rsidR="00882BD0" w:rsidRDefault="009D73FE">
      <w:pPr>
        <w:pStyle w:val="BodyText"/>
      </w:pPr>
      <w:r>
        <w:t>The field has advanced rapidly because several enabling platforms matured simultaneously. High-density genotyping and reference genomes made genomic selection feasible in commercial breeding programmes. Clustered regularly interspaced short palindromic repeats-associated protein 9 (CRISPR-Cas9) enabled targeted functional studies in species that were previously difficult to manipulate. Loop-mediated isothermal amplification (LAMP), portable sequencing and environmental deoxyribonucleic acid (eDNA) assays expanded the diagnostic toolkit beyond central laboratories. Amplicon and shotgun sequencing revealed the complexity of host-associated and production-system microbiomes. Fermentation, metabolic engineering and insect bioconversion created new routes for producing protein and long-chain omega-3 lipids. At the system level, microbial nitrification and denitrification underlie recirculating aquaculture systems (RAS), while aquaponics and integrated multi-trophic aquaculture (IMTA) use biological uptake to retain dissolved and particulate nutrients (Houston et al., 2020; Martins et al., 2010; Naylor et al., 2021).</w:t>
      </w:r>
    </w:p>
    <w:p w14:paraId="60048DAA" w14:textId="77777777" w:rsidR="00882BD0" w:rsidRDefault="009D73FE">
      <w:pPr>
        <w:pStyle w:val="BodyText"/>
      </w:pPr>
      <w:r>
        <w:t>Technological progress has nevertheless outpaced evidence integration. Genetic studies often report heritability or editing efficiency without demonstrating performance across commercial environments. Diagnostic studies may establish analytical sensitivity with purified templates but provide limited information about sampling error, inhibitors or the meaning of a positive environmental signal. Probiotic trials frequently use small tanks, short follow-up and strain descriptions that are insufficient for replication. Alternative-feed studies can show equivalent growth while omitting life-cycle burdens of substrate production and processing. Systems papers may document nutrient removal without accounting fully for energy, sludge management or failure risk. These mismatches create a recurring translation gap between proof of mechanism and durable sustainability benefit.</w:t>
      </w:r>
    </w:p>
    <w:p w14:paraId="29BBA207" w14:textId="77777777" w:rsidR="00882BD0" w:rsidRDefault="009D73FE">
      <w:pPr>
        <w:pStyle w:val="BodyText"/>
      </w:pPr>
      <w:r>
        <w:t>The governance context is equally important. International standards for surveillance, diagnosis, trade and responsible antimicrobial use are intended to reduce transboundary disease risk, but access to validated laboratories, vaccines, genomic services and high-quality feed ingredients remains uneven (Food and Agriculture Organization of the United Nations et al., 2022; World Organisation for Animal Health [WOAH], 2025). Technologies designed for capital-intensive farms may not transfer directly to pond-based or smallholder production. Conversely, simple molecular tests or robust microbial interventions can have high value in settings where conventional infrastructure is limited, provided that quality assurance, cold-chain needs and interpretation are addressed. Equity is therefore not an external policy concern; it influences whether biotechnology reduces or redistributes risk.</w:t>
      </w:r>
    </w:p>
    <w:p w14:paraId="1E43B645" w14:textId="77777777" w:rsidR="00882BD0" w:rsidRDefault="009D73FE">
      <w:pPr>
        <w:pStyle w:val="BodyText"/>
      </w:pPr>
      <w:r>
        <w:t xml:space="preserve">Recent reviews have addressed individual domains such as aquaculture genomics, probiotics, vaccines, alternative feeds and circular production systems. These contributions establish important technical foundations, </w:t>
      </w:r>
      <w:r>
        <w:lastRenderedPageBreak/>
        <w:t>but the literature remains compartmentalised. The major unresolved issue is how to compare interventions that operate at different biological scales and have different evidence maturity, risk profiles and resource requirements. An integrative review is needed to identify where biotechnology already produces defensible health and sustainability gains, where evidence remains conditional, and how combinations of technologies can avoid burden shifting.</w:t>
      </w:r>
    </w:p>
    <w:p w14:paraId="26B432BC" w14:textId="77777777" w:rsidR="00882BD0" w:rsidRDefault="009D73FE">
      <w:pPr>
        <w:pStyle w:val="Heading2"/>
      </w:pPr>
      <w:r>
        <w:t>1.1 Scope, Research Gap and Objectives</w:t>
      </w:r>
    </w:p>
    <w:p w14:paraId="6A0B1C94" w14:textId="77777777" w:rsidR="00882BD0" w:rsidRDefault="009D73FE">
      <w:pPr>
        <w:pStyle w:val="BodyText"/>
      </w:pPr>
      <w:r>
        <w:t>This review focuses on biotechnology applied to farmed finfish and shellfish and to the biological processes that support their production. It evaluates host genetics, disease detection and prevention, microbial and phage interventions, biotechnology-enabled feed resources, and biologically mediated water and nutrient management. The review excludes purely mechanical automation, stand-alone artificial-intelligence applications, ornamental biotechnology and conservation interventions that are not directly connected to aquaculture health or sustainability. Its central gap is the absence of a cross-domain appraisal that distinguishes laboratory feasibility from field effectiveness and explicitly considers animal welfare, antimicrobial stewardship, environmental performance, biosafety, economic accessibility and governance. The objectives are to synthesise the strongest evidence across biotechnology domains, explain major inconsistencies and methodological weaknesses, identify interactions and trade-offs among technologies, and define research priorities for responsible translation across diverse aquaculture systems.</w:t>
      </w:r>
    </w:p>
    <w:p w14:paraId="47544224" w14:textId="77777777" w:rsidR="00882BD0" w:rsidRDefault="009D73FE">
      <w:pPr>
        <w:pStyle w:val="Heading1"/>
      </w:pPr>
      <w:r>
        <w:t>2. Methods for Literature Selection</w:t>
      </w:r>
    </w:p>
    <w:p w14:paraId="067A39E5" w14:textId="77777777" w:rsidR="00882BD0" w:rsidRDefault="009D73FE">
      <w:pPr>
        <w:pStyle w:val="Heading2"/>
      </w:pPr>
      <w:r>
        <w:t>2.1 Review Design and Rationale</w:t>
      </w:r>
    </w:p>
    <w:p w14:paraId="1A0BBF5D" w14:textId="77777777" w:rsidR="00882BD0" w:rsidRDefault="009D73FE">
      <w:pPr>
        <w:pStyle w:val="BodyText"/>
      </w:pPr>
      <w:r>
        <w:t>A critical narrative review design was selected because the topic encompasses heterogeneous technologies, species, study designs and outcomes that cannot be meaningfully combined in a single quantitative synthesis. The approach followed principles of transparent narrative reviewing, including explicit scope definition, reproducible search concepts, critical appraisal and evidence-calibrated interpretation. The Scale for the Assessment of Narrative Review Articles informed attention to the justification of importance, clarity of aims, search transparency, referencing and scientific reasoning (Baethge et al., 2019). This design does not imply exhaustive systematic coverage or formal risk-of-bias scoring; rather, it enables mechanistic and translational comparison across otherwise disconnected evidence domains while retaining explicit safeguards against selective or purely descriptive synthesis.</w:t>
      </w:r>
    </w:p>
    <w:p w14:paraId="4FB91CF7" w14:textId="77777777" w:rsidR="00882BD0" w:rsidRDefault="009D73FE">
      <w:pPr>
        <w:pStyle w:val="Heading2"/>
      </w:pPr>
      <w:r>
        <w:t>2.2 Information Sources</w:t>
      </w:r>
    </w:p>
    <w:p w14:paraId="0B9902D4" w14:textId="77777777" w:rsidR="00882BD0" w:rsidRDefault="009D73FE">
      <w:pPr>
        <w:pStyle w:val="BodyText"/>
      </w:pPr>
      <w:r>
        <w:t>Searches were conducted in PubMed/MEDLINE, the Directory of Open Access Journals, AGRIS, ScienceOpen and accessible journal-record or DOI landing pages. Official documents were identified through the websites and repositories of FAO, the World Health Organization, the United Nations Environment Programme and WOAH. Backward citation searching was performed from recent high-quality reviews and influential original studies, and related-article searching was used to locate confirmatory, conflicting and methodologically corrective evidence. Bibliographic details and DOI destinations were checked against authoritative article records. Subscription-only bibliographic databases for which no direct search access or user-supplied export was available were not represented as searched.</w:t>
      </w:r>
    </w:p>
    <w:p w14:paraId="080E435B" w14:textId="77777777" w:rsidR="00882BD0" w:rsidRDefault="009D73FE">
      <w:pPr>
        <w:pStyle w:val="Heading2"/>
      </w:pPr>
      <w:r>
        <w:t>2.3 Search Strategy and Search Period</w:t>
      </w:r>
    </w:p>
    <w:p w14:paraId="263AA059" w14:textId="77777777" w:rsidR="00882BD0" w:rsidRDefault="009D73FE">
      <w:pPr>
        <w:pStyle w:val="BodyText"/>
      </w:pPr>
      <w:r>
        <w:t xml:space="preserve">The principal search period was 1 January 2000 to 30 May 2026. Earlier sources were eligible only when necessary to explain a foundational method, but no pre-2000 article was required for the final synthesis. Search concepts combined aquaculture or aquatic animal terms with biotechnology domains and outcomes. </w:t>
      </w:r>
      <w:r>
        <w:lastRenderedPageBreak/>
        <w:t>Representative combinations included: (aquaculture OR finfish OR shellfish OR shrimp) AND (genomics OR genomic selection OR CRISPR OR genome editing) AND (disease resistance OR sterility OR welfare); (aquaculture OR fish OR shrimp) AND (LAMP OR molecular diagnostics OR eDNA OR eRNA OR biosensor) AND (pathogen OR surveillance); (aquaculture AND vaccine) OR (probiotic OR biofloc OR bacteriophage) AND (disease OR antimicrobial resistance); (aquafeed AND fermentation OR single-cell protein OR insect meal OR engineered oil) AND (growth OR immunity OR life-cycle); and (recirculating aquaculture OR aquaponics OR integrated multi-trophic aquaculture) AND (microbial treatment OR nutrient recovery OR sustainability). Terminology and spelling variants were adapted to each source. Searches were supplemented by organism and pathogen names when testing the relevance of specific technologies.</w:t>
      </w:r>
    </w:p>
    <w:p w14:paraId="32264934" w14:textId="77777777" w:rsidR="00882BD0" w:rsidRDefault="009D73FE">
      <w:pPr>
        <w:pStyle w:val="Heading2"/>
      </w:pPr>
      <w:r>
        <w:t>2.4 Eligibility Criteria</w:t>
      </w:r>
    </w:p>
    <w:p w14:paraId="01D325B0" w14:textId="77777777" w:rsidR="00882BD0" w:rsidRDefault="009D73FE">
      <w:pPr>
        <w:pStyle w:val="BodyText"/>
      </w:pPr>
      <w:r>
        <w:t>Eligible sources included peer-reviewed original studies, high-quality reviews used for orientation or domain-level context, and authoritative institutional standards or reports. Studies had to address a biotechnology-enabled intervention, measurement platform or biological process with a direct connection to aquatic animal health, production efficiency, antimicrobial stewardship, biosecurity, feed-resource use, emissions or nutrient management. Both freshwater and marine systems and all geographical regions were considered. English-language sources were prioritised because reliable full-text appraisal in other languages was not consistently available. Conference abstracts, patents, commercial promotional materials, unverified web content and studies lacking sufficient bibliographic identity were excluded. Preprints were not used when peer-reviewed evidence was available.</w:t>
      </w:r>
    </w:p>
    <w:p w14:paraId="1C598397" w14:textId="77777777" w:rsidR="00882BD0" w:rsidRDefault="009D73FE">
      <w:pPr>
        <w:pStyle w:val="Heading2"/>
      </w:pPr>
      <w:r>
        <w:t>2.5 Screening, Duplicate Handling and Study Selection</w:t>
      </w:r>
    </w:p>
    <w:p w14:paraId="311A099B" w14:textId="77777777" w:rsidR="00882BD0" w:rsidRDefault="009D73FE">
      <w:pPr>
        <w:pStyle w:val="BodyText"/>
      </w:pPr>
      <w:r>
        <w:t>Titles and abstracts were screened for conceptual relevance before full-text or extended-record assessment. Duplicate records were identified through DOI, title, author and year matching. When multiple records described the same article, the version of record or the most complete authoritative metadata record was used. Selection emphasised methodological adequacy, relevance to the review questions, independent replication, scale, field realism and contribution to a contested or translational issue. Inaccessible records were not used for detailed claims when the available abstract or metadata was insufficient to establish what the study demonstrated. No screening counts are reported because the review was not designed as a systematic review with a prospectively documented flow of records.</w:t>
      </w:r>
    </w:p>
    <w:p w14:paraId="4EEF504E" w14:textId="77777777" w:rsidR="00882BD0" w:rsidRDefault="009D73FE">
      <w:pPr>
        <w:pStyle w:val="Heading2"/>
      </w:pPr>
      <w:r>
        <w:t>2.6 Critical Appraisal and Evidence Synthesis</w:t>
      </w:r>
    </w:p>
    <w:p w14:paraId="4DE8A7BD" w14:textId="77777777" w:rsidR="00882BD0" w:rsidRDefault="009D73FE">
      <w:pPr>
        <w:pStyle w:val="BodyText"/>
      </w:pPr>
      <w:r>
        <w:t>Evidence was appraised according to study design, sample adequacy, controls, phenotype or outcome validity, analytical transparency, treatment of confounding, replication, ecological relevance, duration, geographical and species coverage, and consistency with independent findings. For genetic interventions, appraisal considered trait architecture, population structure, off-target or mosaic effects, welfare and ecological containment. Diagnostic studies were assessed for analytical and diagnostic performance, sampling strategy, inhibitors, viability interpretation and field validation. Microbial and feed interventions were examined for strain or ingredient characterisation, dose, basal diet, production environment and reproducibility. Environmental systems were appraised for mass balance, energy use, operational stability and boundary selection. Themes were developed iteratively around intervention level, mechanism, evidence maturity, risk and implementation. Conflicting findings were interpreted in relation to biological context and methodological differences rather than resolved by citation frequency.</w:t>
      </w:r>
    </w:p>
    <w:p w14:paraId="7177CA9C" w14:textId="77777777" w:rsidR="00882BD0" w:rsidRDefault="009D73FE">
      <w:pPr>
        <w:pStyle w:val="Heading1"/>
      </w:pPr>
      <w:r>
        <w:lastRenderedPageBreak/>
        <w:t>3. An Integrative Framework for Aquatic Biotechnology</w:t>
      </w:r>
    </w:p>
    <w:p w14:paraId="1BA4B16B" w14:textId="77777777" w:rsidR="00882BD0" w:rsidRDefault="009D73FE">
      <w:pPr>
        <w:pStyle w:val="BodyText"/>
      </w:pPr>
      <w:r>
        <w:t>Aquaculture biotechnology can be understood as a layered control system. Host-directed technologies modify inherited susceptibility, reproductive capacity or physiological performance. Pathogen-directed tools detect, prevent or suppress infectious agents. Microbiome-directed interventions alter ecological competition, metabolic function and immune signalling. Feed biotechnology changes the origin and biochemical composition of nutrients entering the farm. System biotechnology manages water quality and recovers waste through microbial or multi-trophic processes. These layers are connected: a genetically resistant fish may require fewer treatments, but its realised resistance depends on nutrition, microbiome, temperature and pathogen pressure; a sensitive molecular assay has limited value if sampling does not capture spatial heterogeneity; and a low-fishmeal diet can reduce marine-resource demand while altering gut health or product fatty-acid composition.</w:t>
      </w:r>
    </w:p>
    <w:p w14:paraId="18371B55" w14:textId="77777777" w:rsidR="00882BD0" w:rsidRDefault="009D73FE">
      <w:pPr>
        <w:pStyle w:val="BodyText"/>
      </w:pPr>
      <w:r>
        <w:t>This layered perspective prevents a common analytical error: equating technical precision with sustainability. Genome editing is precise at a nominated locus but may have uncertain population-level effects. A highly sensitive assay can detect minute quantities of nucleic acid but cannot necessarily establish viable pathogen burden. RAS can retain waste and limit external pathogen entry, yet it may consume substantial electricity and can amplify losses when a biological filter or oxygenation system fails. Sustainability is therefore an emergent property of the technology-system combination, not an intrinsic attribute of a tool.</w:t>
      </w:r>
    </w:p>
    <w:p w14:paraId="15204DF8" w14:textId="77777777" w:rsidR="00882BD0" w:rsidRDefault="009D73FE">
      <w:pPr>
        <w:pStyle w:val="BodyText"/>
      </w:pPr>
      <w:r>
        <w:t>Evidence maturity also differs across domains. Genomic selection for disease resistance is already embedded in some breeding programmes and is supported by quantitative genetic theory, challenge testing and commercial experience. Licensed vaccines have strong preventive value for selected bacterial and viral diseases, although efficacy varies by species and pathogen. LAMP and eDNA surveillance are increasingly field-ready but require standardised thresholds. Probiotics and phages show repeated biological plausibility and many positive trials, yet product-level reproducibility and regulatory pathways remain uneven. Genome editing, engineered feeds and complex circular systems range from commercial deployment in narrow contexts to laboratory or pilot-stage applications. A responsible portfolio should allocate confidence and oversight in proportion to evidence maturity and potential consequence.</w:t>
      </w:r>
    </w:p>
    <w:p w14:paraId="135BDE84" w14:textId="77777777" w:rsidR="00882BD0" w:rsidRDefault="009D73FE">
      <w:pPr>
        <w:pStyle w:val="BodyText"/>
      </w:pPr>
      <w:r>
        <w:t>The strongest sustainability claims are those supported by linked outcomes. For example, disease-resistant breeding can be connected to lower mortality, improved welfare and reduced treatment need; vaccination can be connected to reduced antimicrobial use; engineered omega-3 oils can be connected to feed formulation and fillet composition; and nutrient-recovery systems can be evaluated through mass balance and harvested co-products. Claims based only on surrogate markers, short-term growth or theoretical recovery potential require more cautious language. The key translational question is not whether a biotechnology changes a biological endpoint, but whether that change persists under commercial conditions without unacceptable trade-offs.</w:t>
      </w:r>
    </w:p>
    <w:p w14:paraId="46742301" w14:textId="77777777" w:rsidR="00882BD0" w:rsidRDefault="009D73FE">
      <w:pPr>
        <w:pStyle w:val="BodyText"/>
      </w:pPr>
      <w:r>
        <w:t>Table 1 summarises the main intervention domains and shows that no domain simultaneously has high evidence maturity, low implementation complexity and negligible biosafety concern. Mature technologies still depend on surveillance and management, while emerging technologies can address limitations that mature tools cannot. The practical implication is to combine complementary interventions and use tiered evidence standards rather than search for a universal solution.</w:t>
      </w:r>
    </w:p>
    <w:p w14:paraId="706FA7EA" w14:textId="77777777" w:rsidR="00882BD0" w:rsidRDefault="009D73FE">
      <w:pPr>
        <w:pStyle w:val="TableCaption"/>
      </w:pPr>
      <w:r>
        <w:rPr>
          <w:b/>
        </w:rPr>
        <w:t>Table 1. Biotechnology domains, intended outcomes and evidence maturity in aquaculture</w:t>
      </w:r>
    </w:p>
    <w:tbl>
      <w:tblPr>
        <w:tblStyle w:val="TableGrid"/>
        <w:tblW w:w="5000" w:type="pct"/>
        <w:jc w:val="center"/>
        <w:tblLook w:val="04A0" w:firstRow="1" w:lastRow="0" w:firstColumn="1" w:lastColumn="0" w:noHBand="0" w:noVBand="1"/>
      </w:tblPr>
      <w:tblGrid>
        <w:gridCol w:w="1267"/>
        <w:gridCol w:w="1583"/>
        <w:gridCol w:w="1711"/>
        <w:gridCol w:w="1837"/>
        <w:gridCol w:w="1964"/>
        <w:gridCol w:w="1774"/>
      </w:tblGrid>
      <w:tr w:rsidR="00882BD0" w14:paraId="418A9A94" w14:textId="77777777" w:rsidTr="008C3192">
        <w:trPr>
          <w:cantSplit/>
          <w:tblHeader/>
          <w:jc w:val="center"/>
        </w:trPr>
        <w:tc>
          <w:tcPr>
            <w:tcW w:w="625" w:type="pct"/>
            <w:shd w:val="clear" w:color="auto" w:fill="D9E2F3"/>
            <w:tcMar>
              <w:top w:w="100" w:type="dxa"/>
              <w:left w:w="100" w:type="dxa"/>
              <w:bottom w:w="100" w:type="dxa"/>
              <w:right w:w="100" w:type="dxa"/>
            </w:tcMar>
            <w:vAlign w:val="center"/>
          </w:tcPr>
          <w:p w14:paraId="0689B1F3" w14:textId="77777777" w:rsidR="00882BD0" w:rsidRDefault="009D73FE">
            <w:pPr>
              <w:spacing w:after="0"/>
              <w:jc w:val="center"/>
            </w:pPr>
            <w:r>
              <w:rPr>
                <w:b/>
                <w:sz w:val="16"/>
              </w:rPr>
              <w:t>Domain</w:t>
            </w:r>
          </w:p>
        </w:tc>
        <w:tc>
          <w:tcPr>
            <w:tcW w:w="781" w:type="pct"/>
            <w:shd w:val="clear" w:color="auto" w:fill="D9E2F3"/>
            <w:tcMar>
              <w:top w:w="100" w:type="dxa"/>
              <w:left w:w="100" w:type="dxa"/>
              <w:bottom w:w="100" w:type="dxa"/>
              <w:right w:w="100" w:type="dxa"/>
            </w:tcMar>
            <w:vAlign w:val="center"/>
          </w:tcPr>
          <w:p w14:paraId="6B7C6727" w14:textId="77777777" w:rsidR="00882BD0" w:rsidRDefault="009D73FE">
            <w:pPr>
              <w:spacing w:after="0"/>
              <w:jc w:val="center"/>
            </w:pPr>
            <w:r>
              <w:rPr>
                <w:b/>
                <w:sz w:val="16"/>
              </w:rPr>
              <w:t>Primary biological target</w:t>
            </w:r>
          </w:p>
        </w:tc>
        <w:tc>
          <w:tcPr>
            <w:tcW w:w="844" w:type="pct"/>
            <w:shd w:val="clear" w:color="auto" w:fill="D9E2F3"/>
            <w:tcMar>
              <w:top w:w="100" w:type="dxa"/>
              <w:left w:w="100" w:type="dxa"/>
              <w:bottom w:w="100" w:type="dxa"/>
              <w:right w:w="100" w:type="dxa"/>
            </w:tcMar>
            <w:vAlign w:val="center"/>
          </w:tcPr>
          <w:p w14:paraId="1E8E45FF" w14:textId="77777777" w:rsidR="00882BD0" w:rsidRDefault="009D73FE">
            <w:pPr>
              <w:spacing w:after="0"/>
              <w:jc w:val="center"/>
            </w:pPr>
            <w:r>
              <w:rPr>
                <w:b/>
                <w:sz w:val="16"/>
              </w:rPr>
              <w:t>Potential health contribution</w:t>
            </w:r>
          </w:p>
        </w:tc>
        <w:tc>
          <w:tcPr>
            <w:tcW w:w="906" w:type="pct"/>
            <w:shd w:val="clear" w:color="auto" w:fill="D9E2F3"/>
            <w:tcMar>
              <w:top w:w="100" w:type="dxa"/>
              <w:left w:w="100" w:type="dxa"/>
              <w:bottom w:w="100" w:type="dxa"/>
              <w:right w:w="100" w:type="dxa"/>
            </w:tcMar>
            <w:vAlign w:val="center"/>
          </w:tcPr>
          <w:p w14:paraId="532000CE" w14:textId="77777777" w:rsidR="00882BD0" w:rsidRDefault="009D73FE">
            <w:pPr>
              <w:spacing w:after="0"/>
              <w:jc w:val="center"/>
            </w:pPr>
            <w:r>
              <w:rPr>
                <w:b/>
                <w:sz w:val="16"/>
              </w:rPr>
              <w:t>Potential sustainability contribution</w:t>
            </w:r>
          </w:p>
        </w:tc>
        <w:tc>
          <w:tcPr>
            <w:tcW w:w="969" w:type="pct"/>
            <w:shd w:val="clear" w:color="auto" w:fill="D9E2F3"/>
            <w:tcMar>
              <w:top w:w="100" w:type="dxa"/>
              <w:left w:w="100" w:type="dxa"/>
              <w:bottom w:w="100" w:type="dxa"/>
              <w:right w:w="100" w:type="dxa"/>
            </w:tcMar>
            <w:vAlign w:val="center"/>
          </w:tcPr>
          <w:p w14:paraId="0DCBCF62" w14:textId="77777777" w:rsidR="00882BD0" w:rsidRDefault="009D73FE">
            <w:pPr>
              <w:spacing w:after="0"/>
              <w:jc w:val="center"/>
            </w:pPr>
            <w:r>
              <w:rPr>
                <w:b/>
                <w:sz w:val="16"/>
              </w:rPr>
              <w:t>Principal evidence limitation</w:t>
            </w:r>
          </w:p>
        </w:tc>
        <w:tc>
          <w:tcPr>
            <w:tcW w:w="875" w:type="pct"/>
            <w:shd w:val="clear" w:color="auto" w:fill="D9E2F3"/>
            <w:tcMar>
              <w:top w:w="100" w:type="dxa"/>
              <w:left w:w="100" w:type="dxa"/>
              <w:bottom w:w="100" w:type="dxa"/>
              <w:right w:w="100" w:type="dxa"/>
            </w:tcMar>
            <w:vAlign w:val="center"/>
          </w:tcPr>
          <w:p w14:paraId="5EDF8F55" w14:textId="77777777" w:rsidR="00882BD0" w:rsidRDefault="009D73FE">
            <w:pPr>
              <w:spacing w:after="0"/>
              <w:jc w:val="center"/>
            </w:pPr>
            <w:r>
              <w:rPr>
                <w:b/>
                <w:sz w:val="16"/>
              </w:rPr>
              <w:t>Supporting references</w:t>
            </w:r>
          </w:p>
        </w:tc>
      </w:tr>
      <w:tr w:rsidR="00882BD0" w14:paraId="54D5EBEF" w14:textId="77777777" w:rsidTr="008C3192">
        <w:trPr>
          <w:cantSplit/>
          <w:jc w:val="center"/>
        </w:trPr>
        <w:tc>
          <w:tcPr>
            <w:tcW w:w="625" w:type="pct"/>
            <w:tcMar>
              <w:top w:w="100" w:type="dxa"/>
              <w:left w:w="100" w:type="dxa"/>
              <w:bottom w:w="100" w:type="dxa"/>
              <w:right w:w="100" w:type="dxa"/>
            </w:tcMar>
            <w:vAlign w:val="center"/>
          </w:tcPr>
          <w:p w14:paraId="7D58EC6A" w14:textId="77777777" w:rsidR="00882BD0" w:rsidRDefault="009D73FE">
            <w:pPr>
              <w:spacing w:after="0"/>
            </w:pPr>
            <w:r>
              <w:rPr>
                <w:sz w:val="16"/>
              </w:rPr>
              <w:t>Genomic selection</w:t>
            </w:r>
          </w:p>
        </w:tc>
        <w:tc>
          <w:tcPr>
            <w:tcW w:w="781" w:type="pct"/>
            <w:tcMar>
              <w:top w:w="100" w:type="dxa"/>
              <w:left w:w="100" w:type="dxa"/>
              <w:bottom w:w="100" w:type="dxa"/>
              <w:right w:w="100" w:type="dxa"/>
            </w:tcMar>
            <w:vAlign w:val="center"/>
          </w:tcPr>
          <w:p w14:paraId="577297BE" w14:textId="77777777" w:rsidR="00882BD0" w:rsidRDefault="009D73FE">
            <w:pPr>
              <w:spacing w:after="0"/>
            </w:pPr>
            <w:r>
              <w:rPr>
                <w:sz w:val="16"/>
              </w:rPr>
              <w:t>Inherited polygenic variation</w:t>
            </w:r>
          </w:p>
        </w:tc>
        <w:tc>
          <w:tcPr>
            <w:tcW w:w="844" w:type="pct"/>
            <w:tcMar>
              <w:top w:w="100" w:type="dxa"/>
              <w:left w:w="100" w:type="dxa"/>
              <w:bottom w:w="100" w:type="dxa"/>
              <w:right w:w="100" w:type="dxa"/>
            </w:tcMar>
            <w:vAlign w:val="center"/>
          </w:tcPr>
          <w:p w14:paraId="623429F7" w14:textId="77777777" w:rsidR="00882BD0" w:rsidRDefault="009D73FE">
            <w:pPr>
              <w:spacing w:after="0"/>
            </w:pPr>
            <w:r>
              <w:rPr>
                <w:sz w:val="16"/>
              </w:rPr>
              <w:t>Lower susceptibility and improved robustness</w:t>
            </w:r>
          </w:p>
        </w:tc>
        <w:tc>
          <w:tcPr>
            <w:tcW w:w="906" w:type="pct"/>
            <w:tcMar>
              <w:top w:w="100" w:type="dxa"/>
              <w:left w:w="100" w:type="dxa"/>
              <w:bottom w:w="100" w:type="dxa"/>
              <w:right w:w="100" w:type="dxa"/>
            </w:tcMar>
            <w:vAlign w:val="center"/>
          </w:tcPr>
          <w:p w14:paraId="063ACFB0" w14:textId="77777777" w:rsidR="00882BD0" w:rsidRDefault="009D73FE">
            <w:pPr>
              <w:spacing w:after="0"/>
            </w:pPr>
            <w:r>
              <w:rPr>
                <w:sz w:val="16"/>
              </w:rPr>
              <w:t>Reduced disease loss and treatment demand</w:t>
            </w:r>
          </w:p>
        </w:tc>
        <w:tc>
          <w:tcPr>
            <w:tcW w:w="969" w:type="pct"/>
            <w:tcMar>
              <w:top w:w="100" w:type="dxa"/>
              <w:left w:w="100" w:type="dxa"/>
              <w:bottom w:w="100" w:type="dxa"/>
              <w:right w:w="100" w:type="dxa"/>
            </w:tcMar>
            <w:vAlign w:val="center"/>
          </w:tcPr>
          <w:p w14:paraId="193E3615" w14:textId="77777777" w:rsidR="00882BD0" w:rsidRDefault="009D73FE">
            <w:pPr>
              <w:spacing w:after="0"/>
            </w:pPr>
            <w:r>
              <w:rPr>
                <w:sz w:val="16"/>
              </w:rPr>
              <w:t>Reference populations may not represent all environments or pathogen strains</w:t>
            </w:r>
          </w:p>
        </w:tc>
        <w:tc>
          <w:tcPr>
            <w:tcW w:w="875" w:type="pct"/>
            <w:tcMar>
              <w:top w:w="100" w:type="dxa"/>
              <w:left w:w="100" w:type="dxa"/>
              <w:bottom w:w="100" w:type="dxa"/>
              <w:right w:w="100" w:type="dxa"/>
            </w:tcMar>
            <w:vAlign w:val="center"/>
          </w:tcPr>
          <w:p w14:paraId="02AD7E60" w14:textId="77777777" w:rsidR="00882BD0" w:rsidRDefault="009D73FE">
            <w:pPr>
              <w:spacing w:after="0"/>
            </w:pPr>
            <w:r>
              <w:rPr>
                <w:sz w:val="16"/>
              </w:rPr>
              <w:t>Houston et al. (2020); Robledo et al. (2018)</w:t>
            </w:r>
          </w:p>
        </w:tc>
      </w:tr>
      <w:tr w:rsidR="00882BD0" w14:paraId="34D9C313" w14:textId="77777777" w:rsidTr="008C3192">
        <w:trPr>
          <w:cantSplit/>
          <w:jc w:val="center"/>
        </w:trPr>
        <w:tc>
          <w:tcPr>
            <w:tcW w:w="625" w:type="pct"/>
            <w:tcMar>
              <w:top w:w="100" w:type="dxa"/>
              <w:left w:w="100" w:type="dxa"/>
              <w:bottom w:w="100" w:type="dxa"/>
              <w:right w:w="100" w:type="dxa"/>
            </w:tcMar>
            <w:vAlign w:val="center"/>
          </w:tcPr>
          <w:p w14:paraId="2DC91F79" w14:textId="77777777" w:rsidR="00882BD0" w:rsidRDefault="009D73FE">
            <w:pPr>
              <w:spacing w:after="0"/>
            </w:pPr>
            <w:r>
              <w:rPr>
                <w:sz w:val="16"/>
              </w:rPr>
              <w:lastRenderedPageBreak/>
              <w:t>Genome editing</w:t>
            </w:r>
          </w:p>
        </w:tc>
        <w:tc>
          <w:tcPr>
            <w:tcW w:w="781" w:type="pct"/>
            <w:tcMar>
              <w:top w:w="100" w:type="dxa"/>
              <w:left w:w="100" w:type="dxa"/>
              <w:bottom w:w="100" w:type="dxa"/>
              <w:right w:w="100" w:type="dxa"/>
            </w:tcMar>
            <w:vAlign w:val="center"/>
          </w:tcPr>
          <w:p w14:paraId="17C921CD" w14:textId="77777777" w:rsidR="00882BD0" w:rsidRDefault="009D73FE">
            <w:pPr>
              <w:spacing w:after="0"/>
            </w:pPr>
            <w:r>
              <w:rPr>
                <w:sz w:val="16"/>
              </w:rPr>
              <w:t>Defined genes and pathways</w:t>
            </w:r>
          </w:p>
        </w:tc>
        <w:tc>
          <w:tcPr>
            <w:tcW w:w="844" w:type="pct"/>
            <w:tcMar>
              <w:top w:w="100" w:type="dxa"/>
              <w:left w:w="100" w:type="dxa"/>
              <w:bottom w:w="100" w:type="dxa"/>
              <w:right w:w="100" w:type="dxa"/>
            </w:tcMar>
            <w:vAlign w:val="center"/>
          </w:tcPr>
          <w:p w14:paraId="1A227BD5" w14:textId="77777777" w:rsidR="00882BD0" w:rsidRDefault="009D73FE">
            <w:pPr>
              <w:spacing w:after="0"/>
            </w:pPr>
            <w:r>
              <w:rPr>
                <w:sz w:val="16"/>
              </w:rPr>
              <w:t>Potential resistance, sterility or improved physiology</w:t>
            </w:r>
          </w:p>
        </w:tc>
        <w:tc>
          <w:tcPr>
            <w:tcW w:w="906" w:type="pct"/>
            <w:tcMar>
              <w:top w:w="100" w:type="dxa"/>
              <w:left w:w="100" w:type="dxa"/>
              <w:bottom w:w="100" w:type="dxa"/>
              <w:right w:w="100" w:type="dxa"/>
            </w:tcMar>
            <w:vAlign w:val="center"/>
          </w:tcPr>
          <w:p w14:paraId="37F5635C" w14:textId="77777777" w:rsidR="00882BD0" w:rsidRDefault="009D73FE">
            <w:pPr>
              <w:spacing w:after="0"/>
            </w:pPr>
            <w:r>
              <w:rPr>
                <w:sz w:val="16"/>
              </w:rPr>
              <w:t>Containment and production-efficiency benefits</w:t>
            </w:r>
          </w:p>
        </w:tc>
        <w:tc>
          <w:tcPr>
            <w:tcW w:w="969" w:type="pct"/>
            <w:tcMar>
              <w:top w:w="100" w:type="dxa"/>
              <w:left w:w="100" w:type="dxa"/>
              <w:bottom w:w="100" w:type="dxa"/>
              <w:right w:w="100" w:type="dxa"/>
            </w:tcMar>
            <w:vAlign w:val="center"/>
          </w:tcPr>
          <w:p w14:paraId="5BF1971D" w14:textId="77777777" w:rsidR="00882BD0" w:rsidRDefault="009D73FE">
            <w:pPr>
              <w:spacing w:after="0"/>
            </w:pPr>
            <w:r>
              <w:rPr>
                <w:sz w:val="16"/>
              </w:rPr>
              <w:t>Commercial evidence, pleiotropy and ecological consequences remain uncertain</w:t>
            </w:r>
          </w:p>
        </w:tc>
        <w:tc>
          <w:tcPr>
            <w:tcW w:w="875" w:type="pct"/>
            <w:tcMar>
              <w:top w:w="100" w:type="dxa"/>
              <w:left w:w="100" w:type="dxa"/>
              <w:bottom w:w="100" w:type="dxa"/>
              <w:right w:w="100" w:type="dxa"/>
            </w:tcMar>
            <w:vAlign w:val="center"/>
          </w:tcPr>
          <w:p w14:paraId="5E3F1371" w14:textId="77777777" w:rsidR="00882BD0" w:rsidRDefault="009D73FE">
            <w:pPr>
              <w:spacing w:after="0"/>
            </w:pPr>
            <w:r>
              <w:rPr>
                <w:sz w:val="16"/>
              </w:rPr>
              <w:t>Edvardsen et al. (2014); Wargelius et al. (2016)</w:t>
            </w:r>
          </w:p>
        </w:tc>
      </w:tr>
      <w:tr w:rsidR="00882BD0" w14:paraId="4AD52CD8" w14:textId="77777777" w:rsidTr="008C3192">
        <w:trPr>
          <w:cantSplit/>
          <w:jc w:val="center"/>
        </w:trPr>
        <w:tc>
          <w:tcPr>
            <w:tcW w:w="625" w:type="pct"/>
            <w:tcMar>
              <w:top w:w="100" w:type="dxa"/>
              <w:left w:w="100" w:type="dxa"/>
              <w:bottom w:w="100" w:type="dxa"/>
              <w:right w:w="100" w:type="dxa"/>
            </w:tcMar>
            <w:vAlign w:val="center"/>
          </w:tcPr>
          <w:p w14:paraId="211D6E65" w14:textId="77777777" w:rsidR="00882BD0" w:rsidRDefault="009D73FE">
            <w:pPr>
              <w:spacing w:after="0"/>
            </w:pPr>
            <w:r>
              <w:rPr>
                <w:sz w:val="16"/>
              </w:rPr>
              <w:t>Diagnostics and vaccines</w:t>
            </w:r>
          </w:p>
        </w:tc>
        <w:tc>
          <w:tcPr>
            <w:tcW w:w="781" w:type="pct"/>
            <w:tcMar>
              <w:top w:w="100" w:type="dxa"/>
              <w:left w:w="100" w:type="dxa"/>
              <w:bottom w:w="100" w:type="dxa"/>
              <w:right w:w="100" w:type="dxa"/>
            </w:tcMar>
            <w:vAlign w:val="center"/>
          </w:tcPr>
          <w:p w14:paraId="0120DEE7" w14:textId="77777777" w:rsidR="00882BD0" w:rsidRDefault="009D73FE">
            <w:pPr>
              <w:spacing w:after="0"/>
            </w:pPr>
            <w:r>
              <w:rPr>
                <w:sz w:val="16"/>
              </w:rPr>
              <w:t>Pathogen detection and adaptive immunity</w:t>
            </w:r>
          </w:p>
        </w:tc>
        <w:tc>
          <w:tcPr>
            <w:tcW w:w="844" w:type="pct"/>
            <w:tcMar>
              <w:top w:w="100" w:type="dxa"/>
              <w:left w:w="100" w:type="dxa"/>
              <w:bottom w:w="100" w:type="dxa"/>
              <w:right w:w="100" w:type="dxa"/>
            </w:tcMar>
            <w:vAlign w:val="center"/>
          </w:tcPr>
          <w:p w14:paraId="6513FEF6" w14:textId="77777777" w:rsidR="00882BD0" w:rsidRDefault="009D73FE">
            <w:pPr>
              <w:spacing w:after="0"/>
            </w:pPr>
            <w:r>
              <w:rPr>
                <w:sz w:val="16"/>
              </w:rPr>
              <w:t>Earlier control and reduced disease incidence</w:t>
            </w:r>
          </w:p>
        </w:tc>
        <w:tc>
          <w:tcPr>
            <w:tcW w:w="906" w:type="pct"/>
            <w:tcMar>
              <w:top w:w="100" w:type="dxa"/>
              <w:left w:w="100" w:type="dxa"/>
              <w:bottom w:w="100" w:type="dxa"/>
              <w:right w:w="100" w:type="dxa"/>
            </w:tcMar>
            <w:vAlign w:val="center"/>
          </w:tcPr>
          <w:p w14:paraId="4B29024D" w14:textId="77777777" w:rsidR="00882BD0" w:rsidRDefault="009D73FE">
            <w:pPr>
              <w:spacing w:after="0"/>
            </w:pPr>
            <w:r>
              <w:rPr>
                <w:sz w:val="16"/>
              </w:rPr>
              <w:t>Lower antimicrobial use and mortality-related waste</w:t>
            </w:r>
          </w:p>
        </w:tc>
        <w:tc>
          <w:tcPr>
            <w:tcW w:w="969" w:type="pct"/>
            <w:tcMar>
              <w:top w:w="100" w:type="dxa"/>
              <w:left w:w="100" w:type="dxa"/>
              <w:bottom w:w="100" w:type="dxa"/>
              <w:right w:w="100" w:type="dxa"/>
            </w:tcMar>
            <w:vAlign w:val="center"/>
          </w:tcPr>
          <w:p w14:paraId="7F4A2E98" w14:textId="77777777" w:rsidR="00882BD0" w:rsidRDefault="009D73FE">
            <w:pPr>
              <w:spacing w:after="0"/>
            </w:pPr>
            <w:r>
              <w:rPr>
                <w:sz w:val="16"/>
              </w:rPr>
              <w:t>Sampling, threshold interpretation and delivery constrain field value</w:t>
            </w:r>
          </w:p>
        </w:tc>
        <w:tc>
          <w:tcPr>
            <w:tcW w:w="875" w:type="pct"/>
            <w:tcMar>
              <w:top w:w="100" w:type="dxa"/>
              <w:left w:w="100" w:type="dxa"/>
              <w:bottom w:w="100" w:type="dxa"/>
              <w:right w:w="100" w:type="dxa"/>
            </w:tcMar>
            <w:vAlign w:val="center"/>
          </w:tcPr>
          <w:p w14:paraId="5BEA6944" w14:textId="77777777" w:rsidR="00882BD0" w:rsidRDefault="009D73FE">
            <w:pPr>
              <w:spacing w:after="0"/>
            </w:pPr>
            <w:r>
              <w:rPr>
                <w:sz w:val="16"/>
              </w:rPr>
              <w:t>Brudeseth et al. (2013); Peters et al. (2018)</w:t>
            </w:r>
          </w:p>
        </w:tc>
      </w:tr>
      <w:tr w:rsidR="00882BD0" w14:paraId="48057EF2" w14:textId="77777777" w:rsidTr="008C3192">
        <w:trPr>
          <w:cantSplit/>
          <w:jc w:val="center"/>
        </w:trPr>
        <w:tc>
          <w:tcPr>
            <w:tcW w:w="625" w:type="pct"/>
            <w:tcMar>
              <w:top w:w="100" w:type="dxa"/>
              <w:left w:w="100" w:type="dxa"/>
              <w:bottom w:w="100" w:type="dxa"/>
              <w:right w:w="100" w:type="dxa"/>
            </w:tcMar>
            <w:vAlign w:val="center"/>
          </w:tcPr>
          <w:p w14:paraId="6F263DD2" w14:textId="77777777" w:rsidR="00882BD0" w:rsidRDefault="009D73FE">
            <w:pPr>
              <w:spacing w:after="0"/>
            </w:pPr>
            <w:r>
              <w:rPr>
                <w:sz w:val="16"/>
              </w:rPr>
              <w:t>Microbial and phage interventions</w:t>
            </w:r>
          </w:p>
        </w:tc>
        <w:tc>
          <w:tcPr>
            <w:tcW w:w="781" w:type="pct"/>
            <w:tcMar>
              <w:top w:w="100" w:type="dxa"/>
              <w:left w:w="100" w:type="dxa"/>
              <w:bottom w:w="100" w:type="dxa"/>
              <w:right w:w="100" w:type="dxa"/>
            </w:tcMar>
            <w:vAlign w:val="center"/>
          </w:tcPr>
          <w:p w14:paraId="291E9BF3" w14:textId="77777777" w:rsidR="00882BD0" w:rsidRDefault="009D73FE">
            <w:pPr>
              <w:spacing w:after="0"/>
            </w:pPr>
            <w:r>
              <w:rPr>
                <w:sz w:val="16"/>
              </w:rPr>
              <w:t>Host-associated or environmental microbial ecology</w:t>
            </w:r>
          </w:p>
        </w:tc>
        <w:tc>
          <w:tcPr>
            <w:tcW w:w="844" w:type="pct"/>
            <w:tcMar>
              <w:top w:w="100" w:type="dxa"/>
              <w:left w:w="100" w:type="dxa"/>
              <w:bottom w:w="100" w:type="dxa"/>
              <w:right w:w="100" w:type="dxa"/>
            </w:tcMar>
            <w:vAlign w:val="center"/>
          </w:tcPr>
          <w:p w14:paraId="16517A18" w14:textId="77777777" w:rsidR="00882BD0" w:rsidRDefault="009D73FE">
            <w:pPr>
              <w:spacing w:after="0"/>
            </w:pPr>
            <w:r>
              <w:rPr>
                <w:sz w:val="16"/>
              </w:rPr>
              <w:t>Pathogen exclusion, immune support and targeted biocontrol</w:t>
            </w:r>
          </w:p>
        </w:tc>
        <w:tc>
          <w:tcPr>
            <w:tcW w:w="906" w:type="pct"/>
            <w:tcMar>
              <w:top w:w="100" w:type="dxa"/>
              <w:left w:w="100" w:type="dxa"/>
              <w:bottom w:w="100" w:type="dxa"/>
              <w:right w:w="100" w:type="dxa"/>
            </w:tcMar>
            <w:vAlign w:val="center"/>
          </w:tcPr>
          <w:p w14:paraId="4EC5A2C4" w14:textId="77777777" w:rsidR="00882BD0" w:rsidRDefault="009D73FE">
            <w:pPr>
              <w:spacing w:after="0"/>
            </w:pPr>
            <w:r>
              <w:rPr>
                <w:sz w:val="16"/>
              </w:rPr>
              <w:t>Potential reduction in antibiotics and improved nutrient cycling</w:t>
            </w:r>
          </w:p>
        </w:tc>
        <w:tc>
          <w:tcPr>
            <w:tcW w:w="969" w:type="pct"/>
            <w:tcMar>
              <w:top w:w="100" w:type="dxa"/>
              <w:left w:w="100" w:type="dxa"/>
              <w:bottom w:w="100" w:type="dxa"/>
              <w:right w:w="100" w:type="dxa"/>
            </w:tcMar>
            <w:vAlign w:val="center"/>
          </w:tcPr>
          <w:p w14:paraId="0F020DF3" w14:textId="77777777" w:rsidR="00882BD0" w:rsidRDefault="009D73FE">
            <w:pPr>
              <w:spacing w:after="0"/>
            </w:pPr>
            <w:r>
              <w:rPr>
                <w:sz w:val="16"/>
              </w:rPr>
              <w:t>Strain specificity, context dependence and resistance evolution</w:t>
            </w:r>
          </w:p>
        </w:tc>
        <w:tc>
          <w:tcPr>
            <w:tcW w:w="875" w:type="pct"/>
            <w:tcMar>
              <w:top w:w="100" w:type="dxa"/>
              <w:left w:w="100" w:type="dxa"/>
              <w:bottom w:w="100" w:type="dxa"/>
              <w:right w:w="100" w:type="dxa"/>
            </w:tcMar>
            <w:vAlign w:val="center"/>
          </w:tcPr>
          <w:p w14:paraId="5CDDE776" w14:textId="77777777" w:rsidR="00882BD0" w:rsidRDefault="009D73FE">
            <w:pPr>
              <w:spacing w:after="0"/>
            </w:pPr>
            <w:r>
              <w:rPr>
                <w:sz w:val="16"/>
              </w:rPr>
              <w:t>De Schryver et al. (2008); Silva et al. (2014)</w:t>
            </w:r>
          </w:p>
        </w:tc>
      </w:tr>
      <w:tr w:rsidR="00882BD0" w14:paraId="43C6D8B8" w14:textId="77777777" w:rsidTr="008C3192">
        <w:trPr>
          <w:cantSplit/>
          <w:jc w:val="center"/>
        </w:trPr>
        <w:tc>
          <w:tcPr>
            <w:tcW w:w="625" w:type="pct"/>
            <w:tcMar>
              <w:top w:w="100" w:type="dxa"/>
              <w:left w:w="100" w:type="dxa"/>
              <w:bottom w:w="100" w:type="dxa"/>
              <w:right w:w="100" w:type="dxa"/>
            </w:tcMar>
            <w:vAlign w:val="center"/>
          </w:tcPr>
          <w:p w14:paraId="15E3E508" w14:textId="77777777" w:rsidR="00882BD0" w:rsidRDefault="009D73FE">
            <w:pPr>
              <w:spacing w:after="0"/>
            </w:pPr>
            <w:r>
              <w:rPr>
                <w:sz w:val="16"/>
              </w:rPr>
              <w:t>Feed biotechnology</w:t>
            </w:r>
          </w:p>
        </w:tc>
        <w:tc>
          <w:tcPr>
            <w:tcW w:w="781" w:type="pct"/>
            <w:tcMar>
              <w:top w:w="100" w:type="dxa"/>
              <w:left w:w="100" w:type="dxa"/>
              <w:bottom w:w="100" w:type="dxa"/>
              <w:right w:w="100" w:type="dxa"/>
            </w:tcMar>
            <w:vAlign w:val="center"/>
          </w:tcPr>
          <w:p w14:paraId="62D61296" w14:textId="77777777" w:rsidR="00882BD0" w:rsidRDefault="009D73FE">
            <w:pPr>
              <w:spacing w:after="0"/>
            </w:pPr>
            <w:r>
              <w:rPr>
                <w:sz w:val="16"/>
              </w:rPr>
              <w:t>Nutrient source and biochemical composition</w:t>
            </w:r>
          </w:p>
        </w:tc>
        <w:tc>
          <w:tcPr>
            <w:tcW w:w="844" w:type="pct"/>
            <w:tcMar>
              <w:top w:w="100" w:type="dxa"/>
              <w:left w:w="100" w:type="dxa"/>
              <w:bottom w:w="100" w:type="dxa"/>
              <w:right w:w="100" w:type="dxa"/>
            </w:tcMar>
            <w:vAlign w:val="center"/>
          </w:tcPr>
          <w:p w14:paraId="4993E48D" w14:textId="77777777" w:rsidR="00882BD0" w:rsidRDefault="009D73FE">
            <w:pPr>
              <w:spacing w:after="0"/>
            </w:pPr>
            <w:r>
              <w:rPr>
                <w:sz w:val="16"/>
              </w:rPr>
              <w:t>Balanced nutrition and support for barrier or immune function</w:t>
            </w:r>
          </w:p>
        </w:tc>
        <w:tc>
          <w:tcPr>
            <w:tcW w:w="906" w:type="pct"/>
            <w:tcMar>
              <w:top w:w="100" w:type="dxa"/>
              <w:left w:w="100" w:type="dxa"/>
              <w:bottom w:w="100" w:type="dxa"/>
              <w:right w:w="100" w:type="dxa"/>
            </w:tcMar>
            <w:vAlign w:val="center"/>
          </w:tcPr>
          <w:p w14:paraId="49B3C9D1" w14:textId="77777777" w:rsidR="00882BD0" w:rsidRDefault="009D73FE">
            <w:pPr>
              <w:spacing w:after="0"/>
            </w:pPr>
            <w:r>
              <w:rPr>
                <w:sz w:val="16"/>
              </w:rPr>
              <w:t>Reduced dependence on finite marine ingredients and waste valorisation</w:t>
            </w:r>
          </w:p>
        </w:tc>
        <w:tc>
          <w:tcPr>
            <w:tcW w:w="969" w:type="pct"/>
            <w:tcMar>
              <w:top w:w="100" w:type="dxa"/>
              <w:left w:w="100" w:type="dxa"/>
              <w:bottom w:w="100" w:type="dxa"/>
              <w:right w:w="100" w:type="dxa"/>
            </w:tcMar>
            <w:vAlign w:val="center"/>
          </w:tcPr>
          <w:p w14:paraId="1152338A" w14:textId="77777777" w:rsidR="00882BD0" w:rsidRDefault="009D73FE">
            <w:pPr>
              <w:spacing w:after="0"/>
            </w:pPr>
            <w:r>
              <w:rPr>
                <w:sz w:val="16"/>
              </w:rPr>
              <w:t>Life-cycle burden and product-quality effects depend on process and inclusion level</w:t>
            </w:r>
          </w:p>
        </w:tc>
        <w:tc>
          <w:tcPr>
            <w:tcW w:w="875" w:type="pct"/>
            <w:tcMar>
              <w:top w:w="100" w:type="dxa"/>
              <w:left w:w="100" w:type="dxa"/>
              <w:bottom w:w="100" w:type="dxa"/>
              <w:right w:w="100" w:type="dxa"/>
            </w:tcMar>
            <w:vAlign w:val="center"/>
          </w:tcPr>
          <w:p w14:paraId="198FFC18" w14:textId="77777777" w:rsidR="00882BD0" w:rsidRDefault="009D73FE">
            <w:pPr>
              <w:spacing w:after="0"/>
            </w:pPr>
            <w:r>
              <w:rPr>
                <w:sz w:val="16"/>
              </w:rPr>
              <w:t>Sprague et al. (2016); Woolley et al. (2023)</w:t>
            </w:r>
          </w:p>
        </w:tc>
      </w:tr>
      <w:tr w:rsidR="00882BD0" w14:paraId="6E67F1D6" w14:textId="77777777" w:rsidTr="008C3192">
        <w:trPr>
          <w:cantSplit/>
          <w:jc w:val="center"/>
        </w:trPr>
        <w:tc>
          <w:tcPr>
            <w:tcW w:w="625" w:type="pct"/>
            <w:tcMar>
              <w:top w:w="100" w:type="dxa"/>
              <w:left w:w="100" w:type="dxa"/>
              <w:bottom w:w="100" w:type="dxa"/>
              <w:right w:w="100" w:type="dxa"/>
            </w:tcMar>
            <w:vAlign w:val="center"/>
          </w:tcPr>
          <w:p w14:paraId="3E74E6EE" w14:textId="77777777" w:rsidR="00882BD0" w:rsidRDefault="009D73FE">
            <w:pPr>
              <w:spacing w:after="0"/>
            </w:pPr>
            <w:r>
              <w:rPr>
                <w:sz w:val="16"/>
              </w:rPr>
              <w:t>Environmental biotechnology</w:t>
            </w:r>
          </w:p>
        </w:tc>
        <w:tc>
          <w:tcPr>
            <w:tcW w:w="781" w:type="pct"/>
            <w:tcMar>
              <w:top w:w="100" w:type="dxa"/>
              <w:left w:w="100" w:type="dxa"/>
              <w:bottom w:w="100" w:type="dxa"/>
              <w:right w:w="100" w:type="dxa"/>
            </w:tcMar>
            <w:vAlign w:val="center"/>
          </w:tcPr>
          <w:p w14:paraId="25CC1B5E" w14:textId="77777777" w:rsidR="00882BD0" w:rsidRDefault="009D73FE">
            <w:pPr>
              <w:spacing w:after="0"/>
            </w:pPr>
            <w:r>
              <w:rPr>
                <w:sz w:val="16"/>
              </w:rPr>
              <w:t>Water-treatment microbiomes and extractive species</w:t>
            </w:r>
          </w:p>
        </w:tc>
        <w:tc>
          <w:tcPr>
            <w:tcW w:w="844" w:type="pct"/>
            <w:tcMar>
              <w:top w:w="100" w:type="dxa"/>
              <w:left w:w="100" w:type="dxa"/>
              <w:bottom w:w="100" w:type="dxa"/>
              <w:right w:w="100" w:type="dxa"/>
            </w:tcMar>
            <w:vAlign w:val="center"/>
          </w:tcPr>
          <w:p w14:paraId="2242B600" w14:textId="77777777" w:rsidR="00882BD0" w:rsidRDefault="009D73FE">
            <w:pPr>
              <w:spacing w:after="0"/>
            </w:pPr>
            <w:r>
              <w:rPr>
                <w:sz w:val="16"/>
              </w:rPr>
              <w:t>Stable water quality and biosecurity</w:t>
            </w:r>
          </w:p>
        </w:tc>
        <w:tc>
          <w:tcPr>
            <w:tcW w:w="906" w:type="pct"/>
            <w:tcMar>
              <w:top w:w="100" w:type="dxa"/>
              <w:left w:w="100" w:type="dxa"/>
              <w:bottom w:w="100" w:type="dxa"/>
              <w:right w:w="100" w:type="dxa"/>
            </w:tcMar>
            <w:vAlign w:val="center"/>
          </w:tcPr>
          <w:p w14:paraId="744CD119" w14:textId="77777777" w:rsidR="00882BD0" w:rsidRDefault="009D73FE">
            <w:pPr>
              <w:spacing w:after="0"/>
            </w:pPr>
            <w:r>
              <w:rPr>
                <w:sz w:val="16"/>
              </w:rPr>
              <w:t>Water reuse, nutrient retention and co-product recovery</w:t>
            </w:r>
          </w:p>
        </w:tc>
        <w:tc>
          <w:tcPr>
            <w:tcW w:w="969" w:type="pct"/>
            <w:tcMar>
              <w:top w:w="100" w:type="dxa"/>
              <w:left w:w="100" w:type="dxa"/>
              <w:bottom w:w="100" w:type="dxa"/>
              <w:right w:w="100" w:type="dxa"/>
            </w:tcMar>
            <w:vAlign w:val="center"/>
          </w:tcPr>
          <w:p w14:paraId="41FEA7A4" w14:textId="77777777" w:rsidR="00882BD0" w:rsidRDefault="009D73FE">
            <w:pPr>
              <w:spacing w:after="0"/>
            </w:pPr>
            <w:r>
              <w:rPr>
                <w:sz w:val="16"/>
              </w:rPr>
              <w:t>Energy use, operational failure and incomplete mass balance</w:t>
            </w:r>
          </w:p>
        </w:tc>
        <w:tc>
          <w:tcPr>
            <w:tcW w:w="875" w:type="pct"/>
            <w:tcMar>
              <w:top w:w="100" w:type="dxa"/>
              <w:left w:w="100" w:type="dxa"/>
              <w:bottom w:w="100" w:type="dxa"/>
              <w:right w:w="100" w:type="dxa"/>
            </w:tcMar>
            <w:vAlign w:val="center"/>
          </w:tcPr>
          <w:p w14:paraId="61720648" w14:textId="77777777" w:rsidR="00882BD0" w:rsidRDefault="009D73FE">
            <w:pPr>
              <w:spacing w:after="0"/>
            </w:pPr>
            <w:r>
              <w:rPr>
                <w:sz w:val="16"/>
              </w:rPr>
              <w:t>Martins et al. (2010); Nederlof et al. (2022)</w:t>
            </w:r>
          </w:p>
        </w:tc>
      </w:tr>
    </w:tbl>
    <w:p w14:paraId="24B59E59" w14:textId="77777777" w:rsidR="00882BD0" w:rsidRDefault="009D73FE">
      <w:pPr>
        <w:pStyle w:val="TableNote"/>
      </w:pPr>
      <w:r>
        <w:t>Note. Evidence maturity is qualitative and reflects translation across controlled studies, field settings and commercial use rather than a formal grading system.</w:t>
      </w:r>
    </w:p>
    <w:p w14:paraId="66887CB2" w14:textId="77777777" w:rsidR="00882BD0" w:rsidRDefault="009D73FE">
      <w:pPr>
        <w:pStyle w:val="Heading1"/>
      </w:pPr>
      <w:r>
        <w:t>4. Genomics, Selective Breeding and Genome Editing</w:t>
      </w:r>
    </w:p>
    <w:p w14:paraId="1D2493A1" w14:textId="77777777" w:rsidR="00882BD0" w:rsidRDefault="009D73FE">
      <w:pPr>
        <w:pStyle w:val="BodyText"/>
      </w:pPr>
      <w:r>
        <w:t>Genomics has changed aquatic breeding from selection based primarily on pedigree and visible performance to the use of dense markers, reference genomes and genomic estimated breeding values. This shift is particularly important for traits that are difficult to measure on breeding candidates, including disease survival, fillet quality and tolerance to environmental stress. Challenge tests can phenotype relatives, while marker information links those phenotypes to selection candidates. Because disease resistance is often polygenic, genomic selection can capture many small effects that would be missed by single-marker approaches. Reviews of aquaculture genomics conclude that the technology is technically mature in major species but remains constrained by the cost of phenotyping, limited reference populations and the taxonomic diversity of aquaculture (Houston et al., 2020).</w:t>
      </w:r>
    </w:p>
    <w:p w14:paraId="1F404E99" w14:textId="77777777" w:rsidR="00882BD0" w:rsidRDefault="009D73FE">
      <w:pPr>
        <w:pStyle w:val="BodyText"/>
      </w:pPr>
      <w:r>
        <w:t>Evidence from Atlantic salmon illustrates both the promise and limitations. Robledo et al. (2018) found heritable variation in resistance-related traits for amoebic gill disease and reported that genomic prediction outperformed pedigree-only prediction in their challenge population. Gervais et al. (2021) combined genome-wide association with ribonucleic acid sequencing to investigate infectious salmon anaemia resistance, showing how genomic prediction and functional interpretation can be linked. Such studies support cumulative selection for resilience, but their external validity depends on pathogen strain, challenge protocol, production environment and the genetic relationship between reference and commercial populations. Resistance measured as survival can also be confounded by variation in exposure or tolerance, and selection for one disease may not improve response to another.</w:t>
      </w:r>
    </w:p>
    <w:p w14:paraId="01140586" w14:textId="77777777" w:rsidR="00882BD0" w:rsidRDefault="009D73FE">
      <w:pPr>
        <w:pStyle w:val="BodyText"/>
      </w:pPr>
      <w:r>
        <w:t xml:space="preserve">Genomic selection has several sustainability advantages over therapeutic control. Genetic gain is inherited and can operate throughout the production cycle without repeated application. Improved resistance may reduce mortality, chemical treatment and resource waste associated with animals that die before harvest. Yet genetic resistance is not equivalent to pathogen eradication. Resistant animals may still become infected and potentially carry pathogens, and strong directional selection can narrow diversity if breeding programmes use few elite parents. Long-term programmes therefore require effective population-size management, periodic refreshment </w:t>
      </w:r>
      <w:r>
        <w:lastRenderedPageBreak/>
        <w:t>of reference populations and multi-trait indices that include welfare, growth, product quality and robustness rather than disease resistance alone.</w:t>
      </w:r>
    </w:p>
    <w:p w14:paraId="78249328" w14:textId="77777777" w:rsidR="00882BD0" w:rsidRDefault="009D73FE">
      <w:pPr>
        <w:pStyle w:val="BodyText"/>
      </w:pPr>
      <w:r>
        <w:t>Functional genomics and genome editing offer a more targeted route. CRISPR-Cas9 was demonstrated in Atlantic salmon through targeted mutagenesis that produced complete knockout phenotypes in some first-generation animals, although mosaicism remained a central issue (Edvardsen et al., 2014). Subsequent salmonid cell work established efficient editing platforms for mechanistic screening, enabling candidate genes and antiviral pathways to be interrogated before whole-animal application (Gratacap et al., 2020). These platforms are valuable even when edited animals are not intended for food production because they strengthen causal inference and can identify markers for conventional selection.</w:t>
      </w:r>
    </w:p>
    <w:p w14:paraId="2E2E6F8D" w14:textId="77777777" w:rsidR="00882BD0" w:rsidRDefault="009D73FE">
      <w:pPr>
        <w:pStyle w:val="BodyText"/>
      </w:pPr>
      <w:r>
        <w:t>Whole-animal editing has produced phenotypes relevant to production. Myostatin knockout red sea bream showed enhanced muscle growth and feed-use characteristics in controlled studies (Ohama et al., 2020). Editing the dead end gene in Atlantic salmon generated germ-cell-deficient fish and provided proof that sterility can be engineered through a defined reproductive pathway (Wargelius et al., 2016). Sterility is especially relevant to sustainability because it could reduce genetic introgression from escaped farmed animals and prevent unwanted maturation. It may also facilitate the safe use of improved lines. The evidence, however, does not justify assuming that sterility removes all ecological risk. Escaped sterile fish can still compete, transmit pathogens and affect habitats, while welfare effects can emerge if endocrine or developmental pathways are altered.</w:t>
      </w:r>
    </w:p>
    <w:p w14:paraId="467A4991" w14:textId="77777777" w:rsidR="00882BD0" w:rsidRDefault="009D73FE">
      <w:pPr>
        <w:pStyle w:val="BodyText"/>
      </w:pPr>
      <w:r>
        <w:t>Disease-resistance editing remains a compelling but less mature target. Candidate genes can be prioritised from genome-wide association, transcriptomics and host-pathogen interaction studies. The most defensible pathway is a staged one: validate gene function in cells, test edited founders for mosaicism and unintended changes, establish stable lines, challenge under controlled conditions, then assess performance across environments. Editing a single host entry receptor can produce strong resistance where a pathogen has a narrow dependency, but many aquatic diseases are multifactorial and resistance may involve immune regulation with pleiotropic costs. A gene that restricts infection could also influence development or response to unrelated pathogens. Consequently, claims of durable broad-spectrum resistance require multi-pathogen and multi-generation evidence.</w:t>
      </w:r>
    </w:p>
    <w:p w14:paraId="5C65153E" w14:textId="77777777" w:rsidR="00882BD0" w:rsidRDefault="009D73FE">
      <w:pPr>
        <w:pStyle w:val="BodyText"/>
      </w:pPr>
      <w:r>
        <w:t>Technical assessment must extend beyond off-target sequence changes. On-target structural variants, large deletions, mosaic inheritance and interactions with duplicated teleost genomes can complicate genotype-phenotype interpretation. Aquatic species frequently have whole-genome duplication histories, and paralogues may compensate for or modify an edit. Phenotyping should therefore include growth, behaviour, stress physiology, immune competence, reproductive development and product composition. Whole-genome sequencing can support molecular assessment, but it does not substitute for biological observation. The comparator also matters: edited animals should be compared with genetically matched controls and, where possible, with conventionally selected lines that achieve a similar production objective.</w:t>
      </w:r>
    </w:p>
    <w:p w14:paraId="2CECD5FF" w14:textId="77777777" w:rsidR="00882BD0" w:rsidRDefault="009D73FE">
      <w:pPr>
        <w:pStyle w:val="BodyText"/>
      </w:pPr>
      <w:r>
        <w:t>Governance differs internationally, particularly where regulation is triggered by the process used or by the novelty of the final genotype. This creates uncertainty for trade and investment. A risk-proportionate approach should distinguish edits that recreate naturally occurring alleles from constructs that introduce foreign genetic material, but product similarity alone is not sufficient. Intended trait, potential exposure, reversibility, animal welfare and environmental consequence all require assessment. Traceability and transparent communication are necessary because public concerns relate not only to food safety but also to animal integrity, corporate control of breeding resources and impacts on wild populations.</w:t>
      </w:r>
    </w:p>
    <w:p w14:paraId="14DA75C0" w14:textId="77777777" w:rsidR="00882BD0" w:rsidRDefault="009D73FE">
      <w:pPr>
        <w:pStyle w:val="BodyText"/>
      </w:pPr>
      <w:r>
        <w:t xml:space="preserve">The evidence therefore supports genomics as a continuum rather than a contest between conventional selection and editing. Genomic selection is currently the most broadly defensible route for improving complex disease resistance. Editing is strongest as a functional tool and for traits with clear molecular causality, such as </w:t>
      </w:r>
      <w:r>
        <w:lastRenderedPageBreak/>
        <w:t>sterility, while commercial disease applications require more extensive validation. Combining genomic surveillance, selective breeding and carefully governed editing may deliver more durable benefits than relying on a single high-effect intervention.</w:t>
      </w:r>
    </w:p>
    <w:p w14:paraId="1BE3FFA0" w14:textId="77777777" w:rsidR="00882BD0" w:rsidRDefault="009D73FE">
      <w:pPr>
        <w:pStyle w:val="BodyText"/>
      </w:pPr>
      <w:r>
        <w:t>Table 2 compares genetic strategies. It highlights that evidence maturity decreases as biological precision increases: marker-assisted and genomic selection have stronger field translation, whereas editing provides stronger causal control but greater uncertainty regarding pleiotropy, regulation and ecological exposure. This is not an argument against editing; it indicates where additional evidence and containment are needed.</w:t>
      </w:r>
    </w:p>
    <w:p w14:paraId="14D24B6F" w14:textId="77777777" w:rsidR="00882BD0" w:rsidRDefault="009D73FE">
      <w:pPr>
        <w:pStyle w:val="TableCaption"/>
      </w:pPr>
      <w:r>
        <w:rPr>
          <w:b/>
        </w:rPr>
        <w:t>Table 2. Comparative appraisal of genetic and genomic strategies</w:t>
      </w:r>
    </w:p>
    <w:tbl>
      <w:tblPr>
        <w:tblStyle w:val="TableGrid"/>
        <w:tblW w:w="5000" w:type="pct"/>
        <w:jc w:val="center"/>
        <w:tblLook w:val="04A0" w:firstRow="1" w:lastRow="0" w:firstColumn="1" w:lastColumn="0" w:noHBand="0" w:noVBand="1"/>
      </w:tblPr>
      <w:tblGrid>
        <w:gridCol w:w="1204"/>
        <w:gridCol w:w="1458"/>
        <w:gridCol w:w="1458"/>
        <w:gridCol w:w="1076"/>
        <w:gridCol w:w="1648"/>
        <w:gridCol w:w="1711"/>
        <w:gridCol w:w="1581"/>
      </w:tblGrid>
      <w:tr w:rsidR="00882BD0" w14:paraId="14D1753B" w14:textId="77777777" w:rsidTr="008C3192">
        <w:trPr>
          <w:cantSplit/>
          <w:tblHeader/>
          <w:jc w:val="center"/>
        </w:trPr>
        <w:tc>
          <w:tcPr>
            <w:tcW w:w="594" w:type="pct"/>
            <w:shd w:val="clear" w:color="auto" w:fill="D9E2F3"/>
            <w:tcMar>
              <w:top w:w="100" w:type="dxa"/>
              <w:left w:w="100" w:type="dxa"/>
              <w:bottom w:w="100" w:type="dxa"/>
              <w:right w:w="100" w:type="dxa"/>
            </w:tcMar>
            <w:vAlign w:val="center"/>
          </w:tcPr>
          <w:p w14:paraId="62A49E8A" w14:textId="77777777" w:rsidR="00882BD0" w:rsidRDefault="009D73FE">
            <w:pPr>
              <w:spacing w:after="0"/>
              <w:jc w:val="center"/>
            </w:pPr>
            <w:r>
              <w:rPr>
                <w:b/>
                <w:sz w:val="16"/>
              </w:rPr>
              <w:t>Strategy</w:t>
            </w:r>
          </w:p>
        </w:tc>
        <w:tc>
          <w:tcPr>
            <w:tcW w:w="719" w:type="pct"/>
            <w:shd w:val="clear" w:color="auto" w:fill="D9E2F3"/>
            <w:tcMar>
              <w:top w:w="100" w:type="dxa"/>
              <w:left w:w="100" w:type="dxa"/>
              <w:bottom w:w="100" w:type="dxa"/>
              <w:right w:w="100" w:type="dxa"/>
            </w:tcMar>
            <w:vAlign w:val="center"/>
          </w:tcPr>
          <w:p w14:paraId="6062FD55" w14:textId="77777777" w:rsidR="00882BD0" w:rsidRDefault="009D73FE">
            <w:pPr>
              <w:spacing w:after="0"/>
              <w:jc w:val="center"/>
            </w:pPr>
            <w:r>
              <w:rPr>
                <w:b/>
                <w:sz w:val="16"/>
              </w:rPr>
              <w:t>Representative application</w:t>
            </w:r>
          </w:p>
        </w:tc>
        <w:tc>
          <w:tcPr>
            <w:tcW w:w="719" w:type="pct"/>
            <w:shd w:val="clear" w:color="auto" w:fill="D9E2F3"/>
            <w:tcMar>
              <w:top w:w="100" w:type="dxa"/>
              <w:left w:w="100" w:type="dxa"/>
              <w:bottom w:w="100" w:type="dxa"/>
              <w:right w:w="100" w:type="dxa"/>
            </w:tcMar>
            <w:vAlign w:val="center"/>
          </w:tcPr>
          <w:p w14:paraId="509D809E" w14:textId="77777777" w:rsidR="00882BD0" w:rsidRDefault="009D73FE">
            <w:pPr>
              <w:spacing w:after="0"/>
              <w:jc w:val="center"/>
            </w:pPr>
            <w:r>
              <w:rPr>
                <w:b/>
                <w:sz w:val="16"/>
              </w:rPr>
              <w:t>Main advantage</w:t>
            </w:r>
          </w:p>
        </w:tc>
        <w:tc>
          <w:tcPr>
            <w:tcW w:w="531" w:type="pct"/>
            <w:shd w:val="clear" w:color="auto" w:fill="D9E2F3"/>
            <w:tcMar>
              <w:top w:w="100" w:type="dxa"/>
              <w:left w:w="100" w:type="dxa"/>
              <w:bottom w:w="100" w:type="dxa"/>
              <w:right w:w="100" w:type="dxa"/>
            </w:tcMar>
            <w:vAlign w:val="center"/>
          </w:tcPr>
          <w:p w14:paraId="455C05F7" w14:textId="77777777" w:rsidR="00882BD0" w:rsidRDefault="009D73FE">
            <w:pPr>
              <w:spacing w:after="0"/>
              <w:jc w:val="center"/>
            </w:pPr>
            <w:r>
              <w:rPr>
                <w:b/>
                <w:sz w:val="16"/>
              </w:rPr>
              <w:t>Evidence maturity</w:t>
            </w:r>
          </w:p>
        </w:tc>
        <w:tc>
          <w:tcPr>
            <w:tcW w:w="813" w:type="pct"/>
            <w:shd w:val="clear" w:color="auto" w:fill="D9E2F3"/>
            <w:tcMar>
              <w:top w:w="100" w:type="dxa"/>
              <w:left w:w="100" w:type="dxa"/>
              <w:bottom w:w="100" w:type="dxa"/>
              <w:right w:w="100" w:type="dxa"/>
            </w:tcMar>
            <w:vAlign w:val="center"/>
          </w:tcPr>
          <w:p w14:paraId="765DA307" w14:textId="77777777" w:rsidR="00882BD0" w:rsidRDefault="009D73FE">
            <w:pPr>
              <w:spacing w:after="0"/>
              <w:jc w:val="center"/>
            </w:pPr>
            <w:r>
              <w:rPr>
                <w:b/>
                <w:sz w:val="16"/>
              </w:rPr>
              <w:t>Key risks or trade-offs</w:t>
            </w:r>
          </w:p>
        </w:tc>
        <w:tc>
          <w:tcPr>
            <w:tcW w:w="844" w:type="pct"/>
            <w:shd w:val="clear" w:color="auto" w:fill="D9E2F3"/>
            <w:tcMar>
              <w:top w:w="100" w:type="dxa"/>
              <w:left w:w="100" w:type="dxa"/>
              <w:bottom w:w="100" w:type="dxa"/>
              <w:right w:w="100" w:type="dxa"/>
            </w:tcMar>
            <w:vAlign w:val="center"/>
          </w:tcPr>
          <w:p w14:paraId="01443CA2" w14:textId="77777777" w:rsidR="00882BD0" w:rsidRDefault="009D73FE">
            <w:pPr>
              <w:spacing w:after="0"/>
              <w:jc w:val="center"/>
            </w:pPr>
            <w:r>
              <w:rPr>
                <w:b/>
                <w:sz w:val="16"/>
              </w:rPr>
              <w:t>Priority evidence need</w:t>
            </w:r>
          </w:p>
        </w:tc>
        <w:tc>
          <w:tcPr>
            <w:tcW w:w="781" w:type="pct"/>
            <w:shd w:val="clear" w:color="auto" w:fill="D9E2F3"/>
            <w:tcMar>
              <w:top w:w="100" w:type="dxa"/>
              <w:left w:w="100" w:type="dxa"/>
              <w:bottom w:w="100" w:type="dxa"/>
              <w:right w:w="100" w:type="dxa"/>
            </w:tcMar>
            <w:vAlign w:val="center"/>
          </w:tcPr>
          <w:p w14:paraId="31D6B459" w14:textId="77777777" w:rsidR="00882BD0" w:rsidRDefault="009D73FE">
            <w:pPr>
              <w:spacing w:after="0"/>
              <w:jc w:val="center"/>
            </w:pPr>
            <w:r>
              <w:rPr>
                <w:b/>
                <w:sz w:val="16"/>
              </w:rPr>
              <w:t>Supporting references</w:t>
            </w:r>
          </w:p>
        </w:tc>
      </w:tr>
      <w:tr w:rsidR="00882BD0" w14:paraId="054AB80B" w14:textId="77777777" w:rsidTr="008C3192">
        <w:trPr>
          <w:cantSplit/>
          <w:jc w:val="center"/>
        </w:trPr>
        <w:tc>
          <w:tcPr>
            <w:tcW w:w="594" w:type="pct"/>
            <w:tcMar>
              <w:top w:w="100" w:type="dxa"/>
              <w:left w:w="100" w:type="dxa"/>
              <w:bottom w:w="100" w:type="dxa"/>
              <w:right w:w="100" w:type="dxa"/>
            </w:tcMar>
            <w:vAlign w:val="center"/>
          </w:tcPr>
          <w:p w14:paraId="428B0E92" w14:textId="77777777" w:rsidR="00882BD0" w:rsidRDefault="009D73FE">
            <w:pPr>
              <w:spacing w:after="0"/>
            </w:pPr>
            <w:r>
              <w:rPr>
                <w:sz w:val="16"/>
              </w:rPr>
              <w:t>Genomic selection</w:t>
            </w:r>
          </w:p>
        </w:tc>
        <w:tc>
          <w:tcPr>
            <w:tcW w:w="719" w:type="pct"/>
            <w:tcMar>
              <w:top w:w="100" w:type="dxa"/>
              <w:left w:w="100" w:type="dxa"/>
              <w:bottom w:w="100" w:type="dxa"/>
              <w:right w:w="100" w:type="dxa"/>
            </w:tcMar>
            <w:vAlign w:val="center"/>
          </w:tcPr>
          <w:p w14:paraId="6BBAC6B9" w14:textId="77777777" w:rsidR="00882BD0" w:rsidRDefault="009D73FE">
            <w:pPr>
              <w:spacing w:after="0"/>
            </w:pPr>
            <w:r>
              <w:rPr>
                <w:sz w:val="16"/>
              </w:rPr>
              <w:t>Resistance to amoebic gill disease</w:t>
            </w:r>
          </w:p>
        </w:tc>
        <w:tc>
          <w:tcPr>
            <w:tcW w:w="719" w:type="pct"/>
            <w:tcMar>
              <w:top w:w="100" w:type="dxa"/>
              <w:left w:w="100" w:type="dxa"/>
              <w:bottom w:w="100" w:type="dxa"/>
              <w:right w:w="100" w:type="dxa"/>
            </w:tcMar>
            <w:vAlign w:val="center"/>
          </w:tcPr>
          <w:p w14:paraId="77669AE5" w14:textId="77777777" w:rsidR="00882BD0" w:rsidRDefault="009D73FE">
            <w:pPr>
              <w:spacing w:after="0"/>
            </w:pPr>
            <w:r>
              <w:rPr>
                <w:sz w:val="16"/>
              </w:rPr>
              <w:t>Captures polygenic variation and supports cumulative gain</w:t>
            </w:r>
          </w:p>
        </w:tc>
        <w:tc>
          <w:tcPr>
            <w:tcW w:w="531" w:type="pct"/>
            <w:tcMar>
              <w:top w:w="100" w:type="dxa"/>
              <w:left w:w="100" w:type="dxa"/>
              <w:bottom w:w="100" w:type="dxa"/>
              <w:right w:w="100" w:type="dxa"/>
            </w:tcMar>
            <w:vAlign w:val="center"/>
          </w:tcPr>
          <w:p w14:paraId="36512E6A" w14:textId="77777777" w:rsidR="00882BD0" w:rsidRDefault="009D73FE">
            <w:pPr>
              <w:spacing w:after="0"/>
            </w:pPr>
            <w:r>
              <w:rPr>
                <w:sz w:val="16"/>
              </w:rPr>
              <w:t>Field-translational</w:t>
            </w:r>
          </w:p>
        </w:tc>
        <w:tc>
          <w:tcPr>
            <w:tcW w:w="813" w:type="pct"/>
            <w:tcMar>
              <w:top w:w="100" w:type="dxa"/>
              <w:left w:w="100" w:type="dxa"/>
              <w:bottom w:w="100" w:type="dxa"/>
              <w:right w:w="100" w:type="dxa"/>
            </w:tcMar>
            <w:vAlign w:val="center"/>
          </w:tcPr>
          <w:p w14:paraId="636E6FA6" w14:textId="77777777" w:rsidR="00882BD0" w:rsidRDefault="009D73FE">
            <w:pPr>
              <w:spacing w:after="0"/>
            </w:pPr>
            <w:r>
              <w:rPr>
                <w:sz w:val="16"/>
              </w:rPr>
              <w:t>Diversity loss and genotype-by-environment interaction</w:t>
            </w:r>
          </w:p>
        </w:tc>
        <w:tc>
          <w:tcPr>
            <w:tcW w:w="844" w:type="pct"/>
            <w:tcMar>
              <w:top w:w="100" w:type="dxa"/>
              <w:left w:w="100" w:type="dxa"/>
              <w:bottom w:w="100" w:type="dxa"/>
              <w:right w:w="100" w:type="dxa"/>
            </w:tcMar>
            <w:vAlign w:val="center"/>
          </w:tcPr>
          <w:p w14:paraId="1EBE16A9" w14:textId="77777777" w:rsidR="00882BD0" w:rsidRDefault="009D73FE">
            <w:pPr>
              <w:spacing w:after="0"/>
            </w:pPr>
            <w:r>
              <w:rPr>
                <w:sz w:val="16"/>
              </w:rPr>
              <w:t>Multi-environment reference populations and correlated-trait monitoring</w:t>
            </w:r>
          </w:p>
        </w:tc>
        <w:tc>
          <w:tcPr>
            <w:tcW w:w="781" w:type="pct"/>
            <w:tcMar>
              <w:top w:w="100" w:type="dxa"/>
              <w:left w:w="100" w:type="dxa"/>
              <w:bottom w:w="100" w:type="dxa"/>
              <w:right w:w="100" w:type="dxa"/>
            </w:tcMar>
            <w:vAlign w:val="center"/>
          </w:tcPr>
          <w:p w14:paraId="7D7825AF" w14:textId="77777777" w:rsidR="00882BD0" w:rsidRDefault="009D73FE">
            <w:pPr>
              <w:spacing w:after="0"/>
            </w:pPr>
            <w:r>
              <w:rPr>
                <w:sz w:val="16"/>
              </w:rPr>
              <w:t>Robledo et al. (2018); Houston et al. (2020)</w:t>
            </w:r>
          </w:p>
        </w:tc>
      </w:tr>
      <w:tr w:rsidR="00882BD0" w14:paraId="00C85FB0" w14:textId="77777777" w:rsidTr="008C3192">
        <w:trPr>
          <w:cantSplit/>
          <w:jc w:val="center"/>
        </w:trPr>
        <w:tc>
          <w:tcPr>
            <w:tcW w:w="594" w:type="pct"/>
            <w:tcMar>
              <w:top w:w="100" w:type="dxa"/>
              <w:left w:w="100" w:type="dxa"/>
              <w:bottom w:w="100" w:type="dxa"/>
              <w:right w:w="100" w:type="dxa"/>
            </w:tcMar>
            <w:vAlign w:val="center"/>
          </w:tcPr>
          <w:p w14:paraId="1E832F14" w14:textId="77777777" w:rsidR="00882BD0" w:rsidRDefault="009D73FE">
            <w:pPr>
              <w:spacing w:after="0"/>
            </w:pPr>
            <w:r>
              <w:rPr>
                <w:sz w:val="16"/>
              </w:rPr>
              <w:t>Integrated association and transcriptomics</w:t>
            </w:r>
          </w:p>
        </w:tc>
        <w:tc>
          <w:tcPr>
            <w:tcW w:w="719" w:type="pct"/>
            <w:tcMar>
              <w:top w:w="100" w:type="dxa"/>
              <w:left w:w="100" w:type="dxa"/>
              <w:bottom w:w="100" w:type="dxa"/>
              <w:right w:w="100" w:type="dxa"/>
            </w:tcMar>
            <w:vAlign w:val="center"/>
          </w:tcPr>
          <w:p w14:paraId="29B1C4C5" w14:textId="77777777" w:rsidR="00882BD0" w:rsidRDefault="009D73FE">
            <w:pPr>
              <w:spacing w:after="0"/>
            </w:pPr>
            <w:r>
              <w:rPr>
                <w:sz w:val="16"/>
              </w:rPr>
              <w:t>Resistance to infectious salmon anaemia</w:t>
            </w:r>
          </w:p>
        </w:tc>
        <w:tc>
          <w:tcPr>
            <w:tcW w:w="719" w:type="pct"/>
            <w:tcMar>
              <w:top w:w="100" w:type="dxa"/>
              <w:left w:w="100" w:type="dxa"/>
              <w:bottom w:w="100" w:type="dxa"/>
              <w:right w:w="100" w:type="dxa"/>
            </w:tcMar>
            <w:vAlign w:val="center"/>
          </w:tcPr>
          <w:p w14:paraId="23D67D61" w14:textId="77777777" w:rsidR="00882BD0" w:rsidRDefault="009D73FE">
            <w:pPr>
              <w:spacing w:after="0"/>
            </w:pPr>
            <w:r>
              <w:rPr>
                <w:sz w:val="16"/>
              </w:rPr>
              <w:t>Links prediction with biological pathways</w:t>
            </w:r>
          </w:p>
        </w:tc>
        <w:tc>
          <w:tcPr>
            <w:tcW w:w="531" w:type="pct"/>
            <w:tcMar>
              <w:top w:w="100" w:type="dxa"/>
              <w:left w:w="100" w:type="dxa"/>
              <w:bottom w:w="100" w:type="dxa"/>
              <w:right w:w="100" w:type="dxa"/>
            </w:tcMar>
            <w:vAlign w:val="center"/>
          </w:tcPr>
          <w:p w14:paraId="7694B479" w14:textId="77777777" w:rsidR="00882BD0" w:rsidRDefault="009D73FE">
            <w:pPr>
              <w:spacing w:after="0"/>
            </w:pPr>
            <w:r>
              <w:rPr>
                <w:sz w:val="16"/>
              </w:rPr>
              <w:t>Advanced research</w:t>
            </w:r>
          </w:p>
        </w:tc>
        <w:tc>
          <w:tcPr>
            <w:tcW w:w="813" w:type="pct"/>
            <w:tcMar>
              <w:top w:w="100" w:type="dxa"/>
              <w:left w:w="100" w:type="dxa"/>
              <w:bottom w:w="100" w:type="dxa"/>
              <w:right w:w="100" w:type="dxa"/>
            </w:tcMar>
            <w:vAlign w:val="center"/>
          </w:tcPr>
          <w:p w14:paraId="41DC75AD" w14:textId="77777777" w:rsidR="00882BD0" w:rsidRDefault="009D73FE">
            <w:pPr>
              <w:spacing w:after="0"/>
            </w:pPr>
            <w:r>
              <w:rPr>
                <w:sz w:val="16"/>
              </w:rPr>
              <w:t>Association does not prove causality; challenge specificity</w:t>
            </w:r>
          </w:p>
        </w:tc>
        <w:tc>
          <w:tcPr>
            <w:tcW w:w="844" w:type="pct"/>
            <w:tcMar>
              <w:top w:w="100" w:type="dxa"/>
              <w:left w:w="100" w:type="dxa"/>
              <w:bottom w:w="100" w:type="dxa"/>
              <w:right w:w="100" w:type="dxa"/>
            </w:tcMar>
            <w:vAlign w:val="center"/>
          </w:tcPr>
          <w:p w14:paraId="419B4118" w14:textId="77777777" w:rsidR="00882BD0" w:rsidRDefault="009D73FE">
            <w:pPr>
              <w:spacing w:after="0"/>
            </w:pPr>
            <w:r>
              <w:rPr>
                <w:sz w:val="16"/>
              </w:rPr>
              <w:t>Independent validation and transmission-related phenotypes</w:t>
            </w:r>
          </w:p>
        </w:tc>
        <w:tc>
          <w:tcPr>
            <w:tcW w:w="781" w:type="pct"/>
            <w:tcMar>
              <w:top w:w="100" w:type="dxa"/>
              <w:left w:w="100" w:type="dxa"/>
              <w:bottom w:w="100" w:type="dxa"/>
              <w:right w:w="100" w:type="dxa"/>
            </w:tcMar>
            <w:vAlign w:val="center"/>
          </w:tcPr>
          <w:p w14:paraId="7C1D07FD" w14:textId="77777777" w:rsidR="00882BD0" w:rsidRDefault="009D73FE">
            <w:pPr>
              <w:spacing w:after="0"/>
            </w:pPr>
            <w:r>
              <w:rPr>
                <w:sz w:val="16"/>
              </w:rPr>
              <w:t>Gervais et al. (2021)</w:t>
            </w:r>
          </w:p>
        </w:tc>
      </w:tr>
      <w:tr w:rsidR="00882BD0" w14:paraId="6B039361" w14:textId="77777777" w:rsidTr="008C3192">
        <w:trPr>
          <w:cantSplit/>
          <w:jc w:val="center"/>
        </w:trPr>
        <w:tc>
          <w:tcPr>
            <w:tcW w:w="594" w:type="pct"/>
            <w:tcMar>
              <w:top w:w="100" w:type="dxa"/>
              <w:left w:w="100" w:type="dxa"/>
              <w:bottom w:w="100" w:type="dxa"/>
              <w:right w:w="100" w:type="dxa"/>
            </w:tcMar>
            <w:vAlign w:val="center"/>
          </w:tcPr>
          <w:p w14:paraId="220B9045" w14:textId="77777777" w:rsidR="00882BD0" w:rsidRDefault="009D73FE">
            <w:pPr>
              <w:spacing w:after="0"/>
            </w:pPr>
            <w:r>
              <w:rPr>
                <w:sz w:val="16"/>
              </w:rPr>
              <w:t>CRISPR functional knockout</w:t>
            </w:r>
          </w:p>
        </w:tc>
        <w:tc>
          <w:tcPr>
            <w:tcW w:w="719" w:type="pct"/>
            <w:tcMar>
              <w:top w:w="100" w:type="dxa"/>
              <w:left w:w="100" w:type="dxa"/>
              <w:bottom w:w="100" w:type="dxa"/>
              <w:right w:w="100" w:type="dxa"/>
            </w:tcMar>
            <w:vAlign w:val="center"/>
          </w:tcPr>
          <w:p w14:paraId="30AA7CC9" w14:textId="77777777" w:rsidR="00882BD0" w:rsidRDefault="009D73FE">
            <w:pPr>
              <w:spacing w:after="0"/>
            </w:pPr>
            <w:r>
              <w:rPr>
                <w:sz w:val="16"/>
              </w:rPr>
              <w:t>Pigmentation genes in Atlantic salmon</w:t>
            </w:r>
          </w:p>
        </w:tc>
        <w:tc>
          <w:tcPr>
            <w:tcW w:w="719" w:type="pct"/>
            <w:tcMar>
              <w:top w:w="100" w:type="dxa"/>
              <w:left w:w="100" w:type="dxa"/>
              <w:bottom w:w="100" w:type="dxa"/>
              <w:right w:w="100" w:type="dxa"/>
            </w:tcMar>
            <w:vAlign w:val="center"/>
          </w:tcPr>
          <w:p w14:paraId="17820892" w14:textId="77777777" w:rsidR="00882BD0" w:rsidRDefault="009D73FE">
            <w:pPr>
              <w:spacing w:after="0"/>
            </w:pPr>
            <w:r>
              <w:rPr>
                <w:sz w:val="16"/>
              </w:rPr>
              <w:t>Direct causal testing in a difficult species</w:t>
            </w:r>
          </w:p>
        </w:tc>
        <w:tc>
          <w:tcPr>
            <w:tcW w:w="531" w:type="pct"/>
            <w:tcMar>
              <w:top w:w="100" w:type="dxa"/>
              <w:left w:w="100" w:type="dxa"/>
              <w:bottom w:w="100" w:type="dxa"/>
              <w:right w:w="100" w:type="dxa"/>
            </w:tcMar>
            <w:vAlign w:val="center"/>
          </w:tcPr>
          <w:p w14:paraId="728F8730" w14:textId="77777777" w:rsidR="00882BD0" w:rsidRDefault="009D73FE">
            <w:pPr>
              <w:spacing w:after="0"/>
            </w:pPr>
            <w:r>
              <w:rPr>
                <w:sz w:val="16"/>
              </w:rPr>
              <w:t>Proof of concept</w:t>
            </w:r>
          </w:p>
        </w:tc>
        <w:tc>
          <w:tcPr>
            <w:tcW w:w="813" w:type="pct"/>
            <w:tcMar>
              <w:top w:w="100" w:type="dxa"/>
              <w:left w:w="100" w:type="dxa"/>
              <w:bottom w:w="100" w:type="dxa"/>
              <w:right w:w="100" w:type="dxa"/>
            </w:tcMar>
            <w:vAlign w:val="center"/>
          </w:tcPr>
          <w:p w14:paraId="07424333" w14:textId="77777777" w:rsidR="00882BD0" w:rsidRDefault="009D73FE">
            <w:pPr>
              <w:spacing w:after="0"/>
            </w:pPr>
            <w:r>
              <w:rPr>
                <w:sz w:val="16"/>
              </w:rPr>
              <w:t>Mosaicism and on-target structural complexity</w:t>
            </w:r>
          </w:p>
        </w:tc>
        <w:tc>
          <w:tcPr>
            <w:tcW w:w="844" w:type="pct"/>
            <w:tcMar>
              <w:top w:w="100" w:type="dxa"/>
              <w:left w:w="100" w:type="dxa"/>
              <w:bottom w:w="100" w:type="dxa"/>
              <w:right w:w="100" w:type="dxa"/>
            </w:tcMar>
            <w:vAlign w:val="center"/>
          </w:tcPr>
          <w:p w14:paraId="1418B60D" w14:textId="77777777" w:rsidR="00882BD0" w:rsidRDefault="009D73FE">
            <w:pPr>
              <w:spacing w:after="0"/>
            </w:pPr>
            <w:r>
              <w:rPr>
                <w:sz w:val="16"/>
              </w:rPr>
              <w:t>Stable lines and matched-control phenotyping</w:t>
            </w:r>
          </w:p>
        </w:tc>
        <w:tc>
          <w:tcPr>
            <w:tcW w:w="781" w:type="pct"/>
            <w:tcMar>
              <w:top w:w="100" w:type="dxa"/>
              <w:left w:w="100" w:type="dxa"/>
              <w:bottom w:w="100" w:type="dxa"/>
              <w:right w:w="100" w:type="dxa"/>
            </w:tcMar>
            <w:vAlign w:val="center"/>
          </w:tcPr>
          <w:p w14:paraId="130CBEE2" w14:textId="77777777" w:rsidR="00882BD0" w:rsidRDefault="009D73FE">
            <w:pPr>
              <w:spacing w:after="0"/>
            </w:pPr>
            <w:r>
              <w:rPr>
                <w:sz w:val="16"/>
              </w:rPr>
              <w:t>Edvardsen et al. (2014); Gratacap et al. (2020)</w:t>
            </w:r>
          </w:p>
        </w:tc>
      </w:tr>
      <w:tr w:rsidR="00882BD0" w14:paraId="64A5E44E" w14:textId="77777777" w:rsidTr="008C3192">
        <w:trPr>
          <w:cantSplit/>
          <w:jc w:val="center"/>
        </w:trPr>
        <w:tc>
          <w:tcPr>
            <w:tcW w:w="594" w:type="pct"/>
            <w:tcMar>
              <w:top w:w="100" w:type="dxa"/>
              <w:left w:w="100" w:type="dxa"/>
              <w:bottom w:w="100" w:type="dxa"/>
              <w:right w:w="100" w:type="dxa"/>
            </w:tcMar>
            <w:vAlign w:val="center"/>
          </w:tcPr>
          <w:p w14:paraId="0339E1AF" w14:textId="77777777" w:rsidR="00882BD0" w:rsidRDefault="009D73FE">
            <w:pPr>
              <w:spacing w:after="0"/>
            </w:pPr>
            <w:r>
              <w:rPr>
                <w:sz w:val="16"/>
              </w:rPr>
              <w:t>Growth-trait editing</w:t>
            </w:r>
          </w:p>
        </w:tc>
        <w:tc>
          <w:tcPr>
            <w:tcW w:w="719" w:type="pct"/>
            <w:tcMar>
              <w:top w:w="100" w:type="dxa"/>
              <w:left w:w="100" w:type="dxa"/>
              <w:bottom w:w="100" w:type="dxa"/>
              <w:right w:w="100" w:type="dxa"/>
            </w:tcMar>
            <w:vAlign w:val="center"/>
          </w:tcPr>
          <w:p w14:paraId="5E93AA59" w14:textId="77777777" w:rsidR="00882BD0" w:rsidRDefault="009D73FE">
            <w:pPr>
              <w:spacing w:after="0"/>
            </w:pPr>
            <w:r>
              <w:rPr>
                <w:sz w:val="16"/>
              </w:rPr>
              <w:t>Myostatin knockout in red sea bream</w:t>
            </w:r>
          </w:p>
        </w:tc>
        <w:tc>
          <w:tcPr>
            <w:tcW w:w="719" w:type="pct"/>
            <w:tcMar>
              <w:top w:w="100" w:type="dxa"/>
              <w:left w:w="100" w:type="dxa"/>
              <w:bottom w:w="100" w:type="dxa"/>
              <w:right w:w="100" w:type="dxa"/>
            </w:tcMar>
            <w:vAlign w:val="center"/>
          </w:tcPr>
          <w:p w14:paraId="61FB05E1" w14:textId="77777777" w:rsidR="00882BD0" w:rsidRDefault="009D73FE">
            <w:pPr>
              <w:spacing w:after="0"/>
            </w:pPr>
            <w:r>
              <w:rPr>
                <w:sz w:val="16"/>
              </w:rPr>
              <w:t>Large, mechanistically interpretable phenotype</w:t>
            </w:r>
          </w:p>
        </w:tc>
        <w:tc>
          <w:tcPr>
            <w:tcW w:w="531" w:type="pct"/>
            <w:tcMar>
              <w:top w:w="100" w:type="dxa"/>
              <w:left w:w="100" w:type="dxa"/>
              <w:bottom w:w="100" w:type="dxa"/>
              <w:right w:w="100" w:type="dxa"/>
            </w:tcMar>
            <w:vAlign w:val="center"/>
          </w:tcPr>
          <w:p w14:paraId="761D68A5" w14:textId="77777777" w:rsidR="00882BD0" w:rsidRDefault="009D73FE">
            <w:pPr>
              <w:spacing w:after="0"/>
            </w:pPr>
            <w:r>
              <w:rPr>
                <w:sz w:val="16"/>
              </w:rPr>
              <w:t>Controlled whole-animal evidence</w:t>
            </w:r>
          </w:p>
        </w:tc>
        <w:tc>
          <w:tcPr>
            <w:tcW w:w="813" w:type="pct"/>
            <w:tcMar>
              <w:top w:w="100" w:type="dxa"/>
              <w:left w:w="100" w:type="dxa"/>
              <w:bottom w:w="100" w:type="dxa"/>
              <w:right w:w="100" w:type="dxa"/>
            </w:tcMar>
            <w:vAlign w:val="center"/>
          </w:tcPr>
          <w:p w14:paraId="61446EF6" w14:textId="77777777" w:rsidR="00882BD0" w:rsidRDefault="009D73FE">
            <w:pPr>
              <w:spacing w:after="0"/>
            </w:pPr>
            <w:r>
              <w:rPr>
                <w:sz w:val="16"/>
              </w:rPr>
              <w:t>Pleiotropy, welfare and market acceptance</w:t>
            </w:r>
          </w:p>
        </w:tc>
        <w:tc>
          <w:tcPr>
            <w:tcW w:w="844" w:type="pct"/>
            <w:tcMar>
              <w:top w:w="100" w:type="dxa"/>
              <w:left w:w="100" w:type="dxa"/>
              <w:bottom w:w="100" w:type="dxa"/>
              <w:right w:w="100" w:type="dxa"/>
            </w:tcMar>
            <w:vAlign w:val="center"/>
          </w:tcPr>
          <w:p w14:paraId="1961B84C" w14:textId="77777777" w:rsidR="00882BD0" w:rsidRDefault="009D73FE">
            <w:pPr>
              <w:spacing w:after="0"/>
            </w:pPr>
            <w:r>
              <w:rPr>
                <w:sz w:val="16"/>
              </w:rPr>
              <w:t>Multi-generation commercial-environment evaluation</w:t>
            </w:r>
          </w:p>
        </w:tc>
        <w:tc>
          <w:tcPr>
            <w:tcW w:w="781" w:type="pct"/>
            <w:tcMar>
              <w:top w:w="100" w:type="dxa"/>
              <w:left w:w="100" w:type="dxa"/>
              <w:bottom w:w="100" w:type="dxa"/>
              <w:right w:w="100" w:type="dxa"/>
            </w:tcMar>
            <w:vAlign w:val="center"/>
          </w:tcPr>
          <w:p w14:paraId="54E808C9" w14:textId="77777777" w:rsidR="00882BD0" w:rsidRDefault="009D73FE">
            <w:pPr>
              <w:spacing w:after="0"/>
            </w:pPr>
            <w:r>
              <w:rPr>
                <w:sz w:val="16"/>
              </w:rPr>
              <w:t>Ohama et al. (2020)</w:t>
            </w:r>
          </w:p>
        </w:tc>
      </w:tr>
      <w:tr w:rsidR="00882BD0" w14:paraId="6144197B" w14:textId="77777777" w:rsidTr="008C3192">
        <w:trPr>
          <w:cantSplit/>
          <w:jc w:val="center"/>
        </w:trPr>
        <w:tc>
          <w:tcPr>
            <w:tcW w:w="594" w:type="pct"/>
            <w:tcMar>
              <w:top w:w="100" w:type="dxa"/>
              <w:left w:w="100" w:type="dxa"/>
              <w:bottom w:w="100" w:type="dxa"/>
              <w:right w:w="100" w:type="dxa"/>
            </w:tcMar>
            <w:vAlign w:val="center"/>
          </w:tcPr>
          <w:p w14:paraId="4B3463A5" w14:textId="77777777" w:rsidR="00882BD0" w:rsidRDefault="009D73FE">
            <w:pPr>
              <w:spacing w:after="0"/>
            </w:pPr>
            <w:r>
              <w:rPr>
                <w:sz w:val="16"/>
              </w:rPr>
              <w:t>Sterility editing</w:t>
            </w:r>
          </w:p>
        </w:tc>
        <w:tc>
          <w:tcPr>
            <w:tcW w:w="719" w:type="pct"/>
            <w:tcMar>
              <w:top w:w="100" w:type="dxa"/>
              <w:left w:w="100" w:type="dxa"/>
              <w:bottom w:w="100" w:type="dxa"/>
              <w:right w:w="100" w:type="dxa"/>
            </w:tcMar>
            <w:vAlign w:val="center"/>
          </w:tcPr>
          <w:p w14:paraId="33DF8C94" w14:textId="77777777" w:rsidR="00882BD0" w:rsidRDefault="009D73FE">
            <w:pPr>
              <w:spacing w:after="0"/>
            </w:pPr>
            <w:r>
              <w:rPr>
                <w:sz w:val="16"/>
              </w:rPr>
              <w:t>Dead end knockout in Atlantic salmon</w:t>
            </w:r>
          </w:p>
        </w:tc>
        <w:tc>
          <w:tcPr>
            <w:tcW w:w="719" w:type="pct"/>
            <w:tcMar>
              <w:top w:w="100" w:type="dxa"/>
              <w:left w:w="100" w:type="dxa"/>
              <w:bottom w:w="100" w:type="dxa"/>
              <w:right w:w="100" w:type="dxa"/>
            </w:tcMar>
            <w:vAlign w:val="center"/>
          </w:tcPr>
          <w:p w14:paraId="2220E93A" w14:textId="77777777" w:rsidR="00882BD0" w:rsidRDefault="009D73FE">
            <w:pPr>
              <w:spacing w:after="0"/>
            </w:pPr>
            <w:r>
              <w:rPr>
                <w:sz w:val="16"/>
              </w:rPr>
              <w:t>Potential reproductive containment</w:t>
            </w:r>
          </w:p>
        </w:tc>
        <w:tc>
          <w:tcPr>
            <w:tcW w:w="531" w:type="pct"/>
            <w:tcMar>
              <w:top w:w="100" w:type="dxa"/>
              <w:left w:w="100" w:type="dxa"/>
              <w:bottom w:w="100" w:type="dxa"/>
              <w:right w:w="100" w:type="dxa"/>
            </w:tcMar>
            <w:vAlign w:val="center"/>
          </w:tcPr>
          <w:p w14:paraId="63A01947" w14:textId="77777777" w:rsidR="00882BD0" w:rsidRDefault="009D73FE">
            <w:pPr>
              <w:spacing w:after="0"/>
            </w:pPr>
            <w:r>
              <w:rPr>
                <w:sz w:val="16"/>
              </w:rPr>
              <w:t>Controlled whole-animal evidence</w:t>
            </w:r>
          </w:p>
        </w:tc>
        <w:tc>
          <w:tcPr>
            <w:tcW w:w="813" w:type="pct"/>
            <w:tcMar>
              <w:top w:w="100" w:type="dxa"/>
              <w:left w:w="100" w:type="dxa"/>
              <w:bottom w:w="100" w:type="dxa"/>
              <w:right w:w="100" w:type="dxa"/>
            </w:tcMar>
            <w:vAlign w:val="center"/>
          </w:tcPr>
          <w:p w14:paraId="0FF6B660" w14:textId="77777777" w:rsidR="00882BD0" w:rsidRDefault="009D73FE">
            <w:pPr>
              <w:spacing w:after="0"/>
            </w:pPr>
            <w:r>
              <w:rPr>
                <w:sz w:val="16"/>
              </w:rPr>
              <w:t>Does not eliminate competition or pathogen risk after escape</w:t>
            </w:r>
          </w:p>
        </w:tc>
        <w:tc>
          <w:tcPr>
            <w:tcW w:w="844" w:type="pct"/>
            <w:tcMar>
              <w:top w:w="100" w:type="dxa"/>
              <w:left w:w="100" w:type="dxa"/>
              <w:bottom w:w="100" w:type="dxa"/>
              <w:right w:w="100" w:type="dxa"/>
            </w:tcMar>
            <w:vAlign w:val="center"/>
          </w:tcPr>
          <w:p w14:paraId="06BF44D7" w14:textId="77777777" w:rsidR="00882BD0" w:rsidRDefault="009D73FE">
            <w:pPr>
              <w:spacing w:after="0"/>
            </w:pPr>
            <w:r>
              <w:rPr>
                <w:sz w:val="16"/>
              </w:rPr>
              <w:t>Welfare, behaviour and ecological-exposure studies</w:t>
            </w:r>
          </w:p>
        </w:tc>
        <w:tc>
          <w:tcPr>
            <w:tcW w:w="781" w:type="pct"/>
            <w:tcMar>
              <w:top w:w="100" w:type="dxa"/>
              <w:left w:w="100" w:type="dxa"/>
              <w:bottom w:w="100" w:type="dxa"/>
              <w:right w:w="100" w:type="dxa"/>
            </w:tcMar>
            <w:vAlign w:val="center"/>
          </w:tcPr>
          <w:p w14:paraId="72C095EA" w14:textId="77777777" w:rsidR="00882BD0" w:rsidRDefault="009D73FE">
            <w:pPr>
              <w:spacing w:after="0"/>
            </w:pPr>
            <w:r>
              <w:rPr>
                <w:sz w:val="16"/>
              </w:rPr>
              <w:t>Wargelius et al. (2016)</w:t>
            </w:r>
          </w:p>
        </w:tc>
      </w:tr>
    </w:tbl>
    <w:p w14:paraId="0C927E0C" w14:textId="77777777" w:rsidR="00882BD0" w:rsidRDefault="009D73FE">
      <w:pPr>
        <w:pStyle w:val="TableNote"/>
      </w:pPr>
      <w:r>
        <w:t>Note. CRISPR = clustered regularly interspaced short palindromic repeats. Evidence maturity describes the type of validation, not regulatory approval.</w:t>
      </w:r>
    </w:p>
    <w:p w14:paraId="6AFA3739" w14:textId="77777777" w:rsidR="00882BD0" w:rsidRDefault="009D73FE">
      <w:pPr>
        <w:pStyle w:val="Heading1"/>
      </w:pPr>
      <w:r>
        <w:t>5. Molecular Diagnostics, Vaccines and Non-invasive Surveillance</w:t>
      </w:r>
    </w:p>
    <w:p w14:paraId="1C256DA3" w14:textId="77777777" w:rsidR="00882BD0" w:rsidRDefault="009D73FE">
      <w:pPr>
        <w:pStyle w:val="BodyText"/>
      </w:pPr>
      <w:r>
        <w:t>Prevention depends on detecting pathogens early enough to change management. Conventional culture, histopathology and polymerase chain reaction remain important, but biotechnology has expanded the speed, portability and sampling possibilities of aquatic diagnostics. LAMP amplifies nucleic acid at a constant temperature and can be adapted to simple visual or fluorescence readouts. Its reduced equipment requirement is attractive for hatcheries and remote farms. Kono et al. (2004) demonstrated rapid LAMP detection of white spot syndrome virus, establishing a foundation for crustacean disease applications. More recent microfluidic designs have multiplexed assays for several shrimp pathogens, showing how miniaturisation can increase throughput and reduce reagent volume (Hu et al., 2023).</w:t>
      </w:r>
    </w:p>
    <w:p w14:paraId="62EBB74B" w14:textId="77777777" w:rsidR="00882BD0" w:rsidRDefault="009D73FE">
      <w:pPr>
        <w:pStyle w:val="BodyText"/>
      </w:pPr>
      <w:r>
        <w:t>Analytical sensitivity is not the same as diagnostic utility. Aquatic samples contain salts, organic matter, feed particles and microbial products that can inhibit amplification. Pathogen concentration can vary sharply among tissues, water depths and time points. A test evaluated on purified DNA may perform differently on pond water or asymptomatic carriers. False negatives can arise from poor extraction or sequence variation at primer sites, while false positives can result from contamination or detection of residual nucleic acid after pathogen inactivation. Field implementation therefore requires internal amplification controls, extraction controls, positive and negative process controls, and predefined rules for repeat testing and confirmatory analysis.</w:t>
      </w:r>
    </w:p>
    <w:p w14:paraId="07E3911D" w14:textId="77777777" w:rsidR="00882BD0" w:rsidRDefault="009D73FE">
      <w:pPr>
        <w:pStyle w:val="BodyText"/>
      </w:pPr>
      <w:r>
        <w:lastRenderedPageBreak/>
        <w:t>Environmental nucleic-acid surveillance addresses the difficulty and welfare cost of sampling large numbers of animals. Peters et al. (2018) demonstrated eDNA detection of salmonid pathogens in aquaculture settings and presented the approach as a lower-cost surveillance complement. Environmental ribonucleic acid can, in principle, provide a closer indication of active biological material because RNA is generally less persistent than DNA, although degradation and extraction variability are substantial. A recent aquaculture study evaluated environmental DNA and RNA for non-invasive early detection and longitudinal monitoring of pathogen dynamics in an Atlantic salmon recirculating system, illustrating the movement towards paired nucleic-acid approaches (Krishna et al., 2026).</w:t>
      </w:r>
    </w:p>
    <w:p w14:paraId="4042C958" w14:textId="77777777" w:rsidR="00882BD0" w:rsidRDefault="009D73FE">
      <w:pPr>
        <w:pStyle w:val="BodyText"/>
      </w:pPr>
      <w:r>
        <w:t>Interpretation remains the central challenge. An environmental signal can originate from infected animals, biofilms, sediments, incoming water or historical contamination. Concentration is affected by shedding, hydrodynamics, temperature, ultraviolet exposure and microbial degradation. Detection probability is therefore a function of ecology and sampling design, not only assay chemistry. Quantitative thresholds should be linked to epidemiological outcomes through longitudinal studies rather than chosen solely from laboratory detection limits. Composite sampling can improve spatial coverage but may dilute focal signals. Repeated time-series sampling and integration with mortality, behaviour, water quality and clinical examination are more informative than isolated positive results.</w:t>
      </w:r>
    </w:p>
    <w:p w14:paraId="5D331D91" w14:textId="77777777" w:rsidR="00882BD0" w:rsidRDefault="009D73FE">
      <w:pPr>
        <w:pStyle w:val="BodyText"/>
      </w:pPr>
      <w:r>
        <w:t>Vaccines represent a more established preventive biotechnology. In industrial finfish farming, vaccination has contributed to control of important bacterial diseases and to reduced antimicrobial use, particularly when injectable oil-adjuvanted vaccines can be delivered before transfer to sea (Brudeseth et al., 2013). DNA vaccination has been investigated for viral diseases for decades; early work against infectious haematopoietic necrosis virus showed that plasmid vaccination could induce protective responses in fish (Corbeil et al., 2000). The strength of vaccination evidence is pathogen- and species-specific. Bacterial antigens are often more tractable than rapidly evolving viruses or extracellular parasites, and immune maturity, water temperature and administration route strongly influence response.</w:t>
      </w:r>
    </w:p>
    <w:p w14:paraId="0D023366" w14:textId="77777777" w:rsidR="00882BD0" w:rsidRDefault="009D73FE">
      <w:pPr>
        <w:pStyle w:val="BodyText"/>
      </w:pPr>
      <w:r>
        <w:t>Delivery is often more limiting than antigen discovery. Injection can provide controlled dose and durable immunity but requires handling, labour and sufficiently large fish. Immersion is compatible with mass vaccination of juveniles but may produce variable uptake. Oral vaccines can reduce handling stress and reach small or numerous animals, yet antigens may be degraded in the digestive tract and uptake can be inconsistent. Biotechnology-enabled carriers, encapsulation and bacterial ghosts are intended to protect antigen and improve mucosal delivery. Zheng et al. (2021), for example, evaluated a bacterial-ghost-based DNA vaccine delivered by immersion in common carp. Such platforms are promising, but small challenge trials should not be interpreted as evidence of broad field effectiveness without manufacturing consistency, duration-of-immunity data and farm-scale comparisons.</w:t>
      </w:r>
    </w:p>
    <w:p w14:paraId="287A7CDD" w14:textId="77777777" w:rsidR="00882BD0" w:rsidRDefault="009D73FE">
      <w:pPr>
        <w:pStyle w:val="BodyText"/>
      </w:pPr>
      <w:r>
        <w:t>Aquatic vaccine development also faces species diversity and market fragmentation. A product for one host-pathogen combination may have a limited commercial market, reducing incentives for expensive registration. Autogenous vaccines can respond to local strains but require strong diagnostic and quality-control systems. Antigenic variation can erode protection, and vaccination may alter disease presentation rather than prevent infection completely. Surveillance must therefore continue after vaccine introduction, with genomic characterisation of breakthrough isolates where feasible. Vaccination and diagnostics are complementary: better diagnostics improve antigen matching and outbreak attribution, while vaccination reduces disease burden and the selective pressure created by antimicrobial treatment.</w:t>
      </w:r>
    </w:p>
    <w:p w14:paraId="7E14F596" w14:textId="77777777" w:rsidR="00882BD0" w:rsidRDefault="009D73FE">
      <w:pPr>
        <w:pStyle w:val="BodyText"/>
      </w:pPr>
      <w:r>
        <w:t xml:space="preserve">Digital integration can improve decision-making but should not be confused with biological validation. A farm dashboard can combine molecular test results, water-quality sensors, mortality and treatment history, yet a sophisticated interface cannot correct biased sampling or poorly characterised assays. Interoperable data </w:t>
      </w:r>
      <w:r>
        <w:lastRenderedPageBreak/>
        <w:t>standards, calibrated metadata and laboratory proficiency testing are more important than the visual complexity of the platform. Diagnostic stewardship should specify who is tested, how often, what a result means, and which action follows. Without this decision architecture, more sensitive testing may generate costly alarms without improving health.</w:t>
      </w:r>
    </w:p>
    <w:p w14:paraId="051E6A64" w14:textId="77777777" w:rsidR="00882BD0" w:rsidRDefault="009D73FE">
      <w:pPr>
        <w:pStyle w:val="BodyText"/>
      </w:pPr>
      <w:r>
        <w:t>Table 3 shows that prevention technologies are most effective when paired with clear use cases. LAMP is valuable for rapid targeted testing, eDNA and eRNA for population-level surveillance, and vaccination for reducing susceptibility before exposure. Each has a different failure mode, so layered programmes that combine syndromic observation, environmental screening and confirmatory testing are more robust than reliance on a single assay.</w:t>
      </w:r>
    </w:p>
    <w:p w14:paraId="7AE42B35" w14:textId="77777777" w:rsidR="00882BD0" w:rsidRDefault="009D73FE">
      <w:pPr>
        <w:pStyle w:val="TableCaption"/>
      </w:pPr>
      <w:r>
        <w:rPr>
          <w:b/>
        </w:rPr>
        <w:t>Table 3. Disease-prevention and surveillance biotechnologies</w:t>
      </w:r>
    </w:p>
    <w:tbl>
      <w:tblPr>
        <w:tblStyle w:val="TableGrid"/>
        <w:tblW w:w="5000" w:type="pct"/>
        <w:jc w:val="center"/>
        <w:tblLook w:val="04A0" w:firstRow="1" w:lastRow="0" w:firstColumn="1" w:lastColumn="0" w:noHBand="0" w:noVBand="1"/>
      </w:tblPr>
      <w:tblGrid>
        <w:gridCol w:w="1361"/>
        <w:gridCol w:w="1668"/>
        <w:gridCol w:w="1668"/>
        <w:gridCol w:w="1855"/>
        <w:gridCol w:w="1916"/>
        <w:gridCol w:w="1668"/>
      </w:tblGrid>
      <w:tr w:rsidR="00882BD0" w14:paraId="026FE9E4" w14:textId="77777777" w:rsidTr="008C3192">
        <w:trPr>
          <w:cantSplit/>
          <w:tblHeader/>
          <w:jc w:val="center"/>
        </w:trPr>
        <w:tc>
          <w:tcPr>
            <w:tcW w:w="671" w:type="pct"/>
            <w:shd w:val="clear" w:color="auto" w:fill="D9E2F3"/>
            <w:tcMar>
              <w:top w:w="100" w:type="dxa"/>
              <w:left w:w="100" w:type="dxa"/>
              <w:bottom w:w="100" w:type="dxa"/>
              <w:right w:w="100" w:type="dxa"/>
            </w:tcMar>
            <w:vAlign w:val="center"/>
          </w:tcPr>
          <w:p w14:paraId="1E5A88E4" w14:textId="77777777" w:rsidR="00882BD0" w:rsidRDefault="009D73FE">
            <w:pPr>
              <w:spacing w:after="0"/>
              <w:jc w:val="center"/>
            </w:pPr>
            <w:r>
              <w:rPr>
                <w:b/>
                <w:sz w:val="16"/>
              </w:rPr>
              <w:t>Technology</w:t>
            </w:r>
          </w:p>
        </w:tc>
        <w:tc>
          <w:tcPr>
            <w:tcW w:w="823" w:type="pct"/>
            <w:shd w:val="clear" w:color="auto" w:fill="D9E2F3"/>
            <w:tcMar>
              <w:top w:w="100" w:type="dxa"/>
              <w:left w:w="100" w:type="dxa"/>
              <w:bottom w:w="100" w:type="dxa"/>
              <w:right w:w="100" w:type="dxa"/>
            </w:tcMar>
            <w:vAlign w:val="center"/>
          </w:tcPr>
          <w:p w14:paraId="12425764" w14:textId="77777777" w:rsidR="00882BD0" w:rsidRDefault="009D73FE">
            <w:pPr>
              <w:spacing w:after="0"/>
              <w:jc w:val="center"/>
            </w:pPr>
            <w:r>
              <w:rPr>
                <w:b/>
                <w:sz w:val="16"/>
              </w:rPr>
              <w:t>Best-supported use</w:t>
            </w:r>
          </w:p>
        </w:tc>
        <w:tc>
          <w:tcPr>
            <w:tcW w:w="823" w:type="pct"/>
            <w:shd w:val="clear" w:color="auto" w:fill="D9E2F3"/>
            <w:tcMar>
              <w:top w:w="100" w:type="dxa"/>
              <w:left w:w="100" w:type="dxa"/>
              <w:bottom w:w="100" w:type="dxa"/>
              <w:right w:w="100" w:type="dxa"/>
            </w:tcMar>
            <w:vAlign w:val="center"/>
          </w:tcPr>
          <w:p w14:paraId="161F5286" w14:textId="77777777" w:rsidR="00882BD0" w:rsidRDefault="009D73FE">
            <w:pPr>
              <w:spacing w:after="0"/>
              <w:jc w:val="center"/>
            </w:pPr>
            <w:r>
              <w:rPr>
                <w:b/>
                <w:sz w:val="16"/>
              </w:rPr>
              <w:t>Operational strength</w:t>
            </w:r>
          </w:p>
        </w:tc>
        <w:tc>
          <w:tcPr>
            <w:tcW w:w="915" w:type="pct"/>
            <w:shd w:val="clear" w:color="auto" w:fill="D9E2F3"/>
            <w:tcMar>
              <w:top w:w="100" w:type="dxa"/>
              <w:left w:w="100" w:type="dxa"/>
              <w:bottom w:w="100" w:type="dxa"/>
              <w:right w:w="100" w:type="dxa"/>
            </w:tcMar>
            <w:vAlign w:val="center"/>
          </w:tcPr>
          <w:p w14:paraId="4AADA530" w14:textId="77777777" w:rsidR="00882BD0" w:rsidRDefault="009D73FE">
            <w:pPr>
              <w:spacing w:after="0"/>
              <w:jc w:val="center"/>
            </w:pPr>
            <w:r>
              <w:rPr>
                <w:b/>
                <w:sz w:val="16"/>
              </w:rPr>
              <w:t>Critical limitation</w:t>
            </w:r>
          </w:p>
        </w:tc>
        <w:tc>
          <w:tcPr>
            <w:tcW w:w="945" w:type="pct"/>
            <w:shd w:val="clear" w:color="auto" w:fill="D9E2F3"/>
            <w:tcMar>
              <w:top w:w="100" w:type="dxa"/>
              <w:left w:w="100" w:type="dxa"/>
              <w:bottom w:w="100" w:type="dxa"/>
              <w:right w:w="100" w:type="dxa"/>
            </w:tcMar>
            <w:vAlign w:val="center"/>
          </w:tcPr>
          <w:p w14:paraId="02A6F95C" w14:textId="77777777" w:rsidR="00882BD0" w:rsidRDefault="009D73FE">
            <w:pPr>
              <w:spacing w:after="0"/>
              <w:jc w:val="center"/>
            </w:pPr>
            <w:r>
              <w:rPr>
                <w:b/>
                <w:sz w:val="16"/>
              </w:rPr>
              <w:t>Appropriate interpretation</w:t>
            </w:r>
          </w:p>
        </w:tc>
        <w:tc>
          <w:tcPr>
            <w:tcW w:w="823" w:type="pct"/>
            <w:shd w:val="clear" w:color="auto" w:fill="D9E2F3"/>
            <w:tcMar>
              <w:top w:w="100" w:type="dxa"/>
              <w:left w:w="100" w:type="dxa"/>
              <w:bottom w:w="100" w:type="dxa"/>
              <w:right w:w="100" w:type="dxa"/>
            </w:tcMar>
            <w:vAlign w:val="center"/>
          </w:tcPr>
          <w:p w14:paraId="5AB8E682" w14:textId="77777777" w:rsidR="00882BD0" w:rsidRDefault="009D73FE">
            <w:pPr>
              <w:spacing w:after="0"/>
              <w:jc w:val="center"/>
            </w:pPr>
            <w:r>
              <w:rPr>
                <w:b/>
                <w:sz w:val="16"/>
              </w:rPr>
              <w:t>Supporting references</w:t>
            </w:r>
          </w:p>
        </w:tc>
      </w:tr>
      <w:tr w:rsidR="00882BD0" w14:paraId="110A1A60" w14:textId="77777777" w:rsidTr="008C3192">
        <w:trPr>
          <w:cantSplit/>
          <w:jc w:val="center"/>
        </w:trPr>
        <w:tc>
          <w:tcPr>
            <w:tcW w:w="671" w:type="pct"/>
            <w:tcMar>
              <w:top w:w="100" w:type="dxa"/>
              <w:left w:w="100" w:type="dxa"/>
              <w:bottom w:w="100" w:type="dxa"/>
              <w:right w:w="100" w:type="dxa"/>
            </w:tcMar>
            <w:vAlign w:val="center"/>
          </w:tcPr>
          <w:p w14:paraId="1A6C8016" w14:textId="77777777" w:rsidR="00882BD0" w:rsidRDefault="009D73FE">
            <w:pPr>
              <w:spacing w:after="0"/>
            </w:pPr>
            <w:r>
              <w:rPr>
                <w:sz w:val="16"/>
              </w:rPr>
              <w:t>LAMP</w:t>
            </w:r>
          </w:p>
        </w:tc>
        <w:tc>
          <w:tcPr>
            <w:tcW w:w="823" w:type="pct"/>
            <w:tcMar>
              <w:top w:w="100" w:type="dxa"/>
              <w:left w:w="100" w:type="dxa"/>
              <w:bottom w:w="100" w:type="dxa"/>
              <w:right w:w="100" w:type="dxa"/>
            </w:tcMar>
            <w:vAlign w:val="center"/>
          </w:tcPr>
          <w:p w14:paraId="4F7A7E92" w14:textId="77777777" w:rsidR="00882BD0" w:rsidRDefault="009D73FE">
            <w:pPr>
              <w:spacing w:after="0"/>
            </w:pPr>
            <w:r>
              <w:rPr>
                <w:sz w:val="16"/>
              </w:rPr>
              <w:t>Rapid targeted detection of known pathogens</w:t>
            </w:r>
          </w:p>
        </w:tc>
        <w:tc>
          <w:tcPr>
            <w:tcW w:w="823" w:type="pct"/>
            <w:tcMar>
              <w:top w:w="100" w:type="dxa"/>
              <w:left w:w="100" w:type="dxa"/>
              <w:bottom w:w="100" w:type="dxa"/>
              <w:right w:w="100" w:type="dxa"/>
            </w:tcMar>
            <w:vAlign w:val="center"/>
          </w:tcPr>
          <w:p w14:paraId="295688D2" w14:textId="77777777" w:rsidR="00882BD0" w:rsidRDefault="009D73FE">
            <w:pPr>
              <w:spacing w:after="0"/>
            </w:pPr>
            <w:r>
              <w:rPr>
                <w:sz w:val="16"/>
              </w:rPr>
              <w:t>Isothermal amplification and field portability</w:t>
            </w:r>
          </w:p>
        </w:tc>
        <w:tc>
          <w:tcPr>
            <w:tcW w:w="915" w:type="pct"/>
            <w:tcMar>
              <w:top w:w="100" w:type="dxa"/>
              <w:left w:w="100" w:type="dxa"/>
              <w:bottom w:w="100" w:type="dxa"/>
              <w:right w:w="100" w:type="dxa"/>
            </w:tcMar>
            <w:vAlign w:val="center"/>
          </w:tcPr>
          <w:p w14:paraId="77CBBBB3" w14:textId="77777777" w:rsidR="00882BD0" w:rsidRDefault="009D73FE">
            <w:pPr>
              <w:spacing w:after="0"/>
            </w:pPr>
            <w:r>
              <w:rPr>
                <w:sz w:val="16"/>
              </w:rPr>
              <w:t>Primer-site variation, inhibition and contamination</w:t>
            </w:r>
          </w:p>
        </w:tc>
        <w:tc>
          <w:tcPr>
            <w:tcW w:w="945" w:type="pct"/>
            <w:tcMar>
              <w:top w:w="100" w:type="dxa"/>
              <w:left w:w="100" w:type="dxa"/>
              <w:bottom w:w="100" w:type="dxa"/>
              <w:right w:w="100" w:type="dxa"/>
            </w:tcMar>
            <w:vAlign w:val="center"/>
          </w:tcPr>
          <w:p w14:paraId="5DECB2F1" w14:textId="77777777" w:rsidR="00882BD0" w:rsidRDefault="009D73FE">
            <w:pPr>
              <w:spacing w:after="0"/>
            </w:pPr>
            <w:r>
              <w:rPr>
                <w:sz w:val="16"/>
              </w:rPr>
              <w:t>Screening or rapid triage with process controls and confirmatory testing</w:t>
            </w:r>
          </w:p>
        </w:tc>
        <w:tc>
          <w:tcPr>
            <w:tcW w:w="823" w:type="pct"/>
            <w:tcMar>
              <w:top w:w="100" w:type="dxa"/>
              <w:left w:w="100" w:type="dxa"/>
              <w:bottom w:w="100" w:type="dxa"/>
              <w:right w:w="100" w:type="dxa"/>
            </w:tcMar>
            <w:vAlign w:val="center"/>
          </w:tcPr>
          <w:p w14:paraId="5C99BD90" w14:textId="77777777" w:rsidR="00882BD0" w:rsidRDefault="009D73FE">
            <w:pPr>
              <w:spacing w:after="0"/>
            </w:pPr>
            <w:r>
              <w:rPr>
                <w:sz w:val="16"/>
              </w:rPr>
              <w:t>Kono et al. (2004); Hu et al. (2023)</w:t>
            </w:r>
          </w:p>
        </w:tc>
      </w:tr>
      <w:tr w:rsidR="00882BD0" w14:paraId="4B0B284C" w14:textId="77777777" w:rsidTr="008C3192">
        <w:trPr>
          <w:cantSplit/>
          <w:jc w:val="center"/>
        </w:trPr>
        <w:tc>
          <w:tcPr>
            <w:tcW w:w="671" w:type="pct"/>
            <w:tcMar>
              <w:top w:w="100" w:type="dxa"/>
              <w:left w:w="100" w:type="dxa"/>
              <w:bottom w:w="100" w:type="dxa"/>
              <w:right w:w="100" w:type="dxa"/>
            </w:tcMar>
            <w:vAlign w:val="center"/>
          </w:tcPr>
          <w:p w14:paraId="4BA29F47" w14:textId="77777777" w:rsidR="00882BD0" w:rsidRDefault="009D73FE">
            <w:pPr>
              <w:spacing w:after="0"/>
            </w:pPr>
            <w:r>
              <w:rPr>
                <w:sz w:val="16"/>
              </w:rPr>
              <w:t>eDNA/eRNA surveillance</w:t>
            </w:r>
          </w:p>
        </w:tc>
        <w:tc>
          <w:tcPr>
            <w:tcW w:w="823" w:type="pct"/>
            <w:tcMar>
              <w:top w:w="100" w:type="dxa"/>
              <w:left w:w="100" w:type="dxa"/>
              <w:bottom w:w="100" w:type="dxa"/>
              <w:right w:w="100" w:type="dxa"/>
            </w:tcMar>
            <w:vAlign w:val="center"/>
          </w:tcPr>
          <w:p w14:paraId="38C54ECB" w14:textId="77777777" w:rsidR="00882BD0" w:rsidRDefault="009D73FE">
            <w:pPr>
              <w:spacing w:after="0"/>
            </w:pPr>
            <w:r>
              <w:rPr>
                <w:sz w:val="16"/>
              </w:rPr>
              <w:t>Non-invasive population and environmental monitoring</w:t>
            </w:r>
          </w:p>
        </w:tc>
        <w:tc>
          <w:tcPr>
            <w:tcW w:w="823" w:type="pct"/>
            <w:tcMar>
              <w:top w:w="100" w:type="dxa"/>
              <w:left w:w="100" w:type="dxa"/>
              <w:bottom w:w="100" w:type="dxa"/>
              <w:right w:w="100" w:type="dxa"/>
            </w:tcMar>
            <w:vAlign w:val="center"/>
          </w:tcPr>
          <w:p w14:paraId="046CA016" w14:textId="77777777" w:rsidR="00882BD0" w:rsidRDefault="009D73FE">
            <w:pPr>
              <w:spacing w:after="0"/>
            </w:pPr>
            <w:r>
              <w:rPr>
                <w:sz w:val="16"/>
              </w:rPr>
              <w:t>Broad spatial coverage without handling every animal</w:t>
            </w:r>
          </w:p>
        </w:tc>
        <w:tc>
          <w:tcPr>
            <w:tcW w:w="915" w:type="pct"/>
            <w:tcMar>
              <w:top w:w="100" w:type="dxa"/>
              <w:left w:w="100" w:type="dxa"/>
              <w:bottom w:w="100" w:type="dxa"/>
              <w:right w:w="100" w:type="dxa"/>
            </w:tcMar>
            <w:vAlign w:val="center"/>
          </w:tcPr>
          <w:p w14:paraId="56461367" w14:textId="77777777" w:rsidR="00882BD0" w:rsidRDefault="009D73FE">
            <w:pPr>
              <w:spacing w:after="0"/>
            </w:pPr>
            <w:r>
              <w:rPr>
                <w:sz w:val="16"/>
              </w:rPr>
              <w:t>Signal source, persistence and viability are uncertain</w:t>
            </w:r>
          </w:p>
        </w:tc>
        <w:tc>
          <w:tcPr>
            <w:tcW w:w="945" w:type="pct"/>
            <w:tcMar>
              <w:top w:w="100" w:type="dxa"/>
              <w:left w:w="100" w:type="dxa"/>
              <w:bottom w:w="100" w:type="dxa"/>
              <w:right w:w="100" w:type="dxa"/>
            </w:tcMar>
            <w:vAlign w:val="center"/>
          </w:tcPr>
          <w:p w14:paraId="59634516" w14:textId="77777777" w:rsidR="00882BD0" w:rsidRDefault="009D73FE">
            <w:pPr>
              <w:spacing w:after="0"/>
            </w:pPr>
            <w:r>
              <w:rPr>
                <w:sz w:val="16"/>
              </w:rPr>
              <w:t>Time-series risk indicator linked to hydrodynamics and clinical data</w:t>
            </w:r>
          </w:p>
        </w:tc>
        <w:tc>
          <w:tcPr>
            <w:tcW w:w="823" w:type="pct"/>
            <w:tcMar>
              <w:top w:w="100" w:type="dxa"/>
              <w:left w:w="100" w:type="dxa"/>
              <w:bottom w:w="100" w:type="dxa"/>
              <w:right w:w="100" w:type="dxa"/>
            </w:tcMar>
            <w:vAlign w:val="center"/>
          </w:tcPr>
          <w:p w14:paraId="505E41B2" w14:textId="77777777" w:rsidR="00882BD0" w:rsidRDefault="009D73FE">
            <w:pPr>
              <w:spacing w:after="0"/>
            </w:pPr>
            <w:r>
              <w:rPr>
                <w:sz w:val="16"/>
              </w:rPr>
              <w:t>Peters et al. (2018); Krishna et al. (2026)</w:t>
            </w:r>
          </w:p>
        </w:tc>
      </w:tr>
      <w:tr w:rsidR="00882BD0" w14:paraId="1F3A2112" w14:textId="77777777" w:rsidTr="008C3192">
        <w:trPr>
          <w:cantSplit/>
          <w:jc w:val="center"/>
        </w:trPr>
        <w:tc>
          <w:tcPr>
            <w:tcW w:w="671" w:type="pct"/>
            <w:tcMar>
              <w:top w:w="100" w:type="dxa"/>
              <w:left w:w="100" w:type="dxa"/>
              <w:bottom w:w="100" w:type="dxa"/>
              <w:right w:w="100" w:type="dxa"/>
            </w:tcMar>
            <w:vAlign w:val="center"/>
          </w:tcPr>
          <w:p w14:paraId="0615D543" w14:textId="77777777" w:rsidR="00882BD0" w:rsidRDefault="009D73FE">
            <w:pPr>
              <w:spacing w:after="0"/>
            </w:pPr>
            <w:r>
              <w:rPr>
                <w:sz w:val="16"/>
              </w:rPr>
              <w:t>Injectable vaccines</w:t>
            </w:r>
          </w:p>
        </w:tc>
        <w:tc>
          <w:tcPr>
            <w:tcW w:w="823" w:type="pct"/>
            <w:tcMar>
              <w:top w:w="100" w:type="dxa"/>
              <w:left w:w="100" w:type="dxa"/>
              <w:bottom w:w="100" w:type="dxa"/>
              <w:right w:w="100" w:type="dxa"/>
            </w:tcMar>
            <w:vAlign w:val="center"/>
          </w:tcPr>
          <w:p w14:paraId="0EA3232A" w14:textId="77777777" w:rsidR="00882BD0" w:rsidRDefault="009D73FE">
            <w:pPr>
              <w:spacing w:after="0"/>
            </w:pPr>
            <w:r>
              <w:rPr>
                <w:sz w:val="16"/>
              </w:rPr>
              <w:t>Preventive control in sufficiently large finfish</w:t>
            </w:r>
          </w:p>
        </w:tc>
        <w:tc>
          <w:tcPr>
            <w:tcW w:w="823" w:type="pct"/>
            <w:tcMar>
              <w:top w:w="100" w:type="dxa"/>
              <w:left w:w="100" w:type="dxa"/>
              <w:bottom w:w="100" w:type="dxa"/>
              <w:right w:w="100" w:type="dxa"/>
            </w:tcMar>
            <w:vAlign w:val="center"/>
          </w:tcPr>
          <w:p w14:paraId="2388C219" w14:textId="77777777" w:rsidR="00882BD0" w:rsidRDefault="009D73FE">
            <w:pPr>
              <w:spacing w:after="0"/>
            </w:pPr>
            <w:r>
              <w:rPr>
                <w:sz w:val="16"/>
              </w:rPr>
              <w:t>Controlled dose and often durable immunity</w:t>
            </w:r>
          </w:p>
        </w:tc>
        <w:tc>
          <w:tcPr>
            <w:tcW w:w="915" w:type="pct"/>
            <w:tcMar>
              <w:top w:w="100" w:type="dxa"/>
              <w:left w:w="100" w:type="dxa"/>
              <w:bottom w:w="100" w:type="dxa"/>
              <w:right w:w="100" w:type="dxa"/>
            </w:tcMar>
            <w:vAlign w:val="center"/>
          </w:tcPr>
          <w:p w14:paraId="508B09A1" w14:textId="77777777" w:rsidR="00882BD0" w:rsidRDefault="009D73FE">
            <w:pPr>
              <w:spacing w:after="0"/>
            </w:pPr>
            <w:r>
              <w:rPr>
                <w:sz w:val="16"/>
              </w:rPr>
              <w:t>Handling, labour and limited suitability for small animals</w:t>
            </w:r>
          </w:p>
        </w:tc>
        <w:tc>
          <w:tcPr>
            <w:tcW w:w="945" w:type="pct"/>
            <w:tcMar>
              <w:top w:w="100" w:type="dxa"/>
              <w:left w:w="100" w:type="dxa"/>
              <w:bottom w:w="100" w:type="dxa"/>
              <w:right w:w="100" w:type="dxa"/>
            </w:tcMar>
            <w:vAlign w:val="center"/>
          </w:tcPr>
          <w:p w14:paraId="00FD4972" w14:textId="77777777" w:rsidR="00882BD0" w:rsidRDefault="009D73FE">
            <w:pPr>
              <w:spacing w:after="0"/>
            </w:pPr>
            <w:r>
              <w:rPr>
                <w:sz w:val="16"/>
              </w:rPr>
              <w:t>Part of a biosecurity programme with breakthrough surveillance</w:t>
            </w:r>
          </w:p>
        </w:tc>
        <w:tc>
          <w:tcPr>
            <w:tcW w:w="823" w:type="pct"/>
            <w:tcMar>
              <w:top w:w="100" w:type="dxa"/>
              <w:left w:w="100" w:type="dxa"/>
              <w:bottom w:w="100" w:type="dxa"/>
              <w:right w:w="100" w:type="dxa"/>
            </w:tcMar>
            <w:vAlign w:val="center"/>
          </w:tcPr>
          <w:p w14:paraId="0FF759BB" w14:textId="77777777" w:rsidR="00882BD0" w:rsidRDefault="009D73FE">
            <w:pPr>
              <w:spacing w:after="0"/>
            </w:pPr>
            <w:r>
              <w:rPr>
                <w:sz w:val="16"/>
              </w:rPr>
              <w:t>Brudeseth et al. (2013)</w:t>
            </w:r>
          </w:p>
        </w:tc>
      </w:tr>
      <w:tr w:rsidR="00882BD0" w14:paraId="6A7C6025" w14:textId="77777777" w:rsidTr="008C3192">
        <w:trPr>
          <w:cantSplit/>
          <w:jc w:val="center"/>
        </w:trPr>
        <w:tc>
          <w:tcPr>
            <w:tcW w:w="671" w:type="pct"/>
            <w:tcMar>
              <w:top w:w="100" w:type="dxa"/>
              <w:left w:w="100" w:type="dxa"/>
              <w:bottom w:w="100" w:type="dxa"/>
              <w:right w:w="100" w:type="dxa"/>
            </w:tcMar>
            <w:vAlign w:val="center"/>
          </w:tcPr>
          <w:p w14:paraId="14136F1E" w14:textId="77777777" w:rsidR="00882BD0" w:rsidRDefault="009D73FE">
            <w:pPr>
              <w:spacing w:after="0"/>
            </w:pPr>
            <w:r>
              <w:rPr>
                <w:sz w:val="16"/>
              </w:rPr>
              <w:t>DNA vaccines</w:t>
            </w:r>
          </w:p>
        </w:tc>
        <w:tc>
          <w:tcPr>
            <w:tcW w:w="823" w:type="pct"/>
            <w:tcMar>
              <w:top w:w="100" w:type="dxa"/>
              <w:left w:w="100" w:type="dxa"/>
              <w:bottom w:w="100" w:type="dxa"/>
              <w:right w:w="100" w:type="dxa"/>
            </w:tcMar>
            <w:vAlign w:val="center"/>
          </w:tcPr>
          <w:p w14:paraId="489A9D3D" w14:textId="77777777" w:rsidR="00882BD0" w:rsidRDefault="009D73FE">
            <w:pPr>
              <w:spacing w:after="0"/>
            </w:pPr>
            <w:r>
              <w:rPr>
                <w:sz w:val="16"/>
              </w:rPr>
              <w:t>Viral antigens with intracellular expression</w:t>
            </w:r>
          </w:p>
        </w:tc>
        <w:tc>
          <w:tcPr>
            <w:tcW w:w="823" w:type="pct"/>
            <w:tcMar>
              <w:top w:w="100" w:type="dxa"/>
              <w:left w:w="100" w:type="dxa"/>
              <w:bottom w:w="100" w:type="dxa"/>
              <w:right w:w="100" w:type="dxa"/>
            </w:tcMar>
            <w:vAlign w:val="center"/>
          </w:tcPr>
          <w:p w14:paraId="6E8F0C5B" w14:textId="77777777" w:rsidR="00882BD0" w:rsidRDefault="009D73FE">
            <w:pPr>
              <w:spacing w:after="0"/>
            </w:pPr>
            <w:r>
              <w:rPr>
                <w:sz w:val="16"/>
              </w:rPr>
              <w:t>Can induce cellular and humoral responses</w:t>
            </w:r>
          </w:p>
        </w:tc>
        <w:tc>
          <w:tcPr>
            <w:tcW w:w="915" w:type="pct"/>
            <w:tcMar>
              <w:top w:w="100" w:type="dxa"/>
              <w:left w:w="100" w:type="dxa"/>
              <w:bottom w:w="100" w:type="dxa"/>
              <w:right w:w="100" w:type="dxa"/>
            </w:tcMar>
            <w:vAlign w:val="center"/>
          </w:tcPr>
          <w:p w14:paraId="00D9E377" w14:textId="77777777" w:rsidR="00882BD0" w:rsidRDefault="009D73FE">
            <w:pPr>
              <w:spacing w:after="0"/>
            </w:pPr>
            <w:r>
              <w:rPr>
                <w:sz w:val="16"/>
              </w:rPr>
              <w:t>Regulatory, delivery and pathogen-specific variability</w:t>
            </w:r>
          </w:p>
        </w:tc>
        <w:tc>
          <w:tcPr>
            <w:tcW w:w="945" w:type="pct"/>
            <w:tcMar>
              <w:top w:w="100" w:type="dxa"/>
              <w:left w:w="100" w:type="dxa"/>
              <w:bottom w:w="100" w:type="dxa"/>
              <w:right w:w="100" w:type="dxa"/>
            </w:tcMar>
            <w:vAlign w:val="center"/>
          </w:tcPr>
          <w:p w14:paraId="41F80EFE" w14:textId="77777777" w:rsidR="00882BD0" w:rsidRDefault="009D73FE">
            <w:pPr>
              <w:spacing w:after="0"/>
            </w:pPr>
            <w:r>
              <w:rPr>
                <w:sz w:val="16"/>
              </w:rPr>
              <w:t>Product- and pathogen-specific evidence required</w:t>
            </w:r>
          </w:p>
        </w:tc>
        <w:tc>
          <w:tcPr>
            <w:tcW w:w="823" w:type="pct"/>
            <w:tcMar>
              <w:top w:w="100" w:type="dxa"/>
              <w:left w:w="100" w:type="dxa"/>
              <w:bottom w:w="100" w:type="dxa"/>
              <w:right w:w="100" w:type="dxa"/>
            </w:tcMar>
            <w:vAlign w:val="center"/>
          </w:tcPr>
          <w:p w14:paraId="6463FA0B" w14:textId="77777777" w:rsidR="00882BD0" w:rsidRDefault="009D73FE">
            <w:pPr>
              <w:spacing w:after="0"/>
            </w:pPr>
            <w:r>
              <w:rPr>
                <w:sz w:val="16"/>
              </w:rPr>
              <w:t>Corbeil et al. (2000)</w:t>
            </w:r>
          </w:p>
        </w:tc>
      </w:tr>
      <w:tr w:rsidR="00882BD0" w14:paraId="01A2C60F" w14:textId="77777777" w:rsidTr="008C3192">
        <w:trPr>
          <w:cantSplit/>
          <w:jc w:val="center"/>
        </w:trPr>
        <w:tc>
          <w:tcPr>
            <w:tcW w:w="671" w:type="pct"/>
            <w:tcMar>
              <w:top w:w="100" w:type="dxa"/>
              <w:left w:w="100" w:type="dxa"/>
              <w:bottom w:w="100" w:type="dxa"/>
              <w:right w:w="100" w:type="dxa"/>
            </w:tcMar>
            <w:vAlign w:val="center"/>
          </w:tcPr>
          <w:p w14:paraId="408157B7" w14:textId="77777777" w:rsidR="00882BD0" w:rsidRDefault="009D73FE">
            <w:pPr>
              <w:spacing w:after="0"/>
            </w:pPr>
            <w:r>
              <w:rPr>
                <w:sz w:val="16"/>
              </w:rPr>
              <w:t>Immersion or carrier-based vaccines</w:t>
            </w:r>
          </w:p>
        </w:tc>
        <w:tc>
          <w:tcPr>
            <w:tcW w:w="823" w:type="pct"/>
            <w:tcMar>
              <w:top w:w="100" w:type="dxa"/>
              <w:left w:w="100" w:type="dxa"/>
              <w:bottom w:w="100" w:type="dxa"/>
              <w:right w:w="100" w:type="dxa"/>
            </w:tcMar>
            <w:vAlign w:val="center"/>
          </w:tcPr>
          <w:p w14:paraId="3D0ECD04" w14:textId="77777777" w:rsidR="00882BD0" w:rsidRDefault="009D73FE">
            <w:pPr>
              <w:spacing w:after="0"/>
            </w:pPr>
            <w:r>
              <w:rPr>
                <w:sz w:val="16"/>
              </w:rPr>
              <w:t>Mass vaccination of juveniles</w:t>
            </w:r>
          </w:p>
        </w:tc>
        <w:tc>
          <w:tcPr>
            <w:tcW w:w="823" w:type="pct"/>
            <w:tcMar>
              <w:top w:w="100" w:type="dxa"/>
              <w:left w:w="100" w:type="dxa"/>
              <w:bottom w:w="100" w:type="dxa"/>
              <w:right w:w="100" w:type="dxa"/>
            </w:tcMar>
            <w:vAlign w:val="center"/>
          </w:tcPr>
          <w:p w14:paraId="7BDBDB81" w14:textId="77777777" w:rsidR="00882BD0" w:rsidRDefault="009D73FE">
            <w:pPr>
              <w:spacing w:after="0"/>
            </w:pPr>
            <w:r>
              <w:rPr>
                <w:sz w:val="16"/>
              </w:rPr>
              <w:t>Reduced handling and potential mucosal immunity</w:t>
            </w:r>
          </w:p>
        </w:tc>
        <w:tc>
          <w:tcPr>
            <w:tcW w:w="915" w:type="pct"/>
            <w:tcMar>
              <w:top w:w="100" w:type="dxa"/>
              <w:left w:w="100" w:type="dxa"/>
              <w:bottom w:w="100" w:type="dxa"/>
              <w:right w:w="100" w:type="dxa"/>
            </w:tcMar>
            <w:vAlign w:val="center"/>
          </w:tcPr>
          <w:p w14:paraId="3C80E7E3" w14:textId="77777777" w:rsidR="00882BD0" w:rsidRDefault="009D73FE">
            <w:pPr>
              <w:spacing w:after="0"/>
            </w:pPr>
            <w:r>
              <w:rPr>
                <w:sz w:val="16"/>
              </w:rPr>
              <w:t>Variable uptake and duration of protection</w:t>
            </w:r>
          </w:p>
        </w:tc>
        <w:tc>
          <w:tcPr>
            <w:tcW w:w="945" w:type="pct"/>
            <w:tcMar>
              <w:top w:w="100" w:type="dxa"/>
              <w:left w:w="100" w:type="dxa"/>
              <w:bottom w:w="100" w:type="dxa"/>
              <w:right w:w="100" w:type="dxa"/>
            </w:tcMar>
            <w:vAlign w:val="center"/>
          </w:tcPr>
          <w:p w14:paraId="384CCB67" w14:textId="77777777" w:rsidR="00882BD0" w:rsidRDefault="009D73FE">
            <w:pPr>
              <w:spacing w:after="0"/>
            </w:pPr>
            <w:r>
              <w:rPr>
                <w:sz w:val="16"/>
              </w:rPr>
              <w:t>Useful when formulation, dose and farm-scale effectiveness are validated</w:t>
            </w:r>
          </w:p>
        </w:tc>
        <w:tc>
          <w:tcPr>
            <w:tcW w:w="823" w:type="pct"/>
            <w:tcMar>
              <w:top w:w="100" w:type="dxa"/>
              <w:left w:w="100" w:type="dxa"/>
              <w:bottom w:w="100" w:type="dxa"/>
              <w:right w:w="100" w:type="dxa"/>
            </w:tcMar>
            <w:vAlign w:val="center"/>
          </w:tcPr>
          <w:p w14:paraId="75240362" w14:textId="77777777" w:rsidR="00882BD0" w:rsidRDefault="009D73FE">
            <w:pPr>
              <w:spacing w:after="0"/>
            </w:pPr>
            <w:r>
              <w:rPr>
                <w:sz w:val="16"/>
              </w:rPr>
              <w:t>Zheng et al. (2021)</w:t>
            </w:r>
          </w:p>
        </w:tc>
      </w:tr>
    </w:tbl>
    <w:p w14:paraId="5C94DFE0" w14:textId="77777777" w:rsidR="00882BD0" w:rsidRDefault="009D73FE">
      <w:pPr>
        <w:pStyle w:val="TableNote"/>
      </w:pPr>
      <w:r>
        <w:t>Note. eDNA = environmental deoxyribonucleic acid; eRNA = environmental ribonucleic acid; LAMP = loop-mediated isothermal amplification.</w:t>
      </w:r>
    </w:p>
    <w:p w14:paraId="565D7795" w14:textId="77777777" w:rsidR="00882BD0" w:rsidRDefault="009D73FE">
      <w:pPr>
        <w:pStyle w:val="Heading1"/>
      </w:pPr>
      <w:r>
        <w:t>6. Microbiome Engineering, Biofloc and Phage Biocontrol</w:t>
      </w:r>
    </w:p>
    <w:p w14:paraId="5AC160F3" w14:textId="77777777" w:rsidR="00882BD0" w:rsidRDefault="009D73FE">
      <w:pPr>
        <w:pStyle w:val="BodyText"/>
      </w:pPr>
      <w:r>
        <w:t>Aquatic animals continuously exchange microorganisms with water, sediment and feed. Their microbiomes are therefore dynamic ecological communities rather than stable inventories of beneficial taxa. Sequencing studies have expanded understanding of bacterial composition, but taxonomic association alone rarely establishes function. A microorganism enriched in healthy fish may be a consequence rather than a cause of health, and the same taxon can behave differently across strains and environments. Microbiome biotechnology is most credible when it links a defined organism or community function to a reproducible outcome through controlled challenge, mechanistic measurement and field validation.</w:t>
      </w:r>
    </w:p>
    <w:p w14:paraId="47B1319A" w14:textId="77777777" w:rsidR="00882BD0" w:rsidRDefault="009D73FE">
      <w:pPr>
        <w:pStyle w:val="BodyText"/>
      </w:pPr>
      <w:r>
        <w:t xml:space="preserve">Probiotics can influence pathogen exclusion, digestive enzyme activity, epithelial integrity and immune signalling. Reviews of aquaculture probiotics report broad biological plausibility but also large variation in strains, doses and study designs (Wang et al., 2019). </w:t>
      </w:r>
      <w:r>
        <w:rPr>
          <w:i/>
        </w:rPr>
        <w:t>Bacillus</w:t>
      </w:r>
      <w:r>
        <w:t xml:space="preserve"> species are attractive because spores can tolerate feed processing and storage, but species identity does not guarantee safety or efficacy. Padeniya et al. (2023) showed that probiotic supplementation could enhance resistance of Nile tilapia to </w:t>
      </w:r>
      <w:r>
        <w:rPr>
          <w:i/>
        </w:rPr>
        <w:t>Streptococcus iniae</w:t>
      </w:r>
      <w:r>
        <w:t xml:space="preserve"> under experimental conditions. The result supports a preventive role, yet translation depends on whether the exact strain remains viable in commercial feed, colonises or repeatedly transits the gut, performs under variable water quality, and avoids transfer of undesirable antimicrobial-resistance genes.</w:t>
      </w:r>
    </w:p>
    <w:p w14:paraId="73C8CD4A" w14:textId="77777777" w:rsidR="00882BD0" w:rsidRDefault="009D73FE">
      <w:pPr>
        <w:pStyle w:val="BodyText"/>
      </w:pPr>
      <w:r>
        <w:lastRenderedPageBreak/>
        <w:t>The frequent use of growth and non-specific immune markers creates interpretive problems. Increased lysozyme activity or altered cytokine expression can support a mechanism, but these surrogate endpoints do not necessarily predict lower mortality across pathogens. Many trials use one tank per treatment or treat individual fish as independent replicates despite shared water, producing pseudoreplication. Basal diet, temperature and background microbiota can determine whether a probiotic has access to the substrate or niche required for activity. Multi-site trials with tank-level replication and strain-resolved sequencing are needed to distinguish robust effects from context-dependent responses.</w:t>
      </w:r>
    </w:p>
    <w:p w14:paraId="797882BF" w14:textId="77777777" w:rsidR="00882BD0" w:rsidRDefault="009D73FE">
      <w:pPr>
        <w:pStyle w:val="BodyText"/>
      </w:pPr>
      <w:r>
        <w:t>Biofloc technology manages the culture-water microbiome by manipulating carbon-to-nitrogen conditions and promoting microbial assimilation of dissolved nitrogen into biomass. The resulting flocs can contribute nutrition while limiting accumulation of toxic inorganic nitrogen. De Schryver et al. (2008) provided an early synthesis of the biological principles and potential benefits. Biofloc systems can improve nutrient retention and reduce water exchange, but they require aeration, carbon inputs and close control of solids. The microbial community is not intrinsically beneficial; oxygen depletion, excessive suspended solids or unstable community shifts can impair gill health and create disease risk. Performance therefore depends on operational ecology rather than the simple presence of floc.</w:t>
      </w:r>
    </w:p>
    <w:p w14:paraId="1F3CC4C3" w14:textId="77777777" w:rsidR="00882BD0" w:rsidRDefault="009D73FE">
      <w:pPr>
        <w:pStyle w:val="BodyText"/>
      </w:pPr>
      <w:r>
        <w:t xml:space="preserve">Bacteriophages offer a pathogen-specific alternative or complement to antibiotics. Experimental studies have shown that phages can reduce mortality caused by </w:t>
      </w:r>
      <w:r>
        <w:rPr>
          <w:i/>
        </w:rPr>
        <w:t>Vibrio anguillarum</w:t>
      </w:r>
      <w:r>
        <w:t xml:space="preserve"> in fish-larval production and can protect fish challenged with </w:t>
      </w:r>
      <w:r>
        <w:rPr>
          <w:i/>
        </w:rPr>
        <w:t>Aeromonas hydrophila</w:t>
      </w:r>
      <w:r>
        <w:t xml:space="preserve"> (Easwaran et al., 2017; Silva et al., 2014). A phage cocktail or well-characterised isolate can amplify at the site of susceptible bacteria, potentially reducing dose requirements. Specificity also preserves non-target microbiota better than broad-spectrum antibiotics. Yet the same specificity can narrow host range, and bacterial resistance can emerge. Phage efficacy is influenced by adsorption in mucus, inactivation in water, immune clearance, dose timing and bacterial density.</w:t>
      </w:r>
    </w:p>
    <w:p w14:paraId="79552B8D" w14:textId="77777777" w:rsidR="00882BD0" w:rsidRDefault="009D73FE">
      <w:pPr>
        <w:pStyle w:val="BodyText"/>
      </w:pPr>
      <w:r>
        <w:t xml:space="preserve">Recent work in tilapia illustrates the need to test phage therapy beyond short laboratory exposure. Dien et al. (2022) evaluated a lytic </w:t>
      </w:r>
      <w:r>
        <w:rPr>
          <w:i/>
        </w:rPr>
        <w:t>Aeromonas hydrophila</w:t>
      </w:r>
      <w:r>
        <w:t xml:space="preserve"> phage in Nile tilapia and provided detailed evidence of therapeutic potential. Nonetheless, product development requires genomic screening for lysogeny, virulence and antimicrobial-resistance genes, stability during storage, environmental fate and consistent manufacturing. Resistance should be anticipated rather than treated as evidence that the approach has failed. Cocktails targeting independent receptors, rotation strategies and integration with vaccination or husbandry can reduce but not eliminate resistance risk.</w:t>
      </w:r>
    </w:p>
    <w:p w14:paraId="5374C1B3" w14:textId="77777777" w:rsidR="00882BD0" w:rsidRDefault="009D73FE">
      <w:pPr>
        <w:pStyle w:val="BodyText"/>
      </w:pPr>
      <w:r>
        <w:t>Microbial interventions intersect directly with antimicrobial resistance (AMR). Aquaculture antimicrobial use is unevenly distributed among countries and species, and global estimates indicate substantial exposure in some rapidly growing sectors (Schar et al., 2020). Probiotics, vaccines and phages may reduce the need for treatment, but they should not be marketed as universal substitutes. Disease prevention also depends on seed quality, stocking density, water quality, nutrition and biosecurity. One Health guidance emphasises coordinated stewardship across human, animal and environmental systems because resistance genes and residues can move through water, sediments, wildlife and food chains (Food and Agriculture Organization of the United Nations et al., 2022; WOAH, 2025).</w:t>
      </w:r>
    </w:p>
    <w:p w14:paraId="4137C512" w14:textId="77777777" w:rsidR="00882BD0" w:rsidRDefault="009D73FE">
      <w:pPr>
        <w:pStyle w:val="BodyText"/>
      </w:pPr>
      <w:r>
        <w:t>The regulatory classification of microbial products is inconsistent. Some are sold as feed additives, others as veterinary products or water conditioners, even when intended claims are similar. This can allow weakly characterised products to enter markets without strain-level identity, potency or stability data. A credible minimum standard should include whole-genome or equivalent identity, absence of relevant virulence and resistance determinants, deposit of a reference strain, batch potency, shelf-life testing, and evidence at the intended route and dose. For phages, the standard should include lytic character, host range, genome annotation, endotoxin or contaminant control and monitoring for resistance.</w:t>
      </w:r>
    </w:p>
    <w:p w14:paraId="1390239A" w14:textId="77777777" w:rsidR="00882BD0" w:rsidRDefault="009D73FE">
      <w:pPr>
        <w:pStyle w:val="BodyText"/>
      </w:pPr>
      <w:r>
        <w:lastRenderedPageBreak/>
        <w:t>The critical conclusion is that microbiome manipulation is ecological management, not a simple additive strategy. Defined probiotics and phages can be valuable when their mechanism and manufacturing are controlled, while biofloc can improve nutrient cycling when system operation is stable. Claims based on a generic label such as 'beneficial bacteria' are not scientifically sufficient.</w:t>
      </w:r>
    </w:p>
    <w:p w14:paraId="1BB2792E" w14:textId="77777777" w:rsidR="00882BD0" w:rsidRDefault="009D73FE">
      <w:pPr>
        <w:pStyle w:val="Heading1"/>
      </w:pPr>
      <w:r>
        <w:t>7. Feed Biotechnology and Circular Resource Use</w:t>
      </w:r>
    </w:p>
    <w:p w14:paraId="28DF8FF6" w14:textId="77777777" w:rsidR="00882BD0" w:rsidRDefault="009D73FE">
      <w:pPr>
        <w:pStyle w:val="BodyText"/>
      </w:pPr>
      <w:r>
        <w:t>Feed is a major connection between aquaculture health and environmental performance. The shift from fishmeal- and fish-oil-dominated diets towards plant ingredients reduced direct dependence on forage fish but introduced new challenges, including antinutritional factors, land-use burdens and lower concentrations of long-chain omega-3 fatty acids. Biotechnology expands the ingredient portfolio through microbial fermentation, insect bioconversion, algal cultivation and metabolic engineering. The objective is not merely to replace one ingredient by weight; it is to deliver digestible amino acids, essential fatty acids and functional compounds without transferring disproportionate impacts to energy, land, water or waste streams.</w:t>
      </w:r>
    </w:p>
    <w:p w14:paraId="23A29754" w14:textId="77777777" w:rsidR="00882BD0" w:rsidRDefault="009D73FE">
      <w:pPr>
        <w:pStyle w:val="BodyText"/>
      </w:pPr>
      <w:r>
        <w:t>Single-cell proteins derived from bacteria, yeast or fungi can be produced on diverse carbon substrates and have relatively consistent composition. Gas-fermentation systems are especially attractive because they can convert methane or other low-value gases into protein. Woolley et al. (2023) evaluated methane-derived microbial protein in barramundi and linked nutritional performance with environmental assessment. Such studies show the value of combining feeding trials with life-cycle analysis. The sustainability result depends strongly on gas source, electricity, process efficiency and allocation of co-products. A protein produced from fossil methane with carbon-intensive energy may have a different profile from one using captured biogas and renewable electricity.</w:t>
      </w:r>
    </w:p>
    <w:p w14:paraId="2F942584" w14:textId="77777777" w:rsidR="00882BD0" w:rsidRDefault="009D73FE">
      <w:pPr>
        <w:pStyle w:val="BodyText"/>
      </w:pPr>
      <w:r>
        <w:t>Insect meals convert organic substrates into protein and lipids and can fit circular-economy narratives. Their biological value varies with insect species, life stage, rearing substrate, defatting and processing, and black soldier fly meal has been evaluated for effects on gut health and vaccine response in Atlantic salmon (Li et al., 2019). Chitin may act as a functional component at moderate inclusion but can reduce digestibility at higher levels. Replacement trials often show that partial inclusion can maintain growth, yet results cannot be generalised across carnivorous and omnivorous fish. Safety evaluation must consider substrate contaminants, microbial quality and consistency. Regulations governing acceptable rearing substrates can determine whether the theoretical waste-recovery advantage is realised.</w:t>
      </w:r>
    </w:p>
    <w:p w14:paraId="6170150A" w14:textId="77777777" w:rsidR="00882BD0" w:rsidRDefault="009D73FE">
      <w:pPr>
        <w:pStyle w:val="BodyText"/>
      </w:pPr>
      <w:r>
        <w:t>Fish oil substitution is particularly difficult because eicosapentaenoic acid and docosahexaenoic acid influence fish physiology and the nutritional quality of seafood. Sprague et al. (2016) documented how changes in salmon feeds affected omega-3 content in farmed fish, illustrating that satisfactory growth does not guarantee equivalent product quality. Metabolic engineering of oilseed crops offers one route to producing marine-type fatty acids on land. Feeding trials with oil from transgenic Camelina have shown that it can support Atlantic salmon and maintain tissue omega-3 composition when appropriately formulated (Betancor et al., 2017; Tocher et al., 2024). The evidence is stronger for nutritional functionality than for universal environmental superiority because agricultural inputs, processing and land-use context differ.</w:t>
      </w:r>
    </w:p>
    <w:p w14:paraId="23E4038A" w14:textId="77777777" w:rsidR="00882BD0" w:rsidRDefault="009D73FE">
      <w:pPr>
        <w:pStyle w:val="BodyText"/>
      </w:pPr>
      <w:r>
        <w:t>Microalgae provide another route to long-chain omega-3 lipids and can also supply pigments, proteins and bioactive compounds. Production can avoid direct use of wild fish, but open-pond and photobioreactor systems have different contamination, energy and capital profiles. Downstream dewatering and extraction can dominate environmental burden. Digestibility depends on cell-wall disruption and species. Claims should therefore report the algal strain, culture system, processing route and actual nutrient bioavailability rather than treating 'algae' as a uniform ingredient.</w:t>
      </w:r>
    </w:p>
    <w:p w14:paraId="7D6895FA" w14:textId="77777777" w:rsidR="00882BD0" w:rsidRDefault="009D73FE">
      <w:pPr>
        <w:pStyle w:val="BodyText"/>
      </w:pPr>
      <w:r>
        <w:lastRenderedPageBreak/>
        <w:t>Feed biotechnology also affects immunity and the microbiome. Replacing marine ingredients can alter bile acids, mucosal structure and microbial communities. Li et al. (2019) showed that diet composition influenced gut health and vaccination response in Atlantic salmon, demonstrating that nutritional sustainability and immunological preparedness can interact. A feed that supports growth under pathogen-free conditions may perform differently during infection or thermal stress. This argues for challenge-aware nutrition trials that include barrier function, inflammatory markers, vaccine response and recovery, while avoiding overinterpretation of single immune biomarkers.</w:t>
      </w:r>
    </w:p>
    <w:p w14:paraId="304E97A6" w14:textId="77777777" w:rsidR="00882BD0" w:rsidRDefault="009D73FE">
      <w:pPr>
        <w:pStyle w:val="BodyText"/>
      </w:pPr>
      <w:r>
        <w:t>Circularity can create new hazards if waste streams are insufficiently controlled. Microbial and insect production based on by-products can concentrate heavy metals, persistent contaminants or pathogens depending on substrate and process. Heat treatment may reduce microbial risk but alter amino-acid availability. Batch variability can complicate formulation. Traceability from substrate to final ingredient is therefore essential. Circular feed should be assessed through nutrient recovery, safety and displaced production, not simply by the percentage of waste-derived input.</w:t>
      </w:r>
    </w:p>
    <w:p w14:paraId="521C90A6" w14:textId="77777777" w:rsidR="00882BD0" w:rsidRDefault="009D73FE">
      <w:pPr>
        <w:pStyle w:val="BodyText"/>
      </w:pPr>
      <w:r>
        <w:t>Economic feasibility depends on scale, regional infrastructure and competing markets. Premium engineered oils may be used strategically in finishing diets rather than throughout the production cycle. Microbial proteins may be most competitive near low-cost gas or fermentation infrastructure. Insect producers require reliable substrates and markets for frass and oil. Small-scale farmers may benefit indirectly through lower feed-price volatility, but proprietary ingredients can also concentrate supply-chain power. Public research and transparent compositional databases can reduce dependency and support locally adapted formulations.</w:t>
      </w:r>
    </w:p>
    <w:p w14:paraId="2CE605E0" w14:textId="77777777" w:rsidR="00882BD0" w:rsidRDefault="009D73FE">
      <w:pPr>
        <w:pStyle w:val="BodyText"/>
      </w:pPr>
      <w:r>
        <w:t>Table 4 compares major feed-biotechnology routes. The strongest evidence supports partial replacement within nutritionally balanced diets, while claims of complete decoupling from marine resources remain conditional. Ingredient evaluation should use a multi-endpoint framework: growth and feed conversion, animal health, product composition, contaminant safety, life-cycle burden, scalability and price resilience.</w:t>
      </w:r>
    </w:p>
    <w:p w14:paraId="0F7C267D" w14:textId="77777777" w:rsidR="00882BD0" w:rsidRDefault="009D73FE">
      <w:pPr>
        <w:pStyle w:val="TableCaption"/>
      </w:pPr>
      <w:r>
        <w:rPr>
          <w:b/>
        </w:rPr>
        <w:t>Table 4. Biotechnology-enabled aquafeed resources and translational trade-offs</w:t>
      </w:r>
    </w:p>
    <w:tbl>
      <w:tblPr>
        <w:tblStyle w:val="TableGrid"/>
        <w:tblW w:w="5000" w:type="pct"/>
        <w:jc w:val="center"/>
        <w:tblLook w:val="04A0" w:firstRow="1" w:lastRow="0" w:firstColumn="1" w:lastColumn="0" w:noHBand="0" w:noVBand="1"/>
      </w:tblPr>
      <w:tblGrid>
        <w:gridCol w:w="1406"/>
        <w:gridCol w:w="1771"/>
        <w:gridCol w:w="1771"/>
        <w:gridCol w:w="1770"/>
        <w:gridCol w:w="1770"/>
        <w:gridCol w:w="1648"/>
      </w:tblGrid>
      <w:tr w:rsidR="00882BD0" w14:paraId="58743337" w14:textId="77777777" w:rsidTr="008C3192">
        <w:trPr>
          <w:cantSplit/>
          <w:tblHeader/>
          <w:jc w:val="center"/>
        </w:trPr>
        <w:tc>
          <w:tcPr>
            <w:tcW w:w="693" w:type="pct"/>
            <w:shd w:val="clear" w:color="auto" w:fill="D9E2F3"/>
            <w:tcMar>
              <w:top w:w="100" w:type="dxa"/>
              <w:left w:w="100" w:type="dxa"/>
              <w:bottom w:w="100" w:type="dxa"/>
              <w:right w:w="100" w:type="dxa"/>
            </w:tcMar>
            <w:vAlign w:val="center"/>
          </w:tcPr>
          <w:p w14:paraId="28DD4129" w14:textId="77777777" w:rsidR="00882BD0" w:rsidRDefault="009D73FE">
            <w:pPr>
              <w:spacing w:after="0"/>
              <w:jc w:val="center"/>
            </w:pPr>
            <w:r>
              <w:rPr>
                <w:b/>
                <w:sz w:val="16"/>
              </w:rPr>
              <w:t>Resource pathway</w:t>
            </w:r>
          </w:p>
        </w:tc>
        <w:tc>
          <w:tcPr>
            <w:tcW w:w="873" w:type="pct"/>
            <w:shd w:val="clear" w:color="auto" w:fill="D9E2F3"/>
            <w:tcMar>
              <w:top w:w="100" w:type="dxa"/>
              <w:left w:w="100" w:type="dxa"/>
              <w:bottom w:w="100" w:type="dxa"/>
              <w:right w:w="100" w:type="dxa"/>
            </w:tcMar>
            <w:vAlign w:val="center"/>
          </w:tcPr>
          <w:p w14:paraId="4B197AC4" w14:textId="77777777" w:rsidR="00882BD0" w:rsidRDefault="009D73FE">
            <w:pPr>
              <w:spacing w:after="0"/>
              <w:jc w:val="center"/>
            </w:pPr>
            <w:r>
              <w:rPr>
                <w:b/>
                <w:sz w:val="16"/>
              </w:rPr>
              <w:t>Nutritional opportunity</w:t>
            </w:r>
          </w:p>
        </w:tc>
        <w:tc>
          <w:tcPr>
            <w:tcW w:w="873" w:type="pct"/>
            <w:shd w:val="clear" w:color="auto" w:fill="D9E2F3"/>
            <w:tcMar>
              <w:top w:w="100" w:type="dxa"/>
              <w:left w:w="100" w:type="dxa"/>
              <w:bottom w:w="100" w:type="dxa"/>
              <w:right w:w="100" w:type="dxa"/>
            </w:tcMar>
            <w:vAlign w:val="center"/>
          </w:tcPr>
          <w:p w14:paraId="2B8785E0" w14:textId="77777777" w:rsidR="00882BD0" w:rsidRDefault="009D73FE">
            <w:pPr>
              <w:spacing w:after="0"/>
              <w:jc w:val="center"/>
            </w:pPr>
            <w:r>
              <w:rPr>
                <w:b/>
                <w:sz w:val="16"/>
              </w:rPr>
              <w:t>Potential sustainability gain</w:t>
            </w:r>
          </w:p>
        </w:tc>
        <w:tc>
          <w:tcPr>
            <w:tcW w:w="873" w:type="pct"/>
            <w:shd w:val="clear" w:color="auto" w:fill="D9E2F3"/>
            <w:tcMar>
              <w:top w:w="100" w:type="dxa"/>
              <w:left w:w="100" w:type="dxa"/>
              <w:bottom w:w="100" w:type="dxa"/>
              <w:right w:w="100" w:type="dxa"/>
            </w:tcMar>
            <w:vAlign w:val="center"/>
          </w:tcPr>
          <w:p w14:paraId="09279F98" w14:textId="77777777" w:rsidR="00882BD0" w:rsidRDefault="009D73FE">
            <w:pPr>
              <w:spacing w:after="0"/>
              <w:jc w:val="center"/>
            </w:pPr>
            <w:r>
              <w:rPr>
                <w:b/>
                <w:sz w:val="16"/>
              </w:rPr>
              <w:t>Health or quality concern</w:t>
            </w:r>
          </w:p>
        </w:tc>
        <w:tc>
          <w:tcPr>
            <w:tcW w:w="873" w:type="pct"/>
            <w:shd w:val="clear" w:color="auto" w:fill="D9E2F3"/>
            <w:tcMar>
              <w:top w:w="100" w:type="dxa"/>
              <w:left w:w="100" w:type="dxa"/>
              <w:bottom w:w="100" w:type="dxa"/>
              <w:right w:w="100" w:type="dxa"/>
            </w:tcMar>
            <w:vAlign w:val="center"/>
          </w:tcPr>
          <w:p w14:paraId="50224D0E" w14:textId="77777777" w:rsidR="00882BD0" w:rsidRDefault="009D73FE">
            <w:pPr>
              <w:spacing w:after="0"/>
              <w:jc w:val="center"/>
            </w:pPr>
            <w:r>
              <w:rPr>
                <w:b/>
                <w:sz w:val="16"/>
              </w:rPr>
              <w:t>Key boundary condition</w:t>
            </w:r>
          </w:p>
        </w:tc>
        <w:tc>
          <w:tcPr>
            <w:tcW w:w="813" w:type="pct"/>
            <w:shd w:val="clear" w:color="auto" w:fill="D9E2F3"/>
            <w:tcMar>
              <w:top w:w="100" w:type="dxa"/>
              <w:left w:w="100" w:type="dxa"/>
              <w:bottom w:w="100" w:type="dxa"/>
              <w:right w:w="100" w:type="dxa"/>
            </w:tcMar>
            <w:vAlign w:val="center"/>
          </w:tcPr>
          <w:p w14:paraId="4EF2ECD3" w14:textId="77777777" w:rsidR="00882BD0" w:rsidRDefault="009D73FE">
            <w:pPr>
              <w:spacing w:after="0"/>
              <w:jc w:val="center"/>
            </w:pPr>
            <w:r>
              <w:rPr>
                <w:b/>
                <w:sz w:val="16"/>
              </w:rPr>
              <w:t>Supporting references</w:t>
            </w:r>
          </w:p>
        </w:tc>
      </w:tr>
      <w:tr w:rsidR="00882BD0" w14:paraId="68A0E20C" w14:textId="77777777" w:rsidTr="008C3192">
        <w:trPr>
          <w:cantSplit/>
          <w:jc w:val="center"/>
        </w:trPr>
        <w:tc>
          <w:tcPr>
            <w:tcW w:w="693" w:type="pct"/>
            <w:tcMar>
              <w:top w:w="100" w:type="dxa"/>
              <w:left w:w="100" w:type="dxa"/>
              <w:bottom w:w="100" w:type="dxa"/>
              <w:right w:w="100" w:type="dxa"/>
            </w:tcMar>
            <w:vAlign w:val="center"/>
          </w:tcPr>
          <w:p w14:paraId="7CDDB9A4" w14:textId="77777777" w:rsidR="00882BD0" w:rsidRDefault="009D73FE">
            <w:pPr>
              <w:spacing w:after="0"/>
            </w:pPr>
            <w:r>
              <w:rPr>
                <w:sz w:val="16"/>
              </w:rPr>
              <w:t>Microbial single-cell protein</w:t>
            </w:r>
          </w:p>
        </w:tc>
        <w:tc>
          <w:tcPr>
            <w:tcW w:w="873" w:type="pct"/>
            <w:tcMar>
              <w:top w:w="100" w:type="dxa"/>
              <w:left w:w="100" w:type="dxa"/>
              <w:bottom w:w="100" w:type="dxa"/>
              <w:right w:w="100" w:type="dxa"/>
            </w:tcMar>
            <w:vAlign w:val="center"/>
          </w:tcPr>
          <w:p w14:paraId="6127C1A9" w14:textId="77777777" w:rsidR="00882BD0" w:rsidRDefault="009D73FE">
            <w:pPr>
              <w:spacing w:after="0"/>
            </w:pPr>
            <w:r>
              <w:rPr>
                <w:sz w:val="16"/>
              </w:rPr>
              <w:t>Concentrated protein with controllable composition</w:t>
            </w:r>
          </w:p>
        </w:tc>
        <w:tc>
          <w:tcPr>
            <w:tcW w:w="873" w:type="pct"/>
            <w:tcMar>
              <w:top w:w="100" w:type="dxa"/>
              <w:left w:w="100" w:type="dxa"/>
              <w:bottom w:w="100" w:type="dxa"/>
              <w:right w:w="100" w:type="dxa"/>
            </w:tcMar>
            <w:vAlign w:val="center"/>
          </w:tcPr>
          <w:p w14:paraId="4D3D5E9D" w14:textId="77777777" w:rsidR="00882BD0" w:rsidRDefault="009D73FE">
            <w:pPr>
              <w:spacing w:after="0"/>
            </w:pPr>
            <w:r>
              <w:rPr>
                <w:sz w:val="16"/>
              </w:rPr>
              <w:t>Production from gases or low-value substrates</w:t>
            </w:r>
          </w:p>
        </w:tc>
        <w:tc>
          <w:tcPr>
            <w:tcW w:w="873" w:type="pct"/>
            <w:tcMar>
              <w:top w:w="100" w:type="dxa"/>
              <w:left w:w="100" w:type="dxa"/>
              <w:bottom w:w="100" w:type="dxa"/>
              <w:right w:w="100" w:type="dxa"/>
            </w:tcMar>
            <w:vAlign w:val="center"/>
          </w:tcPr>
          <w:p w14:paraId="46638E4B" w14:textId="77777777" w:rsidR="00882BD0" w:rsidRDefault="009D73FE">
            <w:pPr>
              <w:spacing w:after="0"/>
            </w:pPr>
            <w:r>
              <w:rPr>
                <w:sz w:val="16"/>
              </w:rPr>
              <w:t>Nucleic acids, palatability and process-specific digestibility</w:t>
            </w:r>
          </w:p>
        </w:tc>
        <w:tc>
          <w:tcPr>
            <w:tcW w:w="873" w:type="pct"/>
            <w:tcMar>
              <w:top w:w="100" w:type="dxa"/>
              <w:left w:w="100" w:type="dxa"/>
              <w:bottom w:w="100" w:type="dxa"/>
              <w:right w:w="100" w:type="dxa"/>
            </w:tcMar>
            <w:vAlign w:val="center"/>
          </w:tcPr>
          <w:p w14:paraId="7456A43E" w14:textId="77777777" w:rsidR="00882BD0" w:rsidRDefault="009D73FE">
            <w:pPr>
              <w:spacing w:after="0"/>
            </w:pPr>
            <w:r>
              <w:rPr>
                <w:sz w:val="16"/>
              </w:rPr>
              <w:t>Carbon substrate and electricity source determine life-cycle performance</w:t>
            </w:r>
          </w:p>
        </w:tc>
        <w:tc>
          <w:tcPr>
            <w:tcW w:w="813" w:type="pct"/>
            <w:tcMar>
              <w:top w:w="100" w:type="dxa"/>
              <w:left w:w="100" w:type="dxa"/>
              <w:bottom w:w="100" w:type="dxa"/>
              <w:right w:w="100" w:type="dxa"/>
            </w:tcMar>
            <w:vAlign w:val="center"/>
          </w:tcPr>
          <w:p w14:paraId="3AE7C5ED" w14:textId="77777777" w:rsidR="00882BD0" w:rsidRDefault="009D73FE">
            <w:pPr>
              <w:spacing w:after="0"/>
            </w:pPr>
            <w:r>
              <w:rPr>
                <w:sz w:val="16"/>
              </w:rPr>
              <w:t>Woolley et al. (2023)</w:t>
            </w:r>
          </w:p>
        </w:tc>
      </w:tr>
      <w:tr w:rsidR="00882BD0" w14:paraId="18F87FB1" w14:textId="77777777" w:rsidTr="008C3192">
        <w:trPr>
          <w:cantSplit/>
          <w:jc w:val="center"/>
        </w:trPr>
        <w:tc>
          <w:tcPr>
            <w:tcW w:w="693" w:type="pct"/>
            <w:tcMar>
              <w:top w:w="100" w:type="dxa"/>
              <w:left w:w="100" w:type="dxa"/>
              <w:bottom w:w="100" w:type="dxa"/>
              <w:right w:w="100" w:type="dxa"/>
            </w:tcMar>
            <w:vAlign w:val="center"/>
          </w:tcPr>
          <w:p w14:paraId="7F0CD51A" w14:textId="77777777" w:rsidR="00882BD0" w:rsidRDefault="009D73FE">
            <w:pPr>
              <w:spacing w:after="0"/>
            </w:pPr>
            <w:r>
              <w:rPr>
                <w:sz w:val="16"/>
              </w:rPr>
              <w:t>Insect-derived ingredients</w:t>
            </w:r>
          </w:p>
        </w:tc>
        <w:tc>
          <w:tcPr>
            <w:tcW w:w="873" w:type="pct"/>
            <w:tcMar>
              <w:top w:w="100" w:type="dxa"/>
              <w:left w:w="100" w:type="dxa"/>
              <w:bottom w:w="100" w:type="dxa"/>
              <w:right w:w="100" w:type="dxa"/>
            </w:tcMar>
            <w:vAlign w:val="center"/>
          </w:tcPr>
          <w:p w14:paraId="2A58321E" w14:textId="77777777" w:rsidR="00882BD0" w:rsidRDefault="009D73FE">
            <w:pPr>
              <w:spacing w:after="0"/>
            </w:pPr>
            <w:r>
              <w:rPr>
                <w:sz w:val="16"/>
              </w:rPr>
              <w:t>Protein, lipids and possible functional chitin</w:t>
            </w:r>
          </w:p>
        </w:tc>
        <w:tc>
          <w:tcPr>
            <w:tcW w:w="873" w:type="pct"/>
            <w:tcMar>
              <w:top w:w="100" w:type="dxa"/>
              <w:left w:w="100" w:type="dxa"/>
              <w:bottom w:w="100" w:type="dxa"/>
              <w:right w:w="100" w:type="dxa"/>
            </w:tcMar>
            <w:vAlign w:val="center"/>
          </w:tcPr>
          <w:p w14:paraId="1487837D" w14:textId="77777777" w:rsidR="00882BD0" w:rsidRDefault="009D73FE">
            <w:pPr>
              <w:spacing w:after="0"/>
            </w:pPr>
            <w:r>
              <w:rPr>
                <w:sz w:val="16"/>
              </w:rPr>
              <w:t>Bioconversion of approved organic substrates</w:t>
            </w:r>
          </w:p>
        </w:tc>
        <w:tc>
          <w:tcPr>
            <w:tcW w:w="873" w:type="pct"/>
            <w:tcMar>
              <w:top w:w="100" w:type="dxa"/>
              <w:left w:w="100" w:type="dxa"/>
              <w:bottom w:w="100" w:type="dxa"/>
              <w:right w:w="100" w:type="dxa"/>
            </w:tcMar>
            <w:vAlign w:val="center"/>
          </w:tcPr>
          <w:p w14:paraId="2DCC1D0A" w14:textId="77777777" w:rsidR="00882BD0" w:rsidRDefault="009D73FE">
            <w:pPr>
              <w:spacing w:after="0"/>
            </w:pPr>
            <w:r>
              <w:rPr>
                <w:sz w:val="16"/>
              </w:rPr>
              <w:t>Variable amino-acid quality, contaminants and chitin effects</w:t>
            </w:r>
          </w:p>
        </w:tc>
        <w:tc>
          <w:tcPr>
            <w:tcW w:w="873" w:type="pct"/>
            <w:tcMar>
              <w:top w:w="100" w:type="dxa"/>
              <w:left w:w="100" w:type="dxa"/>
              <w:bottom w:w="100" w:type="dxa"/>
              <w:right w:w="100" w:type="dxa"/>
            </w:tcMar>
            <w:vAlign w:val="center"/>
          </w:tcPr>
          <w:p w14:paraId="0A82DF2E" w14:textId="77777777" w:rsidR="00882BD0" w:rsidRDefault="009D73FE">
            <w:pPr>
              <w:spacing w:after="0"/>
            </w:pPr>
            <w:r>
              <w:rPr>
                <w:sz w:val="16"/>
              </w:rPr>
              <w:t>Substrate regulation and processing determine safety and circularity</w:t>
            </w:r>
          </w:p>
        </w:tc>
        <w:tc>
          <w:tcPr>
            <w:tcW w:w="813" w:type="pct"/>
            <w:tcMar>
              <w:top w:w="100" w:type="dxa"/>
              <w:left w:w="100" w:type="dxa"/>
              <w:bottom w:w="100" w:type="dxa"/>
              <w:right w:w="100" w:type="dxa"/>
            </w:tcMar>
            <w:vAlign w:val="center"/>
          </w:tcPr>
          <w:p w14:paraId="59B89351" w14:textId="77777777" w:rsidR="00882BD0" w:rsidRDefault="009D73FE">
            <w:pPr>
              <w:spacing w:after="0"/>
            </w:pPr>
            <w:r>
              <w:rPr>
                <w:sz w:val="16"/>
              </w:rPr>
              <w:t>Cottrell et al. (2020)</w:t>
            </w:r>
          </w:p>
        </w:tc>
      </w:tr>
      <w:tr w:rsidR="00882BD0" w14:paraId="51F3E69A" w14:textId="77777777" w:rsidTr="008C3192">
        <w:trPr>
          <w:cantSplit/>
          <w:jc w:val="center"/>
        </w:trPr>
        <w:tc>
          <w:tcPr>
            <w:tcW w:w="693" w:type="pct"/>
            <w:tcMar>
              <w:top w:w="100" w:type="dxa"/>
              <w:left w:w="100" w:type="dxa"/>
              <w:bottom w:w="100" w:type="dxa"/>
              <w:right w:w="100" w:type="dxa"/>
            </w:tcMar>
            <w:vAlign w:val="center"/>
          </w:tcPr>
          <w:p w14:paraId="1047670C" w14:textId="77777777" w:rsidR="00882BD0" w:rsidRDefault="009D73FE">
            <w:pPr>
              <w:spacing w:after="0"/>
            </w:pPr>
            <w:r>
              <w:rPr>
                <w:sz w:val="16"/>
              </w:rPr>
              <w:t>Engineered oilseed oils</w:t>
            </w:r>
          </w:p>
        </w:tc>
        <w:tc>
          <w:tcPr>
            <w:tcW w:w="873" w:type="pct"/>
            <w:tcMar>
              <w:top w:w="100" w:type="dxa"/>
              <w:left w:w="100" w:type="dxa"/>
              <w:bottom w:w="100" w:type="dxa"/>
              <w:right w:w="100" w:type="dxa"/>
            </w:tcMar>
            <w:vAlign w:val="center"/>
          </w:tcPr>
          <w:p w14:paraId="1E48DE40" w14:textId="77777777" w:rsidR="00882BD0" w:rsidRDefault="009D73FE">
            <w:pPr>
              <w:spacing w:after="0"/>
            </w:pPr>
            <w:r>
              <w:rPr>
                <w:sz w:val="16"/>
              </w:rPr>
              <w:t>Land-based eicosapentaenoic and docosahexaenoic acids</w:t>
            </w:r>
          </w:p>
        </w:tc>
        <w:tc>
          <w:tcPr>
            <w:tcW w:w="873" w:type="pct"/>
            <w:tcMar>
              <w:top w:w="100" w:type="dxa"/>
              <w:left w:w="100" w:type="dxa"/>
              <w:bottom w:w="100" w:type="dxa"/>
              <w:right w:w="100" w:type="dxa"/>
            </w:tcMar>
            <w:vAlign w:val="center"/>
          </w:tcPr>
          <w:p w14:paraId="6C82FB23" w14:textId="77777777" w:rsidR="00882BD0" w:rsidRDefault="009D73FE">
            <w:pPr>
              <w:spacing w:after="0"/>
            </w:pPr>
            <w:r>
              <w:rPr>
                <w:sz w:val="16"/>
              </w:rPr>
              <w:t>Reduced direct dependence on marine oils</w:t>
            </w:r>
          </w:p>
        </w:tc>
        <w:tc>
          <w:tcPr>
            <w:tcW w:w="873" w:type="pct"/>
            <w:tcMar>
              <w:top w:w="100" w:type="dxa"/>
              <w:left w:w="100" w:type="dxa"/>
              <w:bottom w:w="100" w:type="dxa"/>
              <w:right w:w="100" w:type="dxa"/>
            </w:tcMar>
            <w:vAlign w:val="center"/>
          </w:tcPr>
          <w:p w14:paraId="77E96F43" w14:textId="77777777" w:rsidR="00882BD0" w:rsidRDefault="009D73FE">
            <w:pPr>
              <w:spacing w:after="0"/>
            </w:pPr>
            <w:r>
              <w:rPr>
                <w:sz w:val="16"/>
              </w:rPr>
              <w:t>Regulatory acceptance and agricultural life-cycle burden</w:t>
            </w:r>
          </w:p>
        </w:tc>
        <w:tc>
          <w:tcPr>
            <w:tcW w:w="873" w:type="pct"/>
            <w:tcMar>
              <w:top w:w="100" w:type="dxa"/>
              <w:left w:w="100" w:type="dxa"/>
              <w:bottom w:w="100" w:type="dxa"/>
              <w:right w:w="100" w:type="dxa"/>
            </w:tcMar>
            <w:vAlign w:val="center"/>
          </w:tcPr>
          <w:p w14:paraId="515E5FCA" w14:textId="77777777" w:rsidR="00882BD0" w:rsidRDefault="009D73FE">
            <w:pPr>
              <w:spacing w:after="0"/>
            </w:pPr>
            <w:r>
              <w:rPr>
                <w:sz w:val="16"/>
              </w:rPr>
              <w:t>Inclusion strategy and crop-production context</w:t>
            </w:r>
          </w:p>
        </w:tc>
        <w:tc>
          <w:tcPr>
            <w:tcW w:w="813" w:type="pct"/>
            <w:tcMar>
              <w:top w:w="100" w:type="dxa"/>
              <w:left w:w="100" w:type="dxa"/>
              <w:bottom w:w="100" w:type="dxa"/>
              <w:right w:w="100" w:type="dxa"/>
            </w:tcMar>
            <w:vAlign w:val="center"/>
          </w:tcPr>
          <w:p w14:paraId="2C8DAB5D" w14:textId="77777777" w:rsidR="00882BD0" w:rsidRDefault="009D73FE">
            <w:pPr>
              <w:spacing w:after="0"/>
            </w:pPr>
            <w:r>
              <w:rPr>
                <w:sz w:val="16"/>
              </w:rPr>
              <w:t>Betancor et al. (2017); Tocher et al. (2024)</w:t>
            </w:r>
          </w:p>
        </w:tc>
      </w:tr>
      <w:tr w:rsidR="00882BD0" w14:paraId="5D1465C1" w14:textId="77777777" w:rsidTr="008C3192">
        <w:trPr>
          <w:cantSplit/>
          <w:jc w:val="center"/>
        </w:trPr>
        <w:tc>
          <w:tcPr>
            <w:tcW w:w="693" w:type="pct"/>
            <w:tcMar>
              <w:top w:w="100" w:type="dxa"/>
              <w:left w:w="100" w:type="dxa"/>
              <w:bottom w:w="100" w:type="dxa"/>
              <w:right w:w="100" w:type="dxa"/>
            </w:tcMar>
            <w:vAlign w:val="center"/>
          </w:tcPr>
          <w:p w14:paraId="14E2774B" w14:textId="77777777" w:rsidR="00882BD0" w:rsidRDefault="009D73FE">
            <w:pPr>
              <w:spacing w:after="0"/>
            </w:pPr>
            <w:r>
              <w:rPr>
                <w:sz w:val="16"/>
              </w:rPr>
              <w:t>Fish-oil sparing and finishing strategies</w:t>
            </w:r>
          </w:p>
        </w:tc>
        <w:tc>
          <w:tcPr>
            <w:tcW w:w="873" w:type="pct"/>
            <w:tcMar>
              <w:top w:w="100" w:type="dxa"/>
              <w:left w:w="100" w:type="dxa"/>
              <w:bottom w:w="100" w:type="dxa"/>
              <w:right w:w="100" w:type="dxa"/>
            </w:tcMar>
            <w:vAlign w:val="center"/>
          </w:tcPr>
          <w:p w14:paraId="4F072773" w14:textId="77777777" w:rsidR="00882BD0" w:rsidRDefault="009D73FE">
            <w:pPr>
              <w:spacing w:after="0"/>
            </w:pPr>
            <w:r>
              <w:rPr>
                <w:sz w:val="16"/>
              </w:rPr>
              <w:t>Maintain fillet omega-3 content while lowering lifetime marine-oil input</w:t>
            </w:r>
          </w:p>
        </w:tc>
        <w:tc>
          <w:tcPr>
            <w:tcW w:w="873" w:type="pct"/>
            <w:tcMar>
              <w:top w:w="100" w:type="dxa"/>
              <w:left w:w="100" w:type="dxa"/>
              <w:bottom w:w="100" w:type="dxa"/>
              <w:right w:w="100" w:type="dxa"/>
            </w:tcMar>
            <w:vAlign w:val="center"/>
          </w:tcPr>
          <w:p w14:paraId="60815140" w14:textId="77777777" w:rsidR="00882BD0" w:rsidRDefault="009D73FE">
            <w:pPr>
              <w:spacing w:after="0"/>
            </w:pPr>
            <w:r>
              <w:rPr>
                <w:sz w:val="16"/>
              </w:rPr>
              <w:t>More efficient allocation of constrained marine lipids</w:t>
            </w:r>
          </w:p>
        </w:tc>
        <w:tc>
          <w:tcPr>
            <w:tcW w:w="873" w:type="pct"/>
            <w:tcMar>
              <w:top w:w="100" w:type="dxa"/>
              <w:left w:w="100" w:type="dxa"/>
              <w:bottom w:w="100" w:type="dxa"/>
              <w:right w:w="100" w:type="dxa"/>
            </w:tcMar>
            <w:vAlign w:val="center"/>
          </w:tcPr>
          <w:p w14:paraId="5C16E25C" w14:textId="77777777" w:rsidR="00882BD0" w:rsidRDefault="009D73FE">
            <w:pPr>
              <w:spacing w:after="0"/>
            </w:pPr>
            <w:r>
              <w:rPr>
                <w:sz w:val="16"/>
              </w:rPr>
              <w:t>Product quality may decline if finishing duration or inclusion is insufficient</w:t>
            </w:r>
          </w:p>
        </w:tc>
        <w:tc>
          <w:tcPr>
            <w:tcW w:w="873" w:type="pct"/>
            <w:tcMar>
              <w:top w:w="100" w:type="dxa"/>
              <w:left w:w="100" w:type="dxa"/>
              <w:bottom w:w="100" w:type="dxa"/>
              <w:right w:w="100" w:type="dxa"/>
            </w:tcMar>
            <w:vAlign w:val="center"/>
          </w:tcPr>
          <w:p w14:paraId="74F6C2A7" w14:textId="77777777" w:rsidR="00882BD0" w:rsidRDefault="009D73FE">
            <w:pPr>
              <w:spacing w:after="0"/>
            </w:pPr>
            <w:r>
              <w:rPr>
                <w:sz w:val="16"/>
              </w:rPr>
              <w:t>Baseline tissue composition, growth stage and finishing period</w:t>
            </w:r>
          </w:p>
        </w:tc>
        <w:tc>
          <w:tcPr>
            <w:tcW w:w="813" w:type="pct"/>
            <w:tcMar>
              <w:top w:w="100" w:type="dxa"/>
              <w:left w:w="100" w:type="dxa"/>
              <w:bottom w:w="100" w:type="dxa"/>
              <w:right w:w="100" w:type="dxa"/>
            </w:tcMar>
            <w:vAlign w:val="center"/>
          </w:tcPr>
          <w:p w14:paraId="39967BB3" w14:textId="77777777" w:rsidR="00882BD0" w:rsidRDefault="009D73FE">
            <w:pPr>
              <w:spacing w:after="0"/>
            </w:pPr>
            <w:r>
              <w:rPr>
                <w:sz w:val="16"/>
              </w:rPr>
              <w:t>Sprague et al. (2016)</w:t>
            </w:r>
          </w:p>
        </w:tc>
      </w:tr>
      <w:tr w:rsidR="00882BD0" w14:paraId="7CAE19B4" w14:textId="77777777" w:rsidTr="008C3192">
        <w:trPr>
          <w:cantSplit/>
          <w:jc w:val="center"/>
        </w:trPr>
        <w:tc>
          <w:tcPr>
            <w:tcW w:w="693" w:type="pct"/>
            <w:tcMar>
              <w:top w:w="100" w:type="dxa"/>
              <w:left w:w="100" w:type="dxa"/>
              <w:bottom w:w="100" w:type="dxa"/>
              <w:right w:w="100" w:type="dxa"/>
            </w:tcMar>
            <w:vAlign w:val="center"/>
          </w:tcPr>
          <w:p w14:paraId="7290943F" w14:textId="77777777" w:rsidR="00882BD0" w:rsidRDefault="009D73FE">
            <w:pPr>
              <w:spacing w:after="0"/>
            </w:pPr>
            <w:r>
              <w:rPr>
                <w:sz w:val="16"/>
              </w:rPr>
              <w:t>Multi-ingredient low-marine diets</w:t>
            </w:r>
          </w:p>
        </w:tc>
        <w:tc>
          <w:tcPr>
            <w:tcW w:w="873" w:type="pct"/>
            <w:tcMar>
              <w:top w:w="100" w:type="dxa"/>
              <w:left w:w="100" w:type="dxa"/>
              <w:bottom w:w="100" w:type="dxa"/>
              <w:right w:w="100" w:type="dxa"/>
            </w:tcMar>
            <w:vAlign w:val="center"/>
          </w:tcPr>
          <w:p w14:paraId="2F942DBF" w14:textId="77777777" w:rsidR="00882BD0" w:rsidRDefault="009D73FE">
            <w:pPr>
              <w:spacing w:after="0"/>
            </w:pPr>
            <w:r>
              <w:rPr>
                <w:sz w:val="16"/>
              </w:rPr>
              <w:t>Flexible formulation using complementary nutrients</w:t>
            </w:r>
          </w:p>
        </w:tc>
        <w:tc>
          <w:tcPr>
            <w:tcW w:w="873" w:type="pct"/>
            <w:tcMar>
              <w:top w:w="100" w:type="dxa"/>
              <w:left w:w="100" w:type="dxa"/>
              <w:bottom w:w="100" w:type="dxa"/>
              <w:right w:w="100" w:type="dxa"/>
            </w:tcMar>
            <w:vAlign w:val="center"/>
          </w:tcPr>
          <w:p w14:paraId="62ABD1C6" w14:textId="77777777" w:rsidR="00882BD0" w:rsidRDefault="009D73FE">
            <w:pPr>
              <w:spacing w:after="0"/>
            </w:pPr>
            <w:r>
              <w:rPr>
                <w:sz w:val="16"/>
              </w:rPr>
              <w:t>Diversifies supply and reduces price exposure</w:t>
            </w:r>
          </w:p>
        </w:tc>
        <w:tc>
          <w:tcPr>
            <w:tcW w:w="873" w:type="pct"/>
            <w:tcMar>
              <w:top w:w="100" w:type="dxa"/>
              <w:left w:w="100" w:type="dxa"/>
              <w:bottom w:w="100" w:type="dxa"/>
              <w:right w:w="100" w:type="dxa"/>
            </w:tcMar>
            <w:vAlign w:val="center"/>
          </w:tcPr>
          <w:p w14:paraId="749B8D84" w14:textId="77777777" w:rsidR="00882BD0" w:rsidRDefault="009D73FE">
            <w:pPr>
              <w:spacing w:after="0"/>
            </w:pPr>
            <w:r>
              <w:rPr>
                <w:sz w:val="16"/>
              </w:rPr>
              <w:t>Gut health, vaccine response and fillet composition can change</w:t>
            </w:r>
          </w:p>
        </w:tc>
        <w:tc>
          <w:tcPr>
            <w:tcW w:w="873" w:type="pct"/>
            <w:tcMar>
              <w:top w:w="100" w:type="dxa"/>
              <w:left w:w="100" w:type="dxa"/>
              <w:bottom w:w="100" w:type="dxa"/>
              <w:right w:w="100" w:type="dxa"/>
            </w:tcMar>
            <w:vAlign w:val="center"/>
          </w:tcPr>
          <w:p w14:paraId="0E90F312" w14:textId="77777777" w:rsidR="00882BD0" w:rsidRDefault="009D73FE">
            <w:pPr>
              <w:spacing w:after="0"/>
            </w:pPr>
            <w:r>
              <w:rPr>
                <w:sz w:val="16"/>
              </w:rPr>
              <w:t>Digestible nutrient balance and challenge-aware testing</w:t>
            </w:r>
          </w:p>
        </w:tc>
        <w:tc>
          <w:tcPr>
            <w:tcW w:w="813" w:type="pct"/>
            <w:tcMar>
              <w:top w:w="100" w:type="dxa"/>
              <w:left w:w="100" w:type="dxa"/>
              <w:bottom w:w="100" w:type="dxa"/>
              <w:right w:w="100" w:type="dxa"/>
            </w:tcMar>
            <w:vAlign w:val="center"/>
          </w:tcPr>
          <w:p w14:paraId="69C9C597" w14:textId="77777777" w:rsidR="00882BD0" w:rsidRDefault="009D73FE">
            <w:pPr>
              <w:spacing w:after="0"/>
            </w:pPr>
            <w:r>
              <w:rPr>
                <w:sz w:val="16"/>
              </w:rPr>
              <w:t>Li et al. (2019); Sprague et al. (2016)</w:t>
            </w:r>
          </w:p>
        </w:tc>
      </w:tr>
    </w:tbl>
    <w:p w14:paraId="3E1D0527" w14:textId="77777777" w:rsidR="00882BD0" w:rsidRDefault="009D73FE">
      <w:pPr>
        <w:pStyle w:val="TableNote"/>
      </w:pPr>
      <w:r>
        <w:t>Note. Sustainability effects are conditional on displaced ingredients, processing and regional energy or land-use profiles.</w:t>
      </w:r>
    </w:p>
    <w:p w14:paraId="7A5B7F42" w14:textId="77777777" w:rsidR="00882BD0" w:rsidRDefault="009D73FE">
      <w:pPr>
        <w:pStyle w:val="Heading1"/>
      </w:pPr>
      <w:r>
        <w:lastRenderedPageBreak/>
        <w:t>8. Environmental Biotechnology and Resource-Efficient Production Systems</w:t>
      </w:r>
    </w:p>
    <w:p w14:paraId="232DFBDE" w14:textId="77777777" w:rsidR="00882BD0" w:rsidRDefault="009D73FE">
      <w:pPr>
        <w:pStyle w:val="BodyText"/>
      </w:pPr>
      <w:r>
        <w:t>Aquaculture systems are biological reactors as well as animal-production units. Their environmental performance depends on the transformation of ammonia, organic matter, phosphorus and carbon by microorganisms and extractive species. RAS, aquaponics, biofloc and IMTA deliberately manage these processes to reduce water exchange, improve biosecurity or recover nutrients. The technologies can deliver substantial benefits, but their outcomes are sensitive to design boundaries. A system that retains nitrogen within the farm may still release concentrated sludge, and a low-discharge facility may have high electricity-related emissions.</w:t>
      </w:r>
    </w:p>
    <w:p w14:paraId="362434E9" w14:textId="77777777" w:rsidR="00882BD0" w:rsidRDefault="009D73FE">
      <w:pPr>
        <w:pStyle w:val="BodyText"/>
      </w:pPr>
      <w:r>
        <w:t>RAS relies on mechanical solids removal and microbial conversion of toxic ammonia, usually through nitrification. Additional processes can include denitrification, disinfection, degassing and sludge treatment. Martins et al. (2010) described RAS as a route towards improved environmental control while emphasising technical and sustainability challenges. van Rijn (2013) reviewed waste treatment and showed that nitrogen and organic matter management require integrated process design. The biological filter is central to animal health: instability can rapidly expose fish to ammonia or nitrite, while excessive disinfection can damage beneficial communities.</w:t>
      </w:r>
    </w:p>
    <w:p w14:paraId="260EB081" w14:textId="77777777" w:rsidR="00882BD0" w:rsidRDefault="009D73FE">
      <w:pPr>
        <w:pStyle w:val="BodyText"/>
      </w:pPr>
      <w:r>
        <w:t>Biosecurity in RAS is often presented as an inherent advantage because incoming water can be treated and external pathogen entry reduced. Closed circulation, however, also creates persistent internal exposure when a pathogen is introduced. Biofilms and inaccessible pipework can harbour organisms, and shared water can distribute infection quickly. Effective RAS biosecurity therefore combines source-water treatment, compartmentalisation, surveillance, cleaning design and contingency capacity. Redundant oxygenation and backup power are animal-welfare requirements, not optional engineering features.</w:t>
      </w:r>
    </w:p>
    <w:p w14:paraId="1C9600E2" w14:textId="77777777" w:rsidR="00882BD0" w:rsidRDefault="009D73FE">
      <w:pPr>
        <w:pStyle w:val="BodyText"/>
      </w:pPr>
      <w:r>
        <w:t>Energy demand is the principal sustainability trade-off. Pumping, oxygenation, temperature control and treatment can be substantial, particularly for species cultured outside ambient thermal conditions. Carbon performance consequently depends on electricity source and system efficiency. Water scarcity or stringent discharge regulation may justify higher energy use, but comparative claims must report both water and energy boundaries. Life-cycle studies should also include building materials, feed, fingerling production, sludge transport and mortality. Without common boundaries, comparisons between RAS and open systems can be misleading.</w:t>
      </w:r>
    </w:p>
    <w:p w14:paraId="41ACA489" w14:textId="77777777" w:rsidR="00882BD0" w:rsidRDefault="009D73FE">
      <w:pPr>
        <w:pStyle w:val="BodyText"/>
      </w:pPr>
      <w:r>
        <w:t>Aquaponics couples aquatic-animal production with hydroponic plants, using nitrified waste as a nutrient source. Decoupled designs allow fish and plants to operate under different pH and nutrient conditions, addressing a limitation of tightly coupled systems. Kloas et al. (2015) presented a concept intended to improve resource efficiency through controlled water and nutrient flows. The biological logic is strong, but commercial performance depends on balancing two markets and two production systems. Fish feed does not supply plant nutrients in ideal proportions, so supplementation and solids mineralisation may still be required.</w:t>
      </w:r>
    </w:p>
    <w:p w14:paraId="1730EBB9" w14:textId="77777777" w:rsidR="00882BD0" w:rsidRDefault="009D73FE">
      <w:pPr>
        <w:pStyle w:val="BodyText"/>
      </w:pPr>
      <w:r>
        <w:t>IMTA extends nutrient recovery to spatially connected trophic levels, combining fed species with organisms such as seaweeds, bivalves or deposit feeders. Open-water systems can disperse wastes beyond the capture zone, while closed or land-based systems offer greater control. Reid et al. (2020) reviewed performance measures and models, emphasising hydrodynamics and species interactions. Nederlof et al. (2022) showed that theoretical retention can be high but that realised nutrient capture is constrained by timing, stoichiometry and spatial connectivity. This distinction is critical: stocking extractive species near fish cages does not guarantee that they assimilate a large fraction of farm-derived nutrients.</w:t>
      </w:r>
    </w:p>
    <w:p w14:paraId="4ACFC46A" w14:textId="77777777" w:rsidR="00882BD0" w:rsidRDefault="009D73FE">
      <w:pPr>
        <w:pStyle w:val="BodyText"/>
      </w:pPr>
      <w:r>
        <w:t xml:space="preserve">Economic evidence is mixed because co-products can diversify revenue but increase management and market risk. Knowler et al. (2020) identified both potential and uncertainty in IMTA economics. Extractive </w:t>
      </w:r>
      <w:r>
        <w:lastRenderedPageBreak/>
        <w:t>species may have independent value, yet their production cycles, regulations and biosecurity requirements may not align with the fed species. Ecosystem services are rarely monetised consistently. Public incentives could recognise verified nutrient removal, but payment should be linked to measured additionality rather than the nominal presence of multiple trophic levels.</w:t>
      </w:r>
    </w:p>
    <w:p w14:paraId="1FAEF6CB" w14:textId="77777777" w:rsidR="00882BD0" w:rsidRDefault="009D73FE">
      <w:pPr>
        <w:pStyle w:val="BodyText"/>
      </w:pPr>
      <w:r>
        <w:t>Environmental biotechnology also creates opportunities for resource recovery from sludge. Anaerobic digestion, fermentation and algal cultivation can convert organic residues into energy or biomass, while phosphorus can potentially be recovered. These pathways are less mature in aquaculture than in municipal wastewater because flows are smaller and more dispersed. Contaminants, salinity and variable solids content can limit reuse. Integration should begin with mass balance and a defined outlet for every residual stream, avoiding the assumption that transformation eliminates waste.</w:t>
      </w:r>
    </w:p>
    <w:p w14:paraId="163E8CE2" w14:textId="77777777" w:rsidR="00882BD0" w:rsidRDefault="009D73FE">
      <w:pPr>
        <w:pStyle w:val="BodyText"/>
      </w:pPr>
      <w:r>
        <w:t>System-level health outcomes are often undermeasured. Stable water quality can reduce chronic stress and improve barrier function, while high carbon dioxide, fine solids or microbial imbalance can impair gills even when ammonia is controlled. Health surveillance should therefore include physical and microbial water indicators alongside animal-based welfare measures. Metagenomic tools can characterise biofilter and pathogen communities, but results should be linked to process performance. Sequencing without operational metadata provides description rather than control.</w:t>
      </w:r>
    </w:p>
    <w:p w14:paraId="78AF8A59" w14:textId="77777777" w:rsidR="00882BD0" w:rsidRDefault="009D73FE">
      <w:pPr>
        <w:pStyle w:val="BodyText"/>
      </w:pPr>
      <w:r>
        <w:t>Table 5 shows that resource-efficient systems move impacts rather than abolish them. RAS transfers pressure from water and receiving environments towards energy and technical dependence; aquaponics transfers nutrients into crops but introduces multi-enterprise coordination; IMTA can retain dispersed nutrients but depends on ecological connectivity and markets. The most defensible choice is context-specific and should be based on measured local constraints, not a hierarchy in which the most technologically complex system is assumed to be the most sustainable.</w:t>
      </w:r>
    </w:p>
    <w:p w14:paraId="015B66C8" w14:textId="77777777" w:rsidR="00882BD0" w:rsidRDefault="009D73FE">
      <w:pPr>
        <w:pStyle w:val="TableCaption"/>
      </w:pPr>
      <w:r>
        <w:rPr>
          <w:b/>
        </w:rPr>
        <w:t>Table 5. Environmental biotechnology systems, benefits and transferred burdens</w:t>
      </w:r>
    </w:p>
    <w:tbl>
      <w:tblPr>
        <w:tblStyle w:val="TableGrid"/>
        <w:tblW w:w="5000" w:type="pct"/>
        <w:jc w:val="center"/>
        <w:tblLook w:val="04A0" w:firstRow="1" w:lastRow="0" w:firstColumn="1" w:lastColumn="0" w:noHBand="0" w:noVBand="1"/>
      </w:tblPr>
      <w:tblGrid>
        <w:gridCol w:w="1320"/>
        <w:gridCol w:w="1739"/>
        <w:gridCol w:w="1679"/>
        <w:gridCol w:w="2039"/>
        <w:gridCol w:w="1739"/>
        <w:gridCol w:w="1620"/>
      </w:tblGrid>
      <w:tr w:rsidR="00882BD0" w14:paraId="1D2D5CA0" w14:textId="77777777" w:rsidTr="008C3192">
        <w:trPr>
          <w:cantSplit/>
          <w:tblHeader/>
          <w:jc w:val="center"/>
        </w:trPr>
        <w:tc>
          <w:tcPr>
            <w:tcW w:w="651" w:type="pct"/>
            <w:shd w:val="clear" w:color="auto" w:fill="D9E2F3"/>
            <w:tcMar>
              <w:top w:w="100" w:type="dxa"/>
              <w:left w:w="100" w:type="dxa"/>
              <w:bottom w:w="100" w:type="dxa"/>
              <w:right w:w="100" w:type="dxa"/>
            </w:tcMar>
            <w:vAlign w:val="center"/>
          </w:tcPr>
          <w:p w14:paraId="2A82B03E" w14:textId="77777777" w:rsidR="00882BD0" w:rsidRDefault="009D73FE">
            <w:pPr>
              <w:spacing w:after="0"/>
              <w:jc w:val="center"/>
            </w:pPr>
            <w:r>
              <w:rPr>
                <w:b/>
                <w:sz w:val="16"/>
              </w:rPr>
              <w:t>System</w:t>
            </w:r>
          </w:p>
        </w:tc>
        <w:tc>
          <w:tcPr>
            <w:tcW w:w="858" w:type="pct"/>
            <w:shd w:val="clear" w:color="auto" w:fill="D9E2F3"/>
            <w:tcMar>
              <w:top w:w="100" w:type="dxa"/>
              <w:left w:w="100" w:type="dxa"/>
              <w:bottom w:w="100" w:type="dxa"/>
              <w:right w:w="100" w:type="dxa"/>
            </w:tcMar>
            <w:vAlign w:val="center"/>
          </w:tcPr>
          <w:p w14:paraId="72B00D18" w14:textId="77777777" w:rsidR="00882BD0" w:rsidRDefault="009D73FE">
            <w:pPr>
              <w:spacing w:after="0"/>
              <w:jc w:val="center"/>
            </w:pPr>
            <w:r>
              <w:rPr>
                <w:b/>
                <w:sz w:val="16"/>
              </w:rPr>
              <w:t>Biological mechanism</w:t>
            </w:r>
          </w:p>
        </w:tc>
        <w:tc>
          <w:tcPr>
            <w:tcW w:w="828" w:type="pct"/>
            <w:shd w:val="clear" w:color="auto" w:fill="D9E2F3"/>
            <w:tcMar>
              <w:top w:w="100" w:type="dxa"/>
              <w:left w:w="100" w:type="dxa"/>
              <w:bottom w:w="100" w:type="dxa"/>
              <w:right w:w="100" w:type="dxa"/>
            </w:tcMar>
            <w:vAlign w:val="center"/>
          </w:tcPr>
          <w:p w14:paraId="66F33D80" w14:textId="77777777" w:rsidR="00882BD0" w:rsidRDefault="009D73FE">
            <w:pPr>
              <w:spacing w:after="0"/>
              <w:jc w:val="center"/>
            </w:pPr>
            <w:r>
              <w:rPr>
                <w:b/>
                <w:sz w:val="16"/>
              </w:rPr>
              <w:t>Primary benefit</w:t>
            </w:r>
          </w:p>
        </w:tc>
        <w:tc>
          <w:tcPr>
            <w:tcW w:w="1006" w:type="pct"/>
            <w:shd w:val="clear" w:color="auto" w:fill="D9E2F3"/>
            <w:tcMar>
              <w:top w:w="100" w:type="dxa"/>
              <w:left w:w="100" w:type="dxa"/>
              <w:bottom w:w="100" w:type="dxa"/>
              <w:right w:w="100" w:type="dxa"/>
            </w:tcMar>
            <w:vAlign w:val="center"/>
          </w:tcPr>
          <w:p w14:paraId="1C8B4FC3" w14:textId="77777777" w:rsidR="00882BD0" w:rsidRDefault="009D73FE">
            <w:pPr>
              <w:spacing w:after="0"/>
              <w:jc w:val="center"/>
            </w:pPr>
            <w:r>
              <w:rPr>
                <w:b/>
                <w:sz w:val="16"/>
              </w:rPr>
              <w:t>Transferred burden or failure mode</w:t>
            </w:r>
          </w:p>
        </w:tc>
        <w:tc>
          <w:tcPr>
            <w:tcW w:w="858" w:type="pct"/>
            <w:shd w:val="clear" w:color="auto" w:fill="D9E2F3"/>
            <w:tcMar>
              <w:top w:w="100" w:type="dxa"/>
              <w:left w:w="100" w:type="dxa"/>
              <w:bottom w:w="100" w:type="dxa"/>
              <w:right w:w="100" w:type="dxa"/>
            </w:tcMar>
            <w:vAlign w:val="center"/>
          </w:tcPr>
          <w:p w14:paraId="277FB3C6" w14:textId="77777777" w:rsidR="00882BD0" w:rsidRDefault="009D73FE">
            <w:pPr>
              <w:spacing w:after="0"/>
              <w:jc w:val="center"/>
            </w:pPr>
            <w:r>
              <w:rPr>
                <w:b/>
                <w:sz w:val="16"/>
              </w:rPr>
              <w:t>Evidence priority</w:t>
            </w:r>
          </w:p>
        </w:tc>
        <w:tc>
          <w:tcPr>
            <w:tcW w:w="799" w:type="pct"/>
            <w:shd w:val="clear" w:color="auto" w:fill="D9E2F3"/>
            <w:tcMar>
              <w:top w:w="100" w:type="dxa"/>
              <w:left w:w="100" w:type="dxa"/>
              <w:bottom w:w="100" w:type="dxa"/>
              <w:right w:w="100" w:type="dxa"/>
            </w:tcMar>
            <w:vAlign w:val="center"/>
          </w:tcPr>
          <w:p w14:paraId="692074CA" w14:textId="77777777" w:rsidR="00882BD0" w:rsidRDefault="009D73FE">
            <w:pPr>
              <w:spacing w:after="0"/>
              <w:jc w:val="center"/>
            </w:pPr>
            <w:r>
              <w:rPr>
                <w:b/>
                <w:sz w:val="16"/>
              </w:rPr>
              <w:t>Supporting references</w:t>
            </w:r>
          </w:p>
        </w:tc>
      </w:tr>
      <w:tr w:rsidR="00882BD0" w14:paraId="5CF39537" w14:textId="77777777" w:rsidTr="008C3192">
        <w:trPr>
          <w:cantSplit/>
          <w:jc w:val="center"/>
        </w:trPr>
        <w:tc>
          <w:tcPr>
            <w:tcW w:w="651" w:type="pct"/>
            <w:tcMar>
              <w:top w:w="100" w:type="dxa"/>
              <w:left w:w="100" w:type="dxa"/>
              <w:bottom w:w="100" w:type="dxa"/>
              <w:right w:w="100" w:type="dxa"/>
            </w:tcMar>
            <w:vAlign w:val="center"/>
          </w:tcPr>
          <w:p w14:paraId="70472789" w14:textId="77777777" w:rsidR="00882BD0" w:rsidRDefault="009D73FE">
            <w:pPr>
              <w:spacing w:after="0"/>
            </w:pPr>
            <w:r>
              <w:rPr>
                <w:sz w:val="16"/>
              </w:rPr>
              <w:t>Recirculating aquaculture systems</w:t>
            </w:r>
          </w:p>
        </w:tc>
        <w:tc>
          <w:tcPr>
            <w:tcW w:w="858" w:type="pct"/>
            <w:tcMar>
              <w:top w:w="100" w:type="dxa"/>
              <w:left w:w="100" w:type="dxa"/>
              <w:bottom w:w="100" w:type="dxa"/>
              <w:right w:w="100" w:type="dxa"/>
            </w:tcMar>
            <w:vAlign w:val="center"/>
          </w:tcPr>
          <w:p w14:paraId="74C4A28F" w14:textId="77777777" w:rsidR="00882BD0" w:rsidRDefault="009D73FE">
            <w:pPr>
              <w:spacing w:after="0"/>
            </w:pPr>
            <w:r>
              <w:rPr>
                <w:sz w:val="16"/>
              </w:rPr>
              <w:t>Microbial nitrification, optional denitrification and controlled treatment</w:t>
            </w:r>
          </w:p>
        </w:tc>
        <w:tc>
          <w:tcPr>
            <w:tcW w:w="828" w:type="pct"/>
            <w:tcMar>
              <w:top w:w="100" w:type="dxa"/>
              <w:left w:w="100" w:type="dxa"/>
              <w:bottom w:w="100" w:type="dxa"/>
              <w:right w:w="100" w:type="dxa"/>
            </w:tcMar>
            <w:vAlign w:val="center"/>
          </w:tcPr>
          <w:p w14:paraId="369D4874" w14:textId="77777777" w:rsidR="00882BD0" w:rsidRDefault="009D73FE">
            <w:pPr>
              <w:spacing w:after="0"/>
            </w:pPr>
            <w:r>
              <w:rPr>
                <w:sz w:val="16"/>
              </w:rPr>
              <w:t>Water reuse, environmental control and biosecurity</w:t>
            </w:r>
          </w:p>
        </w:tc>
        <w:tc>
          <w:tcPr>
            <w:tcW w:w="1006" w:type="pct"/>
            <w:tcMar>
              <w:top w:w="100" w:type="dxa"/>
              <w:left w:w="100" w:type="dxa"/>
              <w:bottom w:w="100" w:type="dxa"/>
              <w:right w:w="100" w:type="dxa"/>
            </w:tcMar>
            <w:vAlign w:val="center"/>
          </w:tcPr>
          <w:p w14:paraId="4AF15166" w14:textId="77777777" w:rsidR="00882BD0" w:rsidRDefault="009D73FE">
            <w:pPr>
              <w:spacing w:after="0"/>
            </w:pPr>
            <w:r>
              <w:rPr>
                <w:sz w:val="16"/>
              </w:rPr>
              <w:t>Electricity demand, biofilter instability and rapid system-wide failure</w:t>
            </w:r>
          </w:p>
        </w:tc>
        <w:tc>
          <w:tcPr>
            <w:tcW w:w="858" w:type="pct"/>
            <w:tcMar>
              <w:top w:w="100" w:type="dxa"/>
              <w:left w:w="100" w:type="dxa"/>
              <w:bottom w:w="100" w:type="dxa"/>
              <w:right w:w="100" w:type="dxa"/>
            </w:tcMar>
            <w:vAlign w:val="center"/>
          </w:tcPr>
          <w:p w14:paraId="26CC85EE" w14:textId="77777777" w:rsidR="00882BD0" w:rsidRDefault="009D73FE">
            <w:pPr>
              <w:spacing w:after="0"/>
            </w:pPr>
            <w:r>
              <w:rPr>
                <w:sz w:val="16"/>
              </w:rPr>
              <w:t>Comparable mass-energy-health accounting across climates and species</w:t>
            </w:r>
          </w:p>
        </w:tc>
        <w:tc>
          <w:tcPr>
            <w:tcW w:w="799" w:type="pct"/>
            <w:tcMar>
              <w:top w:w="100" w:type="dxa"/>
              <w:left w:w="100" w:type="dxa"/>
              <w:bottom w:w="100" w:type="dxa"/>
              <w:right w:w="100" w:type="dxa"/>
            </w:tcMar>
            <w:vAlign w:val="center"/>
          </w:tcPr>
          <w:p w14:paraId="0F3AC711" w14:textId="77777777" w:rsidR="00882BD0" w:rsidRDefault="009D73FE">
            <w:pPr>
              <w:spacing w:after="0"/>
            </w:pPr>
            <w:r>
              <w:rPr>
                <w:sz w:val="16"/>
              </w:rPr>
              <w:t>Martins et al. (2010); van Rijn (2013)</w:t>
            </w:r>
          </w:p>
        </w:tc>
      </w:tr>
      <w:tr w:rsidR="00882BD0" w14:paraId="0BD93423" w14:textId="77777777" w:rsidTr="008C3192">
        <w:trPr>
          <w:cantSplit/>
          <w:jc w:val="center"/>
        </w:trPr>
        <w:tc>
          <w:tcPr>
            <w:tcW w:w="651" w:type="pct"/>
            <w:tcMar>
              <w:top w:w="100" w:type="dxa"/>
              <w:left w:w="100" w:type="dxa"/>
              <w:bottom w:w="100" w:type="dxa"/>
              <w:right w:w="100" w:type="dxa"/>
            </w:tcMar>
            <w:vAlign w:val="center"/>
          </w:tcPr>
          <w:p w14:paraId="07B0481C" w14:textId="77777777" w:rsidR="00882BD0" w:rsidRDefault="009D73FE">
            <w:pPr>
              <w:spacing w:after="0"/>
            </w:pPr>
            <w:r>
              <w:rPr>
                <w:sz w:val="16"/>
              </w:rPr>
              <w:t>Biofloc systems</w:t>
            </w:r>
          </w:p>
        </w:tc>
        <w:tc>
          <w:tcPr>
            <w:tcW w:w="858" w:type="pct"/>
            <w:tcMar>
              <w:top w:w="100" w:type="dxa"/>
              <w:left w:w="100" w:type="dxa"/>
              <w:bottom w:w="100" w:type="dxa"/>
              <w:right w:w="100" w:type="dxa"/>
            </w:tcMar>
            <w:vAlign w:val="center"/>
          </w:tcPr>
          <w:p w14:paraId="10CB0795" w14:textId="77777777" w:rsidR="00882BD0" w:rsidRDefault="009D73FE">
            <w:pPr>
              <w:spacing w:after="0"/>
            </w:pPr>
            <w:r>
              <w:rPr>
                <w:sz w:val="16"/>
              </w:rPr>
              <w:t>Heterotrophic nutrient assimilation into microbial aggregates</w:t>
            </w:r>
          </w:p>
        </w:tc>
        <w:tc>
          <w:tcPr>
            <w:tcW w:w="828" w:type="pct"/>
            <w:tcMar>
              <w:top w:w="100" w:type="dxa"/>
              <w:left w:w="100" w:type="dxa"/>
              <w:bottom w:w="100" w:type="dxa"/>
              <w:right w:w="100" w:type="dxa"/>
            </w:tcMar>
            <w:vAlign w:val="center"/>
          </w:tcPr>
          <w:p w14:paraId="57EE9573" w14:textId="77777777" w:rsidR="00882BD0" w:rsidRDefault="009D73FE">
            <w:pPr>
              <w:spacing w:after="0"/>
            </w:pPr>
            <w:r>
              <w:rPr>
                <w:sz w:val="16"/>
              </w:rPr>
              <w:t>Reduced water exchange and internal nutrient capture</w:t>
            </w:r>
          </w:p>
        </w:tc>
        <w:tc>
          <w:tcPr>
            <w:tcW w:w="1006" w:type="pct"/>
            <w:tcMar>
              <w:top w:w="100" w:type="dxa"/>
              <w:left w:w="100" w:type="dxa"/>
              <w:bottom w:w="100" w:type="dxa"/>
              <w:right w:w="100" w:type="dxa"/>
            </w:tcMar>
            <w:vAlign w:val="center"/>
          </w:tcPr>
          <w:p w14:paraId="76E85110" w14:textId="77777777" w:rsidR="00882BD0" w:rsidRDefault="009D73FE">
            <w:pPr>
              <w:spacing w:after="0"/>
            </w:pPr>
            <w:r>
              <w:rPr>
                <w:sz w:val="16"/>
              </w:rPr>
              <w:t>High aeration, solids accumulation and unstable microbial ecology</w:t>
            </w:r>
          </w:p>
        </w:tc>
        <w:tc>
          <w:tcPr>
            <w:tcW w:w="858" w:type="pct"/>
            <w:tcMar>
              <w:top w:w="100" w:type="dxa"/>
              <w:left w:w="100" w:type="dxa"/>
              <w:bottom w:w="100" w:type="dxa"/>
              <w:right w:w="100" w:type="dxa"/>
            </w:tcMar>
            <w:vAlign w:val="center"/>
          </w:tcPr>
          <w:p w14:paraId="497ACF6B" w14:textId="77777777" w:rsidR="00882BD0" w:rsidRDefault="009D73FE">
            <w:pPr>
              <w:spacing w:after="0"/>
            </w:pPr>
            <w:r>
              <w:rPr>
                <w:sz w:val="16"/>
              </w:rPr>
              <w:t>Operational thresholds linked to gill health and microbial function</w:t>
            </w:r>
          </w:p>
        </w:tc>
        <w:tc>
          <w:tcPr>
            <w:tcW w:w="799" w:type="pct"/>
            <w:tcMar>
              <w:top w:w="100" w:type="dxa"/>
              <w:left w:w="100" w:type="dxa"/>
              <w:bottom w:w="100" w:type="dxa"/>
              <w:right w:w="100" w:type="dxa"/>
            </w:tcMar>
            <w:vAlign w:val="center"/>
          </w:tcPr>
          <w:p w14:paraId="07741869" w14:textId="77777777" w:rsidR="00882BD0" w:rsidRDefault="009D73FE">
            <w:pPr>
              <w:spacing w:after="0"/>
            </w:pPr>
            <w:r>
              <w:rPr>
                <w:sz w:val="16"/>
              </w:rPr>
              <w:t>De Schryver et al. (2008)</w:t>
            </w:r>
          </w:p>
        </w:tc>
      </w:tr>
      <w:tr w:rsidR="00882BD0" w14:paraId="70412063" w14:textId="77777777" w:rsidTr="008C3192">
        <w:trPr>
          <w:cantSplit/>
          <w:jc w:val="center"/>
        </w:trPr>
        <w:tc>
          <w:tcPr>
            <w:tcW w:w="651" w:type="pct"/>
            <w:tcMar>
              <w:top w:w="100" w:type="dxa"/>
              <w:left w:w="100" w:type="dxa"/>
              <w:bottom w:w="100" w:type="dxa"/>
              <w:right w:w="100" w:type="dxa"/>
            </w:tcMar>
            <w:vAlign w:val="center"/>
          </w:tcPr>
          <w:p w14:paraId="26B1DAD7" w14:textId="77777777" w:rsidR="00882BD0" w:rsidRDefault="009D73FE">
            <w:pPr>
              <w:spacing w:after="0"/>
            </w:pPr>
            <w:r>
              <w:rPr>
                <w:sz w:val="16"/>
              </w:rPr>
              <w:t>Aquaponics</w:t>
            </w:r>
          </w:p>
        </w:tc>
        <w:tc>
          <w:tcPr>
            <w:tcW w:w="858" w:type="pct"/>
            <w:tcMar>
              <w:top w:w="100" w:type="dxa"/>
              <w:left w:w="100" w:type="dxa"/>
              <w:bottom w:w="100" w:type="dxa"/>
              <w:right w:w="100" w:type="dxa"/>
            </w:tcMar>
            <w:vAlign w:val="center"/>
          </w:tcPr>
          <w:p w14:paraId="10251F75" w14:textId="77777777" w:rsidR="00882BD0" w:rsidRDefault="009D73FE">
            <w:pPr>
              <w:spacing w:after="0"/>
            </w:pPr>
            <w:r>
              <w:rPr>
                <w:sz w:val="16"/>
              </w:rPr>
              <w:t>Nitrification and plant uptake of dissolved nutrients</w:t>
            </w:r>
          </w:p>
        </w:tc>
        <w:tc>
          <w:tcPr>
            <w:tcW w:w="828" w:type="pct"/>
            <w:tcMar>
              <w:top w:w="100" w:type="dxa"/>
              <w:left w:w="100" w:type="dxa"/>
              <w:bottom w:w="100" w:type="dxa"/>
              <w:right w:w="100" w:type="dxa"/>
            </w:tcMar>
            <w:vAlign w:val="center"/>
          </w:tcPr>
          <w:p w14:paraId="7B348B90" w14:textId="77777777" w:rsidR="00882BD0" w:rsidRDefault="009D73FE">
            <w:pPr>
              <w:spacing w:after="0"/>
            </w:pPr>
            <w:r>
              <w:rPr>
                <w:sz w:val="16"/>
              </w:rPr>
              <w:t>Water and nutrient reuse with a crop co-product</w:t>
            </w:r>
          </w:p>
        </w:tc>
        <w:tc>
          <w:tcPr>
            <w:tcW w:w="1006" w:type="pct"/>
            <w:tcMar>
              <w:top w:w="100" w:type="dxa"/>
              <w:left w:w="100" w:type="dxa"/>
              <w:bottom w:w="100" w:type="dxa"/>
              <w:right w:w="100" w:type="dxa"/>
            </w:tcMar>
            <w:vAlign w:val="center"/>
          </w:tcPr>
          <w:p w14:paraId="29DB1F21" w14:textId="77777777" w:rsidR="00882BD0" w:rsidRDefault="009D73FE">
            <w:pPr>
              <w:spacing w:after="0"/>
            </w:pPr>
            <w:r>
              <w:rPr>
                <w:sz w:val="16"/>
              </w:rPr>
              <w:t>Nutrient imbalance and coordination of two enterprises</w:t>
            </w:r>
          </w:p>
        </w:tc>
        <w:tc>
          <w:tcPr>
            <w:tcW w:w="858" w:type="pct"/>
            <w:tcMar>
              <w:top w:w="100" w:type="dxa"/>
              <w:left w:w="100" w:type="dxa"/>
              <w:bottom w:w="100" w:type="dxa"/>
              <w:right w:w="100" w:type="dxa"/>
            </w:tcMar>
            <w:vAlign w:val="center"/>
          </w:tcPr>
          <w:p w14:paraId="56460CBA" w14:textId="77777777" w:rsidR="00882BD0" w:rsidRDefault="009D73FE">
            <w:pPr>
              <w:spacing w:after="0"/>
            </w:pPr>
            <w:r>
              <w:rPr>
                <w:sz w:val="16"/>
              </w:rPr>
              <w:t>Long-term performance of decoupled designs and product economics</w:t>
            </w:r>
          </w:p>
        </w:tc>
        <w:tc>
          <w:tcPr>
            <w:tcW w:w="799" w:type="pct"/>
            <w:tcMar>
              <w:top w:w="100" w:type="dxa"/>
              <w:left w:w="100" w:type="dxa"/>
              <w:bottom w:w="100" w:type="dxa"/>
              <w:right w:w="100" w:type="dxa"/>
            </w:tcMar>
            <w:vAlign w:val="center"/>
          </w:tcPr>
          <w:p w14:paraId="5863304F" w14:textId="77777777" w:rsidR="00882BD0" w:rsidRDefault="009D73FE">
            <w:pPr>
              <w:spacing w:after="0"/>
            </w:pPr>
            <w:r>
              <w:rPr>
                <w:sz w:val="16"/>
              </w:rPr>
              <w:t>Kloas et al. (2015)</w:t>
            </w:r>
          </w:p>
        </w:tc>
      </w:tr>
      <w:tr w:rsidR="00882BD0" w14:paraId="713314E1" w14:textId="77777777" w:rsidTr="008C3192">
        <w:trPr>
          <w:cantSplit/>
          <w:jc w:val="center"/>
        </w:trPr>
        <w:tc>
          <w:tcPr>
            <w:tcW w:w="651" w:type="pct"/>
            <w:tcMar>
              <w:top w:w="100" w:type="dxa"/>
              <w:left w:w="100" w:type="dxa"/>
              <w:bottom w:w="100" w:type="dxa"/>
              <w:right w:w="100" w:type="dxa"/>
            </w:tcMar>
            <w:vAlign w:val="center"/>
          </w:tcPr>
          <w:p w14:paraId="0D846011" w14:textId="77777777" w:rsidR="00882BD0" w:rsidRDefault="009D73FE">
            <w:pPr>
              <w:spacing w:after="0"/>
            </w:pPr>
            <w:r>
              <w:rPr>
                <w:sz w:val="16"/>
              </w:rPr>
              <w:t>Open-water IMTA</w:t>
            </w:r>
          </w:p>
        </w:tc>
        <w:tc>
          <w:tcPr>
            <w:tcW w:w="858" w:type="pct"/>
            <w:tcMar>
              <w:top w:w="100" w:type="dxa"/>
              <w:left w:w="100" w:type="dxa"/>
              <w:bottom w:w="100" w:type="dxa"/>
              <w:right w:w="100" w:type="dxa"/>
            </w:tcMar>
            <w:vAlign w:val="center"/>
          </w:tcPr>
          <w:p w14:paraId="2A662772" w14:textId="77777777" w:rsidR="00882BD0" w:rsidRDefault="009D73FE">
            <w:pPr>
              <w:spacing w:after="0"/>
            </w:pPr>
            <w:r>
              <w:rPr>
                <w:sz w:val="16"/>
              </w:rPr>
              <w:t>Assimilation by seaweeds, bivalves or deposit feeders</w:t>
            </w:r>
          </w:p>
        </w:tc>
        <w:tc>
          <w:tcPr>
            <w:tcW w:w="828" w:type="pct"/>
            <w:tcMar>
              <w:top w:w="100" w:type="dxa"/>
              <w:left w:w="100" w:type="dxa"/>
              <w:bottom w:w="100" w:type="dxa"/>
              <w:right w:w="100" w:type="dxa"/>
            </w:tcMar>
            <w:vAlign w:val="center"/>
          </w:tcPr>
          <w:p w14:paraId="2C040DE4" w14:textId="77777777" w:rsidR="00882BD0" w:rsidRDefault="009D73FE">
            <w:pPr>
              <w:spacing w:after="0"/>
            </w:pPr>
            <w:r>
              <w:rPr>
                <w:sz w:val="16"/>
              </w:rPr>
              <w:t>Potential nutrient capture and revenue diversification</w:t>
            </w:r>
          </w:p>
        </w:tc>
        <w:tc>
          <w:tcPr>
            <w:tcW w:w="1006" w:type="pct"/>
            <w:tcMar>
              <w:top w:w="100" w:type="dxa"/>
              <w:left w:w="100" w:type="dxa"/>
              <w:bottom w:w="100" w:type="dxa"/>
              <w:right w:w="100" w:type="dxa"/>
            </w:tcMar>
            <w:vAlign w:val="center"/>
          </w:tcPr>
          <w:p w14:paraId="3295B6A0" w14:textId="77777777" w:rsidR="00882BD0" w:rsidRDefault="009D73FE">
            <w:pPr>
              <w:spacing w:after="0"/>
            </w:pPr>
            <w:r>
              <w:rPr>
                <w:sz w:val="16"/>
              </w:rPr>
              <w:t>Hydrodynamic dispersion, spatial mismatch and variable markets</w:t>
            </w:r>
          </w:p>
        </w:tc>
        <w:tc>
          <w:tcPr>
            <w:tcW w:w="858" w:type="pct"/>
            <w:tcMar>
              <w:top w:w="100" w:type="dxa"/>
              <w:left w:w="100" w:type="dxa"/>
              <w:bottom w:w="100" w:type="dxa"/>
              <w:right w:w="100" w:type="dxa"/>
            </w:tcMar>
            <w:vAlign w:val="center"/>
          </w:tcPr>
          <w:p w14:paraId="348BE6F3" w14:textId="77777777" w:rsidR="00882BD0" w:rsidRDefault="009D73FE">
            <w:pPr>
              <w:spacing w:after="0"/>
            </w:pPr>
            <w:r>
              <w:rPr>
                <w:sz w:val="16"/>
              </w:rPr>
              <w:t>Measured additionality and farm-scale nutrient attribution</w:t>
            </w:r>
          </w:p>
        </w:tc>
        <w:tc>
          <w:tcPr>
            <w:tcW w:w="799" w:type="pct"/>
            <w:tcMar>
              <w:top w:w="100" w:type="dxa"/>
              <w:left w:w="100" w:type="dxa"/>
              <w:bottom w:w="100" w:type="dxa"/>
              <w:right w:w="100" w:type="dxa"/>
            </w:tcMar>
            <w:vAlign w:val="center"/>
          </w:tcPr>
          <w:p w14:paraId="7627D569" w14:textId="77777777" w:rsidR="00882BD0" w:rsidRDefault="009D73FE">
            <w:pPr>
              <w:spacing w:after="0"/>
            </w:pPr>
            <w:r>
              <w:rPr>
                <w:sz w:val="16"/>
              </w:rPr>
              <w:t>Reid et al. (2020); Knowler et al. (2020)</w:t>
            </w:r>
          </w:p>
        </w:tc>
      </w:tr>
      <w:tr w:rsidR="00882BD0" w14:paraId="73547B9C" w14:textId="77777777" w:rsidTr="008C3192">
        <w:trPr>
          <w:cantSplit/>
          <w:jc w:val="center"/>
        </w:trPr>
        <w:tc>
          <w:tcPr>
            <w:tcW w:w="651" w:type="pct"/>
            <w:tcMar>
              <w:top w:w="100" w:type="dxa"/>
              <w:left w:w="100" w:type="dxa"/>
              <w:bottom w:w="100" w:type="dxa"/>
              <w:right w:w="100" w:type="dxa"/>
            </w:tcMar>
            <w:vAlign w:val="center"/>
          </w:tcPr>
          <w:p w14:paraId="4FB4DFC4" w14:textId="77777777" w:rsidR="00882BD0" w:rsidRDefault="009D73FE">
            <w:pPr>
              <w:spacing w:after="0"/>
            </w:pPr>
            <w:r>
              <w:rPr>
                <w:sz w:val="16"/>
              </w:rPr>
              <w:t>Closed or land-based IMTA</w:t>
            </w:r>
          </w:p>
        </w:tc>
        <w:tc>
          <w:tcPr>
            <w:tcW w:w="858" w:type="pct"/>
            <w:tcMar>
              <w:top w:w="100" w:type="dxa"/>
              <w:left w:w="100" w:type="dxa"/>
              <w:bottom w:w="100" w:type="dxa"/>
              <w:right w:w="100" w:type="dxa"/>
            </w:tcMar>
            <w:vAlign w:val="center"/>
          </w:tcPr>
          <w:p w14:paraId="68F94EEC" w14:textId="77777777" w:rsidR="00882BD0" w:rsidRDefault="009D73FE">
            <w:pPr>
              <w:spacing w:after="0"/>
            </w:pPr>
            <w:r>
              <w:rPr>
                <w:sz w:val="16"/>
              </w:rPr>
              <w:t>Controlled routing of waste to extractive species</w:t>
            </w:r>
          </w:p>
        </w:tc>
        <w:tc>
          <w:tcPr>
            <w:tcW w:w="828" w:type="pct"/>
            <w:tcMar>
              <w:top w:w="100" w:type="dxa"/>
              <w:left w:w="100" w:type="dxa"/>
              <w:bottom w:w="100" w:type="dxa"/>
              <w:right w:w="100" w:type="dxa"/>
            </w:tcMar>
            <w:vAlign w:val="center"/>
          </w:tcPr>
          <w:p w14:paraId="3F55A314" w14:textId="77777777" w:rsidR="00882BD0" w:rsidRDefault="009D73FE">
            <w:pPr>
              <w:spacing w:after="0"/>
            </w:pPr>
            <w:r>
              <w:rPr>
                <w:sz w:val="16"/>
              </w:rPr>
              <w:t>Higher potential capture and measurable mass balance</w:t>
            </w:r>
          </w:p>
        </w:tc>
        <w:tc>
          <w:tcPr>
            <w:tcW w:w="1006" w:type="pct"/>
            <w:tcMar>
              <w:top w:w="100" w:type="dxa"/>
              <w:left w:w="100" w:type="dxa"/>
              <w:bottom w:w="100" w:type="dxa"/>
              <w:right w:w="100" w:type="dxa"/>
            </w:tcMar>
            <w:vAlign w:val="center"/>
          </w:tcPr>
          <w:p w14:paraId="535E0CF5" w14:textId="77777777" w:rsidR="00882BD0" w:rsidRDefault="009D73FE">
            <w:pPr>
              <w:spacing w:after="0"/>
            </w:pPr>
            <w:r>
              <w:rPr>
                <w:sz w:val="16"/>
              </w:rPr>
              <w:t>Complexity, space and species-specific operating conditions</w:t>
            </w:r>
          </w:p>
        </w:tc>
        <w:tc>
          <w:tcPr>
            <w:tcW w:w="858" w:type="pct"/>
            <w:tcMar>
              <w:top w:w="100" w:type="dxa"/>
              <w:left w:w="100" w:type="dxa"/>
              <w:bottom w:w="100" w:type="dxa"/>
              <w:right w:w="100" w:type="dxa"/>
            </w:tcMar>
            <w:vAlign w:val="center"/>
          </w:tcPr>
          <w:p w14:paraId="5A23F2E9" w14:textId="77777777" w:rsidR="00882BD0" w:rsidRDefault="009D73FE">
            <w:pPr>
              <w:spacing w:after="0"/>
            </w:pPr>
            <w:r>
              <w:rPr>
                <w:sz w:val="16"/>
              </w:rPr>
              <w:t>Multi-season validation of retention, health and economic resilience</w:t>
            </w:r>
          </w:p>
        </w:tc>
        <w:tc>
          <w:tcPr>
            <w:tcW w:w="799" w:type="pct"/>
            <w:tcMar>
              <w:top w:w="100" w:type="dxa"/>
              <w:left w:w="100" w:type="dxa"/>
              <w:bottom w:w="100" w:type="dxa"/>
              <w:right w:w="100" w:type="dxa"/>
            </w:tcMar>
            <w:vAlign w:val="center"/>
          </w:tcPr>
          <w:p w14:paraId="302AC1AB" w14:textId="77777777" w:rsidR="00882BD0" w:rsidRDefault="009D73FE">
            <w:pPr>
              <w:spacing w:after="0"/>
            </w:pPr>
            <w:r>
              <w:rPr>
                <w:sz w:val="16"/>
              </w:rPr>
              <w:t>Nederlof et al. (2022)</w:t>
            </w:r>
          </w:p>
        </w:tc>
      </w:tr>
    </w:tbl>
    <w:p w14:paraId="0B16FC3F" w14:textId="77777777" w:rsidR="00882BD0" w:rsidRDefault="009D73FE">
      <w:pPr>
        <w:pStyle w:val="TableNote"/>
      </w:pPr>
      <w:r>
        <w:t>Note. IMTA = integrated multi-trophic aquaculture. “Transferred burden” denotes an impact moved to another resource or operational domain rather than eliminated.</w:t>
      </w:r>
    </w:p>
    <w:p w14:paraId="0BD7B802" w14:textId="77777777" w:rsidR="00882BD0" w:rsidRDefault="009D73FE">
      <w:pPr>
        <w:pStyle w:val="Heading1"/>
      </w:pPr>
      <w:r>
        <w:lastRenderedPageBreak/>
        <w:t>9. Cross-Cutting Translation Challenges</w:t>
      </w:r>
    </w:p>
    <w:p w14:paraId="6DBAE443" w14:textId="77777777" w:rsidR="00882BD0" w:rsidRDefault="009D73FE">
      <w:pPr>
        <w:pStyle w:val="BodyText"/>
      </w:pPr>
      <w:r>
        <w:t>Across biotechnology domains, the principal weakness is not lack of promising mechanisms but insufficient evidence across scales. Laboratory challenge tests maximise control and are essential for causal inference, yet they can overestimate effect size by using uniform animals, single pathogen strains and optimised timing. Commercial environments introduce mixed infections, temperature variation, handling stress, variable diets and heterogeneous exposure. Translation should therefore proceed through staged evidence: mechanistic confirmation, replicated tank trials, multi-site field evaluation, post-deployment surveillance and periodic reassessment as pathogens and production systems change.</w:t>
      </w:r>
    </w:p>
    <w:p w14:paraId="35D3DFBE" w14:textId="77777777" w:rsidR="00882BD0" w:rsidRDefault="009D73FE">
      <w:pPr>
        <w:pStyle w:val="BodyText"/>
      </w:pPr>
      <w:r>
        <w:t>Standardisation is necessary but should not erase biological context. Minimum reporting sets can improve comparability for genome editing, diagnostics, probiotics, phages, feeds and life-cycle studies. For example, genome-editing reports should specify guide design, delivery, mosaicism, on-target structural assessment and matched controls. Diagnostic reports should distinguish analytical sensitivity from diagnostic sensitivity and describe sample matrix and inhibition control. Probiotic and phage studies should provide strain identity, genome safety, potency and tank-level replication. Feed studies should report digestible nutrient balance and ingredient processing. Systems studies should disclose mass-balance and energy boundaries.</w:t>
      </w:r>
    </w:p>
    <w:p w14:paraId="1C3B4A2D" w14:textId="77777777" w:rsidR="00882BD0" w:rsidRDefault="009D73FE">
      <w:pPr>
        <w:pStyle w:val="BodyText"/>
      </w:pPr>
      <w:r>
        <w:t>Biosafety must be treated as a lifecycle property. Genetic interventions require containment and monitoring of escape, microbial products require assessment of environmental persistence and gene transfer, and circular feeds require substrate traceability. A risk can emerge after a technology leaves the laboratory through manufacturing drift, misuse or interaction with local ecology. Regulatory review should therefore be accompanied by quality systems and post-market monitoring. At the same time, disproportionate requirements can prevent beneficial low-risk innovations from reaching farmers. Tiered regulation should reflect novelty, exposure, reversibility and consequence.</w:t>
      </w:r>
    </w:p>
    <w:p w14:paraId="29996522" w14:textId="77777777" w:rsidR="00882BD0" w:rsidRDefault="009D73FE">
      <w:pPr>
        <w:pStyle w:val="BodyText"/>
      </w:pPr>
      <w:r>
        <w:t>Data governance is becoming part of aquatic biosecurity. Genomic reference populations, pathogen sequences and farm surveillance data have commercial and public value. Sharing can accelerate outbreak recognition and breeding, but farms may fear reputational or trade consequences. Clear rules are needed for access, anonymisation, benefit sharing and notification. Pathogen genomic data should be linked to validated epidemiological metadata, while host genomic resources should avoid reinforcing monopoly control over breeding material. Public repositories and interoperable standards can support accountability, provided that sensitive farm locations and personal data are protected.</w:t>
      </w:r>
    </w:p>
    <w:p w14:paraId="7CC99972" w14:textId="77777777" w:rsidR="00882BD0" w:rsidRDefault="009D73FE">
      <w:pPr>
        <w:pStyle w:val="BodyText"/>
      </w:pPr>
      <w:r>
        <w:t>Equity and capacity influence effectiveness. A portable LAMP assay may be more useful than a sequencing platform where electricity, cold chain and bioinformatics are constrained. Locally produced probiotics or vaccines may reduce cost but require quality assurance. Genomic selection can be adapted to regional species through collaborative reference populations, yet fragmented hatchery sectors may lack pedigree and phenotype records. Capacity-building should therefore target the entire implementation chain: sampling, laboratory proficiency, data interpretation, feed manufacturing, extension and regulatory science.</w:t>
      </w:r>
    </w:p>
    <w:p w14:paraId="5D10B149" w14:textId="77777777" w:rsidR="00882BD0" w:rsidRDefault="009D73FE">
      <w:pPr>
        <w:pStyle w:val="BodyText"/>
      </w:pPr>
      <w:r>
        <w:t>Sustainability assessment should guard against rebound and burden shifting. Improved survival can reduce waste per kilogram harvested but may also encourage higher stocking density. Efficient feeds can lower fishmeal inclusion while increasing demand for energy-intensive ingredients. Water reuse can reduce withdrawal but increase carbon emissions. The appropriate comparison is a functional unit that includes harvested nutritious product, health and welfare, and environmental burden over the production cycle. Sensitivity analysis should reveal which assumptions drive the result.</w:t>
      </w:r>
    </w:p>
    <w:p w14:paraId="646E158F" w14:textId="77777777" w:rsidR="00882BD0" w:rsidRDefault="009D73FE">
      <w:pPr>
        <w:pStyle w:val="BodyText"/>
      </w:pPr>
      <w:r>
        <w:t xml:space="preserve">Finally, combinations of technologies can create synergy or conflict. Disease-resistant stocks, vaccination and early detection can form a prevention stack that reduces treatment. Probiotics may complement vaccination </w:t>
      </w:r>
      <w:r>
        <w:lastRenderedPageBreak/>
        <w:t>by supporting mucosal health, but antimicrobial or disinfectant use can disrupt the intended community. Alternative feeds may improve resource efficiency yet alter vaccine response. RAS can facilitate surveillance and containment but can also amplify a pathogen once introduced. Systems research should therefore test portfolios rather than isolated tools and should include failure scenarios.</w:t>
      </w:r>
    </w:p>
    <w:p w14:paraId="6E3DF932" w14:textId="77777777" w:rsidR="00882BD0" w:rsidRDefault="009D73FE">
      <w:pPr>
        <w:pStyle w:val="Heading1"/>
      </w:pPr>
      <w:r>
        <w:t>10. Future Directions</w:t>
      </w:r>
    </w:p>
    <w:p w14:paraId="5A8DE2BB" w14:textId="77777777" w:rsidR="00882BD0" w:rsidRDefault="009D73FE">
      <w:pPr>
        <w:pStyle w:val="BodyText"/>
      </w:pPr>
      <w:r>
        <w:t>Immediate research priorities should strengthen evidence at the interface between mechanism and commercial performance. For genomic selection, multi-environment reference populations are needed to quantify genotype-by-environment interaction for disease resistance, thermal tolerance and feed efficiency. Challenge phenotypes should distinguish resistance, tolerance and infectivity where possible, because selection that merely reduces clinical signs may not reduce transmission. Breeding programmes should monitor genetic diversity and correlated welfare traits over generations. Shared low-density genotyping panels and imputation resources could extend access to regional species without reproducing the full cost structure of major salmonid programmes.</w:t>
      </w:r>
    </w:p>
    <w:p w14:paraId="10400B9C" w14:textId="77777777" w:rsidR="00882BD0" w:rsidRDefault="009D73FE">
      <w:pPr>
        <w:pStyle w:val="BodyText"/>
      </w:pPr>
      <w:r>
        <w:t>Genome editing requires a harmonised pre-deployment evidence package. This should include sequence-level assessment of intended and unintended changes, multi-tissue evaluation of mosaicism, multi-generation stability, matched-control phenotyping and challenge tests that assess more than one pathogen or stressor when immune pathways are targeted. Sterility applications should be evaluated for developmental welfare and ecological behaviour as well as gonadal phenotype. Contained pilot production with transparent reporting would provide more informative evidence than further isolated proof-of-concept studies.</w:t>
      </w:r>
    </w:p>
    <w:p w14:paraId="040A13D3" w14:textId="77777777" w:rsidR="00882BD0" w:rsidRDefault="009D73FE">
      <w:pPr>
        <w:pStyle w:val="BodyText"/>
      </w:pPr>
      <w:r>
        <w:t>For diagnostics, longitudinal field studies should link environmental nucleic-acid concentration to infection prevalence, clinical disease and management action. Sampling design research is needed across pond, cage and RAS hydrodynamics, including sediment and biofilm reservoirs. Reference materials, external quality assessment and open reporting standards should be developed for LAMP and eDNA/eRNA assays. Viability-sensitive methods and combined DNA-RNA interpretation deserve further evaluation, but operational thresholds should be based on predictive value in the intended population rather than analytical detection limits alone.</w:t>
      </w:r>
    </w:p>
    <w:p w14:paraId="11A74951" w14:textId="77777777" w:rsidR="00882BD0" w:rsidRDefault="009D73FE">
      <w:pPr>
        <w:pStyle w:val="BodyText"/>
      </w:pPr>
      <w:r>
        <w:t>Vaccine research should prioritise delivery and breadth of protection for species in which injection is impractical. Mucosal carriers, controlled-release formulations and thermostable products should be tested in farm-scale cohorts with duration-of-immunity and transmission endpoints. Pathogen genomic surveillance can inform antigen updating, but antigenic change should be interpreted alongside husbandry and co-infection. Public-private mechanisms may be needed for diseases of regional importance that do not provide a large commercial market.</w:t>
      </w:r>
    </w:p>
    <w:p w14:paraId="59B45CB9" w14:textId="77777777" w:rsidR="00882BD0" w:rsidRDefault="009D73FE">
      <w:pPr>
        <w:pStyle w:val="BodyText"/>
      </w:pPr>
      <w:r>
        <w:t>Microbiome research should move from taxonomic association to function and causality. Defined consortia should be compared with single strains using strain-resolved genomics, metabolomics and ecological modelling. Trials should report colonisation or persistence, not only the administered dose. For phages, adaptive trial designs can compare monophage, cocktail and combination strategies while monitoring bacterial resistance and microbiome effects. Regulatory science should establish common identity, safety and potency requirements that are feasible for both industrial and locally manufactured products.</w:t>
      </w:r>
    </w:p>
    <w:p w14:paraId="77561D2A" w14:textId="77777777" w:rsidR="00882BD0" w:rsidRDefault="009D73FE">
      <w:pPr>
        <w:pStyle w:val="BodyText"/>
      </w:pPr>
      <w:r>
        <w:t>Feed innovation requires integrated nutrition-life-cycle experiments. New ingredients should be tested at realistic inclusion levels in diets balanced for digestible nutrients, followed through growth, challenge resilience, product quality and waste composition. Life-cycle assessment should use geographically specific energy and substrate data and should report uncertainty. Circular ingredients require contaminant surveillance and traceable substrate standards. Research should also consider whether ingredient combinations, rather than maximal replacement by one source, provide the best balance of nutrition, cost and environmental performance.</w:t>
      </w:r>
    </w:p>
    <w:p w14:paraId="3DA9CD0B" w14:textId="77777777" w:rsidR="00882BD0" w:rsidRDefault="009D73FE">
      <w:pPr>
        <w:pStyle w:val="BodyText"/>
      </w:pPr>
      <w:r>
        <w:lastRenderedPageBreak/>
        <w:t>Environmental systems research should develop linked mass, energy and health balances. RAS studies need standard indicators for energy intensity, water use, nitrogen and phosphorus fate, sludge quality, mortality and welfare. Biofilter microbiome data should be paired with process rates and failure recovery. Aquaponic and IMTA research should quantify nutrient additionality and market performance over multiple seasons. Pilot projects should include contingency scenarios such as power interruption, disease introduction, crop failure or market loss, because resilience is a core sustainability outcome.</w:t>
      </w:r>
    </w:p>
    <w:p w14:paraId="362BF158" w14:textId="77777777" w:rsidR="00882BD0" w:rsidRDefault="009D73FE">
      <w:pPr>
        <w:pStyle w:val="BodyText"/>
      </w:pPr>
      <w:r>
        <w:t>Longer-term progress depends on interoperable infrastructure. Aquaculture biotechnology would benefit from shared phenotype ontologies, pathogen sequence standards, reference materials, open life-cycle inventories and reporting checklists. These resources should be designed with low- and middle-income producers rather than transferred after development. Regional centres can support diagnostics, breeding and feed-quality testing while retaining local ownership of data and germplasm. International standards should facilitate safe trade without requiring identical production models.</w:t>
      </w:r>
    </w:p>
    <w:p w14:paraId="4ED68859" w14:textId="77777777" w:rsidR="00882BD0" w:rsidRDefault="009D73FE">
      <w:pPr>
        <w:pStyle w:val="BodyText"/>
      </w:pPr>
      <w:r>
        <w:t>The highest priority is not a single invention but a comparative programme of technology portfolios. Pragmatic multi-site trials should compare prevention stacks that combine resistant stock, vaccination, molecular surveillance, nutrition and microbial management. Outcomes should include survival, treatment use, welfare, feed conversion, product composition, environmental discharge, greenhouse-gas intensity and cost. Such studies would reveal whether benefits are additive, synergistic or offsetting and would provide the evidence needed for risk-proportionate regulation and investment.</w:t>
      </w:r>
    </w:p>
    <w:p w14:paraId="17398DD5" w14:textId="77777777" w:rsidR="00882BD0" w:rsidRDefault="009D73FE">
      <w:pPr>
        <w:pStyle w:val="Heading1"/>
      </w:pPr>
      <w:r>
        <w:t>11. Conclusions</w:t>
      </w:r>
    </w:p>
    <w:p w14:paraId="1602F382" w14:textId="77777777" w:rsidR="00882BD0" w:rsidRDefault="009D73FE">
      <w:pPr>
        <w:pStyle w:val="BodyText"/>
      </w:pPr>
      <w:r>
        <w:t>Biotechnology can make aquaculture healthier and more sustainable, but its value depends on how precisely a biological mechanism translates into durable outcomes within a production system. The strongest current evidence supports genomic selection for complex disease resistance, pathogen-specific vaccination, validated molecular diagnostics, targeted use of defined microbial interventions, partial replacement of constrained feed resources, and biologically mediated water and nutrient treatment. These approaches can reduce mortality, antimicrobial dependence, resource waste and environmental discharge when embedded in sound husbandry and surveillance.</w:t>
      </w:r>
    </w:p>
    <w:p w14:paraId="0A446E83" w14:textId="77777777" w:rsidR="00882BD0" w:rsidRDefault="009D73FE">
      <w:pPr>
        <w:pStyle w:val="BodyText"/>
      </w:pPr>
      <w:r>
        <w:t>More emerging technologies require calibrated expectations. Genome editing provides powerful functional insight and can generate traits such as sterility or enhanced growth, yet commercial health and ecological benefits remain conditional on multi-generation, multi-environment and welfare assessment. Environmental nucleic-acid monitoring expands surveillance but cannot be interpreted without hydrodynamic and epidemiological context. Probiotics and phages can suppress disease, but strain identity, ecological persistence and resistance management determine reproducibility. Circular feeds and integrated production systems can recover resources while transferring burdens to energy, processing or operational complexity.</w:t>
      </w:r>
    </w:p>
    <w:p w14:paraId="7E505879" w14:textId="77777777" w:rsidR="00882BD0" w:rsidRDefault="009D73FE">
      <w:pPr>
        <w:pStyle w:val="BodyText"/>
      </w:pPr>
      <w:r>
        <w:t>No individual biotechnology can substitute for biosecurity, water quality, appropriate stocking, nutrition and competent health services. The most defensible strategy is an integrated prevention and resource-efficiency portfolio, selected for local species, disease ecology, infrastructure and markets. Progress should be judged by linked animal-health, welfare, environmental and economic outcomes rather than technical novelty or isolated laboratory endpoints. Responsible translation will require harmonised reporting, field-scale validation, post-deployment monitoring, transparent life-cycle accounting and governance that protects genetic diversity, microbial safety and equitable access.</w:t>
      </w:r>
    </w:p>
    <w:p w14:paraId="6B5F25B2" w14:textId="77777777" w:rsidR="00882BD0" w:rsidRDefault="009D73FE">
      <w:pPr>
        <w:pStyle w:val="Heading1"/>
      </w:pPr>
      <w:r>
        <w:lastRenderedPageBreak/>
        <w:t>12. Limitations</w:t>
      </w:r>
    </w:p>
    <w:p w14:paraId="3C3614BA" w14:textId="6FB31093" w:rsidR="00882BD0" w:rsidRDefault="009D73FE">
      <w:pPr>
        <w:pStyle w:val="BodyText"/>
      </w:pPr>
      <w:r>
        <w:t>As a critical narrative review, this article is intrinsically susceptible to selection and interpretive bias despite the use of a transparent scope, search strategy and appraisal framework. Direct access to major subscription bibliographic databases was unavailable, so the evidence base was assembled from accessible scholarly indexes, authoritative records, institutional repositories and citation searching rather than a complete export from every relevant database. English-language emphasis may have underrepresented regionally important work, particularly on locally farmed species and small-scale systems. The literature is highly heterogeneous in species, pathogens, production environments, intervention definitions and outcome measures, which precluded quantitative synthesis and limits direct comparison. Commercial performance and negative results are likely underreported, while several technologies are developing rapidly enough that long-term evidence remains scarce. These constraints were addressed by calibrating claims to evidence maturity and excluding sources whose identity, relevance or methodological detail could not be verified reliably.</w:t>
      </w:r>
    </w:p>
    <w:p w14:paraId="438FD6B5" w14:textId="002CA89D" w:rsidR="008E6B3E" w:rsidRDefault="008E6B3E">
      <w:pPr>
        <w:pStyle w:val="BodyText"/>
      </w:pPr>
    </w:p>
    <w:p w14:paraId="63D0B271" w14:textId="77777777" w:rsidR="008E6B3E" w:rsidRPr="000839CE" w:rsidRDefault="008E6B3E" w:rsidP="008E6B3E">
      <w:pPr>
        <w:spacing w:after="0" w:line="240" w:lineRule="auto"/>
        <w:rPr>
          <w:rFonts w:cs="Times New Roman"/>
          <w:b/>
        </w:rPr>
      </w:pPr>
      <w:bookmarkStart w:id="0" w:name="_Hlk234486585"/>
      <w:bookmarkStart w:id="1" w:name="_Hlk234075571"/>
      <w:bookmarkStart w:id="2" w:name="_Hlk232755622"/>
      <w:r w:rsidRPr="000839CE">
        <w:rPr>
          <w:rFonts w:cs="Times New Roman"/>
          <w:b/>
        </w:rPr>
        <w:t>Declaration of AI Use</w:t>
      </w:r>
    </w:p>
    <w:p w14:paraId="585A7E21" w14:textId="77777777" w:rsidR="008E6B3E" w:rsidRPr="000839CE" w:rsidRDefault="008E6B3E" w:rsidP="008E6B3E">
      <w:pPr>
        <w:spacing w:after="0" w:line="240" w:lineRule="auto"/>
        <w:rPr>
          <w:rFonts w:cs="Times New Roman"/>
        </w:rPr>
      </w:pPr>
      <w:bookmarkStart w:id="3" w:name="_Hlk234486575"/>
      <w:bookmarkEnd w:id="0"/>
    </w:p>
    <w:p w14:paraId="22A5931A" w14:textId="77777777" w:rsidR="008E6B3E" w:rsidRPr="000839CE" w:rsidRDefault="008E6B3E" w:rsidP="008E6B3E">
      <w:pPr>
        <w:spacing w:after="0" w:line="240" w:lineRule="auto"/>
        <w:jc w:val="both"/>
        <w:rPr>
          <w:rFonts w:cs="Times New Roman"/>
        </w:rPr>
      </w:pPr>
      <w:r w:rsidRPr="00C56790">
        <w:rPr>
          <w:rFonts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bookmarkEnd w:id="1"/>
      <w:r w:rsidRPr="00C56790">
        <w:rPr>
          <w:rFonts w:cs="Times New Roman"/>
        </w:rPr>
        <w:t>.</w:t>
      </w:r>
    </w:p>
    <w:bookmarkEnd w:id="2"/>
    <w:bookmarkEnd w:id="3"/>
    <w:p w14:paraId="4C4D2DC1" w14:textId="77777777" w:rsidR="008E6B3E" w:rsidRDefault="008E6B3E">
      <w:pPr>
        <w:pStyle w:val="BodyText"/>
      </w:pPr>
    </w:p>
    <w:p w14:paraId="01C5EF2D" w14:textId="77777777" w:rsidR="00882BD0" w:rsidRDefault="009D73FE">
      <w:pPr>
        <w:pStyle w:val="Heading1"/>
      </w:pPr>
      <w:r>
        <w:t>References</w:t>
      </w:r>
    </w:p>
    <w:p w14:paraId="21754F64" w14:textId="1D763446" w:rsidR="00882BD0" w:rsidRDefault="009D73FE">
      <w:pPr>
        <w:pStyle w:val="References"/>
      </w:pPr>
      <w:r>
        <w:t xml:space="preserve">Baethge, C., Goldbeck-Wood, S., &amp; Mertens, S. (2019). SANRA—a scale for the quality assessment of narrative review articles. </w:t>
      </w:r>
      <w:r>
        <w:rPr>
          <w:i/>
        </w:rPr>
        <w:t>Research Integrity and Peer Review</w:t>
      </w:r>
      <w:r>
        <w:t xml:space="preserve">, </w:t>
      </w:r>
      <w:r>
        <w:rPr>
          <w:i/>
        </w:rPr>
        <w:t>4</w:t>
      </w:r>
      <w:r>
        <w:t xml:space="preserve">, 5. </w:t>
      </w:r>
      <w:r>
        <w:rPr>
          <w:color w:val="0563C1"/>
          <w:u w:val="single"/>
        </w:rPr>
        <w:t>https://doi.org/10.1186/s41073-019-0064-8</w:t>
      </w:r>
    </w:p>
    <w:p w14:paraId="2C737218" w14:textId="25084A54" w:rsidR="00882BD0" w:rsidRDefault="009D73FE">
      <w:pPr>
        <w:pStyle w:val="References"/>
      </w:pPr>
      <w:r>
        <w:t xml:space="preserve">Betancor, M. B., Li, K., Sprague, M., Bardal, T., Sayanova, O., Usher, S., Han, L., Måsøval, K., Torrissen, O., Napier, J. A., Tocher, D. R., &amp; Olsen, R. E. (2017). An oil containing EPA and DHA from transgenic Camelina sativa to replace marine fish oil in feeds for Atlantic salmon (Salmo salar L.): Effects on intestinal transcriptome, histology, tissue fatty acid profiles and plasma biochemistry. </w:t>
      </w:r>
      <w:r>
        <w:rPr>
          <w:i/>
        </w:rPr>
        <w:t>PLOS ONE</w:t>
      </w:r>
      <w:r>
        <w:t xml:space="preserve">, </w:t>
      </w:r>
      <w:r>
        <w:rPr>
          <w:i/>
        </w:rPr>
        <w:t>12</w:t>
      </w:r>
      <w:r>
        <w:t xml:space="preserve">(4), e0175415. </w:t>
      </w:r>
      <w:r>
        <w:rPr>
          <w:color w:val="0563C1"/>
          <w:u w:val="single"/>
        </w:rPr>
        <w:t>https://doi.org/10.1371/journal.pone.0175415</w:t>
      </w:r>
    </w:p>
    <w:p w14:paraId="63ECC720" w14:textId="5F2B5D34" w:rsidR="00882BD0" w:rsidRDefault="009D73FE">
      <w:pPr>
        <w:pStyle w:val="References"/>
      </w:pPr>
      <w:r>
        <w:t xml:space="preserve">Brudeseth, B. E., Wiulsrød, R., Fredriksen, B. N., Lindmo, K., Løkling, K.-E., Bordevik, M., Steine, N., Klevan, A., &amp; Gravningen, K. (2013). Status and future perspectives of vaccines for industrialised fin-fish farming. </w:t>
      </w:r>
      <w:r>
        <w:rPr>
          <w:i/>
        </w:rPr>
        <w:t>Fish &amp; Shellfish Immunology</w:t>
      </w:r>
      <w:r>
        <w:t xml:space="preserve">, </w:t>
      </w:r>
      <w:r>
        <w:rPr>
          <w:i/>
        </w:rPr>
        <w:t>35</w:t>
      </w:r>
      <w:r>
        <w:t xml:space="preserve">(6), 1759–1768. </w:t>
      </w:r>
      <w:r>
        <w:rPr>
          <w:color w:val="0563C1"/>
          <w:u w:val="single"/>
        </w:rPr>
        <w:t>https://doi.org/10.1016/j.fsi.2013.05.029</w:t>
      </w:r>
    </w:p>
    <w:p w14:paraId="0DA0109D" w14:textId="5E001F00" w:rsidR="00882BD0" w:rsidRDefault="009D73FE">
      <w:pPr>
        <w:pStyle w:val="References"/>
      </w:pPr>
      <w:r>
        <w:t xml:space="preserve">Corbeil, S., Kurath, G., &amp; LaPatra, S. E. (2000). Fish DNA vaccine against infectious hematopoietic necrosis virus: Efficacy of various routes of immunisation. </w:t>
      </w:r>
      <w:r>
        <w:rPr>
          <w:i/>
        </w:rPr>
        <w:t>Fish &amp; Shellfish Immunology</w:t>
      </w:r>
      <w:r>
        <w:t xml:space="preserve">, </w:t>
      </w:r>
      <w:r>
        <w:rPr>
          <w:i/>
        </w:rPr>
        <w:t>10</w:t>
      </w:r>
      <w:r>
        <w:t xml:space="preserve">(8), 711–723. </w:t>
      </w:r>
      <w:r>
        <w:rPr>
          <w:color w:val="0563C1"/>
          <w:u w:val="single"/>
        </w:rPr>
        <w:t>https://doi.org/10.1006/fsim.2000.0286</w:t>
      </w:r>
    </w:p>
    <w:p w14:paraId="50A9FF6C" w14:textId="1CB73578" w:rsidR="00882BD0" w:rsidRDefault="009D73FE">
      <w:pPr>
        <w:pStyle w:val="References"/>
      </w:pPr>
      <w:r>
        <w:t xml:space="preserve">Cottrell, R. S., Blanchard, J. L., Halpern, B. S., Metian, M., &amp; Froehlich, H. E. (2020). Global adoption of novel aquaculture feeds could substantially reduce forage fish demand by 2030. </w:t>
      </w:r>
      <w:r>
        <w:rPr>
          <w:i/>
        </w:rPr>
        <w:t>Nature Food</w:t>
      </w:r>
      <w:r>
        <w:t xml:space="preserve">, </w:t>
      </w:r>
      <w:r>
        <w:rPr>
          <w:i/>
        </w:rPr>
        <w:t>1</w:t>
      </w:r>
      <w:r>
        <w:t xml:space="preserve">, 301–308. </w:t>
      </w:r>
      <w:r>
        <w:rPr>
          <w:color w:val="0563C1"/>
          <w:u w:val="single"/>
        </w:rPr>
        <w:t>https://doi.org/10.1038/s43016-020-0078-x</w:t>
      </w:r>
    </w:p>
    <w:p w14:paraId="24B8A867" w14:textId="408C9C3E" w:rsidR="00882BD0" w:rsidRDefault="009D73FE">
      <w:pPr>
        <w:pStyle w:val="References"/>
      </w:pPr>
      <w:r>
        <w:t xml:space="preserve">De Schryver, P., Crab, R., Defoirdt, T., Boon, N., &amp; Verstraete, W. (2008). The basics of bio-flocs technology: The added value for aquaculture. </w:t>
      </w:r>
      <w:r>
        <w:rPr>
          <w:i/>
        </w:rPr>
        <w:t>Aquaculture</w:t>
      </w:r>
      <w:r>
        <w:t xml:space="preserve">, </w:t>
      </w:r>
      <w:r>
        <w:rPr>
          <w:i/>
        </w:rPr>
        <w:t>277</w:t>
      </w:r>
      <w:r>
        <w:t xml:space="preserve">(3–4), 125–137. </w:t>
      </w:r>
      <w:r>
        <w:rPr>
          <w:color w:val="0563C1"/>
          <w:u w:val="single"/>
        </w:rPr>
        <w:t>https://doi.org/10.1016/j.aquaculture.2008.02.019</w:t>
      </w:r>
    </w:p>
    <w:p w14:paraId="5B214CE9" w14:textId="10EE70B4" w:rsidR="00882BD0" w:rsidRDefault="009D73FE">
      <w:pPr>
        <w:pStyle w:val="References"/>
      </w:pPr>
      <w:r>
        <w:t xml:space="preserve">Dien, L. T., Ky, L. B., Huy, B. T., Mursalim, M. F., Kayansamruaj, P., Senapin, S., Rodkhum, C., &amp; Dong, H. T. (2022). Characterization and protective effects of lytic bacteriophage pAh6.2TG against a pathogenic multidrug-resistant Aeromonas hydrophila in Nile tilapia (Oreochromis niloticus). </w:t>
      </w:r>
      <w:r>
        <w:rPr>
          <w:i/>
        </w:rPr>
        <w:t>Transboundary and Emerging Diseases</w:t>
      </w:r>
      <w:r>
        <w:t xml:space="preserve">, </w:t>
      </w:r>
      <w:r>
        <w:rPr>
          <w:i/>
        </w:rPr>
        <w:t>69</w:t>
      </w:r>
      <w:r>
        <w:t xml:space="preserve">(4), e435–e450. </w:t>
      </w:r>
      <w:r>
        <w:rPr>
          <w:color w:val="0563C1"/>
          <w:u w:val="single"/>
        </w:rPr>
        <w:t>https://doi.org/10.1111/tbed.14321</w:t>
      </w:r>
    </w:p>
    <w:p w14:paraId="27906A27" w14:textId="6DEAF028" w:rsidR="00882BD0" w:rsidRDefault="009D73FE">
      <w:pPr>
        <w:pStyle w:val="References"/>
      </w:pPr>
      <w:r>
        <w:lastRenderedPageBreak/>
        <w:t xml:space="preserve">Easwaran, M., Dananjaya, S. H. S., Park, S. C., Lee, J., Shin, H.-J., &amp; De Zoysa, M. (2017). Characterization of bacteriophage pAh-1 and its protective effects on experimental infection of Aeromonas hydrophila in zebrafish (Danio rerio). </w:t>
      </w:r>
      <w:r>
        <w:rPr>
          <w:i/>
        </w:rPr>
        <w:t>Journal of Fish Diseases</w:t>
      </w:r>
      <w:r>
        <w:t xml:space="preserve">, </w:t>
      </w:r>
      <w:r>
        <w:rPr>
          <w:i/>
        </w:rPr>
        <w:t>40</w:t>
      </w:r>
      <w:r>
        <w:t xml:space="preserve">(6), 841–846. </w:t>
      </w:r>
      <w:r>
        <w:rPr>
          <w:color w:val="0563C1"/>
          <w:u w:val="single"/>
        </w:rPr>
        <w:t>https://doi.org/10.1111/jfd.12536</w:t>
      </w:r>
    </w:p>
    <w:p w14:paraId="6A451609" w14:textId="10DBC106" w:rsidR="00882BD0" w:rsidRDefault="009D73FE">
      <w:pPr>
        <w:pStyle w:val="References"/>
      </w:pPr>
      <w:r>
        <w:t xml:space="preserve">Edvardsen, R. B., Leininger, S., Kleppe, L., Skaftnesmo, K. O., &amp; Wargelius, A. (2014). Targeted mutagenesis in Atlantic salmon (Salmo salar L.) using the CRISPR/Cas9 system induces complete knockout individuals in the F0 generation. </w:t>
      </w:r>
      <w:r>
        <w:rPr>
          <w:i/>
        </w:rPr>
        <w:t>PLOS ONE</w:t>
      </w:r>
      <w:r>
        <w:t xml:space="preserve">, </w:t>
      </w:r>
      <w:r>
        <w:rPr>
          <w:i/>
        </w:rPr>
        <w:t>9</w:t>
      </w:r>
      <w:r>
        <w:t xml:space="preserve">(9), e108622. </w:t>
      </w:r>
      <w:r>
        <w:rPr>
          <w:color w:val="0563C1"/>
          <w:u w:val="single"/>
        </w:rPr>
        <w:t>https://doi.org/10.1371/journal.pone.0108622</w:t>
      </w:r>
    </w:p>
    <w:p w14:paraId="776B3620" w14:textId="1B3B01E1" w:rsidR="00882BD0" w:rsidRDefault="009D73FE">
      <w:pPr>
        <w:pStyle w:val="References"/>
      </w:pPr>
      <w:r>
        <w:t xml:space="preserve">Food and Agriculture Organization of the United Nations. (2024). </w:t>
      </w:r>
      <w:r>
        <w:rPr>
          <w:i/>
        </w:rPr>
        <w:t xml:space="preserve">The state of world fisheries and aquaculture 2024: Blue transformation in action. </w:t>
      </w:r>
      <w:r>
        <w:rPr>
          <w:color w:val="0563C1"/>
          <w:u w:val="single"/>
        </w:rPr>
        <w:t>https://doi.org/10.4060/cd0683en</w:t>
      </w:r>
    </w:p>
    <w:p w14:paraId="6708682D" w14:textId="7073B67A" w:rsidR="00882BD0" w:rsidRDefault="009D73FE">
      <w:pPr>
        <w:pStyle w:val="References"/>
      </w:pPr>
      <w:r>
        <w:t xml:space="preserve">Food and Agriculture Organization of the United Nations, United Nations Environment Programme, World Health Organization, &amp; World Organisation for Animal Health. (2022). </w:t>
      </w:r>
      <w:r>
        <w:rPr>
          <w:i/>
        </w:rPr>
        <w:t xml:space="preserve">One Health joint plan of action (2022–2026): Working together for the health of humans, animals, plants and the environment. </w:t>
      </w:r>
      <w:r>
        <w:rPr>
          <w:color w:val="0563C1"/>
          <w:u w:val="single"/>
        </w:rPr>
        <w:t>https://doi.org/10.4060/cc2289en</w:t>
      </w:r>
    </w:p>
    <w:p w14:paraId="48917E9B" w14:textId="6228BCD0" w:rsidR="00882BD0" w:rsidRDefault="009D73FE">
      <w:pPr>
        <w:pStyle w:val="References"/>
      </w:pPr>
      <w:r>
        <w:t xml:space="preserve">Gervais, O., Barria, A., Papadopoulou, A., Gratacap, R. L., Hillestad, B., Tinch, A. E., Martin, S. A. M., Robledo, D., &amp; Houston, R. D. (2021). Exploring genetic resistance to infectious salmon anaemia virus in Atlantic salmon by genome-wide association and RNA sequencing. </w:t>
      </w:r>
      <w:r>
        <w:rPr>
          <w:i/>
        </w:rPr>
        <w:t>BMC Genomics</w:t>
      </w:r>
      <w:r>
        <w:t xml:space="preserve">, </w:t>
      </w:r>
      <w:r>
        <w:rPr>
          <w:i/>
        </w:rPr>
        <w:t>22</w:t>
      </w:r>
      <w:r>
        <w:t xml:space="preserve">(1), 345. </w:t>
      </w:r>
      <w:r>
        <w:rPr>
          <w:color w:val="0563C1"/>
          <w:u w:val="single"/>
        </w:rPr>
        <w:t>https://doi.org/10.1186/s12864-021-07671-6</w:t>
      </w:r>
    </w:p>
    <w:p w14:paraId="10B2EE9B" w14:textId="19DA2BA1" w:rsidR="00882BD0" w:rsidRDefault="009D73FE">
      <w:pPr>
        <w:pStyle w:val="References"/>
      </w:pPr>
      <w:r>
        <w:t xml:space="preserve">Gratacap, R. L., Regan, T., Dehler, C. E., Martin, S. A. M., Boudinot, P., Collet, B., &amp; Houston, R. D. (2020). Efficient CRISPR/Cas9 genome editing in a salmonid fish cell line using a lentivirus delivery system. </w:t>
      </w:r>
      <w:r>
        <w:rPr>
          <w:i/>
        </w:rPr>
        <w:t>BMC Biotechnology</w:t>
      </w:r>
      <w:r>
        <w:t xml:space="preserve">, </w:t>
      </w:r>
      <w:r>
        <w:rPr>
          <w:i/>
        </w:rPr>
        <w:t>20</w:t>
      </w:r>
      <w:r>
        <w:t xml:space="preserve">(1), 35. </w:t>
      </w:r>
      <w:r>
        <w:rPr>
          <w:color w:val="0563C1"/>
          <w:u w:val="single"/>
        </w:rPr>
        <w:t>https://doi.org/10.1186/s12896-020-00626-x</w:t>
      </w:r>
    </w:p>
    <w:p w14:paraId="3B78722C" w14:textId="608EBC93" w:rsidR="00882BD0" w:rsidRDefault="009D73FE">
      <w:pPr>
        <w:pStyle w:val="References"/>
      </w:pPr>
      <w:r>
        <w:t xml:space="preserve">Houston, R. D., Bean, T. P., Macqueen, D. J., Gundappa, M. K., Jin, Y. H., Jenkins, T. L., Selly, S. L. C., Martin, S. A. M., Stevens, J. R., Santos, E. M., Davie, A., &amp; Robledo, D. (2020). Harnessing genomics to fast-track genetic improvement in aquaculture. </w:t>
      </w:r>
      <w:r>
        <w:rPr>
          <w:i/>
        </w:rPr>
        <w:t>Nature Reviews Genetics</w:t>
      </w:r>
      <w:r>
        <w:t xml:space="preserve">, </w:t>
      </w:r>
      <w:r>
        <w:rPr>
          <w:i/>
        </w:rPr>
        <w:t>21</w:t>
      </w:r>
      <w:r>
        <w:t xml:space="preserve">(7), 389–409. </w:t>
      </w:r>
      <w:r>
        <w:rPr>
          <w:color w:val="0563C1"/>
          <w:u w:val="single"/>
        </w:rPr>
        <w:t>https://doi.org/10.1038/s41576-020-0227-y</w:t>
      </w:r>
    </w:p>
    <w:p w14:paraId="16C0CEDD" w14:textId="04351A60" w:rsidR="00882BD0" w:rsidRDefault="009D73FE">
      <w:pPr>
        <w:pStyle w:val="References"/>
      </w:pPr>
      <w:r>
        <w:t xml:space="preserve">Hu, K., Li, Y., Wang, F., Liu, J., Li, Y., Zhao, Q., Zheng, X., Zhu, N., Yu, X., Fang, S., &amp; Huang, J. (2023). A loop-mediated isothermal amplification-based microfluidic chip for triplex detection of shrimp pathogens. </w:t>
      </w:r>
      <w:r>
        <w:rPr>
          <w:i/>
        </w:rPr>
        <w:t>Journal of Fish Diseases</w:t>
      </w:r>
      <w:r>
        <w:t xml:space="preserve">, </w:t>
      </w:r>
      <w:r>
        <w:rPr>
          <w:i/>
        </w:rPr>
        <w:t>46</w:t>
      </w:r>
      <w:r>
        <w:t xml:space="preserve">(2), 137–146. </w:t>
      </w:r>
      <w:r>
        <w:rPr>
          <w:color w:val="0563C1"/>
          <w:u w:val="single"/>
        </w:rPr>
        <w:t>https://doi.org/10.1111/jfd.13727</w:t>
      </w:r>
    </w:p>
    <w:p w14:paraId="7DCCB5B2" w14:textId="37961572" w:rsidR="00882BD0" w:rsidRDefault="009D73FE">
      <w:pPr>
        <w:pStyle w:val="References"/>
      </w:pPr>
      <w:r>
        <w:t xml:space="preserve">Kloas, W., Groß, R., Baganz, D., Graupner, J., Monsees, H., Schmidt, U., Staaks, G., Suhl, J., Tschirner, M., Wittstock, B., Wuertz, S., Zikova, A., &amp; Rennert, B. (2015). A new concept for aquaponic systems to improve sustainability, increase productivity, and reduce environmental impacts. </w:t>
      </w:r>
      <w:r>
        <w:rPr>
          <w:i/>
        </w:rPr>
        <w:t>Aquaculture Environment Interactions</w:t>
      </w:r>
      <w:r>
        <w:t xml:space="preserve">, </w:t>
      </w:r>
      <w:r>
        <w:rPr>
          <w:i/>
        </w:rPr>
        <w:t>7</w:t>
      </w:r>
      <w:r>
        <w:t xml:space="preserve">, 179–192. </w:t>
      </w:r>
      <w:r>
        <w:rPr>
          <w:color w:val="0563C1"/>
          <w:u w:val="single"/>
        </w:rPr>
        <w:t>https://doi.org/10.3354/aei00146</w:t>
      </w:r>
    </w:p>
    <w:p w14:paraId="31635D75" w14:textId="45DE3DAF" w:rsidR="00882BD0" w:rsidRDefault="009D73FE">
      <w:pPr>
        <w:pStyle w:val="References"/>
      </w:pPr>
      <w:r>
        <w:t xml:space="preserve">Knowler, D., Chopin, T., Martínez-Espiñeira, R., Neori, A., Nobre, A., Noce, A., &amp; Reid, G. (2020). The economics of integrated multi-trophic aquaculture: Where are we now and where do we need to go?. </w:t>
      </w:r>
      <w:r>
        <w:rPr>
          <w:i/>
        </w:rPr>
        <w:t>Reviews in Aquaculture</w:t>
      </w:r>
      <w:r>
        <w:t xml:space="preserve">, </w:t>
      </w:r>
      <w:r>
        <w:rPr>
          <w:i/>
        </w:rPr>
        <w:t>12</w:t>
      </w:r>
      <w:r>
        <w:t xml:space="preserve">(3), 1579–1594. </w:t>
      </w:r>
      <w:r>
        <w:rPr>
          <w:color w:val="0563C1"/>
          <w:u w:val="single"/>
        </w:rPr>
        <w:t>https://doi.org/10.1111/raq.12399</w:t>
      </w:r>
    </w:p>
    <w:p w14:paraId="4C052BA4" w14:textId="6E26E9C2" w:rsidR="00882BD0" w:rsidRDefault="009D73FE">
      <w:pPr>
        <w:pStyle w:val="References"/>
      </w:pPr>
      <w:r>
        <w:t xml:space="preserve">Kono, T., Savan, R., Sakai, M., &amp; Itami, T. (2004). Detection of white spot syndrome virus in shrimp by loop-mediated isothermal amplification. </w:t>
      </w:r>
      <w:r>
        <w:rPr>
          <w:i/>
        </w:rPr>
        <w:t>Journal of Virological Methods</w:t>
      </w:r>
      <w:r>
        <w:t xml:space="preserve">, </w:t>
      </w:r>
      <w:r>
        <w:rPr>
          <w:i/>
        </w:rPr>
        <w:t>115</w:t>
      </w:r>
      <w:r>
        <w:t xml:space="preserve">(1), 59–65. </w:t>
      </w:r>
      <w:r>
        <w:rPr>
          <w:color w:val="0563C1"/>
          <w:u w:val="single"/>
        </w:rPr>
        <w:t>https://doi.org/10.1016/j.jviromet.2003.09.015</w:t>
      </w:r>
    </w:p>
    <w:p w14:paraId="7D68201F" w14:textId="338036BC" w:rsidR="00882BD0" w:rsidRDefault="009D73FE">
      <w:pPr>
        <w:pStyle w:val="References"/>
      </w:pPr>
      <w:r>
        <w:t xml:space="preserve">Krishna, D., Petersen, P. E., Dahl, M. M., Egholm, I., Jørgensen, L. V. G., &amp; Christiansen, D. H. (2026). Environmental DNA/RNA for non-invasive early detection and monitoring of pathogen dynamics in Atlantic salmon (Salmo salar) recirculating aquaculture systems (RAS). </w:t>
      </w:r>
      <w:r>
        <w:rPr>
          <w:i/>
        </w:rPr>
        <w:t>Aquaculture</w:t>
      </w:r>
      <w:r>
        <w:t xml:space="preserve">, </w:t>
      </w:r>
      <w:r>
        <w:rPr>
          <w:i/>
        </w:rPr>
        <w:t>611</w:t>
      </w:r>
      <w:r>
        <w:t xml:space="preserve">, 743060. </w:t>
      </w:r>
      <w:r>
        <w:rPr>
          <w:color w:val="0563C1"/>
          <w:u w:val="single"/>
        </w:rPr>
        <w:t>https://doi.org/10.1016/j.aquaculture.2025.743060</w:t>
      </w:r>
    </w:p>
    <w:p w14:paraId="1EA53488" w14:textId="06F60D19" w:rsidR="00882BD0" w:rsidRDefault="009D73FE">
      <w:pPr>
        <w:pStyle w:val="References"/>
      </w:pPr>
      <w:r>
        <w:t xml:space="preserve">Li, Y., Kortner, T. M., Chikwati, E. M., Munang’andu, H. M., Lock, E.-J., &amp; Krogdahl, Å. (2019). Gut health and vaccination response in pre-smolt Atlantic salmon (Salmo salar) fed black soldier fly (Hermetia illucens) larvae meal. </w:t>
      </w:r>
      <w:r>
        <w:rPr>
          <w:i/>
        </w:rPr>
        <w:t>Fish &amp; Shellfish Immunology</w:t>
      </w:r>
      <w:r>
        <w:t xml:space="preserve">, </w:t>
      </w:r>
      <w:r>
        <w:rPr>
          <w:i/>
        </w:rPr>
        <w:t>86</w:t>
      </w:r>
      <w:r>
        <w:t xml:space="preserve">, 1106–1113. </w:t>
      </w:r>
      <w:r>
        <w:rPr>
          <w:color w:val="0563C1"/>
          <w:u w:val="single"/>
        </w:rPr>
        <w:t>https://doi.org/10.1016/j.fsi.2018.12.057</w:t>
      </w:r>
    </w:p>
    <w:p w14:paraId="42DD1534" w14:textId="70268278" w:rsidR="00882BD0" w:rsidRDefault="009D73FE">
      <w:pPr>
        <w:pStyle w:val="References"/>
      </w:pPr>
      <w:r>
        <w:t xml:space="preserve">Martins, C. I. M., Eding, E. H., Verdegem, M. C. J., Heinsbroek, L. T. N., Schneider, O., Blancheton, J.-P., Roque d’Orbcastel, E., &amp; Verreth, J. A. J. (2010). New developments in recirculating aquaculture systems in Europe: A perspective on environmental sustainability. </w:t>
      </w:r>
      <w:r>
        <w:rPr>
          <w:i/>
        </w:rPr>
        <w:t>Aquacultural Engineering</w:t>
      </w:r>
      <w:r>
        <w:t xml:space="preserve">, </w:t>
      </w:r>
      <w:r>
        <w:rPr>
          <w:i/>
        </w:rPr>
        <w:t>43</w:t>
      </w:r>
      <w:r>
        <w:t xml:space="preserve">(3), 83–93. </w:t>
      </w:r>
      <w:r>
        <w:rPr>
          <w:color w:val="0563C1"/>
          <w:u w:val="single"/>
        </w:rPr>
        <w:t>https://doi.org/10.1016/j.aquaeng.2010.09.002</w:t>
      </w:r>
    </w:p>
    <w:p w14:paraId="368356E4" w14:textId="01B117AD" w:rsidR="00882BD0" w:rsidRDefault="009D73FE">
      <w:pPr>
        <w:pStyle w:val="References"/>
      </w:pPr>
      <w:r>
        <w:t xml:space="preserve">Naylor, R. L., Hardy, R. W., Buschmann, A. H., Bush, S. R., Cao, L., Klinger, D. H., Little, D. C., Lubchenco, J., Shumway, S. E., &amp; Troell, M. (2021). A 20-year retrospective review of global aquaculture. </w:t>
      </w:r>
      <w:r>
        <w:rPr>
          <w:i/>
        </w:rPr>
        <w:t>Nature</w:t>
      </w:r>
      <w:r>
        <w:t xml:space="preserve">, </w:t>
      </w:r>
      <w:r>
        <w:rPr>
          <w:i/>
        </w:rPr>
        <w:t>591</w:t>
      </w:r>
      <w:r>
        <w:t xml:space="preserve">, 551–563. </w:t>
      </w:r>
      <w:r>
        <w:rPr>
          <w:color w:val="0563C1"/>
          <w:u w:val="single"/>
        </w:rPr>
        <w:t>https://doi.org/10.1038/s41586-021-03308-6</w:t>
      </w:r>
    </w:p>
    <w:p w14:paraId="67A92AFD" w14:textId="6C30B657" w:rsidR="00882BD0" w:rsidRDefault="009D73FE">
      <w:pPr>
        <w:pStyle w:val="References"/>
      </w:pPr>
      <w:r>
        <w:t xml:space="preserve">Nederlof, M. A. J., Verdegem, M. C. J., Smaal, A. C., &amp; Jansen, H. M. (2022). Nutrient retention efficiencies in integrated multi-trophic aquaculture. </w:t>
      </w:r>
      <w:r>
        <w:rPr>
          <w:i/>
        </w:rPr>
        <w:t>Reviews in Aquaculture</w:t>
      </w:r>
      <w:r>
        <w:t xml:space="preserve">, </w:t>
      </w:r>
      <w:r>
        <w:rPr>
          <w:i/>
        </w:rPr>
        <w:t>14</w:t>
      </w:r>
      <w:r>
        <w:t xml:space="preserve">(3), 1194–1212. </w:t>
      </w:r>
      <w:r>
        <w:rPr>
          <w:color w:val="0563C1"/>
          <w:u w:val="single"/>
        </w:rPr>
        <w:t>https://doi.org/10.1111/raq.12645</w:t>
      </w:r>
    </w:p>
    <w:p w14:paraId="5FE314A9" w14:textId="48EC0AB7" w:rsidR="00882BD0" w:rsidRDefault="009D73FE">
      <w:pPr>
        <w:pStyle w:val="References"/>
      </w:pPr>
      <w:r>
        <w:lastRenderedPageBreak/>
        <w:t xml:space="preserve">Ohama, M., Washio, Y., Kishimoto, K., Kinoshita, M., &amp; Kato, K. (2020). Growth performance of myostatin knockout red sea bream Pagrus major juveniles produced by genome editing with CRISPR/Cas9. </w:t>
      </w:r>
      <w:r>
        <w:rPr>
          <w:i/>
        </w:rPr>
        <w:t>Aquaculture</w:t>
      </w:r>
      <w:r>
        <w:t xml:space="preserve">, </w:t>
      </w:r>
      <w:r>
        <w:rPr>
          <w:i/>
        </w:rPr>
        <w:t>529</w:t>
      </w:r>
      <w:r>
        <w:t xml:space="preserve">, 735672. </w:t>
      </w:r>
      <w:r>
        <w:rPr>
          <w:color w:val="0563C1"/>
          <w:u w:val="single"/>
        </w:rPr>
        <w:t>https://doi.org/10.1016/j.aquaculture.2020.735672</w:t>
      </w:r>
    </w:p>
    <w:p w14:paraId="259C6EB0" w14:textId="3A0F1A51" w:rsidR="00882BD0" w:rsidRDefault="009D73FE">
      <w:pPr>
        <w:pStyle w:val="References"/>
      </w:pPr>
      <w:r>
        <w:t xml:space="preserve">Padeniya, U., Davis, D. A., Liles, M. R., LaFrentz, S. A., LaFrentz, B. R., Shoemaker, C. A., Beck, B. H., Wells, D. E., &amp; Bruce, T. J. (2023). Probiotics enhance resistance to Streptococcus iniae in Nile tilapia (Oreochromis niloticus) reared in biofloc systems. </w:t>
      </w:r>
      <w:r>
        <w:rPr>
          <w:i/>
        </w:rPr>
        <w:t>Journal of Fish Diseases</w:t>
      </w:r>
      <w:r>
        <w:t xml:space="preserve">, </w:t>
      </w:r>
      <w:r>
        <w:rPr>
          <w:i/>
        </w:rPr>
        <w:t>46</w:t>
      </w:r>
      <w:r>
        <w:t xml:space="preserve">(10), 1137–1149. </w:t>
      </w:r>
      <w:r>
        <w:rPr>
          <w:color w:val="0563C1"/>
          <w:u w:val="single"/>
        </w:rPr>
        <w:t>https://doi.org/10.1111/jfd.13833</w:t>
      </w:r>
    </w:p>
    <w:p w14:paraId="7D4F20DD" w14:textId="777D8EDB" w:rsidR="00882BD0" w:rsidRDefault="009D73FE">
      <w:pPr>
        <w:pStyle w:val="References"/>
      </w:pPr>
      <w:r>
        <w:t xml:space="preserve">Peters, L., Spatharis, S., Dario, M. A., Dwyer, T., Roca, I. J. T., Kintner, A., Kanstad-Hanssen, Ø., Llewellyn, M. S., &amp; Præbel, K. (2018). Environmental DNA: A new low-cost monitoring tool for pathogens in salmonid aquaculture. </w:t>
      </w:r>
      <w:r>
        <w:rPr>
          <w:i/>
        </w:rPr>
        <w:t>Frontiers in Microbiology</w:t>
      </w:r>
      <w:r>
        <w:t xml:space="preserve">, </w:t>
      </w:r>
      <w:r>
        <w:rPr>
          <w:i/>
        </w:rPr>
        <w:t>9</w:t>
      </w:r>
      <w:r>
        <w:t xml:space="preserve">, 3009. </w:t>
      </w:r>
      <w:r>
        <w:rPr>
          <w:color w:val="0563C1"/>
          <w:u w:val="single"/>
        </w:rPr>
        <w:t>https://doi.org/10.3389/fmicb.2018.03009</w:t>
      </w:r>
    </w:p>
    <w:p w14:paraId="5FACB0B3" w14:textId="0423F788" w:rsidR="00882BD0" w:rsidRDefault="009D73FE">
      <w:pPr>
        <w:pStyle w:val="References"/>
      </w:pPr>
      <w:r>
        <w:t xml:space="preserve">Reid, G. K., Lefebvre, S., Filgueira, R., Robinson, S. M. C., Broch, O. J., Dumas, A., &amp; Chopin, T. B. R. (2020). Performance measures and models for open-water integrated multi-trophic aquaculture. </w:t>
      </w:r>
      <w:r>
        <w:rPr>
          <w:i/>
        </w:rPr>
        <w:t>Reviews in Aquaculture</w:t>
      </w:r>
      <w:r>
        <w:t xml:space="preserve">, </w:t>
      </w:r>
      <w:r>
        <w:rPr>
          <w:i/>
        </w:rPr>
        <w:t>12</w:t>
      </w:r>
      <w:r>
        <w:t xml:space="preserve">(1), 47–75. </w:t>
      </w:r>
      <w:r>
        <w:rPr>
          <w:color w:val="0563C1"/>
          <w:u w:val="single"/>
        </w:rPr>
        <w:t>https://doi.org/10.1111/raq.12304</w:t>
      </w:r>
    </w:p>
    <w:p w14:paraId="7F03AAF3" w14:textId="2FFB1CA6" w:rsidR="00882BD0" w:rsidRDefault="009D73FE">
      <w:pPr>
        <w:pStyle w:val="References"/>
      </w:pPr>
      <w:r>
        <w:t xml:space="preserve">Robledo, D., Matika, O., Hamilton, A., &amp; Houston, R. D. (2018). Genome-wide association and genomic selection for resistance to amoebic gill disease in Atlantic salmon. </w:t>
      </w:r>
      <w:r>
        <w:rPr>
          <w:i/>
        </w:rPr>
        <w:t>G3: Genes|Genomes|Genetics</w:t>
      </w:r>
      <w:r>
        <w:t xml:space="preserve">, </w:t>
      </w:r>
      <w:r>
        <w:rPr>
          <w:i/>
        </w:rPr>
        <w:t>8</w:t>
      </w:r>
      <w:r>
        <w:t xml:space="preserve">(4), 1195–1203. </w:t>
      </w:r>
      <w:r>
        <w:rPr>
          <w:color w:val="0563C1"/>
          <w:u w:val="single"/>
        </w:rPr>
        <w:t>https://doi.org/10.1534/g3.118.200075</w:t>
      </w:r>
    </w:p>
    <w:p w14:paraId="4AC22A02" w14:textId="4BD216D6" w:rsidR="00882BD0" w:rsidRDefault="009D73FE">
      <w:pPr>
        <w:pStyle w:val="References"/>
      </w:pPr>
      <w:r>
        <w:t xml:space="preserve">Schar, D., Klein, E. Y., Laxminarayan, R., Gilbert, M., &amp; Van Boeckel, T. P. (2020). Global trends in antimicrobial use in aquaculture. </w:t>
      </w:r>
      <w:r>
        <w:rPr>
          <w:i/>
        </w:rPr>
        <w:t>Scientific Reports</w:t>
      </w:r>
      <w:r>
        <w:t xml:space="preserve">, </w:t>
      </w:r>
      <w:r>
        <w:rPr>
          <w:i/>
        </w:rPr>
        <w:t>10</w:t>
      </w:r>
      <w:r>
        <w:t xml:space="preserve">, 21878. </w:t>
      </w:r>
      <w:r>
        <w:rPr>
          <w:color w:val="0563C1"/>
          <w:u w:val="single"/>
        </w:rPr>
        <w:t>https://doi.org/10.1038/s41598-020-78849-3</w:t>
      </w:r>
    </w:p>
    <w:p w14:paraId="15D260C7" w14:textId="5B9D621F" w:rsidR="00882BD0" w:rsidRDefault="009D73FE">
      <w:pPr>
        <w:pStyle w:val="References"/>
      </w:pPr>
      <w:r>
        <w:t xml:space="preserve">Silva, Y. J., Costa, L., Pereira, C., Mateus, C., Cunha, A., Calado, R., Gomes, N. C. M., Pardo, M. A., Hernandez, I., &amp; Almeida, A. (2014). Phage therapy as an approach to prevent Vibrio anguillarum infections in fish larvae production. </w:t>
      </w:r>
      <w:r>
        <w:rPr>
          <w:i/>
        </w:rPr>
        <w:t>PLOS ONE</w:t>
      </w:r>
      <w:r>
        <w:t xml:space="preserve">, </w:t>
      </w:r>
      <w:r>
        <w:rPr>
          <w:i/>
        </w:rPr>
        <w:t>9</w:t>
      </w:r>
      <w:r>
        <w:t xml:space="preserve">(12), e114197. </w:t>
      </w:r>
      <w:r>
        <w:rPr>
          <w:color w:val="0563C1"/>
          <w:u w:val="single"/>
        </w:rPr>
        <w:t>https://doi.org/10.1371/journal.pone.0114197</w:t>
      </w:r>
    </w:p>
    <w:p w14:paraId="42D761CC" w14:textId="55A014BA" w:rsidR="00882BD0" w:rsidRDefault="009D73FE">
      <w:pPr>
        <w:pStyle w:val="References"/>
      </w:pPr>
      <w:r>
        <w:t xml:space="preserve">Sprague, M., Dick, J. R., &amp; Tocher, D. R. (2016). Impact of sustainable feeds on omega-3 long-chain fatty acid levels in farmed Atlantic salmon, 2006–2015. </w:t>
      </w:r>
      <w:r>
        <w:rPr>
          <w:i/>
        </w:rPr>
        <w:t>Scientific Reports</w:t>
      </w:r>
      <w:r>
        <w:t xml:space="preserve">, </w:t>
      </w:r>
      <w:r>
        <w:rPr>
          <w:i/>
        </w:rPr>
        <w:t>6</w:t>
      </w:r>
      <w:r>
        <w:t xml:space="preserve">, 21892. </w:t>
      </w:r>
      <w:r>
        <w:rPr>
          <w:color w:val="0563C1"/>
          <w:u w:val="single"/>
        </w:rPr>
        <w:t>https://doi.org/10.1038/srep21892</w:t>
      </w:r>
    </w:p>
    <w:p w14:paraId="5BCFAF17" w14:textId="4D133E86" w:rsidR="00882BD0" w:rsidRDefault="009D73FE">
      <w:pPr>
        <w:pStyle w:val="References"/>
      </w:pPr>
      <w:r>
        <w:t xml:space="preserve">Tocher, D. R., Sprague, M., Han, L., Sayanova, O., Norambuena, F., Napier, J. A., &amp; Betancor, M. B. (2024). Inclusion of oil from transgenic Camelina sativa in feed effectively supplies EPA and DHA to Atlantic salmon (Salmo salar) grown to market size in seawater pens. </w:t>
      </w:r>
      <w:r>
        <w:rPr>
          <w:i/>
        </w:rPr>
        <w:t>Food Chemistry</w:t>
      </w:r>
      <w:r>
        <w:t xml:space="preserve">, </w:t>
      </w:r>
      <w:r>
        <w:rPr>
          <w:i/>
        </w:rPr>
        <w:t>456</w:t>
      </w:r>
      <w:r>
        <w:t xml:space="preserve">, 139414. </w:t>
      </w:r>
      <w:r>
        <w:rPr>
          <w:color w:val="0563C1"/>
          <w:u w:val="single"/>
        </w:rPr>
        <w:t>https://doi.org/10.1016/j.foodchem.2024.139414</w:t>
      </w:r>
    </w:p>
    <w:p w14:paraId="497CF958" w14:textId="3F6CDA8C" w:rsidR="00882BD0" w:rsidRDefault="009D73FE">
      <w:pPr>
        <w:pStyle w:val="References"/>
      </w:pPr>
      <w:r>
        <w:t xml:space="preserve">van Rijn, J. (2013). Waste treatment in recirculating aquaculture systems. </w:t>
      </w:r>
      <w:r>
        <w:rPr>
          <w:i/>
        </w:rPr>
        <w:t>Aquacultural Engineering</w:t>
      </w:r>
      <w:r>
        <w:t xml:space="preserve">, </w:t>
      </w:r>
      <w:r>
        <w:rPr>
          <w:i/>
        </w:rPr>
        <w:t>53</w:t>
      </w:r>
      <w:r>
        <w:t xml:space="preserve">, 49–56. </w:t>
      </w:r>
      <w:r>
        <w:rPr>
          <w:color w:val="0563C1"/>
          <w:u w:val="single"/>
        </w:rPr>
        <w:t>https://doi.org/10.1016/j.aquaeng.2012.11.010</w:t>
      </w:r>
    </w:p>
    <w:p w14:paraId="5A7685B3" w14:textId="090020F0" w:rsidR="00882BD0" w:rsidRDefault="009D73FE">
      <w:pPr>
        <w:pStyle w:val="References"/>
      </w:pPr>
      <w:r>
        <w:t xml:space="preserve">Wang, A., Ran, C., Wang, Y., Zhang, Z., Ding, Q., Yang, Y., Olsen, R. E., Ringø, E., Bindelle, J., &amp; Zhou, Z. (2019). Use of probiotics in aquaculture of China—a review of the past decade. </w:t>
      </w:r>
      <w:r>
        <w:rPr>
          <w:i/>
        </w:rPr>
        <w:t>Fish &amp; Shellfish Immunology</w:t>
      </w:r>
      <w:r>
        <w:t xml:space="preserve">, </w:t>
      </w:r>
      <w:r>
        <w:rPr>
          <w:i/>
        </w:rPr>
        <w:t>86</w:t>
      </w:r>
      <w:r>
        <w:t xml:space="preserve">, 734–755. </w:t>
      </w:r>
      <w:r>
        <w:rPr>
          <w:color w:val="0563C1"/>
          <w:u w:val="single"/>
        </w:rPr>
        <w:t>https://doi.org/10.1016/j.fsi.2018.12.026</w:t>
      </w:r>
    </w:p>
    <w:p w14:paraId="0FF410FA" w14:textId="3BAA231C" w:rsidR="00882BD0" w:rsidRDefault="009D73FE">
      <w:pPr>
        <w:pStyle w:val="References"/>
      </w:pPr>
      <w:r>
        <w:t xml:space="preserve">Wargelius, A., Leininger, S., Skaftnesmo, K. O., Kleppe, L., Andersson, E., Taranger, G. L., Schulz, R. W., &amp; Edvardsen, R. B. (2016). Dnd knockout ablates germ cells and demonstrates germ cell independent sex differentiation in Atlantic salmon. </w:t>
      </w:r>
      <w:r>
        <w:rPr>
          <w:i/>
        </w:rPr>
        <w:t>Scientific Reports</w:t>
      </w:r>
      <w:r>
        <w:t xml:space="preserve">, </w:t>
      </w:r>
      <w:r>
        <w:rPr>
          <w:i/>
        </w:rPr>
        <w:t>6</w:t>
      </w:r>
      <w:r>
        <w:t xml:space="preserve">, 21284. </w:t>
      </w:r>
      <w:r>
        <w:rPr>
          <w:color w:val="0563C1"/>
          <w:u w:val="single"/>
        </w:rPr>
        <w:t>https://doi.org/10.1038/srep21284</w:t>
      </w:r>
    </w:p>
    <w:p w14:paraId="213BFE58" w14:textId="327CC38D" w:rsidR="00882BD0" w:rsidRDefault="009D73FE">
      <w:pPr>
        <w:pStyle w:val="References"/>
      </w:pPr>
      <w:r>
        <w:t xml:space="preserve">Woolley, L., Chaklader, M. R., Pilmer, L., Stephens, F., Wingate, C., Salini, M., &amp; Partridge, G. (2023). Gas to protein: Microbial single cell protein is an alternative to fishmeal in aquaculture. </w:t>
      </w:r>
      <w:r>
        <w:rPr>
          <w:i/>
        </w:rPr>
        <w:t>Science of the Total Environment</w:t>
      </w:r>
      <w:r>
        <w:t xml:space="preserve">, </w:t>
      </w:r>
      <w:r>
        <w:rPr>
          <w:i/>
        </w:rPr>
        <w:t>859</w:t>
      </w:r>
      <w:r>
        <w:t xml:space="preserve">(Part 1), 160141. </w:t>
      </w:r>
      <w:r>
        <w:rPr>
          <w:color w:val="0563C1"/>
          <w:u w:val="single"/>
        </w:rPr>
        <w:t>https://doi.org/10.1016/j.scitotenv.2022.160141</w:t>
      </w:r>
    </w:p>
    <w:p w14:paraId="1599404D" w14:textId="34DF335A" w:rsidR="00882BD0" w:rsidRDefault="009D73FE">
      <w:pPr>
        <w:pStyle w:val="References"/>
      </w:pPr>
      <w:r>
        <w:t xml:space="preserve">World Organisation for Animal Health. (2025). </w:t>
      </w:r>
      <w:r>
        <w:rPr>
          <w:i/>
        </w:rPr>
        <w:t xml:space="preserve">Aquatic animal health code. </w:t>
      </w:r>
      <w:r>
        <w:rPr>
          <w:color w:val="0563C1"/>
          <w:u w:val="single"/>
        </w:rPr>
        <w:t>https://www.woah.org/en/what-we-do/standards/codes-and-manuals/</w:t>
      </w:r>
    </w:p>
    <w:p w14:paraId="334484A5" w14:textId="2BD73D18" w:rsidR="00882BD0" w:rsidRDefault="009D73FE">
      <w:pPr>
        <w:pStyle w:val="References"/>
      </w:pPr>
      <w:r>
        <w:t xml:space="preserve">Zheng, Y.-Y., Zhang, C., Li, Y., Zhang, P.-Q., Chen, G., Wang, G.-X., &amp; Zhu, B. (2021). Immersion immunization of common carp with bacterial ghost-based DNA vaccine inducing prophylactic protective immunity against spring viraemia of carp virus. </w:t>
      </w:r>
      <w:r>
        <w:rPr>
          <w:i/>
        </w:rPr>
        <w:t>Journal of Fish Diseases</w:t>
      </w:r>
      <w:r>
        <w:t xml:space="preserve">, </w:t>
      </w:r>
      <w:r>
        <w:rPr>
          <w:i/>
        </w:rPr>
        <w:t>44</w:t>
      </w:r>
      <w:r>
        <w:t xml:space="preserve">(12), 2021–2029. </w:t>
      </w:r>
      <w:r>
        <w:rPr>
          <w:color w:val="0563C1"/>
          <w:u w:val="single"/>
        </w:rPr>
        <w:t>https://doi.org/10.1111/jfd.13516</w:t>
      </w:r>
    </w:p>
    <w:sectPr w:rsidR="00882BD0" w:rsidSect="00034616">
      <w:headerReference w:type="even" r:id="rId8"/>
      <w:headerReference w:type="default" r:id="rId9"/>
      <w:footerReference w:type="even" r:id="rId10"/>
      <w:footerReference w:type="default" r:id="rId11"/>
      <w:headerReference w:type="first" r:id="rId12"/>
      <w:footerReference w:type="first" r:id="rId13"/>
      <w:pgSz w:w="12240" w:h="15840"/>
      <w:pgMar w:top="1152" w:right="1152" w:bottom="1080"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2CD750" w14:textId="77777777" w:rsidR="009204F7" w:rsidRDefault="009204F7">
      <w:pPr>
        <w:spacing w:after="0" w:line="240" w:lineRule="auto"/>
      </w:pPr>
      <w:r>
        <w:separator/>
      </w:r>
    </w:p>
  </w:endnote>
  <w:endnote w:type="continuationSeparator" w:id="0">
    <w:p w14:paraId="69876C7F" w14:textId="77777777" w:rsidR="009204F7" w:rsidRDefault="009204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75249" w14:textId="77777777" w:rsidR="002A1E8B" w:rsidRDefault="002A1E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B2877" w14:textId="77777777" w:rsidR="00882BD0" w:rsidRDefault="009D73FE">
    <w:pPr>
      <w:pStyle w:val="Footer"/>
      <w:jc w:val="center"/>
    </w:pPr>
    <w:r>
      <w:rPr>
        <w:sz w:val="18"/>
      </w:rPr>
      <w:fldChar w:fldCharType="begin"/>
    </w:r>
    <w:r>
      <w:rPr>
        <w:sz w:val="18"/>
      </w:rPr>
      <w:instrText xml:space="preserve"> PAGE </w:instrText>
    </w:r>
    <w:r>
      <w:rPr>
        <w:sz w:val="18"/>
      </w:rPr>
      <w:fldChar w:fldCharType="separate"/>
    </w:r>
    <w:r w:rsidR="008C3192">
      <w:rPr>
        <w:noProof/>
        <w:sz w:val="18"/>
      </w:rPr>
      <w:t>1</w:t>
    </w:r>
    <w:r>
      <w:rPr>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28E56" w14:textId="77777777" w:rsidR="002A1E8B" w:rsidRDefault="002A1E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A239E2" w14:textId="77777777" w:rsidR="009204F7" w:rsidRDefault="009204F7">
      <w:pPr>
        <w:spacing w:after="0" w:line="240" w:lineRule="auto"/>
      </w:pPr>
      <w:r>
        <w:separator/>
      </w:r>
    </w:p>
  </w:footnote>
  <w:footnote w:type="continuationSeparator" w:id="0">
    <w:p w14:paraId="652C1DB7" w14:textId="77777777" w:rsidR="009204F7" w:rsidRDefault="009204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F21B7" w14:textId="48B579CA" w:rsidR="002A1E8B" w:rsidRDefault="002A1E8B">
    <w:pPr>
      <w:pStyle w:val="Header"/>
    </w:pPr>
    <w:r>
      <w:rPr>
        <w:noProof/>
      </w:rPr>
      <w:pict w14:anchorId="6549510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50365110" o:spid="_x0000_s1026" type="#_x0000_t136" style="position:absolute;margin-left:0;margin-top:0;width:630.3pt;height:70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ECFCE" w14:textId="39B7AEBB" w:rsidR="002A1E8B" w:rsidRDefault="002A1E8B">
    <w:pPr>
      <w:pStyle w:val="Header"/>
    </w:pPr>
    <w:r>
      <w:rPr>
        <w:noProof/>
      </w:rPr>
      <w:pict w14:anchorId="68810C0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50365111" o:spid="_x0000_s1027" type="#_x0000_t136" style="position:absolute;margin-left:0;margin-top:0;width:630.3pt;height:70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62B40" w14:textId="422D94A4" w:rsidR="002A1E8B" w:rsidRDefault="002A1E8B">
    <w:pPr>
      <w:pStyle w:val="Header"/>
    </w:pPr>
    <w:r>
      <w:rPr>
        <w:noProof/>
      </w:rPr>
      <w:pict w14:anchorId="52F9548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50365109" o:spid="_x0000_s1025" type="#_x0000_t136" style="position:absolute;margin-left:0;margin-top:0;width:630.3pt;height:70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16357449">
    <w:abstractNumId w:val="8"/>
  </w:num>
  <w:num w:numId="2" w16cid:durableId="663315956">
    <w:abstractNumId w:val="6"/>
  </w:num>
  <w:num w:numId="3" w16cid:durableId="1273898838">
    <w:abstractNumId w:val="5"/>
  </w:num>
  <w:num w:numId="4" w16cid:durableId="2043166835">
    <w:abstractNumId w:val="4"/>
  </w:num>
  <w:num w:numId="5" w16cid:durableId="1038242020">
    <w:abstractNumId w:val="7"/>
  </w:num>
  <w:num w:numId="6" w16cid:durableId="273176850">
    <w:abstractNumId w:val="3"/>
  </w:num>
  <w:num w:numId="7" w16cid:durableId="447354911">
    <w:abstractNumId w:val="2"/>
  </w:num>
  <w:num w:numId="8" w16cid:durableId="957756881">
    <w:abstractNumId w:val="1"/>
  </w:num>
  <w:num w:numId="9" w16cid:durableId="7902445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2A1E8B"/>
    <w:rsid w:val="00326F90"/>
    <w:rsid w:val="00585496"/>
    <w:rsid w:val="00882BD0"/>
    <w:rsid w:val="008C3192"/>
    <w:rsid w:val="008E6B3E"/>
    <w:rsid w:val="009204F7"/>
    <w:rsid w:val="009D73FE"/>
    <w:rsid w:val="00A4383B"/>
    <w:rsid w:val="00AA1D8D"/>
    <w:rsid w:val="00B47730"/>
    <w:rsid w:val="00CB0664"/>
    <w:rsid w:val="00FC3E0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BEB53EE"/>
  <w14:defaultImageDpi w14:val="300"/>
  <w15:docId w15:val="{1A64D947-2FDD-47F5-AB65-ADD53BF1A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pPr>
    <w:rPr>
      <w:rFonts w:ascii="Times New Roman" w:eastAsia="Times New Roman" w:hAnsi="Times New Roman"/>
    </w:rPr>
  </w:style>
  <w:style w:type="paragraph" w:styleId="Heading1">
    <w:name w:val="heading 1"/>
    <w:basedOn w:val="Normal"/>
    <w:next w:val="Normal"/>
    <w:link w:val="Heading1Char"/>
    <w:uiPriority w:val="9"/>
    <w:qFormat/>
    <w:rsid w:val="00FC693F"/>
    <w:pPr>
      <w:keepNext/>
      <w:keepLines/>
      <w:spacing w:before="240"/>
      <w:outlineLvl w:val="0"/>
    </w:pPr>
    <w:rPr>
      <w:rFonts w:asciiTheme="majorHAnsi" w:eastAsiaTheme="majorEastAsia" w:hAnsiTheme="majorHAnsi" w:cstheme="majorBidi"/>
      <w:b/>
      <w:bCs/>
      <w:color w:val="1F4E79"/>
      <w:sz w:val="28"/>
      <w:szCs w:val="28"/>
    </w:rPr>
  </w:style>
  <w:style w:type="paragraph" w:styleId="Heading2">
    <w:name w:val="heading 2"/>
    <w:basedOn w:val="Normal"/>
    <w:next w:val="Normal"/>
    <w:link w:val="Heading2Char"/>
    <w:uiPriority w:val="9"/>
    <w:unhideWhenUsed/>
    <w:qFormat/>
    <w:rsid w:val="00FC693F"/>
    <w:pPr>
      <w:keepNext/>
      <w:keepLines/>
      <w:spacing w:before="200" w:after="80"/>
      <w:outlineLvl w:val="1"/>
    </w:pPr>
    <w:rPr>
      <w:rFonts w:asciiTheme="majorHAnsi" w:eastAsiaTheme="majorEastAsia" w:hAnsiTheme="majorHAnsi" w:cstheme="majorBidi"/>
      <w:b/>
      <w:bCs/>
      <w:color w:val="365F91"/>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spacing w:after="280" w:line="240" w:lineRule="auto"/>
      <w:contextualSpacing/>
    </w:pPr>
    <w:rPr>
      <w:rFonts w:asciiTheme="majorHAnsi" w:eastAsiaTheme="majorEastAsia" w:hAnsiTheme="majorHAnsi" w:cstheme="majorBidi"/>
      <w:b/>
      <w:color w:val="1F4E79"/>
      <w:spacing w:val="5"/>
      <w:kern w:val="28"/>
      <w:sz w:val="3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ind w:firstLine="403"/>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TableCaption">
    <w:name w:val="Table Caption"/>
    <w:pPr>
      <w:keepNext/>
      <w:spacing w:before="160" w:after="80"/>
    </w:pPr>
    <w:rPr>
      <w:rFonts w:ascii="Times New Roman" w:hAnsi="Times New Roman"/>
      <w:sz w:val="19"/>
    </w:rPr>
  </w:style>
  <w:style w:type="paragraph" w:customStyle="1" w:styleId="TableNote">
    <w:name w:val="Table Note"/>
    <w:pPr>
      <w:spacing w:before="60" w:after="160"/>
    </w:pPr>
    <w:rPr>
      <w:rFonts w:ascii="Times New Roman" w:hAnsi="Times New Roman"/>
      <w:i/>
      <w:sz w:val="17"/>
    </w:rPr>
  </w:style>
  <w:style w:type="paragraph" w:customStyle="1" w:styleId="References">
    <w:name w:val="References"/>
    <w:pPr>
      <w:spacing w:after="100" w:line="252" w:lineRule="auto"/>
      <w:ind w:left="403" w:hanging="403"/>
    </w:pPr>
    <w:rPr>
      <w:rFonts w:ascii="Times New Roman" w:hAnsi="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21A460-85A7-413D-B512-5BF97A8C47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21</Pages>
  <Words>13028</Words>
  <Characters>74262</Characters>
  <Application>Microsoft Office Word</Application>
  <DocSecurity>0</DocSecurity>
  <Lines>618</Lines>
  <Paragraphs>174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87116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Biotechnology for Aquatic Animal Health and Sustainable Aquaculture: Advances, Evidence Gaps and Responsible Translation</dc:title>
  <dc:subject>Critical narrative review of biotechnology for aquatic health and sustainable aquaculture</dc:subject>
  <dc:creator/>
  <cp:keywords>aquaculture, biotechnology, aquatic animal health, sustainability</cp:keywords>
  <dc:description/>
  <cp:lastModifiedBy>SDI 1084</cp:lastModifiedBy>
  <cp:revision>5</cp:revision>
  <dcterms:created xsi:type="dcterms:W3CDTF">2013-12-23T23:15:00Z</dcterms:created>
  <dcterms:modified xsi:type="dcterms:W3CDTF">2026-07-29T11:26:00Z</dcterms:modified>
  <cp:category/>
</cp:coreProperties>
</file>