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66CFD" w14:textId="77777777" w:rsidR="00FA4CBD" w:rsidRDefault="005F644B">
      <w:pPr>
        <w:spacing w:after="280"/>
        <w:jc w:val="center"/>
      </w:pPr>
      <w:r>
        <w:rPr>
          <w:b/>
          <w:sz w:val="32"/>
        </w:rPr>
        <w:t>Web-Based Phishing Detection in the Era of Explainable and Generative AI: A Critical Narrative Review of Machine Learning, Deep Learning, Explainable AI and Large Language Models</w:t>
      </w:r>
    </w:p>
    <w:p w14:paraId="52701ADF" w14:textId="77777777" w:rsidR="00FA4CBD" w:rsidRDefault="005F644B">
      <w:pPr>
        <w:keepNext/>
      </w:pPr>
      <w:r>
        <w:rPr>
          <w:b/>
          <w:sz w:val="25"/>
        </w:rPr>
        <w:t>Abstract</w:t>
      </w:r>
    </w:p>
    <w:p w14:paraId="31C3CBAF" w14:textId="77777777" w:rsidR="00FA4CBD" w:rsidRDefault="005F644B">
      <w:pPr>
        <w:spacing w:after="140"/>
        <w:jc w:val="both"/>
      </w:pPr>
      <w:r>
        <w:t xml:space="preserve">Web-based phishing detection has progressed from manually specified URL and webpage heuristics to machine learning, deep representation learning, explainable artificial intelligence, and, most recently, large language and multimodal models. This technical expansion has produced impressive benchmark results but has also made comparison increasingly difficult because models are evaluated on different datasets, temporal windows, feature sets, class balances, and operational assumptions. This critical narrative review evaluates the evidence for machine learning, deep learning, explainable artificial intelligence and large language model approaches to detecting phishing URLs and webpages, with emphasis on generalisability, adversarial robustness, interpretability, computational cost and deployment relevance. Literature published principally from 2010 to 9 June 2026 was identified through accessible scholarly indexes, digital-library records, DOI metadata, citation searching and authoritative proceedings. The evidence indicates that conventional machine-learning pipelines remain competitive when lexical, host, hyperlink and structural features are well engineered, particularly where latency and transparency matter. Deep learning reduces dependence on handcrafted features and can exploit sequential, visual and multimodal representations, but reported gains are often conditional on dataset construction and may weaken under temporal shift or adversarial manipulation. Explainable artificial intelligence improves model inspection and can reveal influential phishing cues, yet post-hoc explanations do not by themselves establish causal validity, stability or security robustness. Large language and multimodal models add semantic reasoning, brand identification and natural-language explanation, but the evidence base remains recent and operationally constrained by cost, latency, privacy, reproducibility and prompt- or content-mediated attack surfaces. Across paradigms, the dominant unresolved problem is not </w:t>
      </w:r>
      <w:proofErr w:type="gramStart"/>
      <w:r>
        <w:t>benchmark</w:t>
      </w:r>
      <w:proofErr w:type="gramEnd"/>
      <w:r>
        <w:t xml:space="preserve"> accuracy but reliable performance under changing, adversarial web conditions. The review therefore argues for temporally separated, cross-source and adversarial evaluation, calibrated uncertainty, explanation-quality testing and layered architectures in which lightweight detectors, visual or content models and language-model reasoning are invoked according to risk and resource constraints.</w:t>
      </w:r>
    </w:p>
    <w:p w14:paraId="3F69B6EA" w14:textId="77777777" w:rsidR="00FA4CBD" w:rsidRDefault="005F644B">
      <w:pPr>
        <w:spacing w:after="200"/>
      </w:pPr>
      <w:r>
        <w:rPr>
          <w:b/>
          <w:i/>
        </w:rPr>
        <w:t xml:space="preserve">Keywords: </w:t>
      </w:r>
      <w:r>
        <w:t>anti-phishing; malicious URL classification; webpage security; adversarial robustness; model interpretability; multimodal learning; generative artificial intelligence; cybersecurity</w:t>
      </w:r>
    </w:p>
    <w:p w14:paraId="559B0DA4" w14:textId="77777777" w:rsidR="00FA4CBD" w:rsidRDefault="005F644B">
      <w:pPr>
        <w:pStyle w:val="Heading1"/>
      </w:pPr>
      <w:r>
        <w:t>1. Introduction</w:t>
      </w:r>
    </w:p>
    <w:p w14:paraId="3867363A" w14:textId="77777777" w:rsidR="00FA4CBD" w:rsidRDefault="005F644B">
      <w:pPr>
        <w:ind w:firstLine="360"/>
        <w:jc w:val="both"/>
      </w:pPr>
      <w:r>
        <w:t>Phishing remains a persistent web-security problem because the attacker does not need to defeat cryptography or compromise a browser to obtain value; the attacker can instead imitate a trusted web interaction closely enough to induce a user to disclose credentials or other sensitive information. The web surface is unusually favourable to this form of deception. Domain names can be registered rapidly, compromised sites can host short-lived pages, transport-layer encryption can be used by malicious as well as legitimate sites, page content can be rendered dynamically, and visible branding can be copied with little technical effort. Consequently, phishing detection is not a single classification task but a moving decision problem in which the detector observes incomplete, manipulable signals while the attacker actively adapts to the defensive pipeline (Jain &amp; Gupta, 2017; Panneerselvam et al., 2025; Safi &amp; Singh, 2023).</w:t>
      </w:r>
    </w:p>
    <w:p w14:paraId="6A982D41" w14:textId="77777777" w:rsidR="00FA4CBD" w:rsidRDefault="005F644B">
      <w:pPr>
        <w:ind w:firstLine="360"/>
        <w:jc w:val="both"/>
      </w:pPr>
      <w:r>
        <w:t xml:space="preserve">Early automated web-phishing defences relied strongly on blacklists, reputation signals and manually specified heuristics. These remain useful because known malicious infrastructure can often be blocked cheaply, but their dependence on prior observation creates an intrinsic delay for newly registered or newly compromised sites. The modern research literature therefore shifted towards predictive models that infer risk from URL </w:t>
      </w:r>
      <w:r>
        <w:lastRenderedPageBreak/>
        <w:t>syntax, domain and host properties, hyperlink structure, HyperText Markup Language (HTML), text, visual appearance and combinations of these signals. CANTINA+ was influential in demonstrating that a feature-rich machine-learning framework could combine heterogeneous webpage cues rather than depend on a single indicator (Xiang et al., 2011). Subsequent work explored streaming URL analytics, nonlinear heuristic models, random forests, support-vector machines, ensembles and feature-selection strategies, often reporting high accuracy on the datasets used for development (Babagoli et al., 2019; Marchal et al., 2014; Rao &amp; Pais, 2019; Sahingoz et al., 2019).</w:t>
      </w:r>
    </w:p>
    <w:p w14:paraId="6B0CFCD0" w14:textId="77777777" w:rsidR="00FA4CBD" w:rsidRDefault="005F644B">
      <w:pPr>
        <w:ind w:firstLine="360"/>
        <w:jc w:val="both"/>
      </w:pPr>
      <w:r>
        <w:t>The growth of deep learning altered the balance between explicit feature engineering and learned representation. Character-level and sequence models can learn patterns directly from URLs, while convolutional and recurrent models can combine URL, text and visual signals. Multidimensional architectures have been proposed to learn from webpage content and structure, and visual systems such as Phishpedia explicitly identify the impersonated brand by matching logos or related visual evidence (Feng et al., 2020; Lin et al., 2021; Tang &amp; Mahmoud, 2022; Wei et al., 2020; Yang et al., 2019). More recent architectures incorporate attention, graph structure, generative adversarial learning, temporal convolution and contrastive learning, illustrating a field that has moved from classifier selection towards representation design and data-efficient adaptation (Al-Ahmadi et al., 2022; Ariyadasa et al., 2022; Park &amp; Cho, 2026; Xie et al., 2025).</w:t>
      </w:r>
    </w:p>
    <w:p w14:paraId="6C4BAE79" w14:textId="77777777" w:rsidR="00FA4CBD" w:rsidRDefault="005F644B">
      <w:pPr>
        <w:ind w:firstLine="360"/>
        <w:jc w:val="both"/>
      </w:pPr>
      <w:r>
        <w:t>A parallel development has been the demand for explanations. Security analysts and end users may need more than a binary phishing label, particularly when a model blocks a site, escalates an alert or is used to justify organisational controls. Explainable artificial intelligence (XAI) studies have therefore applied feature-attribution methods such as SHapley Additive exPlanations (SHAP) and Local Interpretable Model-agnostic Explanations (LIME), while visual identification systems provide a different form of explanation by naming the brand being imitated. The distinction matters: feature attribution can describe which measured variables were influential for a specific prediction, whereas brand identification can provide an operationally intelligible rationale. Neither form necessarily proves that the model has learned a stable causal signal rather than a dataset-specific correlate (Calzarossa et al., 2024; Mayo et al., 2026; Shafin, 2025).</w:t>
      </w:r>
    </w:p>
    <w:p w14:paraId="2E713BFD" w14:textId="77777777" w:rsidR="00FA4CBD" w:rsidRDefault="005F644B">
      <w:pPr>
        <w:ind w:firstLine="360"/>
        <w:jc w:val="both"/>
      </w:pPr>
      <w:r>
        <w:t>Large language models (LLMs) and multimodal large models have introduced a further change in problem formulation. Rather than training a dedicated classifier from a fixed vector of phishing features, an LLM can be prompted to reason over URL components, webpage text or structured descriptions and can produce both a verdict and an explanation. Multimodal models can additionally inspect screenshots or brand cues. ChatPhishDetector, multimodal phishing identification systems, broad open-source LLM benchmarks and federated multimodal frameworks suggest that language models can participate meaningfully in web-phishing defence (Koide et al., 2024; Lee et al., 2024; Li et al., 2025; Nasution et al., 2025). Yet the newest evidence also reinforces a longstanding lesson: detector quality must be evaluated against adaptive adversaries rather than only against static test sets. Comparative adversarial work has shown substantial degradation in established machine-learning and deep-learning systems, while LLM-based detectors can be more resilient in some settings but are not immune to attack (Ji et al., 2025; Kulkarni et al., 2025).</w:t>
      </w:r>
    </w:p>
    <w:p w14:paraId="49171F45" w14:textId="77777777" w:rsidR="00FA4CBD" w:rsidRDefault="005F644B">
      <w:pPr>
        <w:ind w:firstLine="360"/>
        <w:jc w:val="both"/>
      </w:pPr>
      <w:r>
        <w:t>Existing reviews have documented machine-learning and data-mining techniques, common feature families and the broad evolution of phishing website detection (Jibat et al., 2023; Patil et al., 2022; Safi &amp; Singh, 2023; Tang &amp; Mahmoud, 2021). Recent surveys also capture modern web-phishing techniques and mitigation strategies (Panneerselvam et al., 2025). The literature has nevertheless changed rapidly at the boundary between deep learning, XAI and generative models. A review that simply lists algorithms is now insufficient because the central question is not which method reports the highest accuracy, but which evidence supports robust and accountable detection under realistic operational constraints.</w:t>
      </w:r>
    </w:p>
    <w:p w14:paraId="1717630D" w14:textId="77777777" w:rsidR="00FA4CBD" w:rsidRDefault="005F644B">
      <w:pPr>
        <w:pStyle w:val="Heading2"/>
      </w:pPr>
      <w:r>
        <w:lastRenderedPageBreak/>
        <w:t>1.1 Scope, Research Gap and Objectives</w:t>
      </w:r>
    </w:p>
    <w:p w14:paraId="773F9A0C" w14:textId="77777777" w:rsidR="00FA4CBD" w:rsidRDefault="005F644B">
      <w:pPr>
        <w:ind w:firstLine="360"/>
        <w:jc w:val="both"/>
      </w:pPr>
      <w:r>
        <w:t>This review focuses on automated detection of phishing URLs and web pages. It covers models that use URL, host, hyperlink, HTML, textual, visual and multimodal webpage signals, with emphasis on conventional machine learning, deep learning, explainable artificial intelligence and large language or multimodal generative models. Email-only, short-message-only and voice-phishing systems are outside scope unless a method directly informs web-page classification. The review addresses a gap between algorithm-centred comparisons and deployment-centred evidence by examining how data construction, temporal drift, adversarial manipulation, explanation quality, privacy, computational cost and reproducibility affect the conclusions that can be drawn from reported performance. Its objectives are to compare the evidential strengths and limitations of the major modelling paradigms, identify recurring methodological weaknesses, assess whether XAI and LLMs solve or relocate earlier problems, and develop prioritised research directions for robust, interpretable and operationally proportionate phishing detection.</w:t>
      </w:r>
    </w:p>
    <w:p w14:paraId="5E05C4A1" w14:textId="77777777" w:rsidR="00FA4CBD" w:rsidRDefault="005F644B">
      <w:pPr>
        <w:pStyle w:val="Heading1"/>
      </w:pPr>
      <w:r>
        <w:t>2. Methods for Literature Selection</w:t>
      </w:r>
    </w:p>
    <w:p w14:paraId="1E554183" w14:textId="77777777" w:rsidR="00FA4CBD" w:rsidRDefault="005F644B">
      <w:pPr>
        <w:pStyle w:val="Heading2"/>
      </w:pPr>
      <w:r>
        <w:t>2.1 Review Design and Rationale</w:t>
      </w:r>
    </w:p>
    <w:p w14:paraId="47BEFD14" w14:textId="77777777" w:rsidR="00FA4CBD" w:rsidRDefault="005F644B">
      <w:pPr>
        <w:ind w:firstLine="360"/>
        <w:jc w:val="both"/>
      </w:pPr>
      <w:r>
        <w:t>A critical narrative review was selected because the literature spans heterogeneous problem definitions, input modalities, datasets, metrics and deployment assumptions that do not support a defensible pooled estimate. The aim was therefore interpretive and comparative synthesis rather than formal meta-analysis. Narrative reviewing nevertheless requires explicit scope, transparent source selection and critical appraisal; the SANRA framework was used as a methodological reference for judging clarity of aims, description of literature search, scientific reasoning and appropriate presentation of evidence (Baethge et al., 2019). The review was not treated as a systematic review and no claim is made that every potentially relevant record was captured.</w:t>
      </w:r>
    </w:p>
    <w:p w14:paraId="04FFD4D7" w14:textId="77777777" w:rsidR="00FA4CBD" w:rsidRDefault="005F644B">
      <w:pPr>
        <w:pStyle w:val="Heading2"/>
      </w:pPr>
      <w:r>
        <w:t>2.2 Information Sources</w:t>
      </w:r>
    </w:p>
    <w:p w14:paraId="6594F726" w14:textId="77777777" w:rsidR="00FA4CBD" w:rsidRDefault="005F644B">
      <w:pPr>
        <w:ind w:firstLine="360"/>
        <w:jc w:val="both"/>
      </w:pPr>
      <w:r>
        <w:t>Live literature discovery and verification used accessible scholarly web search together with Crossref-linked DOI records, Directory of Open Access Journals records, DBLP bibliographic records, IEEE Xplore, ACM Digital Library and USENIX Security proceedings. Citation chasing from verified review articles and primary studies was used to identify foundational and methodologically important work. Bibliographic details and Digital Object Identifiers (DOIs) were cross-checked against DOI landing pages, digital-library records or journal metadata before inclusion. Sources that could not be bibliographically verified were not used as evidence.</w:t>
      </w:r>
    </w:p>
    <w:p w14:paraId="1EDA4BBE" w14:textId="77777777" w:rsidR="00FA4CBD" w:rsidRDefault="005F644B">
      <w:pPr>
        <w:pStyle w:val="Heading2"/>
      </w:pPr>
      <w:r>
        <w:t>2.3 Search Strategy and Search Period</w:t>
      </w:r>
    </w:p>
    <w:p w14:paraId="379870D2" w14:textId="77777777" w:rsidR="00FA4CBD" w:rsidRDefault="005F644B">
      <w:pPr>
        <w:ind w:firstLine="360"/>
        <w:jc w:val="both"/>
      </w:pPr>
      <w:r>
        <w:t>The principal search period was 2010 to 9 June 2026, chosen to capture the mature machine-learning era of web-phishing detection through the emergence of LLM-based methods. Earlier foundational work was eligible when necessary for historical context, although the core synthesis prioritised later empirical studies. Search concepts combined the target phenomenon with modelling paradigms and evaluative concerns. A representative search expression was ("phishing website" OR "phishing webpage" OR "phishing URL" OR "malicious URL") AND ("machine learning" OR "deep learning" OR CNN OR LSTM OR transformer OR "visual similarity" OR multimodal OR "explainable AI" OR XAI OR SHAP OR LIME OR "large language model" OR LLM) AND (detection OR classification OR identification) AND (robustness OR adversarial OR generalisation OR explainability OR deployment). Additional searches combined "phishing" with specific model names, visual brand identification, contrastive learning, federated learning and multimodal language models. The final search date was 9 June 2026.</w:t>
      </w:r>
    </w:p>
    <w:p w14:paraId="6E2CF5FD" w14:textId="77777777" w:rsidR="00FA4CBD" w:rsidRDefault="005F644B">
      <w:pPr>
        <w:pStyle w:val="Heading2"/>
      </w:pPr>
      <w:r>
        <w:lastRenderedPageBreak/>
        <w:t>2.4 Eligibility Criteria</w:t>
      </w:r>
    </w:p>
    <w:p w14:paraId="4DE5D29C" w14:textId="77777777" w:rsidR="00FA4CBD" w:rsidRDefault="005F644B">
      <w:pPr>
        <w:ind w:firstLine="360"/>
        <w:jc w:val="both"/>
      </w:pPr>
      <w:r>
        <w:t>Eligible sources were English-language peer-reviewed journal articles and high-quality refereed conference papers that directly evaluated automated detection or identification of phishing URLs or webpages, together with relevant methodological papers and recent scholarly reviews used to establish context. Studies had to provide sufficient bibliographic information and a clearly identifiable detection method, input representation or critical evaluation relevant to the review questions. Priority was given to work using real or plausibly constructed phishing samples and reporting evaluation procedures clearly enough to interpret the evidence. Studies devoted solely to phishing email, short-message phishing, voice phishing or user susceptibility were excluded unless they contributed a directly transferable web-detection method. Non-scholarly opinion pieces, unverifiable items, commercial promotional material and unreviewed preprints were excluded when peer-reviewed evidence was available.</w:t>
      </w:r>
    </w:p>
    <w:p w14:paraId="04CD9380" w14:textId="77777777" w:rsidR="00FA4CBD" w:rsidRDefault="005F644B">
      <w:pPr>
        <w:pStyle w:val="Heading2"/>
      </w:pPr>
      <w:r>
        <w:t>2.5 Screening, Duplicate Handling and Study Selection</w:t>
      </w:r>
    </w:p>
    <w:p w14:paraId="5DA04D65" w14:textId="77777777" w:rsidR="00FA4CBD" w:rsidRDefault="005F644B">
      <w:pPr>
        <w:ind w:firstLine="360"/>
        <w:jc w:val="both"/>
      </w:pPr>
      <w:r>
        <w:t>Records were assessed iteratively by title and abstract, followed by full-text or extended-metadata inspection when the paper was potentially central to the synthesis. Duplicate publications were identified using DOI, title and author metadata; where an online-first and final issue record referred to the same article, the final bibliographic form was retained. Selection was purposive rather than count-driven: studies were retained for conceptual importance, methodological quality, representativeness of a modelling family, evidence of robustness or failure, or direct relevance to emerging XAI and LLM approaches. Inaccessible or bibliographically ambiguous sources were not used for claims that required article-level verification. No screening counts are reported because the review did not implement a prospectively registered systematic-review workflow.</w:t>
      </w:r>
    </w:p>
    <w:p w14:paraId="69C608DC" w14:textId="77777777" w:rsidR="00FA4CBD" w:rsidRDefault="005F644B">
      <w:pPr>
        <w:pStyle w:val="Heading2"/>
      </w:pPr>
      <w:r>
        <w:t>2.6 Critical Appraisal and Evidence Synthesis</w:t>
      </w:r>
    </w:p>
    <w:p w14:paraId="6D4ED2B6" w14:textId="77777777" w:rsidR="00FA4CBD" w:rsidRDefault="005F644B">
      <w:pPr>
        <w:ind w:firstLine="360"/>
        <w:jc w:val="both"/>
      </w:pPr>
      <w:r>
        <w:t>The appraisal considered dataset provenance, temporal design, class balance, feature dependence, train-test separation, external validation, adversarial testing, transparency of preprocessing, computational requirements, reproducibility and whether the evaluation matched the claimed deployment setting. For XAI studies, additional attention was paid to whether explanations were evaluated for stability, fidelity or practical usefulness rather than merely visualised. For LLM-based approaches, the appraisal also considered prompt dependence, model versioning, privacy, inference cost and attack surfaces introduced by untrusted webpage content. Evidence was organised thematically around signal design, conventional machine learning, deep representation learning, XAI, LLMs and cross-cutting deployment constraints. Conflicting results were interpreted in relation to differences in data, representation, task definition and evaluation conditions rather than resolved by citation frequency or headline accuracy.</w:t>
      </w:r>
    </w:p>
    <w:p w14:paraId="03F67473" w14:textId="77777777" w:rsidR="00FA4CBD" w:rsidRDefault="005F644B">
      <w:pPr>
        <w:pStyle w:val="Heading1"/>
      </w:pPr>
      <w:r>
        <w:t>3. The Detection Problem: Signals, Labels and Operational Context</w:t>
      </w:r>
    </w:p>
    <w:p w14:paraId="20DE1BA6" w14:textId="77777777" w:rsidR="00FA4CBD" w:rsidRDefault="005F644B">
      <w:pPr>
        <w:ind w:firstLine="360"/>
        <w:jc w:val="both"/>
      </w:pPr>
      <w:r>
        <w:t>A phishing webpage is a socio-technical artefact: it has a network location, a syntactic URL, a document structure, visible content, brand references and an intended interaction with the victim. Detection models differ chiefly in which parts of that artefact they observe and how much external context they require. URL-only methods treat the address as a sequence or engineered set of lexical properties. Host-aware models add information about domain registration, resolution, certificates or reputation. Content models inspect HTML, scripts, hyperlinks, forms and text. Visual models render the page and analyse screenshots, logos or layout. Multimodal systems integrate several of these views. The choice is not merely technical; it determines latency, privacy exposure, resilience to cloaking and the point at which a defence can intervene (Safi &amp; Singh, 2023; Tang &amp; Mahmoud, 2021).</w:t>
      </w:r>
    </w:p>
    <w:p w14:paraId="03D767CE" w14:textId="77777777" w:rsidR="00FA4CBD" w:rsidRDefault="005F644B">
      <w:pPr>
        <w:pStyle w:val="Heading2"/>
      </w:pPr>
      <w:r>
        <w:lastRenderedPageBreak/>
        <w:t>3.1 URL and Host Signals</w:t>
      </w:r>
    </w:p>
    <w:p w14:paraId="79B5FBA9" w14:textId="77777777" w:rsidR="00FA4CBD" w:rsidRDefault="005F644B">
      <w:pPr>
        <w:ind w:firstLine="360"/>
        <w:jc w:val="both"/>
      </w:pPr>
      <w:r>
        <w:t>URL-based detection remains attractive because the input is available before a page is fully rendered and can be processed with low computational overhead. Handcrafted features commonly include length, token composition, delimiter patterns, suspicious subdomains, character distributions and lexical similarity to known brands. Streaming methods demonstrated that URL analysis can support rapid classification at scale, and later machine-learning studies found strong performance from ensembles and feature-selection methods using URL-dominant inputs (Marchal et al., 2014; Sahingoz et al., 2019). Deep sequence models extend the same premise by treating the URL as a character or token sequence and learning representations rather than relying exclusively on manually designed statistics (Wei et al., 2020).</w:t>
      </w:r>
    </w:p>
    <w:p w14:paraId="55847A94" w14:textId="77777777" w:rsidR="00FA4CBD" w:rsidRDefault="005F644B">
      <w:pPr>
        <w:ind w:firstLine="360"/>
        <w:jc w:val="both"/>
      </w:pPr>
      <w:r>
        <w:t>The central limitation is observability. A URL contains useful evidence about attacker naming strategies but cannot express all deceptive properties of the rendered page. Attackers can use compromised domains, benign-looking paths, URL shorteners, redirections or domains with no obvious lexical anomaly. Conversely, long or unusual legitimate URLs can resemble malicious strings. Host and reputation features add context, but they may depend on external services that introduce latency, rate limits and a degree of circularity if the supposedly predictive signal is itself derived from earlier detections. Rao and Pais (2019) explicitly examined models with and without third-party features, illustrating that apparent accuracy and operational independence are not identical objectives.</w:t>
      </w:r>
    </w:p>
    <w:p w14:paraId="565F6717" w14:textId="77777777" w:rsidR="00FA4CBD" w:rsidRDefault="005F644B">
      <w:pPr>
        <w:pStyle w:val="Heading2"/>
      </w:pPr>
      <w:r>
        <w:t>3.2 HTML, Hyperlink and Content Signals</w:t>
      </w:r>
    </w:p>
    <w:p w14:paraId="2502C9B4" w14:textId="77777777" w:rsidR="00FA4CBD" w:rsidRDefault="005F644B">
      <w:pPr>
        <w:ind w:firstLine="360"/>
        <w:jc w:val="both"/>
      </w:pPr>
      <w:r>
        <w:t>Page-level features broaden the evidence base by measuring how a document behaves rather than only how it is named. Hyperlink ratios, external resource patterns, form actions, embedded frames, suspicious script behaviour and mismatch between visible and destination links have repeatedly been used as discriminative signals. Jain and Gupta (2019) showed the continuing value of hyperlink information, while integrated-feature systems combined images, frames and text to capture cues that URL-only models miss (Adebowale et al., 2019). Graph-oriented deep models further treat URL and HTML relationships as structured rather than independent evidence (Ariyadasa et al., 2022).</w:t>
      </w:r>
    </w:p>
    <w:p w14:paraId="7700CAE4" w14:textId="77777777" w:rsidR="00FA4CBD" w:rsidRDefault="005F644B">
      <w:pPr>
        <w:ind w:firstLine="360"/>
        <w:jc w:val="both"/>
      </w:pPr>
      <w:r>
        <w:t>These richer signals carry a cost. The detector may have to fetch potentially hostile content, execute or partially render scripts, and decide how to handle dynamic resources or geolocation-specific behaviour. Phishing pages are often short lived, and some alter their content according to user agent, IP address, referral path or suspected crawler identity. A laboratory snapshot can therefore differ from what a victim sees. Content features are also easy for an adaptive attacker to manipulate if the defensive feature set becomes predictable. This creates a recurring tension: features that are semantically informative can be expensive and attackable, whereas cheap features can be incomplete.</w:t>
      </w:r>
    </w:p>
    <w:p w14:paraId="7474781F" w14:textId="77777777" w:rsidR="00FA4CBD" w:rsidRDefault="005F644B">
      <w:pPr>
        <w:pStyle w:val="Heading2"/>
      </w:pPr>
      <w:r>
        <w:t>3.3 Visual and Brand-Centred Signals</w:t>
      </w:r>
    </w:p>
    <w:p w14:paraId="333141A9" w14:textId="77777777" w:rsidR="00FA4CBD" w:rsidRDefault="005F644B">
      <w:pPr>
        <w:ind w:firstLine="360"/>
        <w:jc w:val="both"/>
      </w:pPr>
      <w:r>
        <w:t>Visual similarity addresses the core social-engineering mechanism more directly by asking whether the page imitates a legitimate brand. Earlier visual-similarity work established that screenshot and layout analysis could complement lexical and structural features, while later deep visual systems learned representations for logos or page appearance (Chen et al., 2020; Jain &amp; Gupta, 2017). Phishpedia made the distinction between detection and identification explicit: instead of merely labelling a webpage as phishing, it identifies the brand being impersonated by detecting and matching logos, which provides a human-interpretable explanation and can work without training on phishing samples (Lin et al., 2021).</w:t>
      </w:r>
    </w:p>
    <w:p w14:paraId="03B0C8BD" w14:textId="77777777" w:rsidR="00FA4CBD" w:rsidRDefault="005F644B">
      <w:pPr>
        <w:ind w:firstLine="360"/>
        <w:jc w:val="both"/>
      </w:pPr>
      <w:r>
        <w:t xml:space="preserve">Visual methods are particularly attractive for previously unseen phishing infrastructure because visual imitation can persist even when domains and code change. Yet this advantage depends on a maintained reference set and on the assumption that the phishing page visibly contains a recognisable identity cue. Real-world evaluation has exposed substantial weaknesses when pages omit logos, use benign-looking or modified </w:t>
      </w:r>
      <w:r>
        <w:lastRenderedPageBreak/>
        <w:t>logos, change layout, or directly target the visual pipeline. Ji et al. (2025) found that models performing strongly on curated data could degrade markedly on a large real-world corpus and under manipulations directed at visual features. Visual similarity should therefore be treated as a complementary semantic signal rather than a universally reliable detector.</w:t>
      </w:r>
    </w:p>
    <w:p w14:paraId="3011B40E" w14:textId="77777777" w:rsidR="00FA4CBD" w:rsidRDefault="005F644B">
      <w:pPr>
        <w:pStyle w:val="Heading2"/>
      </w:pPr>
      <w:r>
        <w:t>3.4 Labels and the Difference Between Benchmark and Deployment Tasks</w:t>
      </w:r>
    </w:p>
    <w:p w14:paraId="32355C2C" w14:textId="77777777" w:rsidR="00FA4CBD" w:rsidRDefault="005F644B">
      <w:pPr>
        <w:ind w:firstLine="360"/>
        <w:jc w:val="both"/>
      </w:pPr>
      <w:r>
        <w:t>Phishing detection papers often share the same binary labels but not the same underlying task. A balanced dataset of archived phishing and legitimate URLs supports a different inference problem from a production gateway where phishing is rare, labels arrive late and benign traffic is diverse. A static random split tests interpolation within a collected dataset; a temporally separated split tests adaptation to later attacker behaviour. A cross-source evaluation tests whether the model learned phishing properties or source-specific artefacts. Likewise, a benchmark in which every phishing page visibly imitates a known brand is easier for a visual identifier than a population containing credential forms without logos, compromised sites and multi-stage redirects.</w:t>
      </w:r>
    </w:p>
    <w:p w14:paraId="441DCAB7" w14:textId="77777777" w:rsidR="00FA4CBD" w:rsidRDefault="005F644B">
      <w:pPr>
        <w:ind w:firstLine="360"/>
        <w:jc w:val="both"/>
      </w:pPr>
      <w:r>
        <w:t>This distinction explains why high reported accuracy does not, on its own, establish operational superiority. Reviews across the field repeatedly identify heterogeneity in datasets, feature definitions and validation procedures as barriers to comparison (Jibat et al., 2023; Safi &amp; Singh, 2023; Tang &amp; Mahmoud, 2021). The most informative studies increasingly test harder conditions: live or temporally evolving data, multiple sources, limited-data settings and deliberately adversarial pages (Ji et al., 2025; Kulkarni et al., 2025; Park &amp; Cho, 2026). The methodological trajectory therefore points away from single benchmark scores and towards evidence about where a detector fails.</w:t>
      </w:r>
    </w:p>
    <w:p w14:paraId="45F6BA4D" w14:textId="77777777" w:rsidR="00FA4CBD" w:rsidRDefault="005F644B">
      <w:pPr>
        <w:ind w:firstLine="360"/>
        <w:jc w:val="both"/>
      </w:pPr>
      <w:r>
        <w:t>The comparison in Table 1 summarises the main signal families and clarifies why no single feature space dominates across deployment settings. URL features are early and inexpensive but semantically limited; webpage structure and visual evidence are richer but require fetching or rendering; external reputation can be powerful but depends on prior knowledge; and multimodal inputs offer broader coverage at the price of greater complexity and attack surface.</w:t>
      </w:r>
    </w:p>
    <w:p w14:paraId="2556046D" w14:textId="77777777" w:rsidR="00FA4CBD" w:rsidRDefault="005F644B">
      <w:pPr>
        <w:pStyle w:val="Caption"/>
        <w:keepNext/>
      </w:pPr>
      <w:r>
        <w:t>Table 1. Major signal families in web-based phishing detection and their operational trade-offs</w:t>
      </w:r>
    </w:p>
    <w:tbl>
      <w:tblPr>
        <w:tblStyle w:val="TableGrid"/>
        <w:tblW w:w="0" w:type="auto"/>
        <w:jc w:val="center"/>
        <w:tblLayout w:type="fixed"/>
        <w:tblLook w:val="04A0" w:firstRow="1" w:lastRow="0" w:firstColumn="1" w:lastColumn="0" w:noHBand="0" w:noVBand="1"/>
      </w:tblPr>
      <w:tblGrid>
        <w:gridCol w:w="1512"/>
        <w:gridCol w:w="2088"/>
        <w:gridCol w:w="1944"/>
        <w:gridCol w:w="2664"/>
        <w:gridCol w:w="1728"/>
      </w:tblGrid>
      <w:tr w:rsidR="00FA4CBD" w14:paraId="5ECF67AD" w14:textId="77777777">
        <w:trPr>
          <w:tblHeader/>
          <w:jc w:val="center"/>
        </w:trPr>
        <w:tc>
          <w:tcPr>
            <w:tcW w:w="1512" w:type="dxa"/>
            <w:shd w:val="clear" w:color="auto" w:fill="D9E2F3"/>
            <w:tcMar>
              <w:top w:w="80" w:type="dxa"/>
              <w:left w:w="90" w:type="dxa"/>
              <w:bottom w:w="80" w:type="dxa"/>
              <w:right w:w="90" w:type="dxa"/>
            </w:tcMar>
            <w:vAlign w:val="center"/>
          </w:tcPr>
          <w:p w14:paraId="6FF48503" w14:textId="77777777" w:rsidR="00FA4CBD" w:rsidRDefault="005F644B">
            <w:pPr>
              <w:spacing w:after="0" w:line="240" w:lineRule="auto"/>
              <w:jc w:val="center"/>
            </w:pPr>
            <w:r>
              <w:rPr>
                <w:b/>
                <w:sz w:val="16"/>
              </w:rPr>
              <w:t>Signal family</w:t>
            </w:r>
          </w:p>
        </w:tc>
        <w:tc>
          <w:tcPr>
            <w:tcW w:w="2088" w:type="dxa"/>
            <w:shd w:val="clear" w:color="auto" w:fill="D9E2F3"/>
            <w:tcMar>
              <w:top w:w="80" w:type="dxa"/>
              <w:left w:w="90" w:type="dxa"/>
              <w:bottom w:w="80" w:type="dxa"/>
              <w:right w:w="90" w:type="dxa"/>
            </w:tcMar>
            <w:vAlign w:val="center"/>
          </w:tcPr>
          <w:p w14:paraId="129FC5DE" w14:textId="77777777" w:rsidR="00FA4CBD" w:rsidRDefault="005F644B">
            <w:pPr>
              <w:spacing w:after="0" w:line="240" w:lineRule="auto"/>
              <w:jc w:val="center"/>
            </w:pPr>
            <w:r>
              <w:rPr>
                <w:b/>
                <w:sz w:val="16"/>
              </w:rPr>
              <w:t>Representative cues</w:t>
            </w:r>
          </w:p>
        </w:tc>
        <w:tc>
          <w:tcPr>
            <w:tcW w:w="1944" w:type="dxa"/>
            <w:shd w:val="clear" w:color="auto" w:fill="D9E2F3"/>
            <w:tcMar>
              <w:top w:w="80" w:type="dxa"/>
              <w:left w:w="90" w:type="dxa"/>
              <w:bottom w:w="80" w:type="dxa"/>
              <w:right w:w="90" w:type="dxa"/>
            </w:tcMar>
            <w:vAlign w:val="center"/>
          </w:tcPr>
          <w:p w14:paraId="1676A034" w14:textId="77777777" w:rsidR="00FA4CBD" w:rsidRDefault="005F644B">
            <w:pPr>
              <w:spacing w:after="0" w:line="240" w:lineRule="auto"/>
              <w:jc w:val="center"/>
            </w:pPr>
            <w:r>
              <w:rPr>
                <w:b/>
                <w:sz w:val="16"/>
              </w:rPr>
              <w:t>Principal value</w:t>
            </w:r>
          </w:p>
        </w:tc>
        <w:tc>
          <w:tcPr>
            <w:tcW w:w="2664" w:type="dxa"/>
            <w:shd w:val="clear" w:color="auto" w:fill="D9E2F3"/>
            <w:tcMar>
              <w:top w:w="80" w:type="dxa"/>
              <w:left w:w="90" w:type="dxa"/>
              <w:bottom w:w="80" w:type="dxa"/>
              <w:right w:w="90" w:type="dxa"/>
            </w:tcMar>
            <w:vAlign w:val="center"/>
          </w:tcPr>
          <w:p w14:paraId="5FECBA76" w14:textId="77777777" w:rsidR="00FA4CBD" w:rsidRDefault="005F644B">
            <w:pPr>
              <w:spacing w:after="0" w:line="240" w:lineRule="auto"/>
              <w:jc w:val="center"/>
            </w:pPr>
            <w:r>
              <w:rPr>
                <w:b/>
                <w:sz w:val="16"/>
              </w:rPr>
              <w:t>Main limitations and deployment implications</w:t>
            </w:r>
          </w:p>
        </w:tc>
        <w:tc>
          <w:tcPr>
            <w:tcW w:w="1728" w:type="dxa"/>
            <w:shd w:val="clear" w:color="auto" w:fill="D9E2F3"/>
            <w:tcMar>
              <w:top w:w="80" w:type="dxa"/>
              <w:left w:w="90" w:type="dxa"/>
              <w:bottom w:w="80" w:type="dxa"/>
              <w:right w:w="90" w:type="dxa"/>
            </w:tcMar>
            <w:vAlign w:val="center"/>
          </w:tcPr>
          <w:p w14:paraId="17BA3D53" w14:textId="77777777" w:rsidR="00FA4CBD" w:rsidRDefault="005F644B">
            <w:pPr>
              <w:spacing w:after="0" w:line="240" w:lineRule="auto"/>
              <w:jc w:val="center"/>
            </w:pPr>
            <w:r>
              <w:rPr>
                <w:b/>
                <w:sz w:val="16"/>
              </w:rPr>
              <w:t>Supporting references</w:t>
            </w:r>
          </w:p>
        </w:tc>
      </w:tr>
      <w:tr w:rsidR="00FA4CBD" w14:paraId="083C4BBB" w14:textId="77777777">
        <w:trPr>
          <w:cantSplit/>
          <w:jc w:val="center"/>
        </w:trPr>
        <w:tc>
          <w:tcPr>
            <w:tcW w:w="1512" w:type="dxa"/>
            <w:tcMar>
              <w:top w:w="80" w:type="dxa"/>
              <w:left w:w="90" w:type="dxa"/>
              <w:bottom w:w="80" w:type="dxa"/>
              <w:right w:w="90" w:type="dxa"/>
            </w:tcMar>
            <w:vAlign w:val="center"/>
          </w:tcPr>
          <w:p w14:paraId="55C93F79" w14:textId="77777777" w:rsidR="00FA4CBD" w:rsidRDefault="005F644B">
            <w:pPr>
              <w:spacing w:after="0" w:line="240" w:lineRule="auto"/>
            </w:pPr>
            <w:r>
              <w:rPr>
                <w:b/>
                <w:sz w:val="16"/>
              </w:rPr>
              <w:t>URL lexical and sequential</w:t>
            </w:r>
          </w:p>
        </w:tc>
        <w:tc>
          <w:tcPr>
            <w:tcW w:w="2088" w:type="dxa"/>
            <w:tcMar>
              <w:top w:w="80" w:type="dxa"/>
              <w:left w:w="90" w:type="dxa"/>
              <w:bottom w:w="80" w:type="dxa"/>
              <w:right w:w="90" w:type="dxa"/>
            </w:tcMar>
            <w:vAlign w:val="center"/>
          </w:tcPr>
          <w:p w14:paraId="2494E6D1" w14:textId="77777777" w:rsidR="00FA4CBD" w:rsidRDefault="005F644B">
            <w:pPr>
              <w:spacing w:after="0" w:line="240" w:lineRule="auto"/>
            </w:pPr>
            <w:r>
              <w:rPr>
                <w:sz w:val="16"/>
              </w:rPr>
              <w:t>Length, tokens, delimiters, subdomains, character patterns, brand-like strings</w:t>
            </w:r>
          </w:p>
        </w:tc>
        <w:tc>
          <w:tcPr>
            <w:tcW w:w="1944" w:type="dxa"/>
            <w:tcMar>
              <w:top w:w="80" w:type="dxa"/>
              <w:left w:w="90" w:type="dxa"/>
              <w:bottom w:w="80" w:type="dxa"/>
              <w:right w:w="90" w:type="dxa"/>
            </w:tcMar>
            <w:vAlign w:val="center"/>
          </w:tcPr>
          <w:p w14:paraId="7F679BF1" w14:textId="77777777" w:rsidR="00FA4CBD" w:rsidRDefault="005F644B">
            <w:pPr>
              <w:spacing w:after="0" w:line="240" w:lineRule="auto"/>
            </w:pPr>
            <w:r>
              <w:rPr>
                <w:sz w:val="16"/>
              </w:rPr>
              <w:t>Available before page rendering; low-latency; suitable for local or gateway screening</w:t>
            </w:r>
          </w:p>
        </w:tc>
        <w:tc>
          <w:tcPr>
            <w:tcW w:w="2664" w:type="dxa"/>
            <w:tcMar>
              <w:top w:w="80" w:type="dxa"/>
              <w:left w:w="90" w:type="dxa"/>
              <w:bottom w:w="80" w:type="dxa"/>
              <w:right w:w="90" w:type="dxa"/>
            </w:tcMar>
            <w:vAlign w:val="center"/>
          </w:tcPr>
          <w:p w14:paraId="44D65959" w14:textId="77777777" w:rsidR="00FA4CBD" w:rsidRDefault="005F644B">
            <w:pPr>
              <w:spacing w:after="0" w:line="240" w:lineRule="auto"/>
            </w:pPr>
            <w:r>
              <w:rPr>
                <w:sz w:val="16"/>
              </w:rPr>
              <w:t>Limited semantic view; compromised or carefully crafted domains can appear benign; vulnerable to temporal lexical drift</w:t>
            </w:r>
          </w:p>
        </w:tc>
        <w:tc>
          <w:tcPr>
            <w:tcW w:w="1728" w:type="dxa"/>
            <w:tcMar>
              <w:top w:w="80" w:type="dxa"/>
              <w:left w:w="90" w:type="dxa"/>
              <w:bottom w:w="80" w:type="dxa"/>
              <w:right w:w="90" w:type="dxa"/>
            </w:tcMar>
            <w:vAlign w:val="center"/>
          </w:tcPr>
          <w:p w14:paraId="6E2E7B47" w14:textId="77777777" w:rsidR="00FA4CBD" w:rsidRDefault="005F644B">
            <w:pPr>
              <w:spacing w:after="0" w:line="240" w:lineRule="auto"/>
            </w:pPr>
            <w:r>
              <w:rPr>
                <w:sz w:val="16"/>
              </w:rPr>
              <w:t>(Marchal et al., 2014; Sahingoz et al., 2019; Wei et al., 2020)</w:t>
            </w:r>
          </w:p>
        </w:tc>
      </w:tr>
      <w:tr w:rsidR="00FA4CBD" w14:paraId="2BD773DF" w14:textId="77777777">
        <w:trPr>
          <w:cantSplit/>
          <w:jc w:val="center"/>
        </w:trPr>
        <w:tc>
          <w:tcPr>
            <w:tcW w:w="1512" w:type="dxa"/>
            <w:tcMar>
              <w:top w:w="80" w:type="dxa"/>
              <w:left w:w="90" w:type="dxa"/>
              <w:bottom w:w="80" w:type="dxa"/>
              <w:right w:w="90" w:type="dxa"/>
            </w:tcMar>
            <w:vAlign w:val="center"/>
          </w:tcPr>
          <w:p w14:paraId="0C31FF02" w14:textId="77777777" w:rsidR="00FA4CBD" w:rsidRDefault="005F644B">
            <w:pPr>
              <w:spacing w:after="0" w:line="240" w:lineRule="auto"/>
            </w:pPr>
            <w:r>
              <w:rPr>
                <w:b/>
                <w:sz w:val="16"/>
              </w:rPr>
              <w:t>Host and reputation</w:t>
            </w:r>
          </w:p>
        </w:tc>
        <w:tc>
          <w:tcPr>
            <w:tcW w:w="2088" w:type="dxa"/>
            <w:tcMar>
              <w:top w:w="80" w:type="dxa"/>
              <w:left w:w="90" w:type="dxa"/>
              <w:bottom w:w="80" w:type="dxa"/>
              <w:right w:w="90" w:type="dxa"/>
            </w:tcMar>
            <w:vAlign w:val="center"/>
          </w:tcPr>
          <w:p w14:paraId="75109A6F" w14:textId="77777777" w:rsidR="00FA4CBD" w:rsidRDefault="005F644B">
            <w:pPr>
              <w:spacing w:after="0" w:line="240" w:lineRule="auto"/>
            </w:pPr>
            <w:r>
              <w:rPr>
                <w:sz w:val="16"/>
              </w:rPr>
              <w:t>Domain age or registration context, DNS or certificate properties, prior reports and reputation</w:t>
            </w:r>
          </w:p>
        </w:tc>
        <w:tc>
          <w:tcPr>
            <w:tcW w:w="1944" w:type="dxa"/>
            <w:tcMar>
              <w:top w:w="80" w:type="dxa"/>
              <w:left w:w="90" w:type="dxa"/>
              <w:bottom w:w="80" w:type="dxa"/>
              <w:right w:w="90" w:type="dxa"/>
            </w:tcMar>
            <w:vAlign w:val="center"/>
          </w:tcPr>
          <w:p w14:paraId="190182B2" w14:textId="77777777" w:rsidR="00FA4CBD" w:rsidRDefault="005F644B">
            <w:pPr>
              <w:spacing w:after="0" w:line="240" w:lineRule="auto"/>
            </w:pPr>
            <w:r>
              <w:rPr>
                <w:sz w:val="16"/>
              </w:rPr>
              <w:t>Adds infrastructure context and can block known malicious assets efficiently</w:t>
            </w:r>
          </w:p>
        </w:tc>
        <w:tc>
          <w:tcPr>
            <w:tcW w:w="2664" w:type="dxa"/>
            <w:tcMar>
              <w:top w:w="80" w:type="dxa"/>
              <w:left w:w="90" w:type="dxa"/>
              <w:bottom w:w="80" w:type="dxa"/>
              <w:right w:w="90" w:type="dxa"/>
            </w:tcMar>
            <w:vAlign w:val="center"/>
          </w:tcPr>
          <w:p w14:paraId="69FFAF91" w14:textId="77777777" w:rsidR="00FA4CBD" w:rsidRDefault="005F644B">
            <w:pPr>
              <w:spacing w:after="0" w:line="240" w:lineRule="auto"/>
            </w:pPr>
            <w:r>
              <w:rPr>
                <w:sz w:val="16"/>
              </w:rPr>
              <w:t>May require external services, add latency, or encode prior detection; weaker for newly created or compromised infrastructure</w:t>
            </w:r>
          </w:p>
        </w:tc>
        <w:tc>
          <w:tcPr>
            <w:tcW w:w="1728" w:type="dxa"/>
            <w:tcMar>
              <w:top w:w="80" w:type="dxa"/>
              <w:left w:w="90" w:type="dxa"/>
              <w:bottom w:w="80" w:type="dxa"/>
              <w:right w:w="90" w:type="dxa"/>
            </w:tcMar>
            <w:vAlign w:val="center"/>
          </w:tcPr>
          <w:p w14:paraId="10FF43C4" w14:textId="77777777" w:rsidR="00FA4CBD" w:rsidRDefault="005F644B">
            <w:pPr>
              <w:spacing w:after="0" w:line="240" w:lineRule="auto"/>
            </w:pPr>
            <w:r>
              <w:rPr>
                <w:sz w:val="16"/>
              </w:rPr>
              <w:t>(Rao &amp; Pais, 2019; Tang &amp; Mahmoud, 2021)</w:t>
            </w:r>
          </w:p>
        </w:tc>
      </w:tr>
      <w:tr w:rsidR="00FA4CBD" w14:paraId="6C28AF30" w14:textId="77777777">
        <w:trPr>
          <w:cantSplit/>
          <w:jc w:val="center"/>
        </w:trPr>
        <w:tc>
          <w:tcPr>
            <w:tcW w:w="1512" w:type="dxa"/>
            <w:tcMar>
              <w:top w:w="80" w:type="dxa"/>
              <w:left w:w="90" w:type="dxa"/>
              <w:bottom w:w="80" w:type="dxa"/>
              <w:right w:w="90" w:type="dxa"/>
            </w:tcMar>
            <w:vAlign w:val="center"/>
          </w:tcPr>
          <w:p w14:paraId="0384F84C" w14:textId="77777777" w:rsidR="00FA4CBD" w:rsidRDefault="005F644B">
            <w:pPr>
              <w:spacing w:after="0" w:line="240" w:lineRule="auto"/>
            </w:pPr>
            <w:r>
              <w:rPr>
                <w:b/>
                <w:sz w:val="16"/>
              </w:rPr>
              <w:t>Hyperlink and HTML structure</w:t>
            </w:r>
          </w:p>
        </w:tc>
        <w:tc>
          <w:tcPr>
            <w:tcW w:w="2088" w:type="dxa"/>
            <w:tcMar>
              <w:top w:w="80" w:type="dxa"/>
              <w:left w:w="90" w:type="dxa"/>
              <w:bottom w:w="80" w:type="dxa"/>
              <w:right w:w="90" w:type="dxa"/>
            </w:tcMar>
            <w:vAlign w:val="center"/>
          </w:tcPr>
          <w:p w14:paraId="1F363DA0" w14:textId="77777777" w:rsidR="00FA4CBD" w:rsidRDefault="005F644B">
            <w:pPr>
              <w:spacing w:after="0" w:line="240" w:lineRule="auto"/>
            </w:pPr>
            <w:r>
              <w:rPr>
                <w:sz w:val="16"/>
              </w:rPr>
              <w:t>External-link ratios, form actions, frames, redirects, scripts, DOM or graph relations</w:t>
            </w:r>
          </w:p>
        </w:tc>
        <w:tc>
          <w:tcPr>
            <w:tcW w:w="1944" w:type="dxa"/>
            <w:tcMar>
              <w:top w:w="80" w:type="dxa"/>
              <w:left w:w="90" w:type="dxa"/>
              <w:bottom w:w="80" w:type="dxa"/>
              <w:right w:w="90" w:type="dxa"/>
            </w:tcMar>
            <w:vAlign w:val="center"/>
          </w:tcPr>
          <w:p w14:paraId="7EE6D792" w14:textId="77777777" w:rsidR="00FA4CBD" w:rsidRDefault="005F644B">
            <w:pPr>
              <w:spacing w:after="0" w:line="240" w:lineRule="auto"/>
            </w:pPr>
            <w:r>
              <w:rPr>
                <w:sz w:val="16"/>
              </w:rPr>
              <w:t>Observes webpage behaviour and structure that URLs cannot express</w:t>
            </w:r>
          </w:p>
        </w:tc>
        <w:tc>
          <w:tcPr>
            <w:tcW w:w="2664" w:type="dxa"/>
            <w:tcMar>
              <w:top w:w="80" w:type="dxa"/>
              <w:left w:w="90" w:type="dxa"/>
              <w:bottom w:w="80" w:type="dxa"/>
              <w:right w:w="90" w:type="dxa"/>
            </w:tcMar>
            <w:vAlign w:val="center"/>
          </w:tcPr>
          <w:p w14:paraId="78E901EF" w14:textId="77777777" w:rsidR="00FA4CBD" w:rsidRDefault="005F644B">
            <w:pPr>
              <w:spacing w:after="0" w:line="240" w:lineRule="auto"/>
            </w:pPr>
            <w:r>
              <w:rPr>
                <w:sz w:val="16"/>
              </w:rPr>
              <w:t>Requires fetching untrusted content; dynamic rendering and cloaking complicate reliable acquisition</w:t>
            </w:r>
          </w:p>
        </w:tc>
        <w:tc>
          <w:tcPr>
            <w:tcW w:w="1728" w:type="dxa"/>
            <w:tcMar>
              <w:top w:w="80" w:type="dxa"/>
              <w:left w:w="90" w:type="dxa"/>
              <w:bottom w:w="80" w:type="dxa"/>
              <w:right w:w="90" w:type="dxa"/>
            </w:tcMar>
            <w:vAlign w:val="center"/>
          </w:tcPr>
          <w:p w14:paraId="1DFC1E72" w14:textId="77777777" w:rsidR="00FA4CBD" w:rsidRDefault="005F644B">
            <w:pPr>
              <w:spacing w:after="0" w:line="240" w:lineRule="auto"/>
            </w:pPr>
            <w:r>
              <w:rPr>
                <w:sz w:val="16"/>
              </w:rPr>
              <w:t>(Adebowale et al., 2019; Ariyadasa et al., 2022; Jain &amp; Gupta, 2019)</w:t>
            </w:r>
          </w:p>
        </w:tc>
      </w:tr>
      <w:tr w:rsidR="00FA4CBD" w14:paraId="4180C61C" w14:textId="77777777">
        <w:trPr>
          <w:cantSplit/>
          <w:jc w:val="center"/>
        </w:trPr>
        <w:tc>
          <w:tcPr>
            <w:tcW w:w="1512" w:type="dxa"/>
            <w:tcMar>
              <w:top w:w="80" w:type="dxa"/>
              <w:left w:w="90" w:type="dxa"/>
              <w:bottom w:w="80" w:type="dxa"/>
              <w:right w:w="90" w:type="dxa"/>
            </w:tcMar>
            <w:vAlign w:val="center"/>
          </w:tcPr>
          <w:p w14:paraId="6FD5B1FB" w14:textId="77777777" w:rsidR="00FA4CBD" w:rsidRDefault="005F644B">
            <w:pPr>
              <w:spacing w:after="0" w:line="240" w:lineRule="auto"/>
            </w:pPr>
            <w:r>
              <w:rPr>
                <w:b/>
                <w:sz w:val="16"/>
              </w:rPr>
              <w:t>Textual and semantic content</w:t>
            </w:r>
          </w:p>
        </w:tc>
        <w:tc>
          <w:tcPr>
            <w:tcW w:w="2088" w:type="dxa"/>
            <w:tcMar>
              <w:top w:w="80" w:type="dxa"/>
              <w:left w:w="90" w:type="dxa"/>
              <w:bottom w:w="80" w:type="dxa"/>
              <w:right w:w="90" w:type="dxa"/>
            </w:tcMar>
            <w:vAlign w:val="center"/>
          </w:tcPr>
          <w:p w14:paraId="7419D999" w14:textId="77777777" w:rsidR="00FA4CBD" w:rsidRDefault="005F644B">
            <w:pPr>
              <w:spacing w:after="0" w:line="240" w:lineRule="auto"/>
            </w:pPr>
            <w:r>
              <w:rPr>
                <w:sz w:val="16"/>
              </w:rPr>
              <w:t>Brand terms, login language, document text, semantic inconsistency</w:t>
            </w:r>
          </w:p>
        </w:tc>
        <w:tc>
          <w:tcPr>
            <w:tcW w:w="1944" w:type="dxa"/>
            <w:tcMar>
              <w:top w:w="80" w:type="dxa"/>
              <w:left w:w="90" w:type="dxa"/>
              <w:bottom w:w="80" w:type="dxa"/>
              <w:right w:w="90" w:type="dxa"/>
            </w:tcMar>
            <w:vAlign w:val="center"/>
          </w:tcPr>
          <w:p w14:paraId="1EBDC6AF" w14:textId="77777777" w:rsidR="00FA4CBD" w:rsidRDefault="005F644B">
            <w:pPr>
              <w:spacing w:after="0" w:line="240" w:lineRule="auto"/>
            </w:pPr>
            <w:r>
              <w:rPr>
                <w:sz w:val="16"/>
              </w:rPr>
              <w:t>Captures social-engineering meaning and can support multilingual or contextual reasoning</w:t>
            </w:r>
          </w:p>
        </w:tc>
        <w:tc>
          <w:tcPr>
            <w:tcW w:w="2664" w:type="dxa"/>
            <w:tcMar>
              <w:top w:w="80" w:type="dxa"/>
              <w:left w:w="90" w:type="dxa"/>
              <w:bottom w:w="80" w:type="dxa"/>
              <w:right w:w="90" w:type="dxa"/>
            </w:tcMar>
            <w:vAlign w:val="center"/>
          </w:tcPr>
          <w:p w14:paraId="717BE40A" w14:textId="77777777" w:rsidR="00FA4CBD" w:rsidRDefault="005F644B">
            <w:pPr>
              <w:spacing w:after="0" w:line="240" w:lineRule="auto"/>
            </w:pPr>
            <w:r>
              <w:rPr>
                <w:sz w:val="16"/>
              </w:rPr>
              <w:t>Content is attacker-controlled; obfuscation and language variation can shift the signal</w:t>
            </w:r>
          </w:p>
        </w:tc>
        <w:tc>
          <w:tcPr>
            <w:tcW w:w="1728" w:type="dxa"/>
            <w:tcMar>
              <w:top w:w="80" w:type="dxa"/>
              <w:left w:w="90" w:type="dxa"/>
              <w:bottom w:w="80" w:type="dxa"/>
              <w:right w:w="90" w:type="dxa"/>
            </w:tcMar>
            <w:vAlign w:val="center"/>
          </w:tcPr>
          <w:p w14:paraId="38E843E0" w14:textId="77777777" w:rsidR="00FA4CBD" w:rsidRDefault="005F644B">
            <w:pPr>
              <w:spacing w:after="0" w:line="240" w:lineRule="auto"/>
            </w:pPr>
            <w:r>
              <w:rPr>
                <w:sz w:val="16"/>
              </w:rPr>
              <w:t>(Feng et al., 2020; Koide et al., 2024)</w:t>
            </w:r>
          </w:p>
        </w:tc>
      </w:tr>
      <w:tr w:rsidR="00FA4CBD" w14:paraId="69FCB7A5" w14:textId="77777777">
        <w:trPr>
          <w:cantSplit/>
          <w:jc w:val="center"/>
        </w:trPr>
        <w:tc>
          <w:tcPr>
            <w:tcW w:w="1512" w:type="dxa"/>
            <w:tcMar>
              <w:top w:w="80" w:type="dxa"/>
              <w:left w:w="90" w:type="dxa"/>
              <w:bottom w:w="80" w:type="dxa"/>
              <w:right w:w="90" w:type="dxa"/>
            </w:tcMar>
            <w:vAlign w:val="center"/>
          </w:tcPr>
          <w:p w14:paraId="043D02EE" w14:textId="77777777" w:rsidR="00FA4CBD" w:rsidRDefault="005F644B">
            <w:pPr>
              <w:spacing w:after="0" w:line="240" w:lineRule="auto"/>
            </w:pPr>
            <w:r>
              <w:rPr>
                <w:b/>
                <w:sz w:val="16"/>
              </w:rPr>
              <w:t>Visual and brand identity</w:t>
            </w:r>
          </w:p>
        </w:tc>
        <w:tc>
          <w:tcPr>
            <w:tcW w:w="2088" w:type="dxa"/>
            <w:tcMar>
              <w:top w:w="80" w:type="dxa"/>
              <w:left w:w="90" w:type="dxa"/>
              <w:bottom w:w="80" w:type="dxa"/>
              <w:right w:w="90" w:type="dxa"/>
            </w:tcMar>
            <w:vAlign w:val="center"/>
          </w:tcPr>
          <w:p w14:paraId="33A6275F" w14:textId="77777777" w:rsidR="00FA4CBD" w:rsidRDefault="005F644B">
            <w:pPr>
              <w:spacing w:after="0" w:line="240" w:lineRule="auto"/>
            </w:pPr>
            <w:r>
              <w:rPr>
                <w:sz w:val="16"/>
              </w:rPr>
              <w:t>Screenshots, logos, layout, global-local similarity, target-brand matching</w:t>
            </w:r>
          </w:p>
        </w:tc>
        <w:tc>
          <w:tcPr>
            <w:tcW w:w="1944" w:type="dxa"/>
            <w:tcMar>
              <w:top w:w="80" w:type="dxa"/>
              <w:left w:w="90" w:type="dxa"/>
              <w:bottom w:w="80" w:type="dxa"/>
              <w:right w:w="90" w:type="dxa"/>
            </w:tcMar>
            <w:vAlign w:val="center"/>
          </w:tcPr>
          <w:p w14:paraId="08414939" w14:textId="77777777" w:rsidR="00FA4CBD" w:rsidRDefault="005F644B">
            <w:pPr>
              <w:spacing w:after="0" w:line="240" w:lineRule="auto"/>
            </w:pPr>
            <w:r>
              <w:rPr>
                <w:sz w:val="16"/>
              </w:rPr>
              <w:t>Directly models impersonation and can provide brand-level explanations</w:t>
            </w:r>
          </w:p>
        </w:tc>
        <w:tc>
          <w:tcPr>
            <w:tcW w:w="2664" w:type="dxa"/>
            <w:tcMar>
              <w:top w:w="80" w:type="dxa"/>
              <w:left w:w="90" w:type="dxa"/>
              <w:bottom w:w="80" w:type="dxa"/>
              <w:right w:w="90" w:type="dxa"/>
            </w:tcMar>
            <w:vAlign w:val="center"/>
          </w:tcPr>
          <w:p w14:paraId="4BA2BDCA" w14:textId="77777777" w:rsidR="00FA4CBD" w:rsidRDefault="005F644B">
            <w:pPr>
              <w:spacing w:after="0" w:line="240" w:lineRule="auto"/>
            </w:pPr>
            <w:r>
              <w:rPr>
                <w:sz w:val="16"/>
              </w:rPr>
              <w:t>Rendering cost; reference-set maintenance; logo removal or visual manipulation can evade detectors</w:t>
            </w:r>
          </w:p>
        </w:tc>
        <w:tc>
          <w:tcPr>
            <w:tcW w:w="1728" w:type="dxa"/>
            <w:tcMar>
              <w:top w:w="80" w:type="dxa"/>
              <w:left w:w="90" w:type="dxa"/>
              <w:bottom w:w="80" w:type="dxa"/>
              <w:right w:w="90" w:type="dxa"/>
            </w:tcMar>
            <w:vAlign w:val="center"/>
          </w:tcPr>
          <w:p w14:paraId="3D57BD0F" w14:textId="77777777" w:rsidR="00FA4CBD" w:rsidRDefault="005F644B">
            <w:pPr>
              <w:spacing w:after="0" w:line="240" w:lineRule="auto"/>
            </w:pPr>
            <w:r>
              <w:rPr>
                <w:sz w:val="16"/>
              </w:rPr>
              <w:t>(Chen et al., 2020; Ji et al., 2025; Lin et al., 2021; Wang et al., 2024)</w:t>
            </w:r>
          </w:p>
        </w:tc>
      </w:tr>
      <w:tr w:rsidR="00FA4CBD" w14:paraId="064D8B8B" w14:textId="77777777">
        <w:trPr>
          <w:cantSplit/>
          <w:jc w:val="center"/>
        </w:trPr>
        <w:tc>
          <w:tcPr>
            <w:tcW w:w="1512" w:type="dxa"/>
            <w:tcMar>
              <w:top w:w="80" w:type="dxa"/>
              <w:left w:w="90" w:type="dxa"/>
              <w:bottom w:w="80" w:type="dxa"/>
              <w:right w:w="90" w:type="dxa"/>
            </w:tcMar>
            <w:vAlign w:val="center"/>
          </w:tcPr>
          <w:p w14:paraId="1F1E34EC" w14:textId="77777777" w:rsidR="00FA4CBD" w:rsidRDefault="005F644B">
            <w:pPr>
              <w:spacing w:after="0" w:line="240" w:lineRule="auto"/>
            </w:pPr>
            <w:r>
              <w:rPr>
                <w:b/>
                <w:sz w:val="16"/>
              </w:rPr>
              <w:lastRenderedPageBreak/>
              <w:t>Multimodal evidence</w:t>
            </w:r>
          </w:p>
        </w:tc>
        <w:tc>
          <w:tcPr>
            <w:tcW w:w="2088" w:type="dxa"/>
            <w:tcMar>
              <w:top w:w="80" w:type="dxa"/>
              <w:left w:w="90" w:type="dxa"/>
              <w:bottom w:w="80" w:type="dxa"/>
              <w:right w:w="90" w:type="dxa"/>
            </w:tcMar>
            <w:vAlign w:val="center"/>
          </w:tcPr>
          <w:p w14:paraId="64E0FE80" w14:textId="77777777" w:rsidR="00FA4CBD" w:rsidRDefault="005F644B">
            <w:pPr>
              <w:spacing w:after="0" w:line="240" w:lineRule="auto"/>
            </w:pPr>
            <w:r>
              <w:rPr>
                <w:sz w:val="16"/>
              </w:rPr>
              <w:t>Joint URL, HTML, text, screenshot and brand evidence</w:t>
            </w:r>
          </w:p>
        </w:tc>
        <w:tc>
          <w:tcPr>
            <w:tcW w:w="1944" w:type="dxa"/>
            <w:tcMar>
              <w:top w:w="80" w:type="dxa"/>
              <w:left w:w="90" w:type="dxa"/>
              <w:bottom w:w="80" w:type="dxa"/>
              <w:right w:w="90" w:type="dxa"/>
            </w:tcMar>
            <w:vAlign w:val="center"/>
          </w:tcPr>
          <w:p w14:paraId="26905A41" w14:textId="77777777" w:rsidR="00FA4CBD" w:rsidRDefault="005F644B">
            <w:pPr>
              <w:spacing w:after="0" w:line="240" w:lineRule="auto"/>
            </w:pPr>
            <w:r>
              <w:rPr>
                <w:sz w:val="16"/>
              </w:rPr>
              <w:t>Combines partially independent cues and can reduce reliance on a single manipulable modality</w:t>
            </w:r>
          </w:p>
        </w:tc>
        <w:tc>
          <w:tcPr>
            <w:tcW w:w="2664" w:type="dxa"/>
            <w:tcMar>
              <w:top w:w="80" w:type="dxa"/>
              <w:left w:w="90" w:type="dxa"/>
              <w:bottom w:w="80" w:type="dxa"/>
              <w:right w:w="90" w:type="dxa"/>
            </w:tcMar>
            <w:vAlign w:val="center"/>
          </w:tcPr>
          <w:p w14:paraId="0AE33CB8" w14:textId="77777777" w:rsidR="00FA4CBD" w:rsidRDefault="005F644B">
            <w:pPr>
              <w:spacing w:after="0" w:line="240" w:lineRule="auto"/>
            </w:pPr>
            <w:r>
              <w:rPr>
                <w:sz w:val="16"/>
              </w:rPr>
              <w:t>Higher compute and engineering complexity; missing modalities and cross-modal attacks require explicit handling</w:t>
            </w:r>
          </w:p>
        </w:tc>
        <w:tc>
          <w:tcPr>
            <w:tcW w:w="1728" w:type="dxa"/>
            <w:tcMar>
              <w:top w:w="80" w:type="dxa"/>
              <w:left w:w="90" w:type="dxa"/>
              <w:bottom w:w="80" w:type="dxa"/>
              <w:right w:w="90" w:type="dxa"/>
            </w:tcMar>
            <w:vAlign w:val="center"/>
          </w:tcPr>
          <w:p w14:paraId="4A9D0ECC" w14:textId="77777777" w:rsidR="00FA4CBD" w:rsidRDefault="005F644B">
            <w:pPr>
              <w:spacing w:after="0" w:line="240" w:lineRule="auto"/>
            </w:pPr>
            <w:r>
              <w:rPr>
                <w:sz w:val="16"/>
              </w:rPr>
              <w:t>(Lee et al., 2024; Li et al., 2025)</w:t>
            </w:r>
          </w:p>
        </w:tc>
      </w:tr>
    </w:tbl>
    <w:p w14:paraId="67EF0865" w14:textId="77777777" w:rsidR="00FA4CBD" w:rsidRDefault="005F644B">
      <w:pPr>
        <w:spacing w:before="60" w:after="120"/>
      </w:pPr>
      <w:r>
        <w:rPr>
          <w:i/>
          <w:sz w:val="16"/>
        </w:rPr>
        <w:t>Note. CNN = convolutional neural network; DOM = Document Object Model; GAN = generative adversarial network; HTML = HyperText Markup Language; LIME = Local Interpretable Model-agnostic Explanations; LLM = large language model; SHAP = SHapley Additive exPlanations; TCN = temporal convolutional network; URL = Uniform Resource Locator; XAI = explainable artificial intelligence. Only abbreviations used in the table are applicable.</w:t>
      </w:r>
    </w:p>
    <w:p w14:paraId="5821EDAC" w14:textId="77777777" w:rsidR="00FA4CBD" w:rsidRDefault="005F644B">
      <w:pPr>
        <w:pStyle w:val="Heading1"/>
      </w:pPr>
      <w:r>
        <w:t>4. Conventional Machine Learning: Mature Performance, Persistent Fragility</w:t>
      </w:r>
    </w:p>
    <w:p w14:paraId="28A7B74D" w14:textId="77777777" w:rsidR="00FA4CBD" w:rsidRDefault="005F644B">
      <w:pPr>
        <w:ind w:firstLine="360"/>
        <w:jc w:val="both"/>
      </w:pPr>
      <w:r>
        <w:t>Conventional machine learning remains the evidential backbone of web-phishing research. Its durability reflects several practical strengths: models can be trained on tabular features, inference is usually fast, memory requirements are modest, and feature contributions can often be inspected more directly than in large end-to-end neural models. Studies using random forests, support-vector machines, logistic regression, k-nearest neighbours, gradient boosting and ensembles have repeatedly shown that well-chosen lexical, host, hyperlink and content features separate many phishing pages from benign pages (Babagoli et al., 2019; Bahaghighat et al., 2023; Jain &amp; Gupta, 2019; Rao &amp; Pais, 2019; Sahingoz et al., 2019).</w:t>
      </w:r>
    </w:p>
    <w:p w14:paraId="452FDA51" w14:textId="77777777" w:rsidR="00FA4CBD" w:rsidRDefault="005F644B">
      <w:pPr>
        <w:pStyle w:val="Heading2"/>
      </w:pPr>
      <w:r>
        <w:t>4.1 Feature Engineering as Both Strength and Liability</w:t>
      </w:r>
    </w:p>
    <w:p w14:paraId="57D72AFE" w14:textId="77777777" w:rsidR="00FA4CBD" w:rsidRDefault="005F644B">
      <w:pPr>
        <w:ind w:firstLine="360"/>
        <w:jc w:val="both"/>
      </w:pPr>
      <w:r>
        <w:t>Handcrafted features encode domain knowledge. For example, a detector can explicitly measure suspicious URL characters, the proportion of external links, domain-related mismatch or form behaviour. This makes the model easier to audit and allows security engineers to remove features that are slow, privacy-sensitive or operationally unavailable. CANTINA+ demonstrated the value of heterogeneous features, and later studies refined the approach with efficient feature sets, nonlinear regression and ensemble selection (Babagoli et al., 2019; Xiang et al., 2011). Feature-selection work has also attempted to preserve discriminative power while reducing redundancy and inference cost (Adane et al., 2023; Ramana et al., 2021).</w:t>
      </w:r>
    </w:p>
    <w:p w14:paraId="74993CBE" w14:textId="77777777" w:rsidR="00FA4CBD" w:rsidRDefault="005F644B">
      <w:pPr>
        <w:ind w:firstLine="360"/>
        <w:jc w:val="both"/>
      </w:pPr>
      <w:r>
        <w:t>The same explicitness can create brittleness. If a feature corresponds closely to an attacker-controllable property, a phisher can change the property without abandoning the deceptive objective. Threshold features are especially vulnerable to boundary gaming: URL length, number of dots or proportions of external resources can be manipulated once their role is understood. Even apparently robust host features can shift as certificate issuance, domain registration and hosting practices change. Feature engineering therefore transfers part of the learning problem from the model to the researcher, and the resulting assumptions require maintenance.</w:t>
      </w:r>
    </w:p>
    <w:p w14:paraId="35BC497F" w14:textId="77777777" w:rsidR="00FA4CBD" w:rsidRDefault="005F644B">
      <w:pPr>
        <w:pStyle w:val="Heading2"/>
      </w:pPr>
      <w:r>
        <w:t>4.2 Ensembles, Feature Selection and the Meaning of Improvement</w:t>
      </w:r>
    </w:p>
    <w:p w14:paraId="135C6C60" w14:textId="77777777" w:rsidR="00FA4CBD" w:rsidRDefault="005F644B">
      <w:pPr>
        <w:ind w:firstLine="360"/>
        <w:jc w:val="both"/>
      </w:pPr>
      <w:r>
        <w:t>Random forests and boosted ensembles are common because phishing feature spaces contain nonlinear interactions and mixtures of categorical, binary and continuous variables. Several studies report that ensemble methods outperform simpler baselines on their chosen datasets, and privacy-aware or hybrid frameworks have sought to combine predictive performance with practical constraints (Bahaghighat et al., 2023; Bhardwaj et al., 2021; HR et al., 2020). Such results justify continued use of tree ensembles as strong baselines. They do not establish that progressively more elaborate ensembles will produce durable gains in the wild.</w:t>
      </w:r>
    </w:p>
    <w:p w14:paraId="5BB64D2E" w14:textId="77777777" w:rsidR="00FA4CBD" w:rsidRDefault="005F644B">
      <w:pPr>
        <w:ind w:firstLine="360"/>
        <w:jc w:val="both"/>
      </w:pPr>
      <w:r>
        <w:t>A key methodological issue is that feature-selection and hyperparameter decisions are sometimes evaluated on the same dataset family from which the feature intuition originated. If repeated optimisation is performed against a familiar benchmark, apparent improvement may represent benchmark adaptation rather than new generalisable knowledge. The problem is amplified when datasets contain duplicated or near-duplicated URLs, domains or page templates across training and test sets. Under those conditions, the classifier may learn campaign or source identity. A strong evaluation should therefore separate campaigns, domains or time periods where possible and should report whether external lookups are available at inference time.</w:t>
      </w:r>
    </w:p>
    <w:p w14:paraId="7BBBC14A" w14:textId="77777777" w:rsidR="00FA4CBD" w:rsidRDefault="005F644B">
      <w:pPr>
        <w:pStyle w:val="Heading2"/>
      </w:pPr>
      <w:r>
        <w:lastRenderedPageBreak/>
        <w:t>4.3 Operational Efficiency and Browser-Side Use</w:t>
      </w:r>
    </w:p>
    <w:p w14:paraId="6CF31D14" w14:textId="77777777" w:rsidR="00FA4CBD" w:rsidRDefault="005F644B">
      <w:pPr>
        <w:ind w:firstLine="360"/>
        <w:jc w:val="both"/>
      </w:pPr>
      <w:r>
        <w:t>The practical case for conventional machine learning is strongest when detection must be performed locally or at very high request rates. Browser-oriented frameworks can extract a limited set of features and make a decision without sending page content to a remote service. HR et al. (2020), for example, combined a random-forest approach with rule extraction for a browser-oriented anti-phishing design. The model family is well suited to staged architectures in which a low-cost classifier rejects obvious cases and passes only uncertain cases to more expensive content, visual or language models.</w:t>
      </w:r>
    </w:p>
    <w:p w14:paraId="45AF895E" w14:textId="77777777" w:rsidR="00FA4CBD" w:rsidRDefault="005F644B">
      <w:pPr>
        <w:ind w:firstLine="360"/>
        <w:jc w:val="both"/>
      </w:pPr>
      <w:r>
        <w:t>This role may be more defensible than positioning conventional models as complete replacements for reputation services. A local classifier can reduce the exposure window for novel pages, but false positives at browser scale carry usability costs and can lead users to ignore warnings. Conversely, an overly conservative threshold reduces protection. Calibration and cost-sensitive evaluation are therefore as important as raw discrimination, yet they receive less attention than accuracy, precision, recall and F1 score in much of the literature.</w:t>
      </w:r>
    </w:p>
    <w:p w14:paraId="7A35B3C9" w14:textId="77777777" w:rsidR="00FA4CBD" w:rsidRDefault="005F644B">
      <w:pPr>
        <w:pStyle w:val="Heading2"/>
      </w:pPr>
      <w:r>
        <w:t>4.4 Distribution Shift and Zero-Day Claims</w:t>
      </w:r>
    </w:p>
    <w:p w14:paraId="793F21A6" w14:textId="77777777" w:rsidR="00FA4CBD" w:rsidRDefault="005F644B">
      <w:pPr>
        <w:ind w:firstLine="360"/>
        <w:jc w:val="both"/>
      </w:pPr>
      <w:r>
        <w:t>The phrase "zero-day phishing" is frequently used to mean a phishing site absent from a blacklist or unseen during model training. That is a useful operational distinction but it does not imply that the site uses genuinely novel deception mechanisms. A model can classify an unseen URL correctly because it resembles known campaigns in feature space. Claims of zero-day capability are therefore strongest when evaluated on temporally later, independently collected attacks and when the model is denied features that encode post hoc reputation. The evidence for many conventional systems is weaker because evaluations use random splits from a fixed dataset or do not quantify temporal separation.</w:t>
      </w:r>
    </w:p>
    <w:p w14:paraId="05FAD26C" w14:textId="77777777" w:rsidR="00FA4CBD" w:rsidRDefault="005F644B">
      <w:pPr>
        <w:ind w:firstLine="360"/>
        <w:jc w:val="both"/>
      </w:pPr>
      <w:r>
        <w:t>Streaming and temporally oriented approaches provide a more appropriate conceptual model because they treat phishing as an evolving distribution rather than a stable classification problem (Marchal et al., 2014). Recent few-shot and contrastive work in the broader field similarly reflects the need to adapt with limited fresh data (Park &amp; Cho, 2026). The methodological lesson applies to conventional machine learning as well: a compact model retrained frequently on fresh, well-curated data may be more useful than a highly tuned model whose headline performance depends on an old benchmark.</w:t>
      </w:r>
    </w:p>
    <w:p w14:paraId="0267291E" w14:textId="77777777" w:rsidR="00FA4CBD" w:rsidRDefault="005F644B">
      <w:pPr>
        <w:ind w:firstLine="360"/>
        <w:jc w:val="both"/>
      </w:pPr>
      <w:r>
        <w:t>Table 2 contrasts the principal strengths and weaknesses of conventional machine-learning strategies. The most robust conclusion is not that one classifier family is consistently best, but that the quality and availability of features, the independence of the test set and the cost of maintaining those features dominate many algorithm-level differences.</w:t>
      </w:r>
    </w:p>
    <w:p w14:paraId="4AA119FF" w14:textId="77777777" w:rsidR="00FA4CBD" w:rsidRDefault="005F644B">
      <w:pPr>
        <w:pStyle w:val="Caption"/>
        <w:keepNext/>
      </w:pPr>
      <w:r>
        <w:t>Table 2. Conventional machine-learning strategies: evidential strengths and recurring weaknesses</w:t>
      </w:r>
    </w:p>
    <w:tbl>
      <w:tblPr>
        <w:tblStyle w:val="TableGrid"/>
        <w:tblW w:w="0" w:type="auto"/>
        <w:jc w:val="center"/>
        <w:tblLayout w:type="fixed"/>
        <w:tblLook w:val="04A0" w:firstRow="1" w:lastRow="0" w:firstColumn="1" w:lastColumn="0" w:noHBand="0" w:noVBand="1"/>
      </w:tblPr>
      <w:tblGrid>
        <w:gridCol w:w="1512"/>
        <w:gridCol w:w="2088"/>
        <w:gridCol w:w="1944"/>
        <w:gridCol w:w="2664"/>
        <w:gridCol w:w="1728"/>
      </w:tblGrid>
      <w:tr w:rsidR="00FA4CBD" w14:paraId="4424DC4F" w14:textId="77777777">
        <w:trPr>
          <w:tblHeader/>
          <w:jc w:val="center"/>
        </w:trPr>
        <w:tc>
          <w:tcPr>
            <w:tcW w:w="1512" w:type="dxa"/>
            <w:shd w:val="clear" w:color="auto" w:fill="D9E2F3"/>
            <w:tcMar>
              <w:top w:w="80" w:type="dxa"/>
              <w:left w:w="90" w:type="dxa"/>
              <w:bottom w:w="80" w:type="dxa"/>
              <w:right w:w="90" w:type="dxa"/>
            </w:tcMar>
            <w:vAlign w:val="center"/>
          </w:tcPr>
          <w:p w14:paraId="216F2B06" w14:textId="77777777" w:rsidR="00FA4CBD" w:rsidRDefault="005F644B">
            <w:pPr>
              <w:spacing w:after="0" w:line="240" w:lineRule="auto"/>
              <w:jc w:val="center"/>
            </w:pPr>
            <w:r>
              <w:rPr>
                <w:b/>
                <w:sz w:val="16"/>
              </w:rPr>
              <w:t>Strategy</w:t>
            </w:r>
          </w:p>
        </w:tc>
        <w:tc>
          <w:tcPr>
            <w:tcW w:w="2088" w:type="dxa"/>
            <w:shd w:val="clear" w:color="auto" w:fill="D9E2F3"/>
            <w:tcMar>
              <w:top w:w="80" w:type="dxa"/>
              <w:left w:w="90" w:type="dxa"/>
              <w:bottom w:w="80" w:type="dxa"/>
              <w:right w:w="90" w:type="dxa"/>
            </w:tcMar>
            <w:vAlign w:val="center"/>
          </w:tcPr>
          <w:p w14:paraId="40D2586D" w14:textId="77777777" w:rsidR="00FA4CBD" w:rsidRDefault="005F644B">
            <w:pPr>
              <w:spacing w:after="0" w:line="240" w:lineRule="auto"/>
              <w:jc w:val="center"/>
            </w:pPr>
            <w:r>
              <w:rPr>
                <w:b/>
                <w:sz w:val="16"/>
              </w:rPr>
              <w:t>Typical inputs</w:t>
            </w:r>
          </w:p>
        </w:tc>
        <w:tc>
          <w:tcPr>
            <w:tcW w:w="1944" w:type="dxa"/>
            <w:shd w:val="clear" w:color="auto" w:fill="D9E2F3"/>
            <w:tcMar>
              <w:top w:w="80" w:type="dxa"/>
              <w:left w:w="90" w:type="dxa"/>
              <w:bottom w:w="80" w:type="dxa"/>
              <w:right w:w="90" w:type="dxa"/>
            </w:tcMar>
            <w:vAlign w:val="center"/>
          </w:tcPr>
          <w:p w14:paraId="60971FDE" w14:textId="77777777" w:rsidR="00FA4CBD" w:rsidRDefault="005F644B">
            <w:pPr>
              <w:spacing w:after="0" w:line="240" w:lineRule="auto"/>
              <w:jc w:val="center"/>
            </w:pPr>
            <w:r>
              <w:rPr>
                <w:b/>
                <w:sz w:val="16"/>
              </w:rPr>
              <w:t>Evidential strength</w:t>
            </w:r>
          </w:p>
        </w:tc>
        <w:tc>
          <w:tcPr>
            <w:tcW w:w="2664" w:type="dxa"/>
            <w:shd w:val="clear" w:color="auto" w:fill="D9E2F3"/>
            <w:tcMar>
              <w:top w:w="80" w:type="dxa"/>
              <w:left w:w="90" w:type="dxa"/>
              <w:bottom w:w="80" w:type="dxa"/>
              <w:right w:w="90" w:type="dxa"/>
            </w:tcMar>
            <w:vAlign w:val="center"/>
          </w:tcPr>
          <w:p w14:paraId="20AE726C" w14:textId="77777777" w:rsidR="00FA4CBD" w:rsidRDefault="005F644B">
            <w:pPr>
              <w:spacing w:after="0" w:line="240" w:lineRule="auto"/>
              <w:jc w:val="center"/>
            </w:pPr>
            <w:r>
              <w:rPr>
                <w:b/>
                <w:sz w:val="16"/>
              </w:rPr>
              <w:t>Recurring limitations</w:t>
            </w:r>
          </w:p>
        </w:tc>
        <w:tc>
          <w:tcPr>
            <w:tcW w:w="1728" w:type="dxa"/>
            <w:shd w:val="clear" w:color="auto" w:fill="D9E2F3"/>
            <w:tcMar>
              <w:top w:w="80" w:type="dxa"/>
              <w:left w:w="90" w:type="dxa"/>
              <w:bottom w:w="80" w:type="dxa"/>
              <w:right w:w="90" w:type="dxa"/>
            </w:tcMar>
            <w:vAlign w:val="center"/>
          </w:tcPr>
          <w:p w14:paraId="5F686CDA" w14:textId="77777777" w:rsidR="00FA4CBD" w:rsidRDefault="005F644B">
            <w:pPr>
              <w:spacing w:after="0" w:line="240" w:lineRule="auto"/>
              <w:jc w:val="center"/>
            </w:pPr>
            <w:r>
              <w:rPr>
                <w:b/>
                <w:sz w:val="16"/>
              </w:rPr>
              <w:t>Supporting references</w:t>
            </w:r>
          </w:p>
        </w:tc>
      </w:tr>
      <w:tr w:rsidR="00FA4CBD" w14:paraId="276F6A80" w14:textId="77777777">
        <w:trPr>
          <w:cantSplit/>
          <w:jc w:val="center"/>
        </w:trPr>
        <w:tc>
          <w:tcPr>
            <w:tcW w:w="1512" w:type="dxa"/>
            <w:tcMar>
              <w:top w:w="80" w:type="dxa"/>
              <w:left w:w="90" w:type="dxa"/>
              <w:bottom w:w="80" w:type="dxa"/>
              <w:right w:w="90" w:type="dxa"/>
            </w:tcMar>
            <w:vAlign w:val="center"/>
          </w:tcPr>
          <w:p w14:paraId="552498DE" w14:textId="77777777" w:rsidR="00FA4CBD" w:rsidRDefault="005F644B">
            <w:pPr>
              <w:spacing w:after="0" w:line="240" w:lineRule="auto"/>
            </w:pPr>
            <w:r>
              <w:rPr>
                <w:b/>
                <w:sz w:val="16"/>
              </w:rPr>
              <w:t>Feature-rich classical classifiers</w:t>
            </w:r>
          </w:p>
        </w:tc>
        <w:tc>
          <w:tcPr>
            <w:tcW w:w="2088" w:type="dxa"/>
            <w:tcMar>
              <w:top w:w="80" w:type="dxa"/>
              <w:left w:w="90" w:type="dxa"/>
              <w:bottom w:w="80" w:type="dxa"/>
              <w:right w:w="90" w:type="dxa"/>
            </w:tcMar>
            <w:vAlign w:val="center"/>
          </w:tcPr>
          <w:p w14:paraId="78095223" w14:textId="77777777" w:rsidR="00FA4CBD" w:rsidRDefault="005F644B">
            <w:pPr>
              <w:spacing w:after="0" w:line="240" w:lineRule="auto"/>
            </w:pPr>
            <w:r>
              <w:rPr>
                <w:sz w:val="16"/>
              </w:rPr>
              <w:t>URL, host, page and reputation features</w:t>
            </w:r>
          </w:p>
        </w:tc>
        <w:tc>
          <w:tcPr>
            <w:tcW w:w="1944" w:type="dxa"/>
            <w:tcMar>
              <w:top w:w="80" w:type="dxa"/>
              <w:left w:w="90" w:type="dxa"/>
              <w:bottom w:w="80" w:type="dxa"/>
              <w:right w:w="90" w:type="dxa"/>
            </w:tcMar>
            <w:vAlign w:val="center"/>
          </w:tcPr>
          <w:p w14:paraId="18A11296" w14:textId="77777777" w:rsidR="00FA4CBD" w:rsidRDefault="005F644B">
            <w:pPr>
              <w:spacing w:after="0" w:line="240" w:lineRule="auto"/>
            </w:pPr>
            <w:r>
              <w:rPr>
                <w:sz w:val="16"/>
              </w:rPr>
              <w:t>Strong historical baseline; transparent feature definitions; modest inference requirements</w:t>
            </w:r>
          </w:p>
        </w:tc>
        <w:tc>
          <w:tcPr>
            <w:tcW w:w="2664" w:type="dxa"/>
            <w:tcMar>
              <w:top w:w="80" w:type="dxa"/>
              <w:left w:w="90" w:type="dxa"/>
              <w:bottom w:w="80" w:type="dxa"/>
              <w:right w:w="90" w:type="dxa"/>
            </w:tcMar>
            <w:vAlign w:val="center"/>
          </w:tcPr>
          <w:p w14:paraId="7652C05B" w14:textId="77777777" w:rsidR="00FA4CBD" w:rsidRDefault="005F644B">
            <w:pPr>
              <w:spacing w:after="0" w:line="240" w:lineRule="auto"/>
            </w:pPr>
            <w:r>
              <w:rPr>
                <w:sz w:val="16"/>
              </w:rPr>
              <w:t>Feature maintenance and source dependence; heterogeneous definitions impede comparison</w:t>
            </w:r>
          </w:p>
        </w:tc>
        <w:tc>
          <w:tcPr>
            <w:tcW w:w="1728" w:type="dxa"/>
            <w:tcMar>
              <w:top w:w="80" w:type="dxa"/>
              <w:left w:w="90" w:type="dxa"/>
              <w:bottom w:w="80" w:type="dxa"/>
              <w:right w:w="90" w:type="dxa"/>
            </w:tcMar>
            <w:vAlign w:val="center"/>
          </w:tcPr>
          <w:p w14:paraId="5FAA6848" w14:textId="77777777" w:rsidR="00FA4CBD" w:rsidRDefault="005F644B">
            <w:pPr>
              <w:spacing w:after="0" w:line="240" w:lineRule="auto"/>
            </w:pPr>
            <w:r>
              <w:rPr>
                <w:sz w:val="16"/>
              </w:rPr>
              <w:t>(Xiang et al., 2011; Rao &amp; Pais, 2019)</w:t>
            </w:r>
          </w:p>
        </w:tc>
      </w:tr>
      <w:tr w:rsidR="00FA4CBD" w14:paraId="30E27B27" w14:textId="77777777">
        <w:trPr>
          <w:cantSplit/>
          <w:jc w:val="center"/>
        </w:trPr>
        <w:tc>
          <w:tcPr>
            <w:tcW w:w="1512" w:type="dxa"/>
            <w:tcMar>
              <w:top w:w="80" w:type="dxa"/>
              <w:left w:w="90" w:type="dxa"/>
              <w:bottom w:w="80" w:type="dxa"/>
              <w:right w:w="90" w:type="dxa"/>
            </w:tcMar>
            <w:vAlign w:val="center"/>
          </w:tcPr>
          <w:p w14:paraId="785569E4" w14:textId="77777777" w:rsidR="00FA4CBD" w:rsidRDefault="005F644B">
            <w:pPr>
              <w:spacing w:after="0" w:line="240" w:lineRule="auto"/>
            </w:pPr>
            <w:r>
              <w:rPr>
                <w:b/>
                <w:sz w:val="16"/>
              </w:rPr>
              <w:t>Random forests and tree ensembles</w:t>
            </w:r>
          </w:p>
        </w:tc>
        <w:tc>
          <w:tcPr>
            <w:tcW w:w="2088" w:type="dxa"/>
            <w:tcMar>
              <w:top w:w="80" w:type="dxa"/>
              <w:left w:w="90" w:type="dxa"/>
              <w:bottom w:w="80" w:type="dxa"/>
              <w:right w:w="90" w:type="dxa"/>
            </w:tcMar>
            <w:vAlign w:val="center"/>
          </w:tcPr>
          <w:p w14:paraId="7FCC5546" w14:textId="77777777" w:rsidR="00FA4CBD" w:rsidRDefault="005F644B">
            <w:pPr>
              <w:spacing w:after="0" w:line="240" w:lineRule="auto"/>
            </w:pPr>
            <w:r>
              <w:rPr>
                <w:sz w:val="16"/>
              </w:rPr>
              <w:t>Tabular URL, hyperlink and content features</w:t>
            </w:r>
          </w:p>
        </w:tc>
        <w:tc>
          <w:tcPr>
            <w:tcW w:w="1944" w:type="dxa"/>
            <w:tcMar>
              <w:top w:w="80" w:type="dxa"/>
              <w:left w:w="90" w:type="dxa"/>
              <w:bottom w:w="80" w:type="dxa"/>
              <w:right w:w="90" w:type="dxa"/>
            </w:tcMar>
            <w:vAlign w:val="center"/>
          </w:tcPr>
          <w:p w14:paraId="5CF04B99" w14:textId="77777777" w:rsidR="00FA4CBD" w:rsidRDefault="005F644B">
            <w:pPr>
              <w:spacing w:after="0" w:line="240" w:lineRule="auto"/>
            </w:pPr>
            <w:r>
              <w:rPr>
                <w:sz w:val="16"/>
              </w:rPr>
              <w:t>Capture nonlinear interactions and often perform strongly on curated datasets</w:t>
            </w:r>
          </w:p>
        </w:tc>
        <w:tc>
          <w:tcPr>
            <w:tcW w:w="2664" w:type="dxa"/>
            <w:tcMar>
              <w:top w:w="80" w:type="dxa"/>
              <w:left w:w="90" w:type="dxa"/>
              <w:bottom w:w="80" w:type="dxa"/>
              <w:right w:w="90" w:type="dxa"/>
            </w:tcMar>
            <w:vAlign w:val="center"/>
          </w:tcPr>
          <w:p w14:paraId="09911F73" w14:textId="77777777" w:rsidR="00FA4CBD" w:rsidRDefault="005F644B">
            <w:pPr>
              <w:spacing w:after="0" w:line="240" w:lineRule="auto"/>
            </w:pPr>
            <w:r>
              <w:rPr>
                <w:sz w:val="16"/>
              </w:rPr>
              <w:t>Can overfit dataset or campaign artefacts; importance measures do not guarantee causal stability</w:t>
            </w:r>
          </w:p>
        </w:tc>
        <w:tc>
          <w:tcPr>
            <w:tcW w:w="1728" w:type="dxa"/>
            <w:tcMar>
              <w:top w:w="80" w:type="dxa"/>
              <w:left w:w="90" w:type="dxa"/>
              <w:bottom w:w="80" w:type="dxa"/>
              <w:right w:w="90" w:type="dxa"/>
            </w:tcMar>
            <w:vAlign w:val="center"/>
          </w:tcPr>
          <w:p w14:paraId="1F7043B7" w14:textId="77777777" w:rsidR="00FA4CBD" w:rsidRDefault="005F644B">
            <w:pPr>
              <w:spacing w:after="0" w:line="240" w:lineRule="auto"/>
            </w:pPr>
            <w:r>
              <w:rPr>
                <w:sz w:val="16"/>
              </w:rPr>
              <w:t>(Bahaghighat et al., 2023; HR et al., 2020; Rao &amp; Pais, 2019)</w:t>
            </w:r>
          </w:p>
        </w:tc>
      </w:tr>
      <w:tr w:rsidR="00FA4CBD" w14:paraId="6BB70F19" w14:textId="77777777">
        <w:trPr>
          <w:cantSplit/>
          <w:jc w:val="center"/>
        </w:trPr>
        <w:tc>
          <w:tcPr>
            <w:tcW w:w="1512" w:type="dxa"/>
            <w:tcMar>
              <w:top w:w="80" w:type="dxa"/>
              <w:left w:w="90" w:type="dxa"/>
              <w:bottom w:w="80" w:type="dxa"/>
              <w:right w:w="90" w:type="dxa"/>
            </w:tcMar>
            <w:vAlign w:val="center"/>
          </w:tcPr>
          <w:p w14:paraId="7B9B5F6E" w14:textId="77777777" w:rsidR="00FA4CBD" w:rsidRDefault="005F644B">
            <w:pPr>
              <w:spacing w:after="0" w:line="240" w:lineRule="auto"/>
            </w:pPr>
            <w:r>
              <w:rPr>
                <w:b/>
                <w:sz w:val="16"/>
              </w:rPr>
              <w:t>Support-vector and nonlinear methods</w:t>
            </w:r>
          </w:p>
        </w:tc>
        <w:tc>
          <w:tcPr>
            <w:tcW w:w="2088" w:type="dxa"/>
            <w:tcMar>
              <w:top w:w="80" w:type="dxa"/>
              <w:left w:w="90" w:type="dxa"/>
              <w:bottom w:w="80" w:type="dxa"/>
              <w:right w:w="90" w:type="dxa"/>
            </w:tcMar>
            <w:vAlign w:val="center"/>
          </w:tcPr>
          <w:p w14:paraId="12A8FE1E" w14:textId="77777777" w:rsidR="00FA4CBD" w:rsidRDefault="005F644B">
            <w:pPr>
              <w:spacing w:after="0" w:line="240" w:lineRule="auto"/>
            </w:pPr>
            <w:r>
              <w:rPr>
                <w:sz w:val="16"/>
              </w:rPr>
              <w:t>Engineered lexical and heuristic variables</w:t>
            </w:r>
          </w:p>
        </w:tc>
        <w:tc>
          <w:tcPr>
            <w:tcW w:w="1944" w:type="dxa"/>
            <w:tcMar>
              <w:top w:w="80" w:type="dxa"/>
              <w:left w:w="90" w:type="dxa"/>
              <w:bottom w:w="80" w:type="dxa"/>
              <w:right w:w="90" w:type="dxa"/>
            </w:tcMar>
            <w:vAlign w:val="center"/>
          </w:tcPr>
          <w:p w14:paraId="782981D0" w14:textId="77777777" w:rsidR="00FA4CBD" w:rsidRDefault="005F644B">
            <w:pPr>
              <w:spacing w:after="0" w:line="240" w:lineRule="auto"/>
            </w:pPr>
            <w:r>
              <w:rPr>
                <w:sz w:val="16"/>
              </w:rPr>
              <w:t>Effective with moderate-dimensional structured feature spaces</w:t>
            </w:r>
          </w:p>
        </w:tc>
        <w:tc>
          <w:tcPr>
            <w:tcW w:w="2664" w:type="dxa"/>
            <w:tcMar>
              <w:top w:w="80" w:type="dxa"/>
              <w:left w:w="90" w:type="dxa"/>
              <w:bottom w:w="80" w:type="dxa"/>
              <w:right w:w="90" w:type="dxa"/>
            </w:tcMar>
            <w:vAlign w:val="center"/>
          </w:tcPr>
          <w:p w14:paraId="6B65FC40" w14:textId="77777777" w:rsidR="00FA4CBD" w:rsidRDefault="005F644B">
            <w:pPr>
              <w:spacing w:after="0" w:line="240" w:lineRule="auto"/>
            </w:pPr>
            <w:r>
              <w:rPr>
                <w:sz w:val="16"/>
              </w:rPr>
              <w:t>Performance depends strongly on feature scaling, selection and dataset composition</w:t>
            </w:r>
          </w:p>
        </w:tc>
        <w:tc>
          <w:tcPr>
            <w:tcW w:w="1728" w:type="dxa"/>
            <w:tcMar>
              <w:top w:w="80" w:type="dxa"/>
              <w:left w:w="90" w:type="dxa"/>
              <w:bottom w:w="80" w:type="dxa"/>
              <w:right w:w="90" w:type="dxa"/>
            </w:tcMar>
            <w:vAlign w:val="center"/>
          </w:tcPr>
          <w:p w14:paraId="428B0E79" w14:textId="77777777" w:rsidR="00FA4CBD" w:rsidRDefault="005F644B">
            <w:pPr>
              <w:spacing w:after="0" w:line="240" w:lineRule="auto"/>
            </w:pPr>
            <w:r>
              <w:rPr>
                <w:sz w:val="16"/>
              </w:rPr>
              <w:t>(Babagoli et al., 2019; Sahingoz et al., 2019)</w:t>
            </w:r>
          </w:p>
        </w:tc>
      </w:tr>
      <w:tr w:rsidR="00FA4CBD" w14:paraId="7C7C2E57" w14:textId="77777777">
        <w:trPr>
          <w:cantSplit/>
          <w:jc w:val="center"/>
        </w:trPr>
        <w:tc>
          <w:tcPr>
            <w:tcW w:w="1512" w:type="dxa"/>
            <w:tcMar>
              <w:top w:w="80" w:type="dxa"/>
              <w:left w:w="90" w:type="dxa"/>
              <w:bottom w:w="80" w:type="dxa"/>
              <w:right w:w="90" w:type="dxa"/>
            </w:tcMar>
            <w:vAlign w:val="center"/>
          </w:tcPr>
          <w:p w14:paraId="68CB156F" w14:textId="77777777" w:rsidR="00FA4CBD" w:rsidRDefault="005F644B">
            <w:pPr>
              <w:spacing w:after="0" w:line="240" w:lineRule="auto"/>
            </w:pPr>
            <w:r>
              <w:rPr>
                <w:b/>
                <w:sz w:val="16"/>
              </w:rPr>
              <w:t>Feature-selection ensembles</w:t>
            </w:r>
          </w:p>
        </w:tc>
        <w:tc>
          <w:tcPr>
            <w:tcW w:w="2088" w:type="dxa"/>
            <w:tcMar>
              <w:top w:w="80" w:type="dxa"/>
              <w:left w:w="90" w:type="dxa"/>
              <w:bottom w:w="80" w:type="dxa"/>
              <w:right w:w="90" w:type="dxa"/>
            </w:tcMar>
            <w:vAlign w:val="center"/>
          </w:tcPr>
          <w:p w14:paraId="52023E22" w14:textId="77777777" w:rsidR="00FA4CBD" w:rsidRDefault="005F644B">
            <w:pPr>
              <w:spacing w:after="0" w:line="240" w:lineRule="auto"/>
            </w:pPr>
            <w:r>
              <w:rPr>
                <w:sz w:val="16"/>
              </w:rPr>
              <w:t>Reduced URL, host and webpage feature sets</w:t>
            </w:r>
          </w:p>
        </w:tc>
        <w:tc>
          <w:tcPr>
            <w:tcW w:w="1944" w:type="dxa"/>
            <w:tcMar>
              <w:top w:w="80" w:type="dxa"/>
              <w:left w:w="90" w:type="dxa"/>
              <w:bottom w:w="80" w:type="dxa"/>
              <w:right w:w="90" w:type="dxa"/>
            </w:tcMar>
            <w:vAlign w:val="center"/>
          </w:tcPr>
          <w:p w14:paraId="3B166D07" w14:textId="77777777" w:rsidR="00FA4CBD" w:rsidRDefault="005F644B">
            <w:pPr>
              <w:spacing w:after="0" w:line="240" w:lineRule="auto"/>
            </w:pPr>
            <w:r>
              <w:rPr>
                <w:sz w:val="16"/>
              </w:rPr>
              <w:t>Can lower latency and redundancy while preserving discrimination</w:t>
            </w:r>
          </w:p>
        </w:tc>
        <w:tc>
          <w:tcPr>
            <w:tcW w:w="2664" w:type="dxa"/>
            <w:tcMar>
              <w:top w:w="80" w:type="dxa"/>
              <w:left w:w="90" w:type="dxa"/>
              <w:bottom w:w="80" w:type="dxa"/>
              <w:right w:w="90" w:type="dxa"/>
            </w:tcMar>
            <w:vAlign w:val="center"/>
          </w:tcPr>
          <w:p w14:paraId="666174BD" w14:textId="77777777" w:rsidR="00FA4CBD" w:rsidRDefault="005F644B">
            <w:pPr>
              <w:spacing w:after="0" w:line="240" w:lineRule="auto"/>
            </w:pPr>
            <w:r>
              <w:rPr>
                <w:sz w:val="16"/>
              </w:rPr>
              <w:t>Selection can become benchmark-specific when tuned repeatedly on the same corpus</w:t>
            </w:r>
          </w:p>
        </w:tc>
        <w:tc>
          <w:tcPr>
            <w:tcW w:w="1728" w:type="dxa"/>
            <w:tcMar>
              <w:top w:w="80" w:type="dxa"/>
              <w:left w:w="90" w:type="dxa"/>
              <w:bottom w:w="80" w:type="dxa"/>
              <w:right w:w="90" w:type="dxa"/>
            </w:tcMar>
            <w:vAlign w:val="center"/>
          </w:tcPr>
          <w:p w14:paraId="43C876A3" w14:textId="77777777" w:rsidR="00FA4CBD" w:rsidRDefault="005F644B">
            <w:pPr>
              <w:spacing w:after="0" w:line="240" w:lineRule="auto"/>
            </w:pPr>
            <w:r>
              <w:rPr>
                <w:sz w:val="16"/>
              </w:rPr>
              <w:t>(Adane et al., 2023; Ramana et al., 2021)</w:t>
            </w:r>
          </w:p>
        </w:tc>
      </w:tr>
      <w:tr w:rsidR="00FA4CBD" w14:paraId="45A2C881" w14:textId="77777777">
        <w:trPr>
          <w:cantSplit/>
          <w:jc w:val="center"/>
        </w:trPr>
        <w:tc>
          <w:tcPr>
            <w:tcW w:w="1512" w:type="dxa"/>
            <w:tcMar>
              <w:top w:w="80" w:type="dxa"/>
              <w:left w:w="90" w:type="dxa"/>
              <w:bottom w:w="80" w:type="dxa"/>
              <w:right w:w="90" w:type="dxa"/>
            </w:tcMar>
            <w:vAlign w:val="center"/>
          </w:tcPr>
          <w:p w14:paraId="430ACBB9" w14:textId="77777777" w:rsidR="00FA4CBD" w:rsidRDefault="005F644B">
            <w:pPr>
              <w:spacing w:after="0" w:line="240" w:lineRule="auto"/>
            </w:pPr>
            <w:r>
              <w:rPr>
                <w:b/>
                <w:sz w:val="16"/>
              </w:rPr>
              <w:lastRenderedPageBreak/>
              <w:t>Privacy-aware or local frameworks</w:t>
            </w:r>
          </w:p>
        </w:tc>
        <w:tc>
          <w:tcPr>
            <w:tcW w:w="2088" w:type="dxa"/>
            <w:tcMar>
              <w:top w:w="80" w:type="dxa"/>
              <w:left w:w="90" w:type="dxa"/>
              <w:bottom w:w="80" w:type="dxa"/>
              <w:right w:w="90" w:type="dxa"/>
            </w:tcMar>
            <w:vAlign w:val="center"/>
          </w:tcPr>
          <w:p w14:paraId="10364576" w14:textId="77777777" w:rsidR="00FA4CBD" w:rsidRDefault="005F644B">
            <w:pPr>
              <w:spacing w:after="0" w:line="240" w:lineRule="auto"/>
            </w:pPr>
            <w:r>
              <w:rPr>
                <w:sz w:val="16"/>
              </w:rPr>
              <w:t>Locally extractable URL and webpage attributes</w:t>
            </w:r>
          </w:p>
        </w:tc>
        <w:tc>
          <w:tcPr>
            <w:tcW w:w="1944" w:type="dxa"/>
            <w:tcMar>
              <w:top w:w="80" w:type="dxa"/>
              <w:left w:w="90" w:type="dxa"/>
              <w:bottom w:w="80" w:type="dxa"/>
              <w:right w:w="90" w:type="dxa"/>
            </w:tcMar>
            <w:vAlign w:val="center"/>
          </w:tcPr>
          <w:p w14:paraId="0D137DC3" w14:textId="77777777" w:rsidR="00FA4CBD" w:rsidRDefault="005F644B">
            <w:pPr>
              <w:spacing w:after="0" w:line="240" w:lineRule="auto"/>
            </w:pPr>
            <w:r>
              <w:rPr>
                <w:sz w:val="16"/>
              </w:rPr>
              <w:t>Supports browser-side or decentralised decisions with reduced raw-data sharing</w:t>
            </w:r>
          </w:p>
        </w:tc>
        <w:tc>
          <w:tcPr>
            <w:tcW w:w="2664" w:type="dxa"/>
            <w:tcMar>
              <w:top w:w="80" w:type="dxa"/>
              <w:left w:w="90" w:type="dxa"/>
              <w:bottom w:w="80" w:type="dxa"/>
              <w:right w:w="90" w:type="dxa"/>
            </w:tcMar>
            <w:vAlign w:val="center"/>
          </w:tcPr>
          <w:p w14:paraId="3FCC56AA" w14:textId="77777777" w:rsidR="00FA4CBD" w:rsidRDefault="005F644B">
            <w:pPr>
              <w:spacing w:after="0" w:line="240" w:lineRule="auto"/>
            </w:pPr>
            <w:r>
              <w:rPr>
                <w:sz w:val="16"/>
              </w:rPr>
              <w:t>Local feature availability and device constraints can limit signal richness</w:t>
            </w:r>
          </w:p>
        </w:tc>
        <w:tc>
          <w:tcPr>
            <w:tcW w:w="1728" w:type="dxa"/>
            <w:tcMar>
              <w:top w:w="80" w:type="dxa"/>
              <w:left w:w="90" w:type="dxa"/>
              <w:bottom w:w="80" w:type="dxa"/>
              <w:right w:w="90" w:type="dxa"/>
            </w:tcMar>
            <w:vAlign w:val="center"/>
          </w:tcPr>
          <w:p w14:paraId="1D2593C6" w14:textId="77777777" w:rsidR="00FA4CBD" w:rsidRDefault="005F644B">
            <w:pPr>
              <w:spacing w:after="0" w:line="240" w:lineRule="auto"/>
            </w:pPr>
            <w:r>
              <w:rPr>
                <w:sz w:val="16"/>
              </w:rPr>
              <w:t>(Bhardwaj et al., 2021; HR et al., 2020)</w:t>
            </w:r>
          </w:p>
        </w:tc>
      </w:tr>
      <w:tr w:rsidR="00FA4CBD" w14:paraId="2439ECE1" w14:textId="77777777">
        <w:trPr>
          <w:cantSplit/>
          <w:jc w:val="center"/>
        </w:trPr>
        <w:tc>
          <w:tcPr>
            <w:tcW w:w="1512" w:type="dxa"/>
            <w:tcMar>
              <w:top w:w="80" w:type="dxa"/>
              <w:left w:w="90" w:type="dxa"/>
              <w:bottom w:w="80" w:type="dxa"/>
              <w:right w:w="90" w:type="dxa"/>
            </w:tcMar>
            <w:vAlign w:val="center"/>
          </w:tcPr>
          <w:p w14:paraId="10F2D1D6" w14:textId="77777777" w:rsidR="00FA4CBD" w:rsidRDefault="005F644B">
            <w:pPr>
              <w:spacing w:after="0" w:line="240" w:lineRule="auto"/>
            </w:pPr>
            <w:r>
              <w:rPr>
                <w:b/>
                <w:sz w:val="16"/>
              </w:rPr>
              <w:t>Streaming or frequently updated models</w:t>
            </w:r>
          </w:p>
        </w:tc>
        <w:tc>
          <w:tcPr>
            <w:tcW w:w="2088" w:type="dxa"/>
            <w:tcMar>
              <w:top w:w="80" w:type="dxa"/>
              <w:left w:w="90" w:type="dxa"/>
              <w:bottom w:w="80" w:type="dxa"/>
              <w:right w:w="90" w:type="dxa"/>
            </w:tcMar>
            <w:vAlign w:val="center"/>
          </w:tcPr>
          <w:p w14:paraId="4E68B178" w14:textId="77777777" w:rsidR="00FA4CBD" w:rsidRDefault="005F644B">
            <w:pPr>
              <w:spacing w:after="0" w:line="240" w:lineRule="auto"/>
            </w:pPr>
            <w:r>
              <w:rPr>
                <w:sz w:val="16"/>
              </w:rPr>
              <w:t>Rapidly arriving URL and infrastructure signals</w:t>
            </w:r>
          </w:p>
        </w:tc>
        <w:tc>
          <w:tcPr>
            <w:tcW w:w="1944" w:type="dxa"/>
            <w:tcMar>
              <w:top w:w="80" w:type="dxa"/>
              <w:left w:w="90" w:type="dxa"/>
              <w:bottom w:w="80" w:type="dxa"/>
              <w:right w:w="90" w:type="dxa"/>
            </w:tcMar>
            <w:vAlign w:val="center"/>
          </w:tcPr>
          <w:p w14:paraId="216D2150" w14:textId="77777777" w:rsidR="00FA4CBD" w:rsidRDefault="005F644B">
            <w:pPr>
              <w:spacing w:after="0" w:line="240" w:lineRule="auto"/>
            </w:pPr>
            <w:r>
              <w:rPr>
                <w:sz w:val="16"/>
              </w:rPr>
              <w:t>Better aligned with concept drift and short phishing lifetimes than static modelling</w:t>
            </w:r>
          </w:p>
        </w:tc>
        <w:tc>
          <w:tcPr>
            <w:tcW w:w="2664" w:type="dxa"/>
            <w:tcMar>
              <w:top w:w="80" w:type="dxa"/>
              <w:left w:w="90" w:type="dxa"/>
              <w:bottom w:w="80" w:type="dxa"/>
              <w:right w:w="90" w:type="dxa"/>
            </w:tcMar>
            <w:vAlign w:val="center"/>
          </w:tcPr>
          <w:p w14:paraId="72A3AFEF" w14:textId="77777777" w:rsidR="00FA4CBD" w:rsidRDefault="005F644B">
            <w:pPr>
              <w:spacing w:after="0" w:line="240" w:lineRule="auto"/>
            </w:pPr>
            <w:r>
              <w:rPr>
                <w:sz w:val="16"/>
              </w:rPr>
              <w:t>Requires fresh labels, monitoring and disciplined retraining; evaluation is operationally demanding</w:t>
            </w:r>
          </w:p>
        </w:tc>
        <w:tc>
          <w:tcPr>
            <w:tcW w:w="1728" w:type="dxa"/>
            <w:tcMar>
              <w:top w:w="80" w:type="dxa"/>
              <w:left w:w="90" w:type="dxa"/>
              <w:bottom w:w="80" w:type="dxa"/>
              <w:right w:w="90" w:type="dxa"/>
            </w:tcMar>
            <w:vAlign w:val="center"/>
          </w:tcPr>
          <w:p w14:paraId="0CA154AB" w14:textId="77777777" w:rsidR="00FA4CBD" w:rsidRDefault="005F644B">
            <w:pPr>
              <w:spacing w:after="0" w:line="240" w:lineRule="auto"/>
            </w:pPr>
            <w:r>
              <w:rPr>
                <w:sz w:val="16"/>
              </w:rPr>
              <w:t>(Marchal et al., 2014)</w:t>
            </w:r>
          </w:p>
        </w:tc>
      </w:tr>
    </w:tbl>
    <w:p w14:paraId="5D413586" w14:textId="77777777" w:rsidR="00FA4CBD" w:rsidRDefault="005F644B">
      <w:pPr>
        <w:spacing w:before="60" w:after="120"/>
      </w:pPr>
      <w:r>
        <w:rPr>
          <w:i/>
          <w:sz w:val="16"/>
        </w:rPr>
        <w:t>Note. CNN = convolutional neural network; DOM = Document Object Model; GAN = generative adversarial network; HTML = HyperText Markup Language; LIME = Local Interpretable Model-agnostic Explanations; LLM = large language model; SHAP = SHapley Additive exPlanations; TCN = temporal convolutional network; URL = Uniform Resource Locator; XAI = explainable artificial intelligence. Only abbreviations used in the table are applicable.</w:t>
      </w:r>
    </w:p>
    <w:p w14:paraId="29AF41F4" w14:textId="77777777" w:rsidR="00FA4CBD" w:rsidRDefault="005F644B">
      <w:pPr>
        <w:pStyle w:val="Heading1"/>
      </w:pPr>
      <w:r>
        <w:t>5. Deep Learning and Learned Representations</w:t>
      </w:r>
    </w:p>
    <w:p w14:paraId="4381F32D" w14:textId="77777777" w:rsidR="00FA4CBD" w:rsidRDefault="005F644B">
      <w:pPr>
        <w:ind w:firstLine="360"/>
        <w:jc w:val="both"/>
      </w:pPr>
      <w:r>
        <w:t>Deep learning was adopted in phishing detection partly to reduce dependence on manually specified features and partly to exploit information that is naturally sequential, spatial or multimodal. URLs can be modelled as character sequences; page text can be embedded; HTML relations can be represented structurally; screenshots can be processed by convolutional networks; and several modalities can be fused. This enlarges the hypothesis space and can capture interactions that would be cumbersome to engineer manually (Adebowale et al., 2019; Feng et al., 2020; Tang &amp; Mahmoud, 2022; Yang et al., 2019).</w:t>
      </w:r>
    </w:p>
    <w:p w14:paraId="6B5ACE67" w14:textId="77777777" w:rsidR="00FA4CBD" w:rsidRDefault="005F644B">
      <w:pPr>
        <w:pStyle w:val="Heading2"/>
      </w:pPr>
      <w:r>
        <w:t>5.1 URL Sequence Models and Representation Learning</w:t>
      </w:r>
    </w:p>
    <w:p w14:paraId="15AD2315" w14:textId="77777777" w:rsidR="00FA4CBD" w:rsidRDefault="005F644B">
      <w:pPr>
        <w:ind w:firstLine="360"/>
        <w:jc w:val="both"/>
      </w:pPr>
      <w:r>
        <w:t>Convolutional neural networks (CNNs) have been used to learn local character patterns in URLs without predefining suspicious tokens. Wei et al. (2020) demonstrated that a CNN-based URL detector could achieve fast classification while learning from the raw sequence. Sequence models have a clear theoretical advantage over fixed lexical counts because the same suspicious token can have different meaning depending on position and context. Yet the raw URL still limits observability, and deep models do not eliminate the risk that training data contain source-specific patterns.</w:t>
      </w:r>
    </w:p>
    <w:p w14:paraId="2E279234" w14:textId="77777777" w:rsidR="00FA4CBD" w:rsidRDefault="005F644B">
      <w:pPr>
        <w:ind w:firstLine="360"/>
        <w:jc w:val="both"/>
      </w:pPr>
      <w:r>
        <w:t>Representation learning also changes the nature of maintenance. A handcrafted system may need a new feature when attacker syntax changes, whereas a neural model can in principle learn the new pattern after retraining. In practice, retraining requires fresh labels and careful monitoring because a flexible model can also learn spurious correlations. The opacity of learned embeddings makes such correlations harder to diagnose. Thus, reduced feature engineering should not be confused with reduced data engineering.</w:t>
      </w:r>
    </w:p>
    <w:p w14:paraId="3F20A9DC" w14:textId="77777777" w:rsidR="00FA4CBD" w:rsidRDefault="005F644B">
      <w:pPr>
        <w:pStyle w:val="Heading2"/>
      </w:pPr>
      <w:r>
        <w:t>5.2 Multidimensional and Hybrid Deep Models</w:t>
      </w:r>
    </w:p>
    <w:p w14:paraId="63213603" w14:textId="77777777" w:rsidR="00FA4CBD" w:rsidRDefault="005F644B">
      <w:pPr>
        <w:ind w:firstLine="360"/>
        <w:jc w:val="both"/>
      </w:pPr>
      <w:r>
        <w:t>Several studies combine URL and content features with neural components. Yang et al. (2019) proposed a multidimensional deep-learning approach, while Web2Vec integrated multiple webpage features into learned representations (Feng et al., 2020). Adebowale et al. (2019) combined image, frame and text features, illustrating the potential value of observing the webpage as a composite object. Ariyadasa et al. (2022) further incorporated recurrent convolutional and graph convolutional components to learn from URL and HTML relationships.</w:t>
      </w:r>
    </w:p>
    <w:p w14:paraId="0C21E9CF" w14:textId="77777777" w:rsidR="00FA4CBD" w:rsidRDefault="005F644B">
      <w:pPr>
        <w:ind w:firstLine="360"/>
        <w:jc w:val="both"/>
      </w:pPr>
      <w:r>
        <w:t>The strongest argument for these models is complementarity. Phishers can manipulate individual signals, but coordinated manipulation of URL syntax, document structure, textual semantics and visual identity may be more difficult without weakening the deception. The counterargument is operational complexity. Fetching and rendering content increases latency and creates a secure-execution problem; graph construction or image processing consumes additional resources; and missing modalities must be handled explicitly. A model that performs well when every sample has a complete screenshot and parseable HTML may fail when pages use anti-automation techniques, client-side rendering or staged interaction.</w:t>
      </w:r>
    </w:p>
    <w:p w14:paraId="0C136013" w14:textId="77777777" w:rsidR="00FA4CBD" w:rsidRDefault="005F644B">
      <w:pPr>
        <w:pStyle w:val="Heading2"/>
      </w:pPr>
      <w:r>
        <w:lastRenderedPageBreak/>
        <w:t>5.3 Attention, Generative Learning and Newer Architectures</w:t>
      </w:r>
    </w:p>
    <w:p w14:paraId="5E598361" w14:textId="77777777" w:rsidR="00FA4CBD" w:rsidRDefault="005F644B">
      <w:pPr>
        <w:ind w:firstLine="360"/>
        <w:jc w:val="both"/>
      </w:pPr>
      <w:r>
        <w:t>Attention mechanisms have been used to focus representation learning on salient components, and generative adversarial networks (GANs) have been proposed to improve phishing detection under data constraints. PDGAN explored GAN-based detection, while self-attention has been incorporated into convolutional designs (Al-Ahmadi et al., 2022; Said et al., 2024). DEPHIDES represents another effort to build a dedicated deep-learning system for phishing detection (Sahingoz et al., 2024). More recent work uses temporal convolution and mask attention to combine receptive-field efficiency with selective emphasis on informative sequences (Xie et al., 2025).</w:t>
      </w:r>
    </w:p>
    <w:p w14:paraId="2B120F35" w14:textId="77777777" w:rsidR="00FA4CBD" w:rsidRDefault="005F644B">
      <w:pPr>
        <w:ind w:firstLine="360"/>
        <w:jc w:val="both"/>
      </w:pPr>
      <w:r>
        <w:t>These architectural advances are technically plausible, but their empirical interpretation requires restraint. Different papers use different datasets, preprocessing, negative-sample sources and train-test procedures. Marginal improvements in a benchmark metric cannot be attributed confidently to a particular architectural component unless ablation studies and comparable baselines are strong. Hyperparameter optimisation itself can produce large apparent gains when the baseline is weak, as highlighted by work explicitly examining deep models and optimisation choices (Almousa et al., 2022). Consequently, architecture novelty should be evaluated against simple, well-tuned baselines and under distribution shift.</w:t>
      </w:r>
    </w:p>
    <w:p w14:paraId="6EDE3E77" w14:textId="77777777" w:rsidR="00FA4CBD" w:rsidRDefault="005F644B">
      <w:pPr>
        <w:pStyle w:val="Heading2"/>
      </w:pPr>
      <w:r>
        <w:t>5.4 Visual Deep Learning and Brand Identification</w:t>
      </w:r>
    </w:p>
    <w:p w14:paraId="5F0F4FBE" w14:textId="77777777" w:rsidR="00FA4CBD" w:rsidRDefault="005F644B">
      <w:pPr>
        <w:ind w:firstLine="360"/>
        <w:jc w:val="both"/>
      </w:pPr>
      <w:r>
        <w:t>Visual detection is one of the areas where deep learning offers capabilities that are difficult to reproduce with conventional tabular models. A screenshot contains spatial relationships, typography, logos, colours and layout. CNN-based visual similarity models and combined global-local representations can capture these signals (Chen et al., 2020; Wang et al., 2024). Phishpedia's logo-detection and matching pipeline demonstrates a further benefit: the output can identify a putative target brand rather than only assign a class (Lin et al., 2021).</w:t>
      </w:r>
    </w:p>
    <w:p w14:paraId="6973173E" w14:textId="77777777" w:rsidR="00FA4CBD" w:rsidRDefault="005F644B">
      <w:pPr>
        <w:ind w:firstLine="360"/>
        <w:jc w:val="both"/>
      </w:pPr>
      <w:r>
        <w:t>That advantage is conditional on the attack expressing a stable visual identity. Phishers may remove logos, use text-only impersonation, employ generic sign-in forms or delay the brand-specific content until interaction. Visual reference sets also age as legitimate branding changes, and similarity thresholds can produce false matches among brands with common design elements. The 2025 real-world robustness evaluation by Ji et al. provides especially important corrective evidence: strong results on curated datasets did not translate uniformly to a much larger real-world collection, and relatively simple visual manipulations could evade several detectors. This does not invalidate visual detection; it shows that evaluation must model the attacker's ability to change the visible page.</w:t>
      </w:r>
    </w:p>
    <w:p w14:paraId="7F4FA2F3" w14:textId="77777777" w:rsidR="00FA4CBD" w:rsidRDefault="005F644B">
      <w:pPr>
        <w:pStyle w:val="Heading2"/>
      </w:pPr>
      <w:r>
        <w:t>5.5 Data Scale, Computational Cost and External Validity</w:t>
      </w:r>
    </w:p>
    <w:p w14:paraId="2D2B4707" w14:textId="77777777" w:rsidR="00FA4CBD" w:rsidRDefault="005F644B">
      <w:pPr>
        <w:ind w:firstLine="360"/>
        <w:jc w:val="both"/>
      </w:pPr>
      <w:r>
        <w:t>Deep models typically require more training data and computational resources than tree-based baselines, although inference cost varies widely by architecture. Large training corpora can improve coverage, but scale alone does not guarantee diversity. Millions of URLs generated from a narrow time period or source can contain repeated infrastructure and templates. Dataset curation should therefore report unique domains, campaign overlap, collection dates and source composition rather than only sample count.</w:t>
      </w:r>
    </w:p>
    <w:p w14:paraId="7050B008" w14:textId="77777777" w:rsidR="00FA4CBD" w:rsidRDefault="005F644B">
      <w:pPr>
        <w:ind w:firstLine="360"/>
        <w:jc w:val="both"/>
      </w:pPr>
      <w:r>
        <w:t>External validity also depends on the false-positive environment. Balanced academic datasets are useful for algorithm development but do not reflect the base rate of phishing in ordinary browsing. Even a small false-positive rate can become operationally costly when applied to massive benign traffic. Deep-learning studies should therefore complement discrimination metrics with calibration, latency, memory, throughput and threshold behaviour under realistic class imbalance. The literature has started to emphasise efficiency and robustness, but such measures remain less standardised than accuracy-based reporting.</w:t>
      </w:r>
    </w:p>
    <w:p w14:paraId="627E1099" w14:textId="77777777" w:rsidR="00FA4CBD" w:rsidRDefault="005F644B">
      <w:pPr>
        <w:ind w:firstLine="360"/>
        <w:jc w:val="both"/>
      </w:pPr>
      <w:r>
        <w:t xml:space="preserve">Table 3 summarises the major deep-learning families and their evidential trade-offs. Deep learning is strongest when it captures structure that cannot be represented economically by handcrafted features, particularly sequential, graph and visual information. Its principal weakness is that flexible representation </w:t>
      </w:r>
      <w:r>
        <w:lastRenderedPageBreak/>
        <w:t>learning can hide dataset artefacts unless validation explicitly tests temporal, source and adversarial generalisation.</w:t>
      </w:r>
    </w:p>
    <w:p w14:paraId="194FBACA" w14:textId="77777777" w:rsidR="00FA4CBD" w:rsidRDefault="005F644B">
      <w:pPr>
        <w:pStyle w:val="Caption"/>
        <w:keepNext/>
      </w:pPr>
      <w:r>
        <w:t>Table 3. Deep-learning families for phishing detection and the conditions under which their advantages are credible</w:t>
      </w:r>
    </w:p>
    <w:tbl>
      <w:tblPr>
        <w:tblStyle w:val="TableGrid"/>
        <w:tblW w:w="0" w:type="auto"/>
        <w:jc w:val="center"/>
        <w:tblLayout w:type="fixed"/>
        <w:tblLook w:val="04A0" w:firstRow="1" w:lastRow="0" w:firstColumn="1" w:lastColumn="0" w:noHBand="0" w:noVBand="1"/>
      </w:tblPr>
      <w:tblGrid>
        <w:gridCol w:w="1512"/>
        <w:gridCol w:w="2088"/>
        <w:gridCol w:w="1944"/>
        <w:gridCol w:w="2664"/>
        <w:gridCol w:w="1728"/>
      </w:tblGrid>
      <w:tr w:rsidR="00FA4CBD" w14:paraId="7901BA90" w14:textId="77777777">
        <w:trPr>
          <w:tblHeader/>
          <w:jc w:val="center"/>
        </w:trPr>
        <w:tc>
          <w:tcPr>
            <w:tcW w:w="1512" w:type="dxa"/>
            <w:shd w:val="clear" w:color="auto" w:fill="D9E2F3"/>
            <w:tcMar>
              <w:top w:w="80" w:type="dxa"/>
              <w:left w:w="90" w:type="dxa"/>
              <w:bottom w:w="80" w:type="dxa"/>
              <w:right w:w="90" w:type="dxa"/>
            </w:tcMar>
            <w:vAlign w:val="center"/>
          </w:tcPr>
          <w:p w14:paraId="22BD9EDE" w14:textId="77777777" w:rsidR="00FA4CBD" w:rsidRDefault="005F644B">
            <w:pPr>
              <w:spacing w:after="0" w:line="240" w:lineRule="auto"/>
              <w:jc w:val="center"/>
            </w:pPr>
            <w:r>
              <w:rPr>
                <w:b/>
                <w:sz w:val="16"/>
              </w:rPr>
              <w:t>Model family</w:t>
            </w:r>
          </w:p>
        </w:tc>
        <w:tc>
          <w:tcPr>
            <w:tcW w:w="2088" w:type="dxa"/>
            <w:shd w:val="clear" w:color="auto" w:fill="D9E2F3"/>
            <w:tcMar>
              <w:top w:w="80" w:type="dxa"/>
              <w:left w:w="90" w:type="dxa"/>
              <w:bottom w:w="80" w:type="dxa"/>
              <w:right w:w="90" w:type="dxa"/>
            </w:tcMar>
            <w:vAlign w:val="center"/>
          </w:tcPr>
          <w:p w14:paraId="5F846910" w14:textId="77777777" w:rsidR="00FA4CBD" w:rsidRDefault="005F644B">
            <w:pPr>
              <w:spacing w:after="0" w:line="240" w:lineRule="auto"/>
              <w:jc w:val="center"/>
            </w:pPr>
            <w:r>
              <w:rPr>
                <w:b/>
                <w:sz w:val="16"/>
              </w:rPr>
              <w:t>Representation</w:t>
            </w:r>
          </w:p>
        </w:tc>
        <w:tc>
          <w:tcPr>
            <w:tcW w:w="1944" w:type="dxa"/>
            <w:shd w:val="clear" w:color="auto" w:fill="D9E2F3"/>
            <w:tcMar>
              <w:top w:w="80" w:type="dxa"/>
              <w:left w:w="90" w:type="dxa"/>
              <w:bottom w:w="80" w:type="dxa"/>
              <w:right w:w="90" w:type="dxa"/>
            </w:tcMar>
            <w:vAlign w:val="center"/>
          </w:tcPr>
          <w:p w14:paraId="75BF706A" w14:textId="77777777" w:rsidR="00FA4CBD" w:rsidRDefault="005F644B">
            <w:pPr>
              <w:spacing w:after="0" w:line="240" w:lineRule="auto"/>
              <w:jc w:val="center"/>
            </w:pPr>
            <w:r>
              <w:rPr>
                <w:b/>
                <w:sz w:val="16"/>
              </w:rPr>
              <w:t>Potential advantage</w:t>
            </w:r>
          </w:p>
        </w:tc>
        <w:tc>
          <w:tcPr>
            <w:tcW w:w="2664" w:type="dxa"/>
            <w:shd w:val="clear" w:color="auto" w:fill="D9E2F3"/>
            <w:tcMar>
              <w:top w:w="80" w:type="dxa"/>
              <w:left w:w="90" w:type="dxa"/>
              <w:bottom w:w="80" w:type="dxa"/>
              <w:right w:w="90" w:type="dxa"/>
            </w:tcMar>
            <w:vAlign w:val="center"/>
          </w:tcPr>
          <w:p w14:paraId="4C487809" w14:textId="77777777" w:rsidR="00FA4CBD" w:rsidRDefault="005F644B">
            <w:pPr>
              <w:spacing w:after="0" w:line="240" w:lineRule="auto"/>
              <w:jc w:val="center"/>
            </w:pPr>
            <w:r>
              <w:rPr>
                <w:b/>
                <w:sz w:val="16"/>
              </w:rPr>
              <w:t>Critical limitation or validation need</w:t>
            </w:r>
          </w:p>
        </w:tc>
        <w:tc>
          <w:tcPr>
            <w:tcW w:w="1728" w:type="dxa"/>
            <w:shd w:val="clear" w:color="auto" w:fill="D9E2F3"/>
            <w:tcMar>
              <w:top w:w="80" w:type="dxa"/>
              <w:left w:w="90" w:type="dxa"/>
              <w:bottom w:w="80" w:type="dxa"/>
              <w:right w:w="90" w:type="dxa"/>
            </w:tcMar>
            <w:vAlign w:val="center"/>
          </w:tcPr>
          <w:p w14:paraId="1331CFE8" w14:textId="77777777" w:rsidR="00FA4CBD" w:rsidRDefault="005F644B">
            <w:pPr>
              <w:spacing w:after="0" w:line="240" w:lineRule="auto"/>
              <w:jc w:val="center"/>
            </w:pPr>
            <w:r>
              <w:rPr>
                <w:b/>
                <w:sz w:val="16"/>
              </w:rPr>
              <w:t>Supporting references</w:t>
            </w:r>
          </w:p>
        </w:tc>
      </w:tr>
      <w:tr w:rsidR="00FA4CBD" w14:paraId="1F3F8D27" w14:textId="77777777">
        <w:trPr>
          <w:cantSplit/>
          <w:jc w:val="center"/>
        </w:trPr>
        <w:tc>
          <w:tcPr>
            <w:tcW w:w="1512" w:type="dxa"/>
            <w:tcMar>
              <w:top w:w="80" w:type="dxa"/>
              <w:left w:w="90" w:type="dxa"/>
              <w:bottom w:w="80" w:type="dxa"/>
              <w:right w:w="90" w:type="dxa"/>
            </w:tcMar>
            <w:vAlign w:val="center"/>
          </w:tcPr>
          <w:p w14:paraId="525F2ADC" w14:textId="77777777" w:rsidR="00FA4CBD" w:rsidRDefault="005F644B">
            <w:pPr>
              <w:spacing w:after="0" w:line="240" w:lineRule="auto"/>
            </w:pPr>
            <w:r>
              <w:rPr>
                <w:b/>
                <w:sz w:val="16"/>
              </w:rPr>
              <w:t>Character-level CNNs</w:t>
            </w:r>
          </w:p>
        </w:tc>
        <w:tc>
          <w:tcPr>
            <w:tcW w:w="2088" w:type="dxa"/>
            <w:tcMar>
              <w:top w:w="80" w:type="dxa"/>
              <w:left w:w="90" w:type="dxa"/>
              <w:bottom w:w="80" w:type="dxa"/>
              <w:right w:w="90" w:type="dxa"/>
            </w:tcMar>
            <w:vAlign w:val="center"/>
          </w:tcPr>
          <w:p w14:paraId="27FC2033" w14:textId="77777777" w:rsidR="00FA4CBD" w:rsidRDefault="005F644B">
            <w:pPr>
              <w:spacing w:after="0" w:line="240" w:lineRule="auto"/>
            </w:pPr>
            <w:r>
              <w:rPr>
                <w:sz w:val="16"/>
              </w:rPr>
              <w:t>Raw or tokenised URL sequences</w:t>
            </w:r>
          </w:p>
        </w:tc>
        <w:tc>
          <w:tcPr>
            <w:tcW w:w="1944" w:type="dxa"/>
            <w:tcMar>
              <w:top w:w="80" w:type="dxa"/>
              <w:left w:w="90" w:type="dxa"/>
              <w:bottom w:w="80" w:type="dxa"/>
              <w:right w:w="90" w:type="dxa"/>
            </w:tcMar>
            <w:vAlign w:val="center"/>
          </w:tcPr>
          <w:p w14:paraId="0E6C1C0C" w14:textId="77777777" w:rsidR="00FA4CBD" w:rsidRDefault="005F644B">
            <w:pPr>
              <w:spacing w:after="0" w:line="240" w:lineRule="auto"/>
            </w:pPr>
            <w:r>
              <w:rPr>
                <w:sz w:val="16"/>
              </w:rPr>
              <w:t>Learns local lexical patterns without manual thresholds and can support fast inference</w:t>
            </w:r>
          </w:p>
        </w:tc>
        <w:tc>
          <w:tcPr>
            <w:tcW w:w="2664" w:type="dxa"/>
            <w:tcMar>
              <w:top w:w="80" w:type="dxa"/>
              <w:left w:w="90" w:type="dxa"/>
              <w:bottom w:w="80" w:type="dxa"/>
              <w:right w:w="90" w:type="dxa"/>
            </w:tcMar>
            <w:vAlign w:val="center"/>
          </w:tcPr>
          <w:p w14:paraId="647CB1D4" w14:textId="77777777" w:rsidR="00FA4CBD" w:rsidRDefault="005F644B">
            <w:pPr>
              <w:spacing w:after="0" w:line="240" w:lineRule="auto"/>
            </w:pPr>
            <w:r>
              <w:rPr>
                <w:sz w:val="16"/>
              </w:rPr>
              <w:t>Still observes only URL information; source leakage and temporal drift remain possible</w:t>
            </w:r>
          </w:p>
        </w:tc>
        <w:tc>
          <w:tcPr>
            <w:tcW w:w="1728" w:type="dxa"/>
            <w:tcMar>
              <w:top w:w="80" w:type="dxa"/>
              <w:left w:w="90" w:type="dxa"/>
              <w:bottom w:w="80" w:type="dxa"/>
              <w:right w:w="90" w:type="dxa"/>
            </w:tcMar>
            <w:vAlign w:val="center"/>
          </w:tcPr>
          <w:p w14:paraId="1EBEF812" w14:textId="77777777" w:rsidR="00FA4CBD" w:rsidRDefault="005F644B">
            <w:pPr>
              <w:spacing w:after="0" w:line="240" w:lineRule="auto"/>
            </w:pPr>
            <w:r>
              <w:rPr>
                <w:sz w:val="16"/>
              </w:rPr>
              <w:t>(Wei et al., 2020)</w:t>
            </w:r>
          </w:p>
        </w:tc>
      </w:tr>
      <w:tr w:rsidR="00FA4CBD" w14:paraId="15DD35D7" w14:textId="77777777">
        <w:trPr>
          <w:cantSplit/>
          <w:jc w:val="center"/>
        </w:trPr>
        <w:tc>
          <w:tcPr>
            <w:tcW w:w="1512" w:type="dxa"/>
            <w:tcMar>
              <w:top w:w="80" w:type="dxa"/>
              <w:left w:w="90" w:type="dxa"/>
              <w:bottom w:w="80" w:type="dxa"/>
              <w:right w:w="90" w:type="dxa"/>
            </w:tcMar>
            <w:vAlign w:val="center"/>
          </w:tcPr>
          <w:p w14:paraId="6416D700" w14:textId="77777777" w:rsidR="00FA4CBD" w:rsidRDefault="005F644B">
            <w:pPr>
              <w:spacing w:after="0" w:line="240" w:lineRule="auto"/>
            </w:pPr>
            <w:r>
              <w:rPr>
                <w:b/>
                <w:sz w:val="16"/>
              </w:rPr>
              <w:t>CNN-LSTM or hybrid sequence models</w:t>
            </w:r>
          </w:p>
        </w:tc>
        <w:tc>
          <w:tcPr>
            <w:tcW w:w="2088" w:type="dxa"/>
            <w:tcMar>
              <w:top w:w="80" w:type="dxa"/>
              <w:left w:w="90" w:type="dxa"/>
              <w:bottom w:w="80" w:type="dxa"/>
              <w:right w:w="90" w:type="dxa"/>
            </w:tcMar>
            <w:vAlign w:val="center"/>
          </w:tcPr>
          <w:p w14:paraId="5B42FFED" w14:textId="77777777" w:rsidR="00FA4CBD" w:rsidRDefault="005F644B">
            <w:pPr>
              <w:spacing w:after="0" w:line="240" w:lineRule="auto"/>
            </w:pPr>
            <w:r>
              <w:rPr>
                <w:sz w:val="16"/>
              </w:rPr>
              <w:t>URL, text, image or frame sequences/features</w:t>
            </w:r>
          </w:p>
        </w:tc>
        <w:tc>
          <w:tcPr>
            <w:tcW w:w="1944" w:type="dxa"/>
            <w:tcMar>
              <w:top w:w="80" w:type="dxa"/>
              <w:left w:w="90" w:type="dxa"/>
              <w:bottom w:w="80" w:type="dxa"/>
              <w:right w:w="90" w:type="dxa"/>
            </w:tcMar>
            <w:vAlign w:val="center"/>
          </w:tcPr>
          <w:p w14:paraId="34611AA3" w14:textId="77777777" w:rsidR="00FA4CBD" w:rsidRDefault="005F644B">
            <w:pPr>
              <w:spacing w:after="0" w:line="240" w:lineRule="auto"/>
            </w:pPr>
            <w:r>
              <w:rPr>
                <w:sz w:val="16"/>
              </w:rPr>
              <w:t>Combines local pattern extraction with longer-range dependencies</w:t>
            </w:r>
          </w:p>
        </w:tc>
        <w:tc>
          <w:tcPr>
            <w:tcW w:w="2664" w:type="dxa"/>
            <w:tcMar>
              <w:top w:w="80" w:type="dxa"/>
              <w:left w:w="90" w:type="dxa"/>
              <w:bottom w:w="80" w:type="dxa"/>
              <w:right w:w="90" w:type="dxa"/>
            </w:tcMar>
            <w:vAlign w:val="center"/>
          </w:tcPr>
          <w:p w14:paraId="0C47BC81" w14:textId="77777777" w:rsidR="00FA4CBD" w:rsidRDefault="005F644B">
            <w:pPr>
              <w:spacing w:after="0" w:line="240" w:lineRule="auto"/>
            </w:pPr>
            <w:r>
              <w:rPr>
                <w:sz w:val="16"/>
              </w:rPr>
              <w:t>Added complexity must be justified against well-tuned simpler baselines and realistic latency</w:t>
            </w:r>
          </w:p>
        </w:tc>
        <w:tc>
          <w:tcPr>
            <w:tcW w:w="1728" w:type="dxa"/>
            <w:tcMar>
              <w:top w:w="80" w:type="dxa"/>
              <w:left w:w="90" w:type="dxa"/>
              <w:bottom w:w="80" w:type="dxa"/>
              <w:right w:w="90" w:type="dxa"/>
            </w:tcMar>
            <w:vAlign w:val="center"/>
          </w:tcPr>
          <w:p w14:paraId="371759CF" w14:textId="77777777" w:rsidR="00FA4CBD" w:rsidRDefault="005F644B">
            <w:pPr>
              <w:spacing w:after="0" w:line="240" w:lineRule="auto"/>
            </w:pPr>
            <w:r>
              <w:rPr>
                <w:sz w:val="16"/>
              </w:rPr>
              <w:t>(Adebowale et al., 2019; Lakshmi et al., 2021; Mousavi &amp; Bahaghighat, 2025)</w:t>
            </w:r>
          </w:p>
        </w:tc>
      </w:tr>
      <w:tr w:rsidR="00FA4CBD" w14:paraId="13D940EF" w14:textId="77777777">
        <w:trPr>
          <w:cantSplit/>
          <w:jc w:val="center"/>
        </w:trPr>
        <w:tc>
          <w:tcPr>
            <w:tcW w:w="1512" w:type="dxa"/>
            <w:tcMar>
              <w:top w:w="80" w:type="dxa"/>
              <w:left w:w="90" w:type="dxa"/>
              <w:bottom w:w="80" w:type="dxa"/>
              <w:right w:w="90" w:type="dxa"/>
            </w:tcMar>
            <w:vAlign w:val="center"/>
          </w:tcPr>
          <w:p w14:paraId="62673233" w14:textId="77777777" w:rsidR="00FA4CBD" w:rsidRDefault="005F644B">
            <w:pPr>
              <w:spacing w:after="0" w:line="240" w:lineRule="auto"/>
            </w:pPr>
            <w:r>
              <w:rPr>
                <w:b/>
                <w:sz w:val="16"/>
              </w:rPr>
              <w:t>Multidimensional deep networks</w:t>
            </w:r>
          </w:p>
        </w:tc>
        <w:tc>
          <w:tcPr>
            <w:tcW w:w="2088" w:type="dxa"/>
            <w:tcMar>
              <w:top w:w="80" w:type="dxa"/>
              <w:left w:w="90" w:type="dxa"/>
              <w:bottom w:w="80" w:type="dxa"/>
              <w:right w:w="90" w:type="dxa"/>
            </w:tcMar>
            <w:vAlign w:val="center"/>
          </w:tcPr>
          <w:p w14:paraId="2BFDB81A" w14:textId="77777777" w:rsidR="00FA4CBD" w:rsidRDefault="005F644B">
            <w:pPr>
              <w:spacing w:after="0" w:line="240" w:lineRule="auto"/>
            </w:pPr>
            <w:r>
              <w:rPr>
                <w:sz w:val="16"/>
              </w:rPr>
              <w:t>URL plus webpage content or engineered multidomain features</w:t>
            </w:r>
          </w:p>
        </w:tc>
        <w:tc>
          <w:tcPr>
            <w:tcW w:w="1944" w:type="dxa"/>
            <w:tcMar>
              <w:top w:w="80" w:type="dxa"/>
              <w:left w:w="90" w:type="dxa"/>
              <w:bottom w:w="80" w:type="dxa"/>
              <w:right w:w="90" w:type="dxa"/>
            </w:tcMar>
            <w:vAlign w:val="center"/>
          </w:tcPr>
          <w:p w14:paraId="3F8C94AA" w14:textId="77777777" w:rsidR="00FA4CBD" w:rsidRDefault="005F644B">
            <w:pPr>
              <w:spacing w:after="0" w:line="240" w:lineRule="auto"/>
            </w:pPr>
            <w:r>
              <w:rPr>
                <w:sz w:val="16"/>
              </w:rPr>
              <w:t>Learns interactions across feature families and reduces manual combination rules</w:t>
            </w:r>
          </w:p>
        </w:tc>
        <w:tc>
          <w:tcPr>
            <w:tcW w:w="2664" w:type="dxa"/>
            <w:tcMar>
              <w:top w:w="80" w:type="dxa"/>
              <w:left w:w="90" w:type="dxa"/>
              <w:bottom w:w="80" w:type="dxa"/>
              <w:right w:w="90" w:type="dxa"/>
            </w:tcMar>
            <w:vAlign w:val="center"/>
          </w:tcPr>
          <w:p w14:paraId="0F3001B9" w14:textId="77777777" w:rsidR="00FA4CBD" w:rsidRDefault="005F644B">
            <w:pPr>
              <w:spacing w:after="0" w:line="240" w:lineRule="auto"/>
            </w:pPr>
            <w:r>
              <w:rPr>
                <w:sz w:val="16"/>
              </w:rPr>
              <w:t>Missing modalities, preprocessing choices and dataset heterogeneity complicate replication</w:t>
            </w:r>
          </w:p>
        </w:tc>
        <w:tc>
          <w:tcPr>
            <w:tcW w:w="1728" w:type="dxa"/>
            <w:tcMar>
              <w:top w:w="80" w:type="dxa"/>
              <w:left w:w="90" w:type="dxa"/>
              <w:bottom w:w="80" w:type="dxa"/>
              <w:right w:w="90" w:type="dxa"/>
            </w:tcMar>
            <w:vAlign w:val="center"/>
          </w:tcPr>
          <w:p w14:paraId="3FBEC004" w14:textId="77777777" w:rsidR="00FA4CBD" w:rsidRDefault="005F644B">
            <w:pPr>
              <w:spacing w:after="0" w:line="240" w:lineRule="auto"/>
            </w:pPr>
            <w:r>
              <w:rPr>
                <w:sz w:val="16"/>
              </w:rPr>
              <w:t>(Feng et al., 2020; Tang &amp; Mahmoud, 2022; Yang et al., 2019; Yang et al., 2021)</w:t>
            </w:r>
          </w:p>
        </w:tc>
      </w:tr>
      <w:tr w:rsidR="00FA4CBD" w14:paraId="006D96AF" w14:textId="77777777">
        <w:trPr>
          <w:cantSplit/>
          <w:jc w:val="center"/>
        </w:trPr>
        <w:tc>
          <w:tcPr>
            <w:tcW w:w="1512" w:type="dxa"/>
            <w:tcMar>
              <w:top w:w="80" w:type="dxa"/>
              <w:left w:w="90" w:type="dxa"/>
              <w:bottom w:w="80" w:type="dxa"/>
              <w:right w:w="90" w:type="dxa"/>
            </w:tcMar>
            <w:vAlign w:val="center"/>
          </w:tcPr>
          <w:p w14:paraId="109CBE62" w14:textId="77777777" w:rsidR="00FA4CBD" w:rsidRDefault="005F644B">
            <w:pPr>
              <w:spacing w:after="0" w:line="240" w:lineRule="auto"/>
            </w:pPr>
            <w:r>
              <w:rPr>
                <w:b/>
                <w:sz w:val="16"/>
              </w:rPr>
              <w:t>Graph-enhanced models</w:t>
            </w:r>
          </w:p>
        </w:tc>
        <w:tc>
          <w:tcPr>
            <w:tcW w:w="2088" w:type="dxa"/>
            <w:tcMar>
              <w:top w:w="80" w:type="dxa"/>
              <w:left w:w="90" w:type="dxa"/>
              <w:bottom w:w="80" w:type="dxa"/>
              <w:right w:w="90" w:type="dxa"/>
            </w:tcMar>
            <w:vAlign w:val="center"/>
          </w:tcPr>
          <w:p w14:paraId="684079DC" w14:textId="77777777" w:rsidR="00FA4CBD" w:rsidRDefault="005F644B">
            <w:pPr>
              <w:spacing w:after="0" w:line="240" w:lineRule="auto"/>
            </w:pPr>
            <w:r>
              <w:rPr>
                <w:sz w:val="16"/>
              </w:rPr>
              <w:t>URL and HTML/DOM relationships</w:t>
            </w:r>
          </w:p>
        </w:tc>
        <w:tc>
          <w:tcPr>
            <w:tcW w:w="1944" w:type="dxa"/>
            <w:tcMar>
              <w:top w:w="80" w:type="dxa"/>
              <w:left w:w="90" w:type="dxa"/>
              <w:bottom w:w="80" w:type="dxa"/>
              <w:right w:w="90" w:type="dxa"/>
            </w:tcMar>
            <w:vAlign w:val="center"/>
          </w:tcPr>
          <w:p w14:paraId="0C8FD8F9" w14:textId="77777777" w:rsidR="00FA4CBD" w:rsidRDefault="005F644B">
            <w:pPr>
              <w:spacing w:after="0" w:line="240" w:lineRule="auto"/>
            </w:pPr>
            <w:r>
              <w:rPr>
                <w:sz w:val="16"/>
              </w:rPr>
              <w:t>Represents structural relationships that flat vectors discard</w:t>
            </w:r>
          </w:p>
        </w:tc>
        <w:tc>
          <w:tcPr>
            <w:tcW w:w="2664" w:type="dxa"/>
            <w:tcMar>
              <w:top w:w="80" w:type="dxa"/>
              <w:left w:w="90" w:type="dxa"/>
              <w:bottom w:w="80" w:type="dxa"/>
              <w:right w:w="90" w:type="dxa"/>
            </w:tcMar>
            <w:vAlign w:val="center"/>
          </w:tcPr>
          <w:p w14:paraId="05837917" w14:textId="77777777" w:rsidR="00FA4CBD" w:rsidRDefault="005F644B">
            <w:pPr>
              <w:spacing w:after="0" w:line="240" w:lineRule="auto"/>
            </w:pPr>
            <w:r>
              <w:rPr>
                <w:sz w:val="16"/>
              </w:rPr>
              <w:t>Graph construction adds acquisition cost and can be affected by dynamic or adversarial page structure</w:t>
            </w:r>
          </w:p>
        </w:tc>
        <w:tc>
          <w:tcPr>
            <w:tcW w:w="1728" w:type="dxa"/>
            <w:tcMar>
              <w:top w:w="80" w:type="dxa"/>
              <w:left w:w="90" w:type="dxa"/>
              <w:bottom w:w="80" w:type="dxa"/>
              <w:right w:w="90" w:type="dxa"/>
            </w:tcMar>
            <w:vAlign w:val="center"/>
          </w:tcPr>
          <w:p w14:paraId="1FC9166A" w14:textId="77777777" w:rsidR="00FA4CBD" w:rsidRDefault="005F644B">
            <w:pPr>
              <w:spacing w:after="0" w:line="240" w:lineRule="auto"/>
            </w:pPr>
            <w:r>
              <w:rPr>
                <w:sz w:val="16"/>
              </w:rPr>
              <w:t>(Ariyadasa et al., 2022)</w:t>
            </w:r>
          </w:p>
        </w:tc>
      </w:tr>
      <w:tr w:rsidR="00FA4CBD" w14:paraId="42B92398" w14:textId="77777777">
        <w:trPr>
          <w:cantSplit/>
          <w:jc w:val="center"/>
        </w:trPr>
        <w:tc>
          <w:tcPr>
            <w:tcW w:w="1512" w:type="dxa"/>
            <w:tcMar>
              <w:top w:w="80" w:type="dxa"/>
              <w:left w:w="90" w:type="dxa"/>
              <w:bottom w:w="80" w:type="dxa"/>
              <w:right w:w="90" w:type="dxa"/>
            </w:tcMar>
            <w:vAlign w:val="center"/>
          </w:tcPr>
          <w:p w14:paraId="073A7791" w14:textId="77777777" w:rsidR="00FA4CBD" w:rsidRDefault="005F644B">
            <w:pPr>
              <w:spacing w:after="0" w:line="240" w:lineRule="auto"/>
            </w:pPr>
            <w:r>
              <w:rPr>
                <w:b/>
                <w:sz w:val="16"/>
              </w:rPr>
              <w:t>Attention and transformer-inspired designs</w:t>
            </w:r>
          </w:p>
        </w:tc>
        <w:tc>
          <w:tcPr>
            <w:tcW w:w="2088" w:type="dxa"/>
            <w:tcMar>
              <w:top w:w="80" w:type="dxa"/>
              <w:left w:w="90" w:type="dxa"/>
              <w:bottom w:w="80" w:type="dxa"/>
              <w:right w:w="90" w:type="dxa"/>
            </w:tcMar>
            <w:vAlign w:val="center"/>
          </w:tcPr>
          <w:p w14:paraId="6909ADCC" w14:textId="77777777" w:rsidR="00FA4CBD" w:rsidRDefault="005F644B">
            <w:pPr>
              <w:spacing w:after="0" w:line="240" w:lineRule="auto"/>
            </w:pPr>
            <w:r>
              <w:rPr>
                <w:sz w:val="16"/>
              </w:rPr>
              <w:t>Sequence or feature representations with selective weighting</w:t>
            </w:r>
          </w:p>
        </w:tc>
        <w:tc>
          <w:tcPr>
            <w:tcW w:w="1944" w:type="dxa"/>
            <w:tcMar>
              <w:top w:w="80" w:type="dxa"/>
              <w:left w:w="90" w:type="dxa"/>
              <w:bottom w:w="80" w:type="dxa"/>
              <w:right w:w="90" w:type="dxa"/>
            </w:tcMar>
            <w:vAlign w:val="center"/>
          </w:tcPr>
          <w:p w14:paraId="335D5253" w14:textId="77777777" w:rsidR="00FA4CBD" w:rsidRDefault="005F644B">
            <w:pPr>
              <w:spacing w:after="0" w:line="240" w:lineRule="auto"/>
            </w:pPr>
            <w:r>
              <w:rPr>
                <w:sz w:val="16"/>
              </w:rPr>
              <w:t>Can focus capacity on informative subsequences and interactions</w:t>
            </w:r>
          </w:p>
        </w:tc>
        <w:tc>
          <w:tcPr>
            <w:tcW w:w="2664" w:type="dxa"/>
            <w:tcMar>
              <w:top w:w="80" w:type="dxa"/>
              <w:left w:w="90" w:type="dxa"/>
              <w:bottom w:w="80" w:type="dxa"/>
              <w:right w:w="90" w:type="dxa"/>
            </w:tcMar>
            <w:vAlign w:val="center"/>
          </w:tcPr>
          <w:p w14:paraId="1E2C08D4" w14:textId="77777777" w:rsidR="00FA4CBD" w:rsidRDefault="005F644B">
            <w:pPr>
              <w:spacing w:after="0" w:line="240" w:lineRule="auto"/>
            </w:pPr>
            <w:r>
              <w:rPr>
                <w:sz w:val="16"/>
              </w:rPr>
              <w:t>Attention weights are not automatically explanations; gains require ablation and external validation</w:t>
            </w:r>
          </w:p>
        </w:tc>
        <w:tc>
          <w:tcPr>
            <w:tcW w:w="1728" w:type="dxa"/>
            <w:tcMar>
              <w:top w:w="80" w:type="dxa"/>
              <w:left w:w="90" w:type="dxa"/>
              <w:bottom w:w="80" w:type="dxa"/>
              <w:right w:w="90" w:type="dxa"/>
            </w:tcMar>
            <w:vAlign w:val="center"/>
          </w:tcPr>
          <w:p w14:paraId="1A5B7C38" w14:textId="77777777" w:rsidR="00FA4CBD" w:rsidRDefault="005F644B">
            <w:pPr>
              <w:spacing w:after="0" w:line="240" w:lineRule="auto"/>
            </w:pPr>
            <w:r>
              <w:rPr>
                <w:sz w:val="16"/>
              </w:rPr>
              <w:t>(Majgave &amp; Gavankar, 2024; Said et al., 2024; Xie et al., 2025)</w:t>
            </w:r>
          </w:p>
        </w:tc>
      </w:tr>
      <w:tr w:rsidR="00FA4CBD" w14:paraId="0E24512F" w14:textId="77777777">
        <w:trPr>
          <w:cantSplit/>
          <w:jc w:val="center"/>
        </w:trPr>
        <w:tc>
          <w:tcPr>
            <w:tcW w:w="1512" w:type="dxa"/>
            <w:tcMar>
              <w:top w:w="80" w:type="dxa"/>
              <w:left w:w="90" w:type="dxa"/>
              <w:bottom w:w="80" w:type="dxa"/>
              <w:right w:w="90" w:type="dxa"/>
            </w:tcMar>
            <w:vAlign w:val="center"/>
          </w:tcPr>
          <w:p w14:paraId="53976159" w14:textId="77777777" w:rsidR="00FA4CBD" w:rsidRDefault="005F644B">
            <w:pPr>
              <w:spacing w:after="0" w:line="240" w:lineRule="auto"/>
            </w:pPr>
            <w:r>
              <w:rPr>
                <w:b/>
                <w:sz w:val="16"/>
              </w:rPr>
              <w:t>GAN-assisted detection</w:t>
            </w:r>
          </w:p>
        </w:tc>
        <w:tc>
          <w:tcPr>
            <w:tcW w:w="2088" w:type="dxa"/>
            <w:tcMar>
              <w:top w:w="80" w:type="dxa"/>
              <w:left w:w="90" w:type="dxa"/>
              <w:bottom w:w="80" w:type="dxa"/>
              <w:right w:w="90" w:type="dxa"/>
            </w:tcMar>
            <w:vAlign w:val="center"/>
          </w:tcPr>
          <w:p w14:paraId="717E7915" w14:textId="77777777" w:rsidR="00FA4CBD" w:rsidRDefault="005F644B">
            <w:pPr>
              <w:spacing w:after="0" w:line="240" w:lineRule="auto"/>
            </w:pPr>
            <w:r>
              <w:rPr>
                <w:sz w:val="16"/>
              </w:rPr>
              <w:t>Learned phishing/benign distributions or augmented representations</w:t>
            </w:r>
          </w:p>
        </w:tc>
        <w:tc>
          <w:tcPr>
            <w:tcW w:w="1944" w:type="dxa"/>
            <w:tcMar>
              <w:top w:w="80" w:type="dxa"/>
              <w:left w:w="90" w:type="dxa"/>
              <w:bottom w:w="80" w:type="dxa"/>
              <w:right w:w="90" w:type="dxa"/>
            </w:tcMar>
            <w:vAlign w:val="center"/>
          </w:tcPr>
          <w:p w14:paraId="1BF80E19" w14:textId="77777777" w:rsidR="00FA4CBD" w:rsidRDefault="005F644B">
            <w:pPr>
              <w:spacing w:after="0" w:line="240" w:lineRule="auto"/>
            </w:pPr>
            <w:r>
              <w:rPr>
                <w:sz w:val="16"/>
              </w:rPr>
              <w:t>Can enrich representation learning under some data limitations</w:t>
            </w:r>
          </w:p>
        </w:tc>
        <w:tc>
          <w:tcPr>
            <w:tcW w:w="2664" w:type="dxa"/>
            <w:tcMar>
              <w:top w:w="80" w:type="dxa"/>
              <w:left w:w="90" w:type="dxa"/>
              <w:bottom w:w="80" w:type="dxa"/>
              <w:right w:w="90" w:type="dxa"/>
            </w:tcMar>
            <w:vAlign w:val="center"/>
          </w:tcPr>
          <w:p w14:paraId="1641851D" w14:textId="77777777" w:rsidR="00FA4CBD" w:rsidRDefault="005F644B">
            <w:pPr>
              <w:spacing w:after="0" w:line="240" w:lineRule="auto"/>
            </w:pPr>
            <w:r>
              <w:rPr>
                <w:sz w:val="16"/>
              </w:rPr>
              <w:t>Synthetic or adversarial training data may not reflect feasible attacker behaviour</w:t>
            </w:r>
          </w:p>
        </w:tc>
        <w:tc>
          <w:tcPr>
            <w:tcW w:w="1728" w:type="dxa"/>
            <w:tcMar>
              <w:top w:w="80" w:type="dxa"/>
              <w:left w:w="90" w:type="dxa"/>
              <w:bottom w:w="80" w:type="dxa"/>
              <w:right w:w="90" w:type="dxa"/>
            </w:tcMar>
            <w:vAlign w:val="center"/>
          </w:tcPr>
          <w:p w14:paraId="6A9C6D91" w14:textId="77777777" w:rsidR="00FA4CBD" w:rsidRDefault="005F644B">
            <w:pPr>
              <w:spacing w:after="0" w:line="240" w:lineRule="auto"/>
            </w:pPr>
            <w:r>
              <w:rPr>
                <w:sz w:val="16"/>
              </w:rPr>
              <w:t>(Al-Ahmadi et al., 2022)</w:t>
            </w:r>
          </w:p>
        </w:tc>
      </w:tr>
      <w:tr w:rsidR="00FA4CBD" w14:paraId="228003A9" w14:textId="77777777">
        <w:trPr>
          <w:cantSplit/>
          <w:jc w:val="center"/>
        </w:trPr>
        <w:tc>
          <w:tcPr>
            <w:tcW w:w="1512" w:type="dxa"/>
            <w:tcMar>
              <w:top w:w="80" w:type="dxa"/>
              <w:left w:w="90" w:type="dxa"/>
              <w:bottom w:w="80" w:type="dxa"/>
              <w:right w:w="90" w:type="dxa"/>
            </w:tcMar>
            <w:vAlign w:val="center"/>
          </w:tcPr>
          <w:p w14:paraId="224B3511" w14:textId="77777777" w:rsidR="00FA4CBD" w:rsidRDefault="005F644B">
            <w:pPr>
              <w:spacing w:after="0" w:line="240" w:lineRule="auto"/>
            </w:pPr>
            <w:r>
              <w:rPr>
                <w:b/>
                <w:sz w:val="16"/>
              </w:rPr>
              <w:t>Visual similarity networks</w:t>
            </w:r>
          </w:p>
        </w:tc>
        <w:tc>
          <w:tcPr>
            <w:tcW w:w="2088" w:type="dxa"/>
            <w:tcMar>
              <w:top w:w="80" w:type="dxa"/>
              <w:left w:w="90" w:type="dxa"/>
              <w:bottom w:w="80" w:type="dxa"/>
              <w:right w:w="90" w:type="dxa"/>
            </w:tcMar>
            <w:vAlign w:val="center"/>
          </w:tcPr>
          <w:p w14:paraId="3A3FA179" w14:textId="77777777" w:rsidR="00FA4CBD" w:rsidRDefault="005F644B">
            <w:pPr>
              <w:spacing w:after="0" w:line="240" w:lineRule="auto"/>
            </w:pPr>
            <w:r>
              <w:rPr>
                <w:sz w:val="16"/>
              </w:rPr>
              <w:t>Screenshots, logos and global-local visual descriptors</w:t>
            </w:r>
          </w:p>
        </w:tc>
        <w:tc>
          <w:tcPr>
            <w:tcW w:w="1944" w:type="dxa"/>
            <w:tcMar>
              <w:top w:w="80" w:type="dxa"/>
              <w:left w:w="90" w:type="dxa"/>
              <w:bottom w:w="80" w:type="dxa"/>
              <w:right w:w="90" w:type="dxa"/>
            </w:tcMar>
            <w:vAlign w:val="center"/>
          </w:tcPr>
          <w:p w14:paraId="36225FB2" w14:textId="77777777" w:rsidR="00FA4CBD" w:rsidRDefault="005F644B">
            <w:pPr>
              <w:spacing w:after="0" w:line="240" w:lineRule="auto"/>
            </w:pPr>
            <w:r>
              <w:rPr>
                <w:sz w:val="16"/>
              </w:rPr>
              <w:t>Directly models brand impersonation and supports target identification</w:t>
            </w:r>
          </w:p>
        </w:tc>
        <w:tc>
          <w:tcPr>
            <w:tcW w:w="2664" w:type="dxa"/>
            <w:tcMar>
              <w:top w:w="80" w:type="dxa"/>
              <w:left w:w="90" w:type="dxa"/>
              <w:bottom w:w="80" w:type="dxa"/>
              <w:right w:w="90" w:type="dxa"/>
            </w:tcMar>
            <w:vAlign w:val="center"/>
          </w:tcPr>
          <w:p w14:paraId="5FBE071B" w14:textId="77777777" w:rsidR="00FA4CBD" w:rsidRDefault="005F644B">
            <w:pPr>
              <w:spacing w:after="0" w:line="240" w:lineRule="auto"/>
            </w:pPr>
            <w:r>
              <w:rPr>
                <w:sz w:val="16"/>
              </w:rPr>
              <w:t>Real-world robustness can decline under logo removal, benign-logo insertion and other visual manipulations</w:t>
            </w:r>
          </w:p>
        </w:tc>
        <w:tc>
          <w:tcPr>
            <w:tcW w:w="1728" w:type="dxa"/>
            <w:tcMar>
              <w:top w:w="80" w:type="dxa"/>
              <w:left w:w="90" w:type="dxa"/>
              <w:bottom w:w="80" w:type="dxa"/>
              <w:right w:w="90" w:type="dxa"/>
            </w:tcMar>
            <w:vAlign w:val="center"/>
          </w:tcPr>
          <w:p w14:paraId="18236FAD" w14:textId="77777777" w:rsidR="00FA4CBD" w:rsidRDefault="005F644B">
            <w:pPr>
              <w:spacing w:after="0" w:line="240" w:lineRule="auto"/>
            </w:pPr>
            <w:r>
              <w:rPr>
                <w:sz w:val="16"/>
              </w:rPr>
              <w:t>(Ji et al., 2025; Lin et al., 2021; Wang et al., 2024)</w:t>
            </w:r>
          </w:p>
        </w:tc>
      </w:tr>
      <w:tr w:rsidR="00FA4CBD" w14:paraId="3A5CB0CE" w14:textId="77777777">
        <w:trPr>
          <w:cantSplit/>
          <w:jc w:val="center"/>
        </w:trPr>
        <w:tc>
          <w:tcPr>
            <w:tcW w:w="1512" w:type="dxa"/>
            <w:tcMar>
              <w:top w:w="80" w:type="dxa"/>
              <w:left w:w="90" w:type="dxa"/>
              <w:bottom w:w="80" w:type="dxa"/>
              <w:right w:w="90" w:type="dxa"/>
            </w:tcMar>
            <w:vAlign w:val="center"/>
          </w:tcPr>
          <w:p w14:paraId="24192CA2" w14:textId="77777777" w:rsidR="00FA4CBD" w:rsidRDefault="005F644B">
            <w:pPr>
              <w:spacing w:after="0" w:line="240" w:lineRule="auto"/>
            </w:pPr>
            <w:r>
              <w:rPr>
                <w:b/>
                <w:sz w:val="16"/>
              </w:rPr>
              <w:t>Contrastive/prototypical learning</w:t>
            </w:r>
          </w:p>
        </w:tc>
        <w:tc>
          <w:tcPr>
            <w:tcW w:w="2088" w:type="dxa"/>
            <w:tcMar>
              <w:top w:w="80" w:type="dxa"/>
              <w:left w:w="90" w:type="dxa"/>
              <w:bottom w:w="80" w:type="dxa"/>
              <w:right w:w="90" w:type="dxa"/>
            </w:tcMar>
            <w:vAlign w:val="center"/>
          </w:tcPr>
          <w:p w14:paraId="74D20C34" w14:textId="77777777" w:rsidR="00FA4CBD" w:rsidRDefault="005F644B">
            <w:pPr>
              <w:spacing w:after="0" w:line="240" w:lineRule="auto"/>
            </w:pPr>
            <w:r>
              <w:rPr>
                <w:sz w:val="16"/>
              </w:rPr>
              <w:t>URL embeddings and class prototypes</w:t>
            </w:r>
          </w:p>
        </w:tc>
        <w:tc>
          <w:tcPr>
            <w:tcW w:w="1944" w:type="dxa"/>
            <w:tcMar>
              <w:top w:w="80" w:type="dxa"/>
              <w:left w:w="90" w:type="dxa"/>
              <w:bottom w:w="80" w:type="dxa"/>
              <w:right w:w="90" w:type="dxa"/>
            </w:tcMar>
            <w:vAlign w:val="center"/>
          </w:tcPr>
          <w:p w14:paraId="392B206D" w14:textId="77777777" w:rsidR="00FA4CBD" w:rsidRDefault="005F644B">
            <w:pPr>
              <w:spacing w:after="0" w:line="240" w:lineRule="auto"/>
            </w:pPr>
            <w:r>
              <w:rPr>
                <w:sz w:val="16"/>
              </w:rPr>
              <w:t>Targets limited-data adaptation and discrimination among closely related URL patterns</w:t>
            </w:r>
          </w:p>
        </w:tc>
        <w:tc>
          <w:tcPr>
            <w:tcW w:w="2664" w:type="dxa"/>
            <w:tcMar>
              <w:top w:w="80" w:type="dxa"/>
              <w:left w:w="90" w:type="dxa"/>
              <w:bottom w:w="80" w:type="dxa"/>
              <w:right w:w="90" w:type="dxa"/>
            </w:tcMar>
            <w:vAlign w:val="center"/>
          </w:tcPr>
          <w:p w14:paraId="4687C10D" w14:textId="77777777" w:rsidR="00FA4CBD" w:rsidRDefault="005F644B">
            <w:pPr>
              <w:spacing w:after="0" w:line="240" w:lineRule="auto"/>
            </w:pPr>
            <w:r>
              <w:rPr>
                <w:sz w:val="16"/>
              </w:rPr>
              <w:t>Few-shot benchmark performance still requires temporal and cross-source confirmation</w:t>
            </w:r>
          </w:p>
        </w:tc>
        <w:tc>
          <w:tcPr>
            <w:tcW w:w="1728" w:type="dxa"/>
            <w:tcMar>
              <w:top w:w="80" w:type="dxa"/>
              <w:left w:w="90" w:type="dxa"/>
              <w:bottom w:w="80" w:type="dxa"/>
              <w:right w:w="90" w:type="dxa"/>
            </w:tcMar>
            <w:vAlign w:val="center"/>
          </w:tcPr>
          <w:p w14:paraId="6105E630" w14:textId="77777777" w:rsidR="00FA4CBD" w:rsidRDefault="005F644B">
            <w:pPr>
              <w:spacing w:after="0" w:line="240" w:lineRule="auto"/>
            </w:pPr>
            <w:r>
              <w:rPr>
                <w:sz w:val="16"/>
              </w:rPr>
              <w:t>(Park &amp; Cho, 2026)</w:t>
            </w:r>
          </w:p>
        </w:tc>
      </w:tr>
    </w:tbl>
    <w:p w14:paraId="10F7A1DC" w14:textId="77777777" w:rsidR="00FA4CBD" w:rsidRDefault="005F644B">
      <w:pPr>
        <w:spacing w:before="60" w:after="120"/>
      </w:pPr>
      <w:r>
        <w:rPr>
          <w:i/>
          <w:sz w:val="16"/>
        </w:rPr>
        <w:t>Note. CNN = convolutional neural network; DOM = Document Object Model; GAN = generative adversarial network; HTML = HyperText Markup Language; LIME = Local Interpretable Model-agnostic Explanations; LLM = large language model; SHAP = SHapley Additive exPlanations; TCN = temporal convolutional network; URL = Uniform Resource Locator; XAI = explainable artificial intelligence. Only abbreviations used in the table are applicable.</w:t>
      </w:r>
    </w:p>
    <w:p w14:paraId="0709324B" w14:textId="77777777" w:rsidR="00FA4CBD" w:rsidRDefault="005F644B">
      <w:pPr>
        <w:pStyle w:val="Heading1"/>
      </w:pPr>
      <w:r>
        <w:t>6. Explainable Artificial Intelligence: From Feature Importance to Actionable Security Evidence</w:t>
      </w:r>
    </w:p>
    <w:p w14:paraId="06DB11A9" w14:textId="77777777" w:rsidR="00FA4CBD" w:rsidRDefault="005F644B">
      <w:pPr>
        <w:ind w:firstLine="360"/>
        <w:jc w:val="both"/>
      </w:pPr>
      <w:r>
        <w:t>The expansion of complex models has created a legitimate need for explanations, but the term "explainable phishing detection" covers several distinct objectives. A developer may want to diagnose which features a model relies on. A security analyst may want evidence that supports triage. An end user may need a concise warning that helps them avoid a fraudulent site. A regulator or system owner may require traceability for automated blocking. These objectives cannot be satisfied automatically by the same XAI technique.</w:t>
      </w:r>
    </w:p>
    <w:p w14:paraId="1D412C88" w14:textId="77777777" w:rsidR="00FA4CBD" w:rsidRDefault="005F644B">
      <w:pPr>
        <w:pStyle w:val="Heading2"/>
      </w:pPr>
      <w:r>
        <w:t>6.1 Feature Attribution in Phishing Models</w:t>
      </w:r>
    </w:p>
    <w:p w14:paraId="6856105B" w14:textId="77777777" w:rsidR="00FA4CBD" w:rsidRDefault="005F644B">
      <w:pPr>
        <w:ind w:firstLine="360"/>
        <w:jc w:val="both"/>
      </w:pPr>
      <w:r>
        <w:t xml:space="preserve">SHAP and related attribution methods are increasingly used to rank the contribution of URL or webpage features to individual and global predictions. Calzarossa et al. (2024) used explainable machine learning to examine phishing features, helping connect predictive performance to interpretable indicators. Shafin (2025) combined explainability with feature selection, while Uddin et al. (2025) applied SHAP to boosting models. </w:t>
      </w:r>
      <w:r>
        <w:lastRenderedPageBreak/>
        <w:t>These studies advance the field beyond black-box score reporting because they make it possible to ask whether a model's decision is driven by intuitively relevant signals.</w:t>
      </w:r>
    </w:p>
    <w:p w14:paraId="48BE60AE" w14:textId="77777777" w:rsidR="00FA4CBD" w:rsidRDefault="005F644B">
      <w:pPr>
        <w:ind w:firstLine="360"/>
        <w:jc w:val="both"/>
      </w:pPr>
      <w:r>
        <w:t>The benefit is diagnostic rather than automatically causal. A high SHAP contribution for URL length means that, under the fitted model and its background distribution, that variable contributes strongly to a prediction. It does not prove that URL length causes phishing, nor that the relationship will remain stable after attackers adapt. Correlated features can redistribute attribution, and explanations can change when the model, baseline distribution or preprocessing changes. XAI should therefore be treated as evidence about model behaviour, not as a substitute for external validation.</w:t>
      </w:r>
    </w:p>
    <w:p w14:paraId="4A8FC316" w14:textId="77777777" w:rsidR="00FA4CBD" w:rsidRDefault="005F644B">
      <w:pPr>
        <w:pStyle w:val="Heading2"/>
      </w:pPr>
      <w:r>
        <w:t>6.2 Local Explanations, Stability and Faithfulness</w:t>
      </w:r>
    </w:p>
    <w:p w14:paraId="083BEE99" w14:textId="77777777" w:rsidR="00FA4CBD" w:rsidRDefault="005F644B">
      <w:pPr>
        <w:ind w:firstLine="360"/>
        <w:jc w:val="both"/>
      </w:pPr>
      <w:r>
        <w:t>LIME approximates model behaviour locally and can produce intuitive explanations around a particular prediction. Mayo et al. (2026) explicitly combine temporally dynamic feature extraction with LIME and SHAP, reflecting an important shift towards explanations in a changing environment. Yet phishing is a setting in which stability matters unusually strongly. If trivial perturbations of a URL or page produce very different explanations while preserving the verdict, an analyst may receive an unreliable rationale. If an explanation remains stable while the underlying model is wrong under temporal drift, the explanation may merely make the error appear more convincing.</w:t>
      </w:r>
    </w:p>
    <w:p w14:paraId="7E3D219F" w14:textId="77777777" w:rsidR="00FA4CBD" w:rsidRDefault="005F644B">
      <w:pPr>
        <w:ind w:firstLine="360"/>
        <w:jc w:val="both"/>
      </w:pPr>
      <w:r>
        <w:t>Rigorous XAI evaluation should distinguish plausibility, faithfulness and usefulness. Plausibility asks whether the explanation makes sense to a person. Faithfulness asks whether it accurately reflects the model's decision process. Usefulness asks whether the explanation improves a downstream decision, such as analyst triage or safe user behaviour. Most phishing-XAI work concentrates on feature rankings or case examples and provides less evidence on analyst performance, user comprehension or calibrated trust. As a result, claims that XAI increases trust should be phrased carefully: an explanation may increase perceived trust without improving correctness.</w:t>
      </w:r>
    </w:p>
    <w:p w14:paraId="0A3FB9E4" w14:textId="77777777" w:rsidR="00FA4CBD" w:rsidRDefault="005F644B">
      <w:pPr>
        <w:pStyle w:val="Heading2"/>
      </w:pPr>
      <w:r>
        <w:t>6.3 Explainability as an Adversarial Surface</w:t>
      </w:r>
    </w:p>
    <w:p w14:paraId="49CB0D4F" w14:textId="77777777" w:rsidR="00FA4CBD" w:rsidRDefault="005F644B">
      <w:pPr>
        <w:ind w:firstLine="360"/>
        <w:jc w:val="both"/>
      </w:pPr>
      <w:r>
        <w:t>Explanations can also reveal defensive logic. In a benign setting, showing that a model is sensitive to suspicious subdomain depth or external-form actions supports auditability. In an adversarial setting, a detailed feature explanation may help an attacker infer which modifications are likely to lower the phishing score. This is not an argument for suppressing explanations, but it suggests different disclosure levels for developers, analysts and end users. Internal security teams may need detailed feature attributions; end-user warnings may be better framed around robust semantic reasons, such as a mismatch between the claimed brand and the actual domain.</w:t>
      </w:r>
    </w:p>
    <w:p w14:paraId="0DCA735B" w14:textId="77777777" w:rsidR="00FA4CBD" w:rsidRDefault="005F644B">
      <w:pPr>
        <w:ind w:firstLine="360"/>
        <w:jc w:val="both"/>
      </w:pPr>
      <w:r>
        <w:t>The emerging XAI literature also points towards hybrid explanations. Alsakarnah et al. (2026) investigate hybrid XAI for feature extraction, while Kehkashan et al. (2025) frame explainability as part of an intelligent phishing-detection architecture. These efforts are promising, but the evidence is still too recent to establish whether hybrid explanation consistently improves robustness or decision quality. Evaluation should therefore include perturbation-based explanation stability, agreement across explanation methods and human-centred outcomes.</w:t>
      </w:r>
    </w:p>
    <w:p w14:paraId="2AB833DD" w14:textId="77777777" w:rsidR="00FA4CBD" w:rsidRDefault="005F644B">
      <w:pPr>
        <w:pStyle w:val="Heading2"/>
      </w:pPr>
      <w:r>
        <w:t>6.4 Visual Identification as an Alternative Form of Explanation</w:t>
      </w:r>
    </w:p>
    <w:p w14:paraId="77AA7BE6" w14:textId="77777777" w:rsidR="00FA4CBD" w:rsidRDefault="005F644B">
      <w:pPr>
        <w:ind w:firstLine="360"/>
        <w:jc w:val="both"/>
      </w:pPr>
      <w:r>
        <w:t>Brand identification illustrates why security explanation can be more useful when it is tied to an actionable semantic claim. If a system identifies a page as imitating a particular bank while the registered domain is unrelated, the explanation maps directly onto a security rule the user can understand. Phishpedia embodies this approach by connecting visual recognition to target-brand identification (Lin et al., 2021). Multimodal LLMs extend the idea by combining visual brand evidence with text or domain reasoning (Lee et al., 2024).</w:t>
      </w:r>
    </w:p>
    <w:p w14:paraId="626025DB" w14:textId="77777777" w:rsidR="00FA4CBD" w:rsidRDefault="005F644B">
      <w:pPr>
        <w:ind w:firstLine="360"/>
        <w:jc w:val="both"/>
      </w:pPr>
      <w:r>
        <w:lastRenderedPageBreak/>
        <w:t>The risk is that semantic explanations can still be wrong. A model may identify the wrong brand, infer an intent that is not present or generate a fluent rationale unsupported by the page. Generative explanations therefore require verification against observable evidence. For high-stakes blocking, an explanation should ideally expose inspectable cues rather than rely on an ungrounded natural-language narrative.</w:t>
      </w:r>
    </w:p>
    <w:p w14:paraId="1D9933C7" w14:textId="77777777" w:rsidR="00FA4CBD" w:rsidRDefault="005F644B">
      <w:pPr>
        <w:ind w:firstLine="360"/>
        <w:jc w:val="both"/>
      </w:pPr>
      <w:r>
        <w:t>Table 4 distinguishes the main explanation forms in phishing detection. The table emphasises that interpretability is not a single property: feature attribution, rule extraction, visual brand identification and natural-language reasoning answer different questions and should be evaluated with different criteria.</w:t>
      </w:r>
    </w:p>
    <w:p w14:paraId="19641E61" w14:textId="77777777" w:rsidR="00FA4CBD" w:rsidRDefault="005F644B">
      <w:pPr>
        <w:pStyle w:val="Caption"/>
        <w:keepNext/>
      </w:pPr>
      <w:r>
        <w:t>Table 4. Forms of explainability in phishing detection and appropriate evaluation criteria</w:t>
      </w:r>
    </w:p>
    <w:tbl>
      <w:tblPr>
        <w:tblStyle w:val="TableGrid"/>
        <w:tblW w:w="0" w:type="auto"/>
        <w:jc w:val="center"/>
        <w:tblLayout w:type="fixed"/>
        <w:tblLook w:val="04A0" w:firstRow="1" w:lastRow="0" w:firstColumn="1" w:lastColumn="0" w:noHBand="0" w:noVBand="1"/>
      </w:tblPr>
      <w:tblGrid>
        <w:gridCol w:w="1512"/>
        <w:gridCol w:w="2088"/>
        <w:gridCol w:w="1944"/>
        <w:gridCol w:w="2664"/>
        <w:gridCol w:w="1728"/>
      </w:tblGrid>
      <w:tr w:rsidR="00FA4CBD" w14:paraId="0B5DBBC9" w14:textId="77777777">
        <w:trPr>
          <w:tblHeader/>
          <w:jc w:val="center"/>
        </w:trPr>
        <w:tc>
          <w:tcPr>
            <w:tcW w:w="1512" w:type="dxa"/>
            <w:shd w:val="clear" w:color="auto" w:fill="D9E2F3"/>
            <w:tcMar>
              <w:top w:w="80" w:type="dxa"/>
              <w:left w:w="90" w:type="dxa"/>
              <w:bottom w:w="80" w:type="dxa"/>
              <w:right w:w="90" w:type="dxa"/>
            </w:tcMar>
            <w:vAlign w:val="center"/>
          </w:tcPr>
          <w:p w14:paraId="30EE34D9" w14:textId="77777777" w:rsidR="00FA4CBD" w:rsidRDefault="005F644B">
            <w:pPr>
              <w:spacing w:after="0" w:line="240" w:lineRule="auto"/>
              <w:jc w:val="center"/>
            </w:pPr>
            <w:r>
              <w:rPr>
                <w:b/>
                <w:sz w:val="16"/>
              </w:rPr>
              <w:t>Explanation form</w:t>
            </w:r>
          </w:p>
        </w:tc>
        <w:tc>
          <w:tcPr>
            <w:tcW w:w="2088" w:type="dxa"/>
            <w:shd w:val="clear" w:color="auto" w:fill="D9E2F3"/>
            <w:tcMar>
              <w:top w:w="80" w:type="dxa"/>
              <w:left w:w="90" w:type="dxa"/>
              <w:bottom w:w="80" w:type="dxa"/>
              <w:right w:w="90" w:type="dxa"/>
            </w:tcMar>
            <w:vAlign w:val="center"/>
          </w:tcPr>
          <w:p w14:paraId="3D6E38DB" w14:textId="77777777" w:rsidR="00FA4CBD" w:rsidRDefault="005F644B">
            <w:pPr>
              <w:spacing w:after="0" w:line="240" w:lineRule="auto"/>
              <w:jc w:val="center"/>
            </w:pPr>
            <w:r>
              <w:rPr>
                <w:b/>
                <w:sz w:val="16"/>
              </w:rPr>
              <w:t>What it explains</w:t>
            </w:r>
          </w:p>
        </w:tc>
        <w:tc>
          <w:tcPr>
            <w:tcW w:w="1944" w:type="dxa"/>
            <w:shd w:val="clear" w:color="auto" w:fill="D9E2F3"/>
            <w:tcMar>
              <w:top w:w="80" w:type="dxa"/>
              <w:left w:w="90" w:type="dxa"/>
              <w:bottom w:w="80" w:type="dxa"/>
              <w:right w:w="90" w:type="dxa"/>
            </w:tcMar>
            <w:vAlign w:val="center"/>
          </w:tcPr>
          <w:p w14:paraId="48880319" w14:textId="77777777" w:rsidR="00FA4CBD" w:rsidRDefault="005F644B">
            <w:pPr>
              <w:spacing w:after="0" w:line="240" w:lineRule="auto"/>
              <w:jc w:val="center"/>
            </w:pPr>
            <w:r>
              <w:rPr>
                <w:b/>
                <w:sz w:val="16"/>
              </w:rPr>
              <w:t>Potential security value</w:t>
            </w:r>
          </w:p>
        </w:tc>
        <w:tc>
          <w:tcPr>
            <w:tcW w:w="2664" w:type="dxa"/>
            <w:shd w:val="clear" w:color="auto" w:fill="D9E2F3"/>
            <w:tcMar>
              <w:top w:w="80" w:type="dxa"/>
              <w:left w:w="90" w:type="dxa"/>
              <w:bottom w:w="80" w:type="dxa"/>
              <w:right w:w="90" w:type="dxa"/>
            </w:tcMar>
            <w:vAlign w:val="center"/>
          </w:tcPr>
          <w:p w14:paraId="24EBB23F" w14:textId="77777777" w:rsidR="00FA4CBD" w:rsidRDefault="005F644B">
            <w:pPr>
              <w:spacing w:after="0" w:line="240" w:lineRule="auto"/>
              <w:jc w:val="center"/>
            </w:pPr>
            <w:r>
              <w:rPr>
                <w:b/>
                <w:sz w:val="16"/>
              </w:rPr>
              <w:t>What must be validated</w:t>
            </w:r>
          </w:p>
        </w:tc>
        <w:tc>
          <w:tcPr>
            <w:tcW w:w="1728" w:type="dxa"/>
            <w:shd w:val="clear" w:color="auto" w:fill="D9E2F3"/>
            <w:tcMar>
              <w:top w:w="80" w:type="dxa"/>
              <w:left w:w="90" w:type="dxa"/>
              <w:bottom w:w="80" w:type="dxa"/>
              <w:right w:w="90" w:type="dxa"/>
            </w:tcMar>
            <w:vAlign w:val="center"/>
          </w:tcPr>
          <w:p w14:paraId="0121DE67" w14:textId="77777777" w:rsidR="00FA4CBD" w:rsidRDefault="005F644B">
            <w:pPr>
              <w:spacing w:after="0" w:line="240" w:lineRule="auto"/>
              <w:jc w:val="center"/>
            </w:pPr>
            <w:r>
              <w:rPr>
                <w:b/>
                <w:sz w:val="16"/>
              </w:rPr>
              <w:t>Supporting references</w:t>
            </w:r>
          </w:p>
        </w:tc>
      </w:tr>
      <w:tr w:rsidR="00FA4CBD" w14:paraId="51DA1D8E" w14:textId="77777777">
        <w:trPr>
          <w:cantSplit/>
          <w:jc w:val="center"/>
        </w:trPr>
        <w:tc>
          <w:tcPr>
            <w:tcW w:w="1512" w:type="dxa"/>
            <w:tcMar>
              <w:top w:w="80" w:type="dxa"/>
              <w:left w:w="90" w:type="dxa"/>
              <w:bottom w:w="80" w:type="dxa"/>
              <w:right w:w="90" w:type="dxa"/>
            </w:tcMar>
            <w:vAlign w:val="center"/>
          </w:tcPr>
          <w:p w14:paraId="25F9C180" w14:textId="77777777" w:rsidR="00FA4CBD" w:rsidRDefault="005F644B">
            <w:pPr>
              <w:spacing w:after="0" w:line="240" w:lineRule="auto"/>
            </w:pPr>
            <w:r>
              <w:rPr>
                <w:b/>
                <w:sz w:val="16"/>
              </w:rPr>
              <w:t>Global feature importance</w:t>
            </w:r>
          </w:p>
        </w:tc>
        <w:tc>
          <w:tcPr>
            <w:tcW w:w="2088" w:type="dxa"/>
            <w:tcMar>
              <w:top w:w="80" w:type="dxa"/>
              <w:left w:w="90" w:type="dxa"/>
              <w:bottom w:w="80" w:type="dxa"/>
              <w:right w:w="90" w:type="dxa"/>
            </w:tcMar>
            <w:vAlign w:val="center"/>
          </w:tcPr>
          <w:p w14:paraId="7981024F" w14:textId="77777777" w:rsidR="00FA4CBD" w:rsidRDefault="005F644B">
            <w:pPr>
              <w:spacing w:after="0" w:line="240" w:lineRule="auto"/>
            </w:pPr>
            <w:r>
              <w:rPr>
                <w:sz w:val="16"/>
              </w:rPr>
              <w:t>Which variables influence model predictions across a dataset</w:t>
            </w:r>
          </w:p>
        </w:tc>
        <w:tc>
          <w:tcPr>
            <w:tcW w:w="1944" w:type="dxa"/>
            <w:tcMar>
              <w:top w:w="80" w:type="dxa"/>
              <w:left w:w="90" w:type="dxa"/>
              <w:bottom w:w="80" w:type="dxa"/>
              <w:right w:w="90" w:type="dxa"/>
            </w:tcMar>
            <w:vAlign w:val="center"/>
          </w:tcPr>
          <w:p w14:paraId="654278BC" w14:textId="77777777" w:rsidR="00FA4CBD" w:rsidRDefault="005F644B">
            <w:pPr>
              <w:spacing w:after="0" w:line="240" w:lineRule="auto"/>
            </w:pPr>
            <w:r>
              <w:rPr>
                <w:sz w:val="16"/>
              </w:rPr>
              <w:t>Model audit, feature pruning and drift diagnosis</w:t>
            </w:r>
          </w:p>
        </w:tc>
        <w:tc>
          <w:tcPr>
            <w:tcW w:w="2664" w:type="dxa"/>
            <w:tcMar>
              <w:top w:w="80" w:type="dxa"/>
              <w:left w:w="90" w:type="dxa"/>
              <w:bottom w:w="80" w:type="dxa"/>
              <w:right w:w="90" w:type="dxa"/>
            </w:tcMar>
            <w:vAlign w:val="center"/>
          </w:tcPr>
          <w:p w14:paraId="421EB969" w14:textId="77777777" w:rsidR="00FA4CBD" w:rsidRDefault="005F644B">
            <w:pPr>
              <w:spacing w:after="0" w:line="240" w:lineRule="auto"/>
            </w:pPr>
            <w:r>
              <w:rPr>
                <w:sz w:val="16"/>
              </w:rPr>
              <w:t>Stability across datasets and time; sensitivity to correlated variables</w:t>
            </w:r>
          </w:p>
        </w:tc>
        <w:tc>
          <w:tcPr>
            <w:tcW w:w="1728" w:type="dxa"/>
            <w:tcMar>
              <w:top w:w="80" w:type="dxa"/>
              <w:left w:w="90" w:type="dxa"/>
              <w:bottom w:w="80" w:type="dxa"/>
              <w:right w:w="90" w:type="dxa"/>
            </w:tcMar>
            <w:vAlign w:val="center"/>
          </w:tcPr>
          <w:p w14:paraId="2FBBC750" w14:textId="77777777" w:rsidR="00FA4CBD" w:rsidRDefault="005F644B">
            <w:pPr>
              <w:spacing w:after="0" w:line="240" w:lineRule="auto"/>
            </w:pPr>
            <w:r>
              <w:rPr>
                <w:sz w:val="16"/>
              </w:rPr>
              <w:t>(Calzarossa et al., 2024; Shafin, 2025)</w:t>
            </w:r>
          </w:p>
        </w:tc>
      </w:tr>
      <w:tr w:rsidR="00FA4CBD" w14:paraId="108852A1" w14:textId="77777777">
        <w:trPr>
          <w:cantSplit/>
          <w:jc w:val="center"/>
        </w:trPr>
        <w:tc>
          <w:tcPr>
            <w:tcW w:w="1512" w:type="dxa"/>
            <w:tcMar>
              <w:top w:w="80" w:type="dxa"/>
              <w:left w:w="90" w:type="dxa"/>
              <w:bottom w:w="80" w:type="dxa"/>
              <w:right w:w="90" w:type="dxa"/>
            </w:tcMar>
            <w:vAlign w:val="center"/>
          </w:tcPr>
          <w:p w14:paraId="37ACB417" w14:textId="77777777" w:rsidR="00FA4CBD" w:rsidRDefault="005F644B">
            <w:pPr>
              <w:spacing w:after="0" w:line="240" w:lineRule="auto"/>
            </w:pPr>
            <w:r>
              <w:rPr>
                <w:b/>
                <w:sz w:val="16"/>
              </w:rPr>
              <w:t>Local SHAP attribution</w:t>
            </w:r>
          </w:p>
        </w:tc>
        <w:tc>
          <w:tcPr>
            <w:tcW w:w="2088" w:type="dxa"/>
            <w:tcMar>
              <w:top w:w="80" w:type="dxa"/>
              <w:left w:w="90" w:type="dxa"/>
              <w:bottom w:w="80" w:type="dxa"/>
              <w:right w:w="90" w:type="dxa"/>
            </w:tcMar>
            <w:vAlign w:val="center"/>
          </w:tcPr>
          <w:p w14:paraId="7785B895" w14:textId="77777777" w:rsidR="00FA4CBD" w:rsidRDefault="005F644B">
            <w:pPr>
              <w:spacing w:after="0" w:line="240" w:lineRule="auto"/>
            </w:pPr>
            <w:r>
              <w:rPr>
                <w:sz w:val="16"/>
              </w:rPr>
              <w:t>Contribution of measured features to a specific prediction</w:t>
            </w:r>
          </w:p>
        </w:tc>
        <w:tc>
          <w:tcPr>
            <w:tcW w:w="1944" w:type="dxa"/>
            <w:tcMar>
              <w:top w:w="80" w:type="dxa"/>
              <w:left w:w="90" w:type="dxa"/>
              <w:bottom w:w="80" w:type="dxa"/>
              <w:right w:w="90" w:type="dxa"/>
            </w:tcMar>
            <w:vAlign w:val="center"/>
          </w:tcPr>
          <w:p w14:paraId="6007315A" w14:textId="77777777" w:rsidR="00FA4CBD" w:rsidRDefault="005F644B">
            <w:pPr>
              <w:spacing w:after="0" w:line="240" w:lineRule="auto"/>
            </w:pPr>
            <w:r>
              <w:rPr>
                <w:sz w:val="16"/>
              </w:rPr>
              <w:t>Analyst triage and case-level inspection</w:t>
            </w:r>
          </w:p>
        </w:tc>
        <w:tc>
          <w:tcPr>
            <w:tcW w:w="2664" w:type="dxa"/>
            <w:tcMar>
              <w:top w:w="80" w:type="dxa"/>
              <w:left w:w="90" w:type="dxa"/>
              <w:bottom w:w="80" w:type="dxa"/>
              <w:right w:w="90" w:type="dxa"/>
            </w:tcMar>
            <w:vAlign w:val="center"/>
          </w:tcPr>
          <w:p w14:paraId="0EFD220A" w14:textId="77777777" w:rsidR="00FA4CBD" w:rsidRDefault="005F644B">
            <w:pPr>
              <w:spacing w:after="0" w:line="240" w:lineRule="auto"/>
            </w:pPr>
            <w:r>
              <w:rPr>
                <w:sz w:val="16"/>
              </w:rPr>
              <w:t>Faithfulness, perturbation stability and whether highlighted cues remain robust under attack</w:t>
            </w:r>
          </w:p>
        </w:tc>
        <w:tc>
          <w:tcPr>
            <w:tcW w:w="1728" w:type="dxa"/>
            <w:tcMar>
              <w:top w:w="80" w:type="dxa"/>
              <w:left w:w="90" w:type="dxa"/>
              <w:bottom w:w="80" w:type="dxa"/>
              <w:right w:w="90" w:type="dxa"/>
            </w:tcMar>
            <w:vAlign w:val="center"/>
          </w:tcPr>
          <w:p w14:paraId="200F9308" w14:textId="77777777" w:rsidR="00FA4CBD" w:rsidRDefault="005F644B">
            <w:pPr>
              <w:spacing w:after="0" w:line="240" w:lineRule="auto"/>
            </w:pPr>
            <w:r>
              <w:rPr>
                <w:sz w:val="16"/>
              </w:rPr>
              <w:t>(Uddin et al., 2025)</w:t>
            </w:r>
          </w:p>
        </w:tc>
      </w:tr>
      <w:tr w:rsidR="00FA4CBD" w14:paraId="7B9BA17F" w14:textId="77777777">
        <w:trPr>
          <w:cantSplit/>
          <w:jc w:val="center"/>
        </w:trPr>
        <w:tc>
          <w:tcPr>
            <w:tcW w:w="1512" w:type="dxa"/>
            <w:tcMar>
              <w:top w:w="80" w:type="dxa"/>
              <w:left w:w="90" w:type="dxa"/>
              <w:bottom w:w="80" w:type="dxa"/>
              <w:right w:w="90" w:type="dxa"/>
            </w:tcMar>
            <w:vAlign w:val="center"/>
          </w:tcPr>
          <w:p w14:paraId="58D6B138" w14:textId="77777777" w:rsidR="00FA4CBD" w:rsidRDefault="005F644B">
            <w:pPr>
              <w:spacing w:after="0" w:line="240" w:lineRule="auto"/>
            </w:pPr>
            <w:r>
              <w:rPr>
                <w:b/>
                <w:sz w:val="16"/>
              </w:rPr>
              <w:t>LIME-style local surrogate</w:t>
            </w:r>
          </w:p>
        </w:tc>
        <w:tc>
          <w:tcPr>
            <w:tcW w:w="2088" w:type="dxa"/>
            <w:tcMar>
              <w:top w:w="80" w:type="dxa"/>
              <w:left w:w="90" w:type="dxa"/>
              <w:bottom w:w="80" w:type="dxa"/>
              <w:right w:w="90" w:type="dxa"/>
            </w:tcMar>
            <w:vAlign w:val="center"/>
          </w:tcPr>
          <w:p w14:paraId="3F599D2A" w14:textId="77777777" w:rsidR="00FA4CBD" w:rsidRDefault="005F644B">
            <w:pPr>
              <w:spacing w:after="0" w:line="240" w:lineRule="auto"/>
            </w:pPr>
            <w:r>
              <w:rPr>
                <w:sz w:val="16"/>
              </w:rPr>
              <w:t>Approximate local decision boundary around one sample</w:t>
            </w:r>
          </w:p>
        </w:tc>
        <w:tc>
          <w:tcPr>
            <w:tcW w:w="1944" w:type="dxa"/>
            <w:tcMar>
              <w:top w:w="80" w:type="dxa"/>
              <w:left w:w="90" w:type="dxa"/>
              <w:bottom w:w="80" w:type="dxa"/>
              <w:right w:w="90" w:type="dxa"/>
            </w:tcMar>
            <w:vAlign w:val="center"/>
          </w:tcPr>
          <w:p w14:paraId="6BEF3CB5" w14:textId="77777777" w:rsidR="00FA4CBD" w:rsidRDefault="005F644B">
            <w:pPr>
              <w:spacing w:after="0" w:line="240" w:lineRule="auto"/>
            </w:pPr>
            <w:r>
              <w:rPr>
                <w:sz w:val="16"/>
              </w:rPr>
              <w:t>Human-readable case explanation for complex models</w:t>
            </w:r>
          </w:p>
        </w:tc>
        <w:tc>
          <w:tcPr>
            <w:tcW w:w="2664" w:type="dxa"/>
            <w:tcMar>
              <w:top w:w="80" w:type="dxa"/>
              <w:left w:w="90" w:type="dxa"/>
              <w:bottom w:w="80" w:type="dxa"/>
              <w:right w:w="90" w:type="dxa"/>
            </w:tcMar>
            <w:vAlign w:val="center"/>
          </w:tcPr>
          <w:p w14:paraId="53F8CD89" w14:textId="77777777" w:rsidR="00FA4CBD" w:rsidRDefault="005F644B">
            <w:pPr>
              <w:spacing w:after="0" w:line="240" w:lineRule="auto"/>
            </w:pPr>
            <w:r>
              <w:rPr>
                <w:sz w:val="16"/>
              </w:rPr>
              <w:t>Local fidelity, sampling sensitivity and temporal stability</w:t>
            </w:r>
          </w:p>
        </w:tc>
        <w:tc>
          <w:tcPr>
            <w:tcW w:w="1728" w:type="dxa"/>
            <w:tcMar>
              <w:top w:w="80" w:type="dxa"/>
              <w:left w:w="90" w:type="dxa"/>
              <w:bottom w:w="80" w:type="dxa"/>
              <w:right w:w="90" w:type="dxa"/>
            </w:tcMar>
            <w:vAlign w:val="center"/>
          </w:tcPr>
          <w:p w14:paraId="0AF1DC43" w14:textId="77777777" w:rsidR="00FA4CBD" w:rsidRDefault="005F644B">
            <w:pPr>
              <w:spacing w:after="0" w:line="240" w:lineRule="auto"/>
            </w:pPr>
            <w:r>
              <w:rPr>
                <w:sz w:val="16"/>
              </w:rPr>
              <w:t>(Mayo et al., 2026)</w:t>
            </w:r>
          </w:p>
        </w:tc>
      </w:tr>
      <w:tr w:rsidR="00FA4CBD" w14:paraId="2636F3E2" w14:textId="77777777">
        <w:trPr>
          <w:cantSplit/>
          <w:jc w:val="center"/>
        </w:trPr>
        <w:tc>
          <w:tcPr>
            <w:tcW w:w="1512" w:type="dxa"/>
            <w:tcMar>
              <w:top w:w="80" w:type="dxa"/>
              <w:left w:w="90" w:type="dxa"/>
              <w:bottom w:w="80" w:type="dxa"/>
              <w:right w:w="90" w:type="dxa"/>
            </w:tcMar>
            <w:vAlign w:val="center"/>
          </w:tcPr>
          <w:p w14:paraId="1C8F76F5" w14:textId="77777777" w:rsidR="00FA4CBD" w:rsidRDefault="005F644B">
            <w:pPr>
              <w:spacing w:after="0" w:line="240" w:lineRule="auto"/>
            </w:pPr>
            <w:r>
              <w:rPr>
                <w:b/>
                <w:sz w:val="16"/>
              </w:rPr>
              <w:t>Rule or feature-based rationale</w:t>
            </w:r>
          </w:p>
        </w:tc>
        <w:tc>
          <w:tcPr>
            <w:tcW w:w="2088" w:type="dxa"/>
            <w:tcMar>
              <w:top w:w="80" w:type="dxa"/>
              <w:left w:w="90" w:type="dxa"/>
              <w:bottom w:w="80" w:type="dxa"/>
              <w:right w:w="90" w:type="dxa"/>
            </w:tcMar>
            <w:vAlign w:val="center"/>
          </w:tcPr>
          <w:p w14:paraId="46D3452F" w14:textId="77777777" w:rsidR="00FA4CBD" w:rsidRDefault="005F644B">
            <w:pPr>
              <w:spacing w:after="0" w:line="240" w:lineRule="auto"/>
            </w:pPr>
            <w:r>
              <w:rPr>
                <w:sz w:val="16"/>
              </w:rPr>
              <w:t>Explicit conditions associated with a prediction</w:t>
            </w:r>
          </w:p>
        </w:tc>
        <w:tc>
          <w:tcPr>
            <w:tcW w:w="1944" w:type="dxa"/>
            <w:tcMar>
              <w:top w:w="80" w:type="dxa"/>
              <w:left w:w="90" w:type="dxa"/>
              <w:bottom w:w="80" w:type="dxa"/>
              <w:right w:w="90" w:type="dxa"/>
            </w:tcMar>
            <w:vAlign w:val="center"/>
          </w:tcPr>
          <w:p w14:paraId="3211EE0C" w14:textId="77777777" w:rsidR="00FA4CBD" w:rsidRDefault="005F644B">
            <w:pPr>
              <w:spacing w:after="0" w:line="240" w:lineRule="auto"/>
            </w:pPr>
            <w:r>
              <w:rPr>
                <w:sz w:val="16"/>
              </w:rPr>
              <w:t>Auditable, low-complexity explanation suitable for operational controls</w:t>
            </w:r>
          </w:p>
        </w:tc>
        <w:tc>
          <w:tcPr>
            <w:tcW w:w="2664" w:type="dxa"/>
            <w:tcMar>
              <w:top w:w="80" w:type="dxa"/>
              <w:left w:w="90" w:type="dxa"/>
              <w:bottom w:w="80" w:type="dxa"/>
              <w:right w:w="90" w:type="dxa"/>
            </w:tcMar>
            <w:vAlign w:val="center"/>
          </w:tcPr>
          <w:p w14:paraId="74E61142" w14:textId="77777777" w:rsidR="00FA4CBD" w:rsidRDefault="005F644B">
            <w:pPr>
              <w:spacing w:after="0" w:line="240" w:lineRule="auto"/>
            </w:pPr>
            <w:r>
              <w:rPr>
                <w:sz w:val="16"/>
              </w:rPr>
              <w:t>Rule validity after distribution shift and attacker adaptation</w:t>
            </w:r>
          </w:p>
        </w:tc>
        <w:tc>
          <w:tcPr>
            <w:tcW w:w="1728" w:type="dxa"/>
            <w:tcMar>
              <w:top w:w="80" w:type="dxa"/>
              <w:left w:w="90" w:type="dxa"/>
              <w:bottom w:w="80" w:type="dxa"/>
              <w:right w:w="90" w:type="dxa"/>
            </w:tcMar>
            <w:vAlign w:val="center"/>
          </w:tcPr>
          <w:p w14:paraId="3930F515" w14:textId="77777777" w:rsidR="00FA4CBD" w:rsidRDefault="005F644B">
            <w:pPr>
              <w:spacing w:after="0" w:line="240" w:lineRule="auto"/>
            </w:pPr>
            <w:r>
              <w:rPr>
                <w:sz w:val="16"/>
              </w:rPr>
              <w:t>(HR et al., 2020)</w:t>
            </w:r>
          </w:p>
        </w:tc>
      </w:tr>
      <w:tr w:rsidR="00FA4CBD" w14:paraId="304D7A04" w14:textId="77777777">
        <w:trPr>
          <w:cantSplit/>
          <w:jc w:val="center"/>
        </w:trPr>
        <w:tc>
          <w:tcPr>
            <w:tcW w:w="1512" w:type="dxa"/>
            <w:tcMar>
              <w:top w:w="80" w:type="dxa"/>
              <w:left w:w="90" w:type="dxa"/>
              <w:bottom w:w="80" w:type="dxa"/>
              <w:right w:w="90" w:type="dxa"/>
            </w:tcMar>
            <w:vAlign w:val="center"/>
          </w:tcPr>
          <w:p w14:paraId="2536E2FF" w14:textId="77777777" w:rsidR="00FA4CBD" w:rsidRDefault="005F644B">
            <w:pPr>
              <w:spacing w:after="0" w:line="240" w:lineRule="auto"/>
            </w:pPr>
            <w:r>
              <w:rPr>
                <w:b/>
                <w:sz w:val="16"/>
              </w:rPr>
              <w:t>Visual brand identification</w:t>
            </w:r>
          </w:p>
        </w:tc>
        <w:tc>
          <w:tcPr>
            <w:tcW w:w="2088" w:type="dxa"/>
            <w:tcMar>
              <w:top w:w="80" w:type="dxa"/>
              <w:left w:w="90" w:type="dxa"/>
              <w:bottom w:w="80" w:type="dxa"/>
              <w:right w:w="90" w:type="dxa"/>
            </w:tcMar>
            <w:vAlign w:val="center"/>
          </w:tcPr>
          <w:p w14:paraId="45AF0576" w14:textId="77777777" w:rsidR="00FA4CBD" w:rsidRDefault="005F644B">
            <w:pPr>
              <w:spacing w:after="0" w:line="240" w:lineRule="auto"/>
            </w:pPr>
            <w:r>
              <w:rPr>
                <w:sz w:val="16"/>
              </w:rPr>
              <w:t>Which legitimate identity a page appears to imitate</w:t>
            </w:r>
          </w:p>
        </w:tc>
        <w:tc>
          <w:tcPr>
            <w:tcW w:w="1944" w:type="dxa"/>
            <w:tcMar>
              <w:top w:w="80" w:type="dxa"/>
              <w:left w:w="90" w:type="dxa"/>
              <w:bottom w:w="80" w:type="dxa"/>
              <w:right w:w="90" w:type="dxa"/>
            </w:tcMar>
            <w:vAlign w:val="center"/>
          </w:tcPr>
          <w:p w14:paraId="66715BE1" w14:textId="77777777" w:rsidR="00FA4CBD" w:rsidRDefault="005F644B">
            <w:pPr>
              <w:spacing w:after="0" w:line="240" w:lineRule="auto"/>
            </w:pPr>
            <w:r>
              <w:rPr>
                <w:sz w:val="16"/>
              </w:rPr>
              <w:t>Actionable semantic warning and analyst context</w:t>
            </w:r>
          </w:p>
        </w:tc>
        <w:tc>
          <w:tcPr>
            <w:tcW w:w="2664" w:type="dxa"/>
            <w:tcMar>
              <w:top w:w="80" w:type="dxa"/>
              <w:left w:w="90" w:type="dxa"/>
              <w:bottom w:w="80" w:type="dxa"/>
              <w:right w:w="90" w:type="dxa"/>
            </w:tcMar>
            <w:vAlign w:val="center"/>
          </w:tcPr>
          <w:p w14:paraId="25DEA2AD" w14:textId="77777777" w:rsidR="00FA4CBD" w:rsidRDefault="005F644B">
            <w:pPr>
              <w:spacing w:after="0" w:line="240" w:lineRule="auto"/>
            </w:pPr>
            <w:r>
              <w:rPr>
                <w:sz w:val="16"/>
              </w:rPr>
              <w:t>Reference-set coverage, brand-match accuracy and robustness to visual manipulation</w:t>
            </w:r>
          </w:p>
        </w:tc>
        <w:tc>
          <w:tcPr>
            <w:tcW w:w="1728" w:type="dxa"/>
            <w:tcMar>
              <w:top w:w="80" w:type="dxa"/>
              <w:left w:w="90" w:type="dxa"/>
              <w:bottom w:w="80" w:type="dxa"/>
              <w:right w:w="90" w:type="dxa"/>
            </w:tcMar>
            <w:vAlign w:val="center"/>
          </w:tcPr>
          <w:p w14:paraId="69139BD0" w14:textId="77777777" w:rsidR="00FA4CBD" w:rsidRDefault="005F644B">
            <w:pPr>
              <w:spacing w:after="0" w:line="240" w:lineRule="auto"/>
            </w:pPr>
            <w:r>
              <w:rPr>
                <w:sz w:val="16"/>
              </w:rPr>
              <w:t>(Ji et al., 2025; Lin et al., 2021)</w:t>
            </w:r>
          </w:p>
        </w:tc>
      </w:tr>
      <w:tr w:rsidR="00FA4CBD" w14:paraId="0027C3D9" w14:textId="77777777">
        <w:trPr>
          <w:cantSplit/>
          <w:jc w:val="center"/>
        </w:trPr>
        <w:tc>
          <w:tcPr>
            <w:tcW w:w="1512" w:type="dxa"/>
            <w:tcMar>
              <w:top w:w="80" w:type="dxa"/>
              <w:left w:w="90" w:type="dxa"/>
              <w:bottom w:w="80" w:type="dxa"/>
              <w:right w:w="90" w:type="dxa"/>
            </w:tcMar>
            <w:vAlign w:val="center"/>
          </w:tcPr>
          <w:p w14:paraId="274EC42C" w14:textId="77777777" w:rsidR="00FA4CBD" w:rsidRDefault="005F644B">
            <w:pPr>
              <w:spacing w:after="0" w:line="240" w:lineRule="auto"/>
            </w:pPr>
            <w:r>
              <w:rPr>
                <w:b/>
                <w:sz w:val="16"/>
              </w:rPr>
              <w:t>Natural-language model explanation</w:t>
            </w:r>
          </w:p>
        </w:tc>
        <w:tc>
          <w:tcPr>
            <w:tcW w:w="2088" w:type="dxa"/>
            <w:tcMar>
              <w:top w:w="80" w:type="dxa"/>
              <w:left w:w="90" w:type="dxa"/>
              <w:bottom w:w="80" w:type="dxa"/>
              <w:right w:w="90" w:type="dxa"/>
            </w:tcMar>
            <w:vAlign w:val="center"/>
          </w:tcPr>
          <w:p w14:paraId="13C881DC" w14:textId="77777777" w:rsidR="00FA4CBD" w:rsidRDefault="005F644B">
            <w:pPr>
              <w:spacing w:after="0" w:line="240" w:lineRule="auto"/>
            </w:pPr>
            <w:r>
              <w:rPr>
                <w:sz w:val="16"/>
              </w:rPr>
              <w:t>Synthesised semantic reasons across URL, text or visual evidence</w:t>
            </w:r>
          </w:p>
        </w:tc>
        <w:tc>
          <w:tcPr>
            <w:tcW w:w="1944" w:type="dxa"/>
            <w:tcMar>
              <w:top w:w="80" w:type="dxa"/>
              <w:left w:w="90" w:type="dxa"/>
              <w:bottom w:w="80" w:type="dxa"/>
              <w:right w:w="90" w:type="dxa"/>
            </w:tcMar>
            <w:vAlign w:val="center"/>
          </w:tcPr>
          <w:p w14:paraId="0E2A9F67" w14:textId="77777777" w:rsidR="00FA4CBD" w:rsidRDefault="005F644B">
            <w:pPr>
              <w:spacing w:after="0" w:line="240" w:lineRule="auto"/>
            </w:pPr>
            <w:r>
              <w:rPr>
                <w:sz w:val="16"/>
              </w:rPr>
              <w:t>Accessible explanations and integration of heterogeneous evidence</w:t>
            </w:r>
          </w:p>
        </w:tc>
        <w:tc>
          <w:tcPr>
            <w:tcW w:w="2664" w:type="dxa"/>
            <w:tcMar>
              <w:top w:w="80" w:type="dxa"/>
              <w:left w:w="90" w:type="dxa"/>
              <w:bottom w:w="80" w:type="dxa"/>
              <w:right w:w="90" w:type="dxa"/>
            </w:tcMar>
            <w:vAlign w:val="center"/>
          </w:tcPr>
          <w:p w14:paraId="1431FB07" w14:textId="77777777" w:rsidR="00FA4CBD" w:rsidRDefault="005F644B">
            <w:pPr>
              <w:spacing w:after="0" w:line="240" w:lineRule="auto"/>
            </w:pPr>
            <w:r>
              <w:rPr>
                <w:sz w:val="16"/>
              </w:rPr>
              <w:t>Grounding, factual consistency, prompt dependence and resistance to attacker-controlled content</w:t>
            </w:r>
          </w:p>
        </w:tc>
        <w:tc>
          <w:tcPr>
            <w:tcW w:w="1728" w:type="dxa"/>
            <w:tcMar>
              <w:top w:w="80" w:type="dxa"/>
              <w:left w:w="90" w:type="dxa"/>
              <w:bottom w:w="80" w:type="dxa"/>
              <w:right w:w="90" w:type="dxa"/>
            </w:tcMar>
            <w:vAlign w:val="center"/>
          </w:tcPr>
          <w:p w14:paraId="5C77EF64" w14:textId="77777777" w:rsidR="00FA4CBD" w:rsidRDefault="005F644B">
            <w:pPr>
              <w:spacing w:after="0" w:line="240" w:lineRule="auto"/>
            </w:pPr>
            <w:r>
              <w:rPr>
                <w:sz w:val="16"/>
              </w:rPr>
              <w:t>(Alsakarnah et al., 2026; Kehkashan et al., 2025; Lee et al., 2024; Li et al., 2025)</w:t>
            </w:r>
          </w:p>
        </w:tc>
      </w:tr>
    </w:tbl>
    <w:p w14:paraId="1090FA42" w14:textId="77777777" w:rsidR="00FA4CBD" w:rsidRDefault="005F644B">
      <w:pPr>
        <w:spacing w:before="60" w:after="120"/>
      </w:pPr>
      <w:r>
        <w:rPr>
          <w:i/>
          <w:sz w:val="16"/>
        </w:rPr>
        <w:t>Note. CNN = convolutional neural network; DOM = Document Object Model; GAN = generative adversarial network; HTML = HyperText Markup Language; LIME = Local Interpretable Model-agnostic Explanations; LLM = large language model; SHAP = SHapley Additive exPlanations; TCN = temporal convolutional network; URL = Uniform Resource Locator; XAI = explainable artificial intelligence. Only abbreviations used in the table are applicable.</w:t>
      </w:r>
    </w:p>
    <w:p w14:paraId="24DD5FB7" w14:textId="77777777" w:rsidR="00FA4CBD" w:rsidRDefault="005F644B">
      <w:pPr>
        <w:pStyle w:val="Heading1"/>
      </w:pPr>
      <w:r>
        <w:t>7. Large Language Models and Multimodal Generative Approaches</w:t>
      </w:r>
    </w:p>
    <w:p w14:paraId="5BADB7FE" w14:textId="77777777" w:rsidR="00FA4CBD" w:rsidRDefault="005F644B">
      <w:pPr>
        <w:ind w:firstLine="360"/>
        <w:jc w:val="both"/>
      </w:pPr>
      <w:r>
        <w:t>LLMs change phishing detection in two ways. First, they can act as classifiers without the same task-specific training pipeline as conventional models, using prompting or lightweight adaptation to interpret URLs, text and structured webpage evidence. Second, they can produce natural-language rationales and semantic labels such as the apparent brand or malicious intent. Multimodal models add screenshot or visual understanding. This combination is attractive because phishing is fundamentally semantic deception, not merely anomalous syntax.</w:t>
      </w:r>
    </w:p>
    <w:p w14:paraId="32786663" w14:textId="77777777" w:rsidR="00FA4CBD" w:rsidRDefault="005F644B">
      <w:pPr>
        <w:pStyle w:val="Heading2"/>
      </w:pPr>
      <w:r>
        <w:t>7.1 Prompt-Based URL and Page Reasoning</w:t>
      </w:r>
    </w:p>
    <w:p w14:paraId="4FFCB902" w14:textId="77777777" w:rsidR="00FA4CBD" w:rsidRDefault="005F644B">
      <w:pPr>
        <w:ind w:firstLine="360"/>
        <w:jc w:val="both"/>
      </w:pPr>
      <w:r>
        <w:t>ChatPhishDetector demonstrated that LLMs can be used directly for phishing-site detection and can reason over webpage-related information rather than only emit an opaque numeric score (Koide et al., 2024). Benchmarking of 21 open-source LLMs further shows that phishing-link detection performance varies materially across models and prompts, underlining that "using an LLM" is not a single reproducible method (Nasution et al., 2025). Prompt wording, context formatting, tokenisation and model size can all affect the decision boundary.</w:t>
      </w:r>
    </w:p>
    <w:p w14:paraId="2D5261C9" w14:textId="77777777" w:rsidR="00FA4CBD" w:rsidRDefault="005F644B">
      <w:pPr>
        <w:ind w:firstLine="360"/>
        <w:jc w:val="both"/>
      </w:pPr>
      <w:r>
        <w:t xml:space="preserve">This variability has two implications. The first is methodological: papers should report prompts, model checkpoints or version identifiers, decoding parameters and preprocessing with enough detail for replication. The second is operational: a detector built on an externally hosted model may change when the provider updates </w:t>
      </w:r>
      <w:r>
        <w:lastRenderedPageBreak/>
        <w:t>the model, even if the application code is unchanged. Reproducibility therefore depends partly on model governance. Open-weight models reduce some versioning and privacy concerns but may require local accelerator resources and careful hardening.</w:t>
      </w:r>
    </w:p>
    <w:p w14:paraId="4C7E309D" w14:textId="77777777" w:rsidR="00FA4CBD" w:rsidRDefault="005F644B">
      <w:pPr>
        <w:pStyle w:val="Heading2"/>
      </w:pPr>
      <w:r>
        <w:t>7.2 Multimodal LLMs for Detection and Identification</w:t>
      </w:r>
    </w:p>
    <w:p w14:paraId="201BD3A6" w14:textId="77777777" w:rsidR="00FA4CBD" w:rsidRDefault="005F644B">
      <w:pPr>
        <w:ind w:firstLine="360"/>
        <w:jc w:val="both"/>
      </w:pPr>
      <w:r>
        <w:t>Multimodal large models are well matched to phishing because they can jointly interpret screenshot appearance, textual claims and contextual evidence. Lee et al. (2024) evaluated multimodal LLMs for phishing webpage detection and identification, moving beyond binary classification towards understanding which legitimate identity is being mimicked. Li et al. (2025) integrated multimodal LLMs with federated learning to address privacy and distributed adaptation, while also generating explanations.</w:t>
      </w:r>
    </w:p>
    <w:p w14:paraId="66934E42" w14:textId="77777777" w:rsidR="00FA4CBD" w:rsidRDefault="005F644B">
      <w:pPr>
        <w:ind w:firstLine="360"/>
        <w:jc w:val="both"/>
      </w:pPr>
      <w:r>
        <w:t>These systems potentially reduce the fragmentation between URL detectors, visual logo systems and explanatory layers. A single model can reason about several modalities and articulate a rationale. Yet integration does not remove the weaknesses of the inputs. Screenshots can be adversarially altered, HTML can contain misleading text, and the page itself is untrusted content. A model that ingests attacker-controlled instructions may be exposed to prompt-injection-like behaviour if webpage text is not clearly separated from system instructions and treated strictly as data. Security architecture must therefore assume that every page token or pixel is adversarial.</w:t>
      </w:r>
    </w:p>
    <w:p w14:paraId="3C2E3AB4" w14:textId="77777777" w:rsidR="00FA4CBD" w:rsidRDefault="005F644B">
      <w:pPr>
        <w:pStyle w:val="Heading2"/>
      </w:pPr>
      <w:r>
        <w:t>7.3 Robustness: LLMs as Improvement, Not Immunity</w:t>
      </w:r>
    </w:p>
    <w:p w14:paraId="548EE77A" w14:textId="77777777" w:rsidR="00FA4CBD" w:rsidRDefault="005F644B">
      <w:pPr>
        <w:ind w:firstLine="360"/>
        <w:jc w:val="both"/>
      </w:pPr>
      <w:r>
        <w:t>Adversarial evaluation is essential because phishing detectors operate against an adaptive opponent. Kulkarni et al. (2025) generated adversarial phishing webpages and compared established machine-learning, deep-learning and LLM-based detection approaches. The study found substantial declines in traditional models under adversarial manipulation; the LLM-based detector was more resilient in the evaluated setting but also experienced degradation. This is a more informative result than a static benchmark win because it addresses the actual security objective: maintaining useful discrimination after the attacker modifies the artefact.</w:t>
      </w:r>
    </w:p>
    <w:p w14:paraId="0953163B" w14:textId="77777777" w:rsidR="00FA4CBD" w:rsidRDefault="005F644B">
      <w:pPr>
        <w:ind w:firstLine="360"/>
        <w:jc w:val="both"/>
      </w:pPr>
      <w:r>
        <w:t>The finding should not be generalised into an assumption that LLMs are inherently robust. Language models have their own manipulable inputs and may be sensitive to prompt formulation, irrelevant context, obfuscation or adversarial text. Multimodal models also inherit visual vulnerabilities. Robustness is likely to depend on how the model is instructed, which evidence is preprocessed or independently verified, and whether the decision is constrained by deterministic checks. LLMs may be valuable as one component in a defence-in-depth system precisely because they fail differently from lexical or visual classifiers, not because they eliminate failure.</w:t>
      </w:r>
    </w:p>
    <w:p w14:paraId="53887FEB" w14:textId="77777777" w:rsidR="00FA4CBD" w:rsidRDefault="005F644B">
      <w:pPr>
        <w:pStyle w:val="Heading2"/>
      </w:pPr>
      <w:r>
        <w:t>7.4 Cost, Latency and Privacy</w:t>
      </w:r>
    </w:p>
    <w:p w14:paraId="36A033D6" w14:textId="77777777" w:rsidR="00FA4CBD" w:rsidRDefault="005F644B">
      <w:pPr>
        <w:ind w:firstLine="360"/>
        <w:jc w:val="both"/>
      </w:pPr>
      <w:r>
        <w:t>A conventional URL classifier can often return a score in milliseconds on ordinary hardware. A large generative model may require significantly greater compute, memory, network transfer and energy per decision. This difference becomes decisive at browser, secure-web-gateway or search-crawler scale. Sending webpage content or screenshots to an external model also creates privacy and confidentiality concerns because browsing content can contain personal or organisational information.</w:t>
      </w:r>
    </w:p>
    <w:p w14:paraId="3AF16DF0" w14:textId="77777777" w:rsidR="00FA4CBD" w:rsidRDefault="005F644B">
      <w:pPr>
        <w:ind w:firstLine="360"/>
        <w:jc w:val="both"/>
      </w:pPr>
      <w:r>
        <w:t>FedPhishLLM is significant in this context because it combines federated learning with multimodal language-model adaptation, aiming to keep raw data local while enabling collaborative improvement (Li et al., 2025). The framework addresses an important problem but also introduces the familiar complexities of federated learning: heterogeneous clients, communication overhead, model-update security and validation of distributed contributions. Its experiments provide evidence that privacy-preserving LLM-based phishing detection is technically feasible, but large-scale deployment across diverse and resource-constrained clients remains an open problem.</w:t>
      </w:r>
    </w:p>
    <w:p w14:paraId="5B1357D1" w14:textId="77777777" w:rsidR="00FA4CBD" w:rsidRDefault="005F644B">
      <w:pPr>
        <w:pStyle w:val="Heading2"/>
      </w:pPr>
      <w:r>
        <w:lastRenderedPageBreak/>
        <w:t>7.5 Explanation Quality and Hallucination Risk</w:t>
      </w:r>
    </w:p>
    <w:p w14:paraId="101CDFA5" w14:textId="77777777" w:rsidR="00FA4CBD" w:rsidRDefault="005F644B">
      <w:pPr>
        <w:ind w:firstLine="360"/>
        <w:jc w:val="both"/>
      </w:pPr>
      <w:r>
        <w:t>Natural-language explanations are appealing because they can communicate a reason such as "the page claims to be a bank but the domain is unrelated" in terms that a user or analyst can understand. The danger is that fluency can mask uncertainty. An LLM may produce a plausible explanation even when its classification is wrong or when the webpage provides insufficient evidence. For security use, explanation generation should therefore be grounded in extracted evidence: domain-registration facts, visual brand matches, form destinations, certificate or redirect information, and other independently observable signals.</w:t>
      </w:r>
    </w:p>
    <w:p w14:paraId="3EBC73F0" w14:textId="77777777" w:rsidR="00FA4CBD" w:rsidRDefault="005F644B">
      <w:pPr>
        <w:ind w:firstLine="360"/>
        <w:jc w:val="both"/>
      </w:pPr>
      <w:r>
        <w:t>A useful design distinction is between generative reasoning and authoritative evidence. The LLM can synthesise evidence and express uncertainty, but deterministic parsers and verified external data should remain available to audit the claim. This distinction also reduces the risk that adversarial page content becomes the sole source of the model's reasoning. The best use of LLMs may therefore be selective escalation and evidence synthesis rather than unconditional first-line classification.</w:t>
      </w:r>
    </w:p>
    <w:p w14:paraId="5EB8A477" w14:textId="77777777" w:rsidR="00FA4CBD" w:rsidRDefault="005F644B">
      <w:pPr>
        <w:ind w:firstLine="360"/>
        <w:jc w:val="both"/>
      </w:pPr>
      <w:r>
        <w:t>Table 5 summarises the current LLM and multimodal evidence. Compared with the mature machine-learning literature, the number of peer-reviewed studies remains small and recent. The strongest emerging signal is not that LLMs dominate all benchmarks, but that they open new possibilities for semantic and multimodal reasoning while creating distinct requirements for reproducibility, privacy, cost control and secure prompt design.</w:t>
      </w:r>
    </w:p>
    <w:p w14:paraId="6C8A40BF" w14:textId="77777777" w:rsidR="00FA4CBD" w:rsidRDefault="005F644B">
      <w:pPr>
        <w:pStyle w:val="Caption"/>
        <w:keepNext/>
      </w:pPr>
      <w:r>
        <w:t>Table 5. Emerging large-language-model and multimodal approaches to web-phishing detection</w:t>
      </w:r>
    </w:p>
    <w:tbl>
      <w:tblPr>
        <w:tblStyle w:val="TableGrid"/>
        <w:tblW w:w="0" w:type="auto"/>
        <w:jc w:val="center"/>
        <w:tblLayout w:type="fixed"/>
        <w:tblLook w:val="04A0" w:firstRow="1" w:lastRow="0" w:firstColumn="1" w:lastColumn="0" w:noHBand="0" w:noVBand="1"/>
      </w:tblPr>
      <w:tblGrid>
        <w:gridCol w:w="1512"/>
        <w:gridCol w:w="2088"/>
        <w:gridCol w:w="1944"/>
        <w:gridCol w:w="2664"/>
        <w:gridCol w:w="1728"/>
      </w:tblGrid>
      <w:tr w:rsidR="00FA4CBD" w14:paraId="6B49C795" w14:textId="77777777">
        <w:trPr>
          <w:tblHeader/>
          <w:jc w:val="center"/>
        </w:trPr>
        <w:tc>
          <w:tcPr>
            <w:tcW w:w="1512" w:type="dxa"/>
            <w:shd w:val="clear" w:color="auto" w:fill="D9E2F3"/>
            <w:tcMar>
              <w:top w:w="80" w:type="dxa"/>
              <w:left w:w="90" w:type="dxa"/>
              <w:bottom w:w="80" w:type="dxa"/>
              <w:right w:w="90" w:type="dxa"/>
            </w:tcMar>
            <w:vAlign w:val="center"/>
          </w:tcPr>
          <w:p w14:paraId="0EE2BF39" w14:textId="77777777" w:rsidR="00FA4CBD" w:rsidRDefault="005F644B">
            <w:pPr>
              <w:spacing w:after="0" w:line="240" w:lineRule="auto"/>
              <w:jc w:val="center"/>
            </w:pPr>
            <w:r>
              <w:rPr>
                <w:b/>
                <w:sz w:val="16"/>
              </w:rPr>
              <w:t>Study or approach</w:t>
            </w:r>
          </w:p>
        </w:tc>
        <w:tc>
          <w:tcPr>
            <w:tcW w:w="2088" w:type="dxa"/>
            <w:shd w:val="clear" w:color="auto" w:fill="D9E2F3"/>
            <w:tcMar>
              <w:top w:w="80" w:type="dxa"/>
              <w:left w:w="90" w:type="dxa"/>
              <w:bottom w:w="80" w:type="dxa"/>
              <w:right w:w="90" w:type="dxa"/>
            </w:tcMar>
            <w:vAlign w:val="center"/>
          </w:tcPr>
          <w:p w14:paraId="2BCEAD79" w14:textId="77777777" w:rsidR="00FA4CBD" w:rsidRDefault="005F644B">
            <w:pPr>
              <w:spacing w:after="0" w:line="240" w:lineRule="auto"/>
              <w:jc w:val="center"/>
            </w:pPr>
            <w:r>
              <w:rPr>
                <w:b/>
                <w:sz w:val="16"/>
              </w:rPr>
              <w:t>LLM role and inputs</w:t>
            </w:r>
          </w:p>
        </w:tc>
        <w:tc>
          <w:tcPr>
            <w:tcW w:w="1944" w:type="dxa"/>
            <w:shd w:val="clear" w:color="auto" w:fill="D9E2F3"/>
            <w:tcMar>
              <w:top w:w="80" w:type="dxa"/>
              <w:left w:w="90" w:type="dxa"/>
              <w:bottom w:w="80" w:type="dxa"/>
              <w:right w:w="90" w:type="dxa"/>
            </w:tcMar>
            <w:vAlign w:val="center"/>
          </w:tcPr>
          <w:p w14:paraId="32E1C48A" w14:textId="77777777" w:rsidR="00FA4CBD" w:rsidRDefault="005F644B">
            <w:pPr>
              <w:spacing w:after="0" w:line="240" w:lineRule="auto"/>
              <w:jc w:val="center"/>
            </w:pPr>
            <w:r>
              <w:rPr>
                <w:b/>
                <w:sz w:val="16"/>
              </w:rPr>
              <w:t>Main contribution</w:t>
            </w:r>
          </w:p>
        </w:tc>
        <w:tc>
          <w:tcPr>
            <w:tcW w:w="2664" w:type="dxa"/>
            <w:shd w:val="clear" w:color="auto" w:fill="D9E2F3"/>
            <w:tcMar>
              <w:top w:w="80" w:type="dxa"/>
              <w:left w:w="90" w:type="dxa"/>
              <w:bottom w:w="80" w:type="dxa"/>
              <w:right w:w="90" w:type="dxa"/>
            </w:tcMar>
            <w:vAlign w:val="center"/>
          </w:tcPr>
          <w:p w14:paraId="1A3DA3D9" w14:textId="77777777" w:rsidR="00FA4CBD" w:rsidRDefault="005F644B">
            <w:pPr>
              <w:spacing w:after="0" w:line="240" w:lineRule="auto"/>
              <w:jc w:val="center"/>
            </w:pPr>
            <w:r>
              <w:rPr>
                <w:b/>
                <w:sz w:val="16"/>
              </w:rPr>
              <w:t>Key unresolved limitation</w:t>
            </w:r>
          </w:p>
        </w:tc>
        <w:tc>
          <w:tcPr>
            <w:tcW w:w="1728" w:type="dxa"/>
            <w:shd w:val="clear" w:color="auto" w:fill="D9E2F3"/>
            <w:tcMar>
              <w:top w:w="80" w:type="dxa"/>
              <w:left w:w="90" w:type="dxa"/>
              <w:bottom w:w="80" w:type="dxa"/>
              <w:right w:w="90" w:type="dxa"/>
            </w:tcMar>
            <w:vAlign w:val="center"/>
          </w:tcPr>
          <w:p w14:paraId="49C37AC6" w14:textId="77777777" w:rsidR="00FA4CBD" w:rsidRDefault="005F644B">
            <w:pPr>
              <w:spacing w:after="0" w:line="240" w:lineRule="auto"/>
              <w:jc w:val="center"/>
            </w:pPr>
            <w:r>
              <w:rPr>
                <w:b/>
                <w:sz w:val="16"/>
              </w:rPr>
              <w:t>Supporting references</w:t>
            </w:r>
          </w:p>
        </w:tc>
      </w:tr>
      <w:tr w:rsidR="00FA4CBD" w14:paraId="6E71B7DB" w14:textId="77777777">
        <w:trPr>
          <w:cantSplit/>
          <w:jc w:val="center"/>
        </w:trPr>
        <w:tc>
          <w:tcPr>
            <w:tcW w:w="1512" w:type="dxa"/>
            <w:tcMar>
              <w:top w:w="80" w:type="dxa"/>
              <w:left w:w="90" w:type="dxa"/>
              <w:bottom w:w="80" w:type="dxa"/>
              <w:right w:w="90" w:type="dxa"/>
            </w:tcMar>
            <w:vAlign w:val="center"/>
          </w:tcPr>
          <w:p w14:paraId="087A8E2D" w14:textId="77777777" w:rsidR="00FA4CBD" w:rsidRDefault="005F644B">
            <w:pPr>
              <w:spacing w:after="0" w:line="240" w:lineRule="auto"/>
            </w:pPr>
            <w:r>
              <w:rPr>
                <w:b/>
                <w:sz w:val="16"/>
              </w:rPr>
              <w:t>ChatPhishDetector</w:t>
            </w:r>
          </w:p>
        </w:tc>
        <w:tc>
          <w:tcPr>
            <w:tcW w:w="2088" w:type="dxa"/>
            <w:tcMar>
              <w:top w:w="80" w:type="dxa"/>
              <w:left w:w="90" w:type="dxa"/>
              <w:bottom w:w="80" w:type="dxa"/>
              <w:right w:w="90" w:type="dxa"/>
            </w:tcMar>
            <w:vAlign w:val="center"/>
          </w:tcPr>
          <w:p w14:paraId="60AD0F51" w14:textId="77777777" w:rsidR="00FA4CBD" w:rsidRDefault="005F644B">
            <w:pPr>
              <w:spacing w:after="0" w:line="240" w:lineRule="auto"/>
            </w:pPr>
            <w:r>
              <w:rPr>
                <w:sz w:val="16"/>
              </w:rPr>
              <w:t>Prompted LLM reasoning over phishing-site information</w:t>
            </w:r>
          </w:p>
        </w:tc>
        <w:tc>
          <w:tcPr>
            <w:tcW w:w="1944" w:type="dxa"/>
            <w:tcMar>
              <w:top w:w="80" w:type="dxa"/>
              <w:left w:w="90" w:type="dxa"/>
              <w:bottom w:w="80" w:type="dxa"/>
              <w:right w:w="90" w:type="dxa"/>
            </w:tcMar>
            <w:vAlign w:val="center"/>
          </w:tcPr>
          <w:p w14:paraId="6A316E64" w14:textId="77777777" w:rsidR="00FA4CBD" w:rsidRDefault="005F644B">
            <w:pPr>
              <w:spacing w:after="0" w:line="240" w:lineRule="auto"/>
            </w:pPr>
            <w:r>
              <w:rPr>
                <w:sz w:val="16"/>
              </w:rPr>
              <w:t>Demonstrates task use of an LLM with interpretable reasoning rather than a dedicated opaque classifier alone</w:t>
            </w:r>
          </w:p>
        </w:tc>
        <w:tc>
          <w:tcPr>
            <w:tcW w:w="2664" w:type="dxa"/>
            <w:tcMar>
              <w:top w:w="80" w:type="dxa"/>
              <w:left w:w="90" w:type="dxa"/>
              <w:bottom w:w="80" w:type="dxa"/>
              <w:right w:w="90" w:type="dxa"/>
            </w:tcMar>
            <w:vAlign w:val="center"/>
          </w:tcPr>
          <w:p w14:paraId="0564D59D" w14:textId="77777777" w:rsidR="00FA4CBD" w:rsidRDefault="005F644B">
            <w:pPr>
              <w:spacing w:after="0" w:line="240" w:lineRule="auto"/>
            </w:pPr>
            <w:r>
              <w:rPr>
                <w:sz w:val="16"/>
              </w:rPr>
              <w:t>Reproducibility depends on model/version and prompt; cost and adversarial-content handling require deployment study</w:t>
            </w:r>
          </w:p>
        </w:tc>
        <w:tc>
          <w:tcPr>
            <w:tcW w:w="1728" w:type="dxa"/>
            <w:tcMar>
              <w:top w:w="80" w:type="dxa"/>
              <w:left w:w="90" w:type="dxa"/>
              <w:bottom w:w="80" w:type="dxa"/>
              <w:right w:w="90" w:type="dxa"/>
            </w:tcMar>
            <w:vAlign w:val="center"/>
          </w:tcPr>
          <w:p w14:paraId="08638F00" w14:textId="77777777" w:rsidR="00FA4CBD" w:rsidRDefault="005F644B">
            <w:pPr>
              <w:spacing w:after="0" w:line="240" w:lineRule="auto"/>
            </w:pPr>
            <w:r>
              <w:rPr>
                <w:sz w:val="16"/>
              </w:rPr>
              <w:t>(Koide et al., 2024)</w:t>
            </w:r>
          </w:p>
        </w:tc>
      </w:tr>
      <w:tr w:rsidR="00FA4CBD" w14:paraId="762E1083" w14:textId="77777777">
        <w:trPr>
          <w:cantSplit/>
          <w:jc w:val="center"/>
        </w:trPr>
        <w:tc>
          <w:tcPr>
            <w:tcW w:w="1512" w:type="dxa"/>
            <w:tcMar>
              <w:top w:w="80" w:type="dxa"/>
              <w:left w:w="90" w:type="dxa"/>
              <w:bottom w:w="80" w:type="dxa"/>
              <w:right w:w="90" w:type="dxa"/>
            </w:tcMar>
            <w:vAlign w:val="center"/>
          </w:tcPr>
          <w:p w14:paraId="1BA749FE" w14:textId="77777777" w:rsidR="00FA4CBD" w:rsidRDefault="005F644B">
            <w:pPr>
              <w:spacing w:after="0" w:line="240" w:lineRule="auto"/>
            </w:pPr>
            <w:r>
              <w:rPr>
                <w:b/>
                <w:sz w:val="16"/>
              </w:rPr>
              <w:t>Multimodal LLM detection and identification</w:t>
            </w:r>
          </w:p>
        </w:tc>
        <w:tc>
          <w:tcPr>
            <w:tcW w:w="2088" w:type="dxa"/>
            <w:tcMar>
              <w:top w:w="80" w:type="dxa"/>
              <w:left w:w="90" w:type="dxa"/>
              <w:bottom w:w="80" w:type="dxa"/>
              <w:right w:w="90" w:type="dxa"/>
            </w:tcMar>
            <w:vAlign w:val="center"/>
          </w:tcPr>
          <w:p w14:paraId="7BCE4B71" w14:textId="77777777" w:rsidR="00FA4CBD" w:rsidRDefault="005F644B">
            <w:pPr>
              <w:spacing w:after="0" w:line="240" w:lineRule="auto"/>
            </w:pPr>
            <w:r>
              <w:rPr>
                <w:sz w:val="16"/>
              </w:rPr>
              <w:t>Joint visual and contextual reasoning over phishing webpages</w:t>
            </w:r>
          </w:p>
        </w:tc>
        <w:tc>
          <w:tcPr>
            <w:tcW w:w="1944" w:type="dxa"/>
            <w:tcMar>
              <w:top w:w="80" w:type="dxa"/>
              <w:left w:w="90" w:type="dxa"/>
              <w:bottom w:w="80" w:type="dxa"/>
              <w:right w:w="90" w:type="dxa"/>
            </w:tcMar>
            <w:vAlign w:val="center"/>
          </w:tcPr>
          <w:p w14:paraId="34313AC4" w14:textId="77777777" w:rsidR="00FA4CBD" w:rsidRDefault="005F644B">
            <w:pPr>
              <w:spacing w:after="0" w:line="240" w:lineRule="auto"/>
            </w:pPr>
            <w:r>
              <w:rPr>
                <w:sz w:val="16"/>
              </w:rPr>
              <w:t>Connects binary detection with target-brand identification using multimodal reasoning</w:t>
            </w:r>
          </w:p>
        </w:tc>
        <w:tc>
          <w:tcPr>
            <w:tcW w:w="2664" w:type="dxa"/>
            <w:tcMar>
              <w:top w:w="80" w:type="dxa"/>
              <w:left w:w="90" w:type="dxa"/>
              <w:bottom w:w="80" w:type="dxa"/>
              <w:right w:w="90" w:type="dxa"/>
            </w:tcMar>
            <w:vAlign w:val="center"/>
          </w:tcPr>
          <w:p w14:paraId="5FA84FD6" w14:textId="77777777" w:rsidR="00FA4CBD" w:rsidRDefault="005F644B">
            <w:pPr>
              <w:spacing w:after="0" w:line="240" w:lineRule="auto"/>
            </w:pPr>
            <w:r>
              <w:rPr>
                <w:sz w:val="16"/>
              </w:rPr>
              <w:t>Small and rapidly changing model ecosystem; needs broad real-world and adversarial validation</w:t>
            </w:r>
          </w:p>
        </w:tc>
        <w:tc>
          <w:tcPr>
            <w:tcW w:w="1728" w:type="dxa"/>
            <w:tcMar>
              <w:top w:w="80" w:type="dxa"/>
              <w:left w:w="90" w:type="dxa"/>
              <w:bottom w:w="80" w:type="dxa"/>
              <w:right w:w="90" w:type="dxa"/>
            </w:tcMar>
            <w:vAlign w:val="center"/>
          </w:tcPr>
          <w:p w14:paraId="570BAE64" w14:textId="77777777" w:rsidR="00FA4CBD" w:rsidRDefault="005F644B">
            <w:pPr>
              <w:spacing w:after="0" w:line="240" w:lineRule="auto"/>
            </w:pPr>
            <w:r>
              <w:rPr>
                <w:sz w:val="16"/>
              </w:rPr>
              <w:t>(Lee et al., 2024)</w:t>
            </w:r>
          </w:p>
        </w:tc>
      </w:tr>
      <w:tr w:rsidR="00FA4CBD" w14:paraId="193FB168" w14:textId="77777777">
        <w:trPr>
          <w:cantSplit/>
          <w:jc w:val="center"/>
        </w:trPr>
        <w:tc>
          <w:tcPr>
            <w:tcW w:w="1512" w:type="dxa"/>
            <w:tcMar>
              <w:top w:w="80" w:type="dxa"/>
              <w:left w:w="90" w:type="dxa"/>
              <w:bottom w:w="80" w:type="dxa"/>
              <w:right w:w="90" w:type="dxa"/>
            </w:tcMar>
            <w:vAlign w:val="center"/>
          </w:tcPr>
          <w:p w14:paraId="603C57CA" w14:textId="77777777" w:rsidR="00FA4CBD" w:rsidRDefault="005F644B">
            <w:pPr>
              <w:spacing w:after="0" w:line="240" w:lineRule="auto"/>
            </w:pPr>
            <w:r>
              <w:rPr>
                <w:b/>
                <w:sz w:val="16"/>
              </w:rPr>
              <w:t>Open-source LLM benchmarking</w:t>
            </w:r>
          </w:p>
        </w:tc>
        <w:tc>
          <w:tcPr>
            <w:tcW w:w="2088" w:type="dxa"/>
            <w:tcMar>
              <w:top w:w="80" w:type="dxa"/>
              <w:left w:w="90" w:type="dxa"/>
              <w:bottom w:w="80" w:type="dxa"/>
              <w:right w:w="90" w:type="dxa"/>
            </w:tcMar>
            <w:vAlign w:val="center"/>
          </w:tcPr>
          <w:p w14:paraId="0600D74C" w14:textId="77777777" w:rsidR="00FA4CBD" w:rsidRDefault="005F644B">
            <w:pPr>
              <w:spacing w:after="0" w:line="240" w:lineRule="auto"/>
            </w:pPr>
            <w:r>
              <w:rPr>
                <w:sz w:val="16"/>
              </w:rPr>
              <w:t>Prompt engineering for phishing-link classification across multiple open models</w:t>
            </w:r>
          </w:p>
        </w:tc>
        <w:tc>
          <w:tcPr>
            <w:tcW w:w="1944" w:type="dxa"/>
            <w:tcMar>
              <w:top w:w="80" w:type="dxa"/>
              <w:left w:w="90" w:type="dxa"/>
              <w:bottom w:w="80" w:type="dxa"/>
              <w:right w:w="90" w:type="dxa"/>
            </w:tcMar>
            <w:vAlign w:val="center"/>
          </w:tcPr>
          <w:p w14:paraId="69503C33" w14:textId="77777777" w:rsidR="00FA4CBD" w:rsidRDefault="005F644B">
            <w:pPr>
              <w:spacing w:after="0" w:line="240" w:lineRule="auto"/>
            </w:pPr>
            <w:r>
              <w:rPr>
                <w:sz w:val="16"/>
              </w:rPr>
              <w:t>Shows substantial model- and prompt-dependent variability rather than a uniform LLM advantage</w:t>
            </w:r>
          </w:p>
        </w:tc>
        <w:tc>
          <w:tcPr>
            <w:tcW w:w="2664" w:type="dxa"/>
            <w:tcMar>
              <w:top w:w="80" w:type="dxa"/>
              <w:left w:w="90" w:type="dxa"/>
              <w:bottom w:w="80" w:type="dxa"/>
              <w:right w:w="90" w:type="dxa"/>
            </w:tcMar>
            <w:vAlign w:val="center"/>
          </w:tcPr>
          <w:p w14:paraId="46225634" w14:textId="77777777" w:rsidR="00FA4CBD" w:rsidRDefault="005F644B">
            <w:pPr>
              <w:spacing w:after="0" w:line="240" w:lineRule="auto"/>
            </w:pPr>
            <w:r>
              <w:rPr>
                <w:sz w:val="16"/>
              </w:rPr>
              <w:t>Benchmark results do not directly establish browser-scale latency, calibration or temporal durability</w:t>
            </w:r>
          </w:p>
        </w:tc>
        <w:tc>
          <w:tcPr>
            <w:tcW w:w="1728" w:type="dxa"/>
            <w:tcMar>
              <w:top w:w="80" w:type="dxa"/>
              <w:left w:w="90" w:type="dxa"/>
              <w:bottom w:w="80" w:type="dxa"/>
              <w:right w:w="90" w:type="dxa"/>
            </w:tcMar>
            <w:vAlign w:val="center"/>
          </w:tcPr>
          <w:p w14:paraId="2E51F563" w14:textId="77777777" w:rsidR="00FA4CBD" w:rsidRDefault="005F644B">
            <w:pPr>
              <w:spacing w:after="0" w:line="240" w:lineRule="auto"/>
            </w:pPr>
            <w:r>
              <w:rPr>
                <w:sz w:val="16"/>
              </w:rPr>
              <w:t>(Nasution et al., 2025)</w:t>
            </w:r>
          </w:p>
        </w:tc>
      </w:tr>
      <w:tr w:rsidR="00FA4CBD" w14:paraId="3E5EAD99" w14:textId="77777777">
        <w:trPr>
          <w:cantSplit/>
          <w:jc w:val="center"/>
        </w:trPr>
        <w:tc>
          <w:tcPr>
            <w:tcW w:w="1512" w:type="dxa"/>
            <w:tcMar>
              <w:top w:w="80" w:type="dxa"/>
              <w:left w:w="90" w:type="dxa"/>
              <w:bottom w:w="80" w:type="dxa"/>
              <w:right w:w="90" w:type="dxa"/>
            </w:tcMar>
            <w:vAlign w:val="center"/>
          </w:tcPr>
          <w:p w14:paraId="3B859F79" w14:textId="77777777" w:rsidR="00FA4CBD" w:rsidRDefault="005F644B">
            <w:pPr>
              <w:spacing w:after="0" w:line="240" w:lineRule="auto"/>
            </w:pPr>
            <w:r>
              <w:rPr>
                <w:b/>
                <w:sz w:val="16"/>
              </w:rPr>
              <w:t>Adversarial comparison from ML to LLM</w:t>
            </w:r>
          </w:p>
        </w:tc>
        <w:tc>
          <w:tcPr>
            <w:tcW w:w="2088" w:type="dxa"/>
            <w:tcMar>
              <w:top w:w="80" w:type="dxa"/>
              <w:left w:w="90" w:type="dxa"/>
              <w:bottom w:w="80" w:type="dxa"/>
              <w:right w:w="90" w:type="dxa"/>
            </w:tcMar>
            <w:vAlign w:val="center"/>
          </w:tcPr>
          <w:p w14:paraId="1043C3BF" w14:textId="77777777" w:rsidR="00FA4CBD" w:rsidRDefault="005F644B">
            <w:pPr>
              <w:spacing w:after="0" w:line="240" w:lineRule="auto"/>
            </w:pPr>
            <w:r>
              <w:rPr>
                <w:sz w:val="16"/>
              </w:rPr>
              <w:t>LLM detector compared with conventional and deep models on generated evasive webpages</w:t>
            </w:r>
          </w:p>
        </w:tc>
        <w:tc>
          <w:tcPr>
            <w:tcW w:w="1944" w:type="dxa"/>
            <w:tcMar>
              <w:top w:w="80" w:type="dxa"/>
              <w:left w:w="90" w:type="dxa"/>
              <w:bottom w:w="80" w:type="dxa"/>
              <w:right w:w="90" w:type="dxa"/>
            </w:tcMar>
            <w:vAlign w:val="center"/>
          </w:tcPr>
          <w:p w14:paraId="12B92140" w14:textId="77777777" w:rsidR="00FA4CBD" w:rsidRDefault="005F644B">
            <w:pPr>
              <w:spacing w:after="0" w:line="240" w:lineRule="auto"/>
            </w:pPr>
            <w:r>
              <w:rPr>
                <w:sz w:val="16"/>
              </w:rPr>
              <w:t>Provides rare cross-paradigm robustness evidence under attacker-oriented manipulation</w:t>
            </w:r>
          </w:p>
        </w:tc>
        <w:tc>
          <w:tcPr>
            <w:tcW w:w="2664" w:type="dxa"/>
            <w:tcMar>
              <w:top w:w="80" w:type="dxa"/>
              <w:left w:w="90" w:type="dxa"/>
              <w:bottom w:w="80" w:type="dxa"/>
              <w:right w:w="90" w:type="dxa"/>
            </w:tcMar>
            <w:vAlign w:val="center"/>
          </w:tcPr>
          <w:p w14:paraId="633D43D4" w14:textId="77777777" w:rsidR="00FA4CBD" w:rsidRDefault="005F644B">
            <w:pPr>
              <w:spacing w:after="0" w:line="240" w:lineRule="auto"/>
            </w:pPr>
            <w:r>
              <w:rPr>
                <w:sz w:val="16"/>
              </w:rPr>
              <w:t>A specific generator and threat model cannot represent all real attacker adaptations</w:t>
            </w:r>
          </w:p>
        </w:tc>
        <w:tc>
          <w:tcPr>
            <w:tcW w:w="1728" w:type="dxa"/>
            <w:tcMar>
              <w:top w:w="80" w:type="dxa"/>
              <w:left w:w="90" w:type="dxa"/>
              <w:bottom w:w="80" w:type="dxa"/>
              <w:right w:w="90" w:type="dxa"/>
            </w:tcMar>
            <w:vAlign w:val="center"/>
          </w:tcPr>
          <w:p w14:paraId="406002F8" w14:textId="77777777" w:rsidR="00FA4CBD" w:rsidRDefault="005F644B">
            <w:pPr>
              <w:spacing w:after="0" w:line="240" w:lineRule="auto"/>
            </w:pPr>
            <w:r>
              <w:rPr>
                <w:sz w:val="16"/>
              </w:rPr>
              <w:t>(Kulkarni et al., 2025)</w:t>
            </w:r>
          </w:p>
        </w:tc>
      </w:tr>
      <w:tr w:rsidR="00FA4CBD" w14:paraId="0EE522EB" w14:textId="77777777">
        <w:trPr>
          <w:cantSplit/>
          <w:jc w:val="center"/>
        </w:trPr>
        <w:tc>
          <w:tcPr>
            <w:tcW w:w="1512" w:type="dxa"/>
            <w:tcMar>
              <w:top w:w="80" w:type="dxa"/>
              <w:left w:w="90" w:type="dxa"/>
              <w:bottom w:w="80" w:type="dxa"/>
              <w:right w:w="90" w:type="dxa"/>
            </w:tcMar>
            <w:vAlign w:val="center"/>
          </w:tcPr>
          <w:p w14:paraId="5136A7B0" w14:textId="77777777" w:rsidR="00FA4CBD" w:rsidRDefault="005F644B">
            <w:pPr>
              <w:spacing w:after="0" w:line="240" w:lineRule="auto"/>
            </w:pPr>
            <w:r>
              <w:rPr>
                <w:b/>
                <w:sz w:val="16"/>
              </w:rPr>
              <w:t>FedPhishLLM</w:t>
            </w:r>
          </w:p>
        </w:tc>
        <w:tc>
          <w:tcPr>
            <w:tcW w:w="2088" w:type="dxa"/>
            <w:tcMar>
              <w:top w:w="80" w:type="dxa"/>
              <w:left w:w="90" w:type="dxa"/>
              <w:bottom w:w="80" w:type="dxa"/>
              <w:right w:w="90" w:type="dxa"/>
            </w:tcMar>
            <w:vAlign w:val="center"/>
          </w:tcPr>
          <w:p w14:paraId="38CBF45D" w14:textId="77777777" w:rsidR="00FA4CBD" w:rsidRDefault="005F644B">
            <w:pPr>
              <w:spacing w:after="0" w:line="240" w:lineRule="auto"/>
            </w:pPr>
            <w:r>
              <w:rPr>
                <w:sz w:val="16"/>
              </w:rPr>
              <w:t>Federated fine-tuning of multimodal LLMs with explanation generation</w:t>
            </w:r>
          </w:p>
        </w:tc>
        <w:tc>
          <w:tcPr>
            <w:tcW w:w="1944" w:type="dxa"/>
            <w:tcMar>
              <w:top w:w="80" w:type="dxa"/>
              <w:left w:w="90" w:type="dxa"/>
              <w:bottom w:w="80" w:type="dxa"/>
              <w:right w:w="90" w:type="dxa"/>
            </w:tcMar>
            <w:vAlign w:val="center"/>
          </w:tcPr>
          <w:p w14:paraId="036A5D12" w14:textId="77777777" w:rsidR="00FA4CBD" w:rsidRDefault="005F644B">
            <w:pPr>
              <w:spacing w:after="0" w:line="240" w:lineRule="auto"/>
            </w:pPr>
            <w:r>
              <w:rPr>
                <w:sz w:val="16"/>
              </w:rPr>
              <w:t>Links privacy-preserving collaborative learning, multimodal detection and natural-language explanation</w:t>
            </w:r>
          </w:p>
        </w:tc>
        <w:tc>
          <w:tcPr>
            <w:tcW w:w="2664" w:type="dxa"/>
            <w:tcMar>
              <w:top w:w="80" w:type="dxa"/>
              <w:left w:w="90" w:type="dxa"/>
              <w:bottom w:w="80" w:type="dxa"/>
              <w:right w:w="90" w:type="dxa"/>
            </w:tcMar>
            <w:vAlign w:val="center"/>
          </w:tcPr>
          <w:p w14:paraId="22812161" w14:textId="77777777" w:rsidR="00FA4CBD" w:rsidRDefault="005F644B">
            <w:pPr>
              <w:spacing w:after="0" w:line="240" w:lineRule="auto"/>
            </w:pPr>
            <w:r>
              <w:rPr>
                <w:sz w:val="16"/>
              </w:rPr>
              <w:t>Scalability, client heterogeneity, update security and resource constraints remain open</w:t>
            </w:r>
          </w:p>
        </w:tc>
        <w:tc>
          <w:tcPr>
            <w:tcW w:w="1728" w:type="dxa"/>
            <w:tcMar>
              <w:top w:w="80" w:type="dxa"/>
              <w:left w:w="90" w:type="dxa"/>
              <w:bottom w:w="80" w:type="dxa"/>
              <w:right w:w="90" w:type="dxa"/>
            </w:tcMar>
            <w:vAlign w:val="center"/>
          </w:tcPr>
          <w:p w14:paraId="4EEA55A9" w14:textId="77777777" w:rsidR="00FA4CBD" w:rsidRDefault="005F644B">
            <w:pPr>
              <w:spacing w:after="0" w:line="240" w:lineRule="auto"/>
            </w:pPr>
            <w:r>
              <w:rPr>
                <w:sz w:val="16"/>
              </w:rPr>
              <w:t>(Li et al., 2025)</w:t>
            </w:r>
          </w:p>
        </w:tc>
      </w:tr>
    </w:tbl>
    <w:p w14:paraId="077941C7" w14:textId="77777777" w:rsidR="00FA4CBD" w:rsidRDefault="005F644B">
      <w:pPr>
        <w:spacing w:before="60" w:after="120"/>
      </w:pPr>
      <w:r>
        <w:rPr>
          <w:i/>
          <w:sz w:val="16"/>
        </w:rPr>
        <w:t>Note. CNN = convolutional neural network; DOM = Document Object Model; GAN = generative adversarial network; HTML = HyperText Markup Language; LIME = Local Interpretable Model-agnostic Explanations; LLM = large language model; SHAP = SHapley Additive exPlanations; TCN = temporal convolutional network; URL = Uniform Resource Locator; XAI = explainable artificial intelligence. Only abbreviations used in the table are applicable.</w:t>
      </w:r>
    </w:p>
    <w:p w14:paraId="51DD2FCE" w14:textId="77777777" w:rsidR="00FA4CBD" w:rsidRDefault="005F644B">
      <w:pPr>
        <w:pStyle w:val="Heading1"/>
      </w:pPr>
      <w:r>
        <w:t>8. Cross-Cutting Methodological Problems</w:t>
      </w:r>
    </w:p>
    <w:p w14:paraId="2D7FDABD" w14:textId="77777777" w:rsidR="00FA4CBD" w:rsidRDefault="005F644B">
      <w:pPr>
        <w:ind w:firstLine="360"/>
        <w:jc w:val="both"/>
      </w:pPr>
      <w:r>
        <w:t xml:space="preserve">Differences among algorithms receive disproportionate attention relative to differences in data and evaluation. Across machine learning, deep learning, XAI and LLM approaches, recurring methodological problems can change the apparent ranking of methods more than the choice of classifier itself. These problems </w:t>
      </w:r>
      <w:r>
        <w:lastRenderedPageBreak/>
        <w:t>are especially important in phishing because the target distribution changes rapidly and because the attacker can observe and adapt to deployed defences.</w:t>
      </w:r>
    </w:p>
    <w:p w14:paraId="1CF74387" w14:textId="77777777" w:rsidR="00FA4CBD" w:rsidRDefault="005F644B">
      <w:pPr>
        <w:pStyle w:val="Heading2"/>
      </w:pPr>
      <w:r>
        <w:t>8.1 Dataset Provenance, Duplication and Source Leakage</w:t>
      </w:r>
    </w:p>
    <w:p w14:paraId="54E654BA" w14:textId="77777777" w:rsidR="00FA4CBD" w:rsidRDefault="005F644B">
      <w:pPr>
        <w:ind w:firstLine="360"/>
        <w:jc w:val="both"/>
      </w:pPr>
      <w:r>
        <w:t>Public phishing corpora are often assembled from reporting services, feeds or archived URLs, while benign samples may come from popularity lists or unrelated browsing datasets. This can create source leakage: the model learns differences between how the two datasets were collected rather than between phishing and legitimate pages. For example, phishing URLs may be shorter-lived, have different top-level-domain distributions or contain inaccessible pages because of collection delay, while benign URLs may disproportionately represent popular sites. Without cross-source evaluation, strong discrimination may partly reflect these artefacts.</w:t>
      </w:r>
    </w:p>
    <w:p w14:paraId="234D56BD" w14:textId="77777777" w:rsidR="00FA4CBD" w:rsidRDefault="005F644B">
      <w:pPr>
        <w:ind w:firstLine="360"/>
        <w:jc w:val="both"/>
      </w:pPr>
      <w:r>
        <w:t>Duplicate and near-duplicate pages are another risk. A phishing kit can generate many pages with closely related URLs or identical templates. Randomly splitting such samples can place variants of the same campaign in both training and test sets, inflating apparent generalisation. Page screenshots create a similar problem when the same template appears across domains. Reports should therefore describe deduplication at URL, domain, content and campaign levels where feasible.</w:t>
      </w:r>
    </w:p>
    <w:p w14:paraId="69054B1A" w14:textId="77777777" w:rsidR="00FA4CBD" w:rsidRDefault="005F644B">
      <w:pPr>
        <w:pStyle w:val="Heading2"/>
      </w:pPr>
      <w:r>
        <w:t>8.2 Temporal Drift</w:t>
      </w:r>
    </w:p>
    <w:p w14:paraId="0B1F185D" w14:textId="77777777" w:rsidR="00FA4CBD" w:rsidRDefault="005F644B">
      <w:pPr>
        <w:ind w:firstLine="360"/>
        <w:jc w:val="both"/>
      </w:pPr>
      <w:r>
        <w:t>A classifier evaluated with a random split assumes that future samples come from the same distribution as training data. Phishing violates this assumption because domains, hosting, brands, browser behaviour and attacker tactics change. Temporal separation is therefore a minimum realistic test for claims about future detection. Mayo et al. (2026) explicitly foreground temporal dynamics in feature extraction, and earlier streaming work anticipated this need (Marchal et al., 2014). Few-shot contrastive learning also addresses the practical scarcity of labelled examples for new attack patterns (Park &amp; Cho, 2026).</w:t>
      </w:r>
    </w:p>
    <w:p w14:paraId="42F65B30" w14:textId="77777777" w:rsidR="00FA4CBD" w:rsidRDefault="005F644B">
      <w:pPr>
        <w:ind w:firstLine="360"/>
        <w:jc w:val="both"/>
      </w:pPr>
      <w:r>
        <w:t>Temporal evaluation should not be reduced to training on one arbitrary year and testing on the next. The model should be evaluated across multiple rolling windows, with reporting of performance decay and retraining frequency. Such a design can reveal whether a feature set remains useful for months or requires continual updates. It also enables cost comparison: a slightly less accurate model that can be retrained cheaply may outperform a larger model in sustained operations.</w:t>
      </w:r>
    </w:p>
    <w:p w14:paraId="00150B25" w14:textId="77777777" w:rsidR="00FA4CBD" w:rsidRDefault="005F644B">
      <w:pPr>
        <w:pStyle w:val="Heading2"/>
      </w:pPr>
      <w:r>
        <w:t>8.3 Class Balance, Calibration and Base Rates</w:t>
      </w:r>
    </w:p>
    <w:p w14:paraId="42594197" w14:textId="77777777" w:rsidR="00FA4CBD" w:rsidRDefault="005F644B">
      <w:pPr>
        <w:ind w:firstLine="360"/>
        <w:jc w:val="both"/>
      </w:pPr>
      <w:r>
        <w:t>Balanced datasets simplify model comparison but distort the decision environment. In real browsing traffic, the proportion of malicious pages can be much lower than in common research corpora. Precision is therefore sensitive to base rate, and a model that appears excellent on a balanced test set may generate an unacceptable number of false alerts when deployed at scale. Studies should report threshold curves, calibration and expected workload under realistic prevalence assumptions rather than relying only on accuracy and F1 score.</w:t>
      </w:r>
    </w:p>
    <w:p w14:paraId="75360BB4" w14:textId="77777777" w:rsidR="00FA4CBD" w:rsidRDefault="005F644B">
      <w:pPr>
        <w:ind w:firstLine="360"/>
        <w:jc w:val="both"/>
      </w:pPr>
      <w:r>
        <w:t>Calibration is particularly important for layered architectures. A first-stage model need not make a final decision; it can assign a risk score used to trigger deeper analysis. Well-calibrated probabilities or uncertainty estimates support rational allocation of expensive visual or LLM inference. This perspective changes the optimisation target from "maximise accuracy" to "minimise expected security and operational cost".</w:t>
      </w:r>
    </w:p>
    <w:p w14:paraId="356BFBAA" w14:textId="77777777" w:rsidR="00FA4CBD" w:rsidRDefault="005F644B">
      <w:pPr>
        <w:pStyle w:val="Heading2"/>
      </w:pPr>
      <w:r>
        <w:t>8.4 Incomplete Adversarial Evaluation</w:t>
      </w:r>
    </w:p>
    <w:p w14:paraId="0AA28B98" w14:textId="77777777" w:rsidR="00FA4CBD" w:rsidRDefault="005F644B">
      <w:pPr>
        <w:ind w:firstLine="360"/>
        <w:jc w:val="both"/>
      </w:pPr>
      <w:r>
        <w:t xml:space="preserve">Security models should be evaluated against inputs chosen to cause failure. Yet much phishing research still treats test samples as passively observed data. Visual robustness studies and PhishOracle-style adversarial generation demonstrate the value of constructing evasive pages that preserve the deceptive function while </w:t>
      </w:r>
      <w:r>
        <w:lastRenderedPageBreak/>
        <w:t>changing model-visible features (Ji et al., 2025; Kulkarni et al., 2025). Similar testing is needed for URL models, HTML parsers, XAI systems and LLM prompts.</w:t>
      </w:r>
    </w:p>
    <w:p w14:paraId="18D1E9BD" w14:textId="77777777" w:rsidR="00FA4CBD" w:rsidRDefault="005F644B">
      <w:pPr>
        <w:ind w:firstLine="360"/>
        <w:jc w:val="both"/>
      </w:pPr>
      <w:r>
        <w:t>The most meaningful adversarial perturbations are constrained by attacker goals. Arbitrary character changes that destroy a URL or make the page obviously suspicious are less informative than feasible modifications such as adding benign-looking tokens, changing logo placement, removing a logo, altering redirects, delaying credential forms or injecting distracting text. Robustness should be measured across threat models, because a model resilient to gradient-based perturbations may still fail under simple semantic manipulation.</w:t>
      </w:r>
    </w:p>
    <w:p w14:paraId="4800AEE2" w14:textId="77777777" w:rsidR="00FA4CBD" w:rsidRDefault="005F644B">
      <w:pPr>
        <w:pStyle w:val="Heading2"/>
      </w:pPr>
      <w:r>
        <w:t>8.5 Reproducibility and Moving Model Targets</w:t>
      </w:r>
    </w:p>
    <w:p w14:paraId="5D41E8EB" w14:textId="77777777" w:rsidR="00FA4CBD" w:rsidRDefault="005F644B">
      <w:pPr>
        <w:ind w:firstLine="360"/>
        <w:jc w:val="both"/>
      </w:pPr>
      <w:r>
        <w:t>Conventional models are usually reproducible if data and code are available, although external services can still change. LLM-based systems complicate replication because proprietary model versions, safety policies and serving parameters may change over time. Even open models can differ by quantisation, fine-tuning and inference stack. Phishing studies should therefore record model identifiers, access dates, prompts and deterministic preprocessing. Where an external API is used, repeated evaluation across time can help quantify model drift.</w:t>
      </w:r>
    </w:p>
    <w:p w14:paraId="449170E3" w14:textId="77777777" w:rsidR="00FA4CBD" w:rsidRDefault="005F644B">
      <w:pPr>
        <w:ind w:firstLine="360"/>
        <w:jc w:val="both"/>
      </w:pPr>
      <w:r>
        <w:t>Reproducibility also requires reporting failure cases. Aggregate scores hide whether the detector fails on particular brands, languages, internationalised domains, compromised sites or page types. Error taxonomies are especially valuable because they direct future data collection. A mature benchmark should reward not only a high mean score but also robustness across slices and time.</w:t>
      </w:r>
    </w:p>
    <w:p w14:paraId="1AA4956D" w14:textId="77777777" w:rsidR="00FA4CBD" w:rsidRDefault="005F644B">
      <w:pPr>
        <w:pStyle w:val="Heading2"/>
      </w:pPr>
      <w:r>
        <w:t>8.6 The Problem of Comparing Explanations</w:t>
      </w:r>
    </w:p>
    <w:p w14:paraId="37052BB9" w14:textId="77777777" w:rsidR="00FA4CBD" w:rsidRDefault="005F644B">
      <w:pPr>
        <w:ind w:firstLine="360"/>
        <w:jc w:val="both"/>
      </w:pPr>
      <w:r>
        <w:t>XAI introduces its own evaluation problem because two explanations can appear different while both are locally faithful, or appear plausible while neither reflects the model reliably. Phishing XAI studies should specify the user of the explanation and evaluate accordingly. For developers, fidelity and stability may dominate. For analysts, triage time and diagnostic accuracy matter. For end users, comprehension, protective action and avoidance of warning fatigue are more relevant. Natural-language LLM explanations should also be checked for factual grounding and consistency with extracted evidence.</w:t>
      </w:r>
    </w:p>
    <w:p w14:paraId="5C6B29BA" w14:textId="77777777" w:rsidR="00FA4CBD" w:rsidRDefault="005F644B">
      <w:pPr>
        <w:ind w:firstLine="360"/>
        <w:jc w:val="both"/>
      </w:pPr>
      <w:r>
        <w:t>Taken together, these methodological issues suggest that the field's central bottleneck is evaluation realism. Increasing model capacity without improving data provenance, temporal design and adversarial testing may produce diminishing scientific value. The strongest recent studies are those that make the test harder rather than only the model larger.</w:t>
      </w:r>
    </w:p>
    <w:p w14:paraId="162CB664" w14:textId="77777777" w:rsidR="00FA4CBD" w:rsidRDefault="005F644B">
      <w:pPr>
        <w:pStyle w:val="Heading1"/>
      </w:pPr>
      <w:r>
        <w:t>9. Deployment Synthesis: Towards Layered, Risk-Adaptive Detection</w:t>
      </w:r>
    </w:p>
    <w:p w14:paraId="4C5DCA6F" w14:textId="77777777" w:rsidR="00FA4CBD" w:rsidRDefault="005F644B">
      <w:pPr>
        <w:ind w:firstLine="360"/>
        <w:jc w:val="both"/>
      </w:pPr>
      <w:r>
        <w:t>No reviewed paradigm provides a complete solution across speed, privacy, semantic coverage, interpretability and adversarial robustness. This makes layered detection a more defensible deployment model than choosing a single universally "best" classifier. The principle is to match computational effort to estimated risk while preserving independent evidence channels.</w:t>
      </w:r>
    </w:p>
    <w:p w14:paraId="452BCF54" w14:textId="77777777" w:rsidR="00FA4CBD" w:rsidRDefault="005F644B">
      <w:pPr>
        <w:ind w:firstLine="360"/>
        <w:jc w:val="both"/>
      </w:pPr>
      <w:r>
        <w:t>A first layer can use local reputation, deterministic URL parsing and a compact machine-learning model. This stage is fast, privacy-preserving and suitable for high-volume traffic. Obvious known threats can be blocked and low-risk cases can proceed with minimal friction. The second layer can fetch or parse HTML, hyperlink and host information for uncertain cases, using a stronger ensemble or deep model. A third layer can render the page and apply visual brand identification when impersonation is suspected. An LLM or multimodal model can then be invoked selectively to integrate semantic evidence, identify inconsistencies and produce an analyst- or user-facing rationale.</w:t>
      </w:r>
    </w:p>
    <w:p w14:paraId="3CBD9C89" w14:textId="77777777" w:rsidR="00FA4CBD" w:rsidRDefault="005F644B">
      <w:pPr>
        <w:ind w:firstLine="360"/>
        <w:jc w:val="both"/>
      </w:pPr>
      <w:r>
        <w:lastRenderedPageBreak/>
        <w:t>This architecture has several advantages. First, it avoids paying LLM inference cost for every benign page. Second, independent feature families reduce common-mode failure: a visually convincing page with a suspicious domain can be challenged by the URL layer, while a benign-looking URL serving an imitation page can be caught by content or visual analysis. Third, explanation can be grounded in evidence generated by earlier stages, reducing the pressure on a generative model to infer facts from untrusted content alone.</w:t>
      </w:r>
    </w:p>
    <w:p w14:paraId="512B1780" w14:textId="77777777" w:rsidR="00FA4CBD" w:rsidRDefault="005F644B">
      <w:pPr>
        <w:ind w:firstLine="360"/>
        <w:jc w:val="both"/>
      </w:pPr>
      <w:r>
        <w:t>The architecture also clarifies where uncertainty belongs. A detector should be allowed to abstain or escalate rather than force every observation into a binary class. If the URL model is uncertain and the page lacks a recognised logo, the system can request additional evidence instead of returning a confident benign label. This is particularly important for previously unseen brands, multilingual pages and compromised domains where familiar heuristics are weak. Risk-adaptive thresholds can incorporate organisational context, such as whether the page requests credentials or payment information, without treating that context as proof of phishing.</w:t>
      </w:r>
    </w:p>
    <w:p w14:paraId="7D315A45" w14:textId="77777777" w:rsidR="00FA4CBD" w:rsidRDefault="005F644B">
      <w:pPr>
        <w:ind w:firstLine="360"/>
        <w:jc w:val="both"/>
      </w:pPr>
      <w:r>
        <w:t>Privacy must be designed at the pipeline level. Local URL analysis reveals little beyond the address, whereas uploading a screenshot or DOM tree to a remote service can expose sensitive browsing information. If external LLMs are used, the system should minimise transmitted data, remove unnecessary personal content and clearly separate security telemetry from general browsing logs. Federated approaches such as FedPhishLLM indicate one possible path for collaborative learning without centralising raw data, but they require security controls for model updates and careful evaluation across heterogeneous clients (Li et al., 2025).</w:t>
      </w:r>
    </w:p>
    <w:p w14:paraId="696101EC" w14:textId="77777777" w:rsidR="00FA4CBD" w:rsidRDefault="005F644B">
      <w:pPr>
        <w:ind w:firstLine="360"/>
        <w:jc w:val="both"/>
      </w:pPr>
      <w:r>
        <w:t>Explainability should likewise be layered. End users rarely benefit from dozens of feature attributions. A concise warning that the apparent brand and actual domain do not match is more actionable. Security analysts may need the full evidence trace: URL features, redirect chain, visual match confidence, form destination and model attribution. Developers need still deeper diagnostics, including drift indicators and feature-distribution changes. Treating explanation as role-specific avoids conflating transparency with information overload.</w:t>
      </w:r>
    </w:p>
    <w:p w14:paraId="4993BA7D" w14:textId="77777777" w:rsidR="00FA4CBD" w:rsidRDefault="005F644B">
      <w:pPr>
        <w:ind w:firstLine="360"/>
        <w:jc w:val="both"/>
      </w:pPr>
      <w:r>
        <w:t>Finally, a deployed system needs continuous evaluation. Performance should be tracked by time, source, brand, language and attack pattern, with fresh adversarial tests after model or feature updates. False positives require investigation because warning fatigue is itself a security risk. False negatives should be classified by failure mechanism rather than counted only as errors. This operational feedback loop is more likely to sustain protection than periodic replacement of one classifier with another based on a static benchmark.</w:t>
      </w:r>
    </w:p>
    <w:p w14:paraId="43661BA3" w14:textId="77777777" w:rsidR="00FA4CBD" w:rsidRDefault="005F644B">
      <w:pPr>
        <w:pStyle w:val="Heading1"/>
      </w:pPr>
      <w:r>
        <w:t>10. Future Directions</w:t>
      </w:r>
    </w:p>
    <w:p w14:paraId="3F3F07F8" w14:textId="77777777" w:rsidR="00FA4CBD" w:rsidRDefault="005F644B">
      <w:pPr>
        <w:ind w:firstLine="360"/>
        <w:jc w:val="both"/>
      </w:pPr>
      <w:r>
        <w:t>The immediate research priority is to make evaluation reflect the temporal and adversarial nature of phishing. The literature contains many high-performing models, but substantially fewer studies that demonstrate durable performance across later time windows, independent data sources and attacker-designed evasions. Future benchmark suites should therefore be versioned by collection date, preserve provenance, deduplicate at campaign and content levels, and provide temporally ordered splits. Researchers should report performance decay across rolling windows and the cost or frequency of retraining. This would turn concept drift from a qualitative limitation into a measurable property of the detector (Marchal et al., 2014; Mayo et al., 2026; Park &amp; Cho, 2026).</w:t>
      </w:r>
    </w:p>
    <w:p w14:paraId="70218112" w14:textId="77777777" w:rsidR="00FA4CBD" w:rsidRDefault="005F644B">
      <w:pPr>
        <w:ind w:firstLine="360"/>
        <w:jc w:val="both"/>
      </w:pPr>
      <w:r>
        <w:t>A second priority is adversarial evaluation that preserves the phishing function. Recent real-world and generative robustness studies demonstrate that simple visual or content changes can undermine detectors and that LLM-based systems, although sometimes more resilient, also degrade under adversarial pages (Ji et al., 2025; Kulkarni et al., 2025). Future work should define explicit attacker capabilities for URL, HTML, screenshot and multimodal systems, then test feasible semantic transformations such as logo removal, benign-logo insertion, delayed rendering, redirect manipulation, content injection and brand-neutral credential forms. Robustness should be reported as a curve over attack budgets and attack types rather than as a single adversarial score.</w:t>
      </w:r>
    </w:p>
    <w:p w14:paraId="5061706C" w14:textId="77777777" w:rsidR="00FA4CBD" w:rsidRDefault="005F644B">
      <w:pPr>
        <w:ind w:firstLine="360"/>
        <w:jc w:val="both"/>
      </w:pPr>
      <w:r>
        <w:lastRenderedPageBreak/>
        <w:t>A third priority is calibrated, selective deployment. Research should compare monolithic models with cascaded architectures that invoke expensive components only when uncertainty or risk justifies them. Experiments should measure end-to-end latency, energy or compute demand, privacy exposure, false-alert workload and security loss, not just classifier accuracy. This is especially important for LLMs, whose marginal semantic capability may be valuable on ambiguous cases but economically unjustified on routine traffic. Decision-theoretic evaluations could identify when a small model should abstain, when visual rendering is warranted and when LLM reasoning adds enough information to alter the action.</w:t>
      </w:r>
    </w:p>
    <w:p w14:paraId="4522B3D4" w14:textId="77777777" w:rsidR="00FA4CBD" w:rsidRDefault="005F644B">
      <w:pPr>
        <w:ind w:firstLine="360"/>
        <w:jc w:val="both"/>
      </w:pPr>
      <w:r>
        <w:t>A fourth priority concerns explanation validity. XAI studies should move beyond attractive feature plots to test fidelity, stability and human usefulness. For SHAP- and LIME-based systems, perturbation experiments should determine whether explanations remain stable under benign transformations and whether the highlighted features correspond to robust decision logic. For brand-identification and LLM explanations, factual grounding should be assessed against independently extracted evidence. Controlled user and analyst studies should measure whether explanations improve correct security decisions without increasing automation bias. The goal should be calibrated trust, not simply increased trust (Calzarossa et al., 2024; Shafin, 2025; Uddin et al., 2025).</w:t>
      </w:r>
    </w:p>
    <w:p w14:paraId="5F59A8A0" w14:textId="77777777" w:rsidR="00FA4CBD" w:rsidRDefault="005F644B">
      <w:pPr>
        <w:ind w:firstLine="360"/>
        <w:jc w:val="both"/>
      </w:pPr>
      <w:r>
        <w:t>A fifth priority is secure use of LLMs and multimodal models. Research should treat webpage content as adversarial input and evaluate prompt injection, instruction-confusion, obfuscation and image-text conflicts. The model should be tested with explicit separation between system instructions, extracted security evidence and raw page content. Reproducible studies should publish prompts and model identifiers and should repeat evaluations when hosted models change. Comparisons should include open-weight models because reproducibility, privacy and local deployment are part of security performance, not peripheral engineering concerns (Koide et al., 2024; Nasution et al., 2025).</w:t>
      </w:r>
    </w:p>
    <w:p w14:paraId="0DA6EF73" w14:textId="77777777" w:rsidR="00FA4CBD" w:rsidRDefault="005F644B">
      <w:pPr>
        <w:ind w:firstLine="360"/>
        <w:jc w:val="both"/>
      </w:pPr>
      <w:r>
        <w:t>A sixth priority is privacy-preserving collaboration. Phishing intelligence is fragmented across browsers, enterprises, registrars and security providers, yet centralising raw browsing data is undesirable. Federated and distributed learning provide one route to shared adaptation, but future studies need substantially larger and more heterogeneous client populations than current demonstrations. They should examine poisoning-resistant aggregation, privacy leakage from model updates, communication cost, client dropout and non-identically distributed traffic. Multilingual and regionally diverse evaluation is essential because web brands, scripts and hosting ecosystems vary across populations (Li et al., 2025).</w:t>
      </w:r>
    </w:p>
    <w:p w14:paraId="583CC2C7" w14:textId="77777777" w:rsidR="00FA4CBD" w:rsidRDefault="005F644B">
      <w:pPr>
        <w:ind w:firstLine="360"/>
        <w:jc w:val="both"/>
      </w:pPr>
      <w:r>
        <w:t>A longer-term priority is to develop benchmarks that evaluate the complete security decision rather than the isolated classifier. Such benchmarks would include page acquisition, secure rendering, evidence extraction, classification, explanation and escalation. They would quantify not only missed phishing pages and false blocks but also time-to-decision, resource use, explanation errors and resilience to unavailable modalities. This would encourage research on systems that remain safe when one sensor fails rather than models that assume a perfectly observed webpage.</w:t>
      </w:r>
    </w:p>
    <w:p w14:paraId="2E092862" w14:textId="77777777" w:rsidR="00FA4CBD" w:rsidRDefault="005F644B">
      <w:pPr>
        <w:ind w:firstLine="360"/>
        <w:jc w:val="both"/>
      </w:pPr>
      <w:r>
        <w:t>Taken together, these priorities imply a shift in research incentives. Progress now depends more on stronger evaluation, secure integration and deployment research than on introducing additional model families without realistic comparison. Studies that make the test environment harder, document uncertainty and expose failure mechanisms are more likely to advance the field than studies that report another marginal improvement on a static benchmark.</w:t>
      </w:r>
    </w:p>
    <w:p w14:paraId="305EF425" w14:textId="77777777" w:rsidR="00FA4CBD" w:rsidRDefault="005F644B">
      <w:pPr>
        <w:pStyle w:val="Heading1"/>
      </w:pPr>
      <w:r>
        <w:t>11. Conclusions</w:t>
      </w:r>
    </w:p>
    <w:p w14:paraId="45C9004A" w14:textId="77777777" w:rsidR="00FA4CBD" w:rsidRDefault="005F644B">
      <w:pPr>
        <w:ind w:firstLine="360"/>
        <w:jc w:val="both"/>
      </w:pPr>
      <w:r>
        <w:t xml:space="preserve">Web-based phishing detection has evolved from feature-rich conventional classifiers to learned sequential, visual and multimodal representations, explainable models and large language models. The evidence supports continued use of conventional machine learning where latency, local execution and auditable features are priorities. Deep learning provides clear representational advantages for raw URLs, structured HTML and visual identity, but greater model capacity does not remove dependence on dataset quality and realistic validation. </w:t>
      </w:r>
      <w:r>
        <w:lastRenderedPageBreak/>
        <w:t>Visual and multimodal approaches are valuable because they engage directly with the semantics of impersonation, yet recent real-world evaluations show that curated benchmark success can substantially overstate robustness.</w:t>
      </w:r>
    </w:p>
    <w:p w14:paraId="4B1CF059" w14:textId="77777777" w:rsidR="00FA4CBD" w:rsidRDefault="005F644B">
      <w:pPr>
        <w:ind w:firstLine="360"/>
        <w:jc w:val="both"/>
      </w:pPr>
      <w:r>
        <w:t>Explainable artificial intelligence improves visibility into model behaviour and can make phishing decisions more intelligible, but post-hoc attribution is not equivalent to causal explanation, robustness or user benefit. Its scientific value is greatest when explanations are tested for stability and faithfulness and when their intended audience is explicit. LLMs and multimodal generative models extend phishing detection towards semantic reasoning, flexible brand identification and natural-language explanation. They are promising but not mature replacements for specialised detectors. Their costs, privacy implications, moving model versions and susceptibility to adversarial content create new operational dependencies.</w:t>
      </w:r>
    </w:p>
    <w:p w14:paraId="303D5B87" w14:textId="77777777" w:rsidR="00FA4CBD" w:rsidRDefault="005F644B">
      <w:pPr>
        <w:ind w:firstLine="360"/>
        <w:jc w:val="both"/>
      </w:pPr>
      <w:r>
        <w:t>Across all paradigms, the most defensible conclusion is that phishing detection should be evaluated as an adaptive security system rather than a static classification contest. Temporal separation, cross-source validation, realistic base rates, adversarial testing, calibrated uncertainty and explicit measurement of computational and privacy costs are essential for judging practical value. A layered architecture that combines cheap lexical and reputation signals with content, visual and selectively invoked language-model reasoning is more consistent with the evidence than reliance on a single model family. Future progress will depend less on marginal benchmark gains and more on demonstrating sustained, interpretable and resource-proportionate protection against attackers who actively change what the detector sees.</w:t>
      </w:r>
    </w:p>
    <w:p w14:paraId="3CED11AD" w14:textId="77777777" w:rsidR="00FA4CBD" w:rsidRDefault="005F644B">
      <w:pPr>
        <w:pStyle w:val="Heading1"/>
      </w:pPr>
      <w:r>
        <w:t>12. Limitations</w:t>
      </w:r>
    </w:p>
    <w:p w14:paraId="6DCBE632" w14:textId="796DFBD9" w:rsidR="00FA4CBD" w:rsidRDefault="005F644B">
      <w:pPr>
        <w:ind w:firstLine="360"/>
        <w:jc w:val="both"/>
      </w:pPr>
      <w:r>
        <w:t>This critical narrative review is intrinsically susceptible to selection and interpretive bias despite the use of an explicit search, verification and appraisal process. It did not implement a prospectively registered systematic-review protocol, and direct access to some subscription bibliographic databases was unavailable; consequently, the literature set should not be treated as exhaustive. The review was restricted to English-language scholarly sources and concentrated on phishing URLs and webpages, so evidence from other phishing channels was considered only when directly relevant to web detection. Study designs, datasets, class balances, feature definitions and performance metrics were highly heterogeneous, preventing meaningful quantitative synthesis and limiting direct comparison among reported results. The field is developing rapidly, particularly for large language and multimodal models, so conclusions about these approaches rest on a smaller and more recent evidence base than conclusions about conventional machine learning. Proprietary model versioning and incomplete reporting of prompts, preprocessing and dataset provenance further constrain reproducibility. Finally, published research may over-represent successful models and benchmark-positive findings, while operational failures, commercial deployments and negative results are less visible in the scholarly literature.</w:t>
      </w:r>
    </w:p>
    <w:p w14:paraId="0B63A56D" w14:textId="08CE082A" w:rsidR="000C417A" w:rsidRDefault="000C417A">
      <w:pPr>
        <w:ind w:firstLine="360"/>
        <w:jc w:val="both"/>
      </w:pPr>
    </w:p>
    <w:p w14:paraId="3EB58F01" w14:textId="77777777" w:rsidR="000C417A" w:rsidRPr="000839CE" w:rsidRDefault="000C417A" w:rsidP="000C417A">
      <w:pPr>
        <w:spacing w:after="0" w:line="240" w:lineRule="auto"/>
        <w:rPr>
          <w:rFonts w:cs="Times New Roman"/>
          <w:b/>
        </w:rPr>
      </w:pPr>
      <w:bookmarkStart w:id="0" w:name="_Hlk234486585"/>
      <w:bookmarkStart w:id="1" w:name="_Hlk234075571"/>
      <w:bookmarkStart w:id="2" w:name="_Hlk232755622"/>
      <w:r w:rsidRPr="000839CE">
        <w:rPr>
          <w:rFonts w:cs="Times New Roman"/>
          <w:b/>
        </w:rPr>
        <w:t>Declaration of AI Use</w:t>
      </w:r>
    </w:p>
    <w:p w14:paraId="563C0123" w14:textId="77777777" w:rsidR="000C417A" w:rsidRPr="000839CE" w:rsidRDefault="000C417A" w:rsidP="000C417A">
      <w:pPr>
        <w:spacing w:after="0" w:line="240" w:lineRule="auto"/>
        <w:rPr>
          <w:rFonts w:cs="Times New Roman"/>
        </w:rPr>
      </w:pPr>
      <w:bookmarkStart w:id="3" w:name="_Hlk234486575"/>
      <w:bookmarkEnd w:id="0"/>
    </w:p>
    <w:p w14:paraId="57048B82" w14:textId="77777777" w:rsidR="000C417A" w:rsidRPr="000839CE" w:rsidRDefault="000C417A" w:rsidP="000C417A">
      <w:pPr>
        <w:spacing w:after="0" w:line="240" w:lineRule="auto"/>
        <w:jc w:val="both"/>
        <w:rPr>
          <w:rFonts w:cs="Times New Roman"/>
        </w:rPr>
      </w:pPr>
      <w:r w:rsidRPr="00C56790">
        <w:rPr>
          <w:rFonts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
      <w:r w:rsidRPr="00C56790">
        <w:rPr>
          <w:rFonts w:cs="Times New Roman"/>
        </w:rPr>
        <w:t>.</w:t>
      </w:r>
    </w:p>
    <w:bookmarkEnd w:id="2"/>
    <w:bookmarkEnd w:id="3"/>
    <w:p w14:paraId="631BE442" w14:textId="77777777" w:rsidR="000C417A" w:rsidRDefault="000C417A">
      <w:pPr>
        <w:ind w:firstLine="360"/>
        <w:jc w:val="both"/>
      </w:pPr>
    </w:p>
    <w:p w14:paraId="424B0FE3" w14:textId="77777777" w:rsidR="00FA4CBD" w:rsidRDefault="005F644B">
      <w:r>
        <w:br w:type="page"/>
      </w:r>
    </w:p>
    <w:p w14:paraId="54AD5DE4" w14:textId="77777777" w:rsidR="00FA4CBD" w:rsidRDefault="005F644B">
      <w:pPr>
        <w:pStyle w:val="Heading1"/>
      </w:pPr>
      <w:r>
        <w:lastRenderedPageBreak/>
        <w:t>References</w:t>
      </w:r>
    </w:p>
    <w:p w14:paraId="19F7D949" w14:textId="437548EC" w:rsidR="00FA4CBD" w:rsidRDefault="005F644B">
      <w:pPr>
        <w:spacing w:after="80" w:line="240" w:lineRule="auto"/>
        <w:ind w:left="432" w:hanging="432"/>
      </w:pPr>
      <w:r>
        <w:rPr>
          <w:sz w:val="19"/>
        </w:rPr>
        <w:t xml:space="preserve">Adane, K., Beyene, B., &amp; Abebe, M. (2023). Single and hybrid-ensemble learning-based phishing website detection: Examining impacts of varied nature datasets and informative feature selection technique. </w:t>
      </w:r>
      <w:r>
        <w:rPr>
          <w:i/>
          <w:sz w:val="19"/>
        </w:rPr>
        <w:t>Digital Threats: Research and Practice</w:t>
      </w:r>
      <w:r>
        <w:rPr>
          <w:sz w:val="19"/>
        </w:rPr>
        <w:t xml:space="preserve">, </w:t>
      </w:r>
      <w:r>
        <w:rPr>
          <w:i/>
          <w:sz w:val="19"/>
        </w:rPr>
        <w:t>4</w:t>
      </w:r>
      <w:r>
        <w:rPr>
          <w:sz w:val="19"/>
        </w:rPr>
        <w:t xml:space="preserve">(3), Article 46, 1–27. </w:t>
      </w:r>
      <w:r>
        <w:rPr>
          <w:color w:val="0563C1"/>
          <w:sz w:val="19"/>
          <w:szCs w:val="19"/>
          <w:u w:val="single"/>
        </w:rPr>
        <w:t>https://doi.org/10.1145/3611392</w:t>
      </w:r>
    </w:p>
    <w:p w14:paraId="545776BF" w14:textId="4DEF2D03" w:rsidR="00FA4CBD" w:rsidRDefault="005F644B">
      <w:pPr>
        <w:spacing w:after="80" w:line="240" w:lineRule="auto"/>
        <w:ind w:left="432" w:hanging="432"/>
      </w:pPr>
      <w:r>
        <w:rPr>
          <w:sz w:val="19"/>
        </w:rPr>
        <w:t xml:space="preserve">Adebowale, M. A., Lwin, K. T., Sánchez, E., &amp; Hossain, M. A. (2019). Intelligent web-phishing detection and protection scheme using integrated features of images, frames and text. </w:t>
      </w:r>
      <w:r>
        <w:rPr>
          <w:i/>
          <w:sz w:val="19"/>
        </w:rPr>
        <w:t>Expert Systems with Applications</w:t>
      </w:r>
      <w:r>
        <w:rPr>
          <w:sz w:val="19"/>
        </w:rPr>
        <w:t xml:space="preserve">, </w:t>
      </w:r>
      <w:r>
        <w:rPr>
          <w:i/>
          <w:sz w:val="19"/>
        </w:rPr>
        <w:t>115</w:t>
      </w:r>
      <w:r>
        <w:rPr>
          <w:sz w:val="19"/>
        </w:rPr>
        <w:t xml:space="preserve">, 300–313. </w:t>
      </w:r>
      <w:r>
        <w:rPr>
          <w:color w:val="0563C1"/>
          <w:sz w:val="19"/>
          <w:szCs w:val="19"/>
          <w:u w:val="single"/>
        </w:rPr>
        <w:t>https://doi.org/10.1016/j.eswa.2018.07.067</w:t>
      </w:r>
    </w:p>
    <w:p w14:paraId="3A736430" w14:textId="39ED5474" w:rsidR="00FA4CBD" w:rsidRDefault="005F644B">
      <w:pPr>
        <w:spacing w:after="80" w:line="240" w:lineRule="auto"/>
        <w:ind w:left="432" w:hanging="432"/>
      </w:pPr>
      <w:r>
        <w:rPr>
          <w:sz w:val="19"/>
        </w:rPr>
        <w:t xml:space="preserve">Al-Ahmadi, S., Alotaibi, A., &amp; Alsaleh, O. (2022). PDGAN: Phishing detection with generative adversarial networks. </w:t>
      </w:r>
      <w:r>
        <w:rPr>
          <w:i/>
          <w:sz w:val="19"/>
        </w:rPr>
        <w:t>IEEE Access</w:t>
      </w:r>
      <w:r>
        <w:rPr>
          <w:sz w:val="19"/>
        </w:rPr>
        <w:t xml:space="preserve">, </w:t>
      </w:r>
      <w:r>
        <w:rPr>
          <w:i/>
          <w:sz w:val="19"/>
        </w:rPr>
        <w:t>10</w:t>
      </w:r>
      <w:r>
        <w:rPr>
          <w:sz w:val="19"/>
        </w:rPr>
        <w:t xml:space="preserve">, 42459–42468. </w:t>
      </w:r>
      <w:r>
        <w:rPr>
          <w:color w:val="0563C1"/>
          <w:sz w:val="19"/>
          <w:szCs w:val="19"/>
          <w:u w:val="single"/>
        </w:rPr>
        <w:t>https://doi.org/10.1109/ACCESS.2022.3168235</w:t>
      </w:r>
    </w:p>
    <w:p w14:paraId="77D7675E" w14:textId="22F3D317" w:rsidR="00FA4CBD" w:rsidRDefault="005F644B">
      <w:pPr>
        <w:spacing w:after="80" w:line="240" w:lineRule="auto"/>
        <w:ind w:left="432" w:hanging="432"/>
      </w:pPr>
      <w:r>
        <w:rPr>
          <w:sz w:val="19"/>
        </w:rPr>
        <w:t xml:space="preserve">Almousa, M., Zhang, T., Sarrafzadeh, A., &amp; Anwar, M. (2022). Phishing website detection: How effective are deep learning-based models and hyperparameter optimization? </w:t>
      </w:r>
      <w:r>
        <w:rPr>
          <w:i/>
          <w:sz w:val="19"/>
        </w:rPr>
        <w:t>Security and Privacy</w:t>
      </w:r>
      <w:r>
        <w:rPr>
          <w:sz w:val="19"/>
        </w:rPr>
        <w:t xml:space="preserve">, </w:t>
      </w:r>
      <w:r>
        <w:rPr>
          <w:i/>
          <w:sz w:val="19"/>
        </w:rPr>
        <w:t>5</w:t>
      </w:r>
      <w:r>
        <w:rPr>
          <w:sz w:val="19"/>
        </w:rPr>
        <w:t xml:space="preserve">(6), Article e256. </w:t>
      </w:r>
      <w:r>
        <w:rPr>
          <w:color w:val="0563C1"/>
          <w:sz w:val="19"/>
          <w:szCs w:val="19"/>
          <w:u w:val="single"/>
        </w:rPr>
        <w:t>https://doi.org/10.1002/spy2.256</w:t>
      </w:r>
    </w:p>
    <w:p w14:paraId="1DA56A80" w14:textId="7B280EE1" w:rsidR="00FA4CBD" w:rsidRDefault="005F644B">
      <w:pPr>
        <w:spacing w:after="80" w:line="240" w:lineRule="auto"/>
        <w:ind w:left="432" w:hanging="432"/>
      </w:pPr>
      <w:r>
        <w:rPr>
          <w:sz w:val="19"/>
        </w:rPr>
        <w:t xml:space="preserve">Alsakarnah, R., Masoud, M. Z., &amp; Ghababsheh, A. (2026). Hybridizing explainable AI (XAI) for intelligent feature extraction in phishing website detection. </w:t>
      </w:r>
      <w:r>
        <w:rPr>
          <w:i/>
          <w:sz w:val="19"/>
        </w:rPr>
        <w:t>Electronics</w:t>
      </w:r>
      <w:r>
        <w:rPr>
          <w:sz w:val="19"/>
        </w:rPr>
        <w:t xml:space="preserve">, </w:t>
      </w:r>
      <w:r>
        <w:rPr>
          <w:i/>
          <w:sz w:val="19"/>
        </w:rPr>
        <w:t>15</w:t>
      </w:r>
      <w:r>
        <w:rPr>
          <w:sz w:val="19"/>
        </w:rPr>
        <w:t xml:space="preserve">(2), Article 350. </w:t>
      </w:r>
      <w:r>
        <w:rPr>
          <w:color w:val="0563C1"/>
          <w:sz w:val="19"/>
          <w:szCs w:val="19"/>
          <w:u w:val="single"/>
        </w:rPr>
        <w:t>https://doi.org/10.3390/electronics15020350</w:t>
      </w:r>
    </w:p>
    <w:p w14:paraId="6DF372F5" w14:textId="46939147" w:rsidR="00FA4CBD" w:rsidRDefault="005F644B">
      <w:pPr>
        <w:spacing w:after="80" w:line="240" w:lineRule="auto"/>
        <w:ind w:left="432" w:hanging="432"/>
      </w:pPr>
      <w:r>
        <w:rPr>
          <w:sz w:val="19"/>
        </w:rPr>
        <w:t xml:space="preserve">Ariyadasa, S., Fernando, S., &amp; Fernando, S. (2022). Combining long-term recurrent convolutional and graph convolutional networks to detect phishing sites using URL and HTML. </w:t>
      </w:r>
      <w:r>
        <w:rPr>
          <w:i/>
          <w:sz w:val="19"/>
        </w:rPr>
        <w:t>IEEE Access</w:t>
      </w:r>
      <w:r>
        <w:rPr>
          <w:sz w:val="19"/>
        </w:rPr>
        <w:t xml:space="preserve">, </w:t>
      </w:r>
      <w:r>
        <w:rPr>
          <w:i/>
          <w:sz w:val="19"/>
        </w:rPr>
        <w:t>10</w:t>
      </w:r>
      <w:r>
        <w:rPr>
          <w:sz w:val="19"/>
        </w:rPr>
        <w:t xml:space="preserve">, 82355–82375. </w:t>
      </w:r>
      <w:r>
        <w:rPr>
          <w:color w:val="0563C1"/>
          <w:sz w:val="19"/>
          <w:szCs w:val="19"/>
          <w:u w:val="single"/>
        </w:rPr>
        <w:t>https://doi.org/10.1109/ACCESS.2022.3196018</w:t>
      </w:r>
    </w:p>
    <w:p w14:paraId="2F8E25A1" w14:textId="3D146AD7" w:rsidR="00FA4CBD" w:rsidRDefault="005F644B">
      <w:pPr>
        <w:spacing w:after="80" w:line="240" w:lineRule="auto"/>
        <w:ind w:left="432" w:hanging="432"/>
      </w:pPr>
      <w:r>
        <w:rPr>
          <w:sz w:val="19"/>
        </w:rPr>
        <w:t xml:space="preserve">Babagoli, M., Aghababa, M. P., &amp; Solouk, V. (2019). Heuristic nonlinear regression strategy for detecting phishing websites. </w:t>
      </w:r>
      <w:r>
        <w:rPr>
          <w:i/>
          <w:sz w:val="19"/>
        </w:rPr>
        <w:t>Soft Computing</w:t>
      </w:r>
      <w:r>
        <w:rPr>
          <w:sz w:val="19"/>
        </w:rPr>
        <w:t xml:space="preserve">, </w:t>
      </w:r>
      <w:r>
        <w:rPr>
          <w:i/>
          <w:sz w:val="19"/>
        </w:rPr>
        <w:t>23</w:t>
      </w:r>
      <w:r>
        <w:rPr>
          <w:sz w:val="19"/>
        </w:rPr>
        <w:t xml:space="preserve">(12), 4315–4327. </w:t>
      </w:r>
      <w:r>
        <w:rPr>
          <w:color w:val="0563C1"/>
          <w:sz w:val="19"/>
          <w:szCs w:val="19"/>
          <w:u w:val="single"/>
        </w:rPr>
        <w:t>https://doi.org/10.1007/s00500-018-3084-2</w:t>
      </w:r>
    </w:p>
    <w:p w14:paraId="7B465871" w14:textId="3FF3DA70" w:rsidR="00FA4CBD" w:rsidRDefault="005F644B">
      <w:pPr>
        <w:spacing w:after="80" w:line="240" w:lineRule="auto"/>
        <w:ind w:left="432" w:hanging="432"/>
      </w:pPr>
      <w:r>
        <w:rPr>
          <w:sz w:val="19"/>
        </w:rPr>
        <w:t xml:space="preserve">Baethge, C., Goldbeck-Wood, S., &amp; Mertens, S. (2019). SANRA—a scale for the quality assessment of narrative review articles. </w:t>
      </w:r>
      <w:r>
        <w:rPr>
          <w:i/>
          <w:sz w:val="19"/>
        </w:rPr>
        <w:t>Research Integrity and Peer Review</w:t>
      </w:r>
      <w:r>
        <w:rPr>
          <w:sz w:val="19"/>
        </w:rPr>
        <w:t xml:space="preserve">, </w:t>
      </w:r>
      <w:r>
        <w:rPr>
          <w:i/>
          <w:sz w:val="19"/>
        </w:rPr>
        <w:t>4</w:t>
      </w:r>
      <w:r>
        <w:rPr>
          <w:sz w:val="19"/>
        </w:rPr>
        <w:t xml:space="preserve">, Article 5. </w:t>
      </w:r>
      <w:r>
        <w:rPr>
          <w:color w:val="0563C1"/>
          <w:sz w:val="19"/>
          <w:szCs w:val="19"/>
          <w:u w:val="single"/>
        </w:rPr>
        <w:t>https://doi.org/10.1186/s41073-019-0064-8</w:t>
      </w:r>
    </w:p>
    <w:p w14:paraId="54BBE7C7" w14:textId="5AA5705A" w:rsidR="00FA4CBD" w:rsidRDefault="005F644B">
      <w:pPr>
        <w:spacing w:after="80" w:line="240" w:lineRule="auto"/>
        <w:ind w:left="432" w:hanging="432"/>
      </w:pPr>
      <w:r>
        <w:rPr>
          <w:sz w:val="19"/>
        </w:rPr>
        <w:t xml:space="preserve">Bahaghighat, M., Ghasemi, M., &amp; Özen, F. (2023). A high-accuracy phishing website detection method based on machine learning. </w:t>
      </w:r>
      <w:r>
        <w:rPr>
          <w:i/>
          <w:sz w:val="19"/>
        </w:rPr>
        <w:t>Journal of Information Security and Applications</w:t>
      </w:r>
      <w:r>
        <w:rPr>
          <w:sz w:val="19"/>
        </w:rPr>
        <w:t xml:space="preserve">, </w:t>
      </w:r>
      <w:r>
        <w:rPr>
          <w:i/>
          <w:sz w:val="19"/>
        </w:rPr>
        <w:t>77</w:t>
      </w:r>
      <w:r>
        <w:rPr>
          <w:sz w:val="19"/>
        </w:rPr>
        <w:t xml:space="preserve">, Article 103553. </w:t>
      </w:r>
      <w:r>
        <w:rPr>
          <w:color w:val="0563C1"/>
          <w:sz w:val="19"/>
          <w:szCs w:val="19"/>
          <w:u w:val="single"/>
        </w:rPr>
        <w:t>https://doi.org/10.1016/j.jisa.2023.103553</w:t>
      </w:r>
    </w:p>
    <w:p w14:paraId="47B79988" w14:textId="346EEFFB" w:rsidR="00FA4CBD" w:rsidRDefault="005F644B">
      <w:pPr>
        <w:spacing w:after="80" w:line="240" w:lineRule="auto"/>
        <w:ind w:left="432" w:hanging="432"/>
      </w:pPr>
      <w:r>
        <w:rPr>
          <w:sz w:val="19"/>
        </w:rPr>
        <w:t xml:space="preserve">Bhardwaj, A., Al-Turjman, F., Sapra, V., Kumar, M., &amp; Stephan, T. (2021). Privacy-aware detection framework to mitigate new-age phishing attacks. </w:t>
      </w:r>
      <w:r>
        <w:rPr>
          <w:i/>
          <w:sz w:val="19"/>
        </w:rPr>
        <w:t>Computers &amp; Electrical Engineering</w:t>
      </w:r>
      <w:r>
        <w:rPr>
          <w:sz w:val="19"/>
        </w:rPr>
        <w:t xml:space="preserve">, </w:t>
      </w:r>
      <w:r>
        <w:rPr>
          <w:i/>
          <w:sz w:val="19"/>
        </w:rPr>
        <w:t>96</w:t>
      </w:r>
      <w:r>
        <w:rPr>
          <w:sz w:val="19"/>
        </w:rPr>
        <w:t xml:space="preserve">, Article 107546. </w:t>
      </w:r>
      <w:r>
        <w:rPr>
          <w:color w:val="0563C1"/>
          <w:sz w:val="19"/>
          <w:szCs w:val="19"/>
          <w:u w:val="single"/>
        </w:rPr>
        <w:t>https://doi.org/10.1016/j.compeleceng.2021.107546</w:t>
      </w:r>
    </w:p>
    <w:p w14:paraId="6989C0E2" w14:textId="48B03BFC" w:rsidR="00FA4CBD" w:rsidRDefault="005F644B">
      <w:pPr>
        <w:spacing w:after="80" w:line="240" w:lineRule="auto"/>
        <w:ind w:left="432" w:hanging="432"/>
      </w:pPr>
      <w:r>
        <w:rPr>
          <w:sz w:val="19"/>
        </w:rPr>
        <w:t xml:space="preserve">Calzarossa, M. C., Giudici, P., &amp; Zieni, R. (2024). Explainable machine learning for phishing feature detection. </w:t>
      </w:r>
      <w:r>
        <w:rPr>
          <w:i/>
          <w:sz w:val="19"/>
        </w:rPr>
        <w:t>Quality and Reliability Engineering International</w:t>
      </w:r>
      <w:r>
        <w:rPr>
          <w:sz w:val="19"/>
        </w:rPr>
        <w:t xml:space="preserve">, </w:t>
      </w:r>
      <w:r>
        <w:rPr>
          <w:i/>
          <w:sz w:val="19"/>
        </w:rPr>
        <w:t>40</w:t>
      </w:r>
      <w:r>
        <w:rPr>
          <w:sz w:val="19"/>
        </w:rPr>
        <w:t xml:space="preserve">(1), 362–373. </w:t>
      </w:r>
      <w:r>
        <w:rPr>
          <w:color w:val="0563C1"/>
          <w:sz w:val="19"/>
          <w:szCs w:val="19"/>
          <w:u w:val="single"/>
        </w:rPr>
        <w:t>https://doi.org/10.1002/qre.3411</w:t>
      </w:r>
    </w:p>
    <w:p w14:paraId="64B98D12" w14:textId="1B7E3907" w:rsidR="00FA4CBD" w:rsidRDefault="005F644B">
      <w:pPr>
        <w:spacing w:after="80" w:line="240" w:lineRule="auto"/>
        <w:ind w:left="432" w:hanging="432"/>
      </w:pPr>
      <w:r>
        <w:rPr>
          <w:sz w:val="19"/>
        </w:rPr>
        <w:t xml:space="preserve">Chen, J.-L., Ma, Y.-W., &amp; Huang, K.-L. (2020). Intelligent visual similarity-based phishing websites detection. </w:t>
      </w:r>
      <w:r>
        <w:rPr>
          <w:i/>
          <w:sz w:val="19"/>
        </w:rPr>
        <w:t>Symmetry</w:t>
      </w:r>
      <w:r>
        <w:rPr>
          <w:sz w:val="19"/>
        </w:rPr>
        <w:t xml:space="preserve">, </w:t>
      </w:r>
      <w:r>
        <w:rPr>
          <w:i/>
          <w:sz w:val="19"/>
        </w:rPr>
        <w:t>12</w:t>
      </w:r>
      <w:r>
        <w:rPr>
          <w:sz w:val="19"/>
        </w:rPr>
        <w:t xml:space="preserve">(10), Article 1681. </w:t>
      </w:r>
      <w:r>
        <w:rPr>
          <w:color w:val="0563C1"/>
          <w:sz w:val="19"/>
          <w:szCs w:val="19"/>
          <w:u w:val="single"/>
        </w:rPr>
        <w:t>https://doi.org/10.3390/sym12101681</w:t>
      </w:r>
    </w:p>
    <w:p w14:paraId="3D65C5C1" w14:textId="35B232EA" w:rsidR="00FA4CBD" w:rsidRDefault="005F644B">
      <w:pPr>
        <w:spacing w:after="80" w:line="240" w:lineRule="auto"/>
        <w:ind w:left="432" w:hanging="432"/>
      </w:pPr>
      <w:r>
        <w:rPr>
          <w:sz w:val="19"/>
        </w:rPr>
        <w:t xml:space="preserve">Feng, J., Zou, L., Ye, O., &amp; Han, J. (2020). Web2Vec: Phishing webpage detection method based on multidimensional features driven by deep learning. </w:t>
      </w:r>
      <w:r>
        <w:rPr>
          <w:i/>
          <w:sz w:val="19"/>
        </w:rPr>
        <w:t>IEEE Access</w:t>
      </w:r>
      <w:r>
        <w:rPr>
          <w:sz w:val="19"/>
        </w:rPr>
        <w:t xml:space="preserve">, </w:t>
      </w:r>
      <w:r>
        <w:rPr>
          <w:i/>
          <w:sz w:val="19"/>
        </w:rPr>
        <w:t>8</w:t>
      </w:r>
      <w:r>
        <w:rPr>
          <w:sz w:val="19"/>
        </w:rPr>
        <w:t xml:space="preserve">, 221214–221224. </w:t>
      </w:r>
      <w:r>
        <w:rPr>
          <w:color w:val="0563C1"/>
          <w:sz w:val="19"/>
          <w:szCs w:val="19"/>
          <w:u w:val="single"/>
        </w:rPr>
        <w:t>https://doi.org/10.1109/ACCESS.2020.3043188</w:t>
      </w:r>
    </w:p>
    <w:p w14:paraId="04604B44" w14:textId="1058F051" w:rsidR="00FA4CBD" w:rsidRDefault="005F644B">
      <w:pPr>
        <w:spacing w:after="80" w:line="240" w:lineRule="auto"/>
        <w:ind w:left="432" w:hanging="432"/>
      </w:pPr>
      <w:r>
        <w:rPr>
          <w:sz w:val="19"/>
        </w:rPr>
        <w:t xml:space="preserve">HR, M. G., MV, A., S, G. P., &amp; S, V. (2020). Development of anti-phishing browser based on random forest and rule of extraction framework. </w:t>
      </w:r>
      <w:r>
        <w:rPr>
          <w:i/>
          <w:sz w:val="19"/>
        </w:rPr>
        <w:t>Cybersecurity</w:t>
      </w:r>
      <w:r>
        <w:rPr>
          <w:sz w:val="19"/>
        </w:rPr>
        <w:t xml:space="preserve">, </w:t>
      </w:r>
      <w:r>
        <w:rPr>
          <w:i/>
          <w:sz w:val="19"/>
        </w:rPr>
        <w:t>3</w:t>
      </w:r>
      <w:r>
        <w:rPr>
          <w:sz w:val="19"/>
        </w:rPr>
        <w:t xml:space="preserve">, Article 20. </w:t>
      </w:r>
      <w:r>
        <w:rPr>
          <w:color w:val="0563C1"/>
          <w:sz w:val="19"/>
          <w:szCs w:val="19"/>
          <w:u w:val="single"/>
        </w:rPr>
        <w:t>https://doi.org/10.1186/s42400-020-00059-1</w:t>
      </w:r>
    </w:p>
    <w:p w14:paraId="7D34347C" w14:textId="123940F1" w:rsidR="00FA4CBD" w:rsidRDefault="005F644B">
      <w:pPr>
        <w:spacing w:after="80" w:line="240" w:lineRule="auto"/>
        <w:ind w:left="432" w:hanging="432"/>
      </w:pPr>
      <w:r>
        <w:rPr>
          <w:sz w:val="19"/>
        </w:rPr>
        <w:t xml:space="preserve">Jain, A. K., &amp; Gupta, B. B. (2017). Phishing detection: Analysis of visual </w:t>
      </w:r>
      <w:proofErr w:type="gramStart"/>
      <w:r>
        <w:rPr>
          <w:sz w:val="19"/>
        </w:rPr>
        <w:t>similarity based</w:t>
      </w:r>
      <w:proofErr w:type="gramEnd"/>
      <w:r>
        <w:rPr>
          <w:sz w:val="19"/>
        </w:rPr>
        <w:t xml:space="preserve"> approaches. </w:t>
      </w:r>
      <w:r>
        <w:rPr>
          <w:i/>
          <w:sz w:val="19"/>
        </w:rPr>
        <w:t>Security and Communication Networks</w:t>
      </w:r>
      <w:r>
        <w:rPr>
          <w:sz w:val="19"/>
        </w:rPr>
        <w:t xml:space="preserve">, </w:t>
      </w:r>
      <w:r>
        <w:rPr>
          <w:i/>
          <w:sz w:val="19"/>
        </w:rPr>
        <w:t>2017</w:t>
      </w:r>
      <w:r>
        <w:rPr>
          <w:sz w:val="19"/>
        </w:rPr>
        <w:t xml:space="preserve">, Article 5421046. </w:t>
      </w:r>
      <w:r>
        <w:rPr>
          <w:color w:val="0563C1"/>
          <w:sz w:val="19"/>
          <w:szCs w:val="19"/>
          <w:u w:val="single"/>
        </w:rPr>
        <w:t>https://doi.org/10.1155/2017/5421046</w:t>
      </w:r>
    </w:p>
    <w:p w14:paraId="56CE6F82" w14:textId="30617238" w:rsidR="00FA4CBD" w:rsidRDefault="005F644B">
      <w:pPr>
        <w:spacing w:after="80" w:line="240" w:lineRule="auto"/>
        <w:ind w:left="432" w:hanging="432"/>
      </w:pPr>
      <w:r>
        <w:rPr>
          <w:sz w:val="19"/>
        </w:rPr>
        <w:t xml:space="preserve">Jain, A. K., &amp; Gupta, B. B. (2019). A machine learning based approach for phishing detection using hyperlinks information. </w:t>
      </w:r>
      <w:r>
        <w:rPr>
          <w:i/>
          <w:sz w:val="19"/>
        </w:rPr>
        <w:t>Journal of Ambient Intelligence and Humanized Computing</w:t>
      </w:r>
      <w:r>
        <w:rPr>
          <w:sz w:val="19"/>
        </w:rPr>
        <w:t xml:space="preserve">, </w:t>
      </w:r>
      <w:r>
        <w:rPr>
          <w:i/>
          <w:sz w:val="19"/>
        </w:rPr>
        <w:t>10</w:t>
      </w:r>
      <w:r>
        <w:rPr>
          <w:sz w:val="19"/>
        </w:rPr>
        <w:t xml:space="preserve">(5), 2015–2028. </w:t>
      </w:r>
      <w:r>
        <w:rPr>
          <w:color w:val="0563C1"/>
          <w:sz w:val="19"/>
          <w:szCs w:val="19"/>
          <w:u w:val="single"/>
        </w:rPr>
        <w:t>https://doi.org/10.1007/s12652-018-0798-z</w:t>
      </w:r>
    </w:p>
    <w:p w14:paraId="4898AECF" w14:textId="6275B67E" w:rsidR="00FA4CBD" w:rsidRDefault="005F644B">
      <w:pPr>
        <w:spacing w:after="80" w:line="240" w:lineRule="auto"/>
        <w:ind w:left="432" w:hanging="432"/>
      </w:pPr>
      <w:r>
        <w:rPr>
          <w:sz w:val="19"/>
        </w:rPr>
        <w:t xml:space="preserve">Ji, F., Lee, K., Koo, H., You, W., Choo, E., Kim, H., &amp; Kim, D. (2025). Evaluating the effectiveness and robustness of visual similarity-based phishing detection models. In </w:t>
      </w:r>
      <w:r>
        <w:rPr>
          <w:i/>
          <w:sz w:val="19"/>
        </w:rPr>
        <w:t>34th USENIX Security Symposium (USENIX Security 25)</w:t>
      </w:r>
      <w:r>
        <w:rPr>
          <w:sz w:val="19"/>
        </w:rPr>
        <w:t xml:space="preserve"> (pp. 3201–3220). USENIX Association. </w:t>
      </w:r>
      <w:r>
        <w:rPr>
          <w:color w:val="0563C1"/>
          <w:sz w:val="19"/>
          <w:szCs w:val="19"/>
          <w:u w:val="single"/>
        </w:rPr>
        <w:t>https://www.usenix.org/conference/usenixsecurity25/presentation/ji</w:t>
      </w:r>
    </w:p>
    <w:p w14:paraId="24771A36" w14:textId="7231AC53" w:rsidR="00FA4CBD" w:rsidRDefault="005F644B">
      <w:pPr>
        <w:spacing w:after="80" w:line="240" w:lineRule="auto"/>
        <w:ind w:left="432" w:hanging="432"/>
      </w:pPr>
      <w:r>
        <w:rPr>
          <w:sz w:val="19"/>
        </w:rPr>
        <w:t xml:space="preserve">Jibat, D., Jamjoom, S., Abu Al-Haija, Q., &amp; Qusef, A. (2023). A systematic review: Detecting phishing websites using data mining models. </w:t>
      </w:r>
      <w:r>
        <w:rPr>
          <w:i/>
          <w:sz w:val="19"/>
        </w:rPr>
        <w:t>Intelligent and Converged Networks</w:t>
      </w:r>
      <w:r>
        <w:rPr>
          <w:sz w:val="19"/>
        </w:rPr>
        <w:t xml:space="preserve">, </w:t>
      </w:r>
      <w:r>
        <w:rPr>
          <w:i/>
          <w:sz w:val="19"/>
        </w:rPr>
        <w:t>4</w:t>
      </w:r>
      <w:r>
        <w:rPr>
          <w:sz w:val="19"/>
        </w:rPr>
        <w:t xml:space="preserve">(4), 326–341. </w:t>
      </w:r>
      <w:r>
        <w:rPr>
          <w:color w:val="0563C1"/>
          <w:sz w:val="19"/>
          <w:szCs w:val="19"/>
          <w:u w:val="single"/>
        </w:rPr>
        <w:t>https://doi.org/10.23919/ICN.2023.0027</w:t>
      </w:r>
    </w:p>
    <w:p w14:paraId="08354963" w14:textId="31F52418" w:rsidR="00FA4CBD" w:rsidRDefault="005F644B">
      <w:pPr>
        <w:spacing w:after="80" w:line="240" w:lineRule="auto"/>
        <w:ind w:left="432" w:hanging="432"/>
      </w:pPr>
      <w:r>
        <w:rPr>
          <w:sz w:val="19"/>
        </w:rPr>
        <w:t xml:space="preserve">Kehkashan, T., Abdelhaq, M., Al-Shamayleh, A. S., Huda, N., Yaseen, I. A., Ahmed, A. I. A., &amp; Akhunzada, A. (2025). Explainable phishing website detection for secure and sustainable cyber infrastructure. </w:t>
      </w:r>
      <w:r>
        <w:rPr>
          <w:i/>
          <w:sz w:val="19"/>
        </w:rPr>
        <w:t>Scientific Reports</w:t>
      </w:r>
      <w:r>
        <w:rPr>
          <w:sz w:val="19"/>
        </w:rPr>
        <w:t xml:space="preserve">, </w:t>
      </w:r>
      <w:r>
        <w:rPr>
          <w:i/>
          <w:sz w:val="19"/>
        </w:rPr>
        <w:t>15</w:t>
      </w:r>
      <w:r>
        <w:rPr>
          <w:sz w:val="19"/>
        </w:rPr>
        <w:t xml:space="preserve">, Article 41751. </w:t>
      </w:r>
      <w:r>
        <w:rPr>
          <w:color w:val="0563C1"/>
          <w:sz w:val="19"/>
          <w:szCs w:val="19"/>
          <w:u w:val="single"/>
        </w:rPr>
        <w:t>https://doi.org/10.1038/s41598-025-27984-w</w:t>
      </w:r>
    </w:p>
    <w:p w14:paraId="7F4CFE2D" w14:textId="32A946AD" w:rsidR="00FA4CBD" w:rsidRDefault="005F644B">
      <w:pPr>
        <w:spacing w:after="80" w:line="240" w:lineRule="auto"/>
        <w:ind w:left="432" w:hanging="432"/>
      </w:pPr>
      <w:r>
        <w:rPr>
          <w:sz w:val="19"/>
        </w:rPr>
        <w:t xml:space="preserve">Koide, T., Nakano, H., &amp; Chiba, D. (2024). ChatPhishDetector: Detecting phishing sites using large language models. </w:t>
      </w:r>
      <w:r>
        <w:rPr>
          <w:i/>
          <w:sz w:val="19"/>
        </w:rPr>
        <w:t>IEEE Access</w:t>
      </w:r>
      <w:r>
        <w:rPr>
          <w:sz w:val="19"/>
        </w:rPr>
        <w:t xml:space="preserve">, </w:t>
      </w:r>
      <w:r>
        <w:rPr>
          <w:i/>
          <w:sz w:val="19"/>
        </w:rPr>
        <w:t>12</w:t>
      </w:r>
      <w:r>
        <w:rPr>
          <w:sz w:val="19"/>
        </w:rPr>
        <w:t xml:space="preserve">, 154381–154400. </w:t>
      </w:r>
      <w:r>
        <w:rPr>
          <w:color w:val="0563C1"/>
          <w:sz w:val="19"/>
          <w:szCs w:val="19"/>
          <w:u w:val="single"/>
        </w:rPr>
        <w:t>https://doi.org/10.1109/ACCESS.2024.3483905</w:t>
      </w:r>
    </w:p>
    <w:p w14:paraId="47C012C9" w14:textId="4E5F90C1" w:rsidR="00FA4CBD" w:rsidRDefault="005F644B">
      <w:pPr>
        <w:spacing w:after="80" w:line="240" w:lineRule="auto"/>
        <w:ind w:left="432" w:hanging="432"/>
      </w:pPr>
      <w:r>
        <w:rPr>
          <w:sz w:val="19"/>
        </w:rPr>
        <w:t xml:space="preserve">Kulkarni, A., Balachandran, V., Divakaran, D. M., &amp; Das, T. (2025). From ML to LLM: Evaluating the robustness of phishing web page detection models against adversarial attacks. </w:t>
      </w:r>
      <w:r>
        <w:rPr>
          <w:i/>
          <w:sz w:val="19"/>
        </w:rPr>
        <w:t>Digital Threats: Research and Practice</w:t>
      </w:r>
      <w:r>
        <w:rPr>
          <w:sz w:val="19"/>
        </w:rPr>
        <w:t xml:space="preserve">, </w:t>
      </w:r>
      <w:r>
        <w:rPr>
          <w:i/>
          <w:sz w:val="19"/>
        </w:rPr>
        <w:t>6</w:t>
      </w:r>
      <w:r>
        <w:rPr>
          <w:sz w:val="19"/>
        </w:rPr>
        <w:t xml:space="preserve">(2), Article 10, 1–25. </w:t>
      </w:r>
      <w:r>
        <w:rPr>
          <w:color w:val="0563C1"/>
          <w:sz w:val="19"/>
          <w:szCs w:val="19"/>
          <w:u w:val="single"/>
        </w:rPr>
        <w:t>https://doi.org/10.1145/3737295</w:t>
      </w:r>
    </w:p>
    <w:p w14:paraId="2E9D8E66" w14:textId="374C89ED" w:rsidR="00FA4CBD" w:rsidRDefault="005F644B">
      <w:pPr>
        <w:spacing w:after="80" w:line="240" w:lineRule="auto"/>
        <w:ind w:left="432" w:hanging="432"/>
      </w:pPr>
      <w:r>
        <w:rPr>
          <w:sz w:val="19"/>
        </w:rPr>
        <w:t xml:space="preserve">Lakshmi, L., Reddy, M. P., Santhaiah, C., &amp; Reddy, U. J. (2021). Smart phishing detection in web pages using supervised deep learning classification and optimization technique ADAM. </w:t>
      </w:r>
      <w:r>
        <w:rPr>
          <w:i/>
          <w:sz w:val="19"/>
        </w:rPr>
        <w:t>Wireless Personal Communications</w:t>
      </w:r>
      <w:r>
        <w:rPr>
          <w:sz w:val="19"/>
        </w:rPr>
        <w:t xml:space="preserve">, </w:t>
      </w:r>
      <w:r>
        <w:rPr>
          <w:i/>
          <w:sz w:val="19"/>
        </w:rPr>
        <w:t>118</w:t>
      </w:r>
      <w:r>
        <w:rPr>
          <w:sz w:val="19"/>
        </w:rPr>
        <w:t xml:space="preserve">(4), 3549–3564. </w:t>
      </w:r>
      <w:r>
        <w:rPr>
          <w:color w:val="0563C1"/>
          <w:sz w:val="19"/>
          <w:szCs w:val="19"/>
          <w:u w:val="single"/>
        </w:rPr>
        <w:t>https://doi.org/10.1007/s11277-021-08196-7</w:t>
      </w:r>
    </w:p>
    <w:p w14:paraId="6D6CAFAD" w14:textId="7FA50CED" w:rsidR="00FA4CBD" w:rsidRDefault="005F644B">
      <w:pPr>
        <w:spacing w:after="80" w:line="240" w:lineRule="auto"/>
        <w:ind w:left="432" w:hanging="432"/>
      </w:pPr>
      <w:r>
        <w:rPr>
          <w:sz w:val="19"/>
        </w:rPr>
        <w:lastRenderedPageBreak/>
        <w:t xml:space="preserve">Lee, J., Lim, P., Hooi, B., &amp; Divakaran, D. M. (2024). Multimodal large language models for phishing webpage detection and identification. In </w:t>
      </w:r>
      <w:r>
        <w:rPr>
          <w:i/>
          <w:sz w:val="19"/>
        </w:rPr>
        <w:t>2024 APWG Symposium on Electronic Crime Research (eCrime)</w:t>
      </w:r>
      <w:r>
        <w:rPr>
          <w:sz w:val="19"/>
        </w:rPr>
        <w:t xml:space="preserve"> (pp. 1–13). IEEE. </w:t>
      </w:r>
      <w:r>
        <w:rPr>
          <w:color w:val="0563C1"/>
          <w:sz w:val="19"/>
          <w:szCs w:val="19"/>
          <w:u w:val="single"/>
        </w:rPr>
        <w:t>https://doi.org/10.1109/ECRIME66200.2024.00007</w:t>
      </w:r>
    </w:p>
    <w:p w14:paraId="7D9C6AC4" w14:textId="2E92C97B" w:rsidR="00FA4CBD" w:rsidRDefault="005F644B">
      <w:pPr>
        <w:spacing w:after="80" w:line="240" w:lineRule="auto"/>
        <w:ind w:left="432" w:hanging="432"/>
      </w:pPr>
      <w:r>
        <w:rPr>
          <w:sz w:val="19"/>
        </w:rPr>
        <w:t xml:space="preserve">Li, W., Manickam, S., &amp; Chong, Y.-W. (2025). FedPhishLLM: A privacy-preserving and explainable phishing detection mechanism using federated learning and LLMs. </w:t>
      </w:r>
      <w:r>
        <w:rPr>
          <w:i/>
          <w:sz w:val="19"/>
        </w:rPr>
        <w:t>Journal of King Saud University Computer and Information Sciences</w:t>
      </w:r>
      <w:r>
        <w:rPr>
          <w:sz w:val="19"/>
        </w:rPr>
        <w:t xml:space="preserve">, </w:t>
      </w:r>
      <w:r>
        <w:rPr>
          <w:i/>
          <w:sz w:val="19"/>
        </w:rPr>
        <w:t>37</w:t>
      </w:r>
      <w:r>
        <w:rPr>
          <w:sz w:val="19"/>
        </w:rPr>
        <w:t xml:space="preserve">, Article 252. </w:t>
      </w:r>
      <w:r>
        <w:rPr>
          <w:color w:val="0563C1"/>
          <w:sz w:val="19"/>
          <w:szCs w:val="19"/>
          <w:u w:val="single"/>
        </w:rPr>
        <w:t>https://doi.org/10.1007/s44443-025-00267-0</w:t>
      </w:r>
    </w:p>
    <w:p w14:paraId="74B8E932" w14:textId="39F92A5B" w:rsidR="00FA4CBD" w:rsidRDefault="005F644B">
      <w:pPr>
        <w:spacing w:after="80" w:line="240" w:lineRule="auto"/>
        <w:ind w:left="432" w:hanging="432"/>
      </w:pPr>
      <w:r>
        <w:rPr>
          <w:sz w:val="19"/>
        </w:rPr>
        <w:t xml:space="preserve">Lin, Y., Liu, R., Divakaran, D. M., Ng, J. Y., Chan, Q. Z., Lu, Y., Si, Y., Zhang, F., &amp; Dong, J. S. (2021). Phishpedia: A hybrid deep </w:t>
      </w:r>
      <w:proofErr w:type="gramStart"/>
      <w:r>
        <w:rPr>
          <w:sz w:val="19"/>
        </w:rPr>
        <w:t>learning based</w:t>
      </w:r>
      <w:proofErr w:type="gramEnd"/>
      <w:r>
        <w:rPr>
          <w:sz w:val="19"/>
        </w:rPr>
        <w:t xml:space="preserve"> approach to visually identify phishing webpages. In </w:t>
      </w:r>
      <w:r>
        <w:rPr>
          <w:i/>
          <w:sz w:val="19"/>
        </w:rPr>
        <w:t>30th USENIX Security Symposium (USENIX Security 21)</w:t>
      </w:r>
      <w:r>
        <w:rPr>
          <w:sz w:val="19"/>
        </w:rPr>
        <w:t xml:space="preserve"> (pp. 3793–3810). USENIX Association. </w:t>
      </w:r>
      <w:r>
        <w:rPr>
          <w:color w:val="0563C1"/>
          <w:sz w:val="19"/>
          <w:szCs w:val="19"/>
          <w:u w:val="single"/>
        </w:rPr>
        <w:t>https://www.usenix.org/conference/usenixsecurity21/presentation/lin</w:t>
      </w:r>
    </w:p>
    <w:p w14:paraId="74D71713" w14:textId="7C255C08" w:rsidR="00FA4CBD" w:rsidRDefault="005F644B">
      <w:pPr>
        <w:spacing w:after="80" w:line="240" w:lineRule="auto"/>
        <w:ind w:left="432" w:hanging="432"/>
      </w:pPr>
      <w:r>
        <w:rPr>
          <w:sz w:val="19"/>
        </w:rPr>
        <w:t xml:space="preserve">Majgave, A. B., &amp; Gavankar, N. L. (2024). Automatic phishing website detection and prevention model using transformer deep belief network. </w:t>
      </w:r>
      <w:r>
        <w:rPr>
          <w:i/>
          <w:sz w:val="19"/>
        </w:rPr>
        <w:t>Computers &amp; Security</w:t>
      </w:r>
      <w:r>
        <w:rPr>
          <w:sz w:val="19"/>
        </w:rPr>
        <w:t xml:space="preserve">, </w:t>
      </w:r>
      <w:r>
        <w:rPr>
          <w:i/>
          <w:sz w:val="19"/>
        </w:rPr>
        <w:t>147</w:t>
      </w:r>
      <w:r>
        <w:rPr>
          <w:sz w:val="19"/>
        </w:rPr>
        <w:t xml:space="preserve">, Article 104071. </w:t>
      </w:r>
      <w:r>
        <w:rPr>
          <w:color w:val="0563C1"/>
          <w:sz w:val="19"/>
          <w:szCs w:val="19"/>
          <w:u w:val="single"/>
        </w:rPr>
        <w:t>https://doi.org/10.1016/j.cose.2024.104071</w:t>
      </w:r>
    </w:p>
    <w:p w14:paraId="7A9D341A" w14:textId="72817605" w:rsidR="00FA4CBD" w:rsidRDefault="005F644B">
      <w:pPr>
        <w:spacing w:after="80" w:line="240" w:lineRule="auto"/>
        <w:ind w:left="432" w:hanging="432"/>
      </w:pPr>
      <w:r>
        <w:rPr>
          <w:sz w:val="19"/>
        </w:rPr>
        <w:t xml:space="preserve">Marchal, S., François, J., State, R., &amp; Engel, T. (2014). PhishStorm: Detecting phishing with streaming analytics. </w:t>
      </w:r>
      <w:r>
        <w:rPr>
          <w:i/>
          <w:sz w:val="19"/>
        </w:rPr>
        <w:t>IEEE Transactions on Network and Service Management</w:t>
      </w:r>
      <w:r>
        <w:rPr>
          <w:sz w:val="19"/>
        </w:rPr>
        <w:t xml:space="preserve">, </w:t>
      </w:r>
      <w:r>
        <w:rPr>
          <w:i/>
          <w:sz w:val="19"/>
        </w:rPr>
        <w:t>11</w:t>
      </w:r>
      <w:r>
        <w:rPr>
          <w:sz w:val="19"/>
        </w:rPr>
        <w:t xml:space="preserve">(4), 458–471. </w:t>
      </w:r>
      <w:r>
        <w:rPr>
          <w:color w:val="0563C1"/>
          <w:sz w:val="19"/>
          <w:szCs w:val="19"/>
          <w:u w:val="single"/>
        </w:rPr>
        <w:t>https://doi.org/10.1109/TNSM.2014.2377295</w:t>
      </w:r>
    </w:p>
    <w:p w14:paraId="7BE4C18D" w14:textId="13220D4F" w:rsidR="00FA4CBD" w:rsidRDefault="005F644B">
      <w:pPr>
        <w:spacing w:after="80" w:line="240" w:lineRule="auto"/>
        <w:ind w:left="432" w:hanging="432"/>
      </w:pPr>
      <w:r>
        <w:rPr>
          <w:sz w:val="19"/>
        </w:rPr>
        <w:t xml:space="preserve">Mayo, C., Tchuindjang, M., Brohi, S., &amp; Ersotelos, N. (2026). A temporally dynamic feature-extraction framework for phishing detection with LIME and SHAP explanations. </w:t>
      </w:r>
      <w:r>
        <w:rPr>
          <w:i/>
          <w:sz w:val="19"/>
        </w:rPr>
        <w:t>Future Internet</w:t>
      </w:r>
      <w:r>
        <w:rPr>
          <w:sz w:val="19"/>
        </w:rPr>
        <w:t xml:space="preserve">, </w:t>
      </w:r>
      <w:r>
        <w:rPr>
          <w:i/>
          <w:sz w:val="19"/>
        </w:rPr>
        <w:t>18</w:t>
      </w:r>
      <w:r>
        <w:rPr>
          <w:sz w:val="19"/>
        </w:rPr>
        <w:t xml:space="preserve">(2), Article 101. </w:t>
      </w:r>
      <w:r>
        <w:rPr>
          <w:color w:val="0563C1"/>
          <w:sz w:val="19"/>
          <w:szCs w:val="19"/>
          <w:u w:val="single"/>
        </w:rPr>
        <w:t>https://doi.org/10.3390/fi18020101</w:t>
      </w:r>
    </w:p>
    <w:p w14:paraId="11E24506" w14:textId="305DA901" w:rsidR="00FA4CBD" w:rsidRDefault="005F644B">
      <w:pPr>
        <w:spacing w:after="80" w:line="240" w:lineRule="auto"/>
        <w:ind w:left="432" w:hanging="432"/>
      </w:pPr>
      <w:r>
        <w:rPr>
          <w:sz w:val="19"/>
        </w:rPr>
        <w:t xml:space="preserve">Mousavi, S., &amp; Bahaghighat, M. (2025). Phishing website detection: An in-depth investigation of feature selection and deep learning. </w:t>
      </w:r>
      <w:r>
        <w:rPr>
          <w:i/>
          <w:sz w:val="19"/>
        </w:rPr>
        <w:t>Expert Systems</w:t>
      </w:r>
      <w:r>
        <w:rPr>
          <w:sz w:val="19"/>
        </w:rPr>
        <w:t xml:space="preserve">, </w:t>
      </w:r>
      <w:r>
        <w:rPr>
          <w:i/>
          <w:sz w:val="19"/>
        </w:rPr>
        <w:t>42</w:t>
      </w:r>
      <w:r>
        <w:rPr>
          <w:sz w:val="19"/>
        </w:rPr>
        <w:t xml:space="preserve">, Article e13824. </w:t>
      </w:r>
      <w:r>
        <w:rPr>
          <w:color w:val="0563C1"/>
          <w:sz w:val="19"/>
          <w:szCs w:val="19"/>
          <w:u w:val="single"/>
        </w:rPr>
        <w:t>https://doi.org/10.1111/exsy.13824</w:t>
      </w:r>
    </w:p>
    <w:p w14:paraId="307EA1F7" w14:textId="0FC0EBA6" w:rsidR="00FA4CBD" w:rsidRDefault="005F644B">
      <w:pPr>
        <w:spacing w:after="80" w:line="240" w:lineRule="auto"/>
        <w:ind w:left="432" w:hanging="432"/>
      </w:pPr>
      <w:r>
        <w:rPr>
          <w:sz w:val="19"/>
        </w:rPr>
        <w:t xml:space="preserve">Nasution, A. H., Monika, W., Onan, A., &amp; Murakami, Y. (2025). Benchmarking 21 open-source large language models for phishing link detection with prompt engineering. </w:t>
      </w:r>
      <w:r>
        <w:rPr>
          <w:i/>
          <w:sz w:val="19"/>
        </w:rPr>
        <w:t>Information</w:t>
      </w:r>
      <w:r>
        <w:rPr>
          <w:sz w:val="19"/>
        </w:rPr>
        <w:t xml:space="preserve">, </w:t>
      </w:r>
      <w:r>
        <w:rPr>
          <w:i/>
          <w:sz w:val="19"/>
        </w:rPr>
        <w:t>16</w:t>
      </w:r>
      <w:r>
        <w:rPr>
          <w:sz w:val="19"/>
        </w:rPr>
        <w:t xml:space="preserve">(5), Article 366. </w:t>
      </w:r>
      <w:r>
        <w:rPr>
          <w:color w:val="0563C1"/>
          <w:sz w:val="19"/>
          <w:szCs w:val="19"/>
          <w:u w:val="single"/>
        </w:rPr>
        <w:t>https://doi.org/10.3390/info16050366</w:t>
      </w:r>
    </w:p>
    <w:p w14:paraId="05184FB5" w14:textId="39A52B6D" w:rsidR="00FA4CBD" w:rsidRDefault="005F644B">
      <w:pPr>
        <w:spacing w:after="80" w:line="240" w:lineRule="auto"/>
        <w:ind w:left="432" w:hanging="432"/>
      </w:pPr>
      <w:r>
        <w:rPr>
          <w:sz w:val="19"/>
        </w:rPr>
        <w:t xml:space="preserve">Panneerselvam, D., Sethuraman, S. C., Emerson, A. J., &amp; Kanakam, T. K. (2025). A concise survey on modern web-based phishing techniques and advanced mitigation strategies. </w:t>
      </w:r>
      <w:r>
        <w:rPr>
          <w:i/>
          <w:sz w:val="19"/>
        </w:rPr>
        <w:t>Transactions on Emerging Telecommunications Technologies</w:t>
      </w:r>
      <w:r>
        <w:rPr>
          <w:sz w:val="19"/>
        </w:rPr>
        <w:t xml:space="preserve">, </w:t>
      </w:r>
      <w:r>
        <w:rPr>
          <w:i/>
          <w:sz w:val="19"/>
        </w:rPr>
        <w:t>36</w:t>
      </w:r>
      <w:r>
        <w:rPr>
          <w:sz w:val="19"/>
        </w:rPr>
        <w:t xml:space="preserve">(4), Article e70119. </w:t>
      </w:r>
      <w:r>
        <w:rPr>
          <w:color w:val="0563C1"/>
          <w:sz w:val="19"/>
          <w:szCs w:val="19"/>
          <w:u w:val="single"/>
        </w:rPr>
        <w:t>https://doi.org/10.1002/ett.70119</w:t>
      </w:r>
    </w:p>
    <w:p w14:paraId="10B69777" w14:textId="5F4FFAC7" w:rsidR="00FA4CBD" w:rsidRDefault="005F644B">
      <w:pPr>
        <w:spacing w:after="80" w:line="240" w:lineRule="auto"/>
        <w:ind w:left="432" w:hanging="432"/>
      </w:pPr>
      <w:r>
        <w:rPr>
          <w:sz w:val="19"/>
        </w:rPr>
        <w:t xml:space="preserve">Park, J., &amp; Cho, S.-B. (2026). Contrastive learning of prototypical network for detecting phishing URL. </w:t>
      </w:r>
      <w:r>
        <w:rPr>
          <w:i/>
          <w:sz w:val="19"/>
        </w:rPr>
        <w:t>Logic Journal of the IGPL</w:t>
      </w:r>
      <w:r>
        <w:rPr>
          <w:sz w:val="19"/>
        </w:rPr>
        <w:t xml:space="preserve">, </w:t>
      </w:r>
      <w:r>
        <w:rPr>
          <w:i/>
          <w:sz w:val="19"/>
        </w:rPr>
        <w:t>34</w:t>
      </w:r>
      <w:r>
        <w:rPr>
          <w:sz w:val="19"/>
        </w:rPr>
        <w:t xml:space="preserve">(1), Article jzaf023. </w:t>
      </w:r>
      <w:r>
        <w:rPr>
          <w:color w:val="0563C1"/>
          <w:sz w:val="19"/>
          <w:szCs w:val="19"/>
          <w:u w:val="single"/>
        </w:rPr>
        <w:t>https://doi.org/10.1093/jigpal/jzaf023</w:t>
      </w:r>
    </w:p>
    <w:p w14:paraId="47DD795C" w14:textId="3971EE7A" w:rsidR="00FA4CBD" w:rsidRDefault="005F644B">
      <w:pPr>
        <w:spacing w:after="80" w:line="240" w:lineRule="auto"/>
        <w:ind w:left="432" w:hanging="432"/>
      </w:pPr>
      <w:r>
        <w:rPr>
          <w:sz w:val="19"/>
        </w:rPr>
        <w:t xml:space="preserve">Patil, R. R., Kaur, G., Jain, H., Tiwari, A., Joshi, S., Rao, K., &amp; Sharma, A. (2022). Machine learning approach for phishing website detection: A literature survey. </w:t>
      </w:r>
      <w:r>
        <w:rPr>
          <w:i/>
          <w:sz w:val="19"/>
        </w:rPr>
        <w:t>Journal of Discrete Mathematical Sciences and Cryptography</w:t>
      </w:r>
      <w:r>
        <w:rPr>
          <w:sz w:val="19"/>
        </w:rPr>
        <w:t xml:space="preserve">, </w:t>
      </w:r>
      <w:r>
        <w:rPr>
          <w:i/>
          <w:sz w:val="19"/>
        </w:rPr>
        <w:t>25</w:t>
      </w:r>
      <w:r>
        <w:rPr>
          <w:sz w:val="19"/>
        </w:rPr>
        <w:t xml:space="preserve">(3), 817–827. </w:t>
      </w:r>
      <w:r>
        <w:rPr>
          <w:color w:val="0563C1"/>
          <w:sz w:val="19"/>
          <w:szCs w:val="19"/>
          <w:u w:val="single"/>
        </w:rPr>
        <w:t>https://doi.org/10.1080/09720529.2021.2016224</w:t>
      </w:r>
    </w:p>
    <w:p w14:paraId="1685A30E" w14:textId="22C74C0B" w:rsidR="00FA4CBD" w:rsidRDefault="005F644B">
      <w:pPr>
        <w:spacing w:after="80" w:line="240" w:lineRule="auto"/>
        <w:ind w:left="432" w:hanging="432"/>
      </w:pPr>
      <w:r>
        <w:rPr>
          <w:sz w:val="19"/>
        </w:rPr>
        <w:t xml:space="preserve">Ramana, A. V., Rao, K. L., &amp; Rao, R. S. (2021). Stop-Phish: An intelligent phishing detection method using feature selection ensemble. </w:t>
      </w:r>
      <w:r>
        <w:rPr>
          <w:i/>
          <w:sz w:val="19"/>
        </w:rPr>
        <w:t>Social Network Analysis and Mining</w:t>
      </w:r>
      <w:r>
        <w:rPr>
          <w:sz w:val="19"/>
        </w:rPr>
        <w:t xml:space="preserve">, </w:t>
      </w:r>
      <w:r>
        <w:rPr>
          <w:i/>
          <w:sz w:val="19"/>
        </w:rPr>
        <w:t>11</w:t>
      </w:r>
      <w:r>
        <w:rPr>
          <w:sz w:val="19"/>
        </w:rPr>
        <w:t xml:space="preserve">, Article 110. </w:t>
      </w:r>
      <w:r>
        <w:rPr>
          <w:color w:val="0563C1"/>
          <w:sz w:val="19"/>
          <w:szCs w:val="19"/>
          <w:u w:val="single"/>
        </w:rPr>
        <w:t>https://doi.org/10.1007/s13278-021-00829-w</w:t>
      </w:r>
    </w:p>
    <w:p w14:paraId="1FCD0164" w14:textId="1639BCB1" w:rsidR="00FA4CBD" w:rsidRDefault="005F644B">
      <w:pPr>
        <w:spacing w:after="80" w:line="240" w:lineRule="auto"/>
        <w:ind w:left="432" w:hanging="432"/>
      </w:pPr>
      <w:r>
        <w:rPr>
          <w:sz w:val="19"/>
        </w:rPr>
        <w:t xml:space="preserve">Rao, R. S., &amp; Pais, A. R. (2019). Detection of phishing websites using an efficient feature-based machine learning framework. </w:t>
      </w:r>
      <w:r>
        <w:rPr>
          <w:i/>
          <w:sz w:val="19"/>
        </w:rPr>
        <w:t>Neural Computing and Applications</w:t>
      </w:r>
      <w:r>
        <w:rPr>
          <w:sz w:val="19"/>
        </w:rPr>
        <w:t xml:space="preserve">, </w:t>
      </w:r>
      <w:r>
        <w:rPr>
          <w:i/>
          <w:sz w:val="19"/>
        </w:rPr>
        <w:t>31</w:t>
      </w:r>
      <w:r>
        <w:rPr>
          <w:sz w:val="19"/>
        </w:rPr>
        <w:t xml:space="preserve">(8), 3851–3873. </w:t>
      </w:r>
      <w:r>
        <w:rPr>
          <w:color w:val="0563C1"/>
          <w:sz w:val="19"/>
          <w:szCs w:val="19"/>
          <w:u w:val="single"/>
        </w:rPr>
        <w:t>https://doi.org/10.1007/s00521-017-3305-0</w:t>
      </w:r>
    </w:p>
    <w:p w14:paraId="16BB20BD" w14:textId="76F92FD5" w:rsidR="00FA4CBD" w:rsidRDefault="005F644B">
      <w:pPr>
        <w:spacing w:after="80" w:line="240" w:lineRule="auto"/>
        <w:ind w:left="432" w:hanging="432"/>
      </w:pPr>
      <w:r>
        <w:rPr>
          <w:sz w:val="19"/>
        </w:rPr>
        <w:t xml:space="preserve">Safi, A., &amp; Singh, S. (2023). A systematic literature review on phishing website detection techniques. </w:t>
      </w:r>
      <w:r>
        <w:rPr>
          <w:i/>
          <w:sz w:val="19"/>
        </w:rPr>
        <w:t>Journal of King Saud University - Computer and Information Sciences</w:t>
      </w:r>
      <w:r>
        <w:rPr>
          <w:sz w:val="19"/>
        </w:rPr>
        <w:t xml:space="preserve">, </w:t>
      </w:r>
      <w:r>
        <w:rPr>
          <w:i/>
          <w:sz w:val="19"/>
        </w:rPr>
        <w:t>35</w:t>
      </w:r>
      <w:r>
        <w:rPr>
          <w:sz w:val="19"/>
        </w:rPr>
        <w:t xml:space="preserve">(2), 590–611. </w:t>
      </w:r>
      <w:r>
        <w:rPr>
          <w:color w:val="0563C1"/>
          <w:sz w:val="19"/>
          <w:szCs w:val="19"/>
          <w:u w:val="single"/>
        </w:rPr>
        <w:t>https://doi.org/10.1016/j.jksuci.2023.01.004</w:t>
      </w:r>
    </w:p>
    <w:p w14:paraId="23E3AA1C" w14:textId="19409ED2" w:rsidR="00FA4CBD" w:rsidRDefault="005F644B">
      <w:pPr>
        <w:spacing w:after="80" w:line="240" w:lineRule="auto"/>
        <w:ind w:left="432" w:hanging="432"/>
      </w:pPr>
      <w:r>
        <w:rPr>
          <w:sz w:val="19"/>
        </w:rPr>
        <w:t xml:space="preserve">Sahingoz, O. K., Buber, E., &amp; Kugu, E. (2024). DEPHIDES: Deep learning based phishing detection system. </w:t>
      </w:r>
      <w:r>
        <w:rPr>
          <w:i/>
          <w:sz w:val="19"/>
        </w:rPr>
        <w:t>IEEE Access</w:t>
      </w:r>
      <w:r>
        <w:rPr>
          <w:sz w:val="19"/>
        </w:rPr>
        <w:t xml:space="preserve">, </w:t>
      </w:r>
      <w:r>
        <w:rPr>
          <w:i/>
          <w:sz w:val="19"/>
        </w:rPr>
        <w:t>12</w:t>
      </w:r>
      <w:r>
        <w:rPr>
          <w:sz w:val="19"/>
        </w:rPr>
        <w:t xml:space="preserve">, 8052–8070. </w:t>
      </w:r>
      <w:r>
        <w:rPr>
          <w:color w:val="0563C1"/>
          <w:sz w:val="19"/>
          <w:szCs w:val="19"/>
          <w:u w:val="single"/>
        </w:rPr>
        <w:t>https://doi.org/10.1109/ACCESS.2024.3352629</w:t>
      </w:r>
    </w:p>
    <w:p w14:paraId="7001B788" w14:textId="56D005EB" w:rsidR="00FA4CBD" w:rsidRDefault="005F644B">
      <w:pPr>
        <w:spacing w:after="80" w:line="240" w:lineRule="auto"/>
        <w:ind w:left="432" w:hanging="432"/>
      </w:pPr>
      <w:r>
        <w:rPr>
          <w:sz w:val="19"/>
        </w:rPr>
        <w:t xml:space="preserve">Sahingoz, O. K., Buber, E., Demir, O., &amp; Diri, B. (2019). Machine learning based phishing detection from URLs. </w:t>
      </w:r>
      <w:r>
        <w:rPr>
          <w:i/>
          <w:sz w:val="19"/>
        </w:rPr>
        <w:t>Expert Systems with Applications</w:t>
      </w:r>
      <w:r>
        <w:rPr>
          <w:sz w:val="19"/>
        </w:rPr>
        <w:t xml:space="preserve">, </w:t>
      </w:r>
      <w:r>
        <w:rPr>
          <w:i/>
          <w:sz w:val="19"/>
        </w:rPr>
        <w:t>117</w:t>
      </w:r>
      <w:r>
        <w:rPr>
          <w:sz w:val="19"/>
        </w:rPr>
        <w:t xml:space="preserve">, 345–357. </w:t>
      </w:r>
      <w:r>
        <w:rPr>
          <w:color w:val="0563C1"/>
          <w:sz w:val="19"/>
          <w:szCs w:val="19"/>
          <w:u w:val="single"/>
        </w:rPr>
        <w:t>https://doi.org/10.1016/j.eswa.2018.09.029</w:t>
      </w:r>
    </w:p>
    <w:p w14:paraId="0CEAC190" w14:textId="4480D508" w:rsidR="00FA4CBD" w:rsidRDefault="005F644B">
      <w:pPr>
        <w:spacing w:after="80" w:line="240" w:lineRule="auto"/>
        <w:ind w:left="432" w:hanging="432"/>
      </w:pPr>
      <w:r>
        <w:rPr>
          <w:sz w:val="19"/>
        </w:rPr>
        <w:t xml:space="preserve">Said, Y., Alsheikhy, A. A., Lahza, H., &amp; Shawly, T. (2024). Detecting phishing websites through improving convolutional neural networks with self-attention mechanism. </w:t>
      </w:r>
      <w:r>
        <w:rPr>
          <w:i/>
          <w:sz w:val="19"/>
        </w:rPr>
        <w:t>Ain Shams Engineering Journal</w:t>
      </w:r>
      <w:r>
        <w:rPr>
          <w:sz w:val="19"/>
        </w:rPr>
        <w:t xml:space="preserve">, </w:t>
      </w:r>
      <w:r>
        <w:rPr>
          <w:i/>
          <w:sz w:val="19"/>
        </w:rPr>
        <w:t>15</w:t>
      </w:r>
      <w:r>
        <w:rPr>
          <w:sz w:val="19"/>
        </w:rPr>
        <w:t xml:space="preserve">(4), Article 102643. </w:t>
      </w:r>
      <w:r>
        <w:rPr>
          <w:color w:val="0563C1"/>
          <w:sz w:val="19"/>
          <w:szCs w:val="19"/>
          <w:u w:val="single"/>
        </w:rPr>
        <w:t>https://doi.org/10.1016/j.asej.2024.102643</w:t>
      </w:r>
    </w:p>
    <w:p w14:paraId="25106D2F" w14:textId="5EBB5046" w:rsidR="00FA4CBD" w:rsidRDefault="005F644B">
      <w:pPr>
        <w:spacing w:after="80" w:line="240" w:lineRule="auto"/>
        <w:ind w:left="432" w:hanging="432"/>
      </w:pPr>
      <w:r>
        <w:rPr>
          <w:sz w:val="19"/>
        </w:rPr>
        <w:t xml:space="preserve">Shafin, S. S. (2025). An explainable feature selection framework for web phishing detection with machine learning. </w:t>
      </w:r>
      <w:r>
        <w:rPr>
          <w:i/>
          <w:sz w:val="19"/>
        </w:rPr>
        <w:t>Data Science and Management</w:t>
      </w:r>
      <w:r>
        <w:rPr>
          <w:sz w:val="19"/>
        </w:rPr>
        <w:t xml:space="preserve">, </w:t>
      </w:r>
      <w:r>
        <w:rPr>
          <w:i/>
          <w:sz w:val="19"/>
        </w:rPr>
        <w:t>8</w:t>
      </w:r>
      <w:r>
        <w:rPr>
          <w:sz w:val="19"/>
        </w:rPr>
        <w:t xml:space="preserve">(2), 127–136. </w:t>
      </w:r>
      <w:r>
        <w:rPr>
          <w:color w:val="0563C1"/>
          <w:sz w:val="19"/>
          <w:szCs w:val="19"/>
          <w:u w:val="single"/>
        </w:rPr>
        <w:t>https://doi.org/10.1016/j.dsm.2024.08.004</w:t>
      </w:r>
    </w:p>
    <w:p w14:paraId="02395C93" w14:textId="4B8FF5B8" w:rsidR="00FA4CBD" w:rsidRDefault="005F644B">
      <w:pPr>
        <w:spacing w:after="80" w:line="240" w:lineRule="auto"/>
        <w:ind w:left="432" w:hanging="432"/>
      </w:pPr>
      <w:r>
        <w:rPr>
          <w:sz w:val="19"/>
        </w:rPr>
        <w:t xml:space="preserve">Tang, L., &amp; Mahmoud, Q. H. (2021). A survey of machine learning-based solutions for phishing website detection. </w:t>
      </w:r>
      <w:r>
        <w:rPr>
          <w:i/>
          <w:sz w:val="19"/>
        </w:rPr>
        <w:t>Machine Learning and Knowledge Extraction</w:t>
      </w:r>
      <w:r>
        <w:rPr>
          <w:sz w:val="19"/>
        </w:rPr>
        <w:t xml:space="preserve">, </w:t>
      </w:r>
      <w:r>
        <w:rPr>
          <w:i/>
          <w:sz w:val="19"/>
        </w:rPr>
        <w:t>3</w:t>
      </w:r>
      <w:r>
        <w:rPr>
          <w:sz w:val="19"/>
        </w:rPr>
        <w:t xml:space="preserve">(3), 672–694. </w:t>
      </w:r>
      <w:r>
        <w:rPr>
          <w:color w:val="0563C1"/>
          <w:sz w:val="19"/>
          <w:szCs w:val="19"/>
          <w:u w:val="single"/>
        </w:rPr>
        <w:t>https://doi.org/10.3390/make3030034</w:t>
      </w:r>
    </w:p>
    <w:p w14:paraId="6DA1253A" w14:textId="6047F0BA" w:rsidR="00FA4CBD" w:rsidRDefault="005F644B">
      <w:pPr>
        <w:spacing w:after="80" w:line="240" w:lineRule="auto"/>
        <w:ind w:left="432" w:hanging="432"/>
      </w:pPr>
      <w:r>
        <w:rPr>
          <w:sz w:val="19"/>
        </w:rPr>
        <w:t xml:space="preserve">Tang, L., &amp; Mahmoud, Q. H. (2022). A deep learning-based framework for phishing website detection. </w:t>
      </w:r>
      <w:r>
        <w:rPr>
          <w:i/>
          <w:sz w:val="19"/>
        </w:rPr>
        <w:t>IEEE Access</w:t>
      </w:r>
      <w:r>
        <w:rPr>
          <w:sz w:val="19"/>
        </w:rPr>
        <w:t xml:space="preserve">, </w:t>
      </w:r>
      <w:r>
        <w:rPr>
          <w:i/>
          <w:sz w:val="19"/>
        </w:rPr>
        <w:t>10</w:t>
      </w:r>
      <w:r>
        <w:rPr>
          <w:sz w:val="19"/>
        </w:rPr>
        <w:t xml:space="preserve">, 1509–1521. </w:t>
      </w:r>
      <w:r>
        <w:rPr>
          <w:color w:val="0563C1"/>
          <w:sz w:val="19"/>
          <w:szCs w:val="19"/>
          <w:u w:val="single"/>
        </w:rPr>
        <w:t>https://doi.org/10.1109/ACCESS.2021.3137636</w:t>
      </w:r>
    </w:p>
    <w:p w14:paraId="5A1E1A42" w14:textId="1E81258C" w:rsidR="00FA4CBD" w:rsidRDefault="005F644B">
      <w:pPr>
        <w:spacing w:after="80" w:line="240" w:lineRule="auto"/>
        <w:ind w:left="432" w:hanging="432"/>
      </w:pPr>
      <w:r>
        <w:rPr>
          <w:sz w:val="19"/>
        </w:rPr>
        <w:t xml:space="preserve">Uddin, K. M. M., Biswas, N., Rikta, S. T., Nur-A-Alam, M., &amp; Mostafiz, R. (2025). Explainable machine learning for phishing site detection: A high-efficiency approach using boosting models and SHAP. </w:t>
      </w:r>
      <w:r>
        <w:rPr>
          <w:i/>
          <w:sz w:val="19"/>
        </w:rPr>
        <w:t>The Journal of Engineering</w:t>
      </w:r>
      <w:r>
        <w:rPr>
          <w:sz w:val="19"/>
        </w:rPr>
        <w:t xml:space="preserve">, </w:t>
      </w:r>
      <w:r>
        <w:rPr>
          <w:i/>
          <w:sz w:val="19"/>
        </w:rPr>
        <w:t>2025</w:t>
      </w:r>
      <w:r>
        <w:rPr>
          <w:sz w:val="19"/>
        </w:rPr>
        <w:t xml:space="preserve">(1), Article e70110. </w:t>
      </w:r>
      <w:r>
        <w:rPr>
          <w:color w:val="0563C1"/>
          <w:sz w:val="19"/>
          <w:szCs w:val="19"/>
          <w:u w:val="single"/>
        </w:rPr>
        <w:t>https://doi.org/10.1049/tje2.70110</w:t>
      </w:r>
    </w:p>
    <w:p w14:paraId="4FE22E04" w14:textId="06CAE25C" w:rsidR="00FA4CBD" w:rsidRDefault="005F644B">
      <w:pPr>
        <w:spacing w:after="80" w:line="240" w:lineRule="auto"/>
        <w:ind w:left="432" w:hanging="432"/>
      </w:pPr>
      <w:r>
        <w:rPr>
          <w:sz w:val="19"/>
        </w:rPr>
        <w:t xml:space="preserve">Wang, M., Song, L., Li, L., Zhu, Y., &amp; Li, J. (2024). Phishing webpage detection based on global and local visual similarity. </w:t>
      </w:r>
      <w:r>
        <w:rPr>
          <w:i/>
          <w:sz w:val="19"/>
        </w:rPr>
        <w:t>Expert Systems with Applications</w:t>
      </w:r>
      <w:r>
        <w:rPr>
          <w:sz w:val="19"/>
        </w:rPr>
        <w:t xml:space="preserve">, </w:t>
      </w:r>
      <w:r>
        <w:rPr>
          <w:i/>
          <w:sz w:val="19"/>
        </w:rPr>
        <w:t>252</w:t>
      </w:r>
      <w:r>
        <w:rPr>
          <w:sz w:val="19"/>
        </w:rPr>
        <w:t xml:space="preserve">, Article 124120. </w:t>
      </w:r>
      <w:r>
        <w:rPr>
          <w:color w:val="0563C1"/>
          <w:sz w:val="19"/>
          <w:szCs w:val="19"/>
          <w:u w:val="single"/>
        </w:rPr>
        <w:t>https://doi.org/10.1016/j.eswa.2024.124120</w:t>
      </w:r>
    </w:p>
    <w:p w14:paraId="330C39B4" w14:textId="080EA0BB" w:rsidR="00FA4CBD" w:rsidRDefault="005F644B">
      <w:pPr>
        <w:spacing w:after="80" w:line="240" w:lineRule="auto"/>
        <w:ind w:left="432" w:hanging="432"/>
      </w:pPr>
      <w:r>
        <w:rPr>
          <w:sz w:val="19"/>
        </w:rPr>
        <w:t xml:space="preserve">Wei, W., Ke, Q., Nowak, J., Korytkowski, M., Scherer, R., &amp; Woźniak, M. (2020). Accurate and fast URL phishing detector: A convolutional neural network approach. </w:t>
      </w:r>
      <w:r>
        <w:rPr>
          <w:i/>
          <w:sz w:val="19"/>
        </w:rPr>
        <w:t>Computer Networks</w:t>
      </w:r>
      <w:r>
        <w:rPr>
          <w:sz w:val="19"/>
        </w:rPr>
        <w:t xml:space="preserve">, </w:t>
      </w:r>
      <w:r>
        <w:rPr>
          <w:i/>
          <w:sz w:val="19"/>
        </w:rPr>
        <w:t>178</w:t>
      </w:r>
      <w:r>
        <w:rPr>
          <w:sz w:val="19"/>
        </w:rPr>
        <w:t xml:space="preserve">, Article 107275. </w:t>
      </w:r>
      <w:r>
        <w:rPr>
          <w:color w:val="0563C1"/>
          <w:sz w:val="19"/>
          <w:szCs w:val="19"/>
          <w:u w:val="single"/>
        </w:rPr>
        <w:t>https://doi.org/10.1016/j.comnet.2020.107275</w:t>
      </w:r>
    </w:p>
    <w:p w14:paraId="770E7798" w14:textId="6FC6B38D" w:rsidR="00FA4CBD" w:rsidRDefault="005F644B">
      <w:pPr>
        <w:spacing w:after="80" w:line="240" w:lineRule="auto"/>
        <w:ind w:left="432" w:hanging="432"/>
      </w:pPr>
      <w:r>
        <w:rPr>
          <w:sz w:val="19"/>
        </w:rPr>
        <w:lastRenderedPageBreak/>
        <w:t xml:space="preserve">Xiang, G., Hong, J., Rose, C. P., &amp; Cranor, L. F. (2011). CANTINA+: A feature-rich machine learning framework for detecting phishing web sites. </w:t>
      </w:r>
      <w:r>
        <w:rPr>
          <w:i/>
          <w:sz w:val="19"/>
        </w:rPr>
        <w:t>ACM Transactions on Information and System Security</w:t>
      </w:r>
      <w:r>
        <w:rPr>
          <w:sz w:val="19"/>
        </w:rPr>
        <w:t xml:space="preserve">, </w:t>
      </w:r>
      <w:r>
        <w:rPr>
          <w:i/>
          <w:sz w:val="19"/>
        </w:rPr>
        <w:t>14</w:t>
      </w:r>
      <w:r>
        <w:rPr>
          <w:sz w:val="19"/>
        </w:rPr>
        <w:t xml:space="preserve">(2), Article 21, 1–28. </w:t>
      </w:r>
      <w:r>
        <w:rPr>
          <w:color w:val="0563C1"/>
          <w:sz w:val="19"/>
          <w:szCs w:val="19"/>
          <w:u w:val="single"/>
        </w:rPr>
        <w:t>https://doi.org/10.1145/2019599.2019606</w:t>
      </w:r>
    </w:p>
    <w:p w14:paraId="010EEDD2" w14:textId="168FBD7B" w:rsidR="00FA4CBD" w:rsidRDefault="005F644B">
      <w:pPr>
        <w:spacing w:after="80" w:line="240" w:lineRule="auto"/>
        <w:ind w:left="432" w:hanging="432"/>
      </w:pPr>
      <w:r>
        <w:rPr>
          <w:sz w:val="19"/>
        </w:rPr>
        <w:t xml:space="preserve">Xie, L., Zhang, H., Yang, H., Hu, Z., &amp; Cheng, X. (2025). A scalable phishing website detection model based on dual-branch TCN and mask attention. </w:t>
      </w:r>
      <w:r>
        <w:rPr>
          <w:i/>
          <w:sz w:val="19"/>
        </w:rPr>
        <w:t>Computer Networks</w:t>
      </w:r>
      <w:r>
        <w:rPr>
          <w:sz w:val="19"/>
        </w:rPr>
        <w:t xml:space="preserve">, </w:t>
      </w:r>
      <w:r>
        <w:rPr>
          <w:i/>
          <w:sz w:val="19"/>
        </w:rPr>
        <w:t>263</w:t>
      </w:r>
      <w:r>
        <w:rPr>
          <w:sz w:val="19"/>
        </w:rPr>
        <w:t xml:space="preserve">, Article 111230. </w:t>
      </w:r>
      <w:r>
        <w:rPr>
          <w:color w:val="0563C1"/>
          <w:sz w:val="19"/>
          <w:szCs w:val="19"/>
          <w:u w:val="single"/>
        </w:rPr>
        <w:t>https://doi.org/10.1016/j.comnet.2025.111230</w:t>
      </w:r>
    </w:p>
    <w:p w14:paraId="34C63E79" w14:textId="2178EBD9" w:rsidR="00FA4CBD" w:rsidRDefault="005F644B">
      <w:pPr>
        <w:spacing w:after="80" w:line="240" w:lineRule="auto"/>
        <w:ind w:left="432" w:hanging="432"/>
      </w:pPr>
      <w:r>
        <w:rPr>
          <w:sz w:val="19"/>
        </w:rPr>
        <w:t xml:space="preserve">Yang, P., Zhao, G., &amp; Zeng, P. (2019). Phishing website detection based on multidimensional features driven by deep learning. </w:t>
      </w:r>
      <w:r>
        <w:rPr>
          <w:i/>
          <w:sz w:val="19"/>
        </w:rPr>
        <w:t>IEEE Access</w:t>
      </w:r>
      <w:r>
        <w:rPr>
          <w:sz w:val="19"/>
        </w:rPr>
        <w:t xml:space="preserve">, </w:t>
      </w:r>
      <w:r>
        <w:rPr>
          <w:i/>
          <w:sz w:val="19"/>
        </w:rPr>
        <w:t>7</w:t>
      </w:r>
      <w:r>
        <w:rPr>
          <w:sz w:val="19"/>
        </w:rPr>
        <w:t xml:space="preserve">, 15196–15209. </w:t>
      </w:r>
      <w:r>
        <w:rPr>
          <w:color w:val="0563C1"/>
          <w:sz w:val="19"/>
          <w:szCs w:val="19"/>
          <w:u w:val="single"/>
        </w:rPr>
        <w:t>https://doi.org/10.1109/ACCESS.2019.2892066</w:t>
      </w:r>
    </w:p>
    <w:p w14:paraId="34576FBE" w14:textId="63A51221" w:rsidR="00FA4CBD" w:rsidRDefault="005F644B">
      <w:pPr>
        <w:spacing w:after="80" w:line="240" w:lineRule="auto"/>
        <w:ind w:left="432" w:hanging="432"/>
      </w:pPr>
      <w:r>
        <w:rPr>
          <w:sz w:val="19"/>
        </w:rPr>
        <w:t xml:space="preserve">Yang, R., Zheng, K., Wu, B., Wu, C., &amp; Wang, X. (2021). Phishing website detection based on deep convolutional neural network and random forest ensemble learning. </w:t>
      </w:r>
      <w:r>
        <w:rPr>
          <w:i/>
          <w:sz w:val="19"/>
        </w:rPr>
        <w:t>Sensors</w:t>
      </w:r>
      <w:r>
        <w:rPr>
          <w:sz w:val="19"/>
        </w:rPr>
        <w:t xml:space="preserve">, </w:t>
      </w:r>
      <w:r>
        <w:rPr>
          <w:i/>
          <w:sz w:val="19"/>
        </w:rPr>
        <w:t>21</w:t>
      </w:r>
      <w:r>
        <w:rPr>
          <w:sz w:val="19"/>
        </w:rPr>
        <w:t xml:space="preserve">(24), Article 8281. </w:t>
      </w:r>
      <w:r>
        <w:rPr>
          <w:color w:val="0563C1"/>
          <w:sz w:val="19"/>
          <w:szCs w:val="19"/>
          <w:u w:val="single"/>
        </w:rPr>
        <w:t>https://doi.org/10.3390/s21248281</w:t>
      </w:r>
    </w:p>
    <w:sectPr w:rsidR="00FA4CBD" w:rsidSect="00034616">
      <w:headerReference w:type="even" r:id="rId8"/>
      <w:headerReference w:type="default" r:id="rId9"/>
      <w:footerReference w:type="even" r:id="rId10"/>
      <w:footerReference w:type="default" r:id="rId11"/>
      <w:headerReference w:type="first" r:id="rId12"/>
      <w:footerReference w:type="first" r:id="rId13"/>
      <w:pgSz w:w="12240" w:h="15840"/>
      <w:pgMar w:top="1123" w:right="1152" w:bottom="1037" w:left="1152"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99519" w14:textId="77777777" w:rsidR="005117B5" w:rsidRDefault="005117B5">
      <w:pPr>
        <w:spacing w:after="0" w:line="240" w:lineRule="auto"/>
      </w:pPr>
      <w:r>
        <w:separator/>
      </w:r>
    </w:p>
  </w:endnote>
  <w:endnote w:type="continuationSeparator" w:id="0">
    <w:p w14:paraId="2C3CBF82" w14:textId="77777777" w:rsidR="005117B5" w:rsidRDefault="00511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74B03" w14:textId="77777777" w:rsidR="00140A79" w:rsidRDefault="00140A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14A4" w14:textId="77777777" w:rsidR="00FA4CBD" w:rsidRDefault="005F644B">
    <w:pPr>
      <w:pStyle w:val="Footer"/>
      <w:jc w:val="center"/>
    </w:pPr>
    <w:r>
      <w:fldChar w:fldCharType="begin"/>
    </w:r>
    <w:r>
      <w:instrText xml:space="preserve"> PAGE </w:instrText>
    </w:r>
    <w:r>
      <w:fldChar w:fldCharType="separate"/>
    </w:r>
    <w:r w:rsidR="00230BAC">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D3D1C" w14:textId="77777777" w:rsidR="00140A79" w:rsidRDefault="00140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4BA9F" w14:textId="77777777" w:rsidR="005117B5" w:rsidRDefault="005117B5">
      <w:pPr>
        <w:spacing w:after="0" w:line="240" w:lineRule="auto"/>
      </w:pPr>
      <w:r>
        <w:separator/>
      </w:r>
    </w:p>
  </w:footnote>
  <w:footnote w:type="continuationSeparator" w:id="0">
    <w:p w14:paraId="77BAAB97" w14:textId="77777777" w:rsidR="005117B5" w:rsidRDefault="005117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FB39" w14:textId="107C3A63" w:rsidR="00140A79" w:rsidRDefault="00140A79">
    <w:pPr>
      <w:pStyle w:val="Header"/>
    </w:pPr>
    <w:r>
      <w:rPr>
        <w:noProof/>
      </w:rPr>
      <w:pict w14:anchorId="4C0FAD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986969"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72809" w14:textId="363505B7" w:rsidR="00140A79" w:rsidRDefault="00140A79">
    <w:pPr>
      <w:pStyle w:val="Header"/>
    </w:pPr>
    <w:r>
      <w:rPr>
        <w:noProof/>
      </w:rPr>
      <w:pict w14:anchorId="44DEE6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986970" o:spid="_x0000_s1027" type="#_x0000_t136" style="position:absolute;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4199" w14:textId="19060088" w:rsidR="00140A79" w:rsidRDefault="00140A79">
    <w:pPr>
      <w:pStyle w:val="Header"/>
    </w:pPr>
    <w:r>
      <w:rPr>
        <w:noProof/>
      </w:rPr>
      <w:pict w14:anchorId="3BF3F4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4986968"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6348104">
    <w:abstractNumId w:val="8"/>
  </w:num>
  <w:num w:numId="2" w16cid:durableId="273094182">
    <w:abstractNumId w:val="6"/>
  </w:num>
  <w:num w:numId="3" w16cid:durableId="2072389248">
    <w:abstractNumId w:val="5"/>
  </w:num>
  <w:num w:numId="4" w16cid:durableId="1768232250">
    <w:abstractNumId w:val="4"/>
  </w:num>
  <w:num w:numId="5" w16cid:durableId="518471805">
    <w:abstractNumId w:val="7"/>
  </w:num>
  <w:num w:numId="6" w16cid:durableId="901251135">
    <w:abstractNumId w:val="3"/>
  </w:num>
  <w:num w:numId="7" w16cid:durableId="1462109367">
    <w:abstractNumId w:val="2"/>
  </w:num>
  <w:num w:numId="8" w16cid:durableId="443117117">
    <w:abstractNumId w:val="1"/>
  </w:num>
  <w:num w:numId="9" w16cid:durableId="1857814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417A"/>
    <w:rsid w:val="00140A79"/>
    <w:rsid w:val="0015074B"/>
    <w:rsid w:val="00230BAC"/>
    <w:rsid w:val="0029639D"/>
    <w:rsid w:val="00326F90"/>
    <w:rsid w:val="004A2FD4"/>
    <w:rsid w:val="005117B5"/>
    <w:rsid w:val="005F644B"/>
    <w:rsid w:val="008F1AE5"/>
    <w:rsid w:val="00AA1D8D"/>
    <w:rsid w:val="00B47730"/>
    <w:rsid w:val="00CB0664"/>
    <w:rsid w:val="00E627B7"/>
    <w:rsid w:val="00FA4C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4E875B"/>
  <w14:defaultImageDpi w14:val="300"/>
  <w15:docId w15:val="{2E7E25D9-F3F9-49BD-A0BA-9AB3D2F57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365F91" w:themeColor="accent1" w:themeShade="BF"/>
      <w:sz w:val="27"/>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120" w:after="60"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6062C-1D59-4280-95E0-5E4605B3F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14127</Words>
  <Characters>80528</Characters>
  <Application>Microsoft Office Word</Application>
  <DocSecurity>0</DocSecurity>
  <Lines>671</Lines>
  <Paragraphs>188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Web-Based Phishing Detection in the Era of Explainable and Generative AI: A Critical Narrative Review of Machine Learning, Deep Learning, Explainable AI and Large Language Models</dc:title>
  <dc:subject>Critical narrative review of web-based phishing detection techniques</dc:subject>
  <dc:creator/>
  <cp:keywords>phishing detection; machine learning; deep learning; explainable AI; large language models</cp:keywords>
  <dc:description>generated by python-docx</dc:description>
  <cp:lastModifiedBy>SDI 1166</cp:lastModifiedBy>
  <cp:revision>5</cp:revision>
  <dcterms:created xsi:type="dcterms:W3CDTF">2013-12-23T23:15:00Z</dcterms:created>
  <dcterms:modified xsi:type="dcterms:W3CDTF">2026-08-10T12:36:00Z</dcterms:modified>
  <cp:category/>
</cp:coreProperties>
</file>