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E93DB69" w14:textId="77777777" w:rsidR="007213F2" w:rsidRDefault="001E289B">
      <w:pPr>
        <w:spacing w:after="360"/>
        <w:rPr>
          <w:b/>
          <w:bCs/>
          <w:sz w:val="30"/>
          <w:szCs w:val="30"/>
        </w:rPr>
      </w:pPr>
      <w:proofErr w:type="spellStart"/>
      <w:r>
        <w:rPr>
          <w:b/>
          <w:bCs/>
          <w:sz w:val="30"/>
          <w:szCs w:val="30"/>
        </w:rPr>
        <w:t>Agro</w:t>
      </w:r>
      <w:proofErr w:type="spellEnd"/>
      <w:r>
        <w:rPr>
          <w:b/>
          <w:bCs/>
          <w:sz w:val="30"/>
          <w:szCs w:val="30"/>
        </w:rPr>
        <w:t>-ecological suitability, yield performance and production prospects of mung bean (</w:t>
      </w:r>
      <w:r>
        <w:rPr>
          <w:b/>
          <w:bCs/>
          <w:i/>
          <w:iCs/>
          <w:sz w:val="30"/>
          <w:szCs w:val="30"/>
        </w:rPr>
        <w:t>Vigna radiata</w:t>
      </w:r>
      <w:r>
        <w:rPr>
          <w:b/>
          <w:bCs/>
          <w:sz w:val="30"/>
          <w:szCs w:val="30"/>
        </w:rPr>
        <w:t>) in Nigeria: a critical appraisal of the agronomic evidence base</w:t>
      </w:r>
    </w:p>
    <w:p w14:paraId="506997C2" w14:textId="77777777" w:rsidR="00706430" w:rsidRDefault="00706430">
      <w:pPr>
        <w:spacing w:after="360"/>
      </w:pPr>
    </w:p>
    <w:p w14:paraId="0955414F" w14:textId="77777777" w:rsidR="007213F2" w:rsidRDefault="001E289B">
      <w:pPr>
        <w:pStyle w:val="Heading1"/>
        <w:spacing w:before="320" w:after="140"/>
      </w:pPr>
      <w:r>
        <w:rPr>
          <w:b/>
          <w:bCs/>
          <w:color w:val="000000"/>
          <w:sz w:val="24"/>
          <w:szCs w:val="24"/>
        </w:rPr>
        <w:t>Abstract</w:t>
      </w:r>
    </w:p>
    <w:p w14:paraId="26B73869" w14:textId="77777777" w:rsidR="007213F2" w:rsidRDefault="001E289B">
      <w:pPr>
        <w:spacing w:after="160" w:line="300" w:lineRule="auto"/>
        <w:jc w:val="both"/>
      </w:pPr>
      <w:r>
        <w:t>Mung bean [</w:t>
      </w:r>
      <w:r>
        <w:rPr>
          <w:i/>
          <w:iCs/>
        </w:rPr>
        <w:t>Vigna radiata</w:t>
      </w:r>
      <w:r>
        <w:t xml:space="preserve"> (L.) R. Wilczek] is promoted across sub-Saharan Africa as a short-duration, low-input grain legume capable of diversifying cereal-dominated cropping systems and improving dietary protein and micronutrient supply. In Nigeria, interest has grown rapidly over the past fifteen years, yet the crop has no released national variety, is largely absent from official agricultural statistics, and remains supported by a research literature that has never been critically appraised as a whole. This review evaluates the strength, consistency and methodological quality of the evidence bearing on three linked questions: whether Nigerian </w:t>
      </w:r>
      <w:proofErr w:type="spellStart"/>
      <w:r>
        <w:t>agro</w:t>
      </w:r>
      <w:proofErr w:type="spellEnd"/>
      <w:r>
        <w:t>-ecologies are genuinely suited to mung bean, what yields the crop has actually achieved in Nigerian trials, and what can defensibly be inferred about production prospects. Peer-reviewed studies were identified through structured searching of open scholarly indexes and African journal platforms, supplemented by citation tracking, and were appraised for design adequacy, environmental representativeness and analytical transparency. Reported seed yields in Nigerian trials span roughly half an order of magnitude, from figures below one tonne per hectare in humid southern locations to values above two tonnes per hectare under partially shaded conditions in the derived savanna. Genotype by environment interaction is consistently large, heritability for seed yield is consistently low, and repeatability across seasons is rarely demonstrated. The evidence is strongest for the claim that adapted germplasm exists and that early maturity can be selected reliably; it is weakest for claims about drought tolerance, rotational nitrogen benefits, pest and disease pressure, and economic viability, none of which has been tested adequately in Nigeria. The geographical distribution of trials is inverted relative to the crop's presumed comparative advantage, with the semi-arid north almost unstudied. Confidence in current suitability claims is therefore limited less by the direction of the findings than by the narrowness, short duration and analytical heterogeneity of the underlying experiments. Priorities include multi-year testing along the northern aridity gradient, standardised yield reporting, quantification of nitrogen fixation and rotational effects, and integration of the crop into national statistical and seed systems.</w:t>
      </w:r>
    </w:p>
    <w:p w14:paraId="5DFBDD46" w14:textId="77777777" w:rsidR="007213F2" w:rsidRDefault="001E289B">
      <w:pPr>
        <w:pStyle w:val="Heading1"/>
        <w:spacing w:before="320" w:after="140"/>
      </w:pPr>
      <w:r>
        <w:rPr>
          <w:b/>
          <w:bCs/>
          <w:color w:val="000000"/>
          <w:sz w:val="24"/>
          <w:szCs w:val="24"/>
        </w:rPr>
        <w:t>Keywords</w:t>
      </w:r>
    </w:p>
    <w:p w14:paraId="2264AB0F" w14:textId="77777777" w:rsidR="007213F2" w:rsidRDefault="001E289B">
      <w:pPr>
        <w:spacing w:after="160" w:line="300" w:lineRule="auto"/>
        <w:jc w:val="both"/>
      </w:pPr>
      <w:r>
        <w:rPr>
          <w:i/>
          <w:iCs/>
        </w:rPr>
        <w:t>Vigna radiata</w:t>
      </w:r>
      <w:r>
        <w:t xml:space="preserve">; </w:t>
      </w:r>
      <w:proofErr w:type="spellStart"/>
      <w:r>
        <w:t>agro</w:t>
      </w:r>
      <w:proofErr w:type="spellEnd"/>
      <w:r>
        <w:t>-ecological zones; genotype by environment interaction; grain legume; Nigeria; underutilised crops; yield variability</w:t>
      </w:r>
    </w:p>
    <w:p w14:paraId="0B03361E" w14:textId="77777777" w:rsidR="007213F2" w:rsidRDefault="001E289B">
      <w:pPr>
        <w:pStyle w:val="Heading1"/>
        <w:spacing w:before="320" w:after="140"/>
      </w:pPr>
      <w:r>
        <w:rPr>
          <w:b/>
          <w:bCs/>
          <w:color w:val="000000"/>
          <w:sz w:val="24"/>
          <w:szCs w:val="24"/>
        </w:rPr>
        <w:t>1. Introduction</w:t>
      </w:r>
    </w:p>
    <w:p w14:paraId="153FE44F" w14:textId="77777777" w:rsidR="007213F2" w:rsidRDefault="001E289B">
      <w:pPr>
        <w:spacing w:after="160" w:line="300" w:lineRule="auto"/>
        <w:jc w:val="both"/>
      </w:pPr>
      <w:r>
        <w:t>Grain legumes occupy a structurally important position in Nigerian agriculture. They supply a substantial share of dietary protein in a food system dominated by cereals and roots, they contribute nitrogen to soils that are widely depleted, and they generate cash income from relatively small areas of land. Cowpea [</w:t>
      </w:r>
      <w:r>
        <w:rPr>
          <w:i/>
          <w:iCs/>
        </w:rPr>
        <w:t>Vigna unguiculata</w:t>
      </w:r>
      <w:r>
        <w:t xml:space="preserve"> (L.) Walp.] and, more recently, soybean [</w:t>
      </w:r>
      <w:r>
        <w:rPr>
          <w:i/>
          <w:iCs/>
        </w:rPr>
        <w:t>Glycine max</w:t>
      </w:r>
      <w:r>
        <w:t xml:space="preserve"> (L.) </w:t>
      </w:r>
      <w:proofErr w:type="spellStart"/>
      <w:r>
        <w:t>Merr</w:t>
      </w:r>
      <w:proofErr w:type="spellEnd"/>
      <w:r>
        <w:t>.] have absorbed most of the research and extension investment devoted to this group of crops. Both have well-characterised varietal portfolios, published response functions to sowing date and plant density, and calibrated simulation models capable of extrapolating performance across environments (</w:t>
      </w:r>
      <w:proofErr w:type="spellStart"/>
      <w:r>
        <w:t>Bebeley</w:t>
      </w:r>
      <w:proofErr w:type="spellEnd"/>
      <w:r>
        <w:t xml:space="preserve"> et al., 2025; Kamara et al., 2025; Popoola et al., 2024). Neither, however, matures quickly enough to occupy the short residual moisture </w:t>
      </w:r>
      <w:r>
        <w:lastRenderedPageBreak/>
        <w:t>windows that occur at the beginning and end of the Nigerian rainy season, and both are vulnerable to the same suite of pests that limits legume productivity across the West African savanna.</w:t>
      </w:r>
    </w:p>
    <w:p w14:paraId="4F266225" w14:textId="77777777" w:rsidR="007213F2" w:rsidRDefault="001E289B">
      <w:pPr>
        <w:spacing w:after="160" w:line="300" w:lineRule="auto"/>
        <w:jc w:val="both"/>
      </w:pPr>
      <w:r>
        <w:t>Mung bean [</w:t>
      </w:r>
      <w:r>
        <w:rPr>
          <w:i/>
          <w:iCs/>
        </w:rPr>
        <w:t>Vigna radiata</w:t>
      </w:r>
      <w:r>
        <w:t xml:space="preserve"> (L.) R. Wilczek], a species of Asian origin cultivated principally for its dry seed and sprouts, has been proposed as a complement to this portfolio. The agronomic argument rests on a small number of traits: a life cycle that can be completed in sixty to eighty days, modest fertiliser requirements, an ability to fix atmospheric nitrogen, tolerance of high temperature during vegetative growth, and a seed composition rich in protein and readily absorbed minerals (Dahiya et al., 2015; Nair et al., 2019). Where these traits have been exploited systematically, as in South and Southeast Asia and more recently in East Africa, mung bean has functioned as a catch crop between cereal seasons rather than as a primary crop, and its value has derived from occupying time rather than land (</w:t>
      </w:r>
      <w:proofErr w:type="spellStart"/>
      <w:r>
        <w:t>Sequeros</w:t>
      </w:r>
      <w:proofErr w:type="spellEnd"/>
      <w:r>
        <w:t xml:space="preserve"> et al., 2021).</w:t>
      </w:r>
    </w:p>
    <w:p w14:paraId="0E900F2B" w14:textId="77777777" w:rsidR="007213F2" w:rsidRDefault="001E289B">
      <w:pPr>
        <w:spacing w:after="160" w:line="300" w:lineRule="auto"/>
        <w:jc w:val="both"/>
      </w:pPr>
      <w:r>
        <w:t xml:space="preserve">The African literature on mung bean has expanded considerably since 2015, but its centre of gravity lies in East Africa. Adoption studies, varietal release programmes and value-chain analyses have concentrated on Kenya, Tanzania, Uganda and Ethiopia, where the crop entered formal seed systems and, in Ethiopia, an organised commodity exchange (Baraki et al., 2020; </w:t>
      </w:r>
      <w:proofErr w:type="spellStart"/>
      <w:r>
        <w:t>Mmbando</w:t>
      </w:r>
      <w:proofErr w:type="spellEnd"/>
      <w:r>
        <w:t xml:space="preserve"> et al., 2021; </w:t>
      </w:r>
      <w:proofErr w:type="spellStart"/>
      <w:r>
        <w:t>Sequeros</w:t>
      </w:r>
      <w:proofErr w:type="spellEnd"/>
      <w:r>
        <w:t xml:space="preserve"> et al., 2021). West Africa is largely absent from these accounts. The most comprehensive multi-country survey of mung bean varieties, practices and constraints covers Southeast Asia and East Africa and does not include any West African country (</w:t>
      </w:r>
      <w:proofErr w:type="spellStart"/>
      <w:r>
        <w:t>Sequeros</w:t>
      </w:r>
      <w:proofErr w:type="spellEnd"/>
      <w:r>
        <w:t xml:space="preserve"> et al., 2021), and continent-wide reviews of underutilised African legumes treat mung bean briefly, if at all, alongside indigenous species such as </w:t>
      </w:r>
      <w:proofErr w:type="spellStart"/>
      <w:r>
        <w:t>bambara</w:t>
      </w:r>
      <w:proofErr w:type="spellEnd"/>
      <w:r>
        <w:t xml:space="preserve"> groundnut and African yam bean (Odeku et al., 2024; Popoola et al., 2023). The result is that policy statements about mung bean in Nigeria have tended to import evidence generated in environments with different rainfall distributions, different soil constraints, different pest complexes and different market structures.</w:t>
      </w:r>
    </w:p>
    <w:p w14:paraId="47A2A369" w14:textId="77777777" w:rsidR="007213F2" w:rsidRDefault="001E289B">
      <w:pPr>
        <w:spacing w:after="160" w:line="300" w:lineRule="auto"/>
        <w:jc w:val="both"/>
      </w:pPr>
      <w:r>
        <w:t>Nigerian primary research on the species does exist and has accumulated steadily. Introductions were evaluated in the lowland rainforest of the south-east from the late 2000s (</w:t>
      </w:r>
      <w:proofErr w:type="spellStart"/>
      <w:r>
        <w:t>Ngwuta</w:t>
      </w:r>
      <w:proofErr w:type="spellEnd"/>
      <w:r>
        <w:t xml:space="preserve"> et al., 2011), phenological studies were conducted in the sub-humid savanna at about the same time (</w:t>
      </w:r>
      <w:proofErr w:type="spellStart"/>
      <w:r>
        <w:t>Avav</w:t>
      </w:r>
      <w:proofErr w:type="spellEnd"/>
      <w:r>
        <w:t xml:space="preserve"> &amp; </w:t>
      </w:r>
      <w:proofErr w:type="spellStart"/>
      <w:r>
        <w:t>Ugese</w:t>
      </w:r>
      <w:proofErr w:type="spellEnd"/>
      <w:r>
        <w:t xml:space="preserve">, 2009; </w:t>
      </w:r>
      <w:proofErr w:type="spellStart"/>
      <w:r>
        <w:t>Ugese</w:t>
      </w:r>
      <w:proofErr w:type="spellEnd"/>
      <w:r>
        <w:t xml:space="preserve"> &amp; Labe, 2006), and multi-environment selection trials in the south-west followed a decade later (</w:t>
      </w:r>
      <w:proofErr w:type="spellStart"/>
      <w:r>
        <w:t>Akinyosoye</w:t>
      </w:r>
      <w:proofErr w:type="spellEnd"/>
      <w:r>
        <w:t xml:space="preserve"> et al., 2021). Since 2023 a cluster of studies from the derived savanna of the south-east has examined spacing, accession variability and performance under </w:t>
      </w:r>
      <w:proofErr w:type="spellStart"/>
      <w:r>
        <w:t>agri</w:t>
      </w:r>
      <w:proofErr w:type="spellEnd"/>
      <w:r>
        <w:t>-photovoltaic infrastructure (</w:t>
      </w:r>
      <w:proofErr w:type="spellStart"/>
      <w:r>
        <w:t>Ukwu</w:t>
      </w:r>
      <w:proofErr w:type="spellEnd"/>
      <w:r>
        <w:t xml:space="preserve"> et al., 2023a, 2023b, 2025a, 2025b), and molecular characterisation of introduced germplasm has begun (Obasi et al., 2025, 2026). This body of work is genuinely informative, yet it has never been synthesised, and its internal inconsistencies have not been examined. Reported yields differ several-fold between studies conducted in nominally similar environments. Claims of drought tolerance are made routinely but rest almost entirely on evidence generated outside Nigeria. Rotational and soil-fertility benefits are asserted more often than measured. Almost no study reports more than two seasons of data, and few report the environmental covariates that would allow results to be interpreted mechanistically.</w:t>
      </w:r>
    </w:p>
    <w:p w14:paraId="4563D53A" w14:textId="77777777" w:rsidR="007213F2" w:rsidRDefault="001E289B">
      <w:pPr>
        <w:spacing w:after="160" w:line="300" w:lineRule="auto"/>
        <w:jc w:val="both"/>
      </w:pPr>
      <w:r>
        <w:t>Existing reviews do not resolve these problems. Global reviews of mung bean constraints and genetic improvement provide an authoritative account of the crop's biology and breeding status but treat Africa as a single, thinly evidenced block (Nair et al., 2019). Reviews of African underutilised legumes address nutritional and genomic questions rather than agronomic performance in specific production environments (</w:t>
      </w:r>
      <w:proofErr w:type="spellStart"/>
      <w:r>
        <w:t>Ojuederie</w:t>
      </w:r>
      <w:proofErr w:type="spellEnd"/>
      <w:r>
        <w:t xml:space="preserve"> et al., 2025; Popoola et al., 2023). Work on orphan crop improvement strategy identifies institutional bottlenecks relevant to Nigeria but is not crop-specific (</w:t>
      </w:r>
      <w:proofErr w:type="spellStart"/>
      <w:r>
        <w:t>Akpojotor</w:t>
      </w:r>
      <w:proofErr w:type="spellEnd"/>
      <w:r>
        <w:t xml:space="preserve"> et al., 2025). None of these publications asks whether the Nigerian trial record supports the suitability claims routinely attached to the crop, and none evaluates the methodological quality of that record.</w:t>
      </w:r>
    </w:p>
    <w:p w14:paraId="21F7E2FF" w14:textId="77777777" w:rsidR="007213F2" w:rsidRDefault="001E289B">
      <w:pPr>
        <w:pStyle w:val="Heading2"/>
        <w:spacing w:before="240" w:after="120"/>
      </w:pPr>
      <w:r>
        <w:rPr>
          <w:b/>
          <w:bCs/>
          <w:color w:val="000000"/>
          <w:sz w:val="21"/>
          <w:szCs w:val="21"/>
        </w:rPr>
        <w:t>1.1 Scope, Research Gap and Objectives</w:t>
      </w:r>
    </w:p>
    <w:p w14:paraId="3DCC0AB5" w14:textId="77777777" w:rsidR="007213F2" w:rsidRDefault="001E289B">
      <w:pPr>
        <w:spacing w:after="160" w:line="300" w:lineRule="auto"/>
        <w:jc w:val="both"/>
      </w:pPr>
      <w:r>
        <w:lastRenderedPageBreak/>
        <w:t xml:space="preserve">This review is confined to mung bean grown as a seed crop in Nigeria, and to the evidence bearing on its </w:t>
      </w:r>
      <w:proofErr w:type="spellStart"/>
      <w:r>
        <w:t>agro</w:t>
      </w:r>
      <w:proofErr w:type="spellEnd"/>
      <w:r>
        <w:t xml:space="preserve">-ecological fit, its measured field performance and the inferences that may reasonably be drawn about future production. Studies conducted elsewhere are used only where they establish mechanism, provide a comparative benchmark, or supply methodological standards against which Nigerian work can be assessed. The geographical frame is the full </w:t>
      </w:r>
      <w:proofErr w:type="spellStart"/>
      <w:r>
        <w:t>agro</w:t>
      </w:r>
      <w:proofErr w:type="spellEnd"/>
      <w:r>
        <w:t>-ecological gradient of the country, from the humid forest zone in the south through the derived and Guinea savannas to the Sudan savanna and Sahel in the extreme north.</w:t>
      </w:r>
    </w:p>
    <w:p w14:paraId="57C392D3" w14:textId="77777777" w:rsidR="007213F2" w:rsidRDefault="001E289B">
      <w:pPr>
        <w:spacing w:after="160" w:line="300" w:lineRule="auto"/>
        <w:jc w:val="both"/>
      </w:pPr>
      <w:r>
        <w:t>The gap addressed is specific. Nigerian mung bean research has generated a set of location-specific results that have been reported as though they were generalisable, without any assessment of whether the trials collectively cover the environments in which the crop would actually be grown, whether their designs support the conclusions drawn, or whether the yields reported are mutually consistent. The consequence is a suitability narrative that is stronger than its evidential foundation and a production narrative that lacks any statistical basis, because the crop does not appear in national agricultural accounts and has no released variety.</w:t>
      </w:r>
    </w:p>
    <w:p w14:paraId="04E49707" w14:textId="77777777" w:rsidR="007213F2" w:rsidRDefault="001E289B">
      <w:pPr>
        <w:spacing w:after="160" w:line="300" w:lineRule="auto"/>
        <w:jc w:val="both"/>
      </w:pPr>
      <w:r>
        <w:t>Four objectives follow. The first is to characterise the environmental coverage of the Nigerian trial record and compare it with the zones in which mung bean's agronomic attributes would be most valuable. The second is to compare reported yields across studies, identify the sources of divergence, and distinguish differences attributable to environment from those attributable to genotype, management or experimental artefact. The third is to appraise the methodological quality of the evidence, with attention to trial duration, replication across seasons, analytical treatment of interaction effects, and completeness of environmental reporting. The fourth is to define what can and cannot be concluded about production prospects, and to derive research priorities that would materially change the state of knowledge rather than adding further single-season trials.</w:t>
      </w:r>
    </w:p>
    <w:p w14:paraId="50828A02" w14:textId="77777777" w:rsidR="007213F2" w:rsidRDefault="001E289B">
      <w:pPr>
        <w:spacing w:after="160" w:line="300" w:lineRule="auto"/>
        <w:jc w:val="both"/>
      </w:pPr>
      <w:r>
        <w:t>The intended contribution is an integrated critical assessment rather than a catalogue of results, together with an explicit separation of well-supported conclusions from those that remain conjectural. Several topics are excluded deliberately. Food-processing technology, phytochemistry and pharmacological properties are addressed only where they bear on demand for the grain. Molecular breeding methodology is discussed only where it affects the interpretation of field performance. Production systems in other West African countries are not reviewed, because the published record for those countries is too sparse to support comparison.</w:t>
      </w:r>
    </w:p>
    <w:p w14:paraId="3AF55DD9" w14:textId="77777777" w:rsidR="007213F2" w:rsidRDefault="001E289B">
      <w:pPr>
        <w:pStyle w:val="Heading1"/>
        <w:spacing w:before="320" w:after="140"/>
      </w:pPr>
      <w:r>
        <w:rPr>
          <w:b/>
          <w:bCs/>
          <w:color w:val="000000"/>
          <w:sz w:val="24"/>
          <w:szCs w:val="24"/>
        </w:rPr>
        <w:t>2. Methods for Literature Selection</w:t>
      </w:r>
    </w:p>
    <w:p w14:paraId="721E0F9E" w14:textId="77777777" w:rsidR="007213F2" w:rsidRDefault="001E289B">
      <w:pPr>
        <w:pStyle w:val="Heading2"/>
        <w:spacing w:before="240" w:after="120"/>
      </w:pPr>
      <w:r>
        <w:rPr>
          <w:b/>
          <w:bCs/>
          <w:color w:val="000000"/>
          <w:sz w:val="21"/>
          <w:szCs w:val="21"/>
        </w:rPr>
        <w:t>2.1 Review Design and Rationale</w:t>
      </w:r>
    </w:p>
    <w:p w14:paraId="064A0CAC" w14:textId="77777777" w:rsidR="007213F2" w:rsidRDefault="001E289B">
      <w:pPr>
        <w:spacing w:after="160" w:line="300" w:lineRule="auto"/>
        <w:jc w:val="both"/>
      </w:pPr>
      <w:r>
        <w:t>A critical narrative review was selected because the research question is heterogeneous in a way that defeats quantitative synthesis. The relevant studies differ in design (single-site agronomic trials, multi-environment genotype evaluations, controlled-environment physiology, germplasm characterisation), in outcome definition (seed yield per plant, per plot, per hectare, biological yield, harvest index), in the environmental descriptors reported, and in whether interaction effects are modelled at all. Pooling such material into an effect-size framework would impose an unwarranted appearance of comparability. A systematic review with quantitative synthesis would also require that the primary literature report variance estimates and environmental covariates consistently, which it does not.</w:t>
      </w:r>
    </w:p>
    <w:p w14:paraId="61D4E817" w14:textId="77777777" w:rsidR="007213F2" w:rsidRDefault="001E289B">
      <w:pPr>
        <w:spacing w:after="160" w:line="300" w:lineRule="auto"/>
        <w:jc w:val="both"/>
      </w:pPr>
      <w:r>
        <w:t xml:space="preserve">The narrative form does not remove the obligation to be transparent or critical. The searches, eligibility rules and appraisal criteria described below are stated so that the selection can be scrutinised and repeated, and studies are evaluated against explicit standards of design adequacy rather than accepted at face value. Where </w:t>
      </w:r>
      <w:r>
        <w:lastRenderedPageBreak/>
        <w:t>the review departs from a systematic approach is in the weighting of studies by informativeness rather than by inclusion in a fixed protocol, and in the interpretive integration of mechanism, measurement and context.</w:t>
      </w:r>
    </w:p>
    <w:p w14:paraId="3FD8B0BE" w14:textId="77777777" w:rsidR="007213F2" w:rsidRDefault="001E289B">
      <w:pPr>
        <w:pStyle w:val="Heading2"/>
        <w:spacing w:before="240" w:after="120"/>
      </w:pPr>
      <w:r>
        <w:rPr>
          <w:b/>
          <w:bCs/>
          <w:color w:val="000000"/>
          <w:sz w:val="21"/>
          <w:szCs w:val="21"/>
        </w:rPr>
        <w:t>2.2 Information Sources</w:t>
      </w:r>
    </w:p>
    <w:p w14:paraId="7701428F" w14:textId="77777777" w:rsidR="007213F2" w:rsidRDefault="001E289B">
      <w:pPr>
        <w:spacing w:after="160" w:line="300" w:lineRule="auto"/>
        <w:jc w:val="both"/>
      </w:pPr>
      <w:r>
        <w:t xml:space="preserve">Five open scholarly indexes and platforms were searched directly: </w:t>
      </w:r>
      <w:proofErr w:type="spellStart"/>
      <w:r>
        <w:t>Crossref</w:t>
      </w:r>
      <w:proofErr w:type="spellEnd"/>
      <w:r>
        <w:t xml:space="preserve">, Europe PMC, the Directory of Open Access Journals, </w:t>
      </w:r>
      <w:proofErr w:type="spellStart"/>
      <w:r>
        <w:t>OpenAIRE</w:t>
      </w:r>
      <w:proofErr w:type="spellEnd"/>
      <w:r>
        <w:t xml:space="preserve"> and African Journals Online. African Journals Online was included because a substantial proportion of Nigerian agronomic research appears in nationally and regionally published journals that are indexed inconsistently elsewhere. Searching was supplemented by backward citation tracking from the retrieved articles, by forward citation checks through </w:t>
      </w:r>
      <w:proofErr w:type="spellStart"/>
      <w:r>
        <w:t>Crossref</w:t>
      </w:r>
      <w:proofErr w:type="spellEnd"/>
      <w:r>
        <w:t>, by examination of the reference lists of recent reviews of mung bean and of African underutilised legumes, and by retrieval of individual records from publisher and repository landing pages to confirm bibliographic details.</w:t>
      </w:r>
    </w:p>
    <w:p w14:paraId="06636A7A" w14:textId="77777777" w:rsidR="007213F2" w:rsidRDefault="001E289B">
      <w:pPr>
        <w:spacing w:after="160" w:line="300" w:lineRule="auto"/>
        <w:jc w:val="both"/>
      </w:pPr>
      <w:r>
        <w:t>No subscription database was available during the preparation of this review. Web of Science, Scopus, CAB Abstracts and Embase were therefore not searched, and no claim is made about coverage in those resources. Attempts to query two further open platforms did not return usable results because of access restrictions, and those platforms are consequently not listed as sources. Institutional and governmental documentation was consulted only where a peer-reviewed equivalent was unavailable, and no numerical production statistic has been reported in this review that could not be traced to a verified source.</w:t>
      </w:r>
    </w:p>
    <w:p w14:paraId="2EF88DFB" w14:textId="77777777" w:rsidR="007213F2" w:rsidRDefault="001E289B">
      <w:pPr>
        <w:pStyle w:val="Heading2"/>
        <w:spacing w:before="240" w:after="120"/>
      </w:pPr>
      <w:r>
        <w:rPr>
          <w:b/>
          <w:bCs/>
          <w:color w:val="000000"/>
          <w:sz w:val="21"/>
          <w:szCs w:val="21"/>
        </w:rPr>
        <w:t>2.3 Search Strategy and Search Period</w:t>
      </w:r>
    </w:p>
    <w:p w14:paraId="106BB0DA" w14:textId="77777777" w:rsidR="007213F2" w:rsidRDefault="001E289B">
      <w:pPr>
        <w:spacing w:after="160" w:line="300" w:lineRule="auto"/>
        <w:jc w:val="both"/>
      </w:pPr>
      <w:r>
        <w:t xml:space="preserve">Search concepts were built from four elements: the species and its common names, the geographical setting, the performance outcomes of interest, and the environmental and management determinants of those outcomes. Representative strings combined the terms in the following manner: ("mung bean" OR </w:t>
      </w:r>
      <w:proofErr w:type="spellStart"/>
      <w:r>
        <w:t>mungbean</w:t>
      </w:r>
      <w:proofErr w:type="spellEnd"/>
      <w:r>
        <w:t xml:space="preserve"> OR "green gram" OR "</w:t>
      </w:r>
      <w:r>
        <w:rPr>
          <w:i/>
          <w:iCs/>
        </w:rPr>
        <w:t>Vigna radiata</w:t>
      </w:r>
      <w:r>
        <w:t>") AND (Nigeria OR "West Africa" OR savanna OR rainforest OR "</w:t>
      </w:r>
      <w:proofErr w:type="spellStart"/>
      <w:r>
        <w:t>agro</w:t>
      </w:r>
      <w:proofErr w:type="spellEnd"/>
      <w:r>
        <w:t>-ecological zone"); ("</w:t>
      </w:r>
      <w:r>
        <w:rPr>
          <w:i/>
          <w:iCs/>
        </w:rPr>
        <w:t>Vigna radiata</w:t>
      </w:r>
      <w:r>
        <w:t xml:space="preserve">" OR </w:t>
      </w:r>
      <w:proofErr w:type="spellStart"/>
      <w:r>
        <w:t>mungbean</w:t>
      </w:r>
      <w:proofErr w:type="spellEnd"/>
      <w:r>
        <w:t>) AND (yield OR "seed yield" OR "genotype by environment" OR adaptability OR "sowing date" OR spacing OR "plant density"); ("</w:t>
      </w:r>
      <w:r>
        <w:rPr>
          <w:i/>
          <w:iCs/>
        </w:rPr>
        <w:t>Vigna radiata</w:t>
      </w:r>
      <w:r>
        <w:t xml:space="preserve">" OR </w:t>
      </w:r>
      <w:proofErr w:type="spellStart"/>
      <w:r>
        <w:t>mungbean</w:t>
      </w:r>
      <w:proofErr w:type="spellEnd"/>
      <w:r>
        <w:t>) AND (drought OR "heat stress" OR waterlogging OR "nitrogen fixation" OR rotation OR intercropping); and ("</w:t>
      </w:r>
      <w:r>
        <w:rPr>
          <w:i/>
          <w:iCs/>
        </w:rPr>
        <w:t>Vigna radiata</w:t>
      </w:r>
      <w:r>
        <w:t xml:space="preserve">" OR </w:t>
      </w:r>
      <w:proofErr w:type="spellStart"/>
      <w:r>
        <w:t>mungbean</w:t>
      </w:r>
      <w:proofErr w:type="spellEnd"/>
      <w:r>
        <w:t xml:space="preserve">) AND (Nigeria) AND (pest OR disease OR storage OR </w:t>
      </w:r>
      <w:proofErr w:type="spellStart"/>
      <w:r>
        <w:rPr>
          <w:i/>
          <w:iCs/>
        </w:rPr>
        <w:t>Callosobruchus</w:t>
      </w:r>
      <w:proofErr w:type="spellEnd"/>
      <w:r>
        <w:t xml:space="preserve"> OR </w:t>
      </w:r>
      <w:r>
        <w:rPr>
          <w:i/>
          <w:iCs/>
        </w:rPr>
        <w:t>Maruca</w:t>
      </w:r>
      <w:r>
        <w:t>). Platform-specific syntax was adapted where Boolean support differed, and title-field searching was used to confirm the bibliographic identity of individual candidate records.</w:t>
      </w:r>
    </w:p>
    <w:p w14:paraId="0E6C466F" w14:textId="77777777" w:rsidR="007213F2" w:rsidRDefault="001E289B">
      <w:pPr>
        <w:spacing w:after="160" w:line="300" w:lineRule="auto"/>
        <w:jc w:val="both"/>
      </w:pPr>
      <w:r>
        <w:t>The search covered publications from 2005 to 13 June 2026. The starting year reflects the point at which sustained Nigerian field evaluation of introduced mung bean germplasm began to appear in the accessible literature; earlier foundational work on legume rotation effects in the Nigerian savanna and on the biology of the species was admitted where it remains conceptually necessary.</w:t>
      </w:r>
    </w:p>
    <w:p w14:paraId="6AD6BC61" w14:textId="77777777" w:rsidR="007213F2" w:rsidRDefault="001E289B">
      <w:pPr>
        <w:pStyle w:val="Heading2"/>
        <w:spacing w:before="240" w:after="120"/>
      </w:pPr>
      <w:r>
        <w:rPr>
          <w:b/>
          <w:bCs/>
          <w:color w:val="000000"/>
          <w:sz w:val="21"/>
          <w:szCs w:val="21"/>
        </w:rPr>
        <w:t>2.4 Eligibility Criteria</w:t>
      </w:r>
    </w:p>
    <w:p w14:paraId="4B05CDF3" w14:textId="77777777" w:rsidR="007213F2" w:rsidRDefault="001E289B">
      <w:pPr>
        <w:spacing w:after="160" w:line="300" w:lineRule="auto"/>
        <w:jc w:val="both"/>
      </w:pPr>
      <w:r>
        <w:t>Publications were eligible if they reported original empirical data on mung bean grown in Nigeria, or if they provided mechanistic, methodological or comparative evidence directly applicable to the interpretation of Nigerian results. Eligible designs included field experiments, multi-environment trials, controlled-environment physiological studies, germplasm characterisation studies, simulation studies and quantitative surveys. Reviews were eligible where they defined the state of knowledge or established the boundaries of prior synthesis.</w:t>
      </w:r>
    </w:p>
    <w:p w14:paraId="38BAAEBB" w14:textId="77777777" w:rsidR="007213F2" w:rsidRDefault="001E289B">
      <w:pPr>
        <w:spacing w:after="160" w:line="300" w:lineRule="auto"/>
        <w:jc w:val="both"/>
      </w:pPr>
      <w:r>
        <w:t xml:space="preserve">Publications were excluded if the species could not be confirmed, if the study location was not identifiable, if the outcome was reported without any indication of experimental design, if bibliographic details could not be verified against an authoritative record, or if the outlet showed indicators of inadequate editorial control. </w:t>
      </w:r>
      <w:r>
        <w:lastRenderedPageBreak/>
        <w:t>Preprints were excluded where a peer-reviewed version or an equivalent peer-reviewed source existed. Studies of mung bean as a laboratory test organism, and studies concerned exclusively with food processing, phytochemistry or pharmacology, were excluded unless they bore on grain demand or nutritional value. No language restriction was applied at the search stage, although all included publications are in English.</w:t>
      </w:r>
    </w:p>
    <w:p w14:paraId="6CCE1266" w14:textId="77777777" w:rsidR="007213F2" w:rsidRDefault="001E289B">
      <w:pPr>
        <w:pStyle w:val="Heading2"/>
        <w:spacing w:before="240" w:after="120"/>
      </w:pPr>
      <w:r>
        <w:rPr>
          <w:b/>
          <w:bCs/>
          <w:color w:val="000000"/>
          <w:sz w:val="21"/>
          <w:szCs w:val="21"/>
        </w:rPr>
        <w:t>2.5 Screening, Duplicate Handling and Study Selection</w:t>
      </w:r>
    </w:p>
    <w:p w14:paraId="38A4C46C" w14:textId="77777777" w:rsidR="007213F2" w:rsidRDefault="001E289B">
      <w:pPr>
        <w:spacing w:after="160" w:line="300" w:lineRule="auto"/>
        <w:jc w:val="both"/>
      </w:pPr>
      <w:r>
        <w:t>Records were screened first by title and abstract against the eligibility criteria, then at full text for those retained. Duplicates arising from the overlapping coverage of the indexes were identified by digital object identifier where one existed and by matching of author, title, journal, volume and year where it did not; repository deposits of articles also published in journals were resolved to the journal version. Several Nigerian articles appeared in more than one index with divergent volume, issue or year metadata, and in each such case the publisher or journal landing page was treated as authoritative.</w:t>
      </w:r>
    </w:p>
    <w:p w14:paraId="24103655" w14:textId="77777777" w:rsidR="007213F2" w:rsidRDefault="001E289B">
      <w:pPr>
        <w:spacing w:after="160" w:line="300" w:lineRule="auto"/>
        <w:jc w:val="both"/>
      </w:pPr>
      <w:r>
        <w:t>Full text could not be obtained for a small number of records identified in the searches, and these were excluded rather than characterised from their abstracts. Two otherwise relevant Nigerian articles were excluded because essential bibliographic elements could not be confirmed against any authoritative record. No record counts are reported, because the selection process was purposive rather than systematic and any such figures would imply a rigour the process did not have.</w:t>
      </w:r>
    </w:p>
    <w:p w14:paraId="1D011F37" w14:textId="77777777" w:rsidR="007213F2" w:rsidRDefault="001E289B">
      <w:pPr>
        <w:pStyle w:val="Heading2"/>
        <w:spacing w:before="240" w:after="120"/>
      </w:pPr>
      <w:r>
        <w:rPr>
          <w:b/>
          <w:bCs/>
          <w:color w:val="000000"/>
          <w:sz w:val="21"/>
          <w:szCs w:val="21"/>
        </w:rPr>
        <w:t>2.6 Critical Appraisal and Evidence Synthesis</w:t>
      </w:r>
    </w:p>
    <w:p w14:paraId="4F174DA2" w14:textId="77777777" w:rsidR="007213F2" w:rsidRDefault="001E289B">
      <w:pPr>
        <w:spacing w:after="160" w:line="300" w:lineRule="auto"/>
        <w:jc w:val="both"/>
      </w:pPr>
      <w:r>
        <w:t>Studies were appraised against criteria appropriate to agronomic and plant-science evidence: adequacy of experimental design and replication; number of seasons and sites, and whether these were treated as environments in the analysis; representativeness of the site relative to the target production zone; completeness of reporting for rainfall, temperature, soil properties and sowing date; validity and comparability of the yield measurement; treatment of genotype by environment interaction; and transparency of statistical method. No formal risk-of-bias instrument was applied, because no recognised tool fits this literature and the information needed to score most studies is not reported.</w:t>
      </w:r>
    </w:p>
    <w:p w14:paraId="4C0A12B9" w14:textId="77777777" w:rsidR="007213F2" w:rsidRDefault="001E289B">
      <w:pPr>
        <w:spacing w:after="160" w:line="300" w:lineRule="auto"/>
        <w:jc w:val="both"/>
      </w:pPr>
      <w:r>
        <w:t>Themes were developed inductively from the appraised material, organised around the causal chain running from environment and management to yield formation and thence to system-level and market outcomes. Where studies disagreed, the disagreement was examined for its likely origin in environmental difference, genotype, management protocol, measurement basis or analytical approach before any interpretive weight was assigned, and disagreements that could not be resolved on the available information are reported as unresolved.</w:t>
      </w:r>
    </w:p>
    <w:p w14:paraId="397D1900" w14:textId="77777777" w:rsidR="007213F2" w:rsidRDefault="001E289B">
      <w:pPr>
        <w:pStyle w:val="Heading1"/>
        <w:spacing w:before="320" w:after="140"/>
      </w:pPr>
      <w:r>
        <w:rPr>
          <w:b/>
          <w:bCs/>
          <w:color w:val="000000"/>
          <w:sz w:val="24"/>
          <w:szCs w:val="24"/>
        </w:rPr>
        <w:t>3. Crop Attributes and the Structure of the Nigerian Suitability Argument</w:t>
      </w:r>
    </w:p>
    <w:p w14:paraId="0F34EE05" w14:textId="77777777" w:rsidR="007213F2" w:rsidRDefault="001E289B">
      <w:pPr>
        <w:pStyle w:val="Heading2"/>
        <w:spacing w:before="240" w:after="120"/>
      </w:pPr>
      <w:r>
        <w:rPr>
          <w:b/>
          <w:bCs/>
          <w:color w:val="000000"/>
          <w:sz w:val="21"/>
          <w:szCs w:val="21"/>
        </w:rPr>
        <w:t>3.1 Phenology and the logic of a short-duration legume</w:t>
      </w:r>
    </w:p>
    <w:p w14:paraId="7C9BE132" w14:textId="77777777" w:rsidR="007213F2" w:rsidRDefault="001E289B">
      <w:pPr>
        <w:spacing w:after="160" w:line="300" w:lineRule="auto"/>
        <w:jc w:val="both"/>
      </w:pPr>
      <w:r>
        <w:t xml:space="preserve">The case for mung bean in Nigeria rests less on yield potential than on duration. The species completes its cycle rapidly enough to be grown in periods that are too short for cowpea or soybean, and this is the attribute from which every other claimed advantage follows. Nigerian phenological data support the duration claim with reasonable precision. In multi-environment trials across three south-western </w:t>
      </w:r>
      <w:proofErr w:type="spellStart"/>
      <w:r>
        <w:t>agro</w:t>
      </w:r>
      <w:proofErr w:type="spellEnd"/>
      <w:r>
        <w:t>-ecological zones, the earliest of twenty accessions began flowering at approximately thirty-six to thirty-seven days after planting, reached fifty per cent flowering at about forty-two days and attained seventy per cent physiological maturity at seventy-nine to eighty days (</w:t>
      </w:r>
      <w:proofErr w:type="spellStart"/>
      <w:r>
        <w:t>Akinyosoye</w:t>
      </w:r>
      <w:proofErr w:type="spellEnd"/>
      <w:r>
        <w:t xml:space="preserve"> et al., 2021). Earlier work in the sub-humid savanna characterised the rate and duration of seed filling and identified the seed-filling period as a comparatively </w:t>
      </w:r>
      <w:r>
        <w:lastRenderedPageBreak/>
        <w:t>conservative phase (</w:t>
      </w:r>
      <w:proofErr w:type="spellStart"/>
      <w:r>
        <w:t>Ugese</w:t>
      </w:r>
      <w:proofErr w:type="spellEnd"/>
      <w:r>
        <w:t xml:space="preserve"> &amp; Labe, 2006). These figures place the crop firmly within the window that a residual-moisture or early-season niche would require.</w:t>
      </w:r>
    </w:p>
    <w:p w14:paraId="031B41E4" w14:textId="77777777" w:rsidR="007213F2" w:rsidRDefault="001E289B">
      <w:pPr>
        <w:spacing w:after="160" w:line="300" w:lineRule="auto"/>
        <w:jc w:val="both"/>
      </w:pPr>
      <w:r>
        <w:t>What the Nigerian record does not establish is that duration alone confers advantage. The physiological literature indicates that the determinants of flowering time and of flowering duration in mung bean are genetically independent, so that selection for earliness does not by itself compress the reproductive period or synchronise pod maturity (Dudley et al., 2025). Asynchronous maturity is agronomically consequential in a humid environment, because it forces either multiple harvests or a single harvest at which a proportion of pods have shattered or germinated in situ. Nigerian studies have measured days to flowering and days to maturity extensively but have rarely reported flowering duration, pod-set synchrony or pre-harvest sprouting, which means that the practical cost of the earliness that has been selected remains unquantified.</w:t>
      </w:r>
    </w:p>
    <w:p w14:paraId="47BB6BB8" w14:textId="77777777" w:rsidR="007213F2" w:rsidRDefault="001E289B">
      <w:pPr>
        <w:spacing w:after="160" w:line="300" w:lineRule="auto"/>
        <w:jc w:val="both"/>
      </w:pPr>
      <w:r>
        <w:t>The temperature response of the species has been characterised principally outside Nigeria and principally at the extremes. Controlled-environment work has established that reproductive processes are considerably more sensitive to high temperature than vegetative growth, with pollen viability, pod set and seed number declining before biomass accumulation is visibly affected (</w:t>
      </w:r>
      <w:proofErr w:type="spellStart"/>
      <w:r>
        <w:t>Patriyawaty</w:t>
      </w:r>
      <w:proofErr w:type="spellEnd"/>
      <w:r>
        <w:t xml:space="preserve"> et al., 2018; Sharma et al., 2016). Reviews of the physiological basis of high-temperature and salinity responses in the species reach the same conclusion and identify the reproductive window as the critical period (</w:t>
      </w:r>
      <w:proofErr w:type="spellStart"/>
      <w:r>
        <w:t>HanumanthaRao</w:t>
      </w:r>
      <w:proofErr w:type="spellEnd"/>
      <w:r>
        <w:t xml:space="preserve"> et al., 2016). Combined water deficit and elevated night temperature reduce yield more than either factor alone (Mahajan et al., 2023), and germination and establishment have a defined lower thermal threshold that is relevant to cool-season sowing in temperate systems but not to Nigerian conditions (Silwal et al., 2026). This body of work is mechanistically informative, and it supports a qualified rather than an unqualified statement of heat tolerance: mung bean tolerates high temperature during vegetative growth better than many legumes, and tolerates it during flowering and pod set considerably less well. Nigerian promotional framing has tended to reproduce the first half of that statement without the second, even though the second is the half that governs yield in a country where maximum temperatures during the early and late season commonly exceed the reproductive threshold identified in the controlled-environment literature.</w:t>
      </w:r>
    </w:p>
    <w:p w14:paraId="7C204BE8" w14:textId="77777777" w:rsidR="007213F2" w:rsidRDefault="001E289B">
      <w:pPr>
        <w:pStyle w:val="Heading2"/>
        <w:spacing w:before="240" w:after="120"/>
      </w:pPr>
      <w:r>
        <w:rPr>
          <w:b/>
          <w:bCs/>
          <w:color w:val="000000"/>
          <w:sz w:val="21"/>
          <w:szCs w:val="21"/>
        </w:rPr>
        <w:t xml:space="preserve">3.2 The Nigerian </w:t>
      </w:r>
      <w:proofErr w:type="spellStart"/>
      <w:r>
        <w:rPr>
          <w:b/>
          <w:bCs/>
          <w:color w:val="000000"/>
          <w:sz w:val="21"/>
          <w:szCs w:val="21"/>
        </w:rPr>
        <w:t>agro</w:t>
      </w:r>
      <w:proofErr w:type="spellEnd"/>
      <w:r>
        <w:rPr>
          <w:b/>
          <w:bCs/>
          <w:color w:val="000000"/>
          <w:sz w:val="21"/>
          <w:szCs w:val="21"/>
        </w:rPr>
        <w:t>-ecological gradient and where the trials have been placed</w:t>
      </w:r>
    </w:p>
    <w:p w14:paraId="7E0D00DC" w14:textId="77777777" w:rsidR="007213F2" w:rsidRDefault="001E289B">
      <w:pPr>
        <w:spacing w:after="160" w:line="300" w:lineRule="auto"/>
        <w:jc w:val="both"/>
      </w:pPr>
      <w:r>
        <w:t xml:space="preserve">Nigeria spans a steep north-south gradient in rainfall amount, rainfall duration and evaporative demand, and this gradient rather than temperature is the principal determinant of cropping opportunity. In the humid forest and derived savanna of the south, the rainy season is long and often bimodal, offering two cropping periods but also high humidity, heavy harvest-period rainfall and elevated disease pressure. In the Guinea savannas the season is unimodal and progressively shorter northwards. In the Sudan savanna and </w:t>
      </w:r>
      <w:proofErr w:type="gramStart"/>
      <w:r>
        <w:t>Sahel</w:t>
      </w:r>
      <w:proofErr w:type="gramEnd"/>
      <w:r>
        <w:t xml:space="preserve"> the season is short and variable, and the principal agronomic problem is fitting a crop cycle into an unreliable moisture window.</w:t>
      </w:r>
    </w:p>
    <w:p w14:paraId="53E6E23F" w14:textId="77777777" w:rsidR="007213F2" w:rsidRDefault="001E289B">
      <w:pPr>
        <w:spacing w:after="160" w:line="300" w:lineRule="auto"/>
        <w:jc w:val="both"/>
      </w:pPr>
      <w:r>
        <w:t xml:space="preserve">A short-duration, drought-escaping legume has its clearest theoretical advantage in the northern half of this gradient, where cowpea already occupies the niche and where soybean cannot reliably complete its cycle. The distribution of Nigerian mung bean trials runs in the opposite direction. Field evaluations have concentrated in the lowland rainforest and derived savanna of the south-east, at </w:t>
      </w:r>
      <w:proofErr w:type="spellStart"/>
      <w:r>
        <w:t>Umudike</w:t>
      </w:r>
      <w:proofErr w:type="spellEnd"/>
      <w:r>
        <w:t xml:space="preserve">, Owerri, Nsukka, </w:t>
      </w:r>
      <w:proofErr w:type="spellStart"/>
      <w:r>
        <w:t>Awka</w:t>
      </w:r>
      <w:proofErr w:type="spellEnd"/>
      <w:r>
        <w:t xml:space="preserve"> and </w:t>
      </w:r>
      <w:proofErr w:type="spellStart"/>
      <w:r>
        <w:t>Abagana</w:t>
      </w:r>
      <w:proofErr w:type="spellEnd"/>
      <w:r>
        <w:t xml:space="preserve"> (Agbim, 2025; Agbim et al., 2025; </w:t>
      </w:r>
      <w:proofErr w:type="spellStart"/>
      <w:r>
        <w:t>Chukwura</w:t>
      </w:r>
      <w:proofErr w:type="spellEnd"/>
      <w:r>
        <w:t xml:space="preserve"> et al., 2024; </w:t>
      </w:r>
      <w:proofErr w:type="spellStart"/>
      <w:r>
        <w:t>Ibellow</w:t>
      </w:r>
      <w:proofErr w:type="spellEnd"/>
      <w:r>
        <w:t xml:space="preserve"> &amp; Agbim, 2025; </w:t>
      </w:r>
      <w:proofErr w:type="spellStart"/>
      <w:r>
        <w:t>Ngwuta</w:t>
      </w:r>
      <w:proofErr w:type="spellEnd"/>
      <w:r>
        <w:t xml:space="preserve"> et al., 2011; Obasi et al., 2025; </w:t>
      </w:r>
      <w:proofErr w:type="spellStart"/>
      <w:r>
        <w:t>Ukwu</w:t>
      </w:r>
      <w:proofErr w:type="spellEnd"/>
      <w:r>
        <w:t xml:space="preserve"> et al., 2023a, 2023b, 2025a, 2025b), and in the forest, derived savanna and southern Guinea savanna of the south-west at Ibadan, Ile-Ife and Kishi (Akintoye et al., 2022; </w:t>
      </w:r>
      <w:proofErr w:type="spellStart"/>
      <w:r>
        <w:t>Akinyosoye</w:t>
      </w:r>
      <w:proofErr w:type="spellEnd"/>
      <w:r>
        <w:t xml:space="preserve"> et al., 2021; Oloyede-</w:t>
      </w:r>
      <w:proofErr w:type="spellStart"/>
      <w:r>
        <w:t>Kamiyo</w:t>
      </w:r>
      <w:proofErr w:type="spellEnd"/>
      <w:r>
        <w:t xml:space="preserve"> et al., 2024). Evidence from the sub-humid and southern Guinea savanna of the middle belt is limited to a small number of older studies (</w:t>
      </w:r>
      <w:proofErr w:type="spellStart"/>
      <w:r>
        <w:t>Avav</w:t>
      </w:r>
      <w:proofErr w:type="spellEnd"/>
      <w:r>
        <w:t xml:space="preserve"> &amp; </w:t>
      </w:r>
      <w:proofErr w:type="spellStart"/>
      <w:r>
        <w:t>Ugese</w:t>
      </w:r>
      <w:proofErr w:type="spellEnd"/>
      <w:r>
        <w:t xml:space="preserve">, 2009; Ndam et al., 2018; </w:t>
      </w:r>
      <w:proofErr w:type="spellStart"/>
      <w:r>
        <w:t>Ugese</w:t>
      </w:r>
      <w:proofErr w:type="spellEnd"/>
      <w:r>
        <w:t xml:space="preserve"> &amp; Labe, 2006). For the northern Guinea savanna, the Sudan savanna and the Sahel the </w:t>
      </w:r>
      <w:r>
        <w:lastRenderedPageBreak/>
        <w:t>accessible peer-reviewed record contains, so far as the present searches revealed, a single study, and that study examined imposed watering intervals in two cultivars rather than performance under field rainfall (Mustapha et al., 2025).</w:t>
      </w:r>
    </w:p>
    <w:p w14:paraId="5B825B22" w14:textId="77777777" w:rsidR="007213F2" w:rsidRDefault="001E289B">
      <w:pPr>
        <w:spacing w:after="160" w:line="300" w:lineRule="auto"/>
        <w:jc w:val="both"/>
      </w:pPr>
      <w:r>
        <w:t>This mismatch is the most consequential structural feature of the Nigerian evidence base, and it has not previously been stated. Suitability conclusions have been drawn overwhelmingly from environments in which mung bean's distinguishing attributes are of least value and its known weaknesses are most exposed. Humid southern conditions favour vegetative growth over pod set, sustain the fungal and bacterial pathogens to which the crop is susceptible, and coincide flowering with periods of high rainfall. That adapted accessions nonetheless perform acceptably in those environments is a meaningful finding, but it cannot be extended northwards by inference, because the limiting factors differ.</w:t>
      </w:r>
    </w:p>
    <w:p w14:paraId="32EF15CC" w14:textId="77777777" w:rsidR="007213F2" w:rsidRDefault="001E289B">
      <w:pPr>
        <w:spacing w:after="160" w:line="300" w:lineRule="auto"/>
        <w:jc w:val="both"/>
      </w:pPr>
      <w:r>
        <w:t xml:space="preserve">A parallel from a better-studied Nigerian legume clarifies what adequate environmental coverage would look like. Elite cowpea lines have been evaluated across multiple Nigerian </w:t>
      </w:r>
      <w:proofErr w:type="spellStart"/>
      <w:r>
        <w:t>agro</w:t>
      </w:r>
      <w:proofErr w:type="spellEnd"/>
      <w:r>
        <w:t xml:space="preserve">-ecologies in designs explicitly constructed to partition genotype, environment and interaction effects, allowing mega-environments to be delineated and testing sites to be ranked for discriminating ability and representativeness (Popoola et al., 2024). Comparable partitioning has been applied to African yam bean across four Nigerian </w:t>
      </w:r>
      <w:proofErr w:type="spellStart"/>
      <w:r>
        <w:t>agro</w:t>
      </w:r>
      <w:proofErr w:type="spellEnd"/>
      <w:r>
        <w:t>-ecologies (Adewale et al., 2017). No mung bean study in Nigeria has yet achieved this scope, and the multi-environment design that comes closest sampled three south-western zones in two seasons (</w:t>
      </w:r>
      <w:proofErr w:type="spellStart"/>
      <w:r>
        <w:t>Akinyosoye</w:t>
      </w:r>
      <w:proofErr w:type="spellEnd"/>
      <w:r>
        <w:t xml:space="preserve"> et al., 2021).</w:t>
      </w:r>
    </w:p>
    <w:p w14:paraId="192402E9" w14:textId="77777777" w:rsidR="007213F2" w:rsidRDefault="001E289B">
      <w:pPr>
        <w:spacing w:after="160" w:line="300" w:lineRule="auto"/>
        <w:jc w:val="both"/>
      </w:pPr>
      <w:r>
        <w:t>Table 1 sets the principal Nigerian production zones against the attributes that would determine mung bean performance in each, and against the studies that have actually been conducted there. The comparison shows that the two zones in which the crop's short cycle would be most valuable are those for which field evidence is effectively absent, and that the zone with the densest evidence is the one in which the crop's comparative advantage over cowpea is least clear. It also indicates that the constraints expected to dominate differ qualitatively between zones, so that a management package validated in the derived savanna would not transfer to the Sudan savanna even if yields there proved adequate.</w:t>
      </w:r>
    </w:p>
    <w:p w14:paraId="15906948" w14:textId="77777777" w:rsidR="007213F2" w:rsidRDefault="001E289B">
      <w:pPr>
        <w:spacing w:before="200" w:after="100"/>
      </w:pPr>
      <w:r>
        <w:rPr>
          <w:b/>
          <w:bCs/>
          <w:sz w:val="19"/>
          <w:szCs w:val="19"/>
        </w:rPr>
        <w:t xml:space="preserve">Table 1. Nigerian </w:t>
      </w:r>
      <w:proofErr w:type="spellStart"/>
      <w:r>
        <w:rPr>
          <w:b/>
          <w:bCs/>
          <w:sz w:val="19"/>
          <w:szCs w:val="19"/>
        </w:rPr>
        <w:t>agro</w:t>
      </w:r>
      <w:proofErr w:type="spellEnd"/>
      <w:r>
        <w:rPr>
          <w:b/>
          <w:bCs/>
          <w:sz w:val="19"/>
          <w:szCs w:val="19"/>
        </w:rPr>
        <w:t>-ecological zones, expected determinants of mung bean performance, and coverage by the accessible Nigerian field literature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1750"/>
        <w:gridCol w:w="1750"/>
        <w:gridCol w:w="2200"/>
        <w:gridCol w:w="1826"/>
      </w:tblGrid>
      <w:tr w:rsidR="007213F2" w14:paraId="242FB6A5" w14:textId="77777777">
        <w:trPr>
          <w:tblHeader/>
        </w:trPr>
        <w:tc>
          <w:tcPr>
            <w:tcW w:w="1500" w:type="dxa"/>
            <w:shd w:val="clear" w:color="auto" w:fill="E8E8E8"/>
            <w:tcMar>
              <w:top w:w="60" w:type="dxa"/>
              <w:left w:w="90" w:type="dxa"/>
              <w:bottom w:w="60" w:type="dxa"/>
              <w:right w:w="90" w:type="dxa"/>
            </w:tcMar>
          </w:tcPr>
          <w:p w14:paraId="6023B151" w14:textId="77777777" w:rsidR="007213F2" w:rsidRDefault="001E289B">
            <w:proofErr w:type="spellStart"/>
            <w:r>
              <w:rPr>
                <w:b/>
                <w:bCs/>
                <w:sz w:val="17"/>
                <w:szCs w:val="17"/>
              </w:rPr>
              <w:t>Agro</w:t>
            </w:r>
            <w:proofErr w:type="spellEnd"/>
            <w:r>
              <w:rPr>
                <w:b/>
                <w:bCs/>
                <w:sz w:val="17"/>
                <w:szCs w:val="17"/>
              </w:rPr>
              <w:t>-ecological zone</w:t>
            </w:r>
          </w:p>
        </w:tc>
        <w:tc>
          <w:tcPr>
            <w:tcW w:w="1750" w:type="dxa"/>
            <w:shd w:val="clear" w:color="auto" w:fill="E8E8E8"/>
            <w:tcMar>
              <w:top w:w="60" w:type="dxa"/>
              <w:left w:w="90" w:type="dxa"/>
              <w:bottom w:w="60" w:type="dxa"/>
              <w:right w:w="90" w:type="dxa"/>
            </w:tcMar>
          </w:tcPr>
          <w:p w14:paraId="5456592D" w14:textId="77777777" w:rsidR="007213F2" w:rsidRDefault="001E289B">
            <w:r>
              <w:rPr>
                <w:b/>
                <w:bCs/>
                <w:sz w:val="17"/>
                <w:szCs w:val="17"/>
              </w:rPr>
              <w:t>Principal expected opportunity</w:t>
            </w:r>
          </w:p>
        </w:tc>
        <w:tc>
          <w:tcPr>
            <w:tcW w:w="1750" w:type="dxa"/>
            <w:shd w:val="clear" w:color="auto" w:fill="E8E8E8"/>
            <w:tcMar>
              <w:top w:w="60" w:type="dxa"/>
              <w:left w:w="90" w:type="dxa"/>
              <w:bottom w:w="60" w:type="dxa"/>
              <w:right w:w="90" w:type="dxa"/>
            </w:tcMar>
          </w:tcPr>
          <w:p w14:paraId="0FA7EAA4" w14:textId="77777777" w:rsidR="007213F2" w:rsidRDefault="001E289B">
            <w:r>
              <w:rPr>
                <w:b/>
                <w:bCs/>
                <w:sz w:val="17"/>
                <w:szCs w:val="17"/>
              </w:rPr>
              <w:t>Principal expected constraint</w:t>
            </w:r>
          </w:p>
        </w:tc>
        <w:tc>
          <w:tcPr>
            <w:tcW w:w="2200" w:type="dxa"/>
            <w:shd w:val="clear" w:color="auto" w:fill="E8E8E8"/>
            <w:tcMar>
              <w:top w:w="60" w:type="dxa"/>
              <w:left w:w="90" w:type="dxa"/>
              <w:bottom w:w="60" w:type="dxa"/>
              <w:right w:w="90" w:type="dxa"/>
            </w:tcMar>
          </w:tcPr>
          <w:p w14:paraId="37E16082" w14:textId="77777777" w:rsidR="007213F2" w:rsidRDefault="001E289B">
            <w:r>
              <w:rPr>
                <w:b/>
                <w:bCs/>
                <w:sz w:val="17"/>
                <w:szCs w:val="17"/>
              </w:rPr>
              <w:t>Coverage in the Nigerian literature identified</w:t>
            </w:r>
          </w:p>
        </w:tc>
        <w:tc>
          <w:tcPr>
            <w:tcW w:w="1826" w:type="dxa"/>
            <w:shd w:val="clear" w:color="auto" w:fill="E8E8E8"/>
            <w:tcMar>
              <w:top w:w="60" w:type="dxa"/>
              <w:left w:w="90" w:type="dxa"/>
              <w:bottom w:w="60" w:type="dxa"/>
              <w:right w:w="90" w:type="dxa"/>
            </w:tcMar>
          </w:tcPr>
          <w:p w14:paraId="5C402747" w14:textId="77777777" w:rsidR="007213F2" w:rsidRDefault="001E289B">
            <w:r>
              <w:rPr>
                <w:b/>
                <w:bCs/>
                <w:sz w:val="17"/>
                <w:szCs w:val="17"/>
              </w:rPr>
              <w:t>Supporting references</w:t>
            </w:r>
          </w:p>
        </w:tc>
      </w:tr>
      <w:tr w:rsidR="007213F2" w14:paraId="7816E6D6" w14:textId="77777777">
        <w:tc>
          <w:tcPr>
            <w:tcW w:w="1500" w:type="dxa"/>
            <w:tcMar>
              <w:top w:w="60" w:type="dxa"/>
              <w:left w:w="90" w:type="dxa"/>
              <w:bottom w:w="60" w:type="dxa"/>
              <w:right w:w="90" w:type="dxa"/>
            </w:tcMar>
          </w:tcPr>
          <w:p w14:paraId="557EA857" w14:textId="77777777" w:rsidR="007213F2" w:rsidRDefault="001E289B">
            <w:r>
              <w:rPr>
                <w:sz w:val="17"/>
                <w:szCs w:val="17"/>
              </w:rPr>
              <w:t>Humid forest and lowland rainforest (south-east, south-south)</w:t>
            </w:r>
          </w:p>
        </w:tc>
        <w:tc>
          <w:tcPr>
            <w:tcW w:w="1750" w:type="dxa"/>
            <w:tcMar>
              <w:top w:w="60" w:type="dxa"/>
              <w:left w:w="90" w:type="dxa"/>
              <w:bottom w:w="60" w:type="dxa"/>
              <w:right w:w="90" w:type="dxa"/>
            </w:tcMar>
          </w:tcPr>
          <w:p w14:paraId="770CE79F" w14:textId="77777777" w:rsidR="007213F2" w:rsidRDefault="001E289B">
            <w:r>
              <w:rPr>
                <w:sz w:val="17"/>
                <w:szCs w:val="17"/>
              </w:rPr>
              <w:t>Two cropping periods; residual-moisture cropping after the main season</w:t>
            </w:r>
          </w:p>
        </w:tc>
        <w:tc>
          <w:tcPr>
            <w:tcW w:w="1750" w:type="dxa"/>
            <w:tcMar>
              <w:top w:w="60" w:type="dxa"/>
              <w:left w:w="90" w:type="dxa"/>
              <w:bottom w:w="60" w:type="dxa"/>
              <w:right w:w="90" w:type="dxa"/>
            </w:tcMar>
          </w:tcPr>
          <w:p w14:paraId="451EACAE" w14:textId="77777777" w:rsidR="007213F2" w:rsidRDefault="001E289B">
            <w:r>
              <w:rPr>
                <w:sz w:val="17"/>
                <w:szCs w:val="17"/>
              </w:rPr>
              <w:t>Excess moisture at flowering and harvest; foliar and seed-borne disease; asynchronous maturity</w:t>
            </w:r>
          </w:p>
        </w:tc>
        <w:tc>
          <w:tcPr>
            <w:tcW w:w="2200" w:type="dxa"/>
            <w:tcMar>
              <w:top w:w="60" w:type="dxa"/>
              <w:left w:w="90" w:type="dxa"/>
              <w:bottom w:w="60" w:type="dxa"/>
              <w:right w:w="90" w:type="dxa"/>
            </w:tcMar>
          </w:tcPr>
          <w:p w14:paraId="44D37B08" w14:textId="77777777" w:rsidR="007213F2" w:rsidRDefault="001E289B">
            <w:r>
              <w:rPr>
                <w:sz w:val="17"/>
                <w:szCs w:val="17"/>
              </w:rPr>
              <w:t>Several accession-evaluation and characterisation studies; oldest continuous line of Nigerian work</w:t>
            </w:r>
          </w:p>
        </w:tc>
        <w:tc>
          <w:tcPr>
            <w:tcW w:w="1826" w:type="dxa"/>
            <w:tcMar>
              <w:top w:w="60" w:type="dxa"/>
              <w:left w:w="90" w:type="dxa"/>
              <w:bottom w:w="60" w:type="dxa"/>
              <w:right w:w="90" w:type="dxa"/>
            </w:tcMar>
          </w:tcPr>
          <w:p w14:paraId="0023CA5C" w14:textId="77777777" w:rsidR="007213F2" w:rsidRDefault="001E289B">
            <w:r>
              <w:rPr>
                <w:sz w:val="17"/>
                <w:szCs w:val="17"/>
              </w:rPr>
              <w:t xml:space="preserve">Agbim (2025); </w:t>
            </w:r>
            <w:proofErr w:type="spellStart"/>
            <w:r>
              <w:rPr>
                <w:sz w:val="17"/>
                <w:szCs w:val="17"/>
              </w:rPr>
              <w:t>Ibellow</w:t>
            </w:r>
            <w:proofErr w:type="spellEnd"/>
            <w:r>
              <w:rPr>
                <w:sz w:val="17"/>
                <w:szCs w:val="17"/>
              </w:rPr>
              <w:t xml:space="preserve"> &amp; Agbim (2025); </w:t>
            </w:r>
            <w:proofErr w:type="spellStart"/>
            <w:r>
              <w:rPr>
                <w:sz w:val="17"/>
                <w:szCs w:val="17"/>
              </w:rPr>
              <w:t>Ngwuta</w:t>
            </w:r>
            <w:proofErr w:type="spellEnd"/>
            <w:r>
              <w:rPr>
                <w:sz w:val="17"/>
                <w:szCs w:val="17"/>
              </w:rPr>
              <w:t xml:space="preserve"> et al. (2011)</w:t>
            </w:r>
          </w:p>
        </w:tc>
      </w:tr>
      <w:tr w:rsidR="007213F2" w14:paraId="5C707794" w14:textId="77777777">
        <w:tc>
          <w:tcPr>
            <w:tcW w:w="1500" w:type="dxa"/>
            <w:tcMar>
              <w:top w:w="60" w:type="dxa"/>
              <w:left w:w="90" w:type="dxa"/>
              <w:bottom w:w="60" w:type="dxa"/>
              <w:right w:w="90" w:type="dxa"/>
            </w:tcMar>
          </w:tcPr>
          <w:p w14:paraId="21A2A186" w14:textId="77777777" w:rsidR="007213F2" w:rsidRDefault="001E289B">
            <w:r>
              <w:rPr>
                <w:sz w:val="17"/>
                <w:szCs w:val="17"/>
              </w:rPr>
              <w:t>Derived savanna (south-east, south-west)</w:t>
            </w:r>
          </w:p>
        </w:tc>
        <w:tc>
          <w:tcPr>
            <w:tcW w:w="1750" w:type="dxa"/>
            <w:tcMar>
              <w:top w:w="60" w:type="dxa"/>
              <w:left w:w="90" w:type="dxa"/>
              <w:bottom w:w="60" w:type="dxa"/>
              <w:right w:w="90" w:type="dxa"/>
            </w:tcMar>
          </w:tcPr>
          <w:p w14:paraId="771B4441" w14:textId="77777777" w:rsidR="007213F2" w:rsidRDefault="001E289B">
            <w:r>
              <w:rPr>
                <w:sz w:val="17"/>
                <w:szCs w:val="17"/>
              </w:rPr>
              <w:t>Early- and late-season niches; intercropping and alley-cropping systems</w:t>
            </w:r>
          </w:p>
        </w:tc>
        <w:tc>
          <w:tcPr>
            <w:tcW w:w="1750" w:type="dxa"/>
            <w:tcMar>
              <w:top w:w="60" w:type="dxa"/>
              <w:left w:w="90" w:type="dxa"/>
              <w:bottom w:w="60" w:type="dxa"/>
              <w:right w:w="90" w:type="dxa"/>
            </w:tcMar>
          </w:tcPr>
          <w:p w14:paraId="6C1662C1" w14:textId="77777777" w:rsidR="007213F2" w:rsidRDefault="001E289B">
            <w:r>
              <w:rPr>
                <w:sz w:val="17"/>
                <w:szCs w:val="17"/>
              </w:rPr>
              <w:t>Variable rainfall at pod fill; competition with established legumes</w:t>
            </w:r>
          </w:p>
        </w:tc>
        <w:tc>
          <w:tcPr>
            <w:tcW w:w="2200" w:type="dxa"/>
            <w:tcMar>
              <w:top w:w="60" w:type="dxa"/>
              <w:left w:w="90" w:type="dxa"/>
              <w:bottom w:w="60" w:type="dxa"/>
              <w:right w:w="90" w:type="dxa"/>
            </w:tcMar>
          </w:tcPr>
          <w:p w14:paraId="31D76ABE" w14:textId="77777777" w:rsidR="007213F2" w:rsidRDefault="001E289B">
            <w:r>
              <w:rPr>
                <w:sz w:val="17"/>
                <w:szCs w:val="17"/>
              </w:rPr>
              <w:t xml:space="preserve">Densest recent coverage, including spacing, accession and </w:t>
            </w:r>
            <w:proofErr w:type="spellStart"/>
            <w:r>
              <w:rPr>
                <w:sz w:val="17"/>
                <w:szCs w:val="17"/>
              </w:rPr>
              <w:t>agri</w:t>
            </w:r>
            <w:proofErr w:type="spellEnd"/>
            <w:r>
              <w:rPr>
                <w:sz w:val="17"/>
                <w:szCs w:val="17"/>
              </w:rPr>
              <w:t>-photovoltaic studies</w:t>
            </w:r>
          </w:p>
        </w:tc>
        <w:tc>
          <w:tcPr>
            <w:tcW w:w="1826" w:type="dxa"/>
            <w:tcMar>
              <w:top w:w="60" w:type="dxa"/>
              <w:left w:w="90" w:type="dxa"/>
              <w:bottom w:w="60" w:type="dxa"/>
              <w:right w:w="90" w:type="dxa"/>
            </w:tcMar>
          </w:tcPr>
          <w:p w14:paraId="3026D2C4" w14:textId="77777777" w:rsidR="007213F2" w:rsidRDefault="001E289B">
            <w:r>
              <w:rPr>
                <w:sz w:val="17"/>
                <w:szCs w:val="17"/>
              </w:rPr>
              <w:t xml:space="preserve">Koyejo et al. (2023); Obasi et al. (2025); </w:t>
            </w:r>
            <w:proofErr w:type="spellStart"/>
            <w:r>
              <w:rPr>
                <w:sz w:val="17"/>
                <w:szCs w:val="17"/>
              </w:rPr>
              <w:t>Ukwu</w:t>
            </w:r>
            <w:proofErr w:type="spellEnd"/>
            <w:r>
              <w:rPr>
                <w:sz w:val="17"/>
                <w:szCs w:val="17"/>
              </w:rPr>
              <w:t xml:space="preserve"> et al. (2023a, 2023b, 2025a, 2025b)</w:t>
            </w:r>
          </w:p>
        </w:tc>
      </w:tr>
      <w:tr w:rsidR="007213F2" w14:paraId="6698ECB0" w14:textId="77777777">
        <w:tc>
          <w:tcPr>
            <w:tcW w:w="1500" w:type="dxa"/>
            <w:tcMar>
              <w:top w:w="60" w:type="dxa"/>
              <w:left w:w="90" w:type="dxa"/>
              <w:bottom w:w="60" w:type="dxa"/>
              <w:right w:w="90" w:type="dxa"/>
            </w:tcMar>
          </w:tcPr>
          <w:p w14:paraId="61A84274" w14:textId="77777777" w:rsidR="007213F2" w:rsidRDefault="001E289B">
            <w:r>
              <w:rPr>
                <w:sz w:val="17"/>
                <w:szCs w:val="17"/>
              </w:rPr>
              <w:t>Southern Guinea savanna</w:t>
            </w:r>
          </w:p>
        </w:tc>
        <w:tc>
          <w:tcPr>
            <w:tcW w:w="1750" w:type="dxa"/>
            <w:tcMar>
              <w:top w:w="60" w:type="dxa"/>
              <w:left w:w="90" w:type="dxa"/>
              <w:bottom w:w="60" w:type="dxa"/>
              <w:right w:w="90" w:type="dxa"/>
            </w:tcMar>
          </w:tcPr>
          <w:p w14:paraId="0F0A463E" w14:textId="77777777" w:rsidR="007213F2" w:rsidRDefault="001E289B">
            <w:r>
              <w:rPr>
                <w:sz w:val="17"/>
                <w:szCs w:val="17"/>
              </w:rPr>
              <w:t>Fit within a unimodal season alongside cereals</w:t>
            </w:r>
          </w:p>
        </w:tc>
        <w:tc>
          <w:tcPr>
            <w:tcW w:w="1750" w:type="dxa"/>
            <w:tcMar>
              <w:top w:w="60" w:type="dxa"/>
              <w:left w:w="90" w:type="dxa"/>
              <w:bottom w:w="60" w:type="dxa"/>
              <w:right w:w="90" w:type="dxa"/>
            </w:tcMar>
          </w:tcPr>
          <w:p w14:paraId="183573CB" w14:textId="77777777" w:rsidR="007213F2" w:rsidRDefault="001E289B">
            <w:r>
              <w:rPr>
                <w:sz w:val="17"/>
                <w:szCs w:val="17"/>
              </w:rPr>
              <w:t>Reproductive abscission; insect pests at flowering</w:t>
            </w:r>
          </w:p>
        </w:tc>
        <w:tc>
          <w:tcPr>
            <w:tcW w:w="2200" w:type="dxa"/>
            <w:tcMar>
              <w:top w:w="60" w:type="dxa"/>
              <w:left w:w="90" w:type="dxa"/>
              <w:bottom w:w="60" w:type="dxa"/>
              <w:right w:w="90" w:type="dxa"/>
            </w:tcMar>
          </w:tcPr>
          <w:p w14:paraId="55A80039" w14:textId="77777777" w:rsidR="007213F2" w:rsidRDefault="001E289B">
            <w:r>
              <w:rPr>
                <w:sz w:val="17"/>
                <w:szCs w:val="17"/>
              </w:rPr>
              <w:t>Limited; older phenological and entomological studies only</w:t>
            </w:r>
          </w:p>
        </w:tc>
        <w:tc>
          <w:tcPr>
            <w:tcW w:w="1826" w:type="dxa"/>
            <w:tcMar>
              <w:top w:w="60" w:type="dxa"/>
              <w:left w:w="90" w:type="dxa"/>
              <w:bottom w:w="60" w:type="dxa"/>
              <w:right w:w="90" w:type="dxa"/>
            </w:tcMar>
          </w:tcPr>
          <w:p w14:paraId="291D5D81" w14:textId="77777777" w:rsidR="007213F2" w:rsidRDefault="001E289B">
            <w:proofErr w:type="spellStart"/>
            <w:r>
              <w:rPr>
                <w:sz w:val="17"/>
                <w:szCs w:val="17"/>
              </w:rPr>
              <w:t>Avav</w:t>
            </w:r>
            <w:proofErr w:type="spellEnd"/>
            <w:r>
              <w:rPr>
                <w:sz w:val="17"/>
                <w:szCs w:val="17"/>
              </w:rPr>
              <w:t xml:space="preserve"> &amp; </w:t>
            </w:r>
            <w:proofErr w:type="spellStart"/>
            <w:r>
              <w:rPr>
                <w:sz w:val="17"/>
                <w:szCs w:val="17"/>
              </w:rPr>
              <w:t>Ugese</w:t>
            </w:r>
            <w:proofErr w:type="spellEnd"/>
            <w:r>
              <w:rPr>
                <w:sz w:val="17"/>
                <w:szCs w:val="17"/>
              </w:rPr>
              <w:t xml:space="preserve"> (2009); Ndam et al. (2018); </w:t>
            </w:r>
            <w:proofErr w:type="spellStart"/>
            <w:r>
              <w:rPr>
                <w:sz w:val="17"/>
                <w:szCs w:val="17"/>
              </w:rPr>
              <w:t>Ugese</w:t>
            </w:r>
            <w:proofErr w:type="spellEnd"/>
            <w:r>
              <w:rPr>
                <w:sz w:val="17"/>
                <w:szCs w:val="17"/>
              </w:rPr>
              <w:t xml:space="preserve"> &amp; Labe (2006)</w:t>
            </w:r>
          </w:p>
        </w:tc>
      </w:tr>
      <w:tr w:rsidR="007213F2" w14:paraId="6D9F221E" w14:textId="77777777">
        <w:tc>
          <w:tcPr>
            <w:tcW w:w="1500" w:type="dxa"/>
            <w:tcMar>
              <w:top w:w="60" w:type="dxa"/>
              <w:left w:w="90" w:type="dxa"/>
              <w:bottom w:w="60" w:type="dxa"/>
              <w:right w:w="90" w:type="dxa"/>
            </w:tcMar>
          </w:tcPr>
          <w:p w14:paraId="13BCF914" w14:textId="77777777" w:rsidR="007213F2" w:rsidRDefault="001E289B">
            <w:r>
              <w:rPr>
                <w:sz w:val="17"/>
                <w:szCs w:val="17"/>
              </w:rPr>
              <w:t>Northern Guinea savanna</w:t>
            </w:r>
          </w:p>
        </w:tc>
        <w:tc>
          <w:tcPr>
            <w:tcW w:w="1750" w:type="dxa"/>
            <w:tcMar>
              <w:top w:w="60" w:type="dxa"/>
              <w:left w:w="90" w:type="dxa"/>
              <w:bottom w:w="60" w:type="dxa"/>
              <w:right w:w="90" w:type="dxa"/>
            </w:tcMar>
          </w:tcPr>
          <w:p w14:paraId="53AC1F46" w14:textId="77777777" w:rsidR="007213F2" w:rsidRDefault="001E289B">
            <w:r>
              <w:rPr>
                <w:sz w:val="17"/>
                <w:szCs w:val="17"/>
              </w:rPr>
              <w:t>Rotation with maize and sorghum; nitrogen contribution to cereals</w:t>
            </w:r>
          </w:p>
        </w:tc>
        <w:tc>
          <w:tcPr>
            <w:tcW w:w="1750" w:type="dxa"/>
            <w:tcMar>
              <w:top w:w="60" w:type="dxa"/>
              <w:left w:w="90" w:type="dxa"/>
              <w:bottom w:w="60" w:type="dxa"/>
              <w:right w:w="90" w:type="dxa"/>
            </w:tcMar>
          </w:tcPr>
          <w:p w14:paraId="0D38A450" w14:textId="77777777" w:rsidR="007213F2" w:rsidRDefault="001E289B">
            <w:r>
              <w:rPr>
                <w:sz w:val="17"/>
                <w:szCs w:val="17"/>
              </w:rPr>
              <w:t>Short season; heat at flowering; uncertain establishment</w:t>
            </w:r>
          </w:p>
        </w:tc>
        <w:tc>
          <w:tcPr>
            <w:tcW w:w="2200" w:type="dxa"/>
            <w:tcMar>
              <w:top w:w="60" w:type="dxa"/>
              <w:left w:w="90" w:type="dxa"/>
              <w:bottom w:w="60" w:type="dxa"/>
              <w:right w:w="90" w:type="dxa"/>
            </w:tcMar>
          </w:tcPr>
          <w:p w14:paraId="51044968" w14:textId="77777777" w:rsidR="007213F2" w:rsidRDefault="001E289B">
            <w:r>
              <w:rPr>
                <w:sz w:val="17"/>
                <w:szCs w:val="17"/>
              </w:rPr>
              <w:t>No mung bean field study identified; rotation evidence exists for other grain legumes</w:t>
            </w:r>
          </w:p>
        </w:tc>
        <w:tc>
          <w:tcPr>
            <w:tcW w:w="1826" w:type="dxa"/>
            <w:tcMar>
              <w:top w:w="60" w:type="dxa"/>
              <w:left w:w="90" w:type="dxa"/>
              <w:bottom w:w="60" w:type="dxa"/>
              <w:right w:w="90" w:type="dxa"/>
            </w:tcMar>
          </w:tcPr>
          <w:p w14:paraId="2C810B66" w14:textId="77777777" w:rsidR="007213F2" w:rsidRDefault="001E289B">
            <w:r>
              <w:rPr>
                <w:sz w:val="17"/>
                <w:szCs w:val="17"/>
              </w:rPr>
              <w:t>Yusuf et al. (2009a, 2009b)</w:t>
            </w:r>
          </w:p>
        </w:tc>
      </w:tr>
      <w:tr w:rsidR="007213F2" w14:paraId="3BBF9672" w14:textId="77777777">
        <w:tc>
          <w:tcPr>
            <w:tcW w:w="1500" w:type="dxa"/>
            <w:tcMar>
              <w:top w:w="60" w:type="dxa"/>
              <w:left w:w="90" w:type="dxa"/>
              <w:bottom w:w="60" w:type="dxa"/>
              <w:right w:w="90" w:type="dxa"/>
            </w:tcMar>
          </w:tcPr>
          <w:p w14:paraId="0CECBF7B" w14:textId="77777777" w:rsidR="007213F2" w:rsidRDefault="001E289B">
            <w:r>
              <w:rPr>
                <w:sz w:val="17"/>
                <w:szCs w:val="17"/>
              </w:rPr>
              <w:t>Sudan savanna and Sahel</w:t>
            </w:r>
          </w:p>
        </w:tc>
        <w:tc>
          <w:tcPr>
            <w:tcW w:w="1750" w:type="dxa"/>
            <w:tcMar>
              <w:top w:w="60" w:type="dxa"/>
              <w:left w:w="90" w:type="dxa"/>
              <w:bottom w:w="60" w:type="dxa"/>
              <w:right w:w="90" w:type="dxa"/>
            </w:tcMar>
          </w:tcPr>
          <w:p w14:paraId="717A786B" w14:textId="77777777" w:rsidR="007213F2" w:rsidRDefault="001E289B">
            <w:r>
              <w:rPr>
                <w:sz w:val="17"/>
                <w:szCs w:val="17"/>
              </w:rPr>
              <w:t>Drought escape in a short, unreliable moisture window</w:t>
            </w:r>
          </w:p>
        </w:tc>
        <w:tc>
          <w:tcPr>
            <w:tcW w:w="1750" w:type="dxa"/>
            <w:tcMar>
              <w:top w:w="60" w:type="dxa"/>
              <w:left w:w="90" w:type="dxa"/>
              <w:bottom w:w="60" w:type="dxa"/>
              <w:right w:w="90" w:type="dxa"/>
            </w:tcMar>
          </w:tcPr>
          <w:p w14:paraId="026A9D8E" w14:textId="77777777" w:rsidR="007213F2" w:rsidRDefault="001E289B">
            <w:r>
              <w:rPr>
                <w:sz w:val="17"/>
                <w:szCs w:val="17"/>
              </w:rPr>
              <w:t>Terminal drought; high evaporative demand; establishment failure</w:t>
            </w:r>
          </w:p>
        </w:tc>
        <w:tc>
          <w:tcPr>
            <w:tcW w:w="2200" w:type="dxa"/>
            <w:tcMar>
              <w:top w:w="60" w:type="dxa"/>
              <w:left w:w="90" w:type="dxa"/>
              <w:bottom w:w="60" w:type="dxa"/>
              <w:right w:w="90" w:type="dxa"/>
            </w:tcMar>
          </w:tcPr>
          <w:p w14:paraId="4F2B0DA7" w14:textId="77777777" w:rsidR="007213F2" w:rsidRDefault="001E289B">
            <w:r>
              <w:rPr>
                <w:sz w:val="17"/>
                <w:szCs w:val="17"/>
              </w:rPr>
              <w:t>One controlled watering-interval study; no field trial identified</w:t>
            </w:r>
          </w:p>
        </w:tc>
        <w:tc>
          <w:tcPr>
            <w:tcW w:w="1826" w:type="dxa"/>
            <w:tcMar>
              <w:top w:w="60" w:type="dxa"/>
              <w:left w:w="90" w:type="dxa"/>
              <w:bottom w:w="60" w:type="dxa"/>
              <w:right w:w="90" w:type="dxa"/>
            </w:tcMar>
          </w:tcPr>
          <w:p w14:paraId="41B79AEF" w14:textId="77777777" w:rsidR="007213F2" w:rsidRDefault="001E289B">
            <w:r>
              <w:rPr>
                <w:sz w:val="17"/>
                <w:szCs w:val="17"/>
              </w:rPr>
              <w:t>Mustapha et al. (2025)</w:t>
            </w:r>
          </w:p>
        </w:tc>
      </w:tr>
    </w:tbl>
    <w:p w14:paraId="3FFB622A" w14:textId="77777777" w:rsidR="007213F2" w:rsidRDefault="001E289B">
      <w:pPr>
        <w:spacing w:before="100" w:after="240"/>
      </w:pPr>
      <w:r>
        <w:rPr>
          <w:i/>
          <w:iCs/>
          <w:sz w:val="17"/>
          <w:szCs w:val="17"/>
        </w:rPr>
        <w:lastRenderedPageBreak/>
        <w:t xml:space="preserve">Note. </w:t>
      </w:r>
      <w:r>
        <w:rPr>
          <w:sz w:val="17"/>
          <w:szCs w:val="17"/>
        </w:rPr>
        <w:t>Coverage refers to peer-reviewed studies of mung bean conducted in Nigeria that were identified by the searches described in Section 2 and whose location could be determined; absence of a study in this table indicates that none was retrieved, not that none exists. Expected opportunities and constraints are inferred from the physiological and agronomic literature cited in Sections 3 to 6 and are not themselves measured quantities.</w:t>
      </w:r>
    </w:p>
    <w:p w14:paraId="29F1BB6D" w14:textId="77777777" w:rsidR="007213F2" w:rsidRDefault="001E289B">
      <w:pPr>
        <w:pStyle w:val="Heading1"/>
        <w:spacing w:before="320" w:after="140"/>
      </w:pPr>
      <w:r>
        <w:rPr>
          <w:b/>
          <w:bCs/>
          <w:color w:val="000000"/>
          <w:sz w:val="24"/>
          <w:szCs w:val="24"/>
        </w:rPr>
        <w:t>4. Yield Performance in Nigerian Trials</w:t>
      </w:r>
    </w:p>
    <w:p w14:paraId="39B01A17" w14:textId="77777777" w:rsidR="007213F2" w:rsidRDefault="001E289B">
      <w:pPr>
        <w:pStyle w:val="Heading2"/>
        <w:spacing w:before="240" w:after="120"/>
      </w:pPr>
      <w:r>
        <w:rPr>
          <w:b/>
          <w:bCs/>
          <w:color w:val="000000"/>
          <w:sz w:val="21"/>
          <w:szCs w:val="21"/>
        </w:rPr>
        <w:t>4.1 The range of reported yields and the reasons for its width</w:t>
      </w:r>
    </w:p>
    <w:p w14:paraId="33E5C7DC" w14:textId="77777777" w:rsidR="007213F2" w:rsidRDefault="001E289B">
      <w:pPr>
        <w:spacing w:after="160" w:line="300" w:lineRule="auto"/>
        <w:jc w:val="both"/>
      </w:pPr>
      <w:r>
        <w:t>Seed yields reported for mung bean in Nigeria span a range wide enough to require explanation before any of the individual figures can be used. At the lower end, spacing trials in the derived savanna of the south-east recorded genotype means of approximately 0.80 t ha⁻¹ for the best-performing entry and 0.52 t ha⁻¹ for the poorest, with the best genotype and spacing combination reaching 1.37 t ha⁻¹ and the poorest combination 0.62 t ha⁻¹ (</w:t>
      </w:r>
      <w:proofErr w:type="spellStart"/>
      <w:r>
        <w:t>Ukwu</w:t>
      </w:r>
      <w:proofErr w:type="spellEnd"/>
      <w:r>
        <w:t xml:space="preserve"> et al., 2023a). In the middle of the range, multi-environment evaluation of twenty accessions across three south-western </w:t>
      </w:r>
      <w:proofErr w:type="spellStart"/>
      <w:r>
        <w:t>agro</w:t>
      </w:r>
      <w:proofErr w:type="spellEnd"/>
      <w:r>
        <w:t>-ecological zones in two seasons produced a grand mean of 1,472.93 kg ha⁻¹, a value the authors noted exceeded earlier Nigerian reports from both the southern Guinea savanna and the lowland rainforest (</w:t>
      </w:r>
      <w:proofErr w:type="spellStart"/>
      <w:r>
        <w:t>Akinyosoye</w:t>
      </w:r>
      <w:proofErr w:type="spellEnd"/>
      <w:r>
        <w:t xml:space="preserve"> et al., 2021). At the upper end, genotypes grown beneath photovoltaic arrays at Nsukka yielded 2.60 and 2.50 t ha⁻¹ for the two broadly adapted entries, with the best of six micro-environments returning 2.61 t ha⁻¹ and the poorest 1.71 t ha⁻¹ (</w:t>
      </w:r>
      <w:proofErr w:type="spellStart"/>
      <w:r>
        <w:t>Ukwu</w:t>
      </w:r>
      <w:proofErr w:type="spellEnd"/>
      <w:r>
        <w:t xml:space="preserve"> et al., 2025b).</w:t>
      </w:r>
    </w:p>
    <w:p w14:paraId="11312528" w14:textId="77777777" w:rsidR="007213F2" w:rsidRDefault="001E289B">
      <w:pPr>
        <w:spacing w:after="160" w:line="300" w:lineRule="auto"/>
        <w:jc w:val="both"/>
      </w:pPr>
      <w:r>
        <w:t>Three distinct explanations for this spread must be separated. The first is genuine environmental difference. The south-western multi-environment trials sampled rainforest, derived savanna and southern Guinea savanna conditions, and the authors reported that phenotypic coefficients of variation exceeded genotypic coefficients for every agronomic character measured, which indicates a substantial environmental contribution to observed variation (</w:t>
      </w:r>
      <w:proofErr w:type="spellStart"/>
      <w:r>
        <w:t>Akinyosoye</w:t>
      </w:r>
      <w:proofErr w:type="spellEnd"/>
      <w:r>
        <w:t xml:space="preserve"> et al., 2021). Seasonal effects within a location can be of similar magnitude: evaluation of twenty-one accessions at Ile-Ife and Kishi found performance generally better in the early season than in the late season (Oloyede-</w:t>
      </w:r>
      <w:proofErr w:type="spellStart"/>
      <w:r>
        <w:t>Kamiyo</w:t>
      </w:r>
      <w:proofErr w:type="spellEnd"/>
      <w:r>
        <w:t xml:space="preserve"> et al., 2024).</w:t>
      </w:r>
    </w:p>
    <w:p w14:paraId="256B2807" w14:textId="77777777" w:rsidR="007213F2" w:rsidRDefault="001E289B">
      <w:pPr>
        <w:spacing w:after="160" w:line="300" w:lineRule="auto"/>
        <w:jc w:val="both"/>
      </w:pPr>
      <w:r>
        <w:t>The second explanation is management. The spacing study demonstrated that plant arrangement alone altered seed yield by a factor of more than two within a single site and season, with the narrowest arrangement of thirty by ten centimetres producing the highest values for most agronomic traits, and with a genotype by spacing interaction such that biplot analysis identified the widest arrangement of forty by fifteen centimetres as superior for one of the three genotypes (</w:t>
      </w:r>
      <w:proofErr w:type="spellStart"/>
      <w:r>
        <w:t>Ukwu</w:t>
      </w:r>
      <w:proofErr w:type="spellEnd"/>
      <w:r>
        <w:t xml:space="preserve"> et al., 2023a). A yield figure reported without the corresponding plant population is therefore not interpretable, yet plant population is not consistently reported across the Nigerian studies.</w:t>
      </w:r>
    </w:p>
    <w:p w14:paraId="1AEB6CBC" w14:textId="77777777" w:rsidR="007213F2" w:rsidRDefault="001E289B">
      <w:pPr>
        <w:spacing w:after="160" w:line="300" w:lineRule="auto"/>
        <w:jc w:val="both"/>
      </w:pPr>
      <w:r>
        <w:t xml:space="preserve">The third explanation is that the highest Nigerian yields were not obtained under ordinary field conditions. The values above 2.5 t ha⁻¹ come from an </w:t>
      </w:r>
      <w:proofErr w:type="spellStart"/>
      <w:r>
        <w:t>agri</w:t>
      </w:r>
      <w:proofErr w:type="spellEnd"/>
      <w:r>
        <w:t>-photovoltaic facility in which photosynthetically active radiation was reduced by between five and forty-seven per cent, leaf temperature by three to nine per cent, and the proportion of potentially harmful unregulated energy reaching the reaction centres by nineteen to twenty-three per cent, with relative humidity and several growth and yield components correspondingly increased relative to unshaded controls (</w:t>
      </w:r>
      <w:proofErr w:type="spellStart"/>
      <w:r>
        <w:t>Ukwu</w:t>
      </w:r>
      <w:proofErr w:type="spellEnd"/>
      <w:r>
        <w:t xml:space="preserve"> et al., 2025a). These results are of considerable interest for land-use policy, and they demonstrate that mung bean responds positively to partial shading in a tropical environment. They are not, however, evidence of open-field yield potential, and treating them as such would misrepresent the crop's performance under the conditions in which Nigerian farmers would actually grow it. The distinction matters because the shaded values are the ones most likely to be quoted.</w:t>
      </w:r>
    </w:p>
    <w:p w14:paraId="54B73A1E" w14:textId="77777777" w:rsidR="007213F2" w:rsidRDefault="001E289B">
      <w:pPr>
        <w:spacing w:after="160" w:line="300" w:lineRule="auto"/>
        <w:jc w:val="both"/>
      </w:pPr>
      <w:r>
        <w:t xml:space="preserve">When these three sources are accounted for, the defensible statement is narrower than the raw range suggests. Under conventional open-field management in southern and south-western Nigerian environments, adapted accessions have produced seed yields broadly in the range of about 0.5 to 1.5 t ha⁻¹, with the upper part of </w:t>
      </w:r>
      <w:r>
        <w:lastRenderedPageBreak/>
        <w:t>that range attained by selected genotypes at favourable plant populations in the early season. This is a useful level of productivity for a crop of this duration, and it is consistent with reported yields for the species in East African environments where genotype by environment interaction has likewise proved substantial (Baraki et al., 2020). It does not support claims of exceptional productivity, and it has not been demonstrated for the northern zones at all.</w:t>
      </w:r>
    </w:p>
    <w:p w14:paraId="143D783A" w14:textId="77777777" w:rsidR="007213F2" w:rsidRDefault="001E289B">
      <w:pPr>
        <w:pStyle w:val="Heading2"/>
        <w:spacing w:before="240" w:after="120"/>
      </w:pPr>
      <w:r>
        <w:rPr>
          <w:b/>
          <w:bCs/>
          <w:color w:val="000000"/>
          <w:sz w:val="21"/>
          <w:szCs w:val="21"/>
        </w:rPr>
        <w:t>4.2 Genotype by environment interaction and the reliability of selection</w:t>
      </w:r>
    </w:p>
    <w:p w14:paraId="153A0F0E" w14:textId="77777777" w:rsidR="007213F2" w:rsidRDefault="001E289B">
      <w:pPr>
        <w:spacing w:after="160" w:line="300" w:lineRule="auto"/>
        <w:jc w:val="both"/>
      </w:pPr>
      <w:r>
        <w:t xml:space="preserve">Every Nigerian study that has tested genotypes across more than one environment has found interaction effects large enough to affect selection decisions. Additive main effects and multiplicative interaction analysis of five genotypes across six </w:t>
      </w:r>
      <w:proofErr w:type="spellStart"/>
      <w:r>
        <w:t>agri</w:t>
      </w:r>
      <w:proofErr w:type="spellEnd"/>
      <w:r>
        <w:t>-photovoltaic micro-environments confirmed significant genotype, environment and interaction effects for seed yield; one genotype showed a joint-regression sensitivity coefficient of 2.95, indicating strongly above-average responsiveness to environmental quality, and was unstable across environments, while two others combined high mean yield with broad adaptability (</w:t>
      </w:r>
      <w:proofErr w:type="spellStart"/>
      <w:r>
        <w:t>Ukwu</w:t>
      </w:r>
      <w:proofErr w:type="spellEnd"/>
      <w:r>
        <w:t xml:space="preserve"> et al., 2025b). That such interaction is detectable across micro-environments differing only in panel orientation and position implies that interaction across true </w:t>
      </w:r>
      <w:proofErr w:type="spellStart"/>
      <w:r>
        <w:t>agro</w:t>
      </w:r>
      <w:proofErr w:type="spellEnd"/>
      <w:r>
        <w:t>-ecological zones will be considerably larger.</w:t>
      </w:r>
    </w:p>
    <w:p w14:paraId="6F605896" w14:textId="77777777" w:rsidR="007213F2" w:rsidRDefault="001E289B">
      <w:pPr>
        <w:spacing w:after="160" w:line="300" w:lineRule="auto"/>
        <w:jc w:val="both"/>
      </w:pPr>
      <w:r>
        <w:t>The south-western multi-environment analysis quantified the consequence for breeding directly. Using restricted maximum likelihood and best linear unbiased prediction across six environments, heritability was high for days to first flowering at eighty-seven per cent, for pod length at eighty-five per cent and for number of seeds per pod at seventy-nine per cent, and moderate for days to fifty per cent flowering at fifty-five per cent, but reached only twenty-three per cent for seed yield per hectare, with selective accuracy for yield of 0.5 (</w:t>
      </w:r>
      <w:proofErr w:type="spellStart"/>
      <w:r>
        <w:t>Akinyosoye</w:t>
      </w:r>
      <w:proofErr w:type="spellEnd"/>
      <w:r>
        <w:t xml:space="preserve"> et al., 2021). This pattern is internally coherent and is the single most important quantitative finding in the Nigerian literature. It means that earliness and pod characters can be selected reliably from relatively modest testing, whereas yield itself cannot, and that selection for yield conducted at one or two sites will be unreliable regardless of how carefully the trial is executed.</w:t>
      </w:r>
    </w:p>
    <w:p w14:paraId="5E335DCA" w14:textId="77777777" w:rsidR="007213F2" w:rsidRDefault="001E289B">
      <w:pPr>
        <w:spacing w:after="160" w:line="300" w:lineRule="auto"/>
        <w:jc w:val="both"/>
      </w:pPr>
      <w:r>
        <w:t>The practical implication has not been drawn out in the primary literature. Nigerian mung bean selection has proceeded largely by identifying the highest-yielding entries within individual trials, and several studies recommend specific accessions on that basis. Where heritability for yield is of the order of twenty per cent, such recommendations carry a high probability of being reversed on retesting. The more defensible strategy indicated by the data is to select on the high-heritability traits, particularly earliness and pod characters, and to treat yield as a trait requiring multi-environment testing with explicit interaction modelling before any recommendation is made. Germplasm characterisation studies have begun to supply the raw material for such a strategy: principal component analysis of one hundred and twenty accessions introduced into Nigeria from an international vegetable research centre showed that the first four components accounted for 56.84 per cent of total morphological variation, with pod, petiole, leaf and seed characters loading most strongly (Obasi et al., 2025), and marker-based association analysis of grain yield and protein content in mung bean has now been reported with Nigerian participation (Obasi et al., 2026).</w:t>
      </w:r>
    </w:p>
    <w:p w14:paraId="73A1EC6A" w14:textId="77777777" w:rsidR="007213F2" w:rsidRDefault="001E289B">
      <w:pPr>
        <w:pStyle w:val="Heading2"/>
        <w:spacing w:before="240" w:after="120"/>
      </w:pPr>
      <w:r>
        <w:rPr>
          <w:b/>
          <w:bCs/>
          <w:color w:val="000000"/>
          <w:sz w:val="21"/>
          <w:szCs w:val="21"/>
        </w:rPr>
        <w:t>4.3 Season, sowing window and the unresolved question of timing</w:t>
      </w:r>
    </w:p>
    <w:p w14:paraId="25F79D23" w14:textId="77777777" w:rsidR="007213F2" w:rsidRDefault="001E289B">
      <w:pPr>
        <w:spacing w:after="160" w:line="300" w:lineRule="auto"/>
        <w:jc w:val="both"/>
      </w:pPr>
      <w:r>
        <w:t>Sowing date determines the coincidence of flowering with rainfall, temperature and pest abundance, and in a crop this short the coincidence is decided by a matter of weeks. Nigerian evidence on sowing date is thin and partly contradictory. The most direct comparison found early-season performance superior to late-season performance at two south-western sites (Oloyede-</w:t>
      </w:r>
      <w:proofErr w:type="spellStart"/>
      <w:r>
        <w:t>Kamiyo</w:t>
      </w:r>
      <w:proofErr w:type="spellEnd"/>
      <w:r>
        <w:t xml:space="preserve"> et al., 2024), and a south-eastern study of growth and adaptation across planting periods reached broadly compatible conclusions (</w:t>
      </w:r>
      <w:proofErr w:type="spellStart"/>
      <w:r>
        <w:t>Chukwura</w:t>
      </w:r>
      <w:proofErr w:type="spellEnd"/>
      <w:r>
        <w:t xml:space="preserve"> et al., 2024). Set against this, the earlier savanna work on reproductive abscission identified flower and pod shedding as a major determinant of realised seed yield in the sub-humid zone (</w:t>
      </w:r>
      <w:proofErr w:type="spellStart"/>
      <w:r>
        <w:t>Avav</w:t>
      </w:r>
      <w:proofErr w:type="spellEnd"/>
      <w:r>
        <w:t xml:space="preserve"> &amp; </w:t>
      </w:r>
      <w:proofErr w:type="spellStart"/>
      <w:r>
        <w:t>Ugese</w:t>
      </w:r>
      <w:proofErr w:type="spellEnd"/>
      <w:r>
        <w:t xml:space="preserve">, 2009), and abscission is </w:t>
      </w:r>
      <w:r>
        <w:lastRenderedPageBreak/>
        <w:t>itself sensitive to temperature and moisture status at flowering, which are exactly the variables that sowing date manipulates. The Nigerian studies have not, to date, reported the environmental conditions prevailing during flowering in a form that would allow abscission and sowing date to be related quantitatively.</w:t>
      </w:r>
    </w:p>
    <w:p w14:paraId="275420A8" w14:textId="77777777" w:rsidR="007213F2" w:rsidRDefault="001E289B">
      <w:pPr>
        <w:spacing w:after="160" w:line="300" w:lineRule="auto"/>
        <w:jc w:val="both"/>
      </w:pPr>
      <w:r>
        <w:t>This is a solvable problem, and the tools required have already been applied to other Nigerian legumes. The CROPGRO-Cowpea model has been evaluated and used to define appropriate sowing windows and planting densities for cowpea varieties across contrasting environments (Kamara et al., 2025), and process-based simulation has been used to project climate-change effects on soybean productivity in the Nigerian savannas (</w:t>
      </w:r>
      <w:proofErr w:type="spellStart"/>
      <w:r>
        <w:t>Bebeley</w:t>
      </w:r>
      <w:proofErr w:type="spellEnd"/>
      <w:r>
        <w:t xml:space="preserve"> et al., 2025). A mung bean model within the APSIM framework exists and has been developed specifically to support decisions about the crop's fit into cropping sequences (Pasley et al., 2023), and a continental analysis has argued that crop models are the practical route to adaptation planning for opportunity crops in Africa (Yang et al., 2025). No published application of any crop model to mung bean in Nigeria was identified. The consequence is that sowing-window guidance for the crop in Nigeria currently rests on a handful of empirical season comparisons at a small number of southern sites.</w:t>
      </w:r>
    </w:p>
    <w:p w14:paraId="617597CF" w14:textId="77777777" w:rsidR="007213F2" w:rsidRDefault="001E289B">
      <w:pPr>
        <w:spacing w:after="160" w:line="300" w:lineRule="auto"/>
        <w:jc w:val="both"/>
      </w:pPr>
      <w:r>
        <w:t>Table 2 assembles the Nigerian yield evidence in a form that makes the comparison explicit, reporting each study's environment, design, seasons and the conditions under which the yields were obtained. Read together with the preceding discussion, it shows that the studies with the highest reported yields are those with the most atypical growing conditions, that no study reports more than two seasons, and that the yield basis and plant population are inconsistently specified. It also shows that the trials cluster in two of the country's five broad production zones.</w:t>
      </w:r>
    </w:p>
    <w:p w14:paraId="774DC4AD" w14:textId="77777777" w:rsidR="007213F2" w:rsidRDefault="001E289B">
      <w:pPr>
        <w:spacing w:before="200" w:after="100"/>
      </w:pPr>
      <w:r>
        <w:rPr>
          <w:b/>
          <w:bCs/>
          <w:sz w:val="19"/>
          <w:szCs w:val="19"/>
        </w:rPr>
        <w:t>Table 2. Reported seed yields of mung bean in Nigerian studies, with the conditions under which they were obtained</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97"/>
        <w:gridCol w:w="1748"/>
        <w:gridCol w:w="813"/>
        <w:gridCol w:w="1697"/>
        <w:gridCol w:w="1847"/>
        <w:gridCol w:w="1424"/>
      </w:tblGrid>
      <w:tr w:rsidR="007213F2" w14:paraId="680C48AC" w14:textId="77777777">
        <w:trPr>
          <w:tblHeader/>
        </w:trPr>
        <w:tc>
          <w:tcPr>
            <w:tcW w:w="1500" w:type="dxa"/>
            <w:shd w:val="clear" w:color="auto" w:fill="E8E8E8"/>
            <w:tcMar>
              <w:top w:w="60" w:type="dxa"/>
              <w:left w:w="90" w:type="dxa"/>
              <w:bottom w:w="60" w:type="dxa"/>
              <w:right w:w="90" w:type="dxa"/>
            </w:tcMar>
          </w:tcPr>
          <w:p w14:paraId="7D7F10F0" w14:textId="77777777" w:rsidR="007213F2" w:rsidRDefault="001E289B">
            <w:r>
              <w:rPr>
                <w:b/>
                <w:bCs/>
                <w:sz w:val="17"/>
                <w:szCs w:val="17"/>
              </w:rPr>
              <w:t>Study location and zone</w:t>
            </w:r>
          </w:p>
        </w:tc>
        <w:tc>
          <w:tcPr>
            <w:tcW w:w="1750" w:type="dxa"/>
            <w:shd w:val="clear" w:color="auto" w:fill="E8E8E8"/>
            <w:tcMar>
              <w:top w:w="60" w:type="dxa"/>
              <w:left w:w="90" w:type="dxa"/>
              <w:bottom w:w="60" w:type="dxa"/>
              <w:right w:w="90" w:type="dxa"/>
            </w:tcMar>
          </w:tcPr>
          <w:p w14:paraId="0EB9BD34" w14:textId="77777777" w:rsidR="007213F2" w:rsidRDefault="001E289B">
            <w:r>
              <w:rPr>
                <w:b/>
                <w:bCs/>
                <w:sz w:val="17"/>
                <w:szCs w:val="17"/>
              </w:rPr>
              <w:t>Design and scope</w:t>
            </w:r>
          </w:p>
        </w:tc>
        <w:tc>
          <w:tcPr>
            <w:tcW w:w="800" w:type="dxa"/>
            <w:shd w:val="clear" w:color="auto" w:fill="E8E8E8"/>
            <w:tcMar>
              <w:top w:w="60" w:type="dxa"/>
              <w:left w:w="90" w:type="dxa"/>
              <w:bottom w:w="60" w:type="dxa"/>
              <w:right w:w="90" w:type="dxa"/>
            </w:tcMar>
          </w:tcPr>
          <w:p w14:paraId="069C2AAB" w14:textId="77777777" w:rsidR="007213F2" w:rsidRDefault="001E289B">
            <w:r>
              <w:rPr>
                <w:b/>
                <w:bCs/>
                <w:sz w:val="17"/>
                <w:szCs w:val="17"/>
              </w:rPr>
              <w:t>Seasons reported</w:t>
            </w:r>
          </w:p>
        </w:tc>
        <w:tc>
          <w:tcPr>
            <w:tcW w:w="1700" w:type="dxa"/>
            <w:shd w:val="clear" w:color="auto" w:fill="E8E8E8"/>
            <w:tcMar>
              <w:top w:w="60" w:type="dxa"/>
              <w:left w:w="90" w:type="dxa"/>
              <w:bottom w:w="60" w:type="dxa"/>
              <w:right w:w="90" w:type="dxa"/>
            </w:tcMar>
          </w:tcPr>
          <w:p w14:paraId="301D8D22" w14:textId="77777777" w:rsidR="007213F2" w:rsidRDefault="001E289B">
            <w:r>
              <w:rPr>
                <w:b/>
                <w:bCs/>
                <w:sz w:val="17"/>
                <w:szCs w:val="17"/>
              </w:rPr>
              <w:t>Reported seed yield</w:t>
            </w:r>
          </w:p>
        </w:tc>
        <w:tc>
          <w:tcPr>
            <w:tcW w:w="1850" w:type="dxa"/>
            <w:shd w:val="clear" w:color="auto" w:fill="E8E8E8"/>
            <w:tcMar>
              <w:top w:w="60" w:type="dxa"/>
              <w:left w:w="90" w:type="dxa"/>
              <w:bottom w:w="60" w:type="dxa"/>
              <w:right w:w="90" w:type="dxa"/>
            </w:tcMar>
          </w:tcPr>
          <w:p w14:paraId="78BC0EDD" w14:textId="77777777" w:rsidR="007213F2" w:rsidRDefault="001E289B">
            <w:r>
              <w:rPr>
                <w:b/>
                <w:bCs/>
                <w:sz w:val="17"/>
                <w:szCs w:val="17"/>
              </w:rPr>
              <w:t>Conditions qualifying interpretation</w:t>
            </w:r>
          </w:p>
        </w:tc>
        <w:tc>
          <w:tcPr>
            <w:tcW w:w="1426" w:type="dxa"/>
            <w:shd w:val="clear" w:color="auto" w:fill="E8E8E8"/>
            <w:tcMar>
              <w:top w:w="60" w:type="dxa"/>
              <w:left w:w="90" w:type="dxa"/>
              <w:bottom w:w="60" w:type="dxa"/>
              <w:right w:w="90" w:type="dxa"/>
            </w:tcMar>
          </w:tcPr>
          <w:p w14:paraId="6193395B" w14:textId="77777777" w:rsidR="007213F2" w:rsidRDefault="001E289B">
            <w:r>
              <w:rPr>
                <w:b/>
                <w:bCs/>
                <w:sz w:val="17"/>
                <w:szCs w:val="17"/>
              </w:rPr>
              <w:t>Supporting references</w:t>
            </w:r>
          </w:p>
        </w:tc>
      </w:tr>
      <w:tr w:rsidR="007213F2" w14:paraId="11F397F9" w14:textId="77777777">
        <w:tc>
          <w:tcPr>
            <w:tcW w:w="1500" w:type="dxa"/>
            <w:tcMar>
              <w:top w:w="60" w:type="dxa"/>
              <w:left w:w="90" w:type="dxa"/>
              <w:bottom w:w="60" w:type="dxa"/>
              <w:right w:w="90" w:type="dxa"/>
            </w:tcMar>
          </w:tcPr>
          <w:p w14:paraId="3A4CEEEA" w14:textId="77777777" w:rsidR="007213F2" w:rsidRDefault="001E289B">
            <w:r>
              <w:rPr>
                <w:sz w:val="17"/>
                <w:szCs w:val="17"/>
              </w:rPr>
              <w:t>Ibadan, Ile-Ife and Kishi (rainforest, derived savanna, southern Guinea savanna)</w:t>
            </w:r>
          </w:p>
        </w:tc>
        <w:tc>
          <w:tcPr>
            <w:tcW w:w="1750" w:type="dxa"/>
            <w:tcMar>
              <w:top w:w="60" w:type="dxa"/>
              <w:left w:w="90" w:type="dxa"/>
              <w:bottom w:w="60" w:type="dxa"/>
              <w:right w:w="90" w:type="dxa"/>
            </w:tcMar>
          </w:tcPr>
          <w:p w14:paraId="34764739" w14:textId="77777777" w:rsidR="007213F2" w:rsidRDefault="001E289B">
            <w:r>
              <w:rPr>
                <w:sz w:val="17"/>
                <w:szCs w:val="17"/>
              </w:rPr>
              <w:t>20 accessions, randomised complete block, six environments, mixed-model analysis</w:t>
            </w:r>
          </w:p>
        </w:tc>
        <w:tc>
          <w:tcPr>
            <w:tcW w:w="800" w:type="dxa"/>
            <w:tcMar>
              <w:top w:w="60" w:type="dxa"/>
              <w:left w:w="90" w:type="dxa"/>
              <w:bottom w:w="60" w:type="dxa"/>
              <w:right w:w="90" w:type="dxa"/>
            </w:tcMar>
          </w:tcPr>
          <w:p w14:paraId="389722BC" w14:textId="77777777" w:rsidR="007213F2" w:rsidRDefault="001E289B">
            <w:r>
              <w:rPr>
                <w:sz w:val="17"/>
                <w:szCs w:val="17"/>
              </w:rPr>
              <w:t>Two (2019, 2020)</w:t>
            </w:r>
          </w:p>
        </w:tc>
        <w:tc>
          <w:tcPr>
            <w:tcW w:w="1700" w:type="dxa"/>
            <w:tcMar>
              <w:top w:w="60" w:type="dxa"/>
              <w:left w:w="90" w:type="dxa"/>
              <w:bottom w:w="60" w:type="dxa"/>
              <w:right w:w="90" w:type="dxa"/>
            </w:tcMar>
          </w:tcPr>
          <w:p w14:paraId="191C55A6" w14:textId="77777777" w:rsidR="007213F2" w:rsidRDefault="001E289B">
            <w:r>
              <w:rPr>
                <w:sz w:val="17"/>
                <w:szCs w:val="17"/>
              </w:rPr>
              <w:t>Grand mean 1,472.93 kg ha⁻¹ across six environments</w:t>
            </w:r>
          </w:p>
        </w:tc>
        <w:tc>
          <w:tcPr>
            <w:tcW w:w="1850" w:type="dxa"/>
            <w:tcMar>
              <w:top w:w="60" w:type="dxa"/>
              <w:left w:w="90" w:type="dxa"/>
              <w:bottom w:w="60" w:type="dxa"/>
              <w:right w:w="90" w:type="dxa"/>
            </w:tcMar>
          </w:tcPr>
          <w:p w14:paraId="6F0E827D" w14:textId="77777777" w:rsidR="007213F2" w:rsidRDefault="001E289B">
            <w:r>
              <w:rPr>
                <w:sz w:val="17"/>
                <w:szCs w:val="17"/>
              </w:rPr>
              <w:t>Heritability for seed yield 23%; selective accuracy for yield 0.5</w:t>
            </w:r>
          </w:p>
        </w:tc>
        <w:tc>
          <w:tcPr>
            <w:tcW w:w="1426" w:type="dxa"/>
            <w:tcMar>
              <w:top w:w="60" w:type="dxa"/>
              <w:left w:w="90" w:type="dxa"/>
              <w:bottom w:w="60" w:type="dxa"/>
              <w:right w:w="90" w:type="dxa"/>
            </w:tcMar>
          </w:tcPr>
          <w:p w14:paraId="1AB0F6AA" w14:textId="77777777" w:rsidR="007213F2" w:rsidRDefault="001E289B">
            <w:proofErr w:type="spellStart"/>
            <w:r>
              <w:rPr>
                <w:sz w:val="17"/>
                <w:szCs w:val="17"/>
              </w:rPr>
              <w:t>Akinyosoye</w:t>
            </w:r>
            <w:proofErr w:type="spellEnd"/>
            <w:r>
              <w:rPr>
                <w:sz w:val="17"/>
                <w:szCs w:val="17"/>
              </w:rPr>
              <w:t xml:space="preserve"> et al. (2021)</w:t>
            </w:r>
          </w:p>
        </w:tc>
      </w:tr>
      <w:tr w:rsidR="007213F2" w14:paraId="0D4AF242" w14:textId="77777777">
        <w:tc>
          <w:tcPr>
            <w:tcW w:w="1500" w:type="dxa"/>
            <w:tcMar>
              <w:top w:w="60" w:type="dxa"/>
              <w:left w:w="90" w:type="dxa"/>
              <w:bottom w:w="60" w:type="dxa"/>
              <w:right w:w="90" w:type="dxa"/>
            </w:tcMar>
          </w:tcPr>
          <w:p w14:paraId="4919F87C" w14:textId="77777777" w:rsidR="007213F2" w:rsidRDefault="001E289B">
            <w:r>
              <w:rPr>
                <w:sz w:val="17"/>
                <w:szCs w:val="17"/>
              </w:rPr>
              <w:t>Nsukka (derived savanna)</w:t>
            </w:r>
          </w:p>
        </w:tc>
        <w:tc>
          <w:tcPr>
            <w:tcW w:w="1750" w:type="dxa"/>
            <w:tcMar>
              <w:top w:w="60" w:type="dxa"/>
              <w:left w:w="90" w:type="dxa"/>
              <w:bottom w:w="60" w:type="dxa"/>
              <w:right w:w="90" w:type="dxa"/>
            </w:tcMar>
          </w:tcPr>
          <w:p w14:paraId="045E7C66" w14:textId="77777777" w:rsidR="007213F2" w:rsidRDefault="001E289B">
            <w:r>
              <w:rPr>
                <w:sz w:val="17"/>
                <w:szCs w:val="17"/>
              </w:rPr>
              <w:t>3 genotypes by 4 spacings, split-plot</w:t>
            </w:r>
          </w:p>
        </w:tc>
        <w:tc>
          <w:tcPr>
            <w:tcW w:w="800" w:type="dxa"/>
            <w:tcMar>
              <w:top w:w="60" w:type="dxa"/>
              <w:left w:w="90" w:type="dxa"/>
              <w:bottom w:w="60" w:type="dxa"/>
              <w:right w:w="90" w:type="dxa"/>
            </w:tcMar>
          </w:tcPr>
          <w:p w14:paraId="37D7163E" w14:textId="77777777" w:rsidR="007213F2" w:rsidRDefault="001E289B">
            <w:r>
              <w:rPr>
                <w:sz w:val="17"/>
                <w:szCs w:val="17"/>
              </w:rPr>
              <w:t>One</w:t>
            </w:r>
          </w:p>
        </w:tc>
        <w:tc>
          <w:tcPr>
            <w:tcW w:w="1700" w:type="dxa"/>
            <w:tcMar>
              <w:top w:w="60" w:type="dxa"/>
              <w:left w:w="90" w:type="dxa"/>
              <w:bottom w:w="60" w:type="dxa"/>
              <w:right w:w="90" w:type="dxa"/>
            </w:tcMar>
          </w:tcPr>
          <w:p w14:paraId="517D2369" w14:textId="77777777" w:rsidR="007213F2" w:rsidRDefault="001E289B">
            <w:r>
              <w:rPr>
                <w:sz w:val="17"/>
                <w:szCs w:val="17"/>
              </w:rPr>
              <w:t>0.52–0.80 t ha⁻¹ genotype means; 0.62–1.37 t ha⁻¹ for genotype by spacing combinations</w:t>
            </w:r>
          </w:p>
        </w:tc>
        <w:tc>
          <w:tcPr>
            <w:tcW w:w="1850" w:type="dxa"/>
            <w:tcMar>
              <w:top w:w="60" w:type="dxa"/>
              <w:left w:w="90" w:type="dxa"/>
              <w:bottom w:w="60" w:type="dxa"/>
              <w:right w:w="90" w:type="dxa"/>
            </w:tcMar>
          </w:tcPr>
          <w:p w14:paraId="48C459A5" w14:textId="77777777" w:rsidR="007213F2" w:rsidRDefault="001E289B">
            <w:r>
              <w:rPr>
                <w:sz w:val="17"/>
                <w:szCs w:val="17"/>
              </w:rPr>
              <w:t>Single season; yields strongly dependent on plant arrangement</w:t>
            </w:r>
          </w:p>
        </w:tc>
        <w:tc>
          <w:tcPr>
            <w:tcW w:w="1426" w:type="dxa"/>
            <w:tcMar>
              <w:top w:w="60" w:type="dxa"/>
              <w:left w:w="90" w:type="dxa"/>
              <w:bottom w:w="60" w:type="dxa"/>
              <w:right w:w="90" w:type="dxa"/>
            </w:tcMar>
          </w:tcPr>
          <w:p w14:paraId="2FAFFB5D" w14:textId="77777777" w:rsidR="007213F2" w:rsidRDefault="001E289B">
            <w:proofErr w:type="spellStart"/>
            <w:r>
              <w:rPr>
                <w:sz w:val="17"/>
                <w:szCs w:val="17"/>
              </w:rPr>
              <w:t>Ukwu</w:t>
            </w:r>
            <w:proofErr w:type="spellEnd"/>
            <w:r>
              <w:rPr>
                <w:sz w:val="17"/>
                <w:szCs w:val="17"/>
              </w:rPr>
              <w:t xml:space="preserve"> et al. (2023a)</w:t>
            </w:r>
          </w:p>
        </w:tc>
      </w:tr>
      <w:tr w:rsidR="007213F2" w14:paraId="74285BD8" w14:textId="77777777">
        <w:tc>
          <w:tcPr>
            <w:tcW w:w="1500" w:type="dxa"/>
            <w:tcMar>
              <w:top w:w="60" w:type="dxa"/>
              <w:left w:w="90" w:type="dxa"/>
              <w:bottom w:w="60" w:type="dxa"/>
              <w:right w:w="90" w:type="dxa"/>
            </w:tcMar>
          </w:tcPr>
          <w:p w14:paraId="0F3C8ECB" w14:textId="77777777" w:rsidR="007213F2" w:rsidRDefault="001E289B">
            <w:r>
              <w:rPr>
                <w:sz w:val="17"/>
                <w:szCs w:val="17"/>
              </w:rPr>
              <w:t xml:space="preserve">Nsukka (derived savanna, </w:t>
            </w:r>
            <w:proofErr w:type="spellStart"/>
            <w:r>
              <w:rPr>
                <w:sz w:val="17"/>
                <w:szCs w:val="17"/>
              </w:rPr>
              <w:t>agri</w:t>
            </w:r>
            <w:proofErr w:type="spellEnd"/>
            <w:r>
              <w:rPr>
                <w:sz w:val="17"/>
                <w:szCs w:val="17"/>
              </w:rPr>
              <w:t>-photovoltaic facility)</w:t>
            </w:r>
          </w:p>
        </w:tc>
        <w:tc>
          <w:tcPr>
            <w:tcW w:w="1750" w:type="dxa"/>
            <w:tcMar>
              <w:top w:w="60" w:type="dxa"/>
              <w:left w:w="90" w:type="dxa"/>
              <w:bottom w:w="60" w:type="dxa"/>
              <w:right w:w="90" w:type="dxa"/>
            </w:tcMar>
          </w:tcPr>
          <w:p w14:paraId="213EB9CB" w14:textId="77777777" w:rsidR="007213F2" w:rsidRDefault="001E289B">
            <w:r>
              <w:rPr>
                <w:sz w:val="17"/>
                <w:szCs w:val="17"/>
              </w:rPr>
              <w:t>5 genotypes by 6 micro-environments, split-plot, AMMI and joint regression</w:t>
            </w:r>
          </w:p>
        </w:tc>
        <w:tc>
          <w:tcPr>
            <w:tcW w:w="800" w:type="dxa"/>
            <w:tcMar>
              <w:top w:w="60" w:type="dxa"/>
              <w:left w:w="90" w:type="dxa"/>
              <w:bottom w:w="60" w:type="dxa"/>
              <w:right w:w="90" w:type="dxa"/>
            </w:tcMar>
          </w:tcPr>
          <w:p w14:paraId="7E6A757D" w14:textId="77777777" w:rsidR="007213F2" w:rsidRDefault="001E289B">
            <w:r>
              <w:rPr>
                <w:sz w:val="17"/>
                <w:szCs w:val="17"/>
              </w:rPr>
              <w:t>Two</w:t>
            </w:r>
          </w:p>
        </w:tc>
        <w:tc>
          <w:tcPr>
            <w:tcW w:w="1700" w:type="dxa"/>
            <w:tcMar>
              <w:top w:w="60" w:type="dxa"/>
              <w:left w:w="90" w:type="dxa"/>
              <w:bottom w:w="60" w:type="dxa"/>
              <w:right w:w="90" w:type="dxa"/>
            </w:tcMar>
          </w:tcPr>
          <w:p w14:paraId="552A26F5" w14:textId="77777777" w:rsidR="007213F2" w:rsidRDefault="001E289B">
            <w:r>
              <w:rPr>
                <w:sz w:val="17"/>
                <w:szCs w:val="17"/>
              </w:rPr>
              <w:t>2.50–2.60 t ha⁻¹ for the two broadly adapted genotypes; environment means 1.71–2.61 t ha⁻¹</w:t>
            </w:r>
          </w:p>
        </w:tc>
        <w:tc>
          <w:tcPr>
            <w:tcW w:w="1850" w:type="dxa"/>
            <w:tcMar>
              <w:top w:w="60" w:type="dxa"/>
              <w:left w:w="90" w:type="dxa"/>
              <w:bottom w:w="60" w:type="dxa"/>
              <w:right w:w="90" w:type="dxa"/>
            </w:tcMar>
          </w:tcPr>
          <w:p w14:paraId="4D256A3B" w14:textId="77777777" w:rsidR="007213F2" w:rsidRDefault="001E289B">
            <w:r>
              <w:rPr>
                <w:sz w:val="17"/>
                <w:szCs w:val="17"/>
              </w:rPr>
              <w:t>Grown beneath photovoltaic panels; not representative of open-field conditions</w:t>
            </w:r>
          </w:p>
        </w:tc>
        <w:tc>
          <w:tcPr>
            <w:tcW w:w="1426" w:type="dxa"/>
            <w:tcMar>
              <w:top w:w="60" w:type="dxa"/>
              <w:left w:w="90" w:type="dxa"/>
              <w:bottom w:w="60" w:type="dxa"/>
              <w:right w:w="90" w:type="dxa"/>
            </w:tcMar>
          </w:tcPr>
          <w:p w14:paraId="2F69427C" w14:textId="77777777" w:rsidR="007213F2" w:rsidRDefault="001E289B">
            <w:proofErr w:type="spellStart"/>
            <w:r>
              <w:rPr>
                <w:sz w:val="17"/>
                <w:szCs w:val="17"/>
              </w:rPr>
              <w:t>Ukwu</w:t>
            </w:r>
            <w:proofErr w:type="spellEnd"/>
            <w:r>
              <w:rPr>
                <w:sz w:val="17"/>
                <w:szCs w:val="17"/>
              </w:rPr>
              <w:t xml:space="preserve"> et al. (2025a, 2025b)</w:t>
            </w:r>
          </w:p>
        </w:tc>
      </w:tr>
      <w:tr w:rsidR="007213F2" w14:paraId="21774C69" w14:textId="77777777">
        <w:tc>
          <w:tcPr>
            <w:tcW w:w="1500" w:type="dxa"/>
            <w:tcMar>
              <w:top w:w="60" w:type="dxa"/>
              <w:left w:w="90" w:type="dxa"/>
              <w:bottom w:w="60" w:type="dxa"/>
              <w:right w:w="90" w:type="dxa"/>
            </w:tcMar>
          </w:tcPr>
          <w:p w14:paraId="4B5874A4" w14:textId="77777777" w:rsidR="007213F2" w:rsidRDefault="001E289B">
            <w:r>
              <w:rPr>
                <w:sz w:val="17"/>
                <w:szCs w:val="17"/>
              </w:rPr>
              <w:t>Ile-Ife and Kishi (rainforest, southern Guinea savanna)</w:t>
            </w:r>
          </w:p>
        </w:tc>
        <w:tc>
          <w:tcPr>
            <w:tcW w:w="1750" w:type="dxa"/>
            <w:tcMar>
              <w:top w:w="60" w:type="dxa"/>
              <w:left w:w="90" w:type="dxa"/>
              <w:bottom w:w="60" w:type="dxa"/>
              <w:right w:w="90" w:type="dxa"/>
            </w:tcMar>
          </w:tcPr>
          <w:p w14:paraId="1B7F8522" w14:textId="77777777" w:rsidR="007213F2" w:rsidRDefault="001E289B">
            <w:r>
              <w:rPr>
                <w:sz w:val="17"/>
                <w:szCs w:val="17"/>
              </w:rPr>
              <w:t>21 accessions, randomised complete block</w:t>
            </w:r>
          </w:p>
        </w:tc>
        <w:tc>
          <w:tcPr>
            <w:tcW w:w="800" w:type="dxa"/>
            <w:tcMar>
              <w:top w:w="60" w:type="dxa"/>
              <w:left w:w="90" w:type="dxa"/>
              <w:bottom w:w="60" w:type="dxa"/>
              <w:right w:w="90" w:type="dxa"/>
            </w:tcMar>
          </w:tcPr>
          <w:p w14:paraId="06231CC2" w14:textId="77777777" w:rsidR="007213F2" w:rsidRDefault="001E289B">
            <w:r>
              <w:rPr>
                <w:sz w:val="17"/>
                <w:szCs w:val="17"/>
              </w:rPr>
              <w:t>Two seasons at one site, one at the other</w:t>
            </w:r>
          </w:p>
        </w:tc>
        <w:tc>
          <w:tcPr>
            <w:tcW w:w="1700" w:type="dxa"/>
            <w:tcMar>
              <w:top w:w="60" w:type="dxa"/>
              <w:left w:w="90" w:type="dxa"/>
              <w:bottom w:w="60" w:type="dxa"/>
              <w:right w:w="90" w:type="dxa"/>
            </w:tcMar>
          </w:tcPr>
          <w:p w14:paraId="0C12E2D2" w14:textId="77777777" w:rsidR="007213F2" w:rsidRDefault="001E289B">
            <w:r>
              <w:rPr>
                <w:sz w:val="17"/>
                <w:szCs w:val="17"/>
              </w:rPr>
              <w:t>Ranking of best accessions reported; early season superior to late season</w:t>
            </w:r>
          </w:p>
        </w:tc>
        <w:tc>
          <w:tcPr>
            <w:tcW w:w="1850" w:type="dxa"/>
            <w:tcMar>
              <w:top w:w="60" w:type="dxa"/>
              <w:left w:w="90" w:type="dxa"/>
              <w:bottom w:w="60" w:type="dxa"/>
              <w:right w:w="90" w:type="dxa"/>
            </w:tcMar>
          </w:tcPr>
          <w:p w14:paraId="4B944970" w14:textId="77777777" w:rsidR="007213F2" w:rsidRDefault="001E289B">
            <w:r>
              <w:rPr>
                <w:sz w:val="17"/>
                <w:szCs w:val="17"/>
              </w:rPr>
              <w:t>Absolute yields not reported in a form comparable with other studies</w:t>
            </w:r>
          </w:p>
        </w:tc>
        <w:tc>
          <w:tcPr>
            <w:tcW w:w="1426" w:type="dxa"/>
            <w:tcMar>
              <w:top w:w="60" w:type="dxa"/>
              <w:left w:w="90" w:type="dxa"/>
              <w:bottom w:w="60" w:type="dxa"/>
              <w:right w:w="90" w:type="dxa"/>
            </w:tcMar>
          </w:tcPr>
          <w:p w14:paraId="12D21B8B" w14:textId="77777777" w:rsidR="007213F2" w:rsidRDefault="001E289B">
            <w:r>
              <w:rPr>
                <w:sz w:val="17"/>
                <w:szCs w:val="17"/>
              </w:rPr>
              <w:t>Oloyede-</w:t>
            </w:r>
            <w:proofErr w:type="spellStart"/>
            <w:r>
              <w:rPr>
                <w:sz w:val="17"/>
                <w:szCs w:val="17"/>
              </w:rPr>
              <w:t>Kamiyo</w:t>
            </w:r>
            <w:proofErr w:type="spellEnd"/>
            <w:r>
              <w:rPr>
                <w:sz w:val="17"/>
                <w:szCs w:val="17"/>
              </w:rPr>
              <w:t xml:space="preserve"> et al. (2024)</w:t>
            </w:r>
          </w:p>
        </w:tc>
      </w:tr>
      <w:tr w:rsidR="007213F2" w14:paraId="726EE8AC" w14:textId="77777777">
        <w:tc>
          <w:tcPr>
            <w:tcW w:w="1500" w:type="dxa"/>
            <w:tcMar>
              <w:top w:w="60" w:type="dxa"/>
              <w:left w:w="90" w:type="dxa"/>
              <w:bottom w:w="60" w:type="dxa"/>
              <w:right w:w="90" w:type="dxa"/>
            </w:tcMar>
          </w:tcPr>
          <w:p w14:paraId="78BB125C" w14:textId="77777777" w:rsidR="007213F2" w:rsidRDefault="001E289B">
            <w:r>
              <w:rPr>
                <w:sz w:val="17"/>
                <w:szCs w:val="17"/>
              </w:rPr>
              <w:t xml:space="preserve">Owerri and </w:t>
            </w:r>
            <w:proofErr w:type="spellStart"/>
            <w:r>
              <w:rPr>
                <w:sz w:val="17"/>
                <w:szCs w:val="17"/>
              </w:rPr>
              <w:t>Awka</w:t>
            </w:r>
            <w:proofErr w:type="spellEnd"/>
            <w:r>
              <w:rPr>
                <w:sz w:val="17"/>
                <w:szCs w:val="17"/>
              </w:rPr>
              <w:t xml:space="preserve"> (lowland rainforest, derived savanna)</w:t>
            </w:r>
          </w:p>
        </w:tc>
        <w:tc>
          <w:tcPr>
            <w:tcW w:w="1750" w:type="dxa"/>
            <w:tcMar>
              <w:top w:w="60" w:type="dxa"/>
              <w:left w:w="90" w:type="dxa"/>
              <w:bottom w:w="60" w:type="dxa"/>
              <w:right w:w="90" w:type="dxa"/>
            </w:tcMar>
          </w:tcPr>
          <w:p w14:paraId="3BBC58CB" w14:textId="77777777" w:rsidR="007213F2" w:rsidRDefault="001E289B">
            <w:r>
              <w:rPr>
                <w:sz w:val="17"/>
                <w:szCs w:val="17"/>
              </w:rPr>
              <w:t>20 and 120 genotypes respectively, characterisation designs</w:t>
            </w:r>
          </w:p>
        </w:tc>
        <w:tc>
          <w:tcPr>
            <w:tcW w:w="800" w:type="dxa"/>
            <w:tcMar>
              <w:top w:w="60" w:type="dxa"/>
              <w:left w:w="90" w:type="dxa"/>
              <w:bottom w:w="60" w:type="dxa"/>
              <w:right w:w="90" w:type="dxa"/>
            </w:tcMar>
          </w:tcPr>
          <w:p w14:paraId="43A749E0" w14:textId="77777777" w:rsidR="007213F2" w:rsidRDefault="001E289B">
            <w:r>
              <w:rPr>
                <w:sz w:val="17"/>
                <w:szCs w:val="17"/>
              </w:rPr>
              <w:t>One each</w:t>
            </w:r>
          </w:p>
        </w:tc>
        <w:tc>
          <w:tcPr>
            <w:tcW w:w="1700" w:type="dxa"/>
            <w:tcMar>
              <w:top w:w="60" w:type="dxa"/>
              <w:left w:w="90" w:type="dxa"/>
              <w:bottom w:w="60" w:type="dxa"/>
              <w:right w:w="90" w:type="dxa"/>
            </w:tcMar>
          </w:tcPr>
          <w:p w14:paraId="03C9DFF5" w14:textId="77777777" w:rsidR="007213F2" w:rsidRDefault="001E289B">
            <w:r>
              <w:rPr>
                <w:sz w:val="17"/>
                <w:szCs w:val="17"/>
              </w:rPr>
              <w:t>Yield reported as a variable within multivariate analyses</w:t>
            </w:r>
          </w:p>
        </w:tc>
        <w:tc>
          <w:tcPr>
            <w:tcW w:w="1850" w:type="dxa"/>
            <w:tcMar>
              <w:top w:w="60" w:type="dxa"/>
              <w:left w:w="90" w:type="dxa"/>
              <w:bottom w:w="60" w:type="dxa"/>
              <w:right w:w="90" w:type="dxa"/>
            </w:tcMar>
          </w:tcPr>
          <w:p w14:paraId="72A17BB7" w14:textId="77777777" w:rsidR="007213F2" w:rsidRDefault="001E289B">
            <w:r>
              <w:rPr>
                <w:sz w:val="17"/>
                <w:szCs w:val="17"/>
              </w:rPr>
              <w:t>Studies designed for diversity assessment rather than yield estimation</w:t>
            </w:r>
          </w:p>
        </w:tc>
        <w:tc>
          <w:tcPr>
            <w:tcW w:w="1426" w:type="dxa"/>
            <w:tcMar>
              <w:top w:w="60" w:type="dxa"/>
              <w:left w:w="90" w:type="dxa"/>
              <w:bottom w:w="60" w:type="dxa"/>
              <w:right w:w="90" w:type="dxa"/>
            </w:tcMar>
          </w:tcPr>
          <w:p w14:paraId="381400C9" w14:textId="77777777" w:rsidR="007213F2" w:rsidRDefault="001E289B">
            <w:proofErr w:type="spellStart"/>
            <w:r>
              <w:rPr>
                <w:sz w:val="17"/>
                <w:szCs w:val="17"/>
              </w:rPr>
              <w:t>Ibellow</w:t>
            </w:r>
            <w:proofErr w:type="spellEnd"/>
            <w:r>
              <w:rPr>
                <w:sz w:val="17"/>
                <w:szCs w:val="17"/>
              </w:rPr>
              <w:t xml:space="preserve"> &amp; Agbim (2025); Obasi et al. (2025)</w:t>
            </w:r>
          </w:p>
        </w:tc>
      </w:tr>
    </w:tbl>
    <w:p w14:paraId="23E0FD88" w14:textId="77777777" w:rsidR="007213F2" w:rsidRDefault="001E289B">
      <w:pPr>
        <w:spacing w:before="100" w:after="240"/>
      </w:pPr>
      <w:r>
        <w:rPr>
          <w:i/>
          <w:iCs/>
          <w:sz w:val="17"/>
          <w:szCs w:val="17"/>
        </w:rPr>
        <w:t xml:space="preserve">Note. </w:t>
      </w:r>
      <w:r>
        <w:rPr>
          <w:sz w:val="17"/>
          <w:szCs w:val="17"/>
        </w:rPr>
        <w:t>AMMI = additive main effects and multiplicative interaction. Yields are reported in the units used by the original authors. Blank or descriptive entries in the yield column indicate that the study did not report seed yield on a land-area basis in a form comparable with the other entries; such values have not been converted or estimated. The table includes the Nigerian studies retrieved that reported yield or yield ranking, and is not an exhaustive account of all Nigerian mung bean research.</w:t>
      </w:r>
    </w:p>
    <w:p w14:paraId="096B0561" w14:textId="77777777" w:rsidR="007213F2" w:rsidRDefault="001E289B">
      <w:pPr>
        <w:pStyle w:val="Heading1"/>
        <w:spacing w:before="320" w:after="140"/>
      </w:pPr>
      <w:r>
        <w:rPr>
          <w:b/>
          <w:bCs/>
          <w:color w:val="000000"/>
          <w:sz w:val="24"/>
          <w:szCs w:val="24"/>
        </w:rPr>
        <w:lastRenderedPageBreak/>
        <w:t>5. Agronomic and Edaphic Determinants of Performance</w:t>
      </w:r>
    </w:p>
    <w:p w14:paraId="69BA0BD7" w14:textId="77777777" w:rsidR="007213F2" w:rsidRDefault="001E289B">
      <w:pPr>
        <w:pStyle w:val="Heading2"/>
        <w:spacing w:before="240" w:after="120"/>
      </w:pPr>
      <w:r>
        <w:rPr>
          <w:b/>
          <w:bCs/>
          <w:color w:val="000000"/>
          <w:sz w:val="21"/>
          <w:szCs w:val="21"/>
        </w:rPr>
        <w:t>5.1 Soil fertility, phosphorus and micronutrients</w:t>
      </w:r>
    </w:p>
    <w:p w14:paraId="21651A63" w14:textId="77777777" w:rsidR="007213F2" w:rsidRDefault="001E289B">
      <w:pPr>
        <w:spacing w:after="160" w:line="300" w:lineRule="auto"/>
        <w:jc w:val="both"/>
      </w:pPr>
      <w:r>
        <w:t xml:space="preserve">Nigerian soils in the zones where mung bean has been tested are predominantly acidic, low in organic carbon and deficient in phosphorus, and the response of a </w:t>
      </w:r>
      <w:proofErr w:type="spellStart"/>
      <w:r>
        <w:t>nodulating</w:t>
      </w:r>
      <w:proofErr w:type="spellEnd"/>
      <w:r>
        <w:t xml:space="preserve"> legume to these conditions is governed as much by micronutrient supply as by macronutrient supply. Work on shale-derived soils of the humid tropical rainforest determined zinc requirements for optimum mung bean yield performance and reported yield responses to zinc application (</w:t>
      </w:r>
      <w:proofErr w:type="spellStart"/>
      <w:r>
        <w:t>Eteng</w:t>
      </w:r>
      <w:proofErr w:type="spellEnd"/>
      <w:r>
        <w:t xml:space="preserve"> et al., 2024). This is one of very few Nigerian studies to address the crop's nutritional requirements directly, and it identifies a constraint that is plausible on soil-chemical grounds and consistent with the wider observation that zinc deficiency is widespread in the soils of the region.</w:t>
      </w:r>
    </w:p>
    <w:p w14:paraId="3EB2154B" w14:textId="77777777" w:rsidR="007213F2" w:rsidRDefault="001E289B">
      <w:pPr>
        <w:spacing w:after="160" w:line="300" w:lineRule="auto"/>
        <w:jc w:val="both"/>
      </w:pPr>
      <w:r>
        <w:t xml:space="preserve">The evidence is nonetheless narrow. A single soil type and a single </w:t>
      </w:r>
      <w:proofErr w:type="spellStart"/>
      <w:r>
        <w:t>agro</w:t>
      </w:r>
      <w:proofErr w:type="spellEnd"/>
      <w:r>
        <w:t>-ecological zone cannot define a fertiliser recommendation for a country of Nigeria's pedological diversity, and no comparable determination exists for the savanna soils in which the crop would most plausibly be grown. Phosphorus, which limits nodulation and nitrogen fixation in tropical legumes more consistently than any other nutrient, has not been the subject of a published Nigerian response study for mung bean that met the eligibility criteria applied here. Organic amendment effects have been examined within an alley-cropping context (Koyejo et al., 2023) but not as a factorial nutrient study. The practical position is that mung bean is being promoted in Nigeria without a validated fertiliser recommendation for any zone other than one soil group in the humid south-east.</w:t>
      </w:r>
    </w:p>
    <w:p w14:paraId="50E7A31B" w14:textId="77777777" w:rsidR="007213F2" w:rsidRDefault="001E289B">
      <w:pPr>
        <w:pStyle w:val="Heading2"/>
        <w:spacing w:before="240" w:after="120"/>
      </w:pPr>
      <w:r>
        <w:rPr>
          <w:b/>
          <w:bCs/>
          <w:color w:val="000000"/>
          <w:sz w:val="21"/>
          <w:szCs w:val="21"/>
        </w:rPr>
        <w:t>5.2 Plant population, canopy architecture and light capture</w:t>
      </w:r>
    </w:p>
    <w:p w14:paraId="616919E0" w14:textId="77777777" w:rsidR="007213F2" w:rsidRDefault="001E289B">
      <w:pPr>
        <w:spacing w:after="160" w:line="300" w:lineRule="auto"/>
        <w:jc w:val="both"/>
      </w:pPr>
      <w:r>
        <w:t>The spacing evidence is more informative than its single-season basis would suggest, because the effects observed were large and internally consistent. Narrow spacing of thirty by ten centimetres produced significantly higher values for most of the nineteen agronomic traits measured, and the genotype by spacing interaction was substantial enough that biplot analysis identified a different optimum arrangement for one genotype than for the other two (</w:t>
      </w:r>
      <w:proofErr w:type="spellStart"/>
      <w:r>
        <w:t>Ukwu</w:t>
      </w:r>
      <w:proofErr w:type="spellEnd"/>
      <w:r>
        <w:t xml:space="preserve"> et al., 2023a). Two conclusions follow. Plant population is a first-order determinant of mung bean yield in the Nigerian derived savanna, comparable in magnitude to genotype choice. And optimum population is genotype-specific, which means that a single national spacing recommendation would be inappropriate.</w:t>
      </w:r>
    </w:p>
    <w:p w14:paraId="181282C4" w14:textId="77777777" w:rsidR="007213F2" w:rsidRDefault="001E289B">
      <w:pPr>
        <w:spacing w:after="160" w:line="300" w:lineRule="auto"/>
        <w:jc w:val="both"/>
      </w:pPr>
      <w:r>
        <w:t xml:space="preserve">The </w:t>
      </w:r>
      <w:proofErr w:type="spellStart"/>
      <w:r>
        <w:t>agri</w:t>
      </w:r>
      <w:proofErr w:type="spellEnd"/>
      <w:r>
        <w:t>-photovoltaic studies bear on the same question from an unexpected direction. Partial shading increased relative humidity, photochemical energy conversion, plant height, leaf number, pod number and seed number relative to unshaded controls, while flowering and podding behaviour, leaf area and stem diameter were statistically indistinguishable, and the improvement was greater under one panel orientation than the other (</w:t>
      </w:r>
      <w:proofErr w:type="spellStart"/>
      <w:r>
        <w:t>Ukwu</w:t>
      </w:r>
      <w:proofErr w:type="spellEnd"/>
      <w:r>
        <w:t xml:space="preserve"> et al., 2025a). The most economical interpretation is that mung bean in this environment is not radiation-limited but is limited by the thermal and </w:t>
      </w:r>
      <w:proofErr w:type="spellStart"/>
      <w:r>
        <w:t>photoinhibitory</w:t>
      </w:r>
      <w:proofErr w:type="spellEnd"/>
      <w:r>
        <w:t xml:space="preserve"> consequences of full tropical irradiance during the reproductive phase. If that interpretation is correct, it has implications well beyond photovoltaic installations, because it suggests that canopy architecture, intercropping arrangements and sowing dates that moderate leaf temperature during flowering may raise yield more effectively than measures that increase light interception. The interpretation is provisional: it rests on studies at one site, and the confounding of shading with altered humidity and wind regime has not been separated experimentally.</w:t>
      </w:r>
    </w:p>
    <w:p w14:paraId="192F4B42" w14:textId="77777777" w:rsidR="007213F2" w:rsidRDefault="001E289B">
      <w:pPr>
        <w:pStyle w:val="Heading2"/>
        <w:spacing w:before="240" w:after="120"/>
      </w:pPr>
      <w:r>
        <w:rPr>
          <w:b/>
          <w:bCs/>
          <w:color w:val="000000"/>
          <w:sz w:val="21"/>
          <w:szCs w:val="21"/>
        </w:rPr>
        <w:t>5.3 Water relations and the status of the drought-tolerance claim</w:t>
      </w:r>
    </w:p>
    <w:p w14:paraId="4666E357" w14:textId="77777777" w:rsidR="007213F2" w:rsidRDefault="001E289B">
      <w:pPr>
        <w:spacing w:after="160" w:line="300" w:lineRule="auto"/>
        <w:jc w:val="both"/>
      </w:pPr>
      <w:r>
        <w:t xml:space="preserve">Drought tolerance is the attribute most frequently invoked in support of mung bean's introduction to Nigeria and the one least supported by Nigerian data. The single relevant </w:t>
      </w:r>
      <w:proofErr w:type="gramStart"/>
      <w:r>
        <w:t>study imposed</w:t>
      </w:r>
      <w:proofErr w:type="gramEnd"/>
      <w:r>
        <w:t xml:space="preserve"> watering intervals of two, </w:t>
      </w:r>
      <w:r>
        <w:lastRenderedPageBreak/>
        <w:t>four, six, eight and ten days on two cultivars and found that maximum growth and yield occurred at the four-day interval, that both cultivars tolerated intervals of four to six days without significant reduction in yield or growth, that photosynthetic capacity was maintained even at the ten-day interval, and that yield stability declined beyond six days (Mustapha et al., 2025). The finding that photosynthetic function persists after yield has begun to decline is mechanistically interesting and consistent with the broader observation that reproductive processes in this species fail before assimilation does.</w:t>
      </w:r>
    </w:p>
    <w:p w14:paraId="742C5B91" w14:textId="77777777" w:rsidR="007213F2" w:rsidRDefault="001E289B">
      <w:pPr>
        <w:spacing w:after="160" w:line="300" w:lineRule="auto"/>
        <w:jc w:val="both"/>
      </w:pPr>
      <w:r>
        <w:t>What this study cannot do is establish field drought tolerance. Imposed watering intervals under controlled irrigation are not equivalent to rainfall variability in a Sudan savanna season, in which the timing of dry spells relative to flowering, rather than their mean frequency, determines the outcome. Nor can two cultivars represent the response range of the species. The wider literature indicates that tolerance of water deficit and tolerance of excess water are both genotype-dependent and both amenable to screening, with non-invasive phenotyping now available for waterlogging response (Basavaraj et al., 2024) and with combined water and temperature stress producing effects greater than either alone (Mahajan et al., 2023). Neither screening approach has been applied to the germplasm being promoted in Nigeria. The defensible position is that mung bean is a drought-escaping crop by virtue of its duration, that its physiological tolerance of water deficit within that duration has not been characterised in Nigeria, and that the two properties are frequently conflated.</w:t>
      </w:r>
    </w:p>
    <w:p w14:paraId="64C1B725" w14:textId="77777777" w:rsidR="007213F2" w:rsidRDefault="001E289B">
      <w:pPr>
        <w:spacing w:after="160" w:line="300" w:lineRule="auto"/>
        <w:jc w:val="both"/>
      </w:pPr>
      <w:r>
        <w:t>A related observation concerns the orientation of Nigerian-authored physiological research on the species. Work by Nigerian investigators has examined salicylic acid amelioration of salt stress in two mung bean varieties under controlled conditions (</w:t>
      </w:r>
      <w:proofErr w:type="spellStart"/>
      <w:r>
        <w:t>Ogunsiji</w:t>
      </w:r>
      <w:proofErr w:type="spellEnd"/>
      <w:r>
        <w:t xml:space="preserve"> et al., 2023), a question of general physiological interest but of limited relevance to the constraints operating in Nigerian fields, where salinity is not a widespread limitation in the zones under consideration. The capacity to conduct careful physiological work therefore exists; it has not yet been directed at the traits that determine performance in the target environments.</w:t>
      </w:r>
    </w:p>
    <w:p w14:paraId="769BEED0" w14:textId="77777777" w:rsidR="007213F2" w:rsidRDefault="001E289B">
      <w:pPr>
        <w:spacing w:after="160" w:line="300" w:lineRule="auto"/>
        <w:jc w:val="both"/>
      </w:pPr>
      <w:r>
        <w:t>Excess water deserves more attention than it has received. The zones in which Nigerian trials have concentrated are those in which waterlogging at pod fill and rainfall at harvest are the more probable hazards, and the reproductive abscission documented in the sub-humid savanna is consistent with moisture-related stress at flowering (</w:t>
      </w:r>
      <w:proofErr w:type="spellStart"/>
      <w:r>
        <w:t>Avav</w:t>
      </w:r>
      <w:proofErr w:type="spellEnd"/>
      <w:r>
        <w:t xml:space="preserve"> &amp; </w:t>
      </w:r>
      <w:proofErr w:type="spellStart"/>
      <w:r>
        <w:t>Ugese</w:t>
      </w:r>
      <w:proofErr w:type="spellEnd"/>
      <w:r>
        <w:t>, 2009). No Nigerian study has screened genotypes for waterlogging tolerance, despite the availability of established protocols and the evident relevance of the trait to the environments actually being used for testing.</w:t>
      </w:r>
    </w:p>
    <w:p w14:paraId="5725A2BD" w14:textId="77777777" w:rsidR="007213F2" w:rsidRDefault="001E289B">
      <w:pPr>
        <w:spacing w:after="160" w:line="300" w:lineRule="auto"/>
        <w:jc w:val="both"/>
      </w:pPr>
      <w:r>
        <w:t>Table 3 summarises what is currently known and not known about the principal management and environmental determinants of mung bean yield in Nigeria, together with an assessment of the confidence that the underlying evidence supports. The pattern it reveals is that confidence is highest for the determinants that are easiest to measure in a single season and lowest for those that govern the crop's claimed comparative advantage.</w:t>
      </w:r>
    </w:p>
    <w:p w14:paraId="59E10C31" w14:textId="77777777" w:rsidR="007213F2" w:rsidRDefault="001E289B">
      <w:pPr>
        <w:spacing w:before="200" w:after="100"/>
      </w:pPr>
      <w:r>
        <w:rPr>
          <w:b/>
          <w:bCs/>
          <w:sz w:val="19"/>
          <w:szCs w:val="19"/>
        </w:rPr>
        <w:t>Table 3. Determinants of mung bean performance in Nigeria: state of the evidence and assessed confidence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39"/>
        <w:gridCol w:w="2070"/>
        <w:gridCol w:w="1917"/>
        <w:gridCol w:w="1323"/>
        <w:gridCol w:w="2277"/>
      </w:tblGrid>
      <w:tr w:rsidR="007213F2" w14:paraId="32BDB67C" w14:textId="77777777">
        <w:trPr>
          <w:tblHeader/>
        </w:trPr>
        <w:tc>
          <w:tcPr>
            <w:tcW w:w="1450" w:type="dxa"/>
            <w:shd w:val="clear" w:color="auto" w:fill="E8E8E8"/>
            <w:tcMar>
              <w:top w:w="60" w:type="dxa"/>
              <w:left w:w="90" w:type="dxa"/>
              <w:bottom w:w="60" w:type="dxa"/>
              <w:right w:w="90" w:type="dxa"/>
            </w:tcMar>
          </w:tcPr>
          <w:p w14:paraId="299DA458" w14:textId="77777777" w:rsidR="007213F2" w:rsidRDefault="001E289B">
            <w:r>
              <w:rPr>
                <w:b/>
                <w:bCs/>
                <w:sz w:val="17"/>
                <w:szCs w:val="17"/>
              </w:rPr>
              <w:t>Determinant</w:t>
            </w:r>
          </w:p>
        </w:tc>
        <w:tc>
          <w:tcPr>
            <w:tcW w:w="2100" w:type="dxa"/>
            <w:shd w:val="clear" w:color="auto" w:fill="E8E8E8"/>
            <w:tcMar>
              <w:top w:w="60" w:type="dxa"/>
              <w:left w:w="90" w:type="dxa"/>
              <w:bottom w:w="60" w:type="dxa"/>
              <w:right w:w="90" w:type="dxa"/>
            </w:tcMar>
          </w:tcPr>
          <w:p w14:paraId="1FB69711" w14:textId="77777777" w:rsidR="007213F2" w:rsidRDefault="001E289B">
            <w:r>
              <w:rPr>
                <w:b/>
                <w:bCs/>
                <w:sz w:val="17"/>
                <w:szCs w:val="17"/>
              </w:rPr>
              <w:t>What the Nigerian evidence shows</w:t>
            </w:r>
          </w:p>
        </w:tc>
        <w:tc>
          <w:tcPr>
            <w:tcW w:w="1950" w:type="dxa"/>
            <w:shd w:val="clear" w:color="auto" w:fill="E8E8E8"/>
            <w:tcMar>
              <w:top w:w="60" w:type="dxa"/>
              <w:left w:w="90" w:type="dxa"/>
              <w:bottom w:w="60" w:type="dxa"/>
              <w:right w:w="90" w:type="dxa"/>
            </w:tcMar>
          </w:tcPr>
          <w:p w14:paraId="3ACE2B83" w14:textId="77777777" w:rsidR="007213F2" w:rsidRDefault="001E289B">
            <w:r>
              <w:rPr>
                <w:b/>
                <w:bCs/>
                <w:sz w:val="17"/>
                <w:szCs w:val="17"/>
              </w:rPr>
              <w:t>Principal evidential weakness</w:t>
            </w:r>
          </w:p>
        </w:tc>
        <w:tc>
          <w:tcPr>
            <w:tcW w:w="1200" w:type="dxa"/>
            <w:shd w:val="clear" w:color="auto" w:fill="E8E8E8"/>
            <w:tcMar>
              <w:top w:w="60" w:type="dxa"/>
              <w:left w:w="90" w:type="dxa"/>
              <w:bottom w:w="60" w:type="dxa"/>
              <w:right w:w="90" w:type="dxa"/>
            </w:tcMar>
          </w:tcPr>
          <w:p w14:paraId="12680D3F" w14:textId="77777777" w:rsidR="007213F2" w:rsidRDefault="001E289B">
            <w:r>
              <w:rPr>
                <w:b/>
                <w:bCs/>
                <w:sz w:val="17"/>
                <w:szCs w:val="17"/>
              </w:rPr>
              <w:t>Assessed confidence</w:t>
            </w:r>
          </w:p>
        </w:tc>
        <w:tc>
          <w:tcPr>
            <w:tcW w:w="2326" w:type="dxa"/>
            <w:shd w:val="clear" w:color="auto" w:fill="E8E8E8"/>
            <w:tcMar>
              <w:top w:w="60" w:type="dxa"/>
              <w:left w:w="90" w:type="dxa"/>
              <w:bottom w:w="60" w:type="dxa"/>
              <w:right w:w="90" w:type="dxa"/>
            </w:tcMar>
          </w:tcPr>
          <w:p w14:paraId="3CD0D665" w14:textId="77777777" w:rsidR="007213F2" w:rsidRDefault="001E289B">
            <w:r>
              <w:rPr>
                <w:b/>
                <w:bCs/>
                <w:sz w:val="17"/>
                <w:szCs w:val="17"/>
              </w:rPr>
              <w:t>Supporting references</w:t>
            </w:r>
          </w:p>
        </w:tc>
      </w:tr>
      <w:tr w:rsidR="007213F2" w14:paraId="1A33170F" w14:textId="77777777">
        <w:tc>
          <w:tcPr>
            <w:tcW w:w="1450" w:type="dxa"/>
            <w:tcMar>
              <w:top w:w="60" w:type="dxa"/>
              <w:left w:w="90" w:type="dxa"/>
              <w:bottom w:w="60" w:type="dxa"/>
              <w:right w:w="90" w:type="dxa"/>
            </w:tcMar>
          </w:tcPr>
          <w:p w14:paraId="330E8C10" w14:textId="77777777" w:rsidR="007213F2" w:rsidRDefault="001E289B">
            <w:r>
              <w:rPr>
                <w:sz w:val="17"/>
                <w:szCs w:val="17"/>
              </w:rPr>
              <w:t>Crop duration and earliness</w:t>
            </w:r>
          </w:p>
        </w:tc>
        <w:tc>
          <w:tcPr>
            <w:tcW w:w="2100" w:type="dxa"/>
            <w:tcMar>
              <w:top w:w="60" w:type="dxa"/>
              <w:left w:w="90" w:type="dxa"/>
              <w:bottom w:w="60" w:type="dxa"/>
              <w:right w:w="90" w:type="dxa"/>
            </w:tcMar>
          </w:tcPr>
          <w:p w14:paraId="5020138F" w14:textId="77777777" w:rsidR="007213F2" w:rsidRDefault="001E289B">
            <w:r>
              <w:rPr>
                <w:sz w:val="17"/>
                <w:szCs w:val="17"/>
              </w:rPr>
              <w:t>Earliest accessions flower at about 36–37 days and reach 70% physiological maturity at 79–80 days; earliness is highly heritable</w:t>
            </w:r>
          </w:p>
        </w:tc>
        <w:tc>
          <w:tcPr>
            <w:tcW w:w="1950" w:type="dxa"/>
            <w:tcMar>
              <w:top w:w="60" w:type="dxa"/>
              <w:left w:w="90" w:type="dxa"/>
              <w:bottom w:w="60" w:type="dxa"/>
              <w:right w:w="90" w:type="dxa"/>
            </w:tcMar>
          </w:tcPr>
          <w:p w14:paraId="799B354E" w14:textId="77777777" w:rsidR="007213F2" w:rsidRDefault="001E289B">
            <w:r>
              <w:rPr>
                <w:sz w:val="17"/>
                <w:szCs w:val="17"/>
              </w:rPr>
              <w:t>Flowering duration and maturity synchrony not reported</w:t>
            </w:r>
          </w:p>
        </w:tc>
        <w:tc>
          <w:tcPr>
            <w:tcW w:w="1200" w:type="dxa"/>
            <w:tcMar>
              <w:top w:w="60" w:type="dxa"/>
              <w:left w:w="90" w:type="dxa"/>
              <w:bottom w:w="60" w:type="dxa"/>
              <w:right w:w="90" w:type="dxa"/>
            </w:tcMar>
          </w:tcPr>
          <w:p w14:paraId="5258E1CD" w14:textId="77777777" w:rsidR="007213F2" w:rsidRDefault="001E289B">
            <w:r>
              <w:rPr>
                <w:sz w:val="17"/>
                <w:szCs w:val="17"/>
              </w:rPr>
              <w:t>Moderate to high</w:t>
            </w:r>
          </w:p>
        </w:tc>
        <w:tc>
          <w:tcPr>
            <w:tcW w:w="2326" w:type="dxa"/>
            <w:tcMar>
              <w:top w:w="60" w:type="dxa"/>
              <w:left w:w="90" w:type="dxa"/>
              <w:bottom w:w="60" w:type="dxa"/>
              <w:right w:w="90" w:type="dxa"/>
            </w:tcMar>
          </w:tcPr>
          <w:p w14:paraId="36DB680A" w14:textId="77777777" w:rsidR="007213F2" w:rsidRDefault="001E289B">
            <w:proofErr w:type="spellStart"/>
            <w:r>
              <w:rPr>
                <w:sz w:val="17"/>
                <w:szCs w:val="17"/>
              </w:rPr>
              <w:t>Akinyosoye</w:t>
            </w:r>
            <w:proofErr w:type="spellEnd"/>
            <w:r>
              <w:rPr>
                <w:sz w:val="17"/>
                <w:szCs w:val="17"/>
              </w:rPr>
              <w:t xml:space="preserve"> et al. (2021); </w:t>
            </w:r>
            <w:proofErr w:type="spellStart"/>
            <w:r>
              <w:rPr>
                <w:sz w:val="17"/>
                <w:szCs w:val="17"/>
              </w:rPr>
              <w:t>Ugese</w:t>
            </w:r>
            <w:proofErr w:type="spellEnd"/>
            <w:r>
              <w:rPr>
                <w:sz w:val="17"/>
                <w:szCs w:val="17"/>
              </w:rPr>
              <w:t xml:space="preserve"> &amp; Labe (2006)</w:t>
            </w:r>
          </w:p>
        </w:tc>
      </w:tr>
      <w:tr w:rsidR="007213F2" w14:paraId="419C4798" w14:textId="77777777">
        <w:tc>
          <w:tcPr>
            <w:tcW w:w="1450" w:type="dxa"/>
            <w:tcMar>
              <w:top w:w="60" w:type="dxa"/>
              <w:left w:w="90" w:type="dxa"/>
              <w:bottom w:w="60" w:type="dxa"/>
              <w:right w:w="90" w:type="dxa"/>
            </w:tcMar>
          </w:tcPr>
          <w:p w14:paraId="3508629B" w14:textId="77777777" w:rsidR="007213F2" w:rsidRDefault="001E289B">
            <w:r>
              <w:rPr>
                <w:sz w:val="17"/>
                <w:szCs w:val="17"/>
              </w:rPr>
              <w:t>Plant population and spacing</w:t>
            </w:r>
          </w:p>
        </w:tc>
        <w:tc>
          <w:tcPr>
            <w:tcW w:w="2100" w:type="dxa"/>
            <w:tcMar>
              <w:top w:w="60" w:type="dxa"/>
              <w:left w:w="90" w:type="dxa"/>
              <w:bottom w:w="60" w:type="dxa"/>
              <w:right w:w="90" w:type="dxa"/>
            </w:tcMar>
          </w:tcPr>
          <w:p w14:paraId="1DBBAB14" w14:textId="77777777" w:rsidR="007213F2" w:rsidRDefault="001E289B">
            <w:r>
              <w:rPr>
                <w:sz w:val="17"/>
                <w:szCs w:val="17"/>
              </w:rPr>
              <w:t xml:space="preserve">Spacing altered seed yield more than twofold within one site and season; </w:t>
            </w:r>
            <w:r>
              <w:rPr>
                <w:sz w:val="17"/>
                <w:szCs w:val="17"/>
              </w:rPr>
              <w:lastRenderedPageBreak/>
              <w:t>optimum arrangement is genotype-specific</w:t>
            </w:r>
          </w:p>
        </w:tc>
        <w:tc>
          <w:tcPr>
            <w:tcW w:w="1950" w:type="dxa"/>
            <w:tcMar>
              <w:top w:w="60" w:type="dxa"/>
              <w:left w:w="90" w:type="dxa"/>
              <w:bottom w:w="60" w:type="dxa"/>
              <w:right w:w="90" w:type="dxa"/>
            </w:tcMar>
          </w:tcPr>
          <w:p w14:paraId="439EDEC7" w14:textId="77777777" w:rsidR="007213F2" w:rsidRDefault="001E289B">
            <w:r>
              <w:rPr>
                <w:sz w:val="17"/>
                <w:szCs w:val="17"/>
              </w:rPr>
              <w:lastRenderedPageBreak/>
              <w:t>Single site, single season; not repeated elsewhere</w:t>
            </w:r>
          </w:p>
        </w:tc>
        <w:tc>
          <w:tcPr>
            <w:tcW w:w="1200" w:type="dxa"/>
            <w:tcMar>
              <w:top w:w="60" w:type="dxa"/>
              <w:left w:w="90" w:type="dxa"/>
              <w:bottom w:w="60" w:type="dxa"/>
              <w:right w:w="90" w:type="dxa"/>
            </w:tcMar>
          </w:tcPr>
          <w:p w14:paraId="40D56131" w14:textId="77777777" w:rsidR="007213F2" w:rsidRDefault="001E289B">
            <w:r>
              <w:rPr>
                <w:sz w:val="17"/>
                <w:szCs w:val="17"/>
              </w:rPr>
              <w:t>Moderate</w:t>
            </w:r>
          </w:p>
        </w:tc>
        <w:tc>
          <w:tcPr>
            <w:tcW w:w="2326" w:type="dxa"/>
            <w:tcMar>
              <w:top w:w="60" w:type="dxa"/>
              <w:left w:w="90" w:type="dxa"/>
              <w:bottom w:w="60" w:type="dxa"/>
              <w:right w:w="90" w:type="dxa"/>
            </w:tcMar>
          </w:tcPr>
          <w:p w14:paraId="54FE7A07" w14:textId="77777777" w:rsidR="007213F2" w:rsidRDefault="001E289B">
            <w:proofErr w:type="spellStart"/>
            <w:r>
              <w:rPr>
                <w:sz w:val="17"/>
                <w:szCs w:val="17"/>
              </w:rPr>
              <w:t>Ukwu</w:t>
            </w:r>
            <w:proofErr w:type="spellEnd"/>
            <w:r>
              <w:rPr>
                <w:sz w:val="17"/>
                <w:szCs w:val="17"/>
              </w:rPr>
              <w:t xml:space="preserve"> et al. (2023a)</w:t>
            </w:r>
          </w:p>
        </w:tc>
      </w:tr>
      <w:tr w:rsidR="007213F2" w14:paraId="7E42892B" w14:textId="77777777">
        <w:tc>
          <w:tcPr>
            <w:tcW w:w="1450" w:type="dxa"/>
            <w:tcMar>
              <w:top w:w="60" w:type="dxa"/>
              <w:left w:w="90" w:type="dxa"/>
              <w:bottom w:w="60" w:type="dxa"/>
              <w:right w:w="90" w:type="dxa"/>
            </w:tcMar>
          </w:tcPr>
          <w:p w14:paraId="23735F06" w14:textId="77777777" w:rsidR="007213F2" w:rsidRDefault="001E289B">
            <w:r>
              <w:rPr>
                <w:sz w:val="17"/>
                <w:szCs w:val="17"/>
              </w:rPr>
              <w:t>Radiation and thermal environment at flowering</w:t>
            </w:r>
          </w:p>
        </w:tc>
        <w:tc>
          <w:tcPr>
            <w:tcW w:w="2100" w:type="dxa"/>
            <w:tcMar>
              <w:top w:w="60" w:type="dxa"/>
              <w:left w:w="90" w:type="dxa"/>
              <w:bottom w:w="60" w:type="dxa"/>
              <w:right w:w="90" w:type="dxa"/>
            </w:tcMar>
          </w:tcPr>
          <w:p w14:paraId="1C1123A0" w14:textId="77777777" w:rsidR="007213F2" w:rsidRDefault="001E289B">
            <w:r>
              <w:rPr>
                <w:sz w:val="17"/>
                <w:szCs w:val="17"/>
              </w:rPr>
              <w:t>Partial shading improved microclimate, photochemistry, growth and several yield components</w:t>
            </w:r>
          </w:p>
        </w:tc>
        <w:tc>
          <w:tcPr>
            <w:tcW w:w="1950" w:type="dxa"/>
            <w:tcMar>
              <w:top w:w="60" w:type="dxa"/>
              <w:left w:w="90" w:type="dxa"/>
              <w:bottom w:w="60" w:type="dxa"/>
              <w:right w:w="90" w:type="dxa"/>
            </w:tcMar>
          </w:tcPr>
          <w:p w14:paraId="58907EAD" w14:textId="77777777" w:rsidR="007213F2" w:rsidRDefault="001E289B">
            <w:r>
              <w:rPr>
                <w:sz w:val="17"/>
                <w:szCs w:val="17"/>
              </w:rPr>
              <w:t>One site; shading confounded with humidity and wind effects</w:t>
            </w:r>
          </w:p>
        </w:tc>
        <w:tc>
          <w:tcPr>
            <w:tcW w:w="1200" w:type="dxa"/>
            <w:tcMar>
              <w:top w:w="60" w:type="dxa"/>
              <w:left w:w="90" w:type="dxa"/>
              <w:bottom w:w="60" w:type="dxa"/>
              <w:right w:w="90" w:type="dxa"/>
            </w:tcMar>
          </w:tcPr>
          <w:p w14:paraId="3A588C9D" w14:textId="77777777" w:rsidR="007213F2" w:rsidRDefault="001E289B">
            <w:r>
              <w:rPr>
                <w:sz w:val="17"/>
                <w:szCs w:val="17"/>
              </w:rPr>
              <w:t>Low to moderate</w:t>
            </w:r>
          </w:p>
        </w:tc>
        <w:tc>
          <w:tcPr>
            <w:tcW w:w="2326" w:type="dxa"/>
            <w:tcMar>
              <w:top w:w="60" w:type="dxa"/>
              <w:left w:w="90" w:type="dxa"/>
              <w:bottom w:w="60" w:type="dxa"/>
              <w:right w:w="90" w:type="dxa"/>
            </w:tcMar>
          </w:tcPr>
          <w:p w14:paraId="72172DBC" w14:textId="77777777" w:rsidR="007213F2" w:rsidRDefault="001E289B">
            <w:proofErr w:type="spellStart"/>
            <w:r>
              <w:rPr>
                <w:sz w:val="17"/>
                <w:szCs w:val="17"/>
              </w:rPr>
              <w:t>Ukwu</w:t>
            </w:r>
            <w:proofErr w:type="spellEnd"/>
            <w:r>
              <w:rPr>
                <w:sz w:val="17"/>
                <w:szCs w:val="17"/>
              </w:rPr>
              <w:t xml:space="preserve"> et al. (2025a, 2025b)</w:t>
            </w:r>
          </w:p>
        </w:tc>
      </w:tr>
      <w:tr w:rsidR="007213F2" w14:paraId="7DE6908D" w14:textId="77777777">
        <w:tc>
          <w:tcPr>
            <w:tcW w:w="1450" w:type="dxa"/>
            <w:tcMar>
              <w:top w:w="60" w:type="dxa"/>
              <w:left w:w="90" w:type="dxa"/>
              <w:bottom w:w="60" w:type="dxa"/>
              <w:right w:w="90" w:type="dxa"/>
            </w:tcMar>
          </w:tcPr>
          <w:p w14:paraId="59952AD5" w14:textId="77777777" w:rsidR="007213F2" w:rsidRDefault="001E289B">
            <w:r>
              <w:rPr>
                <w:sz w:val="17"/>
                <w:szCs w:val="17"/>
              </w:rPr>
              <w:t>Water deficit</w:t>
            </w:r>
          </w:p>
        </w:tc>
        <w:tc>
          <w:tcPr>
            <w:tcW w:w="2100" w:type="dxa"/>
            <w:tcMar>
              <w:top w:w="60" w:type="dxa"/>
              <w:left w:w="90" w:type="dxa"/>
              <w:bottom w:w="60" w:type="dxa"/>
              <w:right w:w="90" w:type="dxa"/>
            </w:tcMar>
          </w:tcPr>
          <w:p w14:paraId="4A992317" w14:textId="77777777" w:rsidR="007213F2" w:rsidRDefault="001E289B">
            <w:r>
              <w:rPr>
                <w:sz w:val="17"/>
                <w:szCs w:val="17"/>
              </w:rPr>
              <w:t>Two cultivars tolerated watering intervals of four to six days; photosynthesis maintained beyond the point of yield decline</w:t>
            </w:r>
          </w:p>
        </w:tc>
        <w:tc>
          <w:tcPr>
            <w:tcW w:w="1950" w:type="dxa"/>
            <w:tcMar>
              <w:top w:w="60" w:type="dxa"/>
              <w:left w:w="90" w:type="dxa"/>
              <w:bottom w:w="60" w:type="dxa"/>
              <w:right w:w="90" w:type="dxa"/>
            </w:tcMar>
          </w:tcPr>
          <w:p w14:paraId="6FE410E7" w14:textId="77777777" w:rsidR="007213F2" w:rsidRDefault="001E289B">
            <w:r>
              <w:rPr>
                <w:sz w:val="17"/>
                <w:szCs w:val="17"/>
              </w:rPr>
              <w:t>Imposed irrigation intervals, two cultivars, not a field rainfall test</w:t>
            </w:r>
          </w:p>
        </w:tc>
        <w:tc>
          <w:tcPr>
            <w:tcW w:w="1200" w:type="dxa"/>
            <w:tcMar>
              <w:top w:w="60" w:type="dxa"/>
              <w:left w:w="90" w:type="dxa"/>
              <w:bottom w:w="60" w:type="dxa"/>
              <w:right w:w="90" w:type="dxa"/>
            </w:tcMar>
          </w:tcPr>
          <w:p w14:paraId="1B696F2C" w14:textId="77777777" w:rsidR="007213F2" w:rsidRDefault="001E289B">
            <w:r>
              <w:rPr>
                <w:sz w:val="17"/>
                <w:szCs w:val="17"/>
              </w:rPr>
              <w:t>Low</w:t>
            </w:r>
          </w:p>
        </w:tc>
        <w:tc>
          <w:tcPr>
            <w:tcW w:w="2326" w:type="dxa"/>
            <w:tcMar>
              <w:top w:w="60" w:type="dxa"/>
              <w:left w:w="90" w:type="dxa"/>
              <w:bottom w:w="60" w:type="dxa"/>
              <w:right w:w="90" w:type="dxa"/>
            </w:tcMar>
          </w:tcPr>
          <w:p w14:paraId="36DAAB33" w14:textId="77777777" w:rsidR="007213F2" w:rsidRDefault="001E289B">
            <w:r>
              <w:rPr>
                <w:sz w:val="17"/>
                <w:szCs w:val="17"/>
              </w:rPr>
              <w:t>Mustapha et al. (2025)</w:t>
            </w:r>
          </w:p>
        </w:tc>
      </w:tr>
      <w:tr w:rsidR="007213F2" w14:paraId="50CF4362" w14:textId="77777777">
        <w:tc>
          <w:tcPr>
            <w:tcW w:w="1450" w:type="dxa"/>
            <w:tcMar>
              <w:top w:w="60" w:type="dxa"/>
              <w:left w:w="90" w:type="dxa"/>
              <w:bottom w:w="60" w:type="dxa"/>
              <w:right w:w="90" w:type="dxa"/>
            </w:tcMar>
          </w:tcPr>
          <w:p w14:paraId="114466F0" w14:textId="77777777" w:rsidR="007213F2" w:rsidRDefault="001E289B">
            <w:r>
              <w:rPr>
                <w:sz w:val="17"/>
                <w:szCs w:val="17"/>
              </w:rPr>
              <w:t>Excess water and waterlogging</w:t>
            </w:r>
          </w:p>
        </w:tc>
        <w:tc>
          <w:tcPr>
            <w:tcW w:w="2100" w:type="dxa"/>
            <w:tcMar>
              <w:top w:w="60" w:type="dxa"/>
              <w:left w:w="90" w:type="dxa"/>
              <w:bottom w:w="60" w:type="dxa"/>
              <w:right w:w="90" w:type="dxa"/>
            </w:tcMar>
          </w:tcPr>
          <w:p w14:paraId="082DC674" w14:textId="77777777" w:rsidR="007213F2" w:rsidRDefault="001E289B">
            <w:r>
              <w:rPr>
                <w:sz w:val="17"/>
                <w:szCs w:val="17"/>
              </w:rPr>
              <w:t>No Nigerian screening identified; reproductive abscission documented in the sub-humid savanna</w:t>
            </w:r>
          </w:p>
        </w:tc>
        <w:tc>
          <w:tcPr>
            <w:tcW w:w="1950" w:type="dxa"/>
            <w:tcMar>
              <w:top w:w="60" w:type="dxa"/>
              <w:left w:w="90" w:type="dxa"/>
              <w:bottom w:w="60" w:type="dxa"/>
              <w:right w:w="90" w:type="dxa"/>
            </w:tcMar>
          </w:tcPr>
          <w:p w14:paraId="5F230BA2" w14:textId="77777777" w:rsidR="007213F2" w:rsidRDefault="001E289B">
            <w:r>
              <w:rPr>
                <w:sz w:val="17"/>
                <w:szCs w:val="17"/>
              </w:rPr>
              <w:t>Trait untested in the zones where trials are concentrated</w:t>
            </w:r>
          </w:p>
        </w:tc>
        <w:tc>
          <w:tcPr>
            <w:tcW w:w="1200" w:type="dxa"/>
            <w:tcMar>
              <w:top w:w="60" w:type="dxa"/>
              <w:left w:w="90" w:type="dxa"/>
              <w:bottom w:w="60" w:type="dxa"/>
              <w:right w:w="90" w:type="dxa"/>
            </w:tcMar>
          </w:tcPr>
          <w:p w14:paraId="5E82283B" w14:textId="77777777" w:rsidR="007213F2" w:rsidRDefault="001E289B">
            <w:r>
              <w:rPr>
                <w:sz w:val="17"/>
                <w:szCs w:val="17"/>
              </w:rPr>
              <w:t>Very low</w:t>
            </w:r>
          </w:p>
        </w:tc>
        <w:tc>
          <w:tcPr>
            <w:tcW w:w="2326" w:type="dxa"/>
            <w:tcMar>
              <w:top w:w="60" w:type="dxa"/>
              <w:left w:w="90" w:type="dxa"/>
              <w:bottom w:w="60" w:type="dxa"/>
              <w:right w:w="90" w:type="dxa"/>
            </w:tcMar>
          </w:tcPr>
          <w:p w14:paraId="424E4C3B" w14:textId="77777777" w:rsidR="007213F2" w:rsidRDefault="001E289B">
            <w:proofErr w:type="spellStart"/>
            <w:r>
              <w:rPr>
                <w:sz w:val="17"/>
                <w:szCs w:val="17"/>
              </w:rPr>
              <w:t>Avav</w:t>
            </w:r>
            <w:proofErr w:type="spellEnd"/>
            <w:r>
              <w:rPr>
                <w:sz w:val="17"/>
                <w:szCs w:val="17"/>
              </w:rPr>
              <w:t xml:space="preserve"> &amp; </w:t>
            </w:r>
            <w:proofErr w:type="spellStart"/>
            <w:r>
              <w:rPr>
                <w:sz w:val="17"/>
                <w:szCs w:val="17"/>
              </w:rPr>
              <w:t>Ugese</w:t>
            </w:r>
            <w:proofErr w:type="spellEnd"/>
            <w:r>
              <w:rPr>
                <w:sz w:val="17"/>
                <w:szCs w:val="17"/>
              </w:rPr>
              <w:t xml:space="preserve"> (2009); Basavaraj et al. (2024)</w:t>
            </w:r>
          </w:p>
        </w:tc>
      </w:tr>
      <w:tr w:rsidR="007213F2" w14:paraId="75855FD7" w14:textId="77777777">
        <w:tc>
          <w:tcPr>
            <w:tcW w:w="1450" w:type="dxa"/>
            <w:tcMar>
              <w:top w:w="60" w:type="dxa"/>
              <w:left w:w="90" w:type="dxa"/>
              <w:bottom w:w="60" w:type="dxa"/>
              <w:right w:w="90" w:type="dxa"/>
            </w:tcMar>
          </w:tcPr>
          <w:p w14:paraId="3A58D92C" w14:textId="77777777" w:rsidR="007213F2" w:rsidRDefault="001E289B">
            <w:r>
              <w:rPr>
                <w:sz w:val="17"/>
                <w:szCs w:val="17"/>
              </w:rPr>
              <w:t>Soil fertility and micronutrients</w:t>
            </w:r>
          </w:p>
        </w:tc>
        <w:tc>
          <w:tcPr>
            <w:tcW w:w="2100" w:type="dxa"/>
            <w:tcMar>
              <w:top w:w="60" w:type="dxa"/>
              <w:left w:w="90" w:type="dxa"/>
              <w:bottom w:w="60" w:type="dxa"/>
              <w:right w:w="90" w:type="dxa"/>
            </w:tcMar>
          </w:tcPr>
          <w:p w14:paraId="7D904D44" w14:textId="77777777" w:rsidR="007213F2" w:rsidRDefault="001E289B">
            <w:r>
              <w:rPr>
                <w:sz w:val="17"/>
                <w:szCs w:val="17"/>
              </w:rPr>
              <w:t>Zinc requirement determined for shale-derived soils of the humid rainforest</w:t>
            </w:r>
          </w:p>
        </w:tc>
        <w:tc>
          <w:tcPr>
            <w:tcW w:w="1950" w:type="dxa"/>
            <w:tcMar>
              <w:top w:w="60" w:type="dxa"/>
              <w:left w:w="90" w:type="dxa"/>
              <w:bottom w:w="60" w:type="dxa"/>
              <w:right w:w="90" w:type="dxa"/>
            </w:tcMar>
          </w:tcPr>
          <w:p w14:paraId="23F11334" w14:textId="77777777" w:rsidR="007213F2" w:rsidRDefault="001E289B">
            <w:r>
              <w:rPr>
                <w:sz w:val="17"/>
                <w:szCs w:val="17"/>
              </w:rPr>
              <w:t>One soil group, one zone; no phosphorus response study identified</w:t>
            </w:r>
          </w:p>
        </w:tc>
        <w:tc>
          <w:tcPr>
            <w:tcW w:w="1200" w:type="dxa"/>
            <w:tcMar>
              <w:top w:w="60" w:type="dxa"/>
              <w:left w:w="90" w:type="dxa"/>
              <w:bottom w:w="60" w:type="dxa"/>
              <w:right w:w="90" w:type="dxa"/>
            </w:tcMar>
          </w:tcPr>
          <w:p w14:paraId="727A8223" w14:textId="77777777" w:rsidR="007213F2" w:rsidRDefault="001E289B">
            <w:r>
              <w:rPr>
                <w:sz w:val="17"/>
                <w:szCs w:val="17"/>
              </w:rPr>
              <w:t>Low</w:t>
            </w:r>
          </w:p>
        </w:tc>
        <w:tc>
          <w:tcPr>
            <w:tcW w:w="2326" w:type="dxa"/>
            <w:tcMar>
              <w:top w:w="60" w:type="dxa"/>
              <w:left w:w="90" w:type="dxa"/>
              <w:bottom w:w="60" w:type="dxa"/>
              <w:right w:w="90" w:type="dxa"/>
            </w:tcMar>
          </w:tcPr>
          <w:p w14:paraId="60DF6728" w14:textId="77777777" w:rsidR="007213F2" w:rsidRDefault="001E289B">
            <w:proofErr w:type="spellStart"/>
            <w:r>
              <w:rPr>
                <w:sz w:val="17"/>
                <w:szCs w:val="17"/>
              </w:rPr>
              <w:t>Eteng</w:t>
            </w:r>
            <w:proofErr w:type="spellEnd"/>
            <w:r>
              <w:rPr>
                <w:sz w:val="17"/>
                <w:szCs w:val="17"/>
              </w:rPr>
              <w:t xml:space="preserve"> et al. (2024)</w:t>
            </w:r>
          </w:p>
        </w:tc>
      </w:tr>
      <w:tr w:rsidR="007213F2" w14:paraId="60FDB5F4" w14:textId="77777777">
        <w:tc>
          <w:tcPr>
            <w:tcW w:w="1450" w:type="dxa"/>
            <w:tcMar>
              <w:top w:w="60" w:type="dxa"/>
              <w:left w:w="90" w:type="dxa"/>
              <w:bottom w:w="60" w:type="dxa"/>
              <w:right w:w="90" w:type="dxa"/>
            </w:tcMar>
          </w:tcPr>
          <w:p w14:paraId="18BAB40B" w14:textId="77777777" w:rsidR="007213F2" w:rsidRDefault="001E289B">
            <w:r>
              <w:rPr>
                <w:sz w:val="17"/>
                <w:szCs w:val="17"/>
              </w:rPr>
              <w:t>Genotype by environment interaction</w:t>
            </w:r>
          </w:p>
        </w:tc>
        <w:tc>
          <w:tcPr>
            <w:tcW w:w="2100" w:type="dxa"/>
            <w:tcMar>
              <w:top w:w="60" w:type="dxa"/>
              <w:left w:w="90" w:type="dxa"/>
              <w:bottom w:w="60" w:type="dxa"/>
              <w:right w:w="90" w:type="dxa"/>
            </w:tcMar>
          </w:tcPr>
          <w:p w14:paraId="4D99C411" w14:textId="77777777" w:rsidR="007213F2" w:rsidRDefault="001E289B">
            <w:r>
              <w:rPr>
                <w:sz w:val="17"/>
                <w:szCs w:val="17"/>
              </w:rPr>
              <w:t>Interaction significant wherever tested; heritability for seed yield about 23%</w:t>
            </w:r>
          </w:p>
        </w:tc>
        <w:tc>
          <w:tcPr>
            <w:tcW w:w="1950" w:type="dxa"/>
            <w:tcMar>
              <w:top w:w="60" w:type="dxa"/>
              <w:left w:w="90" w:type="dxa"/>
              <w:bottom w:w="60" w:type="dxa"/>
              <w:right w:w="90" w:type="dxa"/>
            </w:tcMar>
          </w:tcPr>
          <w:p w14:paraId="1F039140" w14:textId="77777777" w:rsidR="007213F2" w:rsidRDefault="001E289B">
            <w:r>
              <w:rPr>
                <w:sz w:val="17"/>
                <w:szCs w:val="17"/>
              </w:rPr>
              <w:t>No trial exceeds two seasons or samples the northern zones</w:t>
            </w:r>
          </w:p>
        </w:tc>
        <w:tc>
          <w:tcPr>
            <w:tcW w:w="1200" w:type="dxa"/>
            <w:tcMar>
              <w:top w:w="60" w:type="dxa"/>
              <w:left w:w="90" w:type="dxa"/>
              <w:bottom w:w="60" w:type="dxa"/>
              <w:right w:w="90" w:type="dxa"/>
            </w:tcMar>
          </w:tcPr>
          <w:p w14:paraId="66E80C41" w14:textId="77777777" w:rsidR="007213F2" w:rsidRDefault="001E289B">
            <w:r>
              <w:rPr>
                <w:sz w:val="17"/>
                <w:szCs w:val="17"/>
              </w:rPr>
              <w:t>Moderate for the finding itself, low for any derived recommendation</w:t>
            </w:r>
          </w:p>
        </w:tc>
        <w:tc>
          <w:tcPr>
            <w:tcW w:w="2326" w:type="dxa"/>
            <w:tcMar>
              <w:top w:w="60" w:type="dxa"/>
              <w:left w:w="90" w:type="dxa"/>
              <w:bottom w:w="60" w:type="dxa"/>
              <w:right w:w="90" w:type="dxa"/>
            </w:tcMar>
          </w:tcPr>
          <w:p w14:paraId="6F2B08CE" w14:textId="77777777" w:rsidR="007213F2" w:rsidRDefault="001E289B">
            <w:proofErr w:type="spellStart"/>
            <w:r>
              <w:rPr>
                <w:sz w:val="17"/>
                <w:szCs w:val="17"/>
              </w:rPr>
              <w:t>Akinyosoye</w:t>
            </w:r>
            <w:proofErr w:type="spellEnd"/>
            <w:r>
              <w:rPr>
                <w:sz w:val="17"/>
                <w:szCs w:val="17"/>
              </w:rPr>
              <w:t xml:space="preserve"> et al. (2021); </w:t>
            </w:r>
            <w:proofErr w:type="spellStart"/>
            <w:r>
              <w:rPr>
                <w:sz w:val="17"/>
                <w:szCs w:val="17"/>
              </w:rPr>
              <w:t>Ukwu</w:t>
            </w:r>
            <w:proofErr w:type="spellEnd"/>
            <w:r>
              <w:rPr>
                <w:sz w:val="17"/>
                <w:szCs w:val="17"/>
              </w:rPr>
              <w:t xml:space="preserve"> et al. (2025b)</w:t>
            </w:r>
          </w:p>
        </w:tc>
      </w:tr>
    </w:tbl>
    <w:p w14:paraId="003A39DF" w14:textId="77777777" w:rsidR="007213F2" w:rsidRDefault="001E289B">
      <w:pPr>
        <w:spacing w:before="100" w:after="240"/>
      </w:pPr>
      <w:r>
        <w:rPr>
          <w:i/>
          <w:iCs/>
          <w:sz w:val="17"/>
          <w:szCs w:val="17"/>
        </w:rPr>
        <w:t xml:space="preserve">Note. </w:t>
      </w:r>
      <w:r>
        <w:rPr>
          <w:sz w:val="17"/>
          <w:szCs w:val="17"/>
        </w:rPr>
        <w:t>Assessed confidence is the reviewers' judgement based on the appraisal criteria set out in Section 2.6, taking account of design adequacy, replication across seasons and sites, environmental representativeness and completeness of reporting; it is not the output of a formal risk-of-bias instrument and should be read as an ordinal summary rather than a quantitative score.</w:t>
      </w:r>
    </w:p>
    <w:p w14:paraId="54CAC686" w14:textId="77777777" w:rsidR="007213F2" w:rsidRDefault="001E289B">
      <w:pPr>
        <w:pStyle w:val="Heading1"/>
        <w:spacing w:before="320" w:after="140"/>
      </w:pPr>
      <w:r>
        <w:rPr>
          <w:b/>
          <w:bCs/>
          <w:color w:val="000000"/>
          <w:sz w:val="24"/>
          <w:szCs w:val="24"/>
        </w:rPr>
        <w:t>6. Biotic Constraints and the Depth of the Evidence Deficit</w:t>
      </w:r>
    </w:p>
    <w:p w14:paraId="022EEA76" w14:textId="77777777" w:rsidR="007213F2" w:rsidRDefault="001E289B">
      <w:pPr>
        <w:pStyle w:val="Heading2"/>
        <w:spacing w:before="240" w:after="120"/>
      </w:pPr>
      <w:r>
        <w:rPr>
          <w:b/>
          <w:bCs/>
          <w:color w:val="000000"/>
          <w:sz w:val="21"/>
          <w:szCs w:val="21"/>
        </w:rPr>
        <w:t>6.1 Field insect pests</w:t>
      </w:r>
    </w:p>
    <w:p w14:paraId="5CE56252" w14:textId="77777777" w:rsidR="007213F2" w:rsidRDefault="001E289B">
      <w:pPr>
        <w:spacing w:after="160" w:line="300" w:lineRule="auto"/>
        <w:jc w:val="both"/>
      </w:pPr>
      <w:r>
        <w:t xml:space="preserve">Two Nigerian studies address insect pests of mung bean directly. A survey in the southern Guinea savanna at Langtang recorded the insect fauna associated with the crop and the damage attributable to it, producing what appears to be the only published Nigerian checklist for the species (Ndam et al., 2018). A field experiment at </w:t>
      </w:r>
      <w:proofErr w:type="spellStart"/>
      <w:r>
        <w:t>Umudike</w:t>
      </w:r>
      <w:proofErr w:type="spellEnd"/>
      <w:r>
        <w:t xml:space="preserve"> in the humid south-east assessed plant extracts as control agents for field insect pests (</w:t>
      </w:r>
      <w:proofErr w:type="spellStart"/>
      <w:r>
        <w:t>Asawalam</w:t>
      </w:r>
      <w:proofErr w:type="spellEnd"/>
      <w:r>
        <w:t xml:space="preserve"> &amp; </w:t>
      </w:r>
      <w:proofErr w:type="spellStart"/>
      <w:r>
        <w:t>Ekemezie</w:t>
      </w:r>
      <w:proofErr w:type="spellEnd"/>
      <w:r>
        <w:t>, 2018). Both establish that insects attack the crop in Nigeria and that damage is sufficient to warrant intervention. Neither quantifies yield loss against a protected control in a way that would allow an economic threshold to be derived, and neither has been repeated at another site.</w:t>
      </w:r>
    </w:p>
    <w:p w14:paraId="66F9B922" w14:textId="77777777" w:rsidR="007213F2" w:rsidRDefault="001E289B">
      <w:pPr>
        <w:spacing w:after="160" w:line="300" w:lineRule="auto"/>
        <w:jc w:val="both"/>
      </w:pPr>
      <w:r>
        <w:t>The global literature indicates that mung bean is attacked by thrips, pod borers, whiteflies and bruchids, and that the relative importance of these groups varies markedly between production regions (Nair et al., 2019). Extrapolating an Asian or East African pest ranking to Nigeria is unsafe, because the Nigerian savanna supports a legume pest complex shaped by the presence of large areas of cowpea, and the interaction between the two crops in shared landscapes has not been examined. The one Nigerian trial that assessed control measures used botanical extracts, an approach that has also been evaluated on mung bean in East Africa with variable results (Kessy et al., 2024). Botanical control is attractive on cost and access grounds, and it is the approach most likely to be adopted by smallholders, but its efficacy against the dominant Nigerian pest species remains undetermined because the dominant species have not been identified beyond a single locality.</w:t>
      </w:r>
    </w:p>
    <w:p w14:paraId="154039ED" w14:textId="77777777" w:rsidR="007213F2" w:rsidRDefault="001E289B">
      <w:pPr>
        <w:spacing w:after="160" w:line="300" w:lineRule="auto"/>
        <w:jc w:val="both"/>
      </w:pPr>
      <w:r>
        <w:lastRenderedPageBreak/>
        <w:t>The pest question interacts with the phenological argument in a way that has not been recognised. If mung bean's principal advantage is that it occupies periods when other legumes are absent, then it will flower at times when the pest populations sustained by those legumes are at low density, which would be advantageous, or alternatively when the pest populations are concentrating on the only available host, which would be seriously disadvantageous. Which of these occurs is an empirical question that no Nigerian study has posed.</w:t>
      </w:r>
    </w:p>
    <w:p w14:paraId="5BFAF424" w14:textId="77777777" w:rsidR="007213F2" w:rsidRDefault="001E289B">
      <w:pPr>
        <w:pStyle w:val="Heading2"/>
        <w:spacing w:before="240" w:after="120"/>
      </w:pPr>
      <w:r>
        <w:rPr>
          <w:b/>
          <w:bCs/>
          <w:color w:val="000000"/>
          <w:sz w:val="21"/>
          <w:szCs w:val="21"/>
        </w:rPr>
        <w:t>6.2 Diseases and post-harvest losses</w:t>
      </w:r>
    </w:p>
    <w:p w14:paraId="4574E803" w14:textId="77777777" w:rsidR="007213F2" w:rsidRDefault="001E289B">
      <w:pPr>
        <w:spacing w:after="160" w:line="300" w:lineRule="auto"/>
        <w:jc w:val="both"/>
      </w:pPr>
      <w:r>
        <w:t xml:space="preserve">No Nigerian disease survey for mung bean was retrieved that met the eligibility criteria applied here. This is a substantive gap rather than an artefact of searching, because the humid southern environments in which most Nigerian trials have been conducted are precisely those in which foliar and seed-borne diseases of grain legumes are most damaging. The global account identifies yellow mosaic disease, </w:t>
      </w:r>
      <w:proofErr w:type="spellStart"/>
      <w:r>
        <w:t>Cercospora</w:t>
      </w:r>
      <w:proofErr w:type="spellEnd"/>
      <w:r>
        <w:t xml:space="preserve"> leaf spot, powdery mildew and root and stem rots as the principal pathological constraints on the crop, with yellow mosaic disease the most economically important in South Asia (Nair et al., 2019). Whether the </w:t>
      </w:r>
      <w:proofErr w:type="spellStart"/>
      <w:r>
        <w:t>begomovirus</w:t>
      </w:r>
      <w:proofErr w:type="spellEnd"/>
      <w:r>
        <w:t xml:space="preserve"> complex responsible for that disease is present on mung bean in Nigeria is not established in the accessible literature, and the assumption should not be made in either direction.</w:t>
      </w:r>
    </w:p>
    <w:p w14:paraId="30F59A40" w14:textId="77777777" w:rsidR="007213F2" w:rsidRDefault="001E289B">
      <w:pPr>
        <w:spacing w:after="160" w:line="300" w:lineRule="auto"/>
        <w:jc w:val="both"/>
      </w:pPr>
      <w:r>
        <w:t>Post-harvest losses stand in a similar position. Bruchid damage in storage is a recognised constraint on the species internationally (Nair et al., 2019), and it is a well-known constraint on cowpea in Nigeria, but the Nigerian published work on mung bean storage protection that the searches retrieved appeared in outlets whose editorial standards could not be established, and it has therefore not been relied upon here. The consequence is that a crop being promoted partly on the basis of its value as a stored, marketable grain has no verified Nigerian evidence on its storage behaviour.</w:t>
      </w:r>
    </w:p>
    <w:p w14:paraId="592B56F3" w14:textId="77777777" w:rsidR="007213F2" w:rsidRDefault="001E289B">
      <w:pPr>
        <w:spacing w:after="160" w:line="300" w:lineRule="auto"/>
        <w:jc w:val="both"/>
      </w:pPr>
      <w:r>
        <w:t>Taken together, the biotic evidence is the weakest component of the Nigerian record. Suitability assessments have been constructed almost entirely from abiotic and agronomic considerations, and the biotic constraints that determine whether a legume remains profitable after the first few seasons of cultivation have not been characterised at all. The history of grain legume introduction in West Africa suggests that this is where introductions most often fail, and the omission is therefore not a minor one.</w:t>
      </w:r>
    </w:p>
    <w:p w14:paraId="6EB38FFA" w14:textId="77777777" w:rsidR="007213F2" w:rsidRDefault="001E289B">
      <w:pPr>
        <w:pStyle w:val="Heading1"/>
        <w:spacing w:before="320" w:after="140"/>
      </w:pPr>
      <w:r>
        <w:rPr>
          <w:b/>
          <w:bCs/>
          <w:color w:val="000000"/>
          <w:sz w:val="24"/>
          <w:szCs w:val="24"/>
        </w:rPr>
        <w:t>7. Systems Integration and the Unmeasured Nitrogen Economy</w:t>
      </w:r>
    </w:p>
    <w:p w14:paraId="79A752A4" w14:textId="77777777" w:rsidR="007213F2" w:rsidRDefault="001E289B">
      <w:pPr>
        <w:spacing w:after="160" w:line="300" w:lineRule="auto"/>
        <w:jc w:val="both"/>
      </w:pPr>
      <w:r>
        <w:t>The proposition that mung bean improves the productivity of subsequent cereals through biological nitrogen fixation is central to the case for its adoption, and it is the proposition for which Nigerian evidence is entirely indirect. Rotation studies in the northern Guinea savanna of Nigeria have demonstrated that grain legumes raise the yield of subsequent maize, and, importantly, that the benefit is not attributable solely to fixed nitrogen: soil microbial biomass and chemical properties change under legume rotations, and the residual effect exceeds what the nitrogen balance alone would predict (Yusuf et al., 2009a, 2009b). These findings are among the most methodologically careful in the Nigerian legume literature, and they establish a mechanism. They do not involve mung bean.</w:t>
      </w:r>
    </w:p>
    <w:p w14:paraId="231A6247" w14:textId="77777777" w:rsidR="007213F2" w:rsidRDefault="001E289B">
      <w:pPr>
        <w:spacing w:after="160" w:line="300" w:lineRule="auto"/>
        <w:jc w:val="both"/>
      </w:pPr>
      <w:r>
        <w:t xml:space="preserve">The wider evidence on legume contributions to cereal-based systems supports the general principle while cautioning against uncritical extension of it. Biological nitrogen fixation can contribute meaningfully to the nitrogen economy of cereal systems, but the size of the contribution depends on the proportion of fixed nitrogen removed in grain, on residue management and on the fertility status of the soil, and grain legumes harvested for seed frequently return little net nitrogen when residues are removed (Ladha et al., 2022). Mung bean is harvested for seed, its residues are of interest as fodder, and its short duration limits the period </w:t>
      </w:r>
      <w:r>
        <w:lastRenderedPageBreak/>
        <w:t>available for fixation. The net nitrogen balance under Nigerian management is therefore an open question that cannot be resolved by analogy with longer-duration legumes.</w:t>
      </w:r>
    </w:p>
    <w:p w14:paraId="46390BA5" w14:textId="77777777" w:rsidR="007213F2" w:rsidRDefault="001E289B">
      <w:pPr>
        <w:spacing w:after="160" w:line="300" w:lineRule="auto"/>
        <w:jc w:val="both"/>
      </w:pPr>
      <w:r>
        <w:t>What Nigerian evidence exists on mung bean in mixed systems concerns spatial rather than temporal integration. An alley-cropping experiment in the south-east examined the effects of maize spatial arrangement and mung bean spacing on soil properties and on the yield of both components (Koyejo et al., 2023). This is a useful study, and it is the only Nigerian work retrieved that treats mung bean as a component of a system rather than as a sole crop. Comparable evidence from elsewhere in Africa indicates that maize and edible-legume intercropping alters belowground community composition and ecosystem service delivery in ways that are not captured by yield measurement alone (Jalloh et al., 2024), and syntheses of legume integration in smallholder systems emphasise that the benefits realised depend heavily on the management context rather than on the legume species as such (Melese et al., 2025).</w:t>
      </w:r>
    </w:p>
    <w:p w14:paraId="15808838" w14:textId="77777777" w:rsidR="007213F2" w:rsidRDefault="001E289B">
      <w:pPr>
        <w:spacing w:after="160" w:line="300" w:lineRule="auto"/>
        <w:jc w:val="both"/>
      </w:pPr>
      <w:r>
        <w:t>The gap is therefore specific and quantifiable. No Nigerian study has measured nitrogen fixation by mung bean, by any method; no Nigerian study has measured the residual effect of a mung bean crop on a subsequent cereal; and no Nigerian study has quantified residue production or the nitrogen removed in grain. Until these quantities are measured, the rotational argument for mung bean in Nigeria is a hypothesis supported by evidence from other legumes, not a demonstrated benefit.</w:t>
      </w:r>
    </w:p>
    <w:p w14:paraId="7EF6868F" w14:textId="77777777" w:rsidR="007213F2" w:rsidRDefault="001E289B">
      <w:pPr>
        <w:pStyle w:val="Heading1"/>
        <w:spacing w:before="320" w:after="140"/>
      </w:pPr>
      <w:r>
        <w:rPr>
          <w:b/>
          <w:bCs/>
          <w:color w:val="000000"/>
          <w:sz w:val="24"/>
          <w:szCs w:val="24"/>
        </w:rPr>
        <w:t>8. Grain Quality, Utilisation and the Demand Side</w:t>
      </w:r>
    </w:p>
    <w:p w14:paraId="52952152" w14:textId="77777777" w:rsidR="007213F2" w:rsidRDefault="001E289B">
      <w:pPr>
        <w:spacing w:after="160" w:line="300" w:lineRule="auto"/>
        <w:jc w:val="both"/>
      </w:pPr>
      <w:r>
        <w:t>The nutritional case for mung bean is the best-supported element of the Nigerian evidence base, partly because composition is easier to measure than yield and partly because it varies less with environment. Direct comparison of cowpea and mung bean seeds grown in the humid south-east found differences in both nutrient and anti-nutrient composition between the two species (</w:t>
      </w:r>
      <w:proofErr w:type="spellStart"/>
      <w:r>
        <w:t>Enyiukwu</w:t>
      </w:r>
      <w:proofErr w:type="spellEnd"/>
      <w:r>
        <w:t xml:space="preserve"> et al., 2020). Evaluation of twenty-one accessions at two south-western sites reported protein values slightly below those of cowpea checks but mineral levels considerably higher, and found that processed bean cake prepared from several mung bean samples compared favourably with the equivalent product made from a standard cowpea variety (Oloyede-</w:t>
      </w:r>
      <w:proofErr w:type="spellStart"/>
      <w:r>
        <w:t>Kamiyo</w:t>
      </w:r>
      <w:proofErr w:type="spellEnd"/>
      <w:r>
        <w:t xml:space="preserve"> et al., 2024). Proximate analysis of twenty genotypes evaluated in the south-east and of ten accessions characterised for morphometric and compositional traits provides further Nigerian compositional data (Agbim, 2025; </w:t>
      </w:r>
      <w:proofErr w:type="spellStart"/>
      <w:r>
        <w:t>Osundare</w:t>
      </w:r>
      <w:proofErr w:type="spellEnd"/>
      <w:r>
        <w:t xml:space="preserve"> &amp; </w:t>
      </w:r>
      <w:proofErr w:type="spellStart"/>
      <w:r>
        <w:t>Akajagbon</w:t>
      </w:r>
      <w:proofErr w:type="spellEnd"/>
      <w:r>
        <w:t>, 2025). The international literature on the technological and nutritional potential of the species is consistent with these findings and provides the processing context within which they should be read (Dahiya et al., 2015).</w:t>
      </w:r>
    </w:p>
    <w:p w14:paraId="3E2C2CEB" w14:textId="77777777" w:rsidR="007213F2" w:rsidRDefault="001E289B">
      <w:pPr>
        <w:spacing w:after="160" w:line="300" w:lineRule="auto"/>
        <w:jc w:val="both"/>
      </w:pPr>
      <w:r>
        <w:t>The sensory finding deserves emphasis because it addresses the question that determines whether a novel grain enters a food system. Nigerian legume consumption is organised around specific preparations, and a grain that cannot substitute into those preparations will not find a market regardless of its composition. The demonstration that mung bean can be used in a familiar steamed bean cake with acceptable results (Oloyede-</w:t>
      </w:r>
      <w:proofErr w:type="spellStart"/>
      <w:r>
        <w:t>Kamiyo</w:t>
      </w:r>
      <w:proofErr w:type="spellEnd"/>
      <w:r>
        <w:t xml:space="preserve"> et al., 2024) is therefore a more consequential result than any single compositional measurement. Complementary Nigerian work has examined malting as a means of modifying the nutrient and anti-nutrient profile and the pasting behaviour of mung bean flour (</w:t>
      </w:r>
      <w:proofErr w:type="spellStart"/>
      <w:r>
        <w:t>Onwurafor</w:t>
      </w:r>
      <w:proofErr w:type="spellEnd"/>
      <w:r>
        <w:t xml:space="preserve"> et al., 2020), and has incorporated mung bean malt into composite bread with measured effects on proximate composition and on metabolic outcomes in an animal model (</w:t>
      </w:r>
      <w:proofErr w:type="spellStart"/>
      <w:r>
        <w:t>Onwurafor</w:t>
      </w:r>
      <w:proofErr w:type="spellEnd"/>
      <w:r>
        <w:t xml:space="preserve"> et al., 2022). These studies establish technological feasibility across more than one product category.</w:t>
      </w:r>
    </w:p>
    <w:p w14:paraId="3FC3FCF3" w14:textId="77777777" w:rsidR="007213F2" w:rsidRDefault="001E289B">
      <w:pPr>
        <w:spacing w:after="160" w:line="300" w:lineRule="auto"/>
        <w:jc w:val="both"/>
      </w:pPr>
      <w:r>
        <w:t xml:space="preserve">Two qualifications limit what this evidence supports. First, none of the Nigerian utilisation studies has been accompanied by consumer testing at a scale that would indicate acceptability beyond a laboratory panel, and none has examined price sensitivity or willingness to pay. Second, the compositional advantages reported </w:t>
      </w:r>
      <w:r>
        <w:lastRenderedPageBreak/>
        <w:t>are relative to cowpea, which is abundant, familiar and cheap in Nigeria; a modest mineral advantage will not by itself displace an established staple. The East African experience is instructive here, because mung bean expanded there principally on the strength of export demand and organised market channels rather than on domestic substitution, and adoption was associated with access to improved varieties, seed and market information rather than with the crop's intrinsic properties (</w:t>
      </w:r>
      <w:proofErr w:type="spellStart"/>
      <w:r>
        <w:t>Mmbando</w:t>
      </w:r>
      <w:proofErr w:type="spellEnd"/>
      <w:r>
        <w:t xml:space="preserve"> et al., 2021; </w:t>
      </w:r>
      <w:proofErr w:type="spellStart"/>
      <w:r>
        <w:t>Sequeros</w:t>
      </w:r>
      <w:proofErr w:type="spellEnd"/>
      <w:r>
        <w:t xml:space="preserve"> et al., 2021). Reviews of African underutilised legumes reach a similar conclusion, identifying market and seed-system constraints rather than biological limitations as the binding constraint on expansion (Odeku et al., 2024; Popoola et al., 2023).</w:t>
      </w:r>
    </w:p>
    <w:p w14:paraId="5CCBDE5A" w14:textId="77777777" w:rsidR="007213F2" w:rsidRDefault="001E289B">
      <w:pPr>
        <w:pStyle w:val="Heading1"/>
        <w:spacing w:before="320" w:after="140"/>
      </w:pPr>
      <w:r>
        <w:rPr>
          <w:b/>
          <w:bCs/>
          <w:color w:val="000000"/>
          <w:sz w:val="24"/>
          <w:szCs w:val="24"/>
        </w:rPr>
        <w:t>9. Methodological Weaknesses Across the Nigerian Literature</w:t>
      </w:r>
    </w:p>
    <w:p w14:paraId="141E0800" w14:textId="77777777" w:rsidR="007213F2" w:rsidRDefault="001E289B">
      <w:pPr>
        <w:spacing w:after="160" w:line="300" w:lineRule="auto"/>
        <w:jc w:val="both"/>
      </w:pPr>
      <w:r>
        <w:t>The preceding sections have identified specific evidential gaps. A set of recurring methodological features underlies most of them, and these features rather than the individual gaps are what most limits the usefulness of the Nigerian record.</w:t>
      </w:r>
    </w:p>
    <w:p w14:paraId="5F25B1A7" w14:textId="77777777" w:rsidR="007213F2" w:rsidRDefault="001E289B">
      <w:pPr>
        <w:spacing w:after="160" w:line="300" w:lineRule="auto"/>
        <w:jc w:val="both"/>
      </w:pPr>
      <w:r>
        <w:t>The first is the near-absence of multi-season data. Only one retrieved Nigerian study evaluated genotypes across two years at multiple sites with an analysis that treated season and site jointly as environments (</w:t>
      </w:r>
      <w:proofErr w:type="spellStart"/>
      <w:r>
        <w:t>Akinyosoye</w:t>
      </w:r>
      <w:proofErr w:type="spellEnd"/>
      <w:r>
        <w:t xml:space="preserve"> et al., 2021), and the </w:t>
      </w:r>
      <w:proofErr w:type="spellStart"/>
      <w:r>
        <w:t>agri</w:t>
      </w:r>
      <w:proofErr w:type="spellEnd"/>
      <w:r>
        <w:t>-photovoltaic work reports two seasons at a single facility (</w:t>
      </w:r>
      <w:proofErr w:type="spellStart"/>
      <w:r>
        <w:t>Ukwu</w:t>
      </w:r>
      <w:proofErr w:type="spellEnd"/>
      <w:r>
        <w:t xml:space="preserve"> et al., 2025a, 2025b). Every other Nigerian yield study identified rests on a single season. In a crop whose seed-yield heritability has been estimated at around twenty-three per cent in Nigerian conditions, single-season yield rankings carry little predictive value, and the recommendations derived from them should be treated as provisional.</w:t>
      </w:r>
    </w:p>
    <w:p w14:paraId="441D42B6" w14:textId="77777777" w:rsidR="007213F2" w:rsidRDefault="001E289B">
      <w:pPr>
        <w:spacing w:after="160" w:line="300" w:lineRule="auto"/>
        <w:jc w:val="both"/>
      </w:pPr>
      <w:r>
        <w:t>The second is incomplete environmental reporting. Rainfall during the growing period, temperature during flowering, sowing date relative to the onset of rains, and soil chemical status are reported inconsistently and often not at all. This prevents secondary analysis, prevents model parameterisation, and makes it impossible to determine whether two studies that reached different conclusions were in fact conducted under comparable conditions. It is the single most tractable weakness in the literature, because it requires no additional experimentation to remedy in future work.</w:t>
      </w:r>
    </w:p>
    <w:p w14:paraId="3195214D" w14:textId="77777777" w:rsidR="007213F2" w:rsidRDefault="001E289B">
      <w:pPr>
        <w:spacing w:after="160" w:line="300" w:lineRule="auto"/>
        <w:jc w:val="both"/>
      </w:pPr>
      <w:r>
        <w:t>The third is heterogeneity in the yield measurement itself. Yields appear variously as grams per plant, kilograms per hectare and tonnes per hectare, sometimes derived from small plots without a stated conversion basis and sometimes without a stated plant population. Because plant population has been shown to alter yield by more than a factor of two at a single Nigerian site (</w:t>
      </w:r>
      <w:proofErr w:type="spellStart"/>
      <w:r>
        <w:t>Ukwu</w:t>
      </w:r>
      <w:proofErr w:type="spellEnd"/>
      <w:r>
        <w:t xml:space="preserve"> et al., 2023a), a yield figure lacking a population is not comparable with any other.</w:t>
      </w:r>
    </w:p>
    <w:p w14:paraId="412B5101" w14:textId="77777777" w:rsidR="007213F2" w:rsidRDefault="001E289B">
      <w:pPr>
        <w:spacing w:after="160" w:line="300" w:lineRule="auto"/>
        <w:jc w:val="both"/>
      </w:pPr>
      <w:r>
        <w:t>The fourth is analytical: interaction effects are frequently detected but rarely modelled in a way that supports inference. Where multiplicative interaction and joint regression have been applied, the results have been informative and have identified both stable and responsive genotypes (</w:t>
      </w:r>
      <w:proofErr w:type="spellStart"/>
      <w:r>
        <w:t>Ukwu</w:t>
      </w:r>
      <w:proofErr w:type="spellEnd"/>
      <w:r>
        <w:t xml:space="preserve"> et al., 2025b). Elsewhere, analysis of variance followed by mean separation is used to rank genotypes within a single environment, a procedure that cannot address adaptation at all. Methodologically stronger treatments exist for other Nigerian legumes and could be adopted directly (Adewale et al., 2017; Popoola et al., 2024).</w:t>
      </w:r>
    </w:p>
    <w:p w14:paraId="35CF5886" w14:textId="77777777" w:rsidR="007213F2" w:rsidRDefault="001E289B">
      <w:pPr>
        <w:spacing w:after="160" w:line="300" w:lineRule="auto"/>
        <w:jc w:val="both"/>
      </w:pPr>
      <w:r>
        <w:t>The fifth is publication and outlet heterogeneity. A substantial part of the Nigerian mung bean literature appears in national and regional journals with variable indexing and variable reporting standards. This is not in itself a criticism of the science, and excluding such outlets would remove most of the country-specific evidence. It does mean that bibliographic verification is laborious, that metadata conflicts are common, and that some genuinely relevant work cannot be used because its provenance cannot be established.</w:t>
      </w:r>
    </w:p>
    <w:p w14:paraId="6E83D941" w14:textId="77777777" w:rsidR="007213F2" w:rsidRDefault="001E289B">
      <w:pPr>
        <w:spacing w:after="160" w:line="300" w:lineRule="auto"/>
        <w:jc w:val="both"/>
      </w:pPr>
      <w:r>
        <w:lastRenderedPageBreak/>
        <w:t>Table 4 sets out these weaknesses against their consequences for inference and the remedies available. The consequences are not uniform: some weaknesses degrade precision, while others invalidate particular classes of conclusion entirely, and distinguishing between the two is necessary if future work is to be prioritised sensibly.</w:t>
      </w:r>
    </w:p>
    <w:p w14:paraId="533284E1" w14:textId="77777777" w:rsidR="007213F2" w:rsidRDefault="001E289B">
      <w:pPr>
        <w:spacing w:before="200" w:after="100"/>
      </w:pPr>
      <w:r>
        <w:rPr>
          <w:b/>
          <w:bCs/>
          <w:sz w:val="19"/>
          <w:szCs w:val="19"/>
        </w:rPr>
        <w:t>Table 4. Recurring methodological weaknesses in the Nigerian mung bean literature and their consequences for inference</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450"/>
        <w:gridCol w:w="1900"/>
        <w:gridCol w:w="1900"/>
        <w:gridCol w:w="1850"/>
        <w:gridCol w:w="1926"/>
      </w:tblGrid>
      <w:tr w:rsidR="007213F2" w14:paraId="7F3B3EDF" w14:textId="77777777">
        <w:trPr>
          <w:tblHeader/>
        </w:trPr>
        <w:tc>
          <w:tcPr>
            <w:tcW w:w="1450" w:type="dxa"/>
            <w:shd w:val="clear" w:color="auto" w:fill="E8E8E8"/>
            <w:tcMar>
              <w:top w:w="60" w:type="dxa"/>
              <w:left w:w="90" w:type="dxa"/>
              <w:bottom w:w="60" w:type="dxa"/>
              <w:right w:w="90" w:type="dxa"/>
            </w:tcMar>
          </w:tcPr>
          <w:p w14:paraId="542085BA" w14:textId="77777777" w:rsidR="007213F2" w:rsidRDefault="001E289B">
            <w:r>
              <w:rPr>
                <w:b/>
                <w:bCs/>
                <w:sz w:val="17"/>
                <w:szCs w:val="17"/>
              </w:rPr>
              <w:t>Weakness</w:t>
            </w:r>
          </w:p>
        </w:tc>
        <w:tc>
          <w:tcPr>
            <w:tcW w:w="1900" w:type="dxa"/>
            <w:shd w:val="clear" w:color="auto" w:fill="E8E8E8"/>
            <w:tcMar>
              <w:top w:w="60" w:type="dxa"/>
              <w:left w:w="90" w:type="dxa"/>
              <w:bottom w:w="60" w:type="dxa"/>
              <w:right w:w="90" w:type="dxa"/>
            </w:tcMar>
          </w:tcPr>
          <w:p w14:paraId="7EB7102D" w14:textId="77777777" w:rsidR="007213F2" w:rsidRDefault="001E289B">
            <w:r>
              <w:rPr>
                <w:b/>
                <w:bCs/>
                <w:sz w:val="17"/>
                <w:szCs w:val="17"/>
              </w:rPr>
              <w:t>How it appears in the literature</w:t>
            </w:r>
          </w:p>
        </w:tc>
        <w:tc>
          <w:tcPr>
            <w:tcW w:w="1900" w:type="dxa"/>
            <w:shd w:val="clear" w:color="auto" w:fill="E8E8E8"/>
            <w:tcMar>
              <w:top w:w="60" w:type="dxa"/>
              <w:left w:w="90" w:type="dxa"/>
              <w:bottom w:w="60" w:type="dxa"/>
              <w:right w:w="90" w:type="dxa"/>
            </w:tcMar>
          </w:tcPr>
          <w:p w14:paraId="4FF485DC" w14:textId="77777777" w:rsidR="007213F2" w:rsidRDefault="001E289B">
            <w:r>
              <w:rPr>
                <w:b/>
                <w:bCs/>
                <w:sz w:val="17"/>
                <w:szCs w:val="17"/>
              </w:rPr>
              <w:t>Consequence for inference</w:t>
            </w:r>
          </w:p>
        </w:tc>
        <w:tc>
          <w:tcPr>
            <w:tcW w:w="1850" w:type="dxa"/>
            <w:shd w:val="clear" w:color="auto" w:fill="E8E8E8"/>
            <w:tcMar>
              <w:top w:w="60" w:type="dxa"/>
              <w:left w:w="90" w:type="dxa"/>
              <w:bottom w:w="60" w:type="dxa"/>
              <w:right w:w="90" w:type="dxa"/>
            </w:tcMar>
          </w:tcPr>
          <w:p w14:paraId="72C017F8" w14:textId="77777777" w:rsidR="007213F2" w:rsidRDefault="001E289B">
            <w:r>
              <w:rPr>
                <w:b/>
                <w:bCs/>
                <w:sz w:val="17"/>
                <w:szCs w:val="17"/>
              </w:rPr>
              <w:t>Available remedy</w:t>
            </w:r>
          </w:p>
        </w:tc>
        <w:tc>
          <w:tcPr>
            <w:tcW w:w="1926" w:type="dxa"/>
            <w:shd w:val="clear" w:color="auto" w:fill="E8E8E8"/>
            <w:tcMar>
              <w:top w:w="60" w:type="dxa"/>
              <w:left w:w="90" w:type="dxa"/>
              <w:bottom w:w="60" w:type="dxa"/>
              <w:right w:w="90" w:type="dxa"/>
            </w:tcMar>
          </w:tcPr>
          <w:p w14:paraId="4E647722" w14:textId="77777777" w:rsidR="007213F2" w:rsidRDefault="001E289B">
            <w:r>
              <w:rPr>
                <w:b/>
                <w:bCs/>
                <w:sz w:val="17"/>
                <w:szCs w:val="17"/>
              </w:rPr>
              <w:t>Supporting references</w:t>
            </w:r>
          </w:p>
        </w:tc>
      </w:tr>
      <w:tr w:rsidR="007213F2" w14:paraId="382A1539" w14:textId="77777777">
        <w:tc>
          <w:tcPr>
            <w:tcW w:w="1450" w:type="dxa"/>
            <w:tcMar>
              <w:top w:w="60" w:type="dxa"/>
              <w:left w:w="90" w:type="dxa"/>
              <w:bottom w:w="60" w:type="dxa"/>
              <w:right w:w="90" w:type="dxa"/>
            </w:tcMar>
          </w:tcPr>
          <w:p w14:paraId="1EE7E3F4" w14:textId="77777777" w:rsidR="007213F2" w:rsidRDefault="001E289B">
            <w:r>
              <w:rPr>
                <w:sz w:val="17"/>
                <w:szCs w:val="17"/>
              </w:rPr>
              <w:t>Single-season experiments</w:t>
            </w:r>
          </w:p>
        </w:tc>
        <w:tc>
          <w:tcPr>
            <w:tcW w:w="1900" w:type="dxa"/>
            <w:tcMar>
              <w:top w:w="60" w:type="dxa"/>
              <w:left w:w="90" w:type="dxa"/>
              <w:bottom w:w="60" w:type="dxa"/>
              <w:right w:w="90" w:type="dxa"/>
            </w:tcMar>
          </w:tcPr>
          <w:p w14:paraId="4120D3B1" w14:textId="77777777" w:rsidR="007213F2" w:rsidRDefault="001E289B">
            <w:r>
              <w:rPr>
                <w:sz w:val="17"/>
                <w:szCs w:val="17"/>
              </w:rPr>
              <w:t>Most yield studies report one season at one site</w:t>
            </w:r>
          </w:p>
        </w:tc>
        <w:tc>
          <w:tcPr>
            <w:tcW w:w="1900" w:type="dxa"/>
            <w:tcMar>
              <w:top w:w="60" w:type="dxa"/>
              <w:left w:w="90" w:type="dxa"/>
              <w:bottom w:w="60" w:type="dxa"/>
              <w:right w:w="90" w:type="dxa"/>
            </w:tcMar>
          </w:tcPr>
          <w:p w14:paraId="23661527" w14:textId="77777777" w:rsidR="007213F2" w:rsidRDefault="001E289B">
            <w:r>
              <w:rPr>
                <w:sz w:val="17"/>
                <w:szCs w:val="17"/>
              </w:rPr>
              <w:t>Genotype rankings for yield are unreliable given low heritability for the trait</w:t>
            </w:r>
          </w:p>
        </w:tc>
        <w:tc>
          <w:tcPr>
            <w:tcW w:w="1850" w:type="dxa"/>
            <w:tcMar>
              <w:top w:w="60" w:type="dxa"/>
              <w:left w:w="90" w:type="dxa"/>
              <w:bottom w:w="60" w:type="dxa"/>
              <w:right w:w="90" w:type="dxa"/>
            </w:tcMar>
          </w:tcPr>
          <w:p w14:paraId="1E464992" w14:textId="77777777" w:rsidR="007213F2" w:rsidRDefault="001E289B">
            <w:r>
              <w:rPr>
                <w:sz w:val="17"/>
                <w:szCs w:val="17"/>
              </w:rPr>
              <w:t>Two or more seasons with season treated as an environment in the analysis</w:t>
            </w:r>
          </w:p>
        </w:tc>
        <w:tc>
          <w:tcPr>
            <w:tcW w:w="1926" w:type="dxa"/>
            <w:tcMar>
              <w:top w:w="60" w:type="dxa"/>
              <w:left w:w="90" w:type="dxa"/>
              <w:bottom w:w="60" w:type="dxa"/>
              <w:right w:w="90" w:type="dxa"/>
            </w:tcMar>
          </w:tcPr>
          <w:p w14:paraId="098115B2" w14:textId="77777777" w:rsidR="007213F2" w:rsidRDefault="001E289B">
            <w:proofErr w:type="spellStart"/>
            <w:r>
              <w:rPr>
                <w:sz w:val="17"/>
                <w:szCs w:val="17"/>
              </w:rPr>
              <w:t>Akinyosoye</w:t>
            </w:r>
            <w:proofErr w:type="spellEnd"/>
            <w:r>
              <w:rPr>
                <w:sz w:val="17"/>
                <w:szCs w:val="17"/>
              </w:rPr>
              <w:t xml:space="preserve"> et al. (2021); </w:t>
            </w:r>
            <w:proofErr w:type="spellStart"/>
            <w:r>
              <w:rPr>
                <w:sz w:val="17"/>
                <w:szCs w:val="17"/>
              </w:rPr>
              <w:t>Ukwu</w:t>
            </w:r>
            <w:proofErr w:type="spellEnd"/>
            <w:r>
              <w:rPr>
                <w:sz w:val="17"/>
                <w:szCs w:val="17"/>
              </w:rPr>
              <w:t xml:space="preserve"> et al. (2023a)</w:t>
            </w:r>
          </w:p>
        </w:tc>
      </w:tr>
      <w:tr w:rsidR="007213F2" w14:paraId="6A478E27" w14:textId="77777777">
        <w:tc>
          <w:tcPr>
            <w:tcW w:w="1450" w:type="dxa"/>
            <w:tcMar>
              <w:top w:w="60" w:type="dxa"/>
              <w:left w:w="90" w:type="dxa"/>
              <w:bottom w:w="60" w:type="dxa"/>
              <w:right w:w="90" w:type="dxa"/>
            </w:tcMar>
          </w:tcPr>
          <w:p w14:paraId="417CF117" w14:textId="77777777" w:rsidR="007213F2" w:rsidRDefault="001E289B">
            <w:r>
              <w:rPr>
                <w:sz w:val="17"/>
                <w:szCs w:val="17"/>
              </w:rPr>
              <w:t>Incomplete environmental reporting</w:t>
            </w:r>
          </w:p>
        </w:tc>
        <w:tc>
          <w:tcPr>
            <w:tcW w:w="1900" w:type="dxa"/>
            <w:tcMar>
              <w:top w:w="60" w:type="dxa"/>
              <w:left w:w="90" w:type="dxa"/>
              <w:bottom w:w="60" w:type="dxa"/>
              <w:right w:w="90" w:type="dxa"/>
            </w:tcMar>
          </w:tcPr>
          <w:p w14:paraId="7139E0D6" w14:textId="77777777" w:rsidR="007213F2" w:rsidRDefault="001E289B">
            <w:r>
              <w:rPr>
                <w:sz w:val="17"/>
                <w:szCs w:val="17"/>
              </w:rPr>
              <w:t>Rainfall, temperature at flowering, sowing date and soil status often omitted</w:t>
            </w:r>
          </w:p>
        </w:tc>
        <w:tc>
          <w:tcPr>
            <w:tcW w:w="1900" w:type="dxa"/>
            <w:tcMar>
              <w:top w:w="60" w:type="dxa"/>
              <w:left w:w="90" w:type="dxa"/>
              <w:bottom w:w="60" w:type="dxa"/>
              <w:right w:w="90" w:type="dxa"/>
            </w:tcMar>
          </w:tcPr>
          <w:p w14:paraId="547357A5" w14:textId="77777777" w:rsidR="007213F2" w:rsidRDefault="001E289B">
            <w:r>
              <w:rPr>
                <w:sz w:val="17"/>
                <w:szCs w:val="17"/>
              </w:rPr>
              <w:t>Studies cannot be compared, re-analysed or used to parameterise models</w:t>
            </w:r>
          </w:p>
        </w:tc>
        <w:tc>
          <w:tcPr>
            <w:tcW w:w="1850" w:type="dxa"/>
            <w:tcMar>
              <w:top w:w="60" w:type="dxa"/>
              <w:left w:w="90" w:type="dxa"/>
              <w:bottom w:w="60" w:type="dxa"/>
              <w:right w:w="90" w:type="dxa"/>
            </w:tcMar>
          </w:tcPr>
          <w:p w14:paraId="67F62FFA" w14:textId="77777777" w:rsidR="007213F2" w:rsidRDefault="001E289B">
            <w:r>
              <w:rPr>
                <w:sz w:val="17"/>
                <w:szCs w:val="17"/>
              </w:rPr>
              <w:t>Standardised minimum reporting of site and season covariates</w:t>
            </w:r>
          </w:p>
        </w:tc>
        <w:tc>
          <w:tcPr>
            <w:tcW w:w="1926" w:type="dxa"/>
            <w:tcMar>
              <w:top w:w="60" w:type="dxa"/>
              <w:left w:w="90" w:type="dxa"/>
              <w:bottom w:w="60" w:type="dxa"/>
              <w:right w:w="90" w:type="dxa"/>
            </w:tcMar>
          </w:tcPr>
          <w:p w14:paraId="6A9B7E42" w14:textId="77777777" w:rsidR="007213F2" w:rsidRDefault="001E289B">
            <w:r>
              <w:rPr>
                <w:sz w:val="17"/>
                <w:szCs w:val="17"/>
              </w:rPr>
              <w:t>Kamara et al. (2025); Pasley et al. (2023)</w:t>
            </w:r>
          </w:p>
        </w:tc>
      </w:tr>
      <w:tr w:rsidR="007213F2" w14:paraId="653A2C37" w14:textId="77777777">
        <w:tc>
          <w:tcPr>
            <w:tcW w:w="1450" w:type="dxa"/>
            <w:tcMar>
              <w:top w:w="60" w:type="dxa"/>
              <w:left w:w="90" w:type="dxa"/>
              <w:bottom w:w="60" w:type="dxa"/>
              <w:right w:w="90" w:type="dxa"/>
            </w:tcMar>
          </w:tcPr>
          <w:p w14:paraId="562568C0" w14:textId="77777777" w:rsidR="007213F2" w:rsidRDefault="001E289B">
            <w:r>
              <w:rPr>
                <w:sz w:val="17"/>
                <w:szCs w:val="17"/>
              </w:rPr>
              <w:t>Inconsistent yield basis</w:t>
            </w:r>
          </w:p>
        </w:tc>
        <w:tc>
          <w:tcPr>
            <w:tcW w:w="1900" w:type="dxa"/>
            <w:tcMar>
              <w:top w:w="60" w:type="dxa"/>
              <w:left w:w="90" w:type="dxa"/>
              <w:bottom w:w="60" w:type="dxa"/>
              <w:right w:w="90" w:type="dxa"/>
            </w:tcMar>
          </w:tcPr>
          <w:p w14:paraId="74306DE1" w14:textId="77777777" w:rsidR="007213F2" w:rsidRDefault="001E289B">
            <w:r>
              <w:rPr>
                <w:sz w:val="17"/>
                <w:szCs w:val="17"/>
              </w:rPr>
              <w:t>Yields reported per plant, per plot or per hectare, often without plant population</w:t>
            </w:r>
          </w:p>
        </w:tc>
        <w:tc>
          <w:tcPr>
            <w:tcW w:w="1900" w:type="dxa"/>
            <w:tcMar>
              <w:top w:w="60" w:type="dxa"/>
              <w:left w:w="90" w:type="dxa"/>
              <w:bottom w:w="60" w:type="dxa"/>
              <w:right w:w="90" w:type="dxa"/>
            </w:tcMar>
          </w:tcPr>
          <w:p w14:paraId="00F452AB" w14:textId="77777777" w:rsidR="007213F2" w:rsidRDefault="001E289B">
            <w:r>
              <w:rPr>
                <w:sz w:val="17"/>
                <w:szCs w:val="17"/>
              </w:rPr>
              <w:t>Cross-study comparison is invalid where population differs</w:t>
            </w:r>
          </w:p>
        </w:tc>
        <w:tc>
          <w:tcPr>
            <w:tcW w:w="1850" w:type="dxa"/>
            <w:tcMar>
              <w:top w:w="60" w:type="dxa"/>
              <w:left w:w="90" w:type="dxa"/>
              <w:bottom w:w="60" w:type="dxa"/>
              <w:right w:w="90" w:type="dxa"/>
            </w:tcMar>
          </w:tcPr>
          <w:p w14:paraId="38141C66" w14:textId="77777777" w:rsidR="007213F2" w:rsidRDefault="001E289B">
            <w:r>
              <w:rPr>
                <w:sz w:val="17"/>
                <w:szCs w:val="17"/>
              </w:rPr>
              <w:t>Report plant population, plot size and conversion basis with every yield</w:t>
            </w:r>
          </w:p>
        </w:tc>
        <w:tc>
          <w:tcPr>
            <w:tcW w:w="1926" w:type="dxa"/>
            <w:tcMar>
              <w:top w:w="60" w:type="dxa"/>
              <w:left w:w="90" w:type="dxa"/>
              <w:bottom w:w="60" w:type="dxa"/>
              <w:right w:w="90" w:type="dxa"/>
            </w:tcMar>
          </w:tcPr>
          <w:p w14:paraId="76924A52" w14:textId="77777777" w:rsidR="007213F2" w:rsidRDefault="001E289B">
            <w:proofErr w:type="spellStart"/>
            <w:r>
              <w:rPr>
                <w:sz w:val="17"/>
                <w:szCs w:val="17"/>
              </w:rPr>
              <w:t>Ukwu</w:t>
            </w:r>
            <w:proofErr w:type="spellEnd"/>
            <w:r>
              <w:rPr>
                <w:sz w:val="17"/>
                <w:szCs w:val="17"/>
              </w:rPr>
              <w:t xml:space="preserve"> et al. (2023a)</w:t>
            </w:r>
          </w:p>
        </w:tc>
      </w:tr>
      <w:tr w:rsidR="007213F2" w14:paraId="17407A54" w14:textId="77777777">
        <w:tc>
          <w:tcPr>
            <w:tcW w:w="1450" w:type="dxa"/>
            <w:tcMar>
              <w:top w:w="60" w:type="dxa"/>
              <w:left w:w="90" w:type="dxa"/>
              <w:bottom w:w="60" w:type="dxa"/>
              <w:right w:w="90" w:type="dxa"/>
            </w:tcMar>
          </w:tcPr>
          <w:p w14:paraId="03BF20B6" w14:textId="77777777" w:rsidR="007213F2" w:rsidRDefault="001E289B">
            <w:r>
              <w:rPr>
                <w:sz w:val="17"/>
                <w:szCs w:val="17"/>
              </w:rPr>
              <w:t>Weak treatment of interaction</w:t>
            </w:r>
          </w:p>
        </w:tc>
        <w:tc>
          <w:tcPr>
            <w:tcW w:w="1900" w:type="dxa"/>
            <w:tcMar>
              <w:top w:w="60" w:type="dxa"/>
              <w:left w:w="90" w:type="dxa"/>
              <w:bottom w:w="60" w:type="dxa"/>
              <w:right w:w="90" w:type="dxa"/>
            </w:tcMar>
          </w:tcPr>
          <w:p w14:paraId="56569AB7" w14:textId="77777777" w:rsidR="007213F2" w:rsidRDefault="001E289B">
            <w:r>
              <w:rPr>
                <w:sz w:val="17"/>
                <w:szCs w:val="17"/>
              </w:rPr>
              <w:t>Analysis of variance and mean separation applied within single environments</w:t>
            </w:r>
          </w:p>
        </w:tc>
        <w:tc>
          <w:tcPr>
            <w:tcW w:w="1900" w:type="dxa"/>
            <w:tcMar>
              <w:top w:w="60" w:type="dxa"/>
              <w:left w:w="90" w:type="dxa"/>
              <w:bottom w:w="60" w:type="dxa"/>
              <w:right w:w="90" w:type="dxa"/>
            </w:tcMar>
          </w:tcPr>
          <w:p w14:paraId="537A4BF3" w14:textId="77777777" w:rsidR="007213F2" w:rsidRDefault="001E289B">
            <w:r>
              <w:rPr>
                <w:sz w:val="17"/>
                <w:szCs w:val="17"/>
              </w:rPr>
              <w:t>Adaptation and stability cannot be assessed; recommendations exceed the design</w:t>
            </w:r>
          </w:p>
        </w:tc>
        <w:tc>
          <w:tcPr>
            <w:tcW w:w="1850" w:type="dxa"/>
            <w:tcMar>
              <w:top w:w="60" w:type="dxa"/>
              <w:left w:w="90" w:type="dxa"/>
              <w:bottom w:w="60" w:type="dxa"/>
              <w:right w:w="90" w:type="dxa"/>
            </w:tcMar>
          </w:tcPr>
          <w:p w14:paraId="15C09195" w14:textId="77777777" w:rsidR="007213F2" w:rsidRDefault="001E289B">
            <w:r>
              <w:rPr>
                <w:sz w:val="17"/>
                <w:szCs w:val="17"/>
              </w:rPr>
              <w:t>Multiplicative interaction models, joint regression or biplot analysis</w:t>
            </w:r>
          </w:p>
        </w:tc>
        <w:tc>
          <w:tcPr>
            <w:tcW w:w="1926" w:type="dxa"/>
            <w:tcMar>
              <w:top w:w="60" w:type="dxa"/>
              <w:left w:w="90" w:type="dxa"/>
              <w:bottom w:w="60" w:type="dxa"/>
              <w:right w:w="90" w:type="dxa"/>
            </w:tcMar>
          </w:tcPr>
          <w:p w14:paraId="179DAE9D" w14:textId="77777777" w:rsidR="007213F2" w:rsidRDefault="001E289B">
            <w:r>
              <w:rPr>
                <w:sz w:val="17"/>
                <w:szCs w:val="17"/>
              </w:rPr>
              <w:t xml:space="preserve">Adewale et al. (2017); Popoola et al. (2024); </w:t>
            </w:r>
            <w:proofErr w:type="spellStart"/>
            <w:r>
              <w:rPr>
                <w:sz w:val="17"/>
                <w:szCs w:val="17"/>
              </w:rPr>
              <w:t>Ukwu</w:t>
            </w:r>
            <w:proofErr w:type="spellEnd"/>
            <w:r>
              <w:rPr>
                <w:sz w:val="17"/>
                <w:szCs w:val="17"/>
              </w:rPr>
              <w:t xml:space="preserve"> et al. (2025b)</w:t>
            </w:r>
          </w:p>
        </w:tc>
      </w:tr>
      <w:tr w:rsidR="007213F2" w14:paraId="2035C946" w14:textId="77777777">
        <w:tc>
          <w:tcPr>
            <w:tcW w:w="1450" w:type="dxa"/>
            <w:tcMar>
              <w:top w:w="60" w:type="dxa"/>
              <w:left w:w="90" w:type="dxa"/>
              <w:bottom w:w="60" w:type="dxa"/>
              <w:right w:w="90" w:type="dxa"/>
            </w:tcMar>
          </w:tcPr>
          <w:p w14:paraId="1FA1B253" w14:textId="77777777" w:rsidR="007213F2" w:rsidRDefault="001E289B">
            <w:r>
              <w:rPr>
                <w:sz w:val="17"/>
                <w:szCs w:val="17"/>
              </w:rPr>
              <w:t>Narrow environmental sampling</w:t>
            </w:r>
          </w:p>
        </w:tc>
        <w:tc>
          <w:tcPr>
            <w:tcW w:w="1900" w:type="dxa"/>
            <w:tcMar>
              <w:top w:w="60" w:type="dxa"/>
              <w:left w:w="90" w:type="dxa"/>
              <w:bottom w:w="60" w:type="dxa"/>
              <w:right w:w="90" w:type="dxa"/>
            </w:tcMar>
          </w:tcPr>
          <w:p w14:paraId="1942CA69" w14:textId="77777777" w:rsidR="007213F2" w:rsidRDefault="001E289B">
            <w:r>
              <w:rPr>
                <w:sz w:val="17"/>
                <w:szCs w:val="17"/>
              </w:rPr>
              <w:t>Trials concentrated in two of five broad production zones</w:t>
            </w:r>
          </w:p>
        </w:tc>
        <w:tc>
          <w:tcPr>
            <w:tcW w:w="1900" w:type="dxa"/>
            <w:tcMar>
              <w:top w:w="60" w:type="dxa"/>
              <w:left w:w="90" w:type="dxa"/>
              <w:bottom w:w="60" w:type="dxa"/>
              <w:right w:w="90" w:type="dxa"/>
            </w:tcMar>
          </w:tcPr>
          <w:p w14:paraId="325BD0B9" w14:textId="77777777" w:rsidR="007213F2" w:rsidRDefault="001E289B">
            <w:r>
              <w:rPr>
                <w:sz w:val="17"/>
                <w:szCs w:val="17"/>
              </w:rPr>
              <w:t>Suitability conclusions do not extend to the zones of greatest interest</w:t>
            </w:r>
          </w:p>
        </w:tc>
        <w:tc>
          <w:tcPr>
            <w:tcW w:w="1850" w:type="dxa"/>
            <w:tcMar>
              <w:top w:w="60" w:type="dxa"/>
              <w:left w:w="90" w:type="dxa"/>
              <w:bottom w:w="60" w:type="dxa"/>
              <w:right w:w="90" w:type="dxa"/>
            </w:tcMar>
          </w:tcPr>
          <w:p w14:paraId="076313FD" w14:textId="77777777" w:rsidR="007213F2" w:rsidRDefault="001E289B">
            <w:r>
              <w:rPr>
                <w:sz w:val="17"/>
                <w:szCs w:val="17"/>
              </w:rPr>
              <w:t>Multi-location networks spanning the aridity gradient</w:t>
            </w:r>
          </w:p>
        </w:tc>
        <w:tc>
          <w:tcPr>
            <w:tcW w:w="1926" w:type="dxa"/>
            <w:tcMar>
              <w:top w:w="60" w:type="dxa"/>
              <w:left w:w="90" w:type="dxa"/>
              <w:bottom w:w="60" w:type="dxa"/>
              <w:right w:w="90" w:type="dxa"/>
            </w:tcMar>
          </w:tcPr>
          <w:p w14:paraId="7F028F06" w14:textId="77777777" w:rsidR="007213F2" w:rsidRDefault="001E289B">
            <w:proofErr w:type="spellStart"/>
            <w:r>
              <w:rPr>
                <w:sz w:val="17"/>
                <w:szCs w:val="17"/>
              </w:rPr>
              <w:t>Akinyosoye</w:t>
            </w:r>
            <w:proofErr w:type="spellEnd"/>
            <w:r>
              <w:rPr>
                <w:sz w:val="17"/>
                <w:szCs w:val="17"/>
              </w:rPr>
              <w:t xml:space="preserve"> et al. (2021); Mustapha et al. (2025)</w:t>
            </w:r>
          </w:p>
        </w:tc>
      </w:tr>
      <w:tr w:rsidR="007213F2" w14:paraId="3B31819C" w14:textId="77777777">
        <w:tc>
          <w:tcPr>
            <w:tcW w:w="1450" w:type="dxa"/>
            <w:tcMar>
              <w:top w:w="60" w:type="dxa"/>
              <w:left w:w="90" w:type="dxa"/>
              <w:bottom w:w="60" w:type="dxa"/>
              <w:right w:w="90" w:type="dxa"/>
            </w:tcMar>
          </w:tcPr>
          <w:p w14:paraId="4A775214" w14:textId="77777777" w:rsidR="007213F2" w:rsidRDefault="001E289B">
            <w:r>
              <w:rPr>
                <w:sz w:val="17"/>
                <w:szCs w:val="17"/>
              </w:rPr>
              <w:t>Untested biotic constraints</w:t>
            </w:r>
          </w:p>
        </w:tc>
        <w:tc>
          <w:tcPr>
            <w:tcW w:w="1900" w:type="dxa"/>
            <w:tcMar>
              <w:top w:w="60" w:type="dxa"/>
              <w:left w:w="90" w:type="dxa"/>
              <w:bottom w:w="60" w:type="dxa"/>
              <w:right w:w="90" w:type="dxa"/>
            </w:tcMar>
          </w:tcPr>
          <w:p w14:paraId="5E94A653" w14:textId="77777777" w:rsidR="007213F2" w:rsidRDefault="001E289B">
            <w:r>
              <w:rPr>
                <w:sz w:val="17"/>
                <w:szCs w:val="17"/>
              </w:rPr>
              <w:t>One insect checklist; no disease survey; no verified storage study</w:t>
            </w:r>
          </w:p>
        </w:tc>
        <w:tc>
          <w:tcPr>
            <w:tcW w:w="1900" w:type="dxa"/>
            <w:tcMar>
              <w:top w:w="60" w:type="dxa"/>
              <w:left w:w="90" w:type="dxa"/>
              <w:bottom w:w="60" w:type="dxa"/>
              <w:right w:w="90" w:type="dxa"/>
            </w:tcMar>
          </w:tcPr>
          <w:p w14:paraId="07BDAEEC" w14:textId="77777777" w:rsidR="007213F2" w:rsidRDefault="001E289B">
            <w:r>
              <w:rPr>
                <w:sz w:val="17"/>
                <w:szCs w:val="17"/>
              </w:rPr>
              <w:t>Economic viability beyond the first seasons cannot be assessed</w:t>
            </w:r>
          </w:p>
        </w:tc>
        <w:tc>
          <w:tcPr>
            <w:tcW w:w="1850" w:type="dxa"/>
            <w:tcMar>
              <w:top w:w="60" w:type="dxa"/>
              <w:left w:w="90" w:type="dxa"/>
              <w:bottom w:w="60" w:type="dxa"/>
              <w:right w:w="90" w:type="dxa"/>
            </w:tcMar>
          </w:tcPr>
          <w:p w14:paraId="12EC5560" w14:textId="77777777" w:rsidR="007213F2" w:rsidRDefault="001E289B">
            <w:r>
              <w:rPr>
                <w:sz w:val="17"/>
                <w:szCs w:val="17"/>
              </w:rPr>
              <w:t>Systematic pest and disease surveillance with protected controls</w:t>
            </w:r>
          </w:p>
        </w:tc>
        <w:tc>
          <w:tcPr>
            <w:tcW w:w="1926" w:type="dxa"/>
            <w:tcMar>
              <w:top w:w="60" w:type="dxa"/>
              <w:left w:w="90" w:type="dxa"/>
              <w:bottom w:w="60" w:type="dxa"/>
              <w:right w:w="90" w:type="dxa"/>
            </w:tcMar>
          </w:tcPr>
          <w:p w14:paraId="0F93FBDA" w14:textId="77777777" w:rsidR="007213F2" w:rsidRDefault="001E289B">
            <w:proofErr w:type="spellStart"/>
            <w:r>
              <w:rPr>
                <w:sz w:val="17"/>
                <w:szCs w:val="17"/>
              </w:rPr>
              <w:t>Asawalam</w:t>
            </w:r>
            <w:proofErr w:type="spellEnd"/>
            <w:r>
              <w:rPr>
                <w:sz w:val="17"/>
                <w:szCs w:val="17"/>
              </w:rPr>
              <w:t xml:space="preserve"> &amp; </w:t>
            </w:r>
            <w:proofErr w:type="spellStart"/>
            <w:r>
              <w:rPr>
                <w:sz w:val="17"/>
                <w:szCs w:val="17"/>
              </w:rPr>
              <w:t>Ekemezie</w:t>
            </w:r>
            <w:proofErr w:type="spellEnd"/>
            <w:r>
              <w:rPr>
                <w:sz w:val="17"/>
                <w:szCs w:val="17"/>
              </w:rPr>
              <w:t xml:space="preserve"> (2018); Nair et al. (2019); Ndam et al. (2018)</w:t>
            </w:r>
          </w:p>
        </w:tc>
      </w:tr>
    </w:tbl>
    <w:p w14:paraId="754605FA" w14:textId="77777777" w:rsidR="007213F2" w:rsidRDefault="001E289B">
      <w:pPr>
        <w:spacing w:before="100" w:after="240"/>
      </w:pPr>
      <w:r>
        <w:rPr>
          <w:i/>
          <w:iCs/>
          <w:sz w:val="17"/>
          <w:szCs w:val="17"/>
        </w:rPr>
        <w:t xml:space="preserve">Note. </w:t>
      </w:r>
      <w:r>
        <w:rPr>
          <w:sz w:val="17"/>
          <w:szCs w:val="17"/>
        </w:rPr>
        <w:t>The table addresses features recurring across the Nigerian literature as a whole and is not an appraisal of any individual study; several of the studies cited as illustrating a weakness are among the stronger contributions to the field and are cited because they report the information that makes the weakness visible elsewhere.</w:t>
      </w:r>
    </w:p>
    <w:p w14:paraId="1A602C87" w14:textId="77777777" w:rsidR="007213F2" w:rsidRDefault="001E289B">
      <w:pPr>
        <w:pStyle w:val="Heading1"/>
        <w:spacing w:before="320" w:after="140"/>
      </w:pPr>
      <w:r>
        <w:rPr>
          <w:b/>
          <w:bCs/>
          <w:color w:val="000000"/>
          <w:sz w:val="24"/>
          <w:szCs w:val="24"/>
        </w:rPr>
        <w:t>10. From Trial Yield to Production: The Institutional Gap</w:t>
      </w:r>
    </w:p>
    <w:p w14:paraId="7698EF50" w14:textId="77777777" w:rsidR="007213F2" w:rsidRDefault="001E289B">
      <w:pPr>
        <w:spacing w:after="160" w:line="300" w:lineRule="auto"/>
        <w:jc w:val="both"/>
      </w:pPr>
      <w:r>
        <w:t>A crop moves from experimental success to production on the strength of institutions rather than agronomy, and it is here that the Nigerian position for mung bean is most clearly defined. There is no released mung bean variety in Nigeria, the available accessions are held in the germplasm collections of research institutes and are not accessible to farmers, and the species does not appear reliably in national agricultural statistics (</w:t>
      </w:r>
      <w:proofErr w:type="spellStart"/>
      <w:r>
        <w:t>Akinyosoye</w:t>
      </w:r>
      <w:proofErr w:type="spellEnd"/>
      <w:r>
        <w:t xml:space="preserve"> et al., 2021). These three facts are connected: without a released variety there is no formal seed multiplication, without seed multiplication there is no measurable area, and without measurable area the crop remains invisible to the statistical systems that inform policy. The consequence for this review is direct and unavoidable. No verified national series for mung bean area, production or yield in Nigeria exists, and any projection of production prospects that presents such figures is constructing them.</w:t>
      </w:r>
    </w:p>
    <w:p w14:paraId="6421B9B6" w14:textId="77777777" w:rsidR="007213F2" w:rsidRDefault="001E289B">
      <w:pPr>
        <w:spacing w:after="160" w:line="300" w:lineRule="auto"/>
        <w:jc w:val="both"/>
      </w:pPr>
      <w:r>
        <w:t>The germplasm position is more favourable than the institutional one. Substantial collections have been introduced and characterised, including one hundred and twenty accessions from an international vegetable research centre evaluated in the south-east (Obasi et al., 2025), twenty accessions evaluated across six south-western environments (</w:t>
      </w:r>
      <w:proofErr w:type="spellStart"/>
      <w:r>
        <w:t>Akinyosoye</w:t>
      </w:r>
      <w:proofErr w:type="spellEnd"/>
      <w:r>
        <w:t xml:space="preserve"> et al., 2021), fifteen lines assessed for adaptability in the south-west (Akintoye et al., 2022), and twenty genotypes characterised in the south-east (</w:t>
      </w:r>
      <w:proofErr w:type="spellStart"/>
      <w:r>
        <w:t>Ibellow</w:t>
      </w:r>
      <w:proofErr w:type="spellEnd"/>
      <w:r>
        <w:t xml:space="preserve"> &amp; Agbim, 2025). Screening for earliness has been conducted (Agbim et al., 2025), and marker-based association analysis for </w:t>
      </w:r>
      <w:r>
        <w:lastRenderedPageBreak/>
        <w:t>grain yield and protein content has now been reported with Nigerian participation (Obasi et al., 2026). The raw material for a variety release programme therefore exists, and the principal missing element is the multi-environment, multi-season testing that a release decision requires.</w:t>
      </w:r>
    </w:p>
    <w:p w14:paraId="7CDE5973" w14:textId="77777777" w:rsidR="007213F2" w:rsidRDefault="001E289B">
      <w:pPr>
        <w:spacing w:after="160" w:line="300" w:lineRule="auto"/>
        <w:jc w:val="both"/>
      </w:pPr>
      <w:r>
        <w:t>Institutional analyses of orphan crop improvement identify the pattern precisely. Research and development strategies for such crops repeatedly generate characterised collections and promising selections without completing the release, seed multiplication and dissemination steps that convert selections into cultivated area, and the bottleneck is organisational and financial rather than scientific (</w:t>
      </w:r>
      <w:proofErr w:type="spellStart"/>
      <w:r>
        <w:t>Akpojotor</w:t>
      </w:r>
      <w:proofErr w:type="spellEnd"/>
      <w:r>
        <w:t xml:space="preserve"> et al., 2025). The East African trajectory shows the alternative. There, mung bean moved from introduction to formal varieties, organised seed access and functioning market channels, and adoption studies show that access to improved varieties and to market information were the principal determinants of uptake (</w:t>
      </w:r>
      <w:proofErr w:type="spellStart"/>
      <w:r>
        <w:t>Mmbando</w:t>
      </w:r>
      <w:proofErr w:type="spellEnd"/>
      <w:r>
        <w:t xml:space="preserve"> et al., 2021; </w:t>
      </w:r>
      <w:proofErr w:type="spellStart"/>
      <w:r>
        <w:t>Sequeros</w:t>
      </w:r>
      <w:proofErr w:type="spellEnd"/>
      <w:r>
        <w:t xml:space="preserve"> et al., 2021).</w:t>
      </w:r>
    </w:p>
    <w:p w14:paraId="791A84EA" w14:textId="77777777" w:rsidR="007213F2" w:rsidRDefault="001E289B">
      <w:pPr>
        <w:spacing w:after="160" w:line="300" w:lineRule="auto"/>
        <w:jc w:val="both"/>
      </w:pPr>
      <w:r>
        <w:t>The climate dimension adds urgency without changing the analysis. Nigerian agricultural production faces increasing variability in rainfall onset, distribution and cessation, with consequences for cropping calendars and food security across the country (</w:t>
      </w:r>
      <w:proofErr w:type="spellStart"/>
      <w:r>
        <w:t>Omokaro</w:t>
      </w:r>
      <w:proofErr w:type="spellEnd"/>
      <w:r>
        <w:t>, 2025), and modelling for other Nigerian legumes indicates that the productivity of established species will shift under projected climates (</w:t>
      </w:r>
      <w:proofErr w:type="spellStart"/>
      <w:r>
        <w:t>Bebeley</w:t>
      </w:r>
      <w:proofErr w:type="spellEnd"/>
      <w:r>
        <w:t xml:space="preserve"> et al., 2025). A short-duration legume is a plausible component of an adaptation response, and continental analysis has argued that crop models should be used to evaluate exactly this class of opportunity crop before large-scale promotion (Yang et al., 2025). The argument for mung bean as an adaptation crop is therefore reasonable in principle and untested in Nigerian practice, and it should be presented in those terms.</w:t>
      </w:r>
    </w:p>
    <w:p w14:paraId="0969F3D5" w14:textId="77777777" w:rsidR="007213F2" w:rsidRDefault="001E289B">
      <w:pPr>
        <w:spacing w:after="160" w:line="300" w:lineRule="auto"/>
        <w:jc w:val="both"/>
      </w:pPr>
      <w:r>
        <w:t>Table 5 translates the foregoing analysis into the conditions that would need to be satisfied for mung bean production to expand in Nigeria, distinguishing those that are currently met from those that are not. Its purpose is to make explicit that the binding constraints are not primarily agronomic: adapted germplasm and demonstrated technological suitability are largely in place, whereas variety release, seed supply, agronomic recommendations for the target zones and market channels are not.</w:t>
      </w:r>
    </w:p>
    <w:p w14:paraId="40BBD85E" w14:textId="77777777" w:rsidR="007213F2" w:rsidRDefault="001E289B">
      <w:pPr>
        <w:spacing w:before="200" w:after="100"/>
      </w:pPr>
      <w:r>
        <w:rPr>
          <w:b/>
          <w:bCs/>
          <w:sz w:val="19"/>
          <w:szCs w:val="19"/>
        </w:rPr>
        <w:t>Table 5. Conditions for expansion of mung bean production in Nigeria and their current status</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900"/>
        <w:gridCol w:w="1900"/>
        <w:gridCol w:w="2600"/>
        <w:gridCol w:w="2626"/>
      </w:tblGrid>
      <w:tr w:rsidR="007213F2" w14:paraId="37C8C5C7" w14:textId="77777777">
        <w:trPr>
          <w:tblHeader/>
        </w:trPr>
        <w:tc>
          <w:tcPr>
            <w:tcW w:w="1900" w:type="dxa"/>
            <w:shd w:val="clear" w:color="auto" w:fill="E8E8E8"/>
            <w:tcMar>
              <w:top w:w="60" w:type="dxa"/>
              <w:left w:w="90" w:type="dxa"/>
              <w:bottom w:w="60" w:type="dxa"/>
              <w:right w:w="90" w:type="dxa"/>
            </w:tcMar>
          </w:tcPr>
          <w:p w14:paraId="01686B83" w14:textId="77777777" w:rsidR="007213F2" w:rsidRDefault="001E289B">
            <w:r>
              <w:rPr>
                <w:b/>
                <w:bCs/>
                <w:sz w:val="17"/>
                <w:szCs w:val="17"/>
              </w:rPr>
              <w:t>Condition</w:t>
            </w:r>
          </w:p>
        </w:tc>
        <w:tc>
          <w:tcPr>
            <w:tcW w:w="1900" w:type="dxa"/>
            <w:shd w:val="clear" w:color="auto" w:fill="E8E8E8"/>
            <w:tcMar>
              <w:top w:w="60" w:type="dxa"/>
              <w:left w:w="90" w:type="dxa"/>
              <w:bottom w:w="60" w:type="dxa"/>
              <w:right w:w="90" w:type="dxa"/>
            </w:tcMar>
          </w:tcPr>
          <w:p w14:paraId="1DF14082" w14:textId="77777777" w:rsidR="007213F2" w:rsidRDefault="001E289B">
            <w:r>
              <w:rPr>
                <w:b/>
                <w:bCs/>
                <w:sz w:val="17"/>
                <w:szCs w:val="17"/>
              </w:rPr>
              <w:t>Current status in Nigeria</w:t>
            </w:r>
          </w:p>
        </w:tc>
        <w:tc>
          <w:tcPr>
            <w:tcW w:w="2600" w:type="dxa"/>
            <w:shd w:val="clear" w:color="auto" w:fill="E8E8E8"/>
            <w:tcMar>
              <w:top w:w="60" w:type="dxa"/>
              <w:left w:w="90" w:type="dxa"/>
              <w:bottom w:w="60" w:type="dxa"/>
              <w:right w:w="90" w:type="dxa"/>
            </w:tcMar>
          </w:tcPr>
          <w:p w14:paraId="4B446C61" w14:textId="77777777" w:rsidR="007213F2" w:rsidRDefault="001E289B">
            <w:r>
              <w:rPr>
                <w:b/>
                <w:bCs/>
                <w:sz w:val="17"/>
                <w:szCs w:val="17"/>
              </w:rPr>
              <w:t>Nature of the remaining deficit</w:t>
            </w:r>
          </w:p>
        </w:tc>
        <w:tc>
          <w:tcPr>
            <w:tcW w:w="2626" w:type="dxa"/>
            <w:shd w:val="clear" w:color="auto" w:fill="E8E8E8"/>
            <w:tcMar>
              <w:top w:w="60" w:type="dxa"/>
              <w:left w:w="90" w:type="dxa"/>
              <w:bottom w:w="60" w:type="dxa"/>
              <w:right w:w="90" w:type="dxa"/>
            </w:tcMar>
          </w:tcPr>
          <w:p w14:paraId="1AFEB093" w14:textId="77777777" w:rsidR="007213F2" w:rsidRDefault="001E289B">
            <w:r>
              <w:rPr>
                <w:b/>
                <w:bCs/>
                <w:sz w:val="17"/>
                <w:szCs w:val="17"/>
              </w:rPr>
              <w:t>Supporting references</w:t>
            </w:r>
          </w:p>
        </w:tc>
      </w:tr>
      <w:tr w:rsidR="007213F2" w14:paraId="2CF536B8" w14:textId="77777777">
        <w:tc>
          <w:tcPr>
            <w:tcW w:w="1900" w:type="dxa"/>
            <w:tcMar>
              <w:top w:w="60" w:type="dxa"/>
              <w:left w:w="90" w:type="dxa"/>
              <w:bottom w:w="60" w:type="dxa"/>
              <w:right w:w="90" w:type="dxa"/>
            </w:tcMar>
          </w:tcPr>
          <w:p w14:paraId="2C583CFC" w14:textId="77777777" w:rsidR="007213F2" w:rsidRDefault="001E289B">
            <w:r>
              <w:rPr>
                <w:sz w:val="17"/>
                <w:szCs w:val="17"/>
              </w:rPr>
              <w:t>Adapted germplasm identified</w:t>
            </w:r>
          </w:p>
        </w:tc>
        <w:tc>
          <w:tcPr>
            <w:tcW w:w="1900" w:type="dxa"/>
            <w:tcMar>
              <w:top w:w="60" w:type="dxa"/>
              <w:left w:w="90" w:type="dxa"/>
              <w:bottom w:w="60" w:type="dxa"/>
              <w:right w:w="90" w:type="dxa"/>
            </w:tcMar>
          </w:tcPr>
          <w:p w14:paraId="50285348" w14:textId="77777777" w:rsidR="007213F2" w:rsidRDefault="001E289B">
            <w:r>
              <w:rPr>
                <w:sz w:val="17"/>
                <w:szCs w:val="17"/>
              </w:rPr>
              <w:t>Substantially met for southern and south-western zones</w:t>
            </w:r>
          </w:p>
        </w:tc>
        <w:tc>
          <w:tcPr>
            <w:tcW w:w="2600" w:type="dxa"/>
            <w:tcMar>
              <w:top w:w="60" w:type="dxa"/>
              <w:left w:w="90" w:type="dxa"/>
              <w:bottom w:w="60" w:type="dxa"/>
              <w:right w:w="90" w:type="dxa"/>
            </w:tcMar>
          </w:tcPr>
          <w:p w14:paraId="360FD2CA" w14:textId="77777777" w:rsidR="007213F2" w:rsidRDefault="001E289B">
            <w:r>
              <w:rPr>
                <w:sz w:val="17"/>
                <w:szCs w:val="17"/>
              </w:rPr>
              <w:t>Northern zones untested; selections based largely on single-season yield</w:t>
            </w:r>
          </w:p>
        </w:tc>
        <w:tc>
          <w:tcPr>
            <w:tcW w:w="2626" w:type="dxa"/>
            <w:tcMar>
              <w:top w:w="60" w:type="dxa"/>
              <w:left w:w="90" w:type="dxa"/>
              <w:bottom w:w="60" w:type="dxa"/>
              <w:right w:w="90" w:type="dxa"/>
            </w:tcMar>
          </w:tcPr>
          <w:p w14:paraId="18165CDD" w14:textId="77777777" w:rsidR="007213F2" w:rsidRDefault="001E289B">
            <w:proofErr w:type="spellStart"/>
            <w:r>
              <w:rPr>
                <w:sz w:val="17"/>
                <w:szCs w:val="17"/>
              </w:rPr>
              <w:t>Akinyosoye</w:t>
            </w:r>
            <w:proofErr w:type="spellEnd"/>
            <w:r>
              <w:rPr>
                <w:sz w:val="17"/>
                <w:szCs w:val="17"/>
              </w:rPr>
              <w:t xml:space="preserve"> et al. (2021); Akintoye et al. (2022); </w:t>
            </w:r>
            <w:proofErr w:type="spellStart"/>
            <w:r>
              <w:rPr>
                <w:sz w:val="17"/>
                <w:szCs w:val="17"/>
              </w:rPr>
              <w:t>Ibellow</w:t>
            </w:r>
            <w:proofErr w:type="spellEnd"/>
            <w:r>
              <w:rPr>
                <w:sz w:val="17"/>
                <w:szCs w:val="17"/>
              </w:rPr>
              <w:t xml:space="preserve"> &amp; Agbim (2025); Obasi et al. (2025)</w:t>
            </w:r>
          </w:p>
        </w:tc>
      </w:tr>
      <w:tr w:rsidR="007213F2" w14:paraId="7DBEC553" w14:textId="77777777">
        <w:tc>
          <w:tcPr>
            <w:tcW w:w="1900" w:type="dxa"/>
            <w:tcMar>
              <w:top w:w="60" w:type="dxa"/>
              <w:left w:w="90" w:type="dxa"/>
              <w:bottom w:w="60" w:type="dxa"/>
              <w:right w:w="90" w:type="dxa"/>
            </w:tcMar>
          </w:tcPr>
          <w:p w14:paraId="5640FFAB" w14:textId="77777777" w:rsidR="007213F2" w:rsidRDefault="001E289B">
            <w:r>
              <w:rPr>
                <w:sz w:val="17"/>
                <w:szCs w:val="17"/>
              </w:rPr>
              <w:t>Released variety and formal seed supply</w:t>
            </w:r>
          </w:p>
        </w:tc>
        <w:tc>
          <w:tcPr>
            <w:tcW w:w="1900" w:type="dxa"/>
            <w:tcMar>
              <w:top w:w="60" w:type="dxa"/>
              <w:left w:w="90" w:type="dxa"/>
              <w:bottom w:w="60" w:type="dxa"/>
              <w:right w:w="90" w:type="dxa"/>
            </w:tcMar>
          </w:tcPr>
          <w:p w14:paraId="169D2043" w14:textId="77777777" w:rsidR="007213F2" w:rsidRDefault="001E289B">
            <w:r>
              <w:rPr>
                <w:sz w:val="17"/>
                <w:szCs w:val="17"/>
              </w:rPr>
              <w:t>Not met</w:t>
            </w:r>
          </w:p>
        </w:tc>
        <w:tc>
          <w:tcPr>
            <w:tcW w:w="2600" w:type="dxa"/>
            <w:tcMar>
              <w:top w:w="60" w:type="dxa"/>
              <w:left w:w="90" w:type="dxa"/>
              <w:bottom w:w="60" w:type="dxa"/>
              <w:right w:w="90" w:type="dxa"/>
            </w:tcMar>
          </w:tcPr>
          <w:p w14:paraId="24EB555A" w14:textId="77777777" w:rsidR="007213F2" w:rsidRDefault="001E289B">
            <w:r>
              <w:rPr>
                <w:sz w:val="17"/>
                <w:szCs w:val="17"/>
              </w:rPr>
              <w:t>No released variety; accessions confined to institutional collections</w:t>
            </w:r>
          </w:p>
        </w:tc>
        <w:tc>
          <w:tcPr>
            <w:tcW w:w="2626" w:type="dxa"/>
            <w:tcMar>
              <w:top w:w="60" w:type="dxa"/>
              <w:left w:w="90" w:type="dxa"/>
              <w:bottom w:w="60" w:type="dxa"/>
              <w:right w:w="90" w:type="dxa"/>
            </w:tcMar>
          </w:tcPr>
          <w:p w14:paraId="73361B35" w14:textId="77777777" w:rsidR="007213F2" w:rsidRDefault="001E289B">
            <w:proofErr w:type="spellStart"/>
            <w:r>
              <w:rPr>
                <w:sz w:val="17"/>
                <w:szCs w:val="17"/>
              </w:rPr>
              <w:t>Akinyosoye</w:t>
            </w:r>
            <w:proofErr w:type="spellEnd"/>
            <w:r>
              <w:rPr>
                <w:sz w:val="17"/>
                <w:szCs w:val="17"/>
              </w:rPr>
              <w:t xml:space="preserve"> et al. (2021); </w:t>
            </w:r>
            <w:proofErr w:type="spellStart"/>
            <w:r>
              <w:rPr>
                <w:sz w:val="17"/>
                <w:szCs w:val="17"/>
              </w:rPr>
              <w:t>Akpojotor</w:t>
            </w:r>
            <w:proofErr w:type="spellEnd"/>
            <w:r>
              <w:rPr>
                <w:sz w:val="17"/>
                <w:szCs w:val="17"/>
              </w:rPr>
              <w:t xml:space="preserve"> et al. (2025)</w:t>
            </w:r>
          </w:p>
        </w:tc>
      </w:tr>
      <w:tr w:rsidR="007213F2" w14:paraId="46135A71" w14:textId="77777777">
        <w:tc>
          <w:tcPr>
            <w:tcW w:w="1900" w:type="dxa"/>
            <w:tcMar>
              <w:top w:w="60" w:type="dxa"/>
              <w:left w:w="90" w:type="dxa"/>
              <w:bottom w:w="60" w:type="dxa"/>
              <w:right w:w="90" w:type="dxa"/>
            </w:tcMar>
          </w:tcPr>
          <w:p w14:paraId="1AA4F1C6" w14:textId="77777777" w:rsidR="007213F2" w:rsidRDefault="001E289B">
            <w:r>
              <w:rPr>
                <w:sz w:val="17"/>
                <w:szCs w:val="17"/>
              </w:rPr>
              <w:t>Zone-specific agronomic recommendations</w:t>
            </w:r>
          </w:p>
        </w:tc>
        <w:tc>
          <w:tcPr>
            <w:tcW w:w="1900" w:type="dxa"/>
            <w:tcMar>
              <w:top w:w="60" w:type="dxa"/>
              <w:left w:w="90" w:type="dxa"/>
              <w:bottom w:w="60" w:type="dxa"/>
              <w:right w:w="90" w:type="dxa"/>
            </w:tcMar>
          </w:tcPr>
          <w:p w14:paraId="44DBECB5" w14:textId="77777777" w:rsidR="007213F2" w:rsidRDefault="001E289B">
            <w:r>
              <w:rPr>
                <w:sz w:val="17"/>
                <w:szCs w:val="17"/>
              </w:rPr>
              <w:t>Partly met for spacing in the derived savanna; not met elsewhere</w:t>
            </w:r>
          </w:p>
        </w:tc>
        <w:tc>
          <w:tcPr>
            <w:tcW w:w="2600" w:type="dxa"/>
            <w:tcMar>
              <w:top w:w="60" w:type="dxa"/>
              <w:left w:w="90" w:type="dxa"/>
              <w:bottom w:w="60" w:type="dxa"/>
              <w:right w:w="90" w:type="dxa"/>
            </w:tcMar>
          </w:tcPr>
          <w:p w14:paraId="4414A2F0" w14:textId="77777777" w:rsidR="007213F2" w:rsidRDefault="001E289B">
            <w:r>
              <w:rPr>
                <w:sz w:val="17"/>
                <w:szCs w:val="17"/>
              </w:rPr>
              <w:t>No validated sowing window or fertiliser recommendation for the savanna zones</w:t>
            </w:r>
          </w:p>
        </w:tc>
        <w:tc>
          <w:tcPr>
            <w:tcW w:w="2626" w:type="dxa"/>
            <w:tcMar>
              <w:top w:w="60" w:type="dxa"/>
              <w:left w:w="90" w:type="dxa"/>
              <w:bottom w:w="60" w:type="dxa"/>
              <w:right w:w="90" w:type="dxa"/>
            </w:tcMar>
          </w:tcPr>
          <w:p w14:paraId="66BB9A17" w14:textId="77777777" w:rsidR="007213F2" w:rsidRDefault="001E289B">
            <w:proofErr w:type="spellStart"/>
            <w:r>
              <w:rPr>
                <w:sz w:val="17"/>
                <w:szCs w:val="17"/>
              </w:rPr>
              <w:t>Eteng</w:t>
            </w:r>
            <w:proofErr w:type="spellEnd"/>
            <w:r>
              <w:rPr>
                <w:sz w:val="17"/>
                <w:szCs w:val="17"/>
              </w:rPr>
              <w:t xml:space="preserve"> et al. (2024); </w:t>
            </w:r>
            <w:proofErr w:type="spellStart"/>
            <w:r>
              <w:rPr>
                <w:sz w:val="17"/>
                <w:szCs w:val="17"/>
              </w:rPr>
              <w:t>Ukwu</w:t>
            </w:r>
            <w:proofErr w:type="spellEnd"/>
            <w:r>
              <w:rPr>
                <w:sz w:val="17"/>
                <w:szCs w:val="17"/>
              </w:rPr>
              <w:t xml:space="preserve"> et al. (2023a)</w:t>
            </w:r>
          </w:p>
        </w:tc>
      </w:tr>
      <w:tr w:rsidR="007213F2" w14:paraId="51FA9CCD" w14:textId="77777777">
        <w:tc>
          <w:tcPr>
            <w:tcW w:w="1900" w:type="dxa"/>
            <w:tcMar>
              <w:top w:w="60" w:type="dxa"/>
              <w:left w:w="90" w:type="dxa"/>
              <w:bottom w:w="60" w:type="dxa"/>
              <w:right w:w="90" w:type="dxa"/>
            </w:tcMar>
          </w:tcPr>
          <w:p w14:paraId="6F818514" w14:textId="77777777" w:rsidR="007213F2" w:rsidRDefault="001E289B">
            <w:r>
              <w:rPr>
                <w:sz w:val="17"/>
                <w:szCs w:val="17"/>
              </w:rPr>
              <w:t>Pest and disease management package</w:t>
            </w:r>
          </w:p>
        </w:tc>
        <w:tc>
          <w:tcPr>
            <w:tcW w:w="1900" w:type="dxa"/>
            <w:tcMar>
              <w:top w:w="60" w:type="dxa"/>
              <w:left w:w="90" w:type="dxa"/>
              <w:bottom w:w="60" w:type="dxa"/>
              <w:right w:w="90" w:type="dxa"/>
            </w:tcMar>
          </w:tcPr>
          <w:p w14:paraId="56DB3CE9" w14:textId="77777777" w:rsidR="007213F2" w:rsidRDefault="001E289B">
            <w:r>
              <w:rPr>
                <w:sz w:val="17"/>
                <w:szCs w:val="17"/>
              </w:rPr>
              <w:t>Not met</w:t>
            </w:r>
          </w:p>
        </w:tc>
        <w:tc>
          <w:tcPr>
            <w:tcW w:w="2600" w:type="dxa"/>
            <w:tcMar>
              <w:top w:w="60" w:type="dxa"/>
              <w:left w:w="90" w:type="dxa"/>
              <w:bottom w:w="60" w:type="dxa"/>
              <w:right w:w="90" w:type="dxa"/>
            </w:tcMar>
          </w:tcPr>
          <w:p w14:paraId="33BC9F2C" w14:textId="77777777" w:rsidR="007213F2" w:rsidRDefault="001E289B">
            <w:r>
              <w:rPr>
                <w:sz w:val="17"/>
                <w:szCs w:val="17"/>
              </w:rPr>
              <w:t>Pest complex characterised at one locality; no disease survey; no verified storage evidence</w:t>
            </w:r>
          </w:p>
        </w:tc>
        <w:tc>
          <w:tcPr>
            <w:tcW w:w="2626" w:type="dxa"/>
            <w:tcMar>
              <w:top w:w="60" w:type="dxa"/>
              <w:left w:w="90" w:type="dxa"/>
              <w:bottom w:w="60" w:type="dxa"/>
              <w:right w:w="90" w:type="dxa"/>
            </w:tcMar>
          </w:tcPr>
          <w:p w14:paraId="66331D5E" w14:textId="77777777" w:rsidR="007213F2" w:rsidRDefault="001E289B">
            <w:proofErr w:type="spellStart"/>
            <w:r>
              <w:rPr>
                <w:sz w:val="17"/>
                <w:szCs w:val="17"/>
              </w:rPr>
              <w:t>Asawalam</w:t>
            </w:r>
            <w:proofErr w:type="spellEnd"/>
            <w:r>
              <w:rPr>
                <w:sz w:val="17"/>
                <w:szCs w:val="17"/>
              </w:rPr>
              <w:t xml:space="preserve"> &amp; </w:t>
            </w:r>
            <w:proofErr w:type="spellStart"/>
            <w:r>
              <w:rPr>
                <w:sz w:val="17"/>
                <w:szCs w:val="17"/>
              </w:rPr>
              <w:t>Ekemezie</w:t>
            </w:r>
            <w:proofErr w:type="spellEnd"/>
            <w:r>
              <w:rPr>
                <w:sz w:val="17"/>
                <w:szCs w:val="17"/>
              </w:rPr>
              <w:t xml:space="preserve"> (2018); Nair et al. (2019); Ndam et al. (2018)</w:t>
            </w:r>
          </w:p>
        </w:tc>
      </w:tr>
      <w:tr w:rsidR="007213F2" w14:paraId="5AFEB081" w14:textId="77777777">
        <w:tc>
          <w:tcPr>
            <w:tcW w:w="1900" w:type="dxa"/>
            <w:tcMar>
              <w:top w:w="60" w:type="dxa"/>
              <w:left w:w="90" w:type="dxa"/>
              <w:bottom w:w="60" w:type="dxa"/>
              <w:right w:w="90" w:type="dxa"/>
            </w:tcMar>
          </w:tcPr>
          <w:p w14:paraId="165E55C4" w14:textId="77777777" w:rsidR="007213F2" w:rsidRDefault="001E289B">
            <w:r>
              <w:rPr>
                <w:sz w:val="17"/>
                <w:szCs w:val="17"/>
              </w:rPr>
              <w:t>Demonstrated rotational or system benefit</w:t>
            </w:r>
          </w:p>
        </w:tc>
        <w:tc>
          <w:tcPr>
            <w:tcW w:w="1900" w:type="dxa"/>
            <w:tcMar>
              <w:top w:w="60" w:type="dxa"/>
              <w:left w:w="90" w:type="dxa"/>
              <w:bottom w:w="60" w:type="dxa"/>
              <w:right w:w="90" w:type="dxa"/>
            </w:tcMar>
          </w:tcPr>
          <w:p w14:paraId="3C0D0C42" w14:textId="77777777" w:rsidR="007213F2" w:rsidRDefault="001E289B">
            <w:r>
              <w:rPr>
                <w:sz w:val="17"/>
                <w:szCs w:val="17"/>
              </w:rPr>
              <w:t>Not met for mung bean specifically</w:t>
            </w:r>
          </w:p>
        </w:tc>
        <w:tc>
          <w:tcPr>
            <w:tcW w:w="2600" w:type="dxa"/>
            <w:tcMar>
              <w:top w:w="60" w:type="dxa"/>
              <w:left w:w="90" w:type="dxa"/>
              <w:bottom w:w="60" w:type="dxa"/>
              <w:right w:w="90" w:type="dxa"/>
            </w:tcMar>
          </w:tcPr>
          <w:p w14:paraId="5B9C0176" w14:textId="77777777" w:rsidR="007213F2" w:rsidRDefault="001E289B">
            <w:r>
              <w:rPr>
                <w:sz w:val="17"/>
                <w:szCs w:val="17"/>
              </w:rPr>
              <w:t>Rotation benefits demonstrated for other grain legumes only</w:t>
            </w:r>
          </w:p>
        </w:tc>
        <w:tc>
          <w:tcPr>
            <w:tcW w:w="2626" w:type="dxa"/>
            <w:tcMar>
              <w:top w:w="60" w:type="dxa"/>
              <w:left w:w="90" w:type="dxa"/>
              <w:bottom w:w="60" w:type="dxa"/>
              <w:right w:w="90" w:type="dxa"/>
            </w:tcMar>
          </w:tcPr>
          <w:p w14:paraId="0AF102A2" w14:textId="77777777" w:rsidR="007213F2" w:rsidRDefault="001E289B">
            <w:r>
              <w:rPr>
                <w:sz w:val="17"/>
                <w:szCs w:val="17"/>
              </w:rPr>
              <w:t>Koyejo et al. (2023); Yusuf et al. (2009a, 2009b)</w:t>
            </w:r>
          </w:p>
        </w:tc>
      </w:tr>
      <w:tr w:rsidR="007213F2" w14:paraId="7CDC1652" w14:textId="77777777">
        <w:tc>
          <w:tcPr>
            <w:tcW w:w="1900" w:type="dxa"/>
            <w:tcMar>
              <w:top w:w="60" w:type="dxa"/>
              <w:left w:w="90" w:type="dxa"/>
              <w:bottom w:w="60" w:type="dxa"/>
              <w:right w:w="90" w:type="dxa"/>
            </w:tcMar>
          </w:tcPr>
          <w:p w14:paraId="77C632C8" w14:textId="77777777" w:rsidR="007213F2" w:rsidRDefault="001E289B">
            <w:r>
              <w:rPr>
                <w:sz w:val="17"/>
                <w:szCs w:val="17"/>
              </w:rPr>
              <w:t>Consumer acceptability and utilisation pathways</w:t>
            </w:r>
          </w:p>
        </w:tc>
        <w:tc>
          <w:tcPr>
            <w:tcW w:w="1900" w:type="dxa"/>
            <w:tcMar>
              <w:top w:w="60" w:type="dxa"/>
              <w:left w:w="90" w:type="dxa"/>
              <w:bottom w:w="60" w:type="dxa"/>
              <w:right w:w="90" w:type="dxa"/>
            </w:tcMar>
          </w:tcPr>
          <w:p w14:paraId="09970E68" w14:textId="77777777" w:rsidR="007213F2" w:rsidRDefault="001E289B">
            <w:r>
              <w:rPr>
                <w:sz w:val="17"/>
                <w:szCs w:val="17"/>
              </w:rPr>
              <w:t>Partly met</w:t>
            </w:r>
          </w:p>
        </w:tc>
        <w:tc>
          <w:tcPr>
            <w:tcW w:w="2600" w:type="dxa"/>
            <w:tcMar>
              <w:top w:w="60" w:type="dxa"/>
              <w:left w:w="90" w:type="dxa"/>
              <w:bottom w:w="60" w:type="dxa"/>
              <w:right w:w="90" w:type="dxa"/>
            </w:tcMar>
          </w:tcPr>
          <w:p w14:paraId="0310670E" w14:textId="77777777" w:rsidR="007213F2" w:rsidRDefault="001E289B">
            <w:r>
              <w:rPr>
                <w:sz w:val="17"/>
                <w:szCs w:val="17"/>
              </w:rPr>
              <w:t>Laboratory and small-panel evidence only; no market or price analysis</w:t>
            </w:r>
          </w:p>
        </w:tc>
        <w:tc>
          <w:tcPr>
            <w:tcW w:w="2626" w:type="dxa"/>
            <w:tcMar>
              <w:top w:w="60" w:type="dxa"/>
              <w:left w:w="90" w:type="dxa"/>
              <w:bottom w:w="60" w:type="dxa"/>
              <w:right w:w="90" w:type="dxa"/>
            </w:tcMar>
          </w:tcPr>
          <w:p w14:paraId="274E2B33" w14:textId="77777777" w:rsidR="007213F2" w:rsidRDefault="001E289B">
            <w:r>
              <w:rPr>
                <w:sz w:val="17"/>
                <w:szCs w:val="17"/>
              </w:rPr>
              <w:t>Agbim (2025); Oloyede-</w:t>
            </w:r>
            <w:proofErr w:type="spellStart"/>
            <w:r>
              <w:rPr>
                <w:sz w:val="17"/>
                <w:szCs w:val="17"/>
              </w:rPr>
              <w:t>Kamiyo</w:t>
            </w:r>
            <w:proofErr w:type="spellEnd"/>
            <w:r>
              <w:rPr>
                <w:sz w:val="17"/>
                <w:szCs w:val="17"/>
              </w:rPr>
              <w:t xml:space="preserve"> et al. (2024); </w:t>
            </w:r>
            <w:proofErr w:type="spellStart"/>
            <w:r>
              <w:rPr>
                <w:sz w:val="17"/>
                <w:szCs w:val="17"/>
              </w:rPr>
              <w:t>Onwurafor</w:t>
            </w:r>
            <w:proofErr w:type="spellEnd"/>
            <w:r>
              <w:rPr>
                <w:sz w:val="17"/>
                <w:szCs w:val="17"/>
              </w:rPr>
              <w:t xml:space="preserve"> et al. (2020, 2022)</w:t>
            </w:r>
          </w:p>
        </w:tc>
      </w:tr>
      <w:tr w:rsidR="007213F2" w14:paraId="4F3A324E" w14:textId="77777777">
        <w:tc>
          <w:tcPr>
            <w:tcW w:w="1900" w:type="dxa"/>
            <w:tcMar>
              <w:top w:w="60" w:type="dxa"/>
              <w:left w:w="90" w:type="dxa"/>
              <w:bottom w:w="60" w:type="dxa"/>
              <w:right w:w="90" w:type="dxa"/>
            </w:tcMar>
          </w:tcPr>
          <w:p w14:paraId="225153FB" w14:textId="77777777" w:rsidR="007213F2" w:rsidRDefault="001E289B">
            <w:r>
              <w:rPr>
                <w:sz w:val="17"/>
                <w:szCs w:val="17"/>
              </w:rPr>
              <w:t>Statistical visibility and policy recognition</w:t>
            </w:r>
          </w:p>
        </w:tc>
        <w:tc>
          <w:tcPr>
            <w:tcW w:w="1900" w:type="dxa"/>
            <w:tcMar>
              <w:top w:w="60" w:type="dxa"/>
              <w:left w:w="90" w:type="dxa"/>
              <w:bottom w:w="60" w:type="dxa"/>
              <w:right w:w="90" w:type="dxa"/>
            </w:tcMar>
          </w:tcPr>
          <w:p w14:paraId="250F9854" w14:textId="77777777" w:rsidR="007213F2" w:rsidRDefault="001E289B">
            <w:r>
              <w:rPr>
                <w:sz w:val="17"/>
                <w:szCs w:val="17"/>
              </w:rPr>
              <w:t>Not met</w:t>
            </w:r>
          </w:p>
        </w:tc>
        <w:tc>
          <w:tcPr>
            <w:tcW w:w="2600" w:type="dxa"/>
            <w:tcMar>
              <w:top w:w="60" w:type="dxa"/>
              <w:left w:w="90" w:type="dxa"/>
              <w:bottom w:w="60" w:type="dxa"/>
              <w:right w:w="90" w:type="dxa"/>
            </w:tcMar>
          </w:tcPr>
          <w:p w14:paraId="6253A7AE" w14:textId="77777777" w:rsidR="007213F2" w:rsidRDefault="001E289B">
            <w:r>
              <w:rPr>
                <w:sz w:val="17"/>
                <w:szCs w:val="17"/>
              </w:rPr>
              <w:t>Crop absent from reliable national production accounts</w:t>
            </w:r>
          </w:p>
        </w:tc>
        <w:tc>
          <w:tcPr>
            <w:tcW w:w="2626" w:type="dxa"/>
            <w:tcMar>
              <w:top w:w="60" w:type="dxa"/>
              <w:left w:w="90" w:type="dxa"/>
              <w:bottom w:w="60" w:type="dxa"/>
              <w:right w:w="90" w:type="dxa"/>
            </w:tcMar>
          </w:tcPr>
          <w:p w14:paraId="3E549DE5" w14:textId="77777777" w:rsidR="007213F2" w:rsidRDefault="001E289B">
            <w:proofErr w:type="spellStart"/>
            <w:r>
              <w:rPr>
                <w:sz w:val="17"/>
                <w:szCs w:val="17"/>
              </w:rPr>
              <w:t>Akinyosoye</w:t>
            </w:r>
            <w:proofErr w:type="spellEnd"/>
            <w:r>
              <w:rPr>
                <w:sz w:val="17"/>
                <w:szCs w:val="17"/>
              </w:rPr>
              <w:t xml:space="preserve"> et al. (2021)</w:t>
            </w:r>
          </w:p>
        </w:tc>
      </w:tr>
    </w:tbl>
    <w:p w14:paraId="06A8CB8E" w14:textId="77777777" w:rsidR="007213F2" w:rsidRDefault="001E289B">
      <w:pPr>
        <w:spacing w:before="100" w:after="240"/>
      </w:pPr>
      <w:r>
        <w:rPr>
          <w:i/>
          <w:iCs/>
          <w:sz w:val="17"/>
          <w:szCs w:val="17"/>
        </w:rPr>
        <w:t xml:space="preserve">Note. </w:t>
      </w:r>
      <w:r>
        <w:rPr>
          <w:sz w:val="17"/>
          <w:szCs w:val="17"/>
        </w:rPr>
        <w:t>Status categories reflect the reviewers' assessment against the evidence retrieved and appraised in this review. "Partly met" indicates that relevant evidence exists but is confined to a subset of zones, products or conditions.</w:t>
      </w:r>
    </w:p>
    <w:p w14:paraId="1495CBAC" w14:textId="77777777" w:rsidR="007213F2" w:rsidRDefault="001E289B">
      <w:pPr>
        <w:pStyle w:val="Heading1"/>
        <w:spacing w:before="320" w:after="140"/>
      </w:pPr>
      <w:r>
        <w:rPr>
          <w:b/>
          <w:bCs/>
          <w:color w:val="000000"/>
          <w:sz w:val="24"/>
          <w:szCs w:val="24"/>
        </w:rPr>
        <w:lastRenderedPageBreak/>
        <w:t>Future Directions</w:t>
      </w:r>
    </w:p>
    <w:p w14:paraId="51B34B18" w14:textId="77777777" w:rsidR="007213F2" w:rsidRDefault="001E289B">
      <w:pPr>
        <w:spacing w:after="160" w:line="300" w:lineRule="auto"/>
        <w:jc w:val="both"/>
      </w:pPr>
      <w:r>
        <w:t>The priorities that follow are ordered by the extent to which addressing them would change what can be concluded, rather than by ease of execution. Several would require modest resources and would nonetheless resolve questions that additional single-season trials cannot.</w:t>
      </w:r>
    </w:p>
    <w:p w14:paraId="6654A7BD" w14:textId="77777777" w:rsidR="007213F2" w:rsidRDefault="001E289B">
      <w:pPr>
        <w:spacing w:after="160" w:line="300" w:lineRule="auto"/>
        <w:jc w:val="both"/>
      </w:pPr>
      <w:r>
        <w:t>The most urgent requirement is a multi-location, multi-season evaluation network extending along the Nigerian aridity gradient into the northern Guinea and Sudan savannas. The unresolved problem is that suitability has been assessed almost entirely in zones where the crop's short duration confers least advantage, so that the central agronomic hypothesis has never been tested where it matters. Existing evidence is inadequate because no trial has sampled the northern zones under field rainfall, because heritability for seed yield in Nigerian conditions is low enough that single-environment results are unreliable (</w:t>
      </w:r>
      <w:proofErr w:type="spellStart"/>
      <w:r>
        <w:t>Akinyosoye</w:t>
      </w:r>
      <w:proofErr w:type="spellEnd"/>
      <w:r>
        <w:t xml:space="preserve"> et al., 2021), and because interaction effects have been significant wherever they have been examined (</w:t>
      </w:r>
      <w:proofErr w:type="spellStart"/>
      <w:r>
        <w:t>Ukwu</w:t>
      </w:r>
      <w:proofErr w:type="spellEnd"/>
      <w:r>
        <w:t xml:space="preserve"> et al., 2025b). The appropriate design is a balanced multi-environment trial of a common genotype set across at least six locations spanning three or more </w:t>
      </w:r>
      <w:proofErr w:type="spellStart"/>
      <w:r>
        <w:t>agro</w:t>
      </w:r>
      <w:proofErr w:type="spellEnd"/>
      <w:r>
        <w:t>-ecological zones and at least three seasons, analysed with multiplicative interaction and biplot methods so that mega-environments can be delineated and testing sites ranked, following the approach already applied to cowpea and African yam bean in Nigeria (Adewale et al., 2017; Popoola et al., 2024). Seed yield, days to flowering, flowering duration, maturity synchrony and harvest index should be recorded together with rainfall, maximum and minimum temperature during flowering, sowing date and soil chemical status. The direct output would be zone-specific recommendations and the evidence base for a variety release submission.</w:t>
      </w:r>
    </w:p>
    <w:p w14:paraId="58B3FD90" w14:textId="77777777" w:rsidR="007213F2" w:rsidRDefault="001E289B">
      <w:pPr>
        <w:spacing w:after="160" w:line="300" w:lineRule="auto"/>
        <w:jc w:val="both"/>
      </w:pPr>
      <w:r>
        <w:t>The second priority is the quantification of the nitrogen economy. The unresolved problem is that the rotational argument, which underpins much of the policy interest in the crop, rests entirely on evidence from other legumes (Ladha et al., 2022; Yusuf et al., 2009a, 2009b). Current evidence is inadequate because no Nigerian measurement of fixation, residue production or residual effect exists for mung bean. What is required is a set of rotation experiments in the northern Guinea savanna in which mung bean precedes maize or sorghum, with fixation estimated by an isotopic or total-nitrogen-difference method, residue biomass and nitrogen content measured, grain nitrogen removal calculated, and subsequent cereal yield measured against non-legume and established-legume controls over at least three cycles. The relevant outcome measures are the net nitrogen balance and the cereal yield response, and the policy implication is direct, because fertiliser-saving benefits are frequently claimed for the crop and are currently unsubstantiated in Nigeria.</w:t>
      </w:r>
    </w:p>
    <w:p w14:paraId="0C13597A" w14:textId="77777777" w:rsidR="007213F2" w:rsidRDefault="001E289B">
      <w:pPr>
        <w:spacing w:after="160" w:line="300" w:lineRule="auto"/>
        <w:jc w:val="both"/>
      </w:pPr>
      <w:r>
        <w:t>The third priority is characterisation of the biotic constraint set. The unresolved problem is that no basis exists for predicting whether mung bean will remain profitable after pest and pathogen populations adjust to its presence. Existing evidence consists of one locality-level insect checklist and one botanical control trial (</w:t>
      </w:r>
      <w:proofErr w:type="spellStart"/>
      <w:r>
        <w:t>Asawalam</w:t>
      </w:r>
      <w:proofErr w:type="spellEnd"/>
      <w:r>
        <w:t xml:space="preserve"> &amp; </w:t>
      </w:r>
      <w:proofErr w:type="spellStart"/>
      <w:r>
        <w:t>Ekemezie</w:t>
      </w:r>
      <w:proofErr w:type="spellEnd"/>
      <w:r>
        <w:t xml:space="preserve">, 2018; Ndam et al., 2018), with no disease survey at all. Systematic surveillance across the zones in which the crop is being tested, using protected and unprotected plots so that yield loss can be attributed, would establish the dominant species and their economic importance; molecular diagnosis should be included to determine whether the </w:t>
      </w:r>
      <w:proofErr w:type="spellStart"/>
      <w:r>
        <w:t>begomovirus</w:t>
      </w:r>
      <w:proofErr w:type="spellEnd"/>
      <w:r>
        <w:t xml:space="preserve"> complex responsible for yellow mosaic disease elsewhere is present (Nair et al., 2019). Storage behaviour requires separate attention, since a crop promoted as a marketable grain must be storable under Nigerian conditions. This work is immediate rather than long-term, because pest and disease pressure is most easily characterised while cultivated area is small.</w:t>
      </w:r>
    </w:p>
    <w:p w14:paraId="5D5C60D4" w14:textId="77777777" w:rsidR="007213F2" w:rsidRDefault="001E289B">
      <w:pPr>
        <w:spacing w:after="160" w:line="300" w:lineRule="auto"/>
        <w:jc w:val="both"/>
      </w:pPr>
      <w:r>
        <w:t>The fourth priority is process-based modelling. The unresolved problem is that sowing-window guidance cannot be generated empirically for every zone and season combination. Existing evidence is inadequate because Nigerian sowing-date evidence is confined to early-versus-late season comparisons at a few southern sites (</w:t>
      </w:r>
      <w:proofErr w:type="spellStart"/>
      <w:r>
        <w:t>Chukwura</w:t>
      </w:r>
      <w:proofErr w:type="spellEnd"/>
      <w:r>
        <w:t xml:space="preserve"> et al., 2024; Oloyede-</w:t>
      </w:r>
      <w:proofErr w:type="spellStart"/>
      <w:r>
        <w:t>Kamiyo</w:t>
      </w:r>
      <w:proofErr w:type="spellEnd"/>
      <w:r>
        <w:t xml:space="preserve"> et al., 2024). A mung bean model already exists within an </w:t>
      </w:r>
      <w:r>
        <w:lastRenderedPageBreak/>
        <w:t>established cropping-systems framework (Pasley et al., 2023), and the equivalent approach has been applied successfully to cowpea and soybean in Nigeria (</w:t>
      </w:r>
      <w:proofErr w:type="spellStart"/>
      <w:r>
        <w:t>Bebeley</w:t>
      </w:r>
      <w:proofErr w:type="spellEnd"/>
      <w:r>
        <w:t xml:space="preserve"> et al., 2025; Kamara et al., 2025). Calibrating and evaluating that model against the multi-location dataset proposed above would allow sowing windows, plant populations and risk of terminal drought to be evaluated across the country and under projected climates, which is the analytical strategy recommended for opportunity crops in Africa generally (Yang et al., 2025). This is a medium-term priority, because it depends on the field data being generated first.</w:t>
      </w:r>
    </w:p>
    <w:p w14:paraId="3BFB981B" w14:textId="77777777" w:rsidR="007213F2" w:rsidRDefault="001E289B">
      <w:pPr>
        <w:spacing w:after="160" w:line="300" w:lineRule="auto"/>
        <w:jc w:val="both"/>
      </w:pPr>
      <w:r>
        <w:t xml:space="preserve">The fifth priority concerns physiological screening for the traits that will determine performance in the target zones. Tolerance of water deficit within the crop cycle, tolerance of transient waterlogging, and reproductive performance under high temperature are all genotype-dependent and all </w:t>
      </w:r>
      <w:proofErr w:type="spellStart"/>
      <w:r>
        <w:t>screenable</w:t>
      </w:r>
      <w:proofErr w:type="spellEnd"/>
      <w:r>
        <w:t xml:space="preserve"> with established protocols (Basavaraj et al., 2024; Mahajan et al., 2023; </w:t>
      </w:r>
      <w:proofErr w:type="spellStart"/>
      <w:r>
        <w:t>Patriyawaty</w:t>
      </w:r>
      <w:proofErr w:type="spellEnd"/>
      <w:r>
        <w:t xml:space="preserve"> et al., 2018). None has been applied to the germplasm being promoted in Nigeria, with the partial exception of a two-cultivar watering-interval study (Mustapha et al., 2025). Screening the introduced collections for these traits, and relating the results to field performance in the multi-location network, would convert germplasm characterisation from a descriptive exercise into a predictive one. The finding that flowering time and flowering duration are under independent genetic control (Dudley et al., 2025) indicates that maturity synchrony should be treated as a selection target in its own right rather than as a correlate of earliness.</w:t>
      </w:r>
    </w:p>
    <w:p w14:paraId="3E071DA6" w14:textId="77777777" w:rsidR="007213F2" w:rsidRDefault="001E289B">
      <w:pPr>
        <w:spacing w:after="160" w:line="300" w:lineRule="auto"/>
        <w:jc w:val="both"/>
      </w:pPr>
      <w:r>
        <w:t>The sixth priority is demand-side and institutional. The unresolved problem is that agronomic success would not by itself generate production, because the crop lacks a released variety, a seed system and a market channel (</w:t>
      </w:r>
      <w:proofErr w:type="spellStart"/>
      <w:r>
        <w:t>Akpojotor</w:t>
      </w:r>
      <w:proofErr w:type="spellEnd"/>
      <w:r>
        <w:t xml:space="preserve"> et al., 2025). Required work includes consumer testing at market scale for the preparations in which mung bean has shown technological promise (Oloyede-</w:t>
      </w:r>
      <w:proofErr w:type="spellStart"/>
      <w:r>
        <w:t>Kamiyo</w:t>
      </w:r>
      <w:proofErr w:type="spellEnd"/>
      <w:r>
        <w:t xml:space="preserve"> et al., 2024; </w:t>
      </w:r>
      <w:proofErr w:type="spellStart"/>
      <w:r>
        <w:t>Onwurafor</w:t>
      </w:r>
      <w:proofErr w:type="spellEnd"/>
      <w:r>
        <w:t xml:space="preserve"> et al., 2022), price and margin analysis against cowpea, and assessment of the seed multiplication arrangements that permitted expansion in East Africa (</w:t>
      </w:r>
      <w:proofErr w:type="spellStart"/>
      <w:r>
        <w:t>Mmbando</w:t>
      </w:r>
      <w:proofErr w:type="spellEnd"/>
      <w:r>
        <w:t xml:space="preserve"> et al., 2021; </w:t>
      </w:r>
      <w:proofErr w:type="spellStart"/>
      <w:r>
        <w:t>Sequeros</w:t>
      </w:r>
      <w:proofErr w:type="spellEnd"/>
      <w:r>
        <w:t xml:space="preserve"> et al., 2021). Without this, the pattern that has characterised orphan crop research generally, in which characterised collections accumulate without reaching farmers, is likely to be repeated.</w:t>
      </w:r>
    </w:p>
    <w:p w14:paraId="32093AFA" w14:textId="77777777" w:rsidR="007213F2" w:rsidRDefault="001E289B">
      <w:pPr>
        <w:spacing w:after="160" w:line="300" w:lineRule="auto"/>
        <w:jc w:val="both"/>
      </w:pPr>
      <w:r>
        <w:t>A final and inexpensive priority applies across all of the above. Nigerian mung bean research would become substantially more useful if authors reported a minimum standard set of variables with every yield figure: plot size, plant population, sowing date, rainfall and temperature during the growing period, and soil chemical status. This costs nothing, requires no change of design, and would permit the accumulated body of small studies to be synthesised quantitatively at some future point, which at present it cannot be.</w:t>
      </w:r>
    </w:p>
    <w:p w14:paraId="27286236" w14:textId="77777777" w:rsidR="007213F2" w:rsidRDefault="001E289B">
      <w:pPr>
        <w:pStyle w:val="Heading1"/>
        <w:spacing w:before="320" w:after="140"/>
      </w:pPr>
      <w:r>
        <w:rPr>
          <w:b/>
          <w:bCs/>
          <w:color w:val="000000"/>
          <w:sz w:val="24"/>
          <w:szCs w:val="24"/>
        </w:rPr>
        <w:t>Conclusions</w:t>
      </w:r>
    </w:p>
    <w:p w14:paraId="534C7FD7" w14:textId="77777777" w:rsidR="007213F2" w:rsidRDefault="001E289B">
      <w:pPr>
        <w:spacing w:after="160" w:line="300" w:lineRule="auto"/>
        <w:jc w:val="both"/>
      </w:pPr>
      <w:r>
        <w:t>The evidence assembled here supports a qualified and geographically restricted conclusion about mung bean in Nigeria. Adapted germplasm exists, and accessions introduced from international collections have completed their cycle and produced harvestable seed across the humid forest, derived savanna and southern Guinea savanna environments in which they have been tested. Earliness is highly heritable and can be selected reliably, and the crop reaches physiological maturity within a period short enough to occupy cropping windows that established Nigerian legumes cannot use. Grain composition is favourable, mineral concentrations compare well with those of cowpea, and the grain can be used in familiar Nigerian preparations and in composite products with acceptable results. These conclusions rest on convergent evidence from independent research groups and can be regarded as reasonably secure.</w:t>
      </w:r>
    </w:p>
    <w:p w14:paraId="38D14D39" w14:textId="77777777" w:rsidR="007213F2" w:rsidRDefault="001E289B">
      <w:pPr>
        <w:spacing w:after="160" w:line="300" w:lineRule="auto"/>
        <w:jc w:val="both"/>
      </w:pPr>
      <w:r>
        <w:t xml:space="preserve">Beyond this the position is considerably weaker, and the weakness is systematic rather than incidental. Seed yields reported in Nigerian trials vary by a factor of more than four, and the highest values were obtained under partial shading rather than open-field conditions, so that the range routinely quoted overstates what </w:t>
      </w:r>
      <w:r>
        <w:lastRenderedPageBreak/>
        <w:t>farmers could expect. Heritability for seed yield is low, interaction between genotype and environment is significant wherever it has been examined, and almost no Nigerian study spans more than a single season; genotype recommendations derived from single-environment trials therefore carry a substantial probability of reversal. The trials themselves are concentrated in the two zones where the crop's distinguishing attribute of short duration is least valuable, and the semi-arid north, where that attribute would matter most, is effectively unstudied under field conditions. Claims of drought tolerance conflate escape through early maturity with physiological tolerance of water deficit, and the latter has not been characterised in Nigeria. Waterlogging tolerance has not been screened despite being the more probable hazard in the zones actually used for testing.</w:t>
      </w:r>
    </w:p>
    <w:p w14:paraId="508C4FAF" w14:textId="77777777" w:rsidR="007213F2" w:rsidRDefault="001E289B">
      <w:pPr>
        <w:spacing w:after="160" w:line="300" w:lineRule="auto"/>
        <w:jc w:val="both"/>
      </w:pPr>
      <w:r>
        <w:t>The claims that are weakest of all are those concerning system-level and economic outcomes. No Nigerian measurement of nitrogen fixation, residue nitrogen or residual effect on a subsequent cereal exists for this species, so the rotational benefit that features prominently in advocacy for the crop remains an inference from other legumes. Biotic constraints are characterised by a single insect checklist and no disease survey, which means that the durability of any yield achieved is unknown. The crop has no released variety, no formal seed supply and no reliable presence in national statistics, and these institutional absences, rather than any biological limitation, are what currently prevent production from expanding.</w:t>
      </w:r>
    </w:p>
    <w:p w14:paraId="31D9CD75" w14:textId="77777777" w:rsidR="007213F2" w:rsidRDefault="001E289B">
      <w:pPr>
        <w:spacing w:after="160" w:line="300" w:lineRule="auto"/>
        <w:jc w:val="both"/>
      </w:pPr>
      <w:r>
        <w:t>The broader significance of this assessment is methodological as much as agronomic. Nigerian mung bean research has accumulated as a series of independent, mostly single-season, single-site studies whose results cannot be pooled because the environmental conditions and the yield basis are reported inconsistently. The most valuable contribution the next phase of research could make is not another set of trials but a coordinated, standardised and multi-seasonal evaluation designed from the outset to be cumulative. Mung bean may well prove to be a useful addition to Nigerian cropping systems, particularly as rainfall becomes less predictable and short-duration options become more valuable. That proposition is plausible, partially supported and, on the present evidence, not yet demonstrated.</w:t>
      </w:r>
    </w:p>
    <w:p w14:paraId="0BABD607" w14:textId="77777777" w:rsidR="007213F2" w:rsidRDefault="001E289B">
      <w:pPr>
        <w:pStyle w:val="Heading1"/>
        <w:spacing w:before="320" w:after="140"/>
      </w:pPr>
      <w:r>
        <w:rPr>
          <w:b/>
          <w:bCs/>
          <w:color w:val="000000"/>
          <w:sz w:val="24"/>
          <w:szCs w:val="24"/>
        </w:rPr>
        <w:t>Limitations</w:t>
      </w:r>
    </w:p>
    <w:p w14:paraId="5A3E79D2" w14:textId="77777777" w:rsidR="007213F2" w:rsidRDefault="001E289B">
      <w:pPr>
        <w:spacing w:after="160" w:line="300" w:lineRule="auto"/>
        <w:jc w:val="both"/>
      </w:pPr>
      <w:r>
        <w:t>This review is a narrative synthesis and carries the limitations intrinsic to that form. Studies were selected purposively rather than by an exhaustive protocol, appraisal rested on the reviewers' judgement rather than on a validated instrument, and the weighting of evidence reflects an interpretive assessment of informativeness. Selection and interpretive bias cannot be excluded despite the transparency of the search strategy and eligibility criteria described in Section 2, and a different reviewer applying the same criteria might reasonably assemble a somewhat different evidence base and reach somewhat different emphases.</w:t>
      </w:r>
    </w:p>
    <w:p w14:paraId="29D45EBB" w14:textId="77777777" w:rsidR="007213F2" w:rsidRDefault="001E289B">
      <w:pPr>
        <w:spacing w:after="160" w:line="300" w:lineRule="auto"/>
        <w:jc w:val="both"/>
      </w:pPr>
      <w:r>
        <w:t>Access to subscription databases was not available. Searching was confined to open scholarly indexes, an African journal platform and publisher pages, and coverage in commercial abstracting services is therefore unknown. Relevant Nigerian work published in journals that are not indexed in any of the searched resources, or in institutional reports, theses and conference proceedings, will not have been retrieved. A small number of records identified could not be obtained in full text and were excluded rather than characterised from abstracts, and two otherwise pertinent Nigerian articles were excluded because essential bibliographic details could not be verified. All included publications are in English, and any relevant material published in other languages would have been missed.</w:t>
      </w:r>
    </w:p>
    <w:p w14:paraId="534305EC" w14:textId="77777777" w:rsidR="007213F2" w:rsidRDefault="001E289B">
      <w:pPr>
        <w:spacing w:after="160" w:line="300" w:lineRule="auto"/>
        <w:jc w:val="both"/>
      </w:pPr>
      <w:r>
        <w:t xml:space="preserve">Quantitative synthesis was not possible and was not attempted. The primary studies differ in design, in the number of seasons and sites, in the units and basis of yield measurement, and in whether plant population and environmental covariates are reported at all, and pooling them would have produced a spurious </w:t>
      </w:r>
      <w:r>
        <w:lastRenderedPageBreak/>
        <w:t>appearance of comparability. Comparisons between studies in this review are therefore qualitative, and the yield ranges reported should be read as descriptions of what has been published rather than as estimates of a population parameter.</w:t>
      </w:r>
    </w:p>
    <w:p w14:paraId="4D470E58" w14:textId="7F2C63C2" w:rsidR="007213F2" w:rsidRDefault="001E289B">
      <w:pPr>
        <w:spacing w:after="160" w:line="300" w:lineRule="auto"/>
        <w:jc w:val="both"/>
      </w:pPr>
      <w:r>
        <w:t>The evidence base itself imposes further limits on what could be concluded. Geographical representation is markedly uneven, with the northern zones almost unrepresented, so conclusions about national suitability are extrapolations. Almost all yield evidence derives from experiments of one or two seasons, which is too short to characterise a crop whose performance is strongly environment-dependent. On-farm evidence is absent, so the gap between experimental and farmer-managed performance is unknown. Long-term evidence on rotational effects, soil change, pest population dynamics and market development does not exist for this species in Nigeria. Some of the Nigerian literature appears in outlets whose editorial standards could not be independently established, and the decision to exclude such sources will have removed some genuine evidence along with material of uncertain reliability. Finally, no verified national production statistics for mung bean in Nigeria were available, so the assessment of production prospects rests on experimental and institutional evidence rather than on observed production trends.</w:t>
      </w:r>
    </w:p>
    <w:p w14:paraId="64FBF5AC" w14:textId="310CAC6A" w:rsidR="001E289B" w:rsidRDefault="001E289B">
      <w:pPr>
        <w:spacing w:after="160" w:line="300" w:lineRule="auto"/>
        <w:jc w:val="both"/>
      </w:pPr>
    </w:p>
    <w:p w14:paraId="55433015" w14:textId="77777777" w:rsidR="001E289B" w:rsidRDefault="001E289B" w:rsidP="001E289B">
      <w:pPr>
        <w:shd w:val="clear" w:color="auto" w:fill="FFFFFF"/>
        <w:rPr>
          <w:rFonts w:ascii="Arial" w:hAnsi="Arial" w:cs="Arial"/>
          <w:color w:val="222222"/>
          <w:sz w:val="24"/>
          <w:szCs w:val="24"/>
          <w:lang w:val="en-IN" w:eastAsia="en-IN"/>
        </w:rPr>
      </w:pPr>
      <w:bookmarkStart w:id="0" w:name="_Hlk232854992"/>
    </w:p>
    <w:p w14:paraId="0D9868BA" w14:textId="77777777" w:rsidR="001E289B" w:rsidRPr="000839CE" w:rsidRDefault="001E289B" w:rsidP="001E289B">
      <w:pPr>
        <w:rPr>
          <w:b/>
        </w:rPr>
      </w:pPr>
      <w:bookmarkStart w:id="1" w:name="_Hlk234486585"/>
      <w:bookmarkStart w:id="2" w:name="_Hlk234075571"/>
      <w:bookmarkStart w:id="3" w:name="_Hlk232755622"/>
      <w:r w:rsidRPr="000839CE">
        <w:rPr>
          <w:b/>
        </w:rPr>
        <w:t>Declaration of AI Use</w:t>
      </w:r>
    </w:p>
    <w:p w14:paraId="2AF66BE8" w14:textId="77777777" w:rsidR="001E289B" w:rsidRPr="000839CE" w:rsidRDefault="001E289B" w:rsidP="001E289B">
      <w:bookmarkStart w:id="4" w:name="_Hlk234486575"/>
      <w:bookmarkEnd w:id="1"/>
    </w:p>
    <w:bookmarkEnd w:id="0"/>
    <w:bookmarkEnd w:id="2"/>
    <w:bookmarkEnd w:id="3"/>
    <w:bookmarkEnd w:id="4"/>
    <w:p w14:paraId="3EC5650A" w14:textId="77777777" w:rsidR="00C45461" w:rsidRPr="00C45461" w:rsidRDefault="00C45461" w:rsidP="00C45461">
      <w:pPr>
        <w:spacing w:after="160" w:line="259" w:lineRule="auto"/>
        <w:rPr>
          <w:rFonts w:ascii="Arial" w:eastAsia="Calibri" w:hAnsi="Arial" w:cs="Arial"/>
          <w:kern w:val="2"/>
          <w:sz w:val="22"/>
          <w:szCs w:val="22"/>
          <w:lang w:val="en-IN" w:eastAsia="en-US"/>
        </w:rPr>
      </w:pPr>
      <w:r w:rsidRPr="00C45461">
        <w:rPr>
          <w:rFonts w:ascii="Arial" w:eastAsia="Calibri" w:hAnsi="Arial" w:cs="Arial"/>
          <w:kern w:val="2"/>
          <w:sz w:val="22"/>
          <w:szCs w:val="22"/>
          <w:lang w:val="en-IN" w:eastAsia="en-US"/>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4E3F2BAF" w14:textId="77777777" w:rsidR="001E289B" w:rsidRDefault="001E289B">
      <w:pPr>
        <w:spacing w:after="160" w:line="300" w:lineRule="auto"/>
        <w:jc w:val="both"/>
      </w:pPr>
    </w:p>
    <w:p w14:paraId="39FE171E" w14:textId="77777777" w:rsidR="007213F2" w:rsidRDefault="001E289B">
      <w:pPr>
        <w:pStyle w:val="Heading1"/>
        <w:spacing w:before="320" w:after="140"/>
      </w:pPr>
      <w:r>
        <w:rPr>
          <w:b/>
          <w:bCs/>
          <w:color w:val="000000"/>
          <w:sz w:val="24"/>
          <w:szCs w:val="24"/>
        </w:rPr>
        <w:t>References</w:t>
      </w:r>
    </w:p>
    <w:p w14:paraId="63C9A8DF" w14:textId="77777777" w:rsidR="007213F2" w:rsidRDefault="001E289B">
      <w:pPr>
        <w:spacing w:after="120" w:line="280" w:lineRule="auto"/>
        <w:ind w:left="720" w:hanging="720"/>
      </w:pPr>
      <w:r>
        <w:t xml:space="preserve">Adewale, B. D., Ojo, D. R., &amp; Abberton, M. (2017). GGE biplot application for adaptability of African yam bean grain yield to four </w:t>
      </w:r>
      <w:proofErr w:type="spellStart"/>
      <w:r>
        <w:t>agro</w:t>
      </w:r>
      <w:proofErr w:type="spellEnd"/>
      <w:r>
        <w:t xml:space="preserve">-ecologies in Nigeria. </w:t>
      </w:r>
      <w:r>
        <w:rPr>
          <w:i/>
          <w:iCs/>
        </w:rPr>
        <w:t>African Crop Science Journal</w:t>
      </w:r>
      <w:r>
        <w:t xml:space="preserve">, </w:t>
      </w:r>
      <w:r>
        <w:rPr>
          <w:i/>
          <w:iCs/>
        </w:rPr>
        <w:t>25</w:t>
      </w:r>
      <w:r>
        <w:t>(3), 333–347. https://doi.org/10.4314/acsj.v25i3.7</w:t>
      </w:r>
    </w:p>
    <w:p w14:paraId="4A605E15" w14:textId="77777777" w:rsidR="007213F2" w:rsidRDefault="001E289B">
      <w:pPr>
        <w:spacing w:after="120" w:line="280" w:lineRule="auto"/>
        <w:ind w:left="720" w:hanging="720"/>
      </w:pPr>
      <w:r>
        <w:t xml:space="preserve">Agbim, J. U. (2025). Proximate analysis of twenty mung bean genotypes evaluated in Owerri, Southeastern Nigeria. </w:t>
      </w:r>
      <w:r>
        <w:rPr>
          <w:i/>
          <w:iCs/>
        </w:rPr>
        <w:t>Journal of Agriculture and Food Sciences</w:t>
      </w:r>
      <w:r>
        <w:t xml:space="preserve">, </w:t>
      </w:r>
      <w:r>
        <w:rPr>
          <w:i/>
          <w:iCs/>
        </w:rPr>
        <w:t>23</w:t>
      </w:r>
      <w:r>
        <w:t>(2), 146–154. https://doi.org/10.4314/jafs.v23i2.10</w:t>
      </w:r>
    </w:p>
    <w:p w14:paraId="6E063B1F" w14:textId="77777777" w:rsidR="007213F2" w:rsidRDefault="001E289B">
      <w:pPr>
        <w:spacing w:after="120" w:line="280" w:lineRule="auto"/>
        <w:ind w:left="720" w:hanging="720"/>
      </w:pPr>
      <w:r>
        <w:t xml:space="preserve">Agbim, J. U., </w:t>
      </w:r>
      <w:proofErr w:type="spellStart"/>
      <w:r>
        <w:t>Ngwuta</w:t>
      </w:r>
      <w:proofErr w:type="spellEnd"/>
      <w:r>
        <w:t xml:space="preserve">, A. A., Anyanwu, C. P., </w:t>
      </w:r>
      <w:proofErr w:type="spellStart"/>
      <w:r>
        <w:t>Echerobia</w:t>
      </w:r>
      <w:proofErr w:type="spellEnd"/>
      <w:r>
        <w:t xml:space="preserve">, C. O., &amp; </w:t>
      </w:r>
      <w:proofErr w:type="spellStart"/>
      <w:r>
        <w:t>Onyishi</w:t>
      </w:r>
      <w:proofErr w:type="spellEnd"/>
      <w:r>
        <w:t xml:space="preserve">, G. C. (2025). Screening for earliness in </w:t>
      </w:r>
      <w:proofErr w:type="spellStart"/>
      <w:r>
        <w:t>mungbean</w:t>
      </w:r>
      <w:proofErr w:type="spellEnd"/>
      <w:r>
        <w:t xml:space="preserve"> genotypes in Owerri, South Eastern Nigeria. </w:t>
      </w:r>
      <w:r>
        <w:rPr>
          <w:i/>
          <w:iCs/>
        </w:rPr>
        <w:t>Journal of Agriculture and Food Sciences</w:t>
      </w:r>
      <w:r>
        <w:t xml:space="preserve">, </w:t>
      </w:r>
      <w:r>
        <w:rPr>
          <w:i/>
          <w:iCs/>
        </w:rPr>
        <w:t>23</w:t>
      </w:r>
      <w:r>
        <w:t>(1), 250–262. https://doi.org/10.4314/jafs.v23i1.17</w:t>
      </w:r>
    </w:p>
    <w:p w14:paraId="0016F8E5" w14:textId="77777777" w:rsidR="007213F2" w:rsidRDefault="001E289B">
      <w:pPr>
        <w:spacing w:after="120" w:line="280" w:lineRule="auto"/>
        <w:ind w:left="720" w:hanging="720"/>
      </w:pPr>
      <w:r>
        <w:t xml:space="preserve">Akintoye, H. A., Olatunji, M. T., </w:t>
      </w:r>
      <w:proofErr w:type="spellStart"/>
      <w:r>
        <w:t>Shokalu</w:t>
      </w:r>
      <w:proofErr w:type="spellEnd"/>
      <w:r>
        <w:t xml:space="preserve">, A. O., Adebayo, A. G., &amp; </w:t>
      </w:r>
      <w:proofErr w:type="spellStart"/>
      <w:r>
        <w:t>Okoyo</w:t>
      </w:r>
      <w:proofErr w:type="spellEnd"/>
      <w:r>
        <w:t xml:space="preserve">, E. M. (2022). Triggering a </w:t>
      </w:r>
      <w:proofErr w:type="spellStart"/>
      <w:r>
        <w:t>mungbean</w:t>
      </w:r>
      <w:proofErr w:type="spellEnd"/>
      <w:r>
        <w:t xml:space="preserve"> transformation in East and West Africa: Evaluation of adaptability of fifteen lines of </w:t>
      </w:r>
      <w:proofErr w:type="spellStart"/>
      <w:r>
        <w:t>mungbean</w:t>
      </w:r>
      <w:proofErr w:type="spellEnd"/>
      <w:r>
        <w:t xml:space="preserve"> in southwestern Nigeria. </w:t>
      </w:r>
      <w:r>
        <w:rPr>
          <w:i/>
          <w:iCs/>
        </w:rPr>
        <w:t xml:space="preserve">Acta </w:t>
      </w:r>
      <w:proofErr w:type="spellStart"/>
      <w:r>
        <w:rPr>
          <w:i/>
          <w:iCs/>
        </w:rPr>
        <w:t>Horticulturae</w:t>
      </w:r>
      <w:proofErr w:type="spellEnd"/>
      <w:r>
        <w:t xml:space="preserve">, </w:t>
      </w:r>
      <w:r>
        <w:rPr>
          <w:i/>
          <w:iCs/>
        </w:rPr>
        <w:t>1348</w:t>
      </w:r>
      <w:r>
        <w:t>, 277–284. https://doi.org/10.17660/ActaHortic.2022.1348.38</w:t>
      </w:r>
    </w:p>
    <w:p w14:paraId="0C571A93" w14:textId="77777777" w:rsidR="007213F2" w:rsidRDefault="001E289B">
      <w:pPr>
        <w:spacing w:after="120" w:line="280" w:lineRule="auto"/>
        <w:ind w:left="720" w:hanging="720"/>
      </w:pPr>
      <w:proofErr w:type="spellStart"/>
      <w:r>
        <w:t>Akinyosoye</w:t>
      </w:r>
      <w:proofErr w:type="spellEnd"/>
      <w:r>
        <w:t xml:space="preserve">, S. T., </w:t>
      </w:r>
      <w:proofErr w:type="spellStart"/>
      <w:r>
        <w:t>Agbeleye</w:t>
      </w:r>
      <w:proofErr w:type="spellEnd"/>
      <w:r>
        <w:t xml:space="preserve">, O. A., </w:t>
      </w:r>
      <w:proofErr w:type="spellStart"/>
      <w:r>
        <w:t>Adetumbi</w:t>
      </w:r>
      <w:proofErr w:type="spellEnd"/>
      <w:r>
        <w:t xml:space="preserve">, J. A., &amp; Ukachukwu, P. C. (2021). Selection for earliness and seed yield in mung bean accessions using REML/BLUP. </w:t>
      </w:r>
      <w:r>
        <w:rPr>
          <w:i/>
          <w:iCs/>
        </w:rPr>
        <w:t xml:space="preserve">Pesquisa </w:t>
      </w:r>
      <w:proofErr w:type="spellStart"/>
      <w:r>
        <w:rPr>
          <w:i/>
          <w:iCs/>
        </w:rPr>
        <w:t>Agropecuária</w:t>
      </w:r>
      <w:proofErr w:type="spellEnd"/>
      <w:r>
        <w:rPr>
          <w:i/>
          <w:iCs/>
        </w:rPr>
        <w:t xml:space="preserve"> Brasileira</w:t>
      </w:r>
      <w:r>
        <w:t xml:space="preserve">, </w:t>
      </w:r>
      <w:r>
        <w:rPr>
          <w:i/>
          <w:iCs/>
        </w:rPr>
        <w:t>56</w:t>
      </w:r>
      <w:r>
        <w:t>, e02290. https://www.scielo.br/j/pab/a/Sq3ngP6djWG8qtsjJbGxWYB/</w:t>
      </w:r>
    </w:p>
    <w:p w14:paraId="04A3216B" w14:textId="77777777" w:rsidR="007213F2" w:rsidRDefault="001E289B">
      <w:pPr>
        <w:spacing w:after="120" w:line="280" w:lineRule="auto"/>
        <w:ind w:left="720" w:hanging="720"/>
      </w:pPr>
      <w:proofErr w:type="spellStart"/>
      <w:r>
        <w:lastRenderedPageBreak/>
        <w:t>Akpojotor</w:t>
      </w:r>
      <w:proofErr w:type="spellEnd"/>
      <w:r>
        <w:t xml:space="preserve">, U., Oluwole, O., </w:t>
      </w:r>
      <w:proofErr w:type="spellStart"/>
      <w:r>
        <w:t>Oyatomi</w:t>
      </w:r>
      <w:proofErr w:type="spellEnd"/>
      <w:r>
        <w:t xml:space="preserve">, O., Paliwal, R., &amp; Abberton, M. (2025). Research and developmental strategies to hasten the improvement of orphan crops. </w:t>
      </w:r>
      <w:r>
        <w:rPr>
          <w:i/>
          <w:iCs/>
        </w:rPr>
        <w:t>GM Crops &amp; Food</w:t>
      </w:r>
      <w:r>
        <w:t xml:space="preserve">, </w:t>
      </w:r>
      <w:r>
        <w:rPr>
          <w:i/>
          <w:iCs/>
        </w:rPr>
        <w:t>16</w:t>
      </w:r>
      <w:r>
        <w:t>(1), 46–71. https://doi.org/10.1080/21645698.2024.2423987</w:t>
      </w:r>
    </w:p>
    <w:p w14:paraId="0145C6DB" w14:textId="77777777" w:rsidR="007213F2" w:rsidRDefault="001E289B">
      <w:pPr>
        <w:spacing w:after="120" w:line="280" w:lineRule="auto"/>
        <w:ind w:left="720" w:hanging="720"/>
      </w:pPr>
      <w:proofErr w:type="spellStart"/>
      <w:r>
        <w:t>Asawalam</w:t>
      </w:r>
      <w:proofErr w:type="spellEnd"/>
      <w:r>
        <w:t xml:space="preserve">, E. F., &amp; </w:t>
      </w:r>
      <w:proofErr w:type="spellStart"/>
      <w:r>
        <w:t>Ekemezie</w:t>
      </w:r>
      <w:proofErr w:type="spellEnd"/>
      <w:r>
        <w:t>, C. (2018). Control of field insect pests of mung bean (</w:t>
      </w:r>
      <w:r>
        <w:rPr>
          <w:i/>
          <w:iCs/>
        </w:rPr>
        <w:t>Vigna radiata</w:t>
      </w:r>
      <w:r>
        <w:t xml:space="preserve"> L. Wilczek) using some plant extracts in </w:t>
      </w:r>
      <w:proofErr w:type="spellStart"/>
      <w:r>
        <w:t>Umudike</w:t>
      </w:r>
      <w:proofErr w:type="spellEnd"/>
      <w:r>
        <w:t xml:space="preserve">, Nigeria. </w:t>
      </w:r>
      <w:r>
        <w:rPr>
          <w:i/>
          <w:iCs/>
        </w:rPr>
        <w:t>Journal of Medicinal Plants for Economic Development</w:t>
      </w:r>
      <w:r>
        <w:t xml:space="preserve">, </w:t>
      </w:r>
      <w:r>
        <w:rPr>
          <w:i/>
          <w:iCs/>
        </w:rPr>
        <w:t>2</w:t>
      </w:r>
      <w:r>
        <w:t>(1), a27. https://doi.org/10.4102/jomped.v2i1.27</w:t>
      </w:r>
    </w:p>
    <w:p w14:paraId="6CEA7DB1" w14:textId="77777777" w:rsidR="007213F2" w:rsidRDefault="001E289B">
      <w:pPr>
        <w:spacing w:after="120" w:line="280" w:lineRule="auto"/>
        <w:ind w:left="720" w:hanging="720"/>
      </w:pPr>
      <w:proofErr w:type="spellStart"/>
      <w:r>
        <w:t>Avav</w:t>
      </w:r>
      <w:proofErr w:type="spellEnd"/>
      <w:r>
        <w:t xml:space="preserve">, T., &amp; </w:t>
      </w:r>
      <w:proofErr w:type="spellStart"/>
      <w:r>
        <w:t>Ugese</w:t>
      </w:r>
      <w:proofErr w:type="spellEnd"/>
      <w:r>
        <w:t xml:space="preserve">, F. D. (2009). Studies on reproductive abscission and seed yield of </w:t>
      </w:r>
      <w:proofErr w:type="spellStart"/>
      <w:r>
        <w:t>mungbean</w:t>
      </w:r>
      <w:proofErr w:type="spellEnd"/>
      <w:r>
        <w:t xml:space="preserve"> (</w:t>
      </w:r>
      <w:r>
        <w:rPr>
          <w:i/>
          <w:iCs/>
        </w:rPr>
        <w:t>Vigna radiata</w:t>
      </w:r>
      <w:r>
        <w:t xml:space="preserve">) in sub-humid savanna of Nigeria. </w:t>
      </w:r>
      <w:r>
        <w:rPr>
          <w:i/>
          <w:iCs/>
        </w:rPr>
        <w:t>African Journal of Food, Agriculture, Nutrition and Development</w:t>
      </w:r>
      <w:r>
        <w:t xml:space="preserve">, </w:t>
      </w:r>
      <w:r>
        <w:rPr>
          <w:i/>
          <w:iCs/>
        </w:rPr>
        <w:t>9</w:t>
      </w:r>
      <w:r>
        <w:t>(8). https://doi.org/10.4314/ajfand.v9i8.48412</w:t>
      </w:r>
    </w:p>
    <w:p w14:paraId="7AE4D78B" w14:textId="77777777" w:rsidR="007213F2" w:rsidRDefault="001E289B">
      <w:pPr>
        <w:spacing w:after="120" w:line="280" w:lineRule="auto"/>
        <w:ind w:left="720" w:hanging="720"/>
      </w:pPr>
      <w:r>
        <w:t xml:space="preserve">Baraki, F., </w:t>
      </w:r>
      <w:proofErr w:type="spellStart"/>
      <w:r>
        <w:t>Gebregergis</w:t>
      </w:r>
      <w:proofErr w:type="spellEnd"/>
      <w:r>
        <w:t xml:space="preserve">, Z., Belay, Y., Berhe, M., &amp; </w:t>
      </w:r>
      <w:proofErr w:type="spellStart"/>
      <w:r>
        <w:t>Zibelo</w:t>
      </w:r>
      <w:proofErr w:type="spellEnd"/>
      <w:r>
        <w:t>, H. (2020). Genotype x environment interaction and yield stability analysis of mung bean (</w:t>
      </w:r>
      <w:r>
        <w:rPr>
          <w:i/>
          <w:iCs/>
        </w:rPr>
        <w:t>Vigna radiata</w:t>
      </w:r>
      <w:r>
        <w:t xml:space="preserve"> (L.) Wilczek) genotypes in Northern Ethiopia. </w:t>
      </w:r>
      <w:r>
        <w:rPr>
          <w:i/>
          <w:iCs/>
        </w:rPr>
        <w:t>Cogent Food &amp; Agriculture</w:t>
      </w:r>
      <w:r>
        <w:t xml:space="preserve">, </w:t>
      </w:r>
      <w:r>
        <w:rPr>
          <w:i/>
          <w:iCs/>
        </w:rPr>
        <w:t>6</w:t>
      </w:r>
      <w:r>
        <w:t>(1), 1729581. https://doi.org/10.1080/23311932.2020.1729581</w:t>
      </w:r>
    </w:p>
    <w:p w14:paraId="382DE668" w14:textId="77777777" w:rsidR="007213F2" w:rsidRDefault="001E289B">
      <w:pPr>
        <w:spacing w:after="120" w:line="280" w:lineRule="auto"/>
        <w:ind w:left="720" w:hanging="720"/>
      </w:pPr>
      <w:r>
        <w:t xml:space="preserve">Basavaraj, P. S., Jangid, K. K., Babar, R., Rane, J., </w:t>
      </w:r>
      <w:proofErr w:type="spellStart"/>
      <w:r>
        <w:t>Boraiah</w:t>
      </w:r>
      <w:proofErr w:type="spellEnd"/>
      <w:r>
        <w:t xml:space="preserve">, K. M., Harisha, C. B., Halli, H., Pradhan, A., Tripathi, K., Sammi Reddy, K., &amp; Prabhakar, M. (2024). Non-invasive measurements to identify </w:t>
      </w:r>
      <w:proofErr w:type="spellStart"/>
      <w:r>
        <w:t>mungbean</w:t>
      </w:r>
      <w:proofErr w:type="spellEnd"/>
      <w:r>
        <w:t xml:space="preserve"> genotypes for waterlogging tolerance. </w:t>
      </w:r>
      <w:proofErr w:type="spellStart"/>
      <w:r>
        <w:rPr>
          <w:i/>
          <w:iCs/>
        </w:rPr>
        <w:t>PeerJ</w:t>
      </w:r>
      <w:proofErr w:type="spellEnd"/>
      <w:r>
        <w:t xml:space="preserve">, </w:t>
      </w:r>
      <w:r>
        <w:rPr>
          <w:i/>
          <w:iCs/>
        </w:rPr>
        <w:t>12</w:t>
      </w:r>
      <w:r>
        <w:t>, e16872. https://doi.org/10.7717/peerj.16872</w:t>
      </w:r>
    </w:p>
    <w:p w14:paraId="53ED07CF" w14:textId="77777777" w:rsidR="007213F2" w:rsidRDefault="001E289B">
      <w:pPr>
        <w:spacing w:after="120" w:line="280" w:lineRule="auto"/>
        <w:ind w:left="720" w:hanging="720"/>
      </w:pPr>
      <w:proofErr w:type="spellStart"/>
      <w:r>
        <w:t>Bebeley</w:t>
      </w:r>
      <w:proofErr w:type="spellEnd"/>
      <w:r>
        <w:t xml:space="preserve">, J. F., Tofa, A. I., Kamara, A. Y., Jibrin, J. M., Solomon, R., Adeleke, M. A., </w:t>
      </w:r>
      <w:proofErr w:type="spellStart"/>
      <w:r>
        <w:t>Omoigui</w:t>
      </w:r>
      <w:proofErr w:type="spellEnd"/>
      <w:r>
        <w:t xml:space="preserve">, L. O., </w:t>
      </w:r>
      <w:proofErr w:type="spellStart"/>
      <w:r>
        <w:t>Eseigbe</w:t>
      </w:r>
      <w:proofErr w:type="spellEnd"/>
      <w:r>
        <w:t xml:space="preserve">, O. B., Peter-Jerome, H., &amp; </w:t>
      </w:r>
      <w:proofErr w:type="spellStart"/>
      <w:r>
        <w:t>Ademulegun</w:t>
      </w:r>
      <w:proofErr w:type="spellEnd"/>
      <w:r>
        <w:t xml:space="preserve">, T. D. (2025). Modelling the potential impact of climate change on the productivity of soybean in the Nigeria Savannas. </w:t>
      </w:r>
      <w:r>
        <w:rPr>
          <w:i/>
          <w:iCs/>
        </w:rPr>
        <w:t>PLOS ONE</w:t>
      </w:r>
      <w:r>
        <w:t xml:space="preserve">, </w:t>
      </w:r>
      <w:r>
        <w:rPr>
          <w:i/>
          <w:iCs/>
        </w:rPr>
        <w:t>20</w:t>
      </w:r>
      <w:r>
        <w:t>(3), e0313786. https://doi.org/10.1371/journal.pone.0313786</w:t>
      </w:r>
    </w:p>
    <w:p w14:paraId="47517CD8" w14:textId="77777777" w:rsidR="007213F2" w:rsidRDefault="001E289B">
      <w:pPr>
        <w:spacing w:after="120" w:line="280" w:lineRule="auto"/>
        <w:ind w:left="720" w:hanging="720"/>
      </w:pPr>
      <w:proofErr w:type="spellStart"/>
      <w:r>
        <w:t>Chukwura</w:t>
      </w:r>
      <w:proofErr w:type="spellEnd"/>
      <w:r>
        <w:t xml:space="preserve">, N. F., Ezidi, C. O., Abdullahi, M., </w:t>
      </w:r>
      <w:proofErr w:type="spellStart"/>
      <w:r>
        <w:t>Mmuta</w:t>
      </w:r>
      <w:proofErr w:type="spellEnd"/>
      <w:r>
        <w:t xml:space="preserve">, E. C., </w:t>
      </w:r>
      <w:proofErr w:type="spellStart"/>
      <w:r>
        <w:t>Umeocho</w:t>
      </w:r>
      <w:proofErr w:type="spellEnd"/>
      <w:r>
        <w:t xml:space="preserve">, C. E., &amp; </w:t>
      </w:r>
      <w:proofErr w:type="spellStart"/>
      <w:r>
        <w:t>Ohakwe</w:t>
      </w:r>
      <w:proofErr w:type="spellEnd"/>
      <w:r>
        <w:t>, R. O. (2024). Assessment of growth and adaptation rate of mung beans (</w:t>
      </w:r>
      <w:r>
        <w:rPr>
          <w:i/>
          <w:iCs/>
        </w:rPr>
        <w:t>Vigna radiata</w:t>
      </w:r>
      <w:r>
        <w:t xml:space="preserve">) planted in different planting periods in </w:t>
      </w:r>
      <w:proofErr w:type="spellStart"/>
      <w:r>
        <w:t>Abagana</w:t>
      </w:r>
      <w:proofErr w:type="spellEnd"/>
      <w:r>
        <w:t xml:space="preserve">, South Eastern Nigeria. </w:t>
      </w:r>
      <w:r>
        <w:rPr>
          <w:i/>
          <w:iCs/>
        </w:rPr>
        <w:t>Communication in Physical Sciences</w:t>
      </w:r>
      <w:r>
        <w:t xml:space="preserve">, </w:t>
      </w:r>
      <w:r>
        <w:rPr>
          <w:i/>
          <w:iCs/>
        </w:rPr>
        <w:t>11</w:t>
      </w:r>
      <w:r>
        <w:t>(4), 757–766. https://www.ajol.info/index.php/cps/article/view/280926</w:t>
      </w:r>
    </w:p>
    <w:p w14:paraId="1C2F52D9" w14:textId="77777777" w:rsidR="007213F2" w:rsidRDefault="001E289B">
      <w:pPr>
        <w:spacing w:after="120" w:line="280" w:lineRule="auto"/>
        <w:ind w:left="720" w:hanging="720"/>
      </w:pPr>
      <w:r>
        <w:t xml:space="preserve">Dahiya, P. K., Linnemann, A. R., Van Boekel, M. A. J. S., </w:t>
      </w:r>
      <w:proofErr w:type="spellStart"/>
      <w:r>
        <w:t>Khetarpaul</w:t>
      </w:r>
      <w:proofErr w:type="spellEnd"/>
      <w:r>
        <w:t xml:space="preserve">, N., Grewal, R. B., &amp; Nout, M. J. R. (2015). Mung bean: Technological and nutritional potential. </w:t>
      </w:r>
      <w:r>
        <w:rPr>
          <w:i/>
          <w:iCs/>
        </w:rPr>
        <w:t>Critical Reviews in Food Science and Nutrition</w:t>
      </w:r>
      <w:r>
        <w:t xml:space="preserve">, </w:t>
      </w:r>
      <w:r>
        <w:rPr>
          <w:i/>
          <w:iCs/>
        </w:rPr>
        <w:t>55</w:t>
      </w:r>
      <w:r>
        <w:t>(5), 670–688. https://doi.org/10.1080/10408398.2012.671202</w:t>
      </w:r>
    </w:p>
    <w:p w14:paraId="5E8A0348" w14:textId="77777777" w:rsidR="007213F2" w:rsidRDefault="001E289B">
      <w:pPr>
        <w:spacing w:after="120" w:line="280" w:lineRule="auto"/>
        <w:ind w:left="720" w:hanging="720"/>
      </w:pPr>
      <w:r>
        <w:t xml:space="preserve">Dudley, C., Van Haeften, S., Alahmad, S., Dinglasan, E., Hickey, L. T., Robinson, H., Beveridge, C. A., Udvardi, M., Noble, T., Massel, K., Dun, E. A., &amp; Smith, M. R. (2025). Time to flowering and flowering duration in </w:t>
      </w:r>
      <w:proofErr w:type="spellStart"/>
      <w:r>
        <w:t>mungbean</w:t>
      </w:r>
      <w:proofErr w:type="spellEnd"/>
      <w:r>
        <w:t xml:space="preserve"> are unrelated physiological traits with independent genetic controls. </w:t>
      </w:r>
      <w:r>
        <w:rPr>
          <w:i/>
          <w:iCs/>
        </w:rPr>
        <w:t>Journal of Experimental Botany</w:t>
      </w:r>
      <w:r>
        <w:t xml:space="preserve">, </w:t>
      </w:r>
      <w:r>
        <w:rPr>
          <w:i/>
          <w:iCs/>
        </w:rPr>
        <w:t>76</w:t>
      </w:r>
      <w:r>
        <w:t>(18), 5528–5541. https://doi.org/10.1093/jxb/eraf222</w:t>
      </w:r>
    </w:p>
    <w:p w14:paraId="6FACC0B0" w14:textId="77777777" w:rsidR="007213F2" w:rsidRDefault="001E289B">
      <w:pPr>
        <w:spacing w:after="120" w:line="280" w:lineRule="auto"/>
        <w:ind w:left="720" w:hanging="720"/>
      </w:pPr>
      <w:proofErr w:type="spellStart"/>
      <w:r>
        <w:t>Enyiukwu</w:t>
      </w:r>
      <w:proofErr w:type="spellEnd"/>
      <w:r>
        <w:t>, D. N., Chukwu, L. A., &amp; Bassey, I. N. (2020). Nutrient and anti-nutrient compositions of cowpea (</w:t>
      </w:r>
      <w:r>
        <w:rPr>
          <w:i/>
          <w:iCs/>
        </w:rPr>
        <w:t>Vigna unguiculata</w:t>
      </w:r>
      <w:r>
        <w:t>) and mung bean (</w:t>
      </w:r>
      <w:r>
        <w:rPr>
          <w:i/>
          <w:iCs/>
        </w:rPr>
        <w:t>Vigna radiata</w:t>
      </w:r>
      <w:r>
        <w:t xml:space="preserve">) seeds grown in humid Southeast Nigeria: A comparison. </w:t>
      </w:r>
      <w:r>
        <w:rPr>
          <w:i/>
          <w:iCs/>
        </w:rPr>
        <w:t>International Journal of Tropical Drylands</w:t>
      </w:r>
      <w:r>
        <w:t xml:space="preserve">, </w:t>
      </w:r>
      <w:r>
        <w:rPr>
          <w:i/>
          <w:iCs/>
        </w:rPr>
        <w:t>4</w:t>
      </w:r>
      <w:r>
        <w:t>(2), 41–45. https://doi.org/10.13057/tropdrylands/t040202</w:t>
      </w:r>
    </w:p>
    <w:p w14:paraId="5169107B" w14:textId="77777777" w:rsidR="007213F2" w:rsidRDefault="001E289B">
      <w:pPr>
        <w:spacing w:after="120" w:line="280" w:lineRule="auto"/>
        <w:ind w:left="720" w:hanging="720"/>
      </w:pPr>
      <w:proofErr w:type="spellStart"/>
      <w:r>
        <w:t>Eteng</w:t>
      </w:r>
      <w:proofErr w:type="spellEnd"/>
      <w:r>
        <w:t xml:space="preserve">, E. U., </w:t>
      </w:r>
      <w:proofErr w:type="spellStart"/>
      <w:r>
        <w:t>Akinmitimu</w:t>
      </w:r>
      <w:proofErr w:type="spellEnd"/>
      <w:r>
        <w:t xml:space="preserve">, A., Mbah, E. U., </w:t>
      </w:r>
      <w:proofErr w:type="spellStart"/>
      <w:r>
        <w:t>Kekong</w:t>
      </w:r>
      <w:proofErr w:type="spellEnd"/>
      <w:r>
        <w:t xml:space="preserve">, M. A., &amp; Okoro, I. G. (2024). Determination of zinc requirements for optimum yield performance of </w:t>
      </w:r>
      <w:proofErr w:type="spellStart"/>
      <w:r>
        <w:t>mungbean</w:t>
      </w:r>
      <w:proofErr w:type="spellEnd"/>
      <w:r>
        <w:t xml:space="preserve"> (</w:t>
      </w:r>
      <w:r>
        <w:rPr>
          <w:i/>
          <w:iCs/>
        </w:rPr>
        <w:t>Vigna radiata</w:t>
      </w:r>
      <w:r>
        <w:t xml:space="preserve"> L.) in shale derived soils of humid tropical rainforest, Nigeria. </w:t>
      </w:r>
      <w:r>
        <w:rPr>
          <w:i/>
          <w:iCs/>
        </w:rPr>
        <w:t>International Journal of Agriculture and Nutrition</w:t>
      </w:r>
      <w:r>
        <w:t xml:space="preserve">, </w:t>
      </w:r>
      <w:r>
        <w:rPr>
          <w:i/>
          <w:iCs/>
        </w:rPr>
        <w:t>6</w:t>
      </w:r>
      <w:r>
        <w:t>(1), 34–42. https://doi.org/10.33545/26646064.2024.v6.i1a.137</w:t>
      </w:r>
    </w:p>
    <w:p w14:paraId="46AA11EE" w14:textId="77777777" w:rsidR="007213F2" w:rsidRDefault="001E289B">
      <w:pPr>
        <w:spacing w:after="120" w:line="280" w:lineRule="auto"/>
        <w:ind w:left="720" w:hanging="720"/>
      </w:pPr>
      <w:proofErr w:type="spellStart"/>
      <w:r>
        <w:t>HanumanthaRao</w:t>
      </w:r>
      <w:proofErr w:type="spellEnd"/>
      <w:r>
        <w:t xml:space="preserve">, B., Nair, R. M., &amp; Nayyar, H. (2016). Salinity and high temperature tolerance in </w:t>
      </w:r>
      <w:proofErr w:type="spellStart"/>
      <w:r>
        <w:t>mungbean</w:t>
      </w:r>
      <w:proofErr w:type="spellEnd"/>
      <w:r>
        <w:t xml:space="preserve"> [</w:t>
      </w:r>
      <w:r>
        <w:rPr>
          <w:i/>
          <w:iCs/>
        </w:rPr>
        <w:t>Vigna radiata</w:t>
      </w:r>
      <w:r>
        <w:t xml:space="preserve"> (L.) Wilczek] from a physiological perspective. </w:t>
      </w:r>
      <w:r>
        <w:rPr>
          <w:i/>
          <w:iCs/>
        </w:rPr>
        <w:t>Frontiers in Plant Science</w:t>
      </w:r>
      <w:r>
        <w:t xml:space="preserve">, </w:t>
      </w:r>
      <w:r>
        <w:rPr>
          <w:i/>
          <w:iCs/>
        </w:rPr>
        <w:t>7</w:t>
      </w:r>
      <w:r>
        <w:t>, 957. https://doi.org/10.3389/fpls.2016.00957</w:t>
      </w:r>
    </w:p>
    <w:p w14:paraId="057EA9BC" w14:textId="77777777" w:rsidR="007213F2" w:rsidRDefault="001E289B">
      <w:pPr>
        <w:spacing w:after="120" w:line="280" w:lineRule="auto"/>
        <w:ind w:left="720" w:hanging="720"/>
      </w:pPr>
      <w:proofErr w:type="spellStart"/>
      <w:r>
        <w:lastRenderedPageBreak/>
        <w:t>Ibellow</w:t>
      </w:r>
      <w:proofErr w:type="spellEnd"/>
      <w:r>
        <w:t>, S. C., &amp; Agbim, J. U. (2025). Characterization of 20 mung bean (</w:t>
      </w:r>
      <w:r>
        <w:rPr>
          <w:i/>
          <w:iCs/>
        </w:rPr>
        <w:t>Vigna radiata</w:t>
      </w:r>
      <w:r>
        <w:t xml:space="preserve"> L.) genotypes in Owerri, South Eastern Nigeria. </w:t>
      </w:r>
      <w:r>
        <w:rPr>
          <w:i/>
          <w:iCs/>
        </w:rPr>
        <w:t>Journal of Agriculture and Food Sciences</w:t>
      </w:r>
      <w:r>
        <w:t xml:space="preserve">, </w:t>
      </w:r>
      <w:r>
        <w:rPr>
          <w:i/>
          <w:iCs/>
        </w:rPr>
        <w:t>22</w:t>
      </w:r>
      <w:r>
        <w:t>(2), 51–71. https://doi.org/10.4314/jafs.v22i2.5</w:t>
      </w:r>
    </w:p>
    <w:p w14:paraId="674255B4" w14:textId="77777777" w:rsidR="007213F2" w:rsidRDefault="001E289B">
      <w:pPr>
        <w:spacing w:after="120" w:line="280" w:lineRule="auto"/>
        <w:ind w:left="720" w:hanging="720"/>
      </w:pPr>
      <w:r>
        <w:t xml:space="preserve">Jalloh, A. A., </w:t>
      </w:r>
      <w:proofErr w:type="spellStart"/>
      <w:r>
        <w:t>Mutyambai</w:t>
      </w:r>
      <w:proofErr w:type="spellEnd"/>
      <w:r>
        <w:t xml:space="preserve">, D. M., Yusuf, A. A., Subramanian, S., &amp; Khamis, F. (2024). Maize edible-legumes intercropping systems for enhancing agrobiodiversity and belowground ecosystem services. </w:t>
      </w:r>
      <w:r>
        <w:rPr>
          <w:i/>
          <w:iCs/>
        </w:rPr>
        <w:t>Scientific Reports</w:t>
      </w:r>
      <w:r>
        <w:t xml:space="preserve">, </w:t>
      </w:r>
      <w:r>
        <w:rPr>
          <w:i/>
          <w:iCs/>
        </w:rPr>
        <w:t>14</w:t>
      </w:r>
      <w:r>
        <w:t>, 14355. https://doi.org/10.1038/s41598-024-64138-w</w:t>
      </w:r>
    </w:p>
    <w:p w14:paraId="76DED45F" w14:textId="77777777" w:rsidR="007213F2" w:rsidRDefault="001E289B">
      <w:pPr>
        <w:spacing w:after="120" w:line="280" w:lineRule="auto"/>
        <w:ind w:left="720" w:hanging="720"/>
      </w:pPr>
      <w:r>
        <w:t xml:space="preserve">Kamara, A. Y., Solomon, R., Tofa, A. I., Garba, I. I., </w:t>
      </w:r>
      <w:proofErr w:type="spellStart"/>
      <w:r>
        <w:t>Eseigbe</w:t>
      </w:r>
      <w:proofErr w:type="spellEnd"/>
      <w:r>
        <w:t xml:space="preserve">, O. B., Jibrin, J. M., </w:t>
      </w:r>
      <w:proofErr w:type="spellStart"/>
      <w:r>
        <w:t>Omoigui</w:t>
      </w:r>
      <w:proofErr w:type="spellEnd"/>
      <w:r>
        <w:t xml:space="preserve">, L. O., Aliyu, K. T., Adeleke, M. A., </w:t>
      </w:r>
      <w:proofErr w:type="spellStart"/>
      <w:r>
        <w:t>Bebeley</w:t>
      </w:r>
      <w:proofErr w:type="spellEnd"/>
      <w:r>
        <w:t xml:space="preserve">, J. F., &amp; Jerome, H. P. (2025). Evaluation and application of the CROPGRO–Cowpea model for simulating appropriate sowing window and planting density of cowpea varieties across contrasting environments. </w:t>
      </w:r>
      <w:r>
        <w:rPr>
          <w:i/>
          <w:iCs/>
        </w:rPr>
        <w:t>Field Crops Research</w:t>
      </w:r>
      <w:r>
        <w:t xml:space="preserve">, </w:t>
      </w:r>
      <w:r>
        <w:rPr>
          <w:i/>
          <w:iCs/>
        </w:rPr>
        <w:t>331</w:t>
      </w:r>
      <w:r>
        <w:t>, 109988. https://doi.org/10.1016/j.fcr.2025.109988</w:t>
      </w:r>
    </w:p>
    <w:p w14:paraId="5D8635A0" w14:textId="77777777" w:rsidR="007213F2" w:rsidRDefault="001E289B">
      <w:pPr>
        <w:spacing w:after="120" w:line="280" w:lineRule="auto"/>
        <w:ind w:left="720" w:hanging="720"/>
      </w:pPr>
      <w:r>
        <w:t xml:space="preserve">Kessy, G. A., </w:t>
      </w:r>
      <w:proofErr w:type="spellStart"/>
      <w:r>
        <w:t>Mkindi</w:t>
      </w:r>
      <w:proofErr w:type="spellEnd"/>
      <w:r>
        <w:t xml:space="preserve">, A. G., Binagwa, P. H., &amp; </w:t>
      </w:r>
      <w:proofErr w:type="spellStart"/>
      <w:r>
        <w:t>Ndakidemi</w:t>
      </w:r>
      <w:proofErr w:type="spellEnd"/>
      <w:r>
        <w:t>, P. A. (2024). Agronomic performance of mung bean (</w:t>
      </w:r>
      <w:r>
        <w:rPr>
          <w:i/>
          <w:iCs/>
        </w:rPr>
        <w:t>Vigna radiata</w:t>
      </w:r>
      <w:r>
        <w:t xml:space="preserve">) with the application of extracts from </w:t>
      </w:r>
      <w:proofErr w:type="spellStart"/>
      <w:r>
        <w:rPr>
          <w:i/>
          <w:iCs/>
        </w:rPr>
        <w:t>Clausena</w:t>
      </w:r>
      <w:proofErr w:type="spellEnd"/>
      <w:r>
        <w:rPr>
          <w:i/>
          <w:iCs/>
        </w:rPr>
        <w:t xml:space="preserve"> </w:t>
      </w:r>
      <w:proofErr w:type="spellStart"/>
      <w:r>
        <w:rPr>
          <w:i/>
          <w:iCs/>
        </w:rPr>
        <w:t>anisata</w:t>
      </w:r>
      <w:proofErr w:type="spellEnd"/>
      <w:r>
        <w:t xml:space="preserve">, </w:t>
      </w:r>
      <w:proofErr w:type="spellStart"/>
      <w:r>
        <w:rPr>
          <w:i/>
          <w:iCs/>
        </w:rPr>
        <w:t>Clutia</w:t>
      </w:r>
      <w:proofErr w:type="spellEnd"/>
      <w:r>
        <w:rPr>
          <w:i/>
          <w:iCs/>
        </w:rPr>
        <w:t xml:space="preserve"> </w:t>
      </w:r>
      <w:proofErr w:type="spellStart"/>
      <w:r>
        <w:rPr>
          <w:i/>
          <w:iCs/>
        </w:rPr>
        <w:t>abyssinica</w:t>
      </w:r>
      <w:proofErr w:type="spellEnd"/>
      <w:r>
        <w:t xml:space="preserve">, and </w:t>
      </w:r>
      <w:r>
        <w:rPr>
          <w:i/>
          <w:iCs/>
        </w:rPr>
        <w:t xml:space="preserve">Lobelia </w:t>
      </w:r>
      <w:proofErr w:type="spellStart"/>
      <w:r>
        <w:rPr>
          <w:i/>
          <w:iCs/>
        </w:rPr>
        <w:t>giberroa</w:t>
      </w:r>
      <w:proofErr w:type="spellEnd"/>
      <w:r>
        <w:t xml:space="preserve"> under field conditions. </w:t>
      </w:r>
      <w:r>
        <w:rPr>
          <w:i/>
          <w:iCs/>
        </w:rPr>
        <w:t>Frontiers in Sustainable Food Systems</w:t>
      </w:r>
      <w:r>
        <w:t xml:space="preserve">, </w:t>
      </w:r>
      <w:r>
        <w:rPr>
          <w:i/>
          <w:iCs/>
        </w:rPr>
        <w:t>8</w:t>
      </w:r>
      <w:r>
        <w:t>, 1448056. https://doi.org/10.3389/fsufs.2024.1448056</w:t>
      </w:r>
    </w:p>
    <w:p w14:paraId="00C4115F" w14:textId="77777777" w:rsidR="007213F2" w:rsidRDefault="001E289B">
      <w:pPr>
        <w:spacing w:after="120" w:line="280" w:lineRule="auto"/>
        <w:ind w:left="720" w:hanging="720"/>
      </w:pPr>
      <w:r>
        <w:t xml:space="preserve">Koyejo, A. O., Okpara, D. A., &amp; </w:t>
      </w:r>
      <w:proofErr w:type="spellStart"/>
      <w:r>
        <w:t>Agugo</w:t>
      </w:r>
      <w:proofErr w:type="spellEnd"/>
      <w:r>
        <w:t xml:space="preserve">, B. A. C. (2023). Effect of alley cropping on soil, maize and </w:t>
      </w:r>
      <w:proofErr w:type="spellStart"/>
      <w:r>
        <w:t>mungbean</w:t>
      </w:r>
      <w:proofErr w:type="spellEnd"/>
      <w:r>
        <w:t xml:space="preserve"> grown under different maize spatial arrangements and </w:t>
      </w:r>
      <w:proofErr w:type="spellStart"/>
      <w:r>
        <w:t>mungbean</w:t>
      </w:r>
      <w:proofErr w:type="spellEnd"/>
      <w:r>
        <w:t xml:space="preserve"> spacings in south east Nigeria. </w:t>
      </w:r>
      <w:r>
        <w:rPr>
          <w:i/>
          <w:iCs/>
        </w:rPr>
        <w:t>Agroforestry Systems</w:t>
      </w:r>
      <w:r>
        <w:t xml:space="preserve">, </w:t>
      </w:r>
      <w:r>
        <w:rPr>
          <w:i/>
          <w:iCs/>
        </w:rPr>
        <w:t>97</w:t>
      </w:r>
      <w:r>
        <w:t>(7), 1337–1346. https://doi.org/10.1007/s10457-021-00635-5</w:t>
      </w:r>
    </w:p>
    <w:p w14:paraId="7CDB1F9B" w14:textId="77777777" w:rsidR="007213F2" w:rsidRDefault="001E289B">
      <w:pPr>
        <w:spacing w:after="120" w:line="280" w:lineRule="auto"/>
        <w:ind w:left="720" w:hanging="720"/>
      </w:pPr>
      <w:r>
        <w:t xml:space="preserve">Ladha, J. K., Peoples, M. B., Reddy, P. M., Biswas, J. C., Bennett, A., Jat, M. L., &amp; Krupnik, T. J. (2022). Biological nitrogen fixation and prospects for ecological intensification in cereal-based cropping systems. </w:t>
      </w:r>
      <w:r>
        <w:rPr>
          <w:i/>
          <w:iCs/>
        </w:rPr>
        <w:t>Field Crops Research</w:t>
      </w:r>
      <w:r>
        <w:t xml:space="preserve">, </w:t>
      </w:r>
      <w:r>
        <w:rPr>
          <w:i/>
          <w:iCs/>
        </w:rPr>
        <w:t>283</w:t>
      </w:r>
      <w:r>
        <w:t>, 108541. https://doi.org/10.1016/j.fcr.2022.108541</w:t>
      </w:r>
    </w:p>
    <w:p w14:paraId="7D58830E" w14:textId="77777777" w:rsidR="007213F2" w:rsidRDefault="001E289B">
      <w:pPr>
        <w:spacing w:after="120" w:line="280" w:lineRule="auto"/>
        <w:ind w:left="720" w:hanging="720"/>
      </w:pPr>
      <w:r>
        <w:t xml:space="preserve">Mahajan, G., Wenham, K., &amp; Chauhan, B. S. (2023). </w:t>
      </w:r>
      <w:proofErr w:type="spellStart"/>
      <w:r>
        <w:t>Mungbean</w:t>
      </w:r>
      <w:proofErr w:type="spellEnd"/>
      <w:r>
        <w:t xml:space="preserve"> (</w:t>
      </w:r>
      <w:r>
        <w:rPr>
          <w:i/>
          <w:iCs/>
        </w:rPr>
        <w:t>Vigna radiata</w:t>
      </w:r>
      <w:r>
        <w:t xml:space="preserve">) growth and yield response in relation to water stress and elevated day/night temperature conditions. </w:t>
      </w:r>
      <w:r>
        <w:rPr>
          <w:i/>
          <w:iCs/>
        </w:rPr>
        <w:t>Agronomy</w:t>
      </w:r>
      <w:r>
        <w:t xml:space="preserve">, </w:t>
      </w:r>
      <w:r>
        <w:rPr>
          <w:i/>
          <w:iCs/>
        </w:rPr>
        <w:t>13</w:t>
      </w:r>
      <w:r>
        <w:t>(10), 2546. https://doi.org/10.3390/agronomy13102546</w:t>
      </w:r>
    </w:p>
    <w:p w14:paraId="47A89E4E" w14:textId="77777777" w:rsidR="007213F2" w:rsidRDefault="001E289B">
      <w:pPr>
        <w:spacing w:after="120" w:line="280" w:lineRule="auto"/>
        <w:ind w:left="720" w:hanging="720"/>
      </w:pPr>
      <w:r>
        <w:t xml:space="preserve">Melese, M., Getachew, B., </w:t>
      </w:r>
      <w:proofErr w:type="spellStart"/>
      <w:r>
        <w:t>Woldemeskel</w:t>
      </w:r>
      <w:proofErr w:type="spellEnd"/>
      <w:r>
        <w:t xml:space="preserve">, E., &amp; </w:t>
      </w:r>
      <w:proofErr w:type="spellStart"/>
      <w:r>
        <w:t>Gunnabo</w:t>
      </w:r>
      <w:proofErr w:type="spellEnd"/>
      <w:r>
        <w:t xml:space="preserve">, A. H. (2025). Legume integration in smallholder farming systems for food security and resilience to climate change. </w:t>
      </w:r>
      <w:r>
        <w:rPr>
          <w:i/>
          <w:iCs/>
        </w:rPr>
        <w:t>PLOS ONE</w:t>
      </w:r>
      <w:r>
        <w:t xml:space="preserve">, </w:t>
      </w:r>
      <w:r>
        <w:rPr>
          <w:i/>
          <w:iCs/>
        </w:rPr>
        <w:t>20</w:t>
      </w:r>
      <w:r>
        <w:t>(8), e0327727. https://doi.org/10.1371/journal.pone.0327727</w:t>
      </w:r>
    </w:p>
    <w:p w14:paraId="2ACDF7AB" w14:textId="77777777" w:rsidR="007213F2" w:rsidRDefault="001E289B">
      <w:pPr>
        <w:spacing w:after="120" w:line="280" w:lineRule="auto"/>
        <w:ind w:left="720" w:hanging="720"/>
      </w:pPr>
      <w:proofErr w:type="spellStart"/>
      <w:r>
        <w:t>Mmbando</w:t>
      </w:r>
      <w:proofErr w:type="spellEnd"/>
      <w:r>
        <w:t xml:space="preserve">, F., Mbeyagala, E., </w:t>
      </w:r>
      <w:proofErr w:type="spellStart"/>
      <w:r>
        <w:t>Binagwa</w:t>
      </w:r>
      <w:proofErr w:type="spellEnd"/>
      <w:r>
        <w:t xml:space="preserve">, P., Karimi, R., Opie, H., Ochieng, J., </w:t>
      </w:r>
      <w:proofErr w:type="spellStart"/>
      <w:r>
        <w:t>Mutuoki</w:t>
      </w:r>
      <w:proofErr w:type="spellEnd"/>
      <w:r>
        <w:t xml:space="preserve">, T., &amp; Nair, R. M. (2021). Adoption of improved </w:t>
      </w:r>
      <w:proofErr w:type="spellStart"/>
      <w:r>
        <w:t>mungbean</w:t>
      </w:r>
      <w:proofErr w:type="spellEnd"/>
      <w:r>
        <w:t xml:space="preserve"> production technologies in selected East African countries. </w:t>
      </w:r>
      <w:r>
        <w:rPr>
          <w:i/>
          <w:iCs/>
        </w:rPr>
        <w:t>Agriculture</w:t>
      </w:r>
      <w:r>
        <w:t xml:space="preserve">, </w:t>
      </w:r>
      <w:r>
        <w:rPr>
          <w:i/>
          <w:iCs/>
        </w:rPr>
        <w:t>11</w:t>
      </w:r>
      <w:r>
        <w:t>(6), 528. https://doi.org/10.3390/agriculture11060528</w:t>
      </w:r>
    </w:p>
    <w:p w14:paraId="3AA33316" w14:textId="77777777" w:rsidR="007213F2" w:rsidRDefault="001E289B">
      <w:pPr>
        <w:spacing w:after="120" w:line="280" w:lineRule="auto"/>
        <w:ind w:left="720" w:hanging="720"/>
      </w:pPr>
      <w:r>
        <w:t xml:space="preserve">Mustapha, A., </w:t>
      </w:r>
      <w:proofErr w:type="spellStart"/>
      <w:r>
        <w:t>Auyo</w:t>
      </w:r>
      <w:proofErr w:type="spellEnd"/>
      <w:r>
        <w:t xml:space="preserve">, M. I., &amp; Mohammad, M. (2025). Effects of different watering regimes on growth, yield and photosynthetic ability of some </w:t>
      </w:r>
      <w:proofErr w:type="spellStart"/>
      <w:r>
        <w:t>mungbean</w:t>
      </w:r>
      <w:proofErr w:type="spellEnd"/>
      <w:r>
        <w:t xml:space="preserve"> [</w:t>
      </w:r>
      <w:r>
        <w:rPr>
          <w:i/>
          <w:iCs/>
        </w:rPr>
        <w:t>Vigna radiata</w:t>
      </w:r>
      <w:r>
        <w:t xml:space="preserve"> (L.)] cultivars. </w:t>
      </w:r>
      <w:proofErr w:type="spellStart"/>
      <w:r>
        <w:rPr>
          <w:i/>
          <w:iCs/>
        </w:rPr>
        <w:t>Dutse</w:t>
      </w:r>
      <w:proofErr w:type="spellEnd"/>
      <w:r>
        <w:rPr>
          <w:i/>
          <w:iCs/>
        </w:rPr>
        <w:t xml:space="preserve"> Journal of Pure and Applied Sciences</w:t>
      </w:r>
      <w:r>
        <w:t xml:space="preserve">, </w:t>
      </w:r>
      <w:r>
        <w:rPr>
          <w:i/>
          <w:iCs/>
        </w:rPr>
        <w:t>11</w:t>
      </w:r>
      <w:r>
        <w:t>(1b), 201–214. https://doi.org/10.4314/dujopas.v11i1b.22</w:t>
      </w:r>
    </w:p>
    <w:p w14:paraId="21EBB646" w14:textId="77777777" w:rsidR="007213F2" w:rsidRDefault="001E289B">
      <w:pPr>
        <w:spacing w:after="120" w:line="280" w:lineRule="auto"/>
        <w:ind w:left="720" w:hanging="720"/>
      </w:pPr>
      <w:r>
        <w:t xml:space="preserve">Nair, R. M., Pandey, A. K., War, A. R., </w:t>
      </w:r>
      <w:proofErr w:type="spellStart"/>
      <w:r>
        <w:t>Hanumantharao</w:t>
      </w:r>
      <w:proofErr w:type="spellEnd"/>
      <w:r>
        <w:t xml:space="preserve">, B., Shwe, T., Alam, A. K. M. M., Pratap, A., Malik, S. R., Karimi, R., </w:t>
      </w:r>
      <w:proofErr w:type="spellStart"/>
      <w:r>
        <w:t>Mbeyagala</w:t>
      </w:r>
      <w:proofErr w:type="spellEnd"/>
      <w:r>
        <w:t xml:space="preserve">, E. K., Douglas, C. A., Rane, J., &amp; </w:t>
      </w:r>
      <w:proofErr w:type="spellStart"/>
      <w:r>
        <w:t>Schafleitner</w:t>
      </w:r>
      <w:proofErr w:type="spellEnd"/>
      <w:r>
        <w:t xml:space="preserve">, R. (2019). Biotic and abiotic constraints in </w:t>
      </w:r>
      <w:proofErr w:type="spellStart"/>
      <w:r>
        <w:t>mungbean</w:t>
      </w:r>
      <w:proofErr w:type="spellEnd"/>
      <w:r>
        <w:t xml:space="preserve"> production—Progress in genetic improvement. </w:t>
      </w:r>
      <w:r>
        <w:rPr>
          <w:i/>
          <w:iCs/>
        </w:rPr>
        <w:t>Frontiers in Plant Science</w:t>
      </w:r>
      <w:r>
        <w:t xml:space="preserve">, </w:t>
      </w:r>
      <w:r>
        <w:rPr>
          <w:i/>
          <w:iCs/>
        </w:rPr>
        <w:t>10</w:t>
      </w:r>
      <w:r>
        <w:t>, 1340. https://doi.org/10.3389/fpls.2019.01340</w:t>
      </w:r>
    </w:p>
    <w:p w14:paraId="6ABC68C1" w14:textId="77777777" w:rsidR="007213F2" w:rsidRDefault="001E289B">
      <w:pPr>
        <w:spacing w:after="120" w:line="280" w:lineRule="auto"/>
        <w:ind w:left="720" w:hanging="720"/>
      </w:pPr>
      <w:r>
        <w:t xml:space="preserve">Ndam, O. N., </w:t>
      </w:r>
      <w:proofErr w:type="spellStart"/>
      <w:r>
        <w:t>Daser</w:t>
      </w:r>
      <w:proofErr w:type="spellEnd"/>
      <w:r>
        <w:t xml:space="preserve">, V. P., &amp; </w:t>
      </w:r>
      <w:proofErr w:type="spellStart"/>
      <w:r>
        <w:t>Ombugadu</w:t>
      </w:r>
      <w:proofErr w:type="spellEnd"/>
      <w:r>
        <w:t>, A. (2018). Insects associated with green gram (</w:t>
      </w:r>
      <w:r>
        <w:rPr>
          <w:i/>
          <w:iCs/>
        </w:rPr>
        <w:t>Vigna radiata</w:t>
      </w:r>
      <w:r>
        <w:t xml:space="preserve"> L.) in Langtang, Southern Guinea Savanna of Nigeria. </w:t>
      </w:r>
      <w:r>
        <w:rPr>
          <w:i/>
          <w:iCs/>
        </w:rPr>
        <w:t>Journal of Agricultural Science and Practice</w:t>
      </w:r>
      <w:r>
        <w:t xml:space="preserve">, </w:t>
      </w:r>
      <w:r>
        <w:rPr>
          <w:i/>
          <w:iCs/>
        </w:rPr>
        <w:t>3</w:t>
      </w:r>
      <w:r>
        <w:t>(6), 144–153. https://doi.org/10.31248/JASP2018.113</w:t>
      </w:r>
    </w:p>
    <w:p w14:paraId="590B9F56" w14:textId="77777777" w:rsidR="007213F2" w:rsidRDefault="001E289B">
      <w:pPr>
        <w:spacing w:after="120" w:line="280" w:lineRule="auto"/>
        <w:ind w:left="720" w:hanging="720"/>
      </w:pPr>
      <w:r>
        <w:t xml:space="preserve">Ngwuta, A. A., Okoro, A. C., Agugo, B. A. C., Odiyi, A. C., Eke, K. A., &amp; </w:t>
      </w:r>
      <w:proofErr w:type="spellStart"/>
      <w:r>
        <w:t>Ogoke</w:t>
      </w:r>
      <w:proofErr w:type="spellEnd"/>
      <w:r>
        <w:t xml:space="preserve">, I. J. (2011). Variations in some morphological and yield characteristics of </w:t>
      </w:r>
      <w:proofErr w:type="spellStart"/>
      <w:r>
        <w:t>mungbean</w:t>
      </w:r>
      <w:proofErr w:type="spellEnd"/>
      <w:r>
        <w:t xml:space="preserve"> (</w:t>
      </w:r>
      <w:r>
        <w:rPr>
          <w:i/>
          <w:iCs/>
        </w:rPr>
        <w:t>Vigna radiata</w:t>
      </w:r>
      <w:r>
        <w:t xml:space="preserve"> (L.) Wilczek) cultivars introduced into the rain-forest agroecology of Southeastern Nigeria. </w:t>
      </w:r>
      <w:r>
        <w:rPr>
          <w:i/>
          <w:iCs/>
        </w:rPr>
        <w:t>International Journal of Agriculture and Rural Development</w:t>
      </w:r>
      <w:r>
        <w:t xml:space="preserve">, </w:t>
      </w:r>
      <w:r>
        <w:rPr>
          <w:i/>
          <w:iCs/>
        </w:rPr>
        <w:t>13</w:t>
      </w:r>
      <w:r>
        <w:t>(2). https://doi.org/10.4314/ijard.v13i2.67392</w:t>
      </w:r>
    </w:p>
    <w:p w14:paraId="2DEC7D4F" w14:textId="77777777" w:rsidR="007213F2" w:rsidRDefault="001E289B">
      <w:pPr>
        <w:spacing w:after="120" w:line="280" w:lineRule="auto"/>
        <w:ind w:left="720" w:hanging="720"/>
      </w:pPr>
      <w:r>
        <w:lastRenderedPageBreak/>
        <w:t xml:space="preserve">Obasi, C. C., Ofori, K., Ngwuta, A. A., Adjei, E. A., Nair, R. M., Obasi, S. N., </w:t>
      </w:r>
      <w:proofErr w:type="spellStart"/>
      <w:r>
        <w:t>Eleblu</w:t>
      </w:r>
      <w:proofErr w:type="spellEnd"/>
      <w:r>
        <w:t xml:space="preserve">, J. S. Y., Asante, I. K., Ojua, E. O., &amp; </w:t>
      </w:r>
      <w:proofErr w:type="spellStart"/>
      <w:r>
        <w:t>Ulasi</w:t>
      </w:r>
      <w:proofErr w:type="spellEnd"/>
      <w:r>
        <w:t xml:space="preserve">, J. I. (2025). Phenotypic variation in the morphological traits of </w:t>
      </w:r>
      <w:proofErr w:type="spellStart"/>
      <w:r>
        <w:t>mungbean</w:t>
      </w:r>
      <w:proofErr w:type="spellEnd"/>
      <w:r>
        <w:t xml:space="preserve"> (</w:t>
      </w:r>
      <w:r>
        <w:rPr>
          <w:i/>
          <w:iCs/>
        </w:rPr>
        <w:t>Vigna radiata</w:t>
      </w:r>
      <w:r>
        <w:t xml:space="preserve">) germplasm. </w:t>
      </w:r>
      <w:r>
        <w:rPr>
          <w:i/>
          <w:iCs/>
        </w:rPr>
        <w:t>Nigeria Agricultural Journal</w:t>
      </w:r>
      <w:r>
        <w:t xml:space="preserve">, </w:t>
      </w:r>
      <w:r>
        <w:rPr>
          <w:i/>
          <w:iCs/>
        </w:rPr>
        <w:t>56</w:t>
      </w:r>
      <w:r>
        <w:t>(3), 482–495. https://www.ajol.info/index.php/naj/article/view/324799</w:t>
      </w:r>
    </w:p>
    <w:p w14:paraId="64901C15" w14:textId="77777777" w:rsidR="007213F2" w:rsidRDefault="001E289B">
      <w:pPr>
        <w:spacing w:after="120" w:line="280" w:lineRule="auto"/>
        <w:ind w:left="720" w:hanging="720"/>
      </w:pPr>
      <w:r>
        <w:t xml:space="preserve">Obasi, C. C., Ofori, K., Ngwuta, A. A., Adjei, E. A., Nair, R. M., Obasi, S. N., </w:t>
      </w:r>
      <w:proofErr w:type="spellStart"/>
      <w:r>
        <w:t>Eleblu</w:t>
      </w:r>
      <w:proofErr w:type="spellEnd"/>
      <w:r>
        <w:t xml:space="preserve">, J. S. Y., </w:t>
      </w:r>
      <w:proofErr w:type="spellStart"/>
      <w:r>
        <w:t>Obidiebube</w:t>
      </w:r>
      <w:proofErr w:type="spellEnd"/>
      <w:r>
        <w:t xml:space="preserve">, E. A., </w:t>
      </w:r>
      <w:proofErr w:type="spellStart"/>
      <w:r>
        <w:t>Ojua</w:t>
      </w:r>
      <w:proofErr w:type="spellEnd"/>
      <w:r>
        <w:t xml:space="preserve">, E. O., </w:t>
      </w:r>
      <w:proofErr w:type="spellStart"/>
      <w:r>
        <w:t>Ulasi</w:t>
      </w:r>
      <w:proofErr w:type="spellEnd"/>
      <w:r>
        <w:t xml:space="preserve">, J. I., Okolie, H., &amp; Lin, Y.-P. (2026). Genome-wide association study identifies loci controlling grain yield and protein content in </w:t>
      </w:r>
      <w:proofErr w:type="spellStart"/>
      <w:r>
        <w:t>mungbean</w:t>
      </w:r>
      <w:proofErr w:type="spellEnd"/>
      <w:r>
        <w:t xml:space="preserve"> (</w:t>
      </w:r>
      <w:r>
        <w:rPr>
          <w:i/>
          <w:iCs/>
        </w:rPr>
        <w:t>Vigna radiata</w:t>
      </w:r>
      <w:r>
        <w:t xml:space="preserve"> (L.) R. Wilczek var. </w:t>
      </w:r>
      <w:r>
        <w:rPr>
          <w:i/>
          <w:iCs/>
        </w:rPr>
        <w:t>radiata</w:t>
      </w:r>
      <w:r>
        <w:t xml:space="preserve">) using </w:t>
      </w:r>
      <w:proofErr w:type="spellStart"/>
      <w:r>
        <w:t>DArTseq</w:t>
      </w:r>
      <w:proofErr w:type="spellEnd"/>
      <w:r>
        <w:t xml:space="preserve"> SNP markers. </w:t>
      </w:r>
      <w:r>
        <w:rPr>
          <w:i/>
          <w:iCs/>
        </w:rPr>
        <w:t>BMC Plant Biology</w:t>
      </w:r>
      <w:r>
        <w:t>. Advance online publication. https://doi.org/10.1186/s12870-026-09201-6</w:t>
      </w:r>
    </w:p>
    <w:p w14:paraId="07925069" w14:textId="77777777" w:rsidR="007213F2" w:rsidRDefault="001E289B">
      <w:pPr>
        <w:spacing w:after="120" w:line="280" w:lineRule="auto"/>
        <w:ind w:left="720" w:hanging="720"/>
      </w:pPr>
      <w:r>
        <w:t xml:space="preserve">Odeku, O. A., Ogunniyi, Q. A., </w:t>
      </w:r>
      <w:proofErr w:type="spellStart"/>
      <w:r>
        <w:t>Ogbole</w:t>
      </w:r>
      <w:proofErr w:type="spellEnd"/>
      <w:r>
        <w:t xml:space="preserve">, O. O., &amp; Fettke, J. (2024). Forgotten gems: Exploring the untapped benefits of underutilized legumes in agriculture, nutrition, and environmental sustainability. </w:t>
      </w:r>
      <w:r>
        <w:rPr>
          <w:i/>
          <w:iCs/>
        </w:rPr>
        <w:t>Plants</w:t>
      </w:r>
      <w:r>
        <w:t xml:space="preserve">, </w:t>
      </w:r>
      <w:r>
        <w:rPr>
          <w:i/>
          <w:iCs/>
        </w:rPr>
        <w:t>13</w:t>
      </w:r>
      <w:r>
        <w:t>(9), 1208. https://doi.org/10.3390/plants13091208</w:t>
      </w:r>
    </w:p>
    <w:p w14:paraId="13238C83" w14:textId="77777777" w:rsidR="007213F2" w:rsidRDefault="001E289B">
      <w:pPr>
        <w:spacing w:after="120" w:line="280" w:lineRule="auto"/>
        <w:ind w:left="720" w:hanging="720"/>
      </w:pPr>
      <w:proofErr w:type="spellStart"/>
      <w:r>
        <w:t>Ogunsiji</w:t>
      </w:r>
      <w:proofErr w:type="spellEnd"/>
      <w:r>
        <w:t xml:space="preserve">, E., </w:t>
      </w:r>
      <w:proofErr w:type="spellStart"/>
      <w:r>
        <w:t>Umebese</w:t>
      </w:r>
      <w:proofErr w:type="spellEnd"/>
      <w:r>
        <w:t xml:space="preserve">, C., </w:t>
      </w:r>
      <w:proofErr w:type="spellStart"/>
      <w:r>
        <w:t>Stabentheiner</w:t>
      </w:r>
      <w:proofErr w:type="spellEnd"/>
      <w:r>
        <w:t xml:space="preserve">, E., </w:t>
      </w:r>
      <w:proofErr w:type="spellStart"/>
      <w:r>
        <w:t>Iwuala</w:t>
      </w:r>
      <w:proofErr w:type="spellEnd"/>
      <w:r>
        <w:t xml:space="preserve">, E., </w:t>
      </w:r>
      <w:proofErr w:type="spellStart"/>
      <w:r>
        <w:t>Odjegba</w:t>
      </w:r>
      <w:proofErr w:type="spellEnd"/>
      <w:r>
        <w:t xml:space="preserve">, V., &amp; </w:t>
      </w:r>
      <w:proofErr w:type="spellStart"/>
      <w:r>
        <w:t>Oluwajobi</w:t>
      </w:r>
      <w:proofErr w:type="spellEnd"/>
      <w:r>
        <w:t xml:space="preserve">, A. (2023). Salicylic acid enhances growth, photosynthetic performance and antioxidant </w:t>
      </w:r>
      <w:proofErr w:type="spellStart"/>
      <w:r>
        <w:t>defense</w:t>
      </w:r>
      <w:proofErr w:type="spellEnd"/>
      <w:r>
        <w:t xml:space="preserve"> activity under salt stress in two </w:t>
      </w:r>
      <w:proofErr w:type="spellStart"/>
      <w:r>
        <w:t>mungbean</w:t>
      </w:r>
      <w:proofErr w:type="spellEnd"/>
      <w:r>
        <w:t xml:space="preserve"> [</w:t>
      </w:r>
      <w:r>
        <w:rPr>
          <w:i/>
          <w:iCs/>
        </w:rPr>
        <w:t>Vigna radiata</w:t>
      </w:r>
      <w:r>
        <w:t xml:space="preserve"> (L.) R. Wilczek] variety. </w:t>
      </w:r>
      <w:r>
        <w:rPr>
          <w:i/>
          <w:iCs/>
        </w:rPr>
        <w:t xml:space="preserve">Plant </w:t>
      </w:r>
      <w:proofErr w:type="spellStart"/>
      <w:r>
        <w:rPr>
          <w:i/>
          <w:iCs/>
        </w:rPr>
        <w:t>Signaling</w:t>
      </w:r>
      <w:proofErr w:type="spellEnd"/>
      <w:r>
        <w:rPr>
          <w:i/>
          <w:iCs/>
        </w:rPr>
        <w:t xml:space="preserve"> &amp; </w:t>
      </w:r>
      <w:proofErr w:type="spellStart"/>
      <w:r>
        <w:rPr>
          <w:i/>
          <w:iCs/>
        </w:rPr>
        <w:t>Behavior</w:t>
      </w:r>
      <w:proofErr w:type="spellEnd"/>
      <w:r>
        <w:t xml:space="preserve">, </w:t>
      </w:r>
      <w:r>
        <w:rPr>
          <w:i/>
          <w:iCs/>
        </w:rPr>
        <w:t>18</w:t>
      </w:r>
      <w:r>
        <w:t>(1), 2217605. https://doi.org/10.1080/15592324.2023.2217605</w:t>
      </w:r>
    </w:p>
    <w:p w14:paraId="55D23230" w14:textId="77777777" w:rsidR="007213F2" w:rsidRDefault="001E289B">
      <w:pPr>
        <w:spacing w:after="120" w:line="280" w:lineRule="auto"/>
        <w:ind w:left="720" w:hanging="720"/>
      </w:pPr>
      <w:r>
        <w:t xml:space="preserve">Ojuederie, O. B., </w:t>
      </w:r>
      <w:proofErr w:type="spellStart"/>
      <w:r>
        <w:t>Akpojotor</w:t>
      </w:r>
      <w:proofErr w:type="spellEnd"/>
      <w:r>
        <w:t xml:space="preserve">, U. L., Adeniji, A. A., Ojuederie, T. C., Popoola, J. O., &amp; Babalola, O. O. (2025). Comparative genomic analysis of underutilized legumes: Insights into evolutionary relationships, genome evolution and stress tolerance. </w:t>
      </w:r>
      <w:r>
        <w:rPr>
          <w:i/>
          <w:iCs/>
        </w:rPr>
        <w:t>Biotechnology Reports</w:t>
      </w:r>
      <w:r>
        <w:t xml:space="preserve">, </w:t>
      </w:r>
      <w:r>
        <w:rPr>
          <w:i/>
          <w:iCs/>
        </w:rPr>
        <w:t>48</w:t>
      </w:r>
      <w:r>
        <w:t>, e00918. https://doi.org/10.1016/j.btre.2025.e00918</w:t>
      </w:r>
    </w:p>
    <w:p w14:paraId="7BDC48E8" w14:textId="77777777" w:rsidR="007213F2" w:rsidRDefault="001E289B">
      <w:pPr>
        <w:spacing w:after="120" w:line="280" w:lineRule="auto"/>
        <w:ind w:left="720" w:hanging="720"/>
      </w:pPr>
      <w:r>
        <w:t>Oloyede-</w:t>
      </w:r>
      <w:proofErr w:type="spellStart"/>
      <w:r>
        <w:t>Kamiyo</w:t>
      </w:r>
      <w:proofErr w:type="spellEnd"/>
      <w:r>
        <w:t>, Q., Ukachukwu, P., Oladipo, M., Olanipekun, O., &amp; Adewumi, A. (2024). Assessment of field performance and nutritional quality of mung bean (</w:t>
      </w:r>
      <w:r>
        <w:rPr>
          <w:i/>
          <w:iCs/>
        </w:rPr>
        <w:t>Vigna radiata</w:t>
      </w:r>
      <w:r>
        <w:t xml:space="preserve"> L.) for food diversification. </w:t>
      </w:r>
      <w:r>
        <w:rPr>
          <w:i/>
          <w:iCs/>
        </w:rPr>
        <w:t>Turkish Journal of Agriculture – Food Science and Technology</w:t>
      </w:r>
      <w:r>
        <w:t xml:space="preserve">, </w:t>
      </w:r>
      <w:r>
        <w:rPr>
          <w:i/>
          <w:iCs/>
        </w:rPr>
        <w:t>12</w:t>
      </w:r>
      <w:r>
        <w:t>(s1), 2104–2111. https://doi.org/10.24925/turjaf.v12is1.2104-2111.7121</w:t>
      </w:r>
    </w:p>
    <w:p w14:paraId="4CE5D495" w14:textId="77777777" w:rsidR="007213F2" w:rsidRDefault="001E289B">
      <w:pPr>
        <w:spacing w:after="120" w:line="280" w:lineRule="auto"/>
        <w:ind w:left="720" w:hanging="720"/>
      </w:pPr>
      <w:proofErr w:type="spellStart"/>
      <w:r>
        <w:t>Omokaro</w:t>
      </w:r>
      <w:proofErr w:type="spellEnd"/>
      <w:r>
        <w:t xml:space="preserve">, G. O. (2025). Multi-impacts of climate change and mitigation strategies in Nigeria: Agricultural production and food security. </w:t>
      </w:r>
      <w:r>
        <w:rPr>
          <w:i/>
          <w:iCs/>
        </w:rPr>
        <w:t>Science in One Health</w:t>
      </w:r>
      <w:r>
        <w:t xml:space="preserve">, </w:t>
      </w:r>
      <w:r>
        <w:rPr>
          <w:i/>
          <w:iCs/>
        </w:rPr>
        <w:t>4</w:t>
      </w:r>
      <w:r>
        <w:t>, 100113. https://doi.org/10.1016/j.soh.2025.100113</w:t>
      </w:r>
    </w:p>
    <w:p w14:paraId="28192BFA" w14:textId="77777777" w:rsidR="007213F2" w:rsidRDefault="001E289B">
      <w:pPr>
        <w:spacing w:after="120" w:line="280" w:lineRule="auto"/>
        <w:ind w:left="720" w:hanging="720"/>
      </w:pPr>
      <w:proofErr w:type="spellStart"/>
      <w:r>
        <w:t>Onwurafor</w:t>
      </w:r>
      <w:proofErr w:type="spellEnd"/>
      <w:r>
        <w:t xml:space="preserve">, E., Uzodinma, E., </w:t>
      </w:r>
      <w:proofErr w:type="spellStart"/>
      <w:r>
        <w:t>Aronu</w:t>
      </w:r>
      <w:proofErr w:type="spellEnd"/>
      <w:r>
        <w:t xml:space="preserve">, C., Nweze, B., &amp; </w:t>
      </w:r>
      <w:proofErr w:type="spellStart"/>
      <w:r>
        <w:t>Ogbonnia</w:t>
      </w:r>
      <w:proofErr w:type="spellEnd"/>
      <w:r>
        <w:t xml:space="preserve">, N. (2022). Proximate composition, antidiabetic and hypolipidemic activity of bread produced from wheat–sorghum base supplemented with mung bean malt and carrot flour. </w:t>
      </w:r>
      <w:r>
        <w:rPr>
          <w:i/>
          <w:iCs/>
        </w:rPr>
        <w:t>Journal of Medicinal Food</w:t>
      </w:r>
      <w:r>
        <w:t xml:space="preserve">, </w:t>
      </w:r>
      <w:r>
        <w:rPr>
          <w:i/>
          <w:iCs/>
        </w:rPr>
        <w:t>25</w:t>
      </w:r>
      <w:r>
        <w:t>(8), 863–868. https://doi.org/10.1089/jmf.2021.0148</w:t>
      </w:r>
    </w:p>
    <w:p w14:paraId="68B8D31C" w14:textId="77777777" w:rsidR="007213F2" w:rsidRDefault="001E289B">
      <w:pPr>
        <w:spacing w:after="120" w:line="280" w:lineRule="auto"/>
        <w:ind w:left="720" w:hanging="720"/>
      </w:pPr>
      <w:proofErr w:type="spellStart"/>
      <w:r>
        <w:t>Onwurafor</w:t>
      </w:r>
      <w:proofErr w:type="spellEnd"/>
      <w:r>
        <w:t xml:space="preserve">, E. U., Uzodinma, E. O., </w:t>
      </w:r>
      <w:proofErr w:type="spellStart"/>
      <w:r>
        <w:t>Uchegbu</w:t>
      </w:r>
      <w:proofErr w:type="spellEnd"/>
      <w:r>
        <w:t xml:space="preserve">, N. N., Ani, J. C., </w:t>
      </w:r>
      <w:proofErr w:type="spellStart"/>
      <w:r>
        <w:t>Umunnakwe</w:t>
      </w:r>
      <w:proofErr w:type="spellEnd"/>
      <w:r>
        <w:t xml:space="preserve">, I. L., &amp; Ziegler, G. (2020). Effect of malting periods on the nutrient composition, antinutrient content and pasting properties of </w:t>
      </w:r>
      <w:proofErr w:type="spellStart"/>
      <w:r>
        <w:t>mungbean</w:t>
      </w:r>
      <w:proofErr w:type="spellEnd"/>
      <w:r>
        <w:t xml:space="preserve"> flour. </w:t>
      </w:r>
      <w:proofErr w:type="spellStart"/>
      <w:r>
        <w:rPr>
          <w:i/>
          <w:iCs/>
        </w:rPr>
        <w:t>Agro</w:t>
      </w:r>
      <w:proofErr w:type="spellEnd"/>
      <w:r>
        <w:rPr>
          <w:i/>
          <w:iCs/>
        </w:rPr>
        <w:t>-Science</w:t>
      </w:r>
      <w:r>
        <w:t xml:space="preserve">, </w:t>
      </w:r>
      <w:r>
        <w:rPr>
          <w:i/>
          <w:iCs/>
        </w:rPr>
        <w:t>19</w:t>
      </w:r>
      <w:r>
        <w:t>(1), 18–24. https://doi.org/10.4314/as.v19i1.3</w:t>
      </w:r>
    </w:p>
    <w:p w14:paraId="1587C958" w14:textId="77777777" w:rsidR="007213F2" w:rsidRDefault="001E289B">
      <w:pPr>
        <w:spacing w:after="120" w:line="280" w:lineRule="auto"/>
        <w:ind w:left="720" w:hanging="720"/>
      </w:pPr>
      <w:proofErr w:type="spellStart"/>
      <w:r>
        <w:t>Osundare</w:t>
      </w:r>
      <w:proofErr w:type="spellEnd"/>
      <w:r>
        <w:t xml:space="preserve">, O. T., &amp; </w:t>
      </w:r>
      <w:proofErr w:type="spellStart"/>
      <w:r>
        <w:t>Akajagbon</w:t>
      </w:r>
      <w:proofErr w:type="spellEnd"/>
      <w:r>
        <w:t>, E. (2025). Morphometric traits and proximate analysis of ten accessions of mung bean (</w:t>
      </w:r>
      <w:r>
        <w:rPr>
          <w:i/>
          <w:iCs/>
        </w:rPr>
        <w:t>Vigna radiata</w:t>
      </w:r>
      <w:r>
        <w:t xml:space="preserve"> [L.] Wilczek). </w:t>
      </w:r>
      <w:r>
        <w:rPr>
          <w:i/>
          <w:iCs/>
        </w:rPr>
        <w:t>Journal of Underutilized Legumes</w:t>
      </w:r>
      <w:r>
        <w:t xml:space="preserve">, </w:t>
      </w:r>
      <w:r>
        <w:rPr>
          <w:i/>
          <w:iCs/>
        </w:rPr>
        <w:t>7</w:t>
      </w:r>
      <w:r>
        <w:t>(1), 29–36. https://www.ajol.info/index.php/jul/article/view/295864</w:t>
      </w:r>
    </w:p>
    <w:p w14:paraId="1543E53A" w14:textId="77777777" w:rsidR="007213F2" w:rsidRDefault="001E289B">
      <w:pPr>
        <w:spacing w:after="120" w:line="280" w:lineRule="auto"/>
        <w:ind w:left="720" w:hanging="720"/>
      </w:pPr>
      <w:r>
        <w:t xml:space="preserve">Pasley, H., Wenham, K., Bell, L., Huth, N., Holzworth, D., Chaki, A., Gaydon, D., &amp; Collins, M. (2023). APSIM next generation </w:t>
      </w:r>
      <w:proofErr w:type="spellStart"/>
      <w:r>
        <w:t>mungbean</w:t>
      </w:r>
      <w:proofErr w:type="spellEnd"/>
      <w:r>
        <w:t xml:space="preserve"> model: A tool for advancing </w:t>
      </w:r>
      <w:proofErr w:type="spellStart"/>
      <w:r>
        <w:t>mungbean</w:t>
      </w:r>
      <w:proofErr w:type="spellEnd"/>
      <w:r>
        <w:t xml:space="preserve"> production. </w:t>
      </w:r>
      <w:r>
        <w:rPr>
          <w:i/>
          <w:iCs/>
        </w:rPr>
        <w:t>Field Crops Research</w:t>
      </w:r>
      <w:r>
        <w:t xml:space="preserve">, </w:t>
      </w:r>
      <w:r>
        <w:rPr>
          <w:i/>
          <w:iCs/>
        </w:rPr>
        <w:t>298</w:t>
      </w:r>
      <w:r>
        <w:t>, 108955. https://doi.org/10.1016/j.fcr.2023.108955</w:t>
      </w:r>
    </w:p>
    <w:p w14:paraId="68BD94A5" w14:textId="77777777" w:rsidR="007213F2" w:rsidRDefault="001E289B">
      <w:pPr>
        <w:spacing w:after="120" w:line="280" w:lineRule="auto"/>
        <w:ind w:left="720" w:hanging="720"/>
      </w:pPr>
      <w:proofErr w:type="spellStart"/>
      <w:r>
        <w:t>Patriyawaty</w:t>
      </w:r>
      <w:proofErr w:type="spellEnd"/>
      <w:r>
        <w:t xml:space="preserve">, N. R., </w:t>
      </w:r>
      <w:proofErr w:type="spellStart"/>
      <w:r>
        <w:t>Rachaputi</w:t>
      </w:r>
      <w:proofErr w:type="spellEnd"/>
      <w:r>
        <w:t xml:space="preserve">, R. C. N., &amp; George, D. (2018). Physiological mechanisms underpinning tolerance to high temperature stress during reproductive phase in </w:t>
      </w:r>
      <w:proofErr w:type="spellStart"/>
      <w:r>
        <w:t>mungbean</w:t>
      </w:r>
      <w:proofErr w:type="spellEnd"/>
      <w:r>
        <w:t xml:space="preserve"> (</w:t>
      </w:r>
      <w:r>
        <w:rPr>
          <w:i/>
          <w:iCs/>
        </w:rPr>
        <w:t>Vigna radiata</w:t>
      </w:r>
      <w:r>
        <w:t xml:space="preserve"> (L.) Wilczek). </w:t>
      </w:r>
      <w:r>
        <w:rPr>
          <w:i/>
          <w:iCs/>
        </w:rPr>
        <w:t>Environmental and Experimental Botany</w:t>
      </w:r>
      <w:r>
        <w:t xml:space="preserve">, </w:t>
      </w:r>
      <w:r>
        <w:rPr>
          <w:i/>
          <w:iCs/>
        </w:rPr>
        <w:t>150</w:t>
      </w:r>
      <w:r>
        <w:t>, 188–197. https://doi.org/10.1016/j.envexpbot.2018.03.022</w:t>
      </w:r>
    </w:p>
    <w:p w14:paraId="4BFC6F15" w14:textId="77777777" w:rsidR="007213F2" w:rsidRDefault="001E289B">
      <w:pPr>
        <w:spacing w:after="120" w:line="280" w:lineRule="auto"/>
        <w:ind w:left="720" w:hanging="720"/>
      </w:pPr>
      <w:r>
        <w:lastRenderedPageBreak/>
        <w:t xml:space="preserve">Popoola, B. O., Ongom, P. O., Mohammed, S. B., Togola, A., Ishaya, D. J., Bala, G., </w:t>
      </w:r>
      <w:proofErr w:type="spellStart"/>
      <w:r>
        <w:t>Fatokun</w:t>
      </w:r>
      <w:proofErr w:type="spellEnd"/>
      <w:r>
        <w:t xml:space="preserve">, C., &amp; Boukar, O. (2024). Assessing the impact of genotype-by-environment interactions on agronomic traits in elite cowpea lines across </w:t>
      </w:r>
      <w:proofErr w:type="spellStart"/>
      <w:r>
        <w:t>agro</w:t>
      </w:r>
      <w:proofErr w:type="spellEnd"/>
      <w:r>
        <w:t xml:space="preserve">-ecologies in Nigeria. </w:t>
      </w:r>
      <w:r>
        <w:rPr>
          <w:i/>
          <w:iCs/>
        </w:rPr>
        <w:t>Agronomy</w:t>
      </w:r>
      <w:r>
        <w:t xml:space="preserve">, </w:t>
      </w:r>
      <w:r>
        <w:rPr>
          <w:i/>
          <w:iCs/>
        </w:rPr>
        <w:t>14</w:t>
      </w:r>
      <w:r>
        <w:t>(2), 263. https://doi.org/10.3390/agronomy14020263</w:t>
      </w:r>
    </w:p>
    <w:p w14:paraId="2E3E5D1C" w14:textId="77777777" w:rsidR="007213F2" w:rsidRDefault="001E289B">
      <w:pPr>
        <w:spacing w:after="120" w:line="280" w:lineRule="auto"/>
        <w:ind w:left="720" w:hanging="720"/>
      </w:pPr>
      <w:r>
        <w:t xml:space="preserve">Popoola, J. O., Ojuederie, O. B., </w:t>
      </w:r>
      <w:proofErr w:type="spellStart"/>
      <w:r>
        <w:t>Aworunse</w:t>
      </w:r>
      <w:proofErr w:type="spellEnd"/>
      <w:r>
        <w:t xml:space="preserve">, O. S., Adelekan, A., </w:t>
      </w:r>
      <w:proofErr w:type="spellStart"/>
      <w:r>
        <w:t>Oyelakin</w:t>
      </w:r>
      <w:proofErr w:type="spellEnd"/>
      <w:r>
        <w:t xml:space="preserve">, A. S., </w:t>
      </w:r>
      <w:proofErr w:type="spellStart"/>
      <w:r>
        <w:t>Oyesola</w:t>
      </w:r>
      <w:proofErr w:type="spellEnd"/>
      <w:r>
        <w:t xml:space="preserve">, O. L., </w:t>
      </w:r>
      <w:proofErr w:type="spellStart"/>
      <w:r>
        <w:t>Akinduti</w:t>
      </w:r>
      <w:proofErr w:type="spellEnd"/>
      <w:r>
        <w:t xml:space="preserve">, P. A., </w:t>
      </w:r>
      <w:proofErr w:type="spellStart"/>
      <w:r>
        <w:t>Dahunsi</w:t>
      </w:r>
      <w:proofErr w:type="spellEnd"/>
      <w:r>
        <w:t xml:space="preserve">, S. O., Adegboyega, T. T., </w:t>
      </w:r>
      <w:proofErr w:type="spellStart"/>
      <w:r>
        <w:t>Oranusi</w:t>
      </w:r>
      <w:proofErr w:type="spellEnd"/>
      <w:r>
        <w:t xml:space="preserve">, S. U., </w:t>
      </w:r>
      <w:proofErr w:type="spellStart"/>
      <w:r>
        <w:t>Ayilara</w:t>
      </w:r>
      <w:proofErr w:type="spellEnd"/>
      <w:r>
        <w:t xml:space="preserve">, M. S., &amp; </w:t>
      </w:r>
      <w:proofErr w:type="spellStart"/>
      <w:r>
        <w:t>Omonhinmin</w:t>
      </w:r>
      <w:proofErr w:type="spellEnd"/>
      <w:r>
        <w:t xml:space="preserve">, C. A. (2023). Nutritional, functional, and bioactive properties of African underutilized legumes. </w:t>
      </w:r>
      <w:r>
        <w:rPr>
          <w:i/>
          <w:iCs/>
        </w:rPr>
        <w:t>Frontiers in Plant Science</w:t>
      </w:r>
      <w:r>
        <w:t xml:space="preserve">, </w:t>
      </w:r>
      <w:r>
        <w:rPr>
          <w:i/>
          <w:iCs/>
        </w:rPr>
        <w:t>14</w:t>
      </w:r>
      <w:r>
        <w:t>, 1105364. https://doi.org/10.3389/fpls.2023.1105364</w:t>
      </w:r>
    </w:p>
    <w:p w14:paraId="2986C4E7" w14:textId="77777777" w:rsidR="007213F2" w:rsidRDefault="001E289B">
      <w:pPr>
        <w:spacing w:after="120" w:line="280" w:lineRule="auto"/>
        <w:ind w:left="720" w:hanging="720"/>
      </w:pPr>
      <w:proofErr w:type="spellStart"/>
      <w:r>
        <w:t>Sequeros</w:t>
      </w:r>
      <w:proofErr w:type="spellEnd"/>
      <w:r>
        <w:t xml:space="preserve">, T., Ochieng, J., </w:t>
      </w:r>
      <w:proofErr w:type="spellStart"/>
      <w:r>
        <w:t>Schreinemachers</w:t>
      </w:r>
      <w:proofErr w:type="spellEnd"/>
      <w:r>
        <w:t xml:space="preserve">, P., Binagwa, P. H., </w:t>
      </w:r>
      <w:proofErr w:type="spellStart"/>
      <w:r>
        <w:t>Huelgas</w:t>
      </w:r>
      <w:proofErr w:type="spellEnd"/>
      <w:r>
        <w:t xml:space="preserve">, Z. M., </w:t>
      </w:r>
      <w:proofErr w:type="spellStart"/>
      <w:r>
        <w:t>Hapsari</w:t>
      </w:r>
      <w:proofErr w:type="spellEnd"/>
      <w:r>
        <w:t xml:space="preserve">, R. T., Juma, M. O., </w:t>
      </w:r>
      <w:proofErr w:type="spellStart"/>
      <w:r>
        <w:t>Kangile</w:t>
      </w:r>
      <w:proofErr w:type="spellEnd"/>
      <w:r>
        <w:t xml:space="preserve">, J. R., Karimi, R., </w:t>
      </w:r>
      <w:proofErr w:type="spellStart"/>
      <w:r>
        <w:t>Khaririyatun</w:t>
      </w:r>
      <w:proofErr w:type="spellEnd"/>
      <w:r>
        <w:t xml:space="preserve">, N., </w:t>
      </w:r>
      <w:proofErr w:type="spellStart"/>
      <w:r>
        <w:t>Mbeyagala</w:t>
      </w:r>
      <w:proofErr w:type="spellEnd"/>
      <w:r>
        <w:t xml:space="preserve">, E. K., </w:t>
      </w:r>
      <w:proofErr w:type="spellStart"/>
      <w:r>
        <w:t>Mvungi</w:t>
      </w:r>
      <w:proofErr w:type="spellEnd"/>
      <w:r>
        <w:t xml:space="preserve">, H., Nair, R. M., Sanya, L. N., Nguyen, T. T. L., </w:t>
      </w:r>
      <w:proofErr w:type="spellStart"/>
      <w:r>
        <w:t>Phommalath</w:t>
      </w:r>
      <w:proofErr w:type="spellEnd"/>
      <w:r>
        <w:t xml:space="preserve">, S., Pinn, T., Simfukwe, E., &amp; </w:t>
      </w:r>
      <w:proofErr w:type="spellStart"/>
      <w:r>
        <w:t>Suebpongsang</w:t>
      </w:r>
      <w:proofErr w:type="spellEnd"/>
      <w:r>
        <w:t xml:space="preserve">, P. (2021). </w:t>
      </w:r>
      <w:proofErr w:type="spellStart"/>
      <w:r>
        <w:t>Mungbean</w:t>
      </w:r>
      <w:proofErr w:type="spellEnd"/>
      <w:r>
        <w:t xml:space="preserve"> in Southeast Asia and East Africa: Varieties, practices and constraints. </w:t>
      </w:r>
      <w:r>
        <w:rPr>
          <w:i/>
          <w:iCs/>
        </w:rPr>
        <w:t>Agriculture &amp; Food Security</w:t>
      </w:r>
      <w:r>
        <w:t xml:space="preserve">, </w:t>
      </w:r>
      <w:r>
        <w:rPr>
          <w:i/>
          <w:iCs/>
        </w:rPr>
        <w:t>10</w:t>
      </w:r>
      <w:r>
        <w:t>(1), 2. https://doi.org/10.1186/s40066-020-00273-7</w:t>
      </w:r>
    </w:p>
    <w:p w14:paraId="323CA191" w14:textId="77777777" w:rsidR="007213F2" w:rsidRDefault="001E289B">
      <w:pPr>
        <w:spacing w:after="120" w:line="280" w:lineRule="auto"/>
        <w:ind w:left="720" w:hanging="720"/>
      </w:pPr>
      <w:r>
        <w:t xml:space="preserve">Sharma, L., Priya, M., </w:t>
      </w:r>
      <w:proofErr w:type="spellStart"/>
      <w:r>
        <w:t>Bindumadhava</w:t>
      </w:r>
      <w:proofErr w:type="spellEnd"/>
      <w:r>
        <w:t xml:space="preserve">, H., Nair, R. M., &amp; Nayyar, H. (2016). Influence of high temperature stress on growth, phenology and yield performance of </w:t>
      </w:r>
      <w:proofErr w:type="spellStart"/>
      <w:r>
        <w:t>mungbean</w:t>
      </w:r>
      <w:proofErr w:type="spellEnd"/>
      <w:r>
        <w:t xml:space="preserve"> [</w:t>
      </w:r>
      <w:r>
        <w:rPr>
          <w:i/>
          <w:iCs/>
        </w:rPr>
        <w:t>Vigna radiata</w:t>
      </w:r>
      <w:r>
        <w:t xml:space="preserve"> (L.) Wilczek] under managed growth conditions. </w:t>
      </w:r>
      <w:r>
        <w:rPr>
          <w:i/>
          <w:iCs/>
        </w:rPr>
        <w:t xml:space="preserve">Scientia </w:t>
      </w:r>
      <w:proofErr w:type="spellStart"/>
      <w:r>
        <w:rPr>
          <w:i/>
          <w:iCs/>
        </w:rPr>
        <w:t>Horticulturae</w:t>
      </w:r>
      <w:proofErr w:type="spellEnd"/>
      <w:r>
        <w:t xml:space="preserve">, </w:t>
      </w:r>
      <w:r>
        <w:rPr>
          <w:i/>
          <w:iCs/>
        </w:rPr>
        <w:t>213</w:t>
      </w:r>
      <w:r>
        <w:t>, 379–391. https://doi.org/10.1016/j.scienta.2016.10.033</w:t>
      </w:r>
    </w:p>
    <w:p w14:paraId="5B0F14BC" w14:textId="77777777" w:rsidR="007213F2" w:rsidRDefault="001E289B">
      <w:pPr>
        <w:spacing w:after="120" w:line="280" w:lineRule="auto"/>
        <w:ind w:left="720" w:hanging="720"/>
      </w:pPr>
      <w:r>
        <w:t xml:space="preserve">Silwal, S., Delahunty, A. J., Wallace, A. J., Norton, S., Pang, A., &amp; Nuttall, J. G. (2026). Critical temperature requirement for the germination and establishment of </w:t>
      </w:r>
      <w:proofErr w:type="spellStart"/>
      <w:r>
        <w:t>mungbean</w:t>
      </w:r>
      <w:proofErr w:type="spellEnd"/>
      <w:r>
        <w:t xml:space="preserve"> (</w:t>
      </w:r>
      <w:r>
        <w:rPr>
          <w:i/>
          <w:iCs/>
        </w:rPr>
        <w:t>Vigna radiata</w:t>
      </w:r>
      <w:r>
        <w:t xml:space="preserve"> L.) in temperate environments. </w:t>
      </w:r>
      <w:r>
        <w:rPr>
          <w:i/>
          <w:iCs/>
        </w:rPr>
        <w:t>Frontiers in Plant Science</w:t>
      </w:r>
      <w:r>
        <w:t xml:space="preserve">, </w:t>
      </w:r>
      <w:r>
        <w:rPr>
          <w:i/>
          <w:iCs/>
        </w:rPr>
        <w:t>17</w:t>
      </w:r>
      <w:r>
        <w:t>, 1693408. https://doi.org/10.3389/fpls.2026.1693408</w:t>
      </w:r>
    </w:p>
    <w:p w14:paraId="6C9B6110" w14:textId="77777777" w:rsidR="007213F2" w:rsidRDefault="001E289B">
      <w:pPr>
        <w:spacing w:after="120" w:line="280" w:lineRule="auto"/>
        <w:ind w:left="720" w:hanging="720"/>
      </w:pPr>
      <w:proofErr w:type="spellStart"/>
      <w:r>
        <w:t>Ugese</w:t>
      </w:r>
      <w:proofErr w:type="spellEnd"/>
      <w:r>
        <w:t xml:space="preserve">, F. D., &amp; Labe, D. A. (2006). Rate and duration of seed filling in </w:t>
      </w:r>
      <w:proofErr w:type="spellStart"/>
      <w:r>
        <w:t>mungbean</w:t>
      </w:r>
      <w:proofErr w:type="spellEnd"/>
      <w:r>
        <w:t xml:space="preserve"> (</w:t>
      </w:r>
      <w:r>
        <w:rPr>
          <w:i/>
          <w:iCs/>
        </w:rPr>
        <w:t>Vigna radiata</w:t>
      </w:r>
      <w:r>
        <w:t xml:space="preserve">). </w:t>
      </w:r>
      <w:r>
        <w:rPr>
          <w:i/>
          <w:iCs/>
        </w:rPr>
        <w:t>Nigeria Agricultural Journal</w:t>
      </w:r>
      <w:r>
        <w:t xml:space="preserve">, </w:t>
      </w:r>
      <w:r>
        <w:rPr>
          <w:i/>
          <w:iCs/>
        </w:rPr>
        <w:t>37</w:t>
      </w:r>
      <w:r>
        <w:t>, 60–64. https://doi.org/10.4314/naj.v37i1.3230</w:t>
      </w:r>
    </w:p>
    <w:p w14:paraId="1FE78AD1" w14:textId="77777777" w:rsidR="007213F2" w:rsidRDefault="001E289B">
      <w:pPr>
        <w:spacing w:after="120" w:line="280" w:lineRule="auto"/>
        <w:ind w:left="720" w:hanging="720"/>
      </w:pPr>
      <w:proofErr w:type="spellStart"/>
      <w:r>
        <w:t>Ukwu</w:t>
      </w:r>
      <w:proofErr w:type="spellEnd"/>
      <w:r>
        <w:t xml:space="preserve">, U. N., </w:t>
      </w:r>
      <w:proofErr w:type="spellStart"/>
      <w:r>
        <w:t>Agbirionwu</w:t>
      </w:r>
      <w:proofErr w:type="spellEnd"/>
      <w:r>
        <w:t xml:space="preserve">, A. C., Dauda, N., Adewuyi, S. O., </w:t>
      </w:r>
      <w:proofErr w:type="spellStart"/>
      <w:r>
        <w:t>Osadebe</w:t>
      </w:r>
      <w:proofErr w:type="spellEnd"/>
      <w:r>
        <w:t xml:space="preserve">, V. O., &amp; Anozie, C. C. (2023a). Response of </w:t>
      </w:r>
      <w:proofErr w:type="spellStart"/>
      <w:r>
        <w:t>mungbean</w:t>
      </w:r>
      <w:proofErr w:type="spellEnd"/>
      <w:r>
        <w:t xml:space="preserve"> (</w:t>
      </w:r>
      <w:r>
        <w:rPr>
          <w:i/>
          <w:iCs/>
        </w:rPr>
        <w:t>Vigna radiata</w:t>
      </w:r>
      <w:r>
        <w:t xml:space="preserve"> L. Wilczek) genotypes to different spacing types in derived savannah agroecology of Southeast Nigeria. </w:t>
      </w:r>
      <w:r>
        <w:rPr>
          <w:i/>
          <w:iCs/>
        </w:rPr>
        <w:t>Nigerian Journal of Biotechnology</w:t>
      </w:r>
      <w:r>
        <w:t xml:space="preserve">, </w:t>
      </w:r>
      <w:r>
        <w:rPr>
          <w:i/>
          <w:iCs/>
        </w:rPr>
        <w:t>40</w:t>
      </w:r>
      <w:r>
        <w:t>(1), 77–85. https://doi.org/10.4314/njb.v40i1.9</w:t>
      </w:r>
    </w:p>
    <w:p w14:paraId="10C52BE7" w14:textId="77777777" w:rsidR="007213F2" w:rsidRDefault="001E289B">
      <w:pPr>
        <w:spacing w:after="120" w:line="280" w:lineRule="auto"/>
        <w:ind w:left="720" w:hanging="720"/>
      </w:pPr>
      <w:proofErr w:type="spellStart"/>
      <w:r>
        <w:t>Ukwu</w:t>
      </w:r>
      <w:proofErr w:type="spellEnd"/>
      <w:r>
        <w:t xml:space="preserve">, U. N., Oburu, B. N., </w:t>
      </w:r>
      <w:proofErr w:type="spellStart"/>
      <w:r>
        <w:t>Muojiama</w:t>
      </w:r>
      <w:proofErr w:type="spellEnd"/>
      <w:r>
        <w:t xml:space="preserve">, S. O., </w:t>
      </w:r>
      <w:proofErr w:type="spellStart"/>
      <w:r>
        <w:t>Osadebe</w:t>
      </w:r>
      <w:proofErr w:type="spellEnd"/>
      <w:r>
        <w:t xml:space="preserve">, V. O., Dauda, N., &amp; Adewuyi, S. O. (2023b). Morphology and agronomic evaluation of ten </w:t>
      </w:r>
      <w:proofErr w:type="spellStart"/>
      <w:r>
        <w:t>mungbean</w:t>
      </w:r>
      <w:proofErr w:type="spellEnd"/>
      <w:r>
        <w:t xml:space="preserve"> (</w:t>
      </w:r>
      <w:r>
        <w:rPr>
          <w:i/>
          <w:iCs/>
        </w:rPr>
        <w:t>Vigna radiata</w:t>
      </w:r>
      <w:r>
        <w:t xml:space="preserve"> L.) accessions in derived savanna agroecology of Southeast Nigeria. </w:t>
      </w:r>
      <w:r>
        <w:rPr>
          <w:i/>
          <w:iCs/>
        </w:rPr>
        <w:t>Asian Journal of Biological Sciences</w:t>
      </w:r>
      <w:r>
        <w:t xml:space="preserve">, </w:t>
      </w:r>
      <w:r>
        <w:rPr>
          <w:i/>
          <w:iCs/>
        </w:rPr>
        <w:t>16</w:t>
      </w:r>
      <w:r>
        <w:t>(2), 110–120. https://doi.org/10.3923/ajbs.2023.110.120</w:t>
      </w:r>
    </w:p>
    <w:p w14:paraId="7731E454" w14:textId="77777777" w:rsidR="007213F2" w:rsidRDefault="001E289B">
      <w:pPr>
        <w:spacing w:after="120" w:line="280" w:lineRule="auto"/>
        <w:ind w:left="720" w:hanging="720"/>
      </w:pPr>
      <w:proofErr w:type="spellStart"/>
      <w:r>
        <w:t>Ukwu</w:t>
      </w:r>
      <w:proofErr w:type="spellEnd"/>
      <w:r>
        <w:t xml:space="preserve">, U. N., Muller, O., Meier-Grüll, M., &amp; </w:t>
      </w:r>
      <w:proofErr w:type="spellStart"/>
      <w:r>
        <w:t>Uguru</w:t>
      </w:r>
      <w:proofErr w:type="spellEnd"/>
      <w:r>
        <w:t xml:space="preserve">, M. I. (2025a). Agrivoltaics shading enhanced the microclimate, photosynthesis, growth and yields of </w:t>
      </w:r>
      <w:r>
        <w:rPr>
          <w:i/>
          <w:iCs/>
        </w:rPr>
        <w:t>Vigna radiata</w:t>
      </w:r>
      <w:r>
        <w:t xml:space="preserve"> genotypes in tropical Nigeria. </w:t>
      </w:r>
      <w:r>
        <w:rPr>
          <w:i/>
          <w:iCs/>
        </w:rPr>
        <w:t>Scientific Reports</w:t>
      </w:r>
      <w:r>
        <w:t xml:space="preserve">, </w:t>
      </w:r>
      <w:r>
        <w:rPr>
          <w:i/>
          <w:iCs/>
        </w:rPr>
        <w:t>15</w:t>
      </w:r>
      <w:r>
        <w:t>, 1190. https://doi.org/10.1038/s41598-024-84216-3</w:t>
      </w:r>
    </w:p>
    <w:p w14:paraId="5011592F" w14:textId="77777777" w:rsidR="007213F2" w:rsidRDefault="001E289B">
      <w:pPr>
        <w:spacing w:after="120" w:line="280" w:lineRule="auto"/>
        <w:ind w:left="720" w:hanging="720"/>
      </w:pPr>
      <w:proofErr w:type="spellStart"/>
      <w:r>
        <w:t>Ukwu</w:t>
      </w:r>
      <w:proofErr w:type="spellEnd"/>
      <w:r>
        <w:t xml:space="preserve">, U. N., Muller, O., Meier-Grüll, M., &amp; </w:t>
      </w:r>
      <w:proofErr w:type="spellStart"/>
      <w:r>
        <w:t>Uguru</w:t>
      </w:r>
      <w:proofErr w:type="spellEnd"/>
      <w:r>
        <w:t xml:space="preserve">, M. I. (2025b). Yield sensitivity of </w:t>
      </w:r>
      <w:proofErr w:type="spellStart"/>
      <w:r>
        <w:t>mungbean</w:t>
      </w:r>
      <w:proofErr w:type="spellEnd"/>
      <w:r>
        <w:t xml:space="preserve"> (</w:t>
      </w:r>
      <w:r>
        <w:rPr>
          <w:i/>
          <w:iCs/>
        </w:rPr>
        <w:t>Vigna radiata</w:t>
      </w:r>
      <w:r>
        <w:t xml:space="preserve"> L.) genotypes to different agrivoltaic environments in tropical Nigeria. </w:t>
      </w:r>
      <w:r>
        <w:rPr>
          <w:i/>
          <w:iCs/>
        </w:rPr>
        <w:t>Plants</w:t>
      </w:r>
      <w:r>
        <w:t xml:space="preserve">, </w:t>
      </w:r>
      <w:r>
        <w:rPr>
          <w:i/>
          <w:iCs/>
        </w:rPr>
        <w:t>14</w:t>
      </w:r>
      <w:r>
        <w:t>(9), 1326. https://doi.org/10.3390/plants14091326</w:t>
      </w:r>
    </w:p>
    <w:p w14:paraId="449744DA" w14:textId="77777777" w:rsidR="007213F2" w:rsidRDefault="001E289B">
      <w:pPr>
        <w:spacing w:after="120" w:line="280" w:lineRule="auto"/>
        <w:ind w:left="720" w:hanging="720"/>
      </w:pPr>
      <w:r>
        <w:t xml:space="preserve">Yang, M., Guarin, J. R., </w:t>
      </w:r>
      <w:proofErr w:type="spellStart"/>
      <w:r>
        <w:t>Freduah</w:t>
      </w:r>
      <w:proofErr w:type="spellEnd"/>
      <w:r>
        <w:t xml:space="preserve">, B. S., Wesley, G. O., MacCarthy, D. S., Narh, S., Castellano, A., Jägermeyr, J., Karl, K., Mendez Leal, E., Asseng, S., Zhao, C., Ruane, A. C., &amp; Rosenzweig, C. E. (2025). Climate-crop models to support opportunity crop adaptation in Africa. </w:t>
      </w:r>
      <w:r>
        <w:rPr>
          <w:i/>
          <w:iCs/>
        </w:rPr>
        <w:t>Nature Communications</w:t>
      </w:r>
      <w:r>
        <w:t xml:space="preserve">, </w:t>
      </w:r>
      <w:r>
        <w:rPr>
          <w:i/>
          <w:iCs/>
        </w:rPr>
        <w:t>16</w:t>
      </w:r>
      <w:r>
        <w:t>, 11186. https://doi.org/10.1038/s41467-025-66180-2</w:t>
      </w:r>
    </w:p>
    <w:p w14:paraId="7A3944CB" w14:textId="77777777" w:rsidR="007213F2" w:rsidRDefault="001E289B">
      <w:pPr>
        <w:spacing w:after="120" w:line="280" w:lineRule="auto"/>
        <w:ind w:left="720" w:hanging="720"/>
      </w:pPr>
      <w:r>
        <w:t xml:space="preserve">Yusuf, A. A., </w:t>
      </w:r>
      <w:proofErr w:type="spellStart"/>
      <w:r>
        <w:t>Abaidoo</w:t>
      </w:r>
      <w:proofErr w:type="spellEnd"/>
      <w:r>
        <w:t xml:space="preserve">, R. C., </w:t>
      </w:r>
      <w:proofErr w:type="spellStart"/>
      <w:r>
        <w:t>Iwuafor</w:t>
      </w:r>
      <w:proofErr w:type="spellEnd"/>
      <w:r>
        <w:t xml:space="preserve">, E. N. O., Olufajo, O. O., &amp; Sanginga, N. (2009a). Rotation effects of grain legumes and fallow on maize yield, microbial biomass and chemical properties of an </w:t>
      </w:r>
      <w:proofErr w:type="spellStart"/>
      <w:r>
        <w:lastRenderedPageBreak/>
        <w:t>Alfisol</w:t>
      </w:r>
      <w:proofErr w:type="spellEnd"/>
      <w:r>
        <w:t xml:space="preserve"> in the Nigerian savanna. </w:t>
      </w:r>
      <w:r>
        <w:rPr>
          <w:i/>
          <w:iCs/>
        </w:rPr>
        <w:t>Agriculture, Ecosystems &amp; Environment</w:t>
      </w:r>
      <w:r>
        <w:t xml:space="preserve">, </w:t>
      </w:r>
      <w:r>
        <w:rPr>
          <w:i/>
          <w:iCs/>
        </w:rPr>
        <w:t>129</w:t>
      </w:r>
      <w:r>
        <w:t>(1–3), 325–331. https://doi.org/10.1016/j.agee.2008.10.007</w:t>
      </w:r>
    </w:p>
    <w:p w14:paraId="02112BA4" w14:textId="77777777" w:rsidR="007213F2" w:rsidRDefault="001E289B">
      <w:pPr>
        <w:spacing w:after="120" w:line="280" w:lineRule="auto"/>
        <w:ind w:left="720" w:hanging="720"/>
      </w:pPr>
      <w:r>
        <w:t xml:space="preserve">Yusuf, A. A., </w:t>
      </w:r>
      <w:proofErr w:type="spellStart"/>
      <w:r>
        <w:t>Iwuafor</w:t>
      </w:r>
      <w:proofErr w:type="spellEnd"/>
      <w:r>
        <w:t xml:space="preserve">, E. N. O., </w:t>
      </w:r>
      <w:proofErr w:type="spellStart"/>
      <w:r>
        <w:t>Abaidoo</w:t>
      </w:r>
      <w:proofErr w:type="spellEnd"/>
      <w:r>
        <w:t xml:space="preserve">, R. C., Olufajo, O. O., &amp; Sanginga, N. (2009b). Grain legume rotation benefits to maize in the northern Guinea savanna of Nigeria: Fixed-nitrogen versus other rotation effects. </w:t>
      </w:r>
      <w:r>
        <w:rPr>
          <w:i/>
          <w:iCs/>
        </w:rPr>
        <w:t>Nutrient Cycling in Agroecosystems</w:t>
      </w:r>
      <w:r>
        <w:t xml:space="preserve">, </w:t>
      </w:r>
      <w:r>
        <w:rPr>
          <w:i/>
          <w:iCs/>
        </w:rPr>
        <w:t>84</w:t>
      </w:r>
      <w:r>
        <w:t>(2), 129–139. https://doi.org/10.1007/s10705-008-9232-9</w:t>
      </w:r>
    </w:p>
    <w:sectPr w:rsidR="007213F2">
      <w:headerReference w:type="even" r:id="rId7"/>
      <w:headerReference w:type="default" r:id="rId8"/>
      <w:footerReference w:type="even" r:id="rId9"/>
      <w:footerReference w:type="default" r:id="rId10"/>
      <w:headerReference w:type="first" r:id="rId11"/>
      <w:footerReference w:type="first" r:id="rId12"/>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71934" w14:textId="77777777" w:rsidR="005E79C6" w:rsidRDefault="005E79C6" w:rsidP="000666E6">
      <w:r>
        <w:separator/>
      </w:r>
    </w:p>
  </w:endnote>
  <w:endnote w:type="continuationSeparator" w:id="0">
    <w:p w14:paraId="63B6D1A2" w14:textId="77777777" w:rsidR="005E79C6" w:rsidRDefault="005E79C6" w:rsidP="000666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EC1E29" w14:textId="77777777" w:rsidR="000666E6" w:rsidRDefault="000666E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9549D" w14:textId="77777777" w:rsidR="000666E6" w:rsidRDefault="000666E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AFAAF" w14:textId="77777777" w:rsidR="000666E6" w:rsidRDefault="000666E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1C8679" w14:textId="77777777" w:rsidR="005E79C6" w:rsidRDefault="005E79C6" w:rsidP="000666E6">
      <w:r>
        <w:separator/>
      </w:r>
    </w:p>
  </w:footnote>
  <w:footnote w:type="continuationSeparator" w:id="0">
    <w:p w14:paraId="6C3CF591" w14:textId="77777777" w:rsidR="005E79C6" w:rsidRDefault="005E79C6" w:rsidP="000666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DF8437" w14:textId="09E0593D" w:rsidR="000666E6" w:rsidRDefault="00000000">
    <w:pPr>
      <w:pStyle w:val="Header"/>
    </w:pPr>
    <w:r>
      <w:rPr>
        <w:noProof/>
      </w:rPr>
      <w:pict w14:anchorId="52650E3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82844" o:spid="_x0000_s1026" type="#_x0000_t136" style="position:absolute;margin-left:0;margin-top:0;width:572.65pt;height:63.6pt;rotation:315;z-index:-251655168;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62C10" w14:textId="17ACEAA5" w:rsidR="000666E6" w:rsidRDefault="00000000">
    <w:pPr>
      <w:pStyle w:val="Header"/>
    </w:pPr>
    <w:r>
      <w:rPr>
        <w:noProof/>
      </w:rPr>
      <w:pict w14:anchorId="088955CA">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82845" o:spid="_x0000_s1027" type="#_x0000_t136" style="position:absolute;margin-left:0;margin-top:0;width:572.65pt;height:63.6pt;rotation:315;z-index:-251653120;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04B14E" w14:textId="69296D31" w:rsidR="000666E6" w:rsidRDefault="00000000">
    <w:pPr>
      <w:pStyle w:val="Header"/>
    </w:pPr>
    <w:r>
      <w:rPr>
        <w:noProof/>
      </w:rPr>
      <w:pict w14:anchorId="05820C9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7682843" o:spid="_x0000_s1025" type="#_x0000_t136" style="position:absolute;margin-left:0;margin-top:0;width:572.65pt;height:63.6pt;rotation:315;z-index:-251657216;mso-position-horizontal:center;mso-position-horizontal-relative:margin;mso-position-vertical:center;mso-position-vertical-relative:margin" o:allowincell="f" fillcolor="silver" stroked="f">
          <v:fill opacity=".5"/>
          <v:textpath style="font-family:&quot;Times New Roman&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182298"/>
    <w:multiLevelType w:val="hybridMultilevel"/>
    <w:tmpl w:val="D2FE08DE"/>
    <w:lvl w:ilvl="0" w:tplc="8DF0BBDC">
      <w:start w:val="1"/>
      <w:numFmt w:val="bullet"/>
      <w:lvlText w:val="●"/>
      <w:lvlJc w:val="left"/>
      <w:pPr>
        <w:ind w:left="720" w:hanging="360"/>
      </w:pPr>
    </w:lvl>
    <w:lvl w:ilvl="1" w:tplc="90EA04BE">
      <w:start w:val="1"/>
      <w:numFmt w:val="bullet"/>
      <w:lvlText w:val="○"/>
      <w:lvlJc w:val="left"/>
      <w:pPr>
        <w:ind w:left="1440" w:hanging="360"/>
      </w:pPr>
    </w:lvl>
    <w:lvl w:ilvl="2" w:tplc="51B28362">
      <w:start w:val="1"/>
      <w:numFmt w:val="bullet"/>
      <w:lvlText w:val="■"/>
      <w:lvlJc w:val="left"/>
      <w:pPr>
        <w:ind w:left="2160" w:hanging="360"/>
      </w:pPr>
    </w:lvl>
    <w:lvl w:ilvl="3" w:tplc="E98657A0">
      <w:start w:val="1"/>
      <w:numFmt w:val="bullet"/>
      <w:lvlText w:val="●"/>
      <w:lvlJc w:val="left"/>
      <w:pPr>
        <w:ind w:left="2880" w:hanging="360"/>
      </w:pPr>
    </w:lvl>
    <w:lvl w:ilvl="4" w:tplc="0F5A6156">
      <w:start w:val="1"/>
      <w:numFmt w:val="bullet"/>
      <w:lvlText w:val="○"/>
      <w:lvlJc w:val="left"/>
      <w:pPr>
        <w:ind w:left="3600" w:hanging="360"/>
      </w:pPr>
    </w:lvl>
    <w:lvl w:ilvl="5" w:tplc="AA4A5EB2">
      <w:start w:val="1"/>
      <w:numFmt w:val="bullet"/>
      <w:lvlText w:val="■"/>
      <w:lvlJc w:val="left"/>
      <w:pPr>
        <w:ind w:left="4320" w:hanging="360"/>
      </w:pPr>
    </w:lvl>
    <w:lvl w:ilvl="6" w:tplc="68A877E2">
      <w:start w:val="1"/>
      <w:numFmt w:val="bullet"/>
      <w:lvlText w:val="●"/>
      <w:lvlJc w:val="left"/>
      <w:pPr>
        <w:ind w:left="5040" w:hanging="360"/>
      </w:pPr>
    </w:lvl>
    <w:lvl w:ilvl="7" w:tplc="9D6E1ECC">
      <w:start w:val="1"/>
      <w:numFmt w:val="bullet"/>
      <w:lvlText w:val="●"/>
      <w:lvlJc w:val="left"/>
      <w:pPr>
        <w:ind w:left="5760" w:hanging="360"/>
      </w:pPr>
    </w:lvl>
    <w:lvl w:ilvl="8" w:tplc="E610AA6C">
      <w:start w:val="1"/>
      <w:numFmt w:val="bullet"/>
      <w:lvlText w:val="●"/>
      <w:lvlJc w:val="left"/>
      <w:pPr>
        <w:ind w:left="6480" w:hanging="360"/>
      </w:pPr>
    </w:lvl>
  </w:abstractNum>
  <w:num w:numId="1" w16cid:durableId="14207132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4"/>
  <w:displayBackgroundShape/>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3F2"/>
    <w:rsid w:val="000666E6"/>
    <w:rsid w:val="001E289B"/>
    <w:rsid w:val="002F19D9"/>
    <w:rsid w:val="005E79C6"/>
    <w:rsid w:val="00626C97"/>
    <w:rsid w:val="00706430"/>
    <w:rsid w:val="007213F2"/>
    <w:rsid w:val="00866AB2"/>
    <w:rsid w:val="009068ED"/>
    <w:rsid w:val="00A54C74"/>
    <w:rsid w:val="00C4546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CC2F27"/>
  <w15:docId w15:val="{B4827A6B-193C-4789-AEAF-BEBFAE9017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0666E6"/>
    <w:pPr>
      <w:tabs>
        <w:tab w:val="center" w:pos="4680"/>
        <w:tab w:val="right" w:pos="9360"/>
      </w:tabs>
    </w:pPr>
  </w:style>
  <w:style w:type="character" w:customStyle="1" w:styleId="HeaderChar">
    <w:name w:val="Header Char"/>
    <w:basedOn w:val="DefaultParagraphFont"/>
    <w:link w:val="Header"/>
    <w:uiPriority w:val="99"/>
    <w:rsid w:val="000666E6"/>
  </w:style>
  <w:style w:type="paragraph" w:styleId="Footer">
    <w:name w:val="footer"/>
    <w:basedOn w:val="Normal"/>
    <w:link w:val="FooterChar"/>
    <w:uiPriority w:val="99"/>
    <w:unhideWhenUsed/>
    <w:rsid w:val="000666E6"/>
    <w:pPr>
      <w:tabs>
        <w:tab w:val="center" w:pos="4680"/>
        <w:tab w:val="right" w:pos="9360"/>
      </w:tabs>
    </w:pPr>
  </w:style>
  <w:style w:type="character" w:customStyle="1" w:styleId="FooterChar">
    <w:name w:val="Footer Char"/>
    <w:basedOn w:val="DefaultParagraphFont"/>
    <w:link w:val="Footer"/>
    <w:uiPriority w:val="99"/>
    <w:rsid w:val="000666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27</Pages>
  <Words>15519</Words>
  <Characters>88464</Characters>
  <Application>Microsoft Office Word</Application>
  <DocSecurity>0</DocSecurity>
  <Lines>737</Lines>
  <Paragraphs>207</Paragraphs>
  <ScaleCrop>false</ScaleCrop>
  <Company>HP</Company>
  <LinksUpToDate>false</LinksUpToDate>
  <CharactersWithSpaces>103776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SDI 1067</cp:lastModifiedBy>
  <cp:revision>6</cp:revision>
  <dcterms:created xsi:type="dcterms:W3CDTF">2026-08-11T20:42:00Z</dcterms:created>
  <dcterms:modified xsi:type="dcterms:W3CDTF">2026-08-19T06:18:00Z</dcterms:modified>
</cp:coreProperties>
</file>