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7595F" w14:textId="3192A6F8" w:rsidR="00DC429E" w:rsidRDefault="00DC429E" w:rsidP="00300EEC">
      <w:pPr>
        <w:spacing w:line="360" w:lineRule="auto"/>
        <w:jc w:val="both"/>
        <w:rPr>
          <w:rFonts w:ascii="Times New Roman" w:hAnsi="Times New Roman" w:cs="Times New Roman"/>
          <w:b/>
          <w:bCs/>
        </w:rPr>
      </w:pPr>
      <w:r w:rsidRPr="00300EEC">
        <w:rPr>
          <w:rFonts w:ascii="Times New Roman" w:hAnsi="Times New Roman" w:cs="Times New Roman"/>
          <w:b/>
          <w:bCs/>
        </w:rPr>
        <w:t xml:space="preserve">Performance Evaluation of Pearl Millet (Pennisetum glaucum L.) Genotypes for Yield and Yield Contributing Traits </w:t>
      </w:r>
    </w:p>
    <w:p w14:paraId="5623AC9A" w14:textId="77777777" w:rsidR="00331488" w:rsidRDefault="00331488" w:rsidP="00300EEC">
      <w:pPr>
        <w:widowControl w:val="0"/>
        <w:autoSpaceDE w:val="0"/>
        <w:autoSpaceDN w:val="0"/>
        <w:spacing w:before="114" w:after="0" w:line="360" w:lineRule="auto"/>
        <w:ind w:left="28"/>
        <w:jc w:val="both"/>
        <w:rPr>
          <w:rFonts w:ascii="Times New Roman" w:hAnsi="Times New Roman" w:cs="Times New Roman"/>
        </w:rPr>
      </w:pPr>
    </w:p>
    <w:p w14:paraId="29A01BB2" w14:textId="0CDEB072" w:rsidR="00DC429E" w:rsidRPr="00DC429E" w:rsidRDefault="00DC429E" w:rsidP="00300EEC">
      <w:pPr>
        <w:widowControl w:val="0"/>
        <w:autoSpaceDE w:val="0"/>
        <w:autoSpaceDN w:val="0"/>
        <w:spacing w:before="114" w:after="0" w:line="360" w:lineRule="auto"/>
        <w:ind w:left="28"/>
        <w:jc w:val="both"/>
        <w:rPr>
          <w:rFonts w:ascii="Times New Roman" w:eastAsia="Cambria" w:hAnsi="Times New Roman" w:cs="Times New Roman"/>
          <w:b/>
          <w:i/>
          <w:kern w:val="0"/>
          <w:lang w:val="en-US"/>
          <w14:ligatures w14:val="none"/>
        </w:rPr>
      </w:pPr>
      <w:r w:rsidRPr="00DC429E">
        <w:rPr>
          <w:rFonts w:ascii="Times New Roman" w:eastAsia="Cambria" w:hAnsi="Times New Roman" w:cs="Times New Roman"/>
          <w:b/>
          <w:i/>
          <w:spacing w:val="-2"/>
          <w:kern w:val="0"/>
          <w:lang w:val="en-US"/>
          <w14:ligatures w14:val="none"/>
        </w:rPr>
        <w:t>ABSTRACT</w:t>
      </w:r>
    </w:p>
    <w:p w14:paraId="7E533D13" w14:textId="77777777" w:rsidR="00DC429E" w:rsidRPr="00DC429E" w:rsidRDefault="00DC429E" w:rsidP="00300EEC">
      <w:pPr>
        <w:widowControl w:val="0"/>
        <w:autoSpaceDE w:val="0"/>
        <w:autoSpaceDN w:val="0"/>
        <w:spacing w:before="5" w:after="0" w:line="360" w:lineRule="auto"/>
        <w:jc w:val="both"/>
        <w:rPr>
          <w:rFonts w:ascii="Times New Roman" w:eastAsia="Cambria" w:hAnsi="Times New Roman" w:cs="Times New Roman"/>
          <w:b/>
          <w:i/>
          <w:kern w:val="0"/>
          <w:lang w:val="en-US"/>
          <w14:ligatures w14:val="none"/>
        </w:rPr>
      </w:pPr>
      <w:r w:rsidRPr="00DC429E">
        <w:rPr>
          <w:rFonts w:ascii="Times New Roman" w:eastAsia="Cambria" w:hAnsi="Times New Roman" w:cs="Times New Roman"/>
          <w:b/>
          <w:i/>
          <w:noProof/>
          <w:kern w:val="0"/>
          <w:lang w:val="en-US"/>
          <w14:ligatures w14:val="none"/>
        </w:rPr>
        <mc:AlternateContent>
          <mc:Choice Requires="wps">
            <w:drawing>
              <wp:anchor distT="0" distB="0" distL="0" distR="0" simplePos="0" relativeHeight="251659264" behindDoc="1" locked="0" layoutInCell="1" allowOverlap="1" wp14:anchorId="6DF713CD" wp14:editId="3ABF8D05">
                <wp:simplePos x="0" y="0"/>
                <wp:positionH relativeFrom="page">
                  <wp:posOffset>288000</wp:posOffset>
                </wp:positionH>
                <wp:positionV relativeFrom="paragraph">
                  <wp:posOffset>41138</wp:posOffset>
                </wp:positionV>
                <wp:extent cx="698436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4" y="0"/>
                              </a:lnTo>
                            </a:path>
                          </a:pathLst>
                        </a:custGeom>
                        <a:ln w="9000">
                          <a:solidFill>
                            <a:srgbClr val="073849"/>
                          </a:solidFill>
                          <a:prstDash val="solid"/>
                        </a:ln>
                      </wps:spPr>
                      <wps:bodyPr wrap="square" lIns="0" tIns="0" rIns="0" bIns="0" rtlCol="0">
                        <a:prstTxWarp prst="textNoShape">
                          <a:avLst/>
                        </a:prstTxWarp>
                        <a:noAutofit/>
                      </wps:bodyPr>
                    </wps:wsp>
                  </a:graphicData>
                </a:graphic>
              </wp:anchor>
            </w:drawing>
          </mc:Choice>
          <mc:Fallback>
            <w:pict>
              <v:shape w14:anchorId="714349FD" id="Graphic 10" o:spid="_x0000_s1026" style="position:absolute;margin-left:22.7pt;margin-top:3.25pt;width:549.9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" path="m,l6983994,e" filled="f" strokecolor="#073849" strokeweight=".25mm">
                <v:path arrowok="t"/>
                <w10:wrap type="topAndBottom" anchorx="page"/>
              </v:shape>
            </w:pict>
          </mc:Fallback>
        </mc:AlternateContent>
      </w:r>
    </w:p>
    <w:p w14:paraId="5A5AF1B2" w14:textId="77777777" w:rsidR="00DC429E" w:rsidRPr="00DC429E" w:rsidRDefault="00DC429E" w:rsidP="00300EEC">
      <w:pPr>
        <w:widowControl w:val="0"/>
        <w:autoSpaceDE w:val="0"/>
        <w:autoSpaceDN w:val="0"/>
        <w:spacing w:before="57" w:after="0" w:line="360" w:lineRule="auto"/>
        <w:ind w:left="27" w:right="26"/>
        <w:jc w:val="both"/>
        <w:rPr>
          <w:rFonts w:ascii="Times New Roman" w:eastAsia="Cambria" w:hAnsi="Times New Roman" w:cs="Times New Roman"/>
          <w:i/>
          <w:kern w:val="0"/>
          <w:lang w:val="en-US"/>
          <w14:ligatures w14:val="none"/>
        </w:rPr>
      </w:pPr>
      <w:r w:rsidRPr="00DC429E">
        <w:rPr>
          <w:rFonts w:ascii="Times New Roman" w:eastAsia="Cambria" w:hAnsi="Times New Roman" w:cs="Times New Roman"/>
          <w:i/>
          <w:color w:val="0D0D0D"/>
          <w:kern w:val="0"/>
          <w:lang w:val="en-US"/>
          <w14:ligatures w14:val="none"/>
        </w:rPr>
        <w:t xml:space="preserve"> The present investigation was conducted to evaluate the performance of twelve pearl millet genotypes for ten important quantitative characters related to growth, yield, and fodder production. The experiment comprised genotypes namely KBH-3940, Bio-448, M-86, MP-7792, JHBH-676, HHB-223, Nandi-61, GHB-732, HHB-197, NMH-68, Pusa-322, and JBH-1.  Early flowering was recorded in NMH-68 (61.33 days) and GHB-732 (63.33 days), whereas HHB-223 exhibited late flowering (80.00 days). Maximum grain yield per plant was observed in GHB-732 (18.05 g), followed by JHBH-676 (16.65 g) and KBH-3940 (16.25 g). Highest green fodder yield was recorded in Bio-448 (383.60 g), while MP-7792 exhibited maximum plant height (285.95 cm). The genotype JBH-1 showed maximum leaf length (73.58 cm), whereas MP-7792 recorded the highest panicle length (50.95 cm). The findings indicated that GHB-732, Bio-448, JHBH-676, and KBH-3940 performed superiorly for grain and fodder yield traits and may be utilized in future breeding </w:t>
      </w:r>
      <w:proofErr w:type="spellStart"/>
      <w:r w:rsidRPr="00DC429E">
        <w:rPr>
          <w:rFonts w:ascii="Times New Roman" w:eastAsia="Cambria" w:hAnsi="Times New Roman" w:cs="Times New Roman"/>
          <w:i/>
          <w:color w:val="0D0D0D"/>
          <w:kern w:val="0"/>
          <w:lang w:val="en-US"/>
          <w14:ligatures w14:val="none"/>
        </w:rPr>
        <w:t>programmes</w:t>
      </w:r>
      <w:proofErr w:type="spellEnd"/>
      <w:r w:rsidRPr="00DC429E">
        <w:rPr>
          <w:rFonts w:ascii="Times New Roman" w:eastAsia="Cambria" w:hAnsi="Times New Roman" w:cs="Times New Roman"/>
          <w:i/>
          <w:color w:val="0D0D0D"/>
          <w:kern w:val="0"/>
          <w:lang w:val="en-US"/>
          <w14:ligatures w14:val="none"/>
        </w:rPr>
        <w:t xml:space="preserve"> for crop improvement. </w:t>
      </w:r>
    </w:p>
    <w:p w14:paraId="7F69010C" w14:textId="0545E3DF"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
          <w:spacing w:val="-2"/>
          <w:kern w:val="0"/>
          <w:lang w:val="en-US"/>
          <w14:ligatures w14:val="none"/>
        </w:rPr>
      </w:pPr>
      <w:r w:rsidRPr="00DC429E">
        <w:rPr>
          <w:rFonts w:ascii="Times New Roman" w:eastAsia="Cambria" w:hAnsi="Times New Roman" w:cs="Times New Roman"/>
          <w:b/>
          <w:i/>
          <w:spacing w:val="-2"/>
          <w:kern w:val="0"/>
          <w:lang w:val="en-US"/>
          <w14:ligatures w14:val="none"/>
        </w:rPr>
        <w:t>Keywords:</w:t>
      </w:r>
      <w:r w:rsidRPr="00DC429E">
        <w:rPr>
          <w:rFonts w:ascii="Times New Roman" w:eastAsia="Cambria" w:hAnsi="Times New Roman" w:cs="Times New Roman"/>
          <w:i/>
          <w:spacing w:val="-10"/>
          <w:kern w:val="0"/>
          <w:lang w:val="en-US"/>
          <w14:ligatures w14:val="none"/>
        </w:rPr>
        <w:t xml:space="preserve"> genotypes, grain yield, fodder yield, variability, panicle length, growth traits</w:t>
      </w:r>
      <w:r w:rsidRPr="00DC429E">
        <w:rPr>
          <w:rFonts w:ascii="Times New Roman" w:eastAsia="Cambria" w:hAnsi="Times New Roman" w:cs="Times New Roman"/>
          <w:i/>
          <w:spacing w:val="-2"/>
          <w:kern w:val="0"/>
          <w:lang w:val="en-US"/>
          <w14:ligatures w14:val="none"/>
        </w:rPr>
        <w:t>.</w:t>
      </w:r>
    </w:p>
    <w:p w14:paraId="3912C4C2"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INTRODUCTION</w:t>
      </w:r>
    </w:p>
    <w:p w14:paraId="20130E56"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Pearl millet (Pennisetum glaucum L.) is one of the most important cereal crops cultivated in arid and semi-arid regions of Asia and Africa. It is widely grown under rainfed conditions due to its excellent adaptability to drought, high temperature, and low soil fertility. In India, pearl millet occupies a significant position among food and fodder crops and contributes greatly to nutritional and livelihood security of resource-poor farmers. The crop is valued not only for grain production but also for its green fodder and dry matter yield, which are highly useful for livestock feeding. Pearl millet grains are rich in carbohydrates, proteins, minerals, iron, zinc, and dietary fiber, making it an important nutritional cereal for human consumption. Improvement of grain and fodder yield is the major objective of pearl millet breeding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 xml:space="preserve">. Yield is a complex quantitative trait influenced by several morphological and physiological characters such as flowering duration, tillering ability, plant height, leaf characters, panicle length, and grain weight. Therefore, evaluation of genotypes for these traits is essential for identifying superior cultivars and understanding the extent of variability present in the breeding material. Genetic variability provides opportunities for effective selection and development of improved high-yielding varieties. The present investigation was undertaken to evaluate twelve pearl millet genotypes for important growth, yield, and fodder-related traits. The study aimed to identify superior genotypes suitable for future breeding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 xml:space="preserve"> and cultivation under diverse </w:t>
      </w:r>
      <w:proofErr w:type="spellStart"/>
      <w:r w:rsidRPr="00300EEC">
        <w:rPr>
          <w:rFonts w:ascii="Times New Roman" w:eastAsia="Cambria" w:hAnsi="Times New Roman" w:cs="Times New Roman"/>
          <w:iCs/>
          <w:kern w:val="0"/>
          <w:lang w:val="en-US"/>
          <w14:ligatures w14:val="none"/>
        </w:rPr>
        <w:t>agro</w:t>
      </w:r>
      <w:proofErr w:type="spellEnd"/>
      <w:r w:rsidRPr="00300EEC">
        <w:rPr>
          <w:rFonts w:ascii="Times New Roman" w:eastAsia="Cambria" w:hAnsi="Times New Roman" w:cs="Times New Roman"/>
          <w:iCs/>
          <w:kern w:val="0"/>
          <w:lang w:val="en-US"/>
          <w14:ligatures w14:val="none"/>
        </w:rPr>
        <w:t>-climatic conditions. In recent years, the demand for dual-purpose pearl millet varieties possessing both high grain and fodder yield has increased considerably due to climate change and shortage of quality fodder resources.</w:t>
      </w:r>
    </w:p>
    <w:p w14:paraId="1F2AB9C0" w14:textId="65438DB1"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Identification of promising genotypes with desirable agronomic traits can help in improving productivity and sustainability of pearl millet cultivation. Therefore, systematic evaluation of available genetic resources is essential for developing superior cultivars suitable for different environmental conditions and farming systems.</w:t>
      </w:r>
    </w:p>
    <w:p w14:paraId="4524C96D"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 xml:space="preserve">MATERIALS AND METHODS </w:t>
      </w:r>
    </w:p>
    <w:p w14:paraId="2F5029CC"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The present investigation entitled “Genetic Variability, Correlation and Path Coefficient Analysis for Yield Attributing Traits in Pearl Millet (Pennisetum glaucum (L.) R. Br.)” was carried out during Kharif 2025–26 at the Rainfed Agriculture Farm. </w:t>
      </w:r>
      <w:r w:rsidRPr="00300EEC">
        <w:rPr>
          <w:rFonts w:ascii="Times New Roman" w:eastAsia="Cambria" w:hAnsi="Times New Roman" w:cs="Times New Roman"/>
          <w:iCs/>
          <w:kern w:val="0"/>
          <w:lang w:val="en-US"/>
          <w14:ligatures w14:val="none"/>
        </w:rPr>
        <w:lastRenderedPageBreak/>
        <w:t xml:space="preserve">Narayan Bagh, Department of Genetics and Plant Breeding, Institute of Agricultural Sciences, Bundelkhand University, Jhansi, Uttar Pradesh, India. Jhansi is situated in the Bundelkhand region and is characterized by a semi-arid climate with hot summers and moderate rainfall during the monsoon season. The experimental field possessed uniform fertility and was prepared according to recommended agronomic practices for pearl millet cultivation. The experimental material consisted of twelve genotypes namely KBH-3940, Bio-448, M-86, MP-7792, JHBH-676, HHB-223, Nandi-61, GHB-732, HHB-197, NMH-68, Pusa-322, and JBH-1. The experiment was laid out in a Randomized Block Design (RBD) with appropriate replications to minimize environmental variation and ensure accuracy of observations. </w:t>
      </w:r>
    </w:p>
    <w:p w14:paraId="316050BA"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These genotypes were collected from different breeding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 xml:space="preserve"> and evaluated for their performance with respect to yield and yield-contributing traits.</w:t>
      </w:r>
    </w:p>
    <w:p w14:paraId="4C76F258"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The experiment was laid out in a Randomized Block Design (RBD) with three replications. Each genotype was sown in a plot consisting of two rows of 3 m length. Recommended agronomic practices were followed throughout the crop growth period to ensure a healthy crop stand. Necessary intercultural operations, irrigation (as and when required), weed management and plant protection measures were undertaken uniformly for all the entries. </w:t>
      </w:r>
    </w:p>
    <w:p w14:paraId="0A3BE859"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p>
    <w:p w14:paraId="374D51A9"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Observations were recorded on five randomly selected competitive plants from each plot in each replication, and their mean values were used for statistical analysis. Data were recorded on the following ten quantitative characters:</w:t>
      </w:r>
    </w:p>
    <w:p w14:paraId="2C428422"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Days to 50% Flowering</w:t>
      </w:r>
    </w:p>
    <w:p w14:paraId="0ED3C7A0"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The number of days from the date of sowing to the stage when approximately 50 per cent of the plants in a plot showed flowering was recorded.</w:t>
      </w:r>
    </w:p>
    <w:p w14:paraId="6D9DEC3C"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Plant Height (cm)</w:t>
      </w:r>
    </w:p>
    <w:p w14:paraId="5E7CB2F4"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Plant height was measured from the ground surface to the tip of the panicle at physiological maturity and expressed in centimeters.</w:t>
      </w:r>
    </w:p>
    <w:p w14:paraId="70EA2FE7"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Number of Tillers per Plant</w:t>
      </w:r>
    </w:p>
    <w:p w14:paraId="633C9505"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The total number of productive tillers produced by each selected plant at maturity was counted and averaged.</w:t>
      </w:r>
    </w:p>
    <w:p w14:paraId="262DD46F"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Leaf Length (cm)</w:t>
      </w:r>
    </w:p>
    <w:p w14:paraId="473B6437"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Leaf length was measured in centimeters from the base of the leaf blade to the tip of the fully expanded flag leaf using a measuring scale.</w:t>
      </w:r>
    </w:p>
    <w:p w14:paraId="4C806D2B"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Leaf Width (cm)</w:t>
      </w:r>
    </w:p>
    <w:p w14:paraId="75E8E6A1"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Leaf width was measured at the broadest portion of the fully expanded flag leaf and expressed in centimeters.</w:t>
      </w:r>
    </w:p>
    <w:p w14:paraId="02E4B0CB"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Panicle Length (cm)</w:t>
      </w:r>
    </w:p>
    <w:p w14:paraId="1A5F0A6E"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Panicle length was measured from the base to the tip of the panicle after maturity and expressed in centimeters.</w:t>
      </w:r>
    </w:p>
    <w:p w14:paraId="4B1FD7A8"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Grain Yield per Plant (g)</w:t>
      </w:r>
    </w:p>
    <w:p w14:paraId="1FA133A1"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After harvesting and threshing, the grain obtained from each selected plant was weighed and expressed in grams.</w:t>
      </w:r>
    </w:p>
    <w:p w14:paraId="06467B0A"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Dry Matter Yield per Plant (g)</w:t>
      </w:r>
    </w:p>
    <w:p w14:paraId="58EAD00D"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lastRenderedPageBreak/>
        <w:t>The harvested plant samples were sun-dried and subsequently oven-dried to a constant weight. Dry matter yield per plant was recorded in grams.</w:t>
      </w:r>
    </w:p>
    <w:p w14:paraId="433C5D03"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1000-Grain Weight (g)</w:t>
      </w:r>
    </w:p>
    <w:p w14:paraId="7DC91134"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A random sample of 1000 well-filled grains from each genotype was counted and weighed using a precision balance. The weight was expressed in grams.</w:t>
      </w:r>
    </w:p>
    <w:p w14:paraId="25A60548"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Green Fodder Yield per Plant (g)</w:t>
      </w:r>
    </w:p>
    <w:p w14:paraId="6D256BB4"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The fresh biomass obtained from each selected plant at harvest was weighed immediately after cutting and expressed in grams.</w:t>
      </w:r>
    </w:p>
    <w:p w14:paraId="4FA1BC58"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The mean data obtained from all observations were subjected to statistical analysis. Analysis of variance (ANOVA) was performed according to the procedure described by Panse and </w:t>
      </w:r>
      <w:proofErr w:type="spellStart"/>
      <w:r w:rsidRPr="00300EEC">
        <w:rPr>
          <w:rFonts w:ascii="Times New Roman" w:eastAsia="Cambria" w:hAnsi="Times New Roman" w:cs="Times New Roman"/>
          <w:iCs/>
          <w:kern w:val="0"/>
          <w:lang w:val="en-US"/>
          <w14:ligatures w14:val="none"/>
        </w:rPr>
        <w:t>Sukhatme</w:t>
      </w:r>
      <w:proofErr w:type="spellEnd"/>
      <w:r w:rsidRPr="00300EEC">
        <w:rPr>
          <w:rFonts w:ascii="Times New Roman" w:eastAsia="Cambria" w:hAnsi="Times New Roman" w:cs="Times New Roman"/>
          <w:iCs/>
          <w:kern w:val="0"/>
          <w:lang w:val="en-US"/>
          <w14:ligatures w14:val="none"/>
        </w:rPr>
        <w:t xml:space="preserve"> (1985) for Randomized Block Design to test the significance of differences among genotypes. </w:t>
      </w:r>
    </w:p>
    <w:p w14:paraId="0AC361CD"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Genotypic coefficient of variation (GCV) and phenotypic coefficient of variation (PCV) were estimated following Burton and DeVane (1953). Broad-sense heritability was calculated according to Hanson et al. (1956), while genetic advance as percentage of mean was estimated using the method suggested by Johnson et al. (1955).</w:t>
      </w:r>
    </w:p>
    <w:p w14:paraId="4D4E3E78"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Genotypic and phenotypic correlation coefficients among different traits were computed following the method of Al-</w:t>
      </w:r>
      <w:proofErr w:type="spellStart"/>
      <w:r w:rsidRPr="00300EEC">
        <w:rPr>
          <w:rFonts w:ascii="Times New Roman" w:eastAsia="Cambria" w:hAnsi="Times New Roman" w:cs="Times New Roman"/>
          <w:iCs/>
          <w:kern w:val="0"/>
          <w:lang w:val="en-US"/>
          <w14:ligatures w14:val="none"/>
        </w:rPr>
        <w:t>Jibouri</w:t>
      </w:r>
      <w:proofErr w:type="spellEnd"/>
      <w:r w:rsidRPr="00300EEC">
        <w:rPr>
          <w:rFonts w:ascii="Times New Roman" w:eastAsia="Cambria" w:hAnsi="Times New Roman" w:cs="Times New Roman"/>
          <w:iCs/>
          <w:kern w:val="0"/>
          <w:lang w:val="en-US"/>
          <w14:ligatures w14:val="none"/>
        </w:rPr>
        <w:t xml:space="preserve"> et al. (1958). Path coefficient analysis was carried out according to Wright (1921) and later modified by Dewey and Lu (1959) to partition correlation coefficients into direct and indirect effects and to identify the most important yield-contributing traits influencing green fodder yield per plant.</w:t>
      </w:r>
    </w:p>
    <w:p w14:paraId="4DBF5C8E"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p>
    <w:p w14:paraId="414EA10E"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 xml:space="preserve">RESULTS AND DISCUSSION </w:t>
      </w:r>
    </w:p>
    <w:p w14:paraId="00857E64" w14:textId="78588D16"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The mean performance of twelve pearl millet genotypes for ten quantitative traits is presented in Table</w:t>
      </w:r>
      <w:r w:rsidR="00E9233C">
        <w:rPr>
          <w:rFonts w:ascii="Times New Roman" w:eastAsia="Cambria" w:hAnsi="Times New Roman" w:cs="Times New Roman"/>
          <w:iCs/>
          <w:kern w:val="0"/>
          <w:lang w:val="en-US"/>
          <w14:ligatures w14:val="none"/>
        </w:rPr>
        <w:t xml:space="preserve"> </w:t>
      </w:r>
      <w:r w:rsidRPr="00300EEC">
        <w:rPr>
          <w:rFonts w:ascii="Times New Roman" w:eastAsia="Cambria" w:hAnsi="Times New Roman" w:cs="Times New Roman"/>
          <w:iCs/>
          <w:kern w:val="0"/>
          <w:lang w:val="en-US"/>
          <w14:ligatures w14:val="none"/>
        </w:rPr>
        <w:t xml:space="preserve">.2. Considerable variability was observed among the genotypes for all the characters studied, indicating the existence of substantial genetic diversity that may be effectively utilized in breeding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 xml:space="preserve">. </w:t>
      </w:r>
    </w:p>
    <w:p w14:paraId="1C4E6FD0"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Days to 50% Flowering</w:t>
      </w:r>
    </w:p>
    <w:p w14:paraId="711915DD" w14:textId="155348A6"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Days to 50% flowering ranged from 61.33 days in NMH-68 to 80.00 days in HHB-223 with an overall mean of 68.98 days. The genotypes NMH-68, GHB-732 and Nandi-61 were identified as early flowering entries, whereas HHB-223 and Bio-448 were relatively late flowering. Earliness is considered an important trait under rainfed conditions as it enables plants to escape terminal drought stress. Similar variability for flowering </w:t>
      </w:r>
      <w:proofErr w:type="spellStart"/>
      <w:r w:rsidRPr="00300EEC">
        <w:rPr>
          <w:rFonts w:ascii="Times New Roman" w:eastAsia="Cambria" w:hAnsi="Times New Roman" w:cs="Times New Roman"/>
          <w:iCs/>
          <w:kern w:val="0"/>
          <w:lang w:val="en-US"/>
          <w14:ligatures w14:val="none"/>
        </w:rPr>
        <w:t>behaviour</w:t>
      </w:r>
      <w:proofErr w:type="spellEnd"/>
      <w:r w:rsidRPr="00300EEC">
        <w:rPr>
          <w:rFonts w:ascii="Times New Roman" w:eastAsia="Cambria" w:hAnsi="Times New Roman" w:cs="Times New Roman"/>
          <w:iCs/>
          <w:kern w:val="0"/>
          <w:lang w:val="en-US"/>
          <w14:ligatures w14:val="none"/>
        </w:rPr>
        <w:t xml:space="preserve"> in pearl millet was reported by Yadav et al. (2017), Anuradha et al. (2017) and Patel et al. (2022), who observed significant differences among genotypes for maturity-related traits.</w:t>
      </w:r>
    </w:p>
    <w:p w14:paraId="4B7D8E9D" w14:textId="3716D64E"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Plant Height (cm)</w:t>
      </w:r>
    </w:p>
    <w:p w14:paraId="45523518" w14:textId="02284B8D"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Plant height varied considerably among genotypes, ranging from 193.83 cm in HHB-223 to 285.95 cm in MP-7792. The genotype MP-7792 was the tallest, followed by GHB-732 and JBH-1. Greater plant height generally contributes to enhanced biomass production and green fodder yield. Similar observations were reported by Anuradha et al. (2017), Yadav et al. (2017), Gupta et al. (2016) and Yadav et al. (2021), who reported substantial variability for plant stature in pearl millet germplasm.</w:t>
      </w:r>
    </w:p>
    <w:p w14:paraId="08A07E8D" w14:textId="5EE71233"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Number of Tillers per Plant</w:t>
      </w:r>
    </w:p>
    <w:p w14:paraId="40295FC1" w14:textId="61B20E49"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lastRenderedPageBreak/>
        <w:t>The number of tillers per plant varied from 2.90 in NMH-68 to 3.64 in Bio-448, with a mean value of 3.22. Bio-448, JHBH-676 and GHB-732 recorded superior tillering ability. Productive tillers are important determinants of both grain and fodder yield because they increase biomass accumulation and reproductive potential. Similar observations were reported by Govindaraj et al. (2019), Singh et al. (2018) and Yadav et al. (2021), who identified tiller number as an important yield-contributing trait in pearl millet.</w:t>
      </w:r>
    </w:p>
    <w:p w14:paraId="76662AE6" w14:textId="06DAFC9C"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Leaf Length and Leaf Width</w:t>
      </w:r>
    </w:p>
    <w:p w14:paraId="18E4F691" w14:textId="1A19AA5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Leaf length ranged from 41.48 cm in M-86 to 73.58 cm in JBH-1, while leaf width varied from 2.15 cm in NMH-68 to 3.84 cm in Pusa-322. The genotypes JBH-1, Pusa-322, NMH-68 and GHB-732 exhibited superior leaf dimensions. Larger leaves</w:t>
      </w:r>
      <w:r w:rsidRPr="00300EEC">
        <w:rPr>
          <w:rFonts w:ascii="Times New Roman" w:hAnsi="Times New Roman" w:cs="Times New Roman"/>
        </w:rPr>
        <w:t xml:space="preserve"> </w:t>
      </w:r>
      <w:r w:rsidRPr="00300EEC">
        <w:rPr>
          <w:rFonts w:ascii="Times New Roman" w:eastAsia="Cambria" w:hAnsi="Times New Roman" w:cs="Times New Roman"/>
          <w:iCs/>
          <w:kern w:val="0"/>
          <w:lang w:val="en-US"/>
          <w14:ligatures w14:val="none"/>
        </w:rPr>
        <w:t xml:space="preserve">enhance the photosynthetic surface area, resulting in greater assimilation of photosynthates and improved biomass accumulation, ultimately contributing higher fodder productivity. Considerable variability for leaf traits among pearl millet genotypes has also been reported by Govindaraj et al. (2019), Anuradha et al. (2017) and Patel et al. (2022), indicating the importance of these characters in forage improvement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 xml:space="preserve">. </w:t>
      </w:r>
    </w:p>
    <w:p w14:paraId="3348BA76" w14:textId="65A891E3"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Panicle Length (cm)</w:t>
      </w:r>
    </w:p>
    <w:p w14:paraId="362F4235" w14:textId="0EF199D8"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Panicle length exhibited wide variation among the genotypes, ranging from 31.42 cm in KBH-3940 to 56.90 cm in Nandi-61, with an overall mean of 46.75 cm. The genotypes Nandi-61, NMH-68 and JBH-1 recorded comparatively longer panicles. Panicle length is an important yield-attributing character because it influences the number of grains produced per panicle. Similar findings were reported by Yadav et al. (2017), Singh et al. (2018) and Govindaraj et al. (2019), who observed substantial variability for panicle length among pearl millet genotypes. </w:t>
      </w:r>
    </w:p>
    <w:p w14:paraId="320598E1" w14:textId="65A7A7EB"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Grain Yield per Plant (g)</w:t>
      </w:r>
    </w:p>
    <w:p w14:paraId="313366D7" w14:textId="6BE1C1E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Grain yield per plant ranged from 9.55 g in M-86 to 18.05 g in GHB-732, with an average of 14.30 g. The highest grain yield was recorded in GHB-732, followed by JHBH-676, KBH-3940 and Bio-448. Higher grain yield may be attributed to the combined influence of </w:t>
      </w:r>
      <w:proofErr w:type="spellStart"/>
      <w:r w:rsidRPr="00300EEC">
        <w:rPr>
          <w:rFonts w:ascii="Times New Roman" w:eastAsia="Cambria" w:hAnsi="Times New Roman" w:cs="Times New Roman"/>
          <w:iCs/>
          <w:kern w:val="0"/>
          <w:lang w:val="en-US"/>
          <w14:ligatures w14:val="none"/>
        </w:rPr>
        <w:t>favourable</w:t>
      </w:r>
      <w:proofErr w:type="spellEnd"/>
      <w:r w:rsidRPr="00300EEC">
        <w:rPr>
          <w:rFonts w:ascii="Times New Roman" w:eastAsia="Cambria" w:hAnsi="Times New Roman" w:cs="Times New Roman"/>
          <w:iCs/>
          <w:kern w:val="0"/>
          <w:lang w:val="en-US"/>
          <w14:ligatures w14:val="none"/>
        </w:rPr>
        <w:t xml:space="preserve"> yield-contributing traits such as productive tillers, larger leaves and better assimilate partitioning. Similar results have been reported by Govindaraj et al. (2019), Yadav et al. (2021) and Patel et al. (2022), who emphasized the importance of these traits in improving grain productivity.</w:t>
      </w:r>
    </w:p>
    <w:p w14:paraId="563B758E" w14:textId="4ED8AB76"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Dry Matter Yield per Plant (g)</w:t>
      </w:r>
    </w:p>
    <w:p w14:paraId="6CC3BDE8" w14:textId="6936A11C"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Dry matter yield varied from 52.40 g in MP-7792 to 76.44 g in Bio-448, with a mean value of 64.82 g. The genotypes Bio-448, KBH-3940 and JBH-1 produced relatively higher dry matter yield than the remaining entries. Dry matter yield is one of the principal indicators of fodder quality and biomass production, and genotypes with higher dry matter accumulation are considered desirable for forage breeding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 Similar observations were reported by Yadav et al. (2021), Anuradha et al. (2017) and Gupta et al. (2016).</w:t>
      </w:r>
    </w:p>
    <w:p w14:paraId="7929B513" w14:textId="6FCFA7CE"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1000-Grain Weight (g)</w:t>
      </w:r>
    </w:p>
    <w:p w14:paraId="3E1E9586" w14:textId="0C65749D"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The 1000-grain weight ranged from 6.25 g in HHB-197 to 8.76 g in KBH-3940, with an overall mean of 7.45 g. The highest test weight was observed in KBH-3940, followed by GHB-732 and Bio-448. Test weight reflects grain boldness and seed quality and is considered an important selection criterion for yield improvement. Similar variation for seed weight has been reported by Govindaraj et al. (2019), Patel et al. (2022) and Yadav et al. (2017).</w:t>
      </w:r>
    </w:p>
    <w:p w14:paraId="5D6F5E7F" w14:textId="2B37585E"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b/>
          <w:bCs/>
          <w:iCs/>
          <w:kern w:val="0"/>
          <w:lang w:val="en-US"/>
          <w14:ligatures w14:val="none"/>
        </w:rPr>
      </w:pPr>
      <w:r w:rsidRPr="00300EEC">
        <w:rPr>
          <w:rFonts w:ascii="Times New Roman" w:eastAsia="Cambria" w:hAnsi="Times New Roman" w:cs="Times New Roman"/>
          <w:b/>
          <w:bCs/>
          <w:iCs/>
          <w:kern w:val="0"/>
          <w:lang w:val="en-US"/>
          <w14:ligatures w14:val="none"/>
        </w:rPr>
        <w:t>Green Fodder Yield per Plant (g)</w:t>
      </w:r>
    </w:p>
    <w:p w14:paraId="547FC064" w14:textId="17ED7251"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lastRenderedPageBreak/>
        <w:t>Green fodder yield per plant, the most important trait in the present investigation, ranged from 200.50 g in M-86 to 383.60 g in Bio-448, with an overall mean of 302.67 g.</w:t>
      </w:r>
      <w:r w:rsidRPr="00300EEC">
        <w:rPr>
          <w:rFonts w:ascii="Times New Roman" w:hAnsi="Times New Roman" w:cs="Times New Roman"/>
        </w:rPr>
        <w:t xml:space="preserve"> </w:t>
      </w:r>
      <w:r w:rsidRPr="00300EEC">
        <w:rPr>
          <w:rFonts w:ascii="Times New Roman" w:eastAsia="Cambria" w:hAnsi="Times New Roman" w:cs="Times New Roman"/>
          <w:iCs/>
          <w:kern w:val="0"/>
          <w:lang w:val="en-US"/>
          <w14:ligatures w14:val="none"/>
        </w:rPr>
        <w:t xml:space="preserve">The genotype Bio-448 produced the highest green fodder yield, followed by KBH-3940, JHBH-676 and HHB-223. Higher fodder yield in these genotypes may be attributed to their </w:t>
      </w:r>
      <w:proofErr w:type="spellStart"/>
      <w:r w:rsidRPr="00300EEC">
        <w:rPr>
          <w:rFonts w:ascii="Times New Roman" w:eastAsia="Cambria" w:hAnsi="Times New Roman" w:cs="Times New Roman"/>
          <w:iCs/>
          <w:kern w:val="0"/>
          <w:lang w:val="en-US"/>
          <w14:ligatures w14:val="none"/>
        </w:rPr>
        <w:t>favourable</w:t>
      </w:r>
      <w:proofErr w:type="spellEnd"/>
      <w:r w:rsidRPr="00300EEC">
        <w:rPr>
          <w:rFonts w:ascii="Times New Roman" w:eastAsia="Cambria" w:hAnsi="Times New Roman" w:cs="Times New Roman"/>
          <w:iCs/>
          <w:kern w:val="0"/>
          <w:lang w:val="en-US"/>
          <w14:ligatures w14:val="none"/>
        </w:rPr>
        <w:t xml:space="preserve"> performance for plant height, tillering ability, leaf size and dry matter accumulation. These findings suggest that these genotypes possess considerable potential for utilization in fodder improvement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 xml:space="preserve"> and may serve as promising parental lines in future breeding efforts. Similar results were reported by Govindaraj et al. (2019), Yadav et al. (2021), Patel et al. (2022) and Anuradha et al. (2017), who also identified significant variability among pearl millet genotypes for green fodder yield and its associated traits.</w:t>
      </w:r>
    </w:p>
    <w:p w14:paraId="4404ADC5"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The wide range of variation observed for all the studied traits indicated the presence of ample genetic variability among the evaluated pearl millet genotypes. Such variability provides an excellent opportunity for effective selection and genetic improvement aimed at developing high-yielding dual-purpose and fodder-type pearl millet cultivars. The present investigation revealed the existence of substantial genetic variability among the twelve pearl millet genotypes for all the ten quantitative traits studied. The analysis of variance indicated highly significant differences among genotypes for all the characters, confirming the presence of considerable genetic diversity that can be effectively exploited in future breeding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 xml:space="preserve">. The observed variability among the genotypes reflects differences in their genetic constitution as well as their adaptability to the prevailing </w:t>
      </w:r>
      <w:proofErr w:type="spellStart"/>
      <w:r w:rsidRPr="00300EEC">
        <w:rPr>
          <w:rFonts w:ascii="Times New Roman" w:eastAsia="Cambria" w:hAnsi="Times New Roman" w:cs="Times New Roman"/>
          <w:iCs/>
          <w:kern w:val="0"/>
          <w:lang w:val="en-US"/>
          <w14:ligatures w14:val="none"/>
        </w:rPr>
        <w:t>agro</w:t>
      </w:r>
      <w:proofErr w:type="spellEnd"/>
      <w:r w:rsidRPr="00300EEC">
        <w:rPr>
          <w:rFonts w:ascii="Times New Roman" w:eastAsia="Cambria" w:hAnsi="Times New Roman" w:cs="Times New Roman"/>
          <w:iCs/>
          <w:kern w:val="0"/>
          <w:lang w:val="en-US"/>
          <w14:ligatures w14:val="none"/>
        </w:rPr>
        <w:t xml:space="preserve">-climatic conditions. </w:t>
      </w:r>
    </w:p>
    <w:p w14:paraId="028B388F"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Earliness is an important adaptive trait in pearl millet, particularly under rainfed and drought-prone environments where terminal moisture stress frequently limits crop productivity. In the present study, early flowering genotypes such as NMH-68, GHB-732 and Nandi-61 completed their reproductive phase earlier than the remaining entries, suggesting their suitability for moisture-deficit regions. Early flowering enables plants to escape terminal drought while ensuring stable grain and fodder production under limited water availability. Significant variation was also observed for plant height, tillering ability, leaf size and panicle length, all of which are important determinants of biomass accumulation and forage productivity. Genotypes possessing greater plant height, higher tiller number and larger leaf area are capable of intercepting more solar radiation, resulting in enhanced photosynthetic efficiency and greater dry matter production. Similarly, longer panicles generally contribute to improved grain development and overall productivity. The superior performance of genotypes such as Bio-448, GHB-732, JBH-1 and JHBH-676 for several yield-attributing characters indicates that these entries possess desirable morphological attributes for simultaneous improvement of grain and fodder yield. Grain yield is a complex quantitative character governed by the cumulative effects of several interrelated traits. In the present study, genotypes producing higher grain yield also exhibited </w:t>
      </w:r>
      <w:proofErr w:type="spellStart"/>
      <w:r w:rsidRPr="00300EEC">
        <w:rPr>
          <w:rFonts w:ascii="Times New Roman" w:eastAsia="Cambria" w:hAnsi="Times New Roman" w:cs="Times New Roman"/>
          <w:iCs/>
          <w:kern w:val="0"/>
          <w:lang w:val="en-US"/>
          <w14:ligatures w14:val="none"/>
        </w:rPr>
        <w:t>favourable</w:t>
      </w:r>
      <w:proofErr w:type="spellEnd"/>
      <w:r w:rsidRPr="00300EEC">
        <w:rPr>
          <w:rFonts w:ascii="Times New Roman" w:eastAsia="Cambria" w:hAnsi="Times New Roman" w:cs="Times New Roman"/>
          <w:iCs/>
          <w:kern w:val="0"/>
          <w:lang w:val="en-US"/>
          <w14:ligatures w14:val="none"/>
        </w:rPr>
        <w:t xml:space="preserve"> performance for one or more yield-contributing characters, including productive tillers, larger leaves and higher biomass production. This demonstrates that simultaneous improvement of these component traits may enhance overall productivity. Likewise, dry matter yield showed considerable variation among genotypes, indicating differences in biomass accumulation efficiency. Since dry matter production directly influences fodder quality and feeding value, genotypes with higher dry matter yield may be preferred for forage improvement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w:t>
      </w:r>
    </w:p>
    <w:p w14:paraId="6671D285"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Green fodder yield, which represents the primary objective in fodder pearl millet improvement, exhibited wide variation among the evaluated genotypes. The superior performance of Bio-448, KBH-3940 and JHBH-676 indicates their greater potential biomass production under Bundelkhand conditions. The enhanced fodder yield recorded in these genotypes may be attributed to their </w:t>
      </w:r>
      <w:proofErr w:type="spellStart"/>
      <w:r w:rsidRPr="00300EEC">
        <w:rPr>
          <w:rFonts w:ascii="Times New Roman" w:eastAsia="Cambria" w:hAnsi="Times New Roman" w:cs="Times New Roman"/>
          <w:iCs/>
          <w:kern w:val="0"/>
          <w:lang w:val="en-US"/>
          <w14:ligatures w14:val="none"/>
        </w:rPr>
        <w:t>favourable</w:t>
      </w:r>
      <w:proofErr w:type="spellEnd"/>
      <w:r w:rsidRPr="00300EEC">
        <w:rPr>
          <w:rFonts w:ascii="Times New Roman" w:eastAsia="Cambria" w:hAnsi="Times New Roman" w:cs="Times New Roman"/>
          <w:iCs/>
          <w:kern w:val="0"/>
          <w:lang w:val="en-US"/>
          <w14:ligatures w14:val="none"/>
        </w:rPr>
        <w:t xml:space="preserve"> combination of plant height, tillering capacity, leaf dimensions and dry matter accumulation. These findings suggest that improvement in green fodder yield can be achieved through simultaneous selection for these associated </w:t>
      </w:r>
      <w:r w:rsidRPr="00300EEC">
        <w:rPr>
          <w:rFonts w:ascii="Times New Roman" w:eastAsia="Cambria" w:hAnsi="Times New Roman" w:cs="Times New Roman"/>
          <w:iCs/>
          <w:kern w:val="0"/>
          <w:lang w:val="en-US"/>
          <w14:ligatures w14:val="none"/>
        </w:rPr>
        <w:lastRenderedPageBreak/>
        <w:t xml:space="preserve">morphological traits. The wide variability observed in the present investigation provides sufficient scope for effective selection of superior genotypes. Such diversity is highly desirable in breeding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 xml:space="preserve"> because it increases the probability of identifying elite parental lines capable of producing superior segregants in subsequent generations. The identified high-performing genotypes may therefore be utilized directly for multilocation evaluation or incorporated as promising parents in hybridization </w:t>
      </w:r>
      <w:proofErr w:type="spellStart"/>
      <w:r w:rsidRPr="00300EEC">
        <w:rPr>
          <w:rFonts w:ascii="Times New Roman" w:eastAsia="Cambria" w:hAnsi="Times New Roman" w:cs="Times New Roman"/>
          <w:iCs/>
          <w:kern w:val="0"/>
          <w:lang w:val="en-US"/>
          <w14:ligatures w14:val="none"/>
        </w:rPr>
        <w:t>programmes</w:t>
      </w:r>
      <w:proofErr w:type="spellEnd"/>
      <w:r w:rsidRPr="00300EEC">
        <w:rPr>
          <w:rFonts w:ascii="Times New Roman" w:eastAsia="Cambria" w:hAnsi="Times New Roman" w:cs="Times New Roman"/>
          <w:iCs/>
          <w:kern w:val="0"/>
          <w:lang w:val="en-US"/>
          <w14:ligatures w14:val="none"/>
        </w:rPr>
        <w:t xml:space="preserve"> aimed at developing high-yielding dual-purpose pearl millet cultivars suitable for the semi-arid conditions of Bundelkhand and similar </w:t>
      </w:r>
      <w:proofErr w:type="spellStart"/>
      <w:r w:rsidRPr="00300EEC">
        <w:rPr>
          <w:rFonts w:ascii="Times New Roman" w:eastAsia="Cambria" w:hAnsi="Times New Roman" w:cs="Times New Roman"/>
          <w:iCs/>
          <w:kern w:val="0"/>
          <w:lang w:val="en-US"/>
          <w14:ligatures w14:val="none"/>
        </w:rPr>
        <w:t>agro</w:t>
      </w:r>
      <w:proofErr w:type="spellEnd"/>
      <w:r w:rsidRPr="00300EEC">
        <w:rPr>
          <w:rFonts w:ascii="Times New Roman" w:eastAsia="Cambria" w:hAnsi="Times New Roman" w:cs="Times New Roman"/>
          <w:iCs/>
          <w:kern w:val="0"/>
          <w:lang w:val="en-US"/>
          <w14:ligatures w14:val="none"/>
        </w:rPr>
        <w:t xml:space="preserve">-ecological regions. </w:t>
      </w:r>
    </w:p>
    <w:p w14:paraId="37A62689"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r w:rsidRPr="00300EEC">
        <w:rPr>
          <w:rFonts w:ascii="Times New Roman" w:eastAsia="Cambria" w:hAnsi="Times New Roman" w:cs="Times New Roman"/>
          <w:iCs/>
          <w:kern w:val="0"/>
          <w:lang w:val="en-US"/>
          <w14:ligatures w14:val="none"/>
        </w:rPr>
        <w:t xml:space="preserve">The results of the present investigation clearly demonstrate that substantial variability exists among the evaluated pearl millet genotypes for economically important traits. The combined improvement of flowering </w:t>
      </w:r>
      <w:proofErr w:type="spellStart"/>
      <w:r w:rsidRPr="00300EEC">
        <w:rPr>
          <w:rFonts w:ascii="Times New Roman" w:eastAsia="Cambria" w:hAnsi="Times New Roman" w:cs="Times New Roman"/>
          <w:iCs/>
          <w:kern w:val="0"/>
          <w:lang w:val="en-US"/>
          <w14:ligatures w14:val="none"/>
        </w:rPr>
        <w:t>behaviour</w:t>
      </w:r>
      <w:proofErr w:type="spellEnd"/>
      <w:r w:rsidRPr="00300EEC">
        <w:rPr>
          <w:rFonts w:ascii="Times New Roman" w:eastAsia="Cambria" w:hAnsi="Times New Roman" w:cs="Times New Roman"/>
          <w:iCs/>
          <w:kern w:val="0"/>
          <w:lang w:val="en-US"/>
          <w14:ligatures w14:val="none"/>
        </w:rPr>
        <w:t>, tillering ability, leaf characteristics, biomass production and grain yield through systematic selection will contribute significantly towards the development of superior pearl millet cultivars with enhanced grain as well as fodder productivity.</w:t>
      </w:r>
    </w:p>
    <w:p w14:paraId="11A7DEDF" w14:textId="77777777" w:rsidR="00DC429E" w:rsidRPr="00300EEC"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pPr>
    </w:p>
    <w:p w14:paraId="701DCA67" w14:textId="77777777"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Table 1. Analysis of variance (ANOVA) for ten quantitative traits in pearl millet evaluated under a randomized block design</w:t>
      </w:r>
    </w:p>
    <w:tbl>
      <w:tblPr>
        <w:tblW w:w="10506" w:type="dxa"/>
        <w:tblCellSpacing w:w="15" w:type="dxa"/>
        <w:tblCellMar>
          <w:top w:w="15" w:type="dxa"/>
          <w:left w:w="15" w:type="dxa"/>
          <w:bottom w:w="15" w:type="dxa"/>
          <w:right w:w="15" w:type="dxa"/>
        </w:tblCellMar>
        <w:tblLook w:val="04A0" w:firstRow="1" w:lastRow="0" w:firstColumn="1" w:lastColumn="0" w:noHBand="0" w:noVBand="1"/>
      </w:tblPr>
      <w:tblGrid>
        <w:gridCol w:w="3433"/>
        <w:gridCol w:w="1382"/>
        <w:gridCol w:w="2146"/>
        <w:gridCol w:w="2052"/>
        <w:gridCol w:w="1493"/>
      </w:tblGrid>
      <w:tr w:rsidR="00DC429E" w:rsidRPr="00300EEC" w14:paraId="0159EC07" w14:textId="77777777" w:rsidTr="00803689">
        <w:trPr>
          <w:trHeight w:val="292"/>
          <w:tblHeader/>
          <w:tblCellSpacing w:w="15" w:type="dxa"/>
        </w:trPr>
        <w:tc>
          <w:tcPr>
            <w:tcW w:w="0" w:type="auto"/>
            <w:vAlign w:val="center"/>
            <w:hideMark/>
          </w:tcPr>
          <w:p w14:paraId="41EAD6DE" w14:textId="77777777"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Trait</w:t>
            </w:r>
          </w:p>
        </w:tc>
        <w:tc>
          <w:tcPr>
            <w:tcW w:w="0" w:type="auto"/>
            <w:vAlign w:val="center"/>
            <w:hideMark/>
          </w:tcPr>
          <w:p w14:paraId="6941C974" w14:textId="77777777"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df</w:t>
            </w:r>
          </w:p>
        </w:tc>
        <w:tc>
          <w:tcPr>
            <w:tcW w:w="0" w:type="auto"/>
            <w:vAlign w:val="center"/>
            <w:hideMark/>
          </w:tcPr>
          <w:p w14:paraId="1BDA59EF" w14:textId="77777777"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Replication (MS)</w:t>
            </w:r>
          </w:p>
        </w:tc>
        <w:tc>
          <w:tcPr>
            <w:tcW w:w="0" w:type="auto"/>
            <w:vAlign w:val="center"/>
            <w:hideMark/>
          </w:tcPr>
          <w:p w14:paraId="22B8E3CB" w14:textId="77777777"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Treatment (MS)</w:t>
            </w:r>
          </w:p>
        </w:tc>
        <w:tc>
          <w:tcPr>
            <w:tcW w:w="0" w:type="auto"/>
            <w:vAlign w:val="center"/>
            <w:hideMark/>
          </w:tcPr>
          <w:p w14:paraId="2A079E8A" w14:textId="77777777"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r w:rsidRPr="00300EEC">
              <w:rPr>
                <w:rFonts w:ascii="Times New Roman" w:hAnsi="Times New Roman" w:cs="Times New Roman"/>
                <w:b/>
                <w:bCs/>
                <w:sz w:val="22"/>
                <w:szCs w:val="22"/>
                <w:lang w:val="en-IN"/>
              </w:rPr>
              <w:t>Error (MS)</w:t>
            </w:r>
          </w:p>
        </w:tc>
      </w:tr>
      <w:tr w:rsidR="00DC429E" w:rsidRPr="00300EEC" w14:paraId="6E24DD29" w14:textId="77777777" w:rsidTr="00803689">
        <w:trPr>
          <w:trHeight w:val="835"/>
          <w:tblCellSpacing w:w="15" w:type="dxa"/>
        </w:trPr>
        <w:tc>
          <w:tcPr>
            <w:tcW w:w="0" w:type="auto"/>
            <w:vAlign w:val="center"/>
            <w:hideMark/>
          </w:tcPr>
          <w:p w14:paraId="71C07E7D" w14:textId="77777777" w:rsidR="00DC429E" w:rsidRPr="00300EEC" w:rsidRDefault="00DC429E" w:rsidP="00300EEC">
            <w:pPr>
              <w:pStyle w:val="BodyText"/>
              <w:spacing w:line="360" w:lineRule="auto"/>
              <w:ind w:left="28"/>
              <w:jc w:val="both"/>
              <w:rPr>
                <w:rFonts w:ascii="Times New Roman" w:hAnsi="Times New Roman" w:cs="Times New Roman"/>
                <w:b/>
                <w:bCs/>
                <w:sz w:val="22"/>
                <w:szCs w:val="22"/>
                <w:lang w:val="en-IN"/>
              </w:rPr>
            </w:pPr>
          </w:p>
        </w:tc>
        <w:tc>
          <w:tcPr>
            <w:tcW w:w="0" w:type="auto"/>
            <w:vAlign w:val="center"/>
            <w:hideMark/>
          </w:tcPr>
          <w:p w14:paraId="00C1793A"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b/>
                <w:bCs/>
                <w:sz w:val="22"/>
                <w:szCs w:val="22"/>
                <w:lang w:val="en-IN"/>
              </w:rPr>
              <w:t>Rep = 2</w:t>
            </w:r>
            <w:r w:rsidRPr="00300EEC">
              <w:rPr>
                <w:rFonts w:ascii="Times New Roman" w:hAnsi="Times New Roman" w:cs="Times New Roman"/>
                <w:sz w:val="22"/>
                <w:szCs w:val="22"/>
                <w:lang w:val="en-IN"/>
              </w:rPr>
              <w:br/>
            </w:r>
            <w:proofErr w:type="spellStart"/>
            <w:r w:rsidRPr="00300EEC">
              <w:rPr>
                <w:rFonts w:ascii="Times New Roman" w:hAnsi="Times New Roman" w:cs="Times New Roman"/>
                <w:b/>
                <w:bCs/>
                <w:sz w:val="22"/>
                <w:szCs w:val="22"/>
                <w:lang w:val="en-IN"/>
              </w:rPr>
              <w:t>Trt</w:t>
            </w:r>
            <w:proofErr w:type="spellEnd"/>
            <w:r w:rsidRPr="00300EEC">
              <w:rPr>
                <w:rFonts w:ascii="Times New Roman" w:hAnsi="Times New Roman" w:cs="Times New Roman"/>
                <w:b/>
                <w:bCs/>
                <w:sz w:val="22"/>
                <w:szCs w:val="22"/>
                <w:lang w:val="en-IN"/>
              </w:rPr>
              <w:t xml:space="preserve"> = 11</w:t>
            </w:r>
            <w:r w:rsidRPr="00300EEC">
              <w:rPr>
                <w:rFonts w:ascii="Times New Roman" w:hAnsi="Times New Roman" w:cs="Times New Roman"/>
                <w:sz w:val="22"/>
                <w:szCs w:val="22"/>
                <w:lang w:val="en-IN"/>
              </w:rPr>
              <w:br/>
            </w:r>
            <w:r w:rsidRPr="00300EEC">
              <w:rPr>
                <w:rFonts w:ascii="Times New Roman" w:hAnsi="Times New Roman" w:cs="Times New Roman"/>
                <w:b/>
                <w:bCs/>
                <w:sz w:val="22"/>
                <w:szCs w:val="22"/>
                <w:lang w:val="en-IN"/>
              </w:rPr>
              <w:t>Error = 22</w:t>
            </w:r>
          </w:p>
        </w:tc>
        <w:tc>
          <w:tcPr>
            <w:tcW w:w="0" w:type="auto"/>
            <w:vAlign w:val="center"/>
            <w:hideMark/>
          </w:tcPr>
          <w:p w14:paraId="19544FCF"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52867258"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0ADD7D84"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r>
      <w:tr w:rsidR="00DC429E" w:rsidRPr="00300EEC" w14:paraId="1FF39F3F" w14:textId="77777777" w:rsidTr="00803689">
        <w:trPr>
          <w:trHeight w:val="292"/>
          <w:tblCellSpacing w:w="15" w:type="dxa"/>
        </w:trPr>
        <w:tc>
          <w:tcPr>
            <w:tcW w:w="0" w:type="auto"/>
            <w:vAlign w:val="center"/>
            <w:hideMark/>
          </w:tcPr>
          <w:p w14:paraId="17454E2E"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Days to 50% flowering</w:t>
            </w:r>
          </w:p>
        </w:tc>
        <w:tc>
          <w:tcPr>
            <w:tcW w:w="0" w:type="auto"/>
            <w:vAlign w:val="center"/>
            <w:hideMark/>
          </w:tcPr>
          <w:p w14:paraId="58D4FDEC"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7E1E1DF3"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0.592</w:t>
            </w:r>
          </w:p>
        </w:tc>
        <w:tc>
          <w:tcPr>
            <w:tcW w:w="0" w:type="auto"/>
            <w:vAlign w:val="center"/>
            <w:hideMark/>
          </w:tcPr>
          <w:p w14:paraId="646FDD99"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80.913**</w:t>
            </w:r>
          </w:p>
        </w:tc>
        <w:tc>
          <w:tcPr>
            <w:tcW w:w="0" w:type="auto"/>
            <w:vAlign w:val="center"/>
            <w:hideMark/>
          </w:tcPr>
          <w:p w14:paraId="32952D32"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6.440</w:t>
            </w:r>
          </w:p>
        </w:tc>
      </w:tr>
      <w:tr w:rsidR="00DC429E" w:rsidRPr="00300EEC" w14:paraId="19BF3CBD" w14:textId="77777777" w:rsidTr="00803689">
        <w:trPr>
          <w:trHeight w:val="270"/>
          <w:tblCellSpacing w:w="15" w:type="dxa"/>
        </w:trPr>
        <w:tc>
          <w:tcPr>
            <w:tcW w:w="0" w:type="auto"/>
            <w:vAlign w:val="center"/>
            <w:hideMark/>
          </w:tcPr>
          <w:p w14:paraId="603103AF"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Tillers plant⁻¹</w:t>
            </w:r>
          </w:p>
        </w:tc>
        <w:tc>
          <w:tcPr>
            <w:tcW w:w="0" w:type="auto"/>
            <w:vAlign w:val="center"/>
            <w:hideMark/>
          </w:tcPr>
          <w:p w14:paraId="53673B92"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3A653891"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0.322*</w:t>
            </w:r>
          </w:p>
        </w:tc>
        <w:tc>
          <w:tcPr>
            <w:tcW w:w="0" w:type="auto"/>
            <w:vAlign w:val="center"/>
            <w:hideMark/>
          </w:tcPr>
          <w:p w14:paraId="5837D510"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0.625**</w:t>
            </w:r>
          </w:p>
        </w:tc>
        <w:tc>
          <w:tcPr>
            <w:tcW w:w="0" w:type="auto"/>
            <w:vAlign w:val="center"/>
            <w:hideMark/>
          </w:tcPr>
          <w:p w14:paraId="70F59E1A"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0.090</w:t>
            </w:r>
          </w:p>
        </w:tc>
      </w:tr>
      <w:tr w:rsidR="00DC429E" w:rsidRPr="00300EEC" w14:paraId="0514ECB9" w14:textId="77777777" w:rsidTr="00803689">
        <w:trPr>
          <w:trHeight w:val="292"/>
          <w:tblCellSpacing w:w="15" w:type="dxa"/>
        </w:trPr>
        <w:tc>
          <w:tcPr>
            <w:tcW w:w="0" w:type="auto"/>
            <w:vAlign w:val="center"/>
            <w:hideMark/>
          </w:tcPr>
          <w:p w14:paraId="5889EAB6"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Leaf length (cm)</w:t>
            </w:r>
          </w:p>
        </w:tc>
        <w:tc>
          <w:tcPr>
            <w:tcW w:w="0" w:type="auto"/>
            <w:vAlign w:val="center"/>
            <w:hideMark/>
          </w:tcPr>
          <w:p w14:paraId="3DFE2FF8"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5B830D7E"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96.401*</w:t>
            </w:r>
          </w:p>
        </w:tc>
        <w:tc>
          <w:tcPr>
            <w:tcW w:w="0" w:type="auto"/>
            <w:vAlign w:val="center"/>
            <w:hideMark/>
          </w:tcPr>
          <w:p w14:paraId="4DA970CA"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198.680**</w:t>
            </w:r>
          </w:p>
        </w:tc>
        <w:tc>
          <w:tcPr>
            <w:tcW w:w="0" w:type="auto"/>
            <w:vAlign w:val="center"/>
            <w:hideMark/>
          </w:tcPr>
          <w:p w14:paraId="7858E34D"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19.223</w:t>
            </w:r>
          </w:p>
        </w:tc>
      </w:tr>
      <w:tr w:rsidR="00DC429E" w:rsidRPr="00300EEC" w14:paraId="7227BB2D" w14:textId="77777777" w:rsidTr="00803689">
        <w:trPr>
          <w:trHeight w:val="270"/>
          <w:tblCellSpacing w:w="15" w:type="dxa"/>
        </w:trPr>
        <w:tc>
          <w:tcPr>
            <w:tcW w:w="0" w:type="auto"/>
            <w:vAlign w:val="center"/>
            <w:hideMark/>
          </w:tcPr>
          <w:p w14:paraId="0ECA307B"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Leaf width (cm)</w:t>
            </w:r>
          </w:p>
        </w:tc>
        <w:tc>
          <w:tcPr>
            <w:tcW w:w="0" w:type="auto"/>
            <w:vAlign w:val="center"/>
            <w:hideMark/>
          </w:tcPr>
          <w:p w14:paraId="7DB285CB"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44C3B5E8"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0.076</w:t>
            </w:r>
          </w:p>
        </w:tc>
        <w:tc>
          <w:tcPr>
            <w:tcW w:w="0" w:type="auto"/>
            <w:vAlign w:val="center"/>
            <w:hideMark/>
          </w:tcPr>
          <w:p w14:paraId="2326542F"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0.375**</w:t>
            </w:r>
          </w:p>
        </w:tc>
        <w:tc>
          <w:tcPr>
            <w:tcW w:w="0" w:type="auto"/>
            <w:vAlign w:val="center"/>
            <w:hideMark/>
          </w:tcPr>
          <w:p w14:paraId="10784CD2"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0.029</w:t>
            </w:r>
          </w:p>
        </w:tc>
      </w:tr>
      <w:tr w:rsidR="00DC429E" w:rsidRPr="00300EEC" w14:paraId="67C8AF60" w14:textId="77777777" w:rsidTr="00803689">
        <w:trPr>
          <w:trHeight w:val="292"/>
          <w:tblCellSpacing w:w="15" w:type="dxa"/>
        </w:trPr>
        <w:tc>
          <w:tcPr>
            <w:tcW w:w="0" w:type="auto"/>
            <w:vAlign w:val="center"/>
            <w:hideMark/>
          </w:tcPr>
          <w:p w14:paraId="79449199"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Grain yield plant⁻¹ (g)</w:t>
            </w:r>
          </w:p>
        </w:tc>
        <w:tc>
          <w:tcPr>
            <w:tcW w:w="0" w:type="auto"/>
            <w:vAlign w:val="center"/>
            <w:hideMark/>
          </w:tcPr>
          <w:p w14:paraId="56929C48"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5182602E"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0.085</w:t>
            </w:r>
          </w:p>
        </w:tc>
        <w:tc>
          <w:tcPr>
            <w:tcW w:w="0" w:type="auto"/>
            <w:vAlign w:val="center"/>
            <w:hideMark/>
          </w:tcPr>
          <w:p w14:paraId="11B09F61"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25.703**</w:t>
            </w:r>
          </w:p>
        </w:tc>
        <w:tc>
          <w:tcPr>
            <w:tcW w:w="0" w:type="auto"/>
            <w:vAlign w:val="center"/>
            <w:hideMark/>
          </w:tcPr>
          <w:p w14:paraId="3FDEF779"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0.291</w:t>
            </w:r>
          </w:p>
        </w:tc>
      </w:tr>
      <w:tr w:rsidR="00DC429E" w:rsidRPr="00300EEC" w14:paraId="51E852F3" w14:textId="77777777" w:rsidTr="00803689">
        <w:trPr>
          <w:trHeight w:val="270"/>
          <w:tblCellSpacing w:w="15" w:type="dxa"/>
        </w:trPr>
        <w:tc>
          <w:tcPr>
            <w:tcW w:w="0" w:type="auto"/>
            <w:vAlign w:val="center"/>
            <w:hideMark/>
          </w:tcPr>
          <w:p w14:paraId="18FCEE96"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Dry matter yield plant⁻¹ (g)</w:t>
            </w:r>
          </w:p>
        </w:tc>
        <w:tc>
          <w:tcPr>
            <w:tcW w:w="0" w:type="auto"/>
            <w:vAlign w:val="center"/>
            <w:hideMark/>
          </w:tcPr>
          <w:p w14:paraId="3A59BBDF"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1F892983"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15.778</w:t>
            </w:r>
          </w:p>
        </w:tc>
        <w:tc>
          <w:tcPr>
            <w:tcW w:w="0" w:type="auto"/>
            <w:vAlign w:val="center"/>
            <w:hideMark/>
          </w:tcPr>
          <w:p w14:paraId="6C0A55B6"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203.493**</w:t>
            </w:r>
          </w:p>
        </w:tc>
        <w:tc>
          <w:tcPr>
            <w:tcW w:w="0" w:type="auto"/>
            <w:vAlign w:val="center"/>
            <w:hideMark/>
          </w:tcPr>
          <w:p w14:paraId="63872020"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5.727</w:t>
            </w:r>
          </w:p>
        </w:tc>
      </w:tr>
      <w:tr w:rsidR="00DC429E" w:rsidRPr="00300EEC" w14:paraId="595C9CAB" w14:textId="77777777" w:rsidTr="00803689">
        <w:trPr>
          <w:trHeight w:val="292"/>
          <w:tblCellSpacing w:w="15" w:type="dxa"/>
        </w:trPr>
        <w:tc>
          <w:tcPr>
            <w:tcW w:w="0" w:type="auto"/>
            <w:vAlign w:val="center"/>
            <w:hideMark/>
          </w:tcPr>
          <w:p w14:paraId="58C3209F"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Plant height (cm)</w:t>
            </w:r>
          </w:p>
        </w:tc>
        <w:tc>
          <w:tcPr>
            <w:tcW w:w="0" w:type="auto"/>
            <w:vAlign w:val="center"/>
            <w:hideMark/>
          </w:tcPr>
          <w:p w14:paraId="50C766A0" w14:textId="77777777" w:rsidR="00DC429E" w:rsidRPr="00300EEC" w:rsidRDefault="00DC429E" w:rsidP="00300EEC">
            <w:pPr>
              <w:pStyle w:val="BodyText"/>
              <w:spacing w:line="360" w:lineRule="auto"/>
              <w:jc w:val="both"/>
              <w:rPr>
                <w:rFonts w:ascii="Times New Roman" w:hAnsi="Times New Roman" w:cs="Times New Roman"/>
                <w:sz w:val="22"/>
                <w:szCs w:val="22"/>
                <w:lang w:val="en-IN"/>
              </w:rPr>
            </w:pPr>
          </w:p>
        </w:tc>
        <w:tc>
          <w:tcPr>
            <w:tcW w:w="0" w:type="auto"/>
            <w:vAlign w:val="center"/>
            <w:hideMark/>
          </w:tcPr>
          <w:p w14:paraId="0CB8F36D"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510.826</w:t>
            </w:r>
          </w:p>
        </w:tc>
        <w:tc>
          <w:tcPr>
            <w:tcW w:w="0" w:type="auto"/>
            <w:vAlign w:val="center"/>
            <w:hideMark/>
          </w:tcPr>
          <w:p w14:paraId="2E5F5445"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3760.478**</w:t>
            </w:r>
          </w:p>
        </w:tc>
        <w:tc>
          <w:tcPr>
            <w:tcW w:w="0" w:type="auto"/>
            <w:vAlign w:val="center"/>
            <w:hideMark/>
          </w:tcPr>
          <w:p w14:paraId="1A30B356"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386.990</w:t>
            </w:r>
          </w:p>
        </w:tc>
      </w:tr>
      <w:tr w:rsidR="00DC429E" w:rsidRPr="00300EEC" w14:paraId="7B796D0C" w14:textId="77777777" w:rsidTr="00803689">
        <w:trPr>
          <w:trHeight w:val="270"/>
          <w:tblCellSpacing w:w="15" w:type="dxa"/>
        </w:trPr>
        <w:tc>
          <w:tcPr>
            <w:tcW w:w="0" w:type="auto"/>
            <w:vAlign w:val="center"/>
            <w:hideMark/>
          </w:tcPr>
          <w:p w14:paraId="50F32F53"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Panicle length (cm)</w:t>
            </w:r>
          </w:p>
        </w:tc>
        <w:tc>
          <w:tcPr>
            <w:tcW w:w="0" w:type="auto"/>
            <w:vAlign w:val="center"/>
            <w:hideMark/>
          </w:tcPr>
          <w:p w14:paraId="1C6B6FE0"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60AFAD5A"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1.561</w:t>
            </w:r>
          </w:p>
        </w:tc>
        <w:tc>
          <w:tcPr>
            <w:tcW w:w="0" w:type="auto"/>
            <w:vAlign w:val="center"/>
            <w:hideMark/>
          </w:tcPr>
          <w:p w14:paraId="4E9A52C0"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222.099**</w:t>
            </w:r>
          </w:p>
        </w:tc>
        <w:tc>
          <w:tcPr>
            <w:tcW w:w="0" w:type="auto"/>
            <w:vAlign w:val="center"/>
            <w:hideMark/>
          </w:tcPr>
          <w:p w14:paraId="11656FA9"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3.136</w:t>
            </w:r>
          </w:p>
        </w:tc>
      </w:tr>
      <w:tr w:rsidR="00DC429E" w:rsidRPr="00300EEC" w14:paraId="5DDB2581" w14:textId="77777777" w:rsidTr="00803689">
        <w:trPr>
          <w:trHeight w:val="292"/>
          <w:tblCellSpacing w:w="15" w:type="dxa"/>
        </w:trPr>
        <w:tc>
          <w:tcPr>
            <w:tcW w:w="0" w:type="auto"/>
            <w:vAlign w:val="center"/>
            <w:hideMark/>
          </w:tcPr>
          <w:p w14:paraId="7C597093"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1000-grain weight (g)</w:t>
            </w:r>
          </w:p>
        </w:tc>
        <w:tc>
          <w:tcPr>
            <w:tcW w:w="0" w:type="auto"/>
            <w:vAlign w:val="center"/>
            <w:hideMark/>
          </w:tcPr>
          <w:p w14:paraId="0E40A420"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60E528AE"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0.080</w:t>
            </w:r>
          </w:p>
        </w:tc>
        <w:tc>
          <w:tcPr>
            <w:tcW w:w="0" w:type="auto"/>
            <w:vAlign w:val="center"/>
            <w:hideMark/>
          </w:tcPr>
          <w:p w14:paraId="525678DF"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2.039**</w:t>
            </w:r>
          </w:p>
        </w:tc>
        <w:tc>
          <w:tcPr>
            <w:tcW w:w="0" w:type="auto"/>
            <w:vAlign w:val="center"/>
            <w:hideMark/>
          </w:tcPr>
          <w:p w14:paraId="5A67DECC"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0.281</w:t>
            </w:r>
          </w:p>
        </w:tc>
      </w:tr>
      <w:tr w:rsidR="00DC429E" w:rsidRPr="00300EEC" w14:paraId="4834214A" w14:textId="77777777" w:rsidTr="00803689">
        <w:trPr>
          <w:trHeight w:val="270"/>
          <w:tblCellSpacing w:w="15" w:type="dxa"/>
        </w:trPr>
        <w:tc>
          <w:tcPr>
            <w:tcW w:w="0" w:type="auto"/>
            <w:vAlign w:val="center"/>
            <w:hideMark/>
          </w:tcPr>
          <w:p w14:paraId="3B3AA732"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Green fodder yield plant⁻¹ (g)</w:t>
            </w:r>
          </w:p>
        </w:tc>
        <w:tc>
          <w:tcPr>
            <w:tcW w:w="0" w:type="auto"/>
            <w:vAlign w:val="center"/>
            <w:hideMark/>
          </w:tcPr>
          <w:p w14:paraId="542D0121"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p>
        </w:tc>
        <w:tc>
          <w:tcPr>
            <w:tcW w:w="0" w:type="auto"/>
            <w:vAlign w:val="center"/>
            <w:hideMark/>
          </w:tcPr>
          <w:p w14:paraId="5D913244"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399.780</w:t>
            </w:r>
          </w:p>
        </w:tc>
        <w:tc>
          <w:tcPr>
            <w:tcW w:w="0" w:type="auto"/>
            <w:vAlign w:val="center"/>
            <w:hideMark/>
          </w:tcPr>
          <w:p w14:paraId="26424E65"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4718.486**</w:t>
            </w:r>
          </w:p>
        </w:tc>
        <w:tc>
          <w:tcPr>
            <w:tcW w:w="0" w:type="auto"/>
            <w:vAlign w:val="center"/>
            <w:hideMark/>
          </w:tcPr>
          <w:p w14:paraId="58C63D8D" w14:textId="77777777" w:rsidR="00DC429E" w:rsidRPr="00300EEC" w:rsidRDefault="00DC429E" w:rsidP="00300EEC">
            <w:pPr>
              <w:pStyle w:val="BodyText"/>
              <w:spacing w:line="360" w:lineRule="auto"/>
              <w:ind w:left="28"/>
              <w:jc w:val="both"/>
              <w:rPr>
                <w:rFonts w:ascii="Times New Roman" w:hAnsi="Times New Roman" w:cs="Times New Roman"/>
                <w:sz w:val="22"/>
                <w:szCs w:val="22"/>
                <w:lang w:val="en-IN"/>
              </w:rPr>
            </w:pPr>
            <w:r w:rsidRPr="00300EEC">
              <w:rPr>
                <w:rFonts w:ascii="Times New Roman" w:hAnsi="Times New Roman" w:cs="Times New Roman"/>
                <w:sz w:val="22"/>
                <w:szCs w:val="22"/>
                <w:lang w:val="en-IN"/>
              </w:rPr>
              <w:t>474.130</w:t>
            </w:r>
          </w:p>
        </w:tc>
      </w:tr>
    </w:tbl>
    <w:p w14:paraId="40598DEA" w14:textId="32057F32" w:rsidR="00DC429E" w:rsidRPr="00DC429E" w:rsidRDefault="00DC429E" w:rsidP="00300EEC">
      <w:pPr>
        <w:widowControl w:val="0"/>
        <w:autoSpaceDE w:val="0"/>
        <w:autoSpaceDN w:val="0"/>
        <w:spacing w:before="97" w:after="0" w:line="360" w:lineRule="auto"/>
        <w:ind w:left="28"/>
        <w:jc w:val="both"/>
        <w:rPr>
          <w:rFonts w:ascii="Times New Roman" w:eastAsia="Cambria" w:hAnsi="Times New Roman" w:cs="Times New Roman"/>
          <w:iCs/>
          <w:kern w:val="0"/>
          <w:lang w:val="en-US"/>
          <w14:ligatures w14:val="none"/>
        </w:rPr>
        <w:sectPr w:rsidR="00DC429E" w:rsidRPr="00DC429E" w:rsidSect="00DC429E">
          <w:headerReference w:type="even" r:id="rId7"/>
          <w:headerReference w:type="default" r:id="rId8"/>
          <w:footerReference w:type="even" r:id="rId9"/>
          <w:footerReference w:type="default" r:id="rId10"/>
          <w:headerReference w:type="first" r:id="rId11"/>
          <w:footerReference w:type="first" r:id="rId12"/>
          <w:pgSz w:w="11910" w:h="16840"/>
          <w:pgMar w:top="460" w:right="425" w:bottom="280" w:left="425" w:header="720" w:footer="720" w:gutter="0"/>
          <w:cols w:space="720"/>
        </w:sectPr>
      </w:pPr>
    </w:p>
    <w:p w14:paraId="131D2B8C"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lastRenderedPageBreak/>
        <w:t>Table 2. Mean performance of twelve pearl millet genotypes for yield and yield-attributing traits</w:t>
      </w:r>
    </w:p>
    <w:tbl>
      <w:tblPr>
        <w:tblW w:w="11060" w:type="dxa"/>
        <w:tblCellSpacing w:w="15" w:type="dxa"/>
        <w:tblInd w:w="-1007" w:type="dxa"/>
        <w:tblCellMar>
          <w:top w:w="15" w:type="dxa"/>
          <w:left w:w="15" w:type="dxa"/>
          <w:bottom w:w="15" w:type="dxa"/>
          <w:right w:w="15" w:type="dxa"/>
        </w:tblCellMar>
        <w:tblLook w:val="04A0" w:firstRow="1" w:lastRow="0" w:firstColumn="1" w:lastColumn="0" w:noHBand="0" w:noVBand="1"/>
      </w:tblPr>
      <w:tblGrid>
        <w:gridCol w:w="1318"/>
        <w:gridCol w:w="693"/>
        <w:gridCol w:w="554"/>
        <w:gridCol w:w="1048"/>
        <w:gridCol w:w="1142"/>
        <w:gridCol w:w="879"/>
        <w:gridCol w:w="1125"/>
        <w:gridCol w:w="1063"/>
        <w:gridCol w:w="1033"/>
        <w:gridCol w:w="1142"/>
        <w:gridCol w:w="1063"/>
      </w:tblGrid>
      <w:tr w:rsidR="00DC429E" w:rsidRPr="00300EEC" w14:paraId="16B7340E" w14:textId="77777777" w:rsidTr="00DC429E">
        <w:trPr>
          <w:trHeight w:val="349"/>
          <w:tblHeader/>
          <w:tblCellSpacing w:w="15" w:type="dxa"/>
        </w:trPr>
        <w:tc>
          <w:tcPr>
            <w:tcW w:w="0" w:type="auto"/>
            <w:vAlign w:val="center"/>
            <w:hideMark/>
          </w:tcPr>
          <w:p w14:paraId="611C6815"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Genotype</w:t>
            </w:r>
          </w:p>
        </w:tc>
        <w:tc>
          <w:tcPr>
            <w:tcW w:w="0" w:type="auto"/>
            <w:vAlign w:val="center"/>
            <w:hideMark/>
          </w:tcPr>
          <w:p w14:paraId="19D1DFBF"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DF</w:t>
            </w:r>
          </w:p>
        </w:tc>
        <w:tc>
          <w:tcPr>
            <w:tcW w:w="0" w:type="auto"/>
            <w:vAlign w:val="center"/>
            <w:hideMark/>
          </w:tcPr>
          <w:p w14:paraId="23816E5E"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TP</w:t>
            </w:r>
          </w:p>
        </w:tc>
        <w:tc>
          <w:tcPr>
            <w:tcW w:w="0" w:type="auto"/>
            <w:vAlign w:val="center"/>
            <w:hideMark/>
          </w:tcPr>
          <w:p w14:paraId="3773C6AB"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LL (cm)</w:t>
            </w:r>
          </w:p>
        </w:tc>
        <w:tc>
          <w:tcPr>
            <w:tcW w:w="0" w:type="auto"/>
            <w:vAlign w:val="center"/>
            <w:hideMark/>
          </w:tcPr>
          <w:p w14:paraId="6F9962A3"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LW (cm)</w:t>
            </w:r>
          </w:p>
        </w:tc>
        <w:tc>
          <w:tcPr>
            <w:tcW w:w="0" w:type="auto"/>
            <w:vAlign w:val="center"/>
            <w:hideMark/>
          </w:tcPr>
          <w:p w14:paraId="6A6A0338"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GY (g)</w:t>
            </w:r>
          </w:p>
        </w:tc>
        <w:tc>
          <w:tcPr>
            <w:tcW w:w="0" w:type="auto"/>
            <w:vAlign w:val="center"/>
            <w:hideMark/>
          </w:tcPr>
          <w:p w14:paraId="000A6CDD"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DMY (g)</w:t>
            </w:r>
          </w:p>
        </w:tc>
        <w:tc>
          <w:tcPr>
            <w:tcW w:w="0" w:type="auto"/>
            <w:vAlign w:val="center"/>
            <w:hideMark/>
          </w:tcPr>
          <w:p w14:paraId="2AFF14E1"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PH (cm)</w:t>
            </w:r>
          </w:p>
        </w:tc>
        <w:tc>
          <w:tcPr>
            <w:tcW w:w="0" w:type="auto"/>
            <w:vAlign w:val="center"/>
            <w:hideMark/>
          </w:tcPr>
          <w:p w14:paraId="16D0D73B"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PL (cm)</w:t>
            </w:r>
          </w:p>
        </w:tc>
        <w:tc>
          <w:tcPr>
            <w:tcW w:w="0" w:type="auto"/>
            <w:vAlign w:val="center"/>
            <w:hideMark/>
          </w:tcPr>
          <w:p w14:paraId="64DDAB3A"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TGW (g)</w:t>
            </w:r>
          </w:p>
        </w:tc>
        <w:tc>
          <w:tcPr>
            <w:tcW w:w="0" w:type="auto"/>
            <w:vAlign w:val="center"/>
            <w:hideMark/>
          </w:tcPr>
          <w:p w14:paraId="26FEC423" w14:textId="77777777" w:rsidR="00DC429E" w:rsidRPr="00300EEC" w:rsidRDefault="00DC429E" w:rsidP="00300EEC">
            <w:pPr>
              <w:pStyle w:val="BodyText"/>
              <w:spacing w:before="8" w:line="360" w:lineRule="auto"/>
              <w:jc w:val="both"/>
              <w:rPr>
                <w:rFonts w:ascii="Times New Roman" w:hAnsi="Times New Roman" w:cs="Times New Roman"/>
                <w:b/>
                <w:bCs/>
                <w:iCs/>
                <w:sz w:val="22"/>
                <w:szCs w:val="22"/>
                <w:lang w:val="en-IN"/>
              </w:rPr>
            </w:pPr>
            <w:r w:rsidRPr="00300EEC">
              <w:rPr>
                <w:rFonts w:ascii="Times New Roman" w:hAnsi="Times New Roman" w:cs="Times New Roman"/>
                <w:b/>
                <w:bCs/>
                <w:iCs/>
                <w:sz w:val="22"/>
                <w:szCs w:val="22"/>
                <w:lang w:val="en-IN"/>
              </w:rPr>
              <w:t>GFY (g)</w:t>
            </w:r>
          </w:p>
        </w:tc>
      </w:tr>
      <w:tr w:rsidR="00DC429E" w:rsidRPr="00300EEC" w14:paraId="1C038F9F" w14:textId="77777777" w:rsidTr="00DC429E">
        <w:trPr>
          <w:trHeight w:val="382"/>
          <w:tblCellSpacing w:w="15" w:type="dxa"/>
        </w:trPr>
        <w:tc>
          <w:tcPr>
            <w:tcW w:w="0" w:type="auto"/>
            <w:vAlign w:val="center"/>
            <w:hideMark/>
          </w:tcPr>
          <w:p w14:paraId="0D54BF8D"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KBH-3940</w:t>
            </w:r>
          </w:p>
        </w:tc>
        <w:tc>
          <w:tcPr>
            <w:tcW w:w="0" w:type="auto"/>
            <w:vAlign w:val="center"/>
            <w:hideMark/>
          </w:tcPr>
          <w:p w14:paraId="07453C1F"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70.67</w:t>
            </w:r>
          </w:p>
        </w:tc>
        <w:tc>
          <w:tcPr>
            <w:tcW w:w="0" w:type="auto"/>
            <w:vAlign w:val="center"/>
            <w:hideMark/>
          </w:tcPr>
          <w:p w14:paraId="0620381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3.38</w:t>
            </w:r>
          </w:p>
        </w:tc>
        <w:tc>
          <w:tcPr>
            <w:tcW w:w="0" w:type="auto"/>
            <w:vAlign w:val="center"/>
            <w:hideMark/>
          </w:tcPr>
          <w:p w14:paraId="1D13D6F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48.03</w:t>
            </w:r>
          </w:p>
        </w:tc>
        <w:tc>
          <w:tcPr>
            <w:tcW w:w="0" w:type="auto"/>
            <w:vAlign w:val="center"/>
            <w:hideMark/>
          </w:tcPr>
          <w:p w14:paraId="1D2AA61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3.67</w:t>
            </w:r>
          </w:p>
        </w:tc>
        <w:tc>
          <w:tcPr>
            <w:tcW w:w="0" w:type="auto"/>
            <w:vAlign w:val="center"/>
            <w:hideMark/>
          </w:tcPr>
          <w:p w14:paraId="08316F9C"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16.25</w:t>
            </w:r>
          </w:p>
        </w:tc>
        <w:tc>
          <w:tcPr>
            <w:tcW w:w="0" w:type="auto"/>
            <w:vAlign w:val="center"/>
            <w:hideMark/>
          </w:tcPr>
          <w:p w14:paraId="6B936532"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70.03</w:t>
            </w:r>
          </w:p>
        </w:tc>
        <w:tc>
          <w:tcPr>
            <w:tcW w:w="0" w:type="auto"/>
            <w:vAlign w:val="center"/>
            <w:hideMark/>
          </w:tcPr>
          <w:p w14:paraId="109E31D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219.90</w:t>
            </w:r>
          </w:p>
        </w:tc>
        <w:tc>
          <w:tcPr>
            <w:tcW w:w="0" w:type="auto"/>
            <w:vAlign w:val="center"/>
            <w:hideMark/>
          </w:tcPr>
          <w:p w14:paraId="1FEAD68E"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31.42</w:t>
            </w:r>
          </w:p>
        </w:tc>
        <w:tc>
          <w:tcPr>
            <w:tcW w:w="0" w:type="auto"/>
            <w:vAlign w:val="center"/>
            <w:hideMark/>
          </w:tcPr>
          <w:p w14:paraId="0F35CA1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8.76</w:t>
            </w:r>
          </w:p>
        </w:tc>
        <w:tc>
          <w:tcPr>
            <w:tcW w:w="0" w:type="auto"/>
            <w:vAlign w:val="center"/>
            <w:hideMark/>
          </w:tcPr>
          <w:p w14:paraId="1D95EF2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355.65</w:t>
            </w:r>
          </w:p>
        </w:tc>
      </w:tr>
      <w:tr w:rsidR="00DC429E" w:rsidRPr="00300EEC" w14:paraId="55BD3B35" w14:textId="77777777" w:rsidTr="00DC429E">
        <w:trPr>
          <w:trHeight w:val="349"/>
          <w:tblCellSpacing w:w="15" w:type="dxa"/>
        </w:trPr>
        <w:tc>
          <w:tcPr>
            <w:tcW w:w="0" w:type="auto"/>
            <w:vAlign w:val="center"/>
            <w:hideMark/>
          </w:tcPr>
          <w:p w14:paraId="4FA976F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Bio-448</w:t>
            </w:r>
          </w:p>
        </w:tc>
        <w:tc>
          <w:tcPr>
            <w:tcW w:w="0" w:type="auto"/>
            <w:vAlign w:val="center"/>
            <w:hideMark/>
          </w:tcPr>
          <w:p w14:paraId="3344CD8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78.33</w:t>
            </w:r>
          </w:p>
        </w:tc>
        <w:tc>
          <w:tcPr>
            <w:tcW w:w="0" w:type="auto"/>
            <w:vAlign w:val="center"/>
            <w:hideMark/>
          </w:tcPr>
          <w:p w14:paraId="718D5C94"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3.64</w:t>
            </w:r>
          </w:p>
        </w:tc>
        <w:tc>
          <w:tcPr>
            <w:tcW w:w="0" w:type="auto"/>
            <w:vAlign w:val="center"/>
            <w:hideMark/>
          </w:tcPr>
          <w:p w14:paraId="57257DDE"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59.98</w:t>
            </w:r>
          </w:p>
        </w:tc>
        <w:tc>
          <w:tcPr>
            <w:tcW w:w="0" w:type="auto"/>
            <w:vAlign w:val="center"/>
            <w:hideMark/>
          </w:tcPr>
          <w:p w14:paraId="545AA14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3.76</w:t>
            </w:r>
          </w:p>
        </w:tc>
        <w:tc>
          <w:tcPr>
            <w:tcW w:w="0" w:type="auto"/>
            <w:vAlign w:val="center"/>
            <w:hideMark/>
          </w:tcPr>
          <w:p w14:paraId="33E96B9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15.90</w:t>
            </w:r>
          </w:p>
        </w:tc>
        <w:tc>
          <w:tcPr>
            <w:tcW w:w="0" w:type="auto"/>
            <w:vAlign w:val="center"/>
            <w:hideMark/>
          </w:tcPr>
          <w:p w14:paraId="1CD1816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76.44</w:t>
            </w:r>
          </w:p>
        </w:tc>
        <w:tc>
          <w:tcPr>
            <w:tcW w:w="0" w:type="auto"/>
            <w:vAlign w:val="center"/>
            <w:hideMark/>
          </w:tcPr>
          <w:p w14:paraId="2C5E4ECB"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218.90</w:t>
            </w:r>
          </w:p>
        </w:tc>
        <w:tc>
          <w:tcPr>
            <w:tcW w:w="0" w:type="auto"/>
            <w:vAlign w:val="center"/>
            <w:hideMark/>
          </w:tcPr>
          <w:p w14:paraId="39019DAF"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40.88</w:t>
            </w:r>
          </w:p>
        </w:tc>
        <w:tc>
          <w:tcPr>
            <w:tcW w:w="0" w:type="auto"/>
            <w:vAlign w:val="center"/>
            <w:hideMark/>
          </w:tcPr>
          <w:p w14:paraId="0E0B178C"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7.80</w:t>
            </w:r>
          </w:p>
        </w:tc>
        <w:tc>
          <w:tcPr>
            <w:tcW w:w="0" w:type="auto"/>
            <w:vAlign w:val="center"/>
            <w:hideMark/>
          </w:tcPr>
          <w:p w14:paraId="5A93089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383.60</w:t>
            </w:r>
          </w:p>
        </w:tc>
      </w:tr>
      <w:tr w:rsidR="00DC429E" w:rsidRPr="00300EEC" w14:paraId="781CAB0B" w14:textId="77777777" w:rsidTr="00DC429E">
        <w:trPr>
          <w:trHeight w:val="382"/>
          <w:tblCellSpacing w:w="15" w:type="dxa"/>
        </w:trPr>
        <w:tc>
          <w:tcPr>
            <w:tcW w:w="0" w:type="auto"/>
            <w:vAlign w:val="center"/>
            <w:hideMark/>
          </w:tcPr>
          <w:p w14:paraId="57953C7D"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M-86</w:t>
            </w:r>
          </w:p>
        </w:tc>
        <w:tc>
          <w:tcPr>
            <w:tcW w:w="0" w:type="auto"/>
            <w:vAlign w:val="center"/>
            <w:hideMark/>
          </w:tcPr>
          <w:p w14:paraId="133E784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65.67</w:t>
            </w:r>
          </w:p>
        </w:tc>
        <w:tc>
          <w:tcPr>
            <w:tcW w:w="0" w:type="auto"/>
            <w:vAlign w:val="center"/>
            <w:hideMark/>
          </w:tcPr>
          <w:p w14:paraId="5E981E3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3.06</w:t>
            </w:r>
          </w:p>
        </w:tc>
        <w:tc>
          <w:tcPr>
            <w:tcW w:w="0" w:type="auto"/>
            <w:vAlign w:val="center"/>
            <w:hideMark/>
          </w:tcPr>
          <w:p w14:paraId="0CCC249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41.48</w:t>
            </w:r>
          </w:p>
        </w:tc>
        <w:tc>
          <w:tcPr>
            <w:tcW w:w="0" w:type="auto"/>
            <w:vAlign w:val="center"/>
            <w:hideMark/>
          </w:tcPr>
          <w:p w14:paraId="0EA3501A"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3.34</w:t>
            </w:r>
          </w:p>
        </w:tc>
        <w:tc>
          <w:tcPr>
            <w:tcW w:w="0" w:type="auto"/>
            <w:vAlign w:val="center"/>
            <w:hideMark/>
          </w:tcPr>
          <w:p w14:paraId="2A44BA3B"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9.55</w:t>
            </w:r>
          </w:p>
        </w:tc>
        <w:tc>
          <w:tcPr>
            <w:tcW w:w="0" w:type="auto"/>
            <w:vAlign w:val="center"/>
            <w:hideMark/>
          </w:tcPr>
          <w:p w14:paraId="29A9398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66.06</w:t>
            </w:r>
          </w:p>
        </w:tc>
        <w:tc>
          <w:tcPr>
            <w:tcW w:w="0" w:type="auto"/>
            <w:vAlign w:val="center"/>
            <w:hideMark/>
          </w:tcPr>
          <w:p w14:paraId="5C10F6EA"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203.77</w:t>
            </w:r>
          </w:p>
        </w:tc>
        <w:tc>
          <w:tcPr>
            <w:tcW w:w="0" w:type="auto"/>
            <w:vAlign w:val="center"/>
            <w:hideMark/>
          </w:tcPr>
          <w:p w14:paraId="11DD470D"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37.37</w:t>
            </w:r>
          </w:p>
        </w:tc>
        <w:tc>
          <w:tcPr>
            <w:tcW w:w="0" w:type="auto"/>
            <w:vAlign w:val="center"/>
            <w:hideMark/>
          </w:tcPr>
          <w:p w14:paraId="70FB819B"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7.20</w:t>
            </w:r>
          </w:p>
        </w:tc>
        <w:tc>
          <w:tcPr>
            <w:tcW w:w="0" w:type="auto"/>
            <w:vAlign w:val="center"/>
            <w:hideMark/>
          </w:tcPr>
          <w:p w14:paraId="7BA806E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200.50</w:t>
            </w:r>
          </w:p>
        </w:tc>
      </w:tr>
      <w:tr w:rsidR="00DC429E" w:rsidRPr="00300EEC" w14:paraId="51624530" w14:textId="77777777" w:rsidTr="00DC429E">
        <w:trPr>
          <w:trHeight w:val="349"/>
          <w:tblCellSpacing w:w="15" w:type="dxa"/>
        </w:trPr>
        <w:tc>
          <w:tcPr>
            <w:tcW w:w="0" w:type="auto"/>
            <w:vAlign w:val="center"/>
            <w:hideMark/>
          </w:tcPr>
          <w:p w14:paraId="7EDAC5F2"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MP-7792</w:t>
            </w:r>
          </w:p>
        </w:tc>
        <w:tc>
          <w:tcPr>
            <w:tcW w:w="0" w:type="auto"/>
            <w:vAlign w:val="center"/>
            <w:hideMark/>
          </w:tcPr>
          <w:p w14:paraId="29E8C5FC"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69.67</w:t>
            </w:r>
          </w:p>
        </w:tc>
        <w:tc>
          <w:tcPr>
            <w:tcW w:w="0" w:type="auto"/>
            <w:vAlign w:val="center"/>
            <w:hideMark/>
          </w:tcPr>
          <w:p w14:paraId="62000BC4"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3.45</w:t>
            </w:r>
          </w:p>
        </w:tc>
        <w:tc>
          <w:tcPr>
            <w:tcW w:w="0" w:type="auto"/>
            <w:vAlign w:val="center"/>
            <w:hideMark/>
          </w:tcPr>
          <w:p w14:paraId="36D0596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41.81</w:t>
            </w:r>
          </w:p>
        </w:tc>
        <w:tc>
          <w:tcPr>
            <w:tcW w:w="0" w:type="auto"/>
            <w:vAlign w:val="center"/>
            <w:hideMark/>
          </w:tcPr>
          <w:p w14:paraId="7201F61D"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3.20</w:t>
            </w:r>
          </w:p>
        </w:tc>
        <w:tc>
          <w:tcPr>
            <w:tcW w:w="0" w:type="auto"/>
            <w:vAlign w:val="center"/>
            <w:hideMark/>
          </w:tcPr>
          <w:p w14:paraId="504BBDDB"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14.70</w:t>
            </w:r>
          </w:p>
        </w:tc>
        <w:tc>
          <w:tcPr>
            <w:tcW w:w="0" w:type="auto"/>
            <w:vAlign w:val="center"/>
            <w:hideMark/>
          </w:tcPr>
          <w:p w14:paraId="04BF563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52.40</w:t>
            </w:r>
          </w:p>
        </w:tc>
        <w:tc>
          <w:tcPr>
            <w:tcW w:w="0" w:type="auto"/>
            <w:vAlign w:val="center"/>
            <w:hideMark/>
          </w:tcPr>
          <w:p w14:paraId="3B5A9BA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285.95</w:t>
            </w:r>
          </w:p>
        </w:tc>
        <w:tc>
          <w:tcPr>
            <w:tcW w:w="0" w:type="auto"/>
            <w:vAlign w:val="center"/>
            <w:hideMark/>
          </w:tcPr>
          <w:p w14:paraId="1E110C57"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50.95</w:t>
            </w:r>
          </w:p>
        </w:tc>
        <w:tc>
          <w:tcPr>
            <w:tcW w:w="0" w:type="auto"/>
            <w:vAlign w:val="center"/>
            <w:hideMark/>
          </w:tcPr>
          <w:p w14:paraId="0F13167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7.10</w:t>
            </w:r>
          </w:p>
        </w:tc>
        <w:tc>
          <w:tcPr>
            <w:tcW w:w="0" w:type="auto"/>
            <w:vAlign w:val="center"/>
            <w:hideMark/>
          </w:tcPr>
          <w:p w14:paraId="6A5170D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220.60</w:t>
            </w:r>
          </w:p>
        </w:tc>
      </w:tr>
      <w:tr w:rsidR="00DC429E" w:rsidRPr="00300EEC" w14:paraId="1910FCBB" w14:textId="77777777" w:rsidTr="00DC429E">
        <w:trPr>
          <w:trHeight w:val="382"/>
          <w:tblCellSpacing w:w="15" w:type="dxa"/>
        </w:trPr>
        <w:tc>
          <w:tcPr>
            <w:tcW w:w="0" w:type="auto"/>
            <w:vAlign w:val="center"/>
            <w:hideMark/>
          </w:tcPr>
          <w:p w14:paraId="420529EA"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JHBH-676</w:t>
            </w:r>
          </w:p>
        </w:tc>
        <w:tc>
          <w:tcPr>
            <w:tcW w:w="0" w:type="auto"/>
            <w:vAlign w:val="center"/>
            <w:hideMark/>
          </w:tcPr>
          <w:p w14:paraId="5B25C9ED"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71.67</w:t>
            </w:r>
          </w:p>
        </w:tc>
        <w:tc>
          <w:tcPr>
            <w:tcW w:w="0" w:type="auto"/>
            <w:vAlign w:val="center"/>
            <w:hideMark/>
          </w:tcPr>
          <w:p w14:paraId="53C073B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3.60</w:t>
            </w:r>
          </w:p>
        </w:tc>
        <w:tc>
          <w:tcPr>
            <w:tcW w:w="0" w:type="auto"/>
            <w:vAlign w:val="center"/>
            <w:hideMark/>
          </w:tcPr>
          <w:p w14:paraId="192445E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53.42</w:t>
            </w:r>
          </w:p>
        </w:tc>
        <w:tc>
          <w:tcPr>
            <w:tcW w:w="0" w:type="auto"/>
            <w:vAlign w:val="center"/>
            <w:hideMark/>
          </w:tcPr>
          <w:p w14:paraId="1F9A12D2"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3.42</w:t>
            </w:r>
          </w:p>
        </w:tc>
        <w:tc>
          <w:tcPr>
            <w:tcW w:w="0" w:type="auto"/>
            <w:vAlign w:val="center"/>
            <w:hideMark/>
          </w:tcPr>
          <w:p w14:paraId="74D0D7B4"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16.65</w:t>
            </w:r>
          </w:p>
        </w:tc>
        <w:tc>
          <w:tcPr>
            <w:tcW w:w="0" w:type="auto"/>
            <w:vAlign w:val="center"/>
            <w:hideMark/>
          </w:tcPr>
          <w:p w14:paraId="0AF0174B"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65.26</w:t>
            </w:r>
          </w:p>
        </w:tc>
        <w:tc>
          <w:tcPr>
            <w:tcW w:w="0" w:type="auto"/>
            <w:vAlign w:val="center"/>
            <w:hideMark/>
          </w:tcPr>
          <w:p w14:paraId="37BA585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196.83</w:t>
            </w:r>
          </w:p>
        </w:tc>
        <w:tc>
          <w:tcPr>
            <w:tcW w:w="0" w:type="auto"/>
            <w:vAlign w:val="center"/>
            <w:hideMark/>
          </w:tcPr>
          <w:p w14:paraId="02DAB42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43.32</w:t>
            </w:r>
          </w:p>
        </w:tc>
        <w:tc>
          <w:tcPr>
            <w:tcW w:w="0" w:type="auto"/>
            <w:vAlign w:val="center"/>
            <w:hideMark/>
          </w:tcPr>
          <w:p w14:paraId="1B3E13C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7.65</w:t>
            </w:r>
          </w:p>
        </w:tc>
        <w:tc>
          <w:tcPr>
            <w:tcW w:w="0" w:type="auto"/>
            <w:vAlign w:val="center"/>
            <w:hideMark/>
          </w:tcPr>
          <w:p w14:paraId="3788E04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344.10</w:t>
            </w:r>
          </w:p>
        </w:tc>
      </w:tr>
      <w:tr w:rsidR="00DC429E" w:rsidRPr="00300EEC" w14:paraId="21F1E7D0" w14:textId="77777777" w:rsidTr="00DC429E">
        <w:trPr>
          <w:trHeight w:val="349"/>
          <w:tblCellSpacing w:w="15" w:type="dxa"/>
        </w:trPr>
        <w:tc>
          <w:tcPr>
            <w:tcW w:w="0" w:type="auto"/>
            <w:vAlign w:val="center"/>
            <w:hideMark/>
          </w:tcPr>
          <w:p w14:paraId="3BBC4BDB"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HHB-223</w:t>
            </w:r>
          </w:p>
        </w:tc>
        <w:tc>
          <w:tcPr>
            <w:tcW w:w="0" w:type="auto"/>
            <w:vAlign w:val="center"/>
            <w:hideMark/>
          </w:tcPr>
          <w:p w14:paraId="41B6D3B2"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80.00</w:t>
            </w:r>
          </w:p>
        </w:tc>
        <w:tc>
          <w:tcPr>
            <w:tcW w:w="0" w:type="auto"/>
            <w:vAlign w:val="center"/>
            <w:hideMark/>
          </w:tcPr>
          <w:p w14:paraId="1DE423EA"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3.28</w:t>
            </w:r>
          </w:p>
        </w:tc>
        <w:tc>
          <w:tcPr>
            <w:tcW w:w="0" w:type="auto"/>
            <w:vAlign w:val="center"/>
            <w:hideMark/>
          </w:tcPr>
          <w:p w14:paraId="54429017"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62.16</w:t>
            </w:r>
          </w:p>
        </w:tc>
        <w:tc>
          <w:tcPr>
            <w:tcW w:w="0" w:type="auto"/>
            <w:vAlign w:val="center"/>
            <w:hideMark/>
          </w:tcPr>
          <w:p w14:paraId="189E922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3.05</w:t>
            </w:r>
          </w:p>
        </w:tc>
        <w:tc>
          <w:tcPr>
            <w:tcW w:w="0" w:type="auto"/>
            <w:vAlign w:val="center"/>
            <w:hideMark/>
          </w:tcPr>
          <w:p w14:paraId="1659CD2B"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13.83</w:t>
            </w:r>
          </w:p>
        </w:tc>
        <w:tc>
          <w:tcPr>
            <w:tcW w:w="0" w:type="auto"/>
            <w:vAlign w:val="center"/>
            <w:hideMark/>
          </w:tcPr>
          <w:p w14:paraId="0E20ACC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62.90</w:t>
            </w:r>
          </w:p>
        </w:tc>
        <w:tc>
          <w:tcPr>
            <w:tcW w:w="0" w:type="auto"/>
            <w:vAlign w:val="center"/>
            <w:hideMark/>
          </w:tcPr>
          <w:p w14:paraId="16915D6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193.83</w:t>
            </w:r>
          </w:p>
        </w:tc>
        <w:tc>
          <w:tcPr>
            <w:tcW w:w="0" w:type="auto"/>
            <w:vAlign w:val="center"/>
            <w:hideMark/>
          </w:tcPr>
          <w:p w14:paraId="61B93612"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52.59</w:t>
            </w:r>
          </w:p>
        </w:tc>
        <w:tc>
          <w:tcPr>
            <w:tcW w:w="0" w:type="auto"/>
            <w:vAlign w:val="center"/>
            <w:hideMark/>
          </w:tcPr>
          <w:p w14:paraId="195C41D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7.00</w:t>
            </w:r>
          </w:p>
        </w:tc>
        <w:tc>
          <w:tcPr>
            <w:tcW w:w="0" w:type="auto"/>
            <w:vAlign w:val="center"/>
            <w:hideMark/>
          </w:tcPr>
          <w:p w14:paraId="0356546F"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335.60</w:t>
            </w:r>
          </w:p>
        </w:tc>
      </w:tr>
      <w:tr w:rsidR="00DC429E" w:rsidRPr="00300EEC" w14:paraId="5B925AD9" w14:textId="77777777" w:rsidTr="00DC429E">
        <w:trPr>
          <w:trHeight w:val="382"/>
          <w:tblCellSpacing w:w="15" w:type="dxa"/>
        </w:trPr>
        <w:tc>
          <w:tcPr>
            <w:tcW w:w="0" w:type="auto"/>
            <w:vAlign w:val="center"/>
            <w:hideMark/>
          </w:tcPr>
          <w:p w14:paraId="5856E6F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Nandi-61</w:t>
            </w:r>
          </w:p>
        </w:tc>
        <w:tc>
          <w:tcPr>
            <w:tcW w:w="0" w:type="auto"/>
            <w:vAlign w:val="center"/>
            <w:hideMark/>
          </w:tcPr>
          <w:p w14:paraId="18E7416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65.00</w:t>
            </w:r>
          </w:p>
        </w:tc>
        <w:tc>
          <w:tcPr>
            <w:tcW w:w="0" w:type="auto"/>
            <w:vAlign w:val="center"/>
            <w:hideMark/>
          </w:tcPr>
          <w:p w14:paraId="7AC43A8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3.06</w:t>
            </w:r>
          </w:p>
        </w:tc>
        <w:tc>
          <w:tcPr>
            <w:tcW w:w="0" w:type="auto"/>
            <w:vAlign w:val="center"/>
            <w:hideMark/>
          </w:tcPr>
          <w:p w14:paraId="5505EC1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66.50</w:t>
            </w:r>
          </w:p>
        </w:tc>
        <w:tc>
          <w:tcPr>
            <w:tcW w:w="0" w:type="auto"/>
            <w:vAlign w:val="center"/>
            <w:hideMark/>
          </w:tcPr>
          <w:p w14:paraId="5F3E037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3.80</w:t>
            </w:r>
          </w:p>
        </w:tc>
        <w:tc>
          <w:tcPr>
            <w:tcW w:w="0" w:type="auto"/>
            <w:vAlign w:val="center"/>
            <w:hideMark/>
          </w:tcPr>
          <w:p w14:paraId="6916F9E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12.27</w:t>
            </w:r>
          </w:p>
        </w:tc>
        <w:tc>
          <w:tcPr>
            <w:tcW w:w="0" w:type="auto"/>
            <w:vAlign w:val="center"/>
            <w:hideMark/>
          </w:tcPr>
          <w:p w14:paraId="317D72A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65.19</w:t>
            </w:r>
          </w:p>
        </w:tc>
        <w:tc>
          <w:tcPr>
            <w:tcW w:w="0" w:type="auto"/>
            <w:vAlign w:val="center"/>
            <w:hideMark/>
          </w:tcPr>
          <w:p w14:paraId="34A332F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204.23</w:t>
            </w:r>
          </w:p>
        </w:tc>
        <w:tc>
          <w:tcPr>
            <w:tcW w:w="0" w:type="auto"/>
            <w:vAlign w:val="center"/>
            <w:hideMark/>
          </w:tcPr>
          <w:p w14:paraId="73E6716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56.90</w:t>
            </w:r>
          </w:p>
        </w:tc>
        <w:tc>
          <w:tcPr>
            <w:tcW w:w="0" w:type="auto"/>
            <w:vAlign w:val="center"/>
            <w:hideMark/>
          </w:tcPr>
          <w:p w14:paraId="6A99C0E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7.60</w:t>
            </w:r>
          </w:p>
        </w:tc>
        <w:tc>
          <w:tcPr>
            <w:tcW w:w="0" w:type="auto"/>
            <w:vAlign w:val="center"/>
            <w:hideMark/>
          </w:tcPr>
          <w:p w14:paraId="27895BC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285.60</w:t>
            </w:r>
          </w:p>
        </w:tc>
      </w:tr>
      <w:tr w:rsidR="00DC429E" w:rsidRPr="00300EEC" w14:paraId="2D335FC3" w14:textId="77777777" w:rsidTr="00DC429E">
        <w:trPr>
          <w:trHeight w:val="349"/>
          <w:tblCellSpacing w:w="15" w:type="dxa"/>
        </w:trPr>
        <w:tc>
          <w:tcPr>
            <w:tcW w:w="0" w:type="auto"/>
            <w:vAlign w:val="center"/>
            <w:hideMark/>
          </w:tcPr>
          <w:p w14:paraId="18B41F3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GHB-732</w:t>
            </w:r>
          </w:p>
        </w:tc>
        <w:tc>
          <w:tcPr>
            <w:tcW w:w="0" w:type="auto"/>
            <w:vAlign w:val="center"/>
            <w:hideMark/>
          </w:tcPr>
          <w:p w14:paraId="511E0F1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63.33</w:t>
            </w:r>
          </w:p>
        </w:tc>
        <w:tc>
          <w:tcPr>
            <w:tcW w:w="0" w:type="auto"/>
            <w:vAlign w:val="center"/>
            <w:hideMark/>
          </w:tcPr>
          <w:p w14:paraId="0934DEB7"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3.54</w:t>
            </w:r>
          </w:p>
        </w:tc>
        <w:tc>
          <w:tcPr>
            <w:tcW w:w="0" w:type="auto"/>
            <w:vAlign w:val="center"/>
            <w:hideMark/>
          </w:tcPr>
          <w:p w14:paraId="4C50B64C"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66.90</w:t>
            </w:r>
          </w:p>
        </w:tc>
        <w:tc>
          <w:tcPr>
            <w:tcW w:w="0" w:type="auto"/>
            <w:vAlign w:val="center"/>
            <w:hideMark/>
          </w:tcPr>
          <w:p w14:paraId="4F6E54B4"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3.25</w:t>
            </w:r>
          </w:p>
        </w:tc>
        <w:tc>
          <w:tcPr>
            <w:tcW w:w="0" w:type="auto"/>
            <w:vAlign w:val="center"/>
            <w:hideMark/>
          </w:tcPr>
          <w:p w14:paraId="56B4681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18.05</w:t>
            </w:r>
          </w:p>
        </w:tc>
        <w:tc>
          <w:tcPr>
            <w:tcW w:w="0" w:type="auto"/>
            <w:vAlign w:val="center"/>
            <w:hideMark/>
          </w:tcPr>
          <w:p w14:paraId="620A070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56.90</w:t>
            </w:r>
          </w:p>
        </w:tc>
        <w:tc>
          <w:tcPr>
            <w:tcW w:w="0" w:type="auto"/>
            <w:vAlign w:val="center"/>
            <w:hideMark/>
          </w:tcPr>
          <w:p w14:paraId="35BBAA9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220.05</w:t>
            </w:r>
          </w:p>
        </w:tc>
        <w:tc>
          <w:tcPr>
            <w:tcW w:w="0" w:type="auto"/>
            <w:vAlign w:val="center"/>
            <w:hideMark/>
          </w:tcPr>
          <w:p w14:paraId="7B8C855F"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39.22</w:t>
            </w:r>
          </w:p>
        </w:tc>
        <w:tc>
          <w:tcPr>
            <w:tcW w:w="0" w:type="auto"/>
            <w:vAlign w:val="center"/>
            <w:hideMark/>
          </w:tcPr>
          <w:p w14:paraId="58E58CE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8.40</w:t>
            </w:r>
          </w:p>
        </w:tc>
        <w:tc>
          <w:tcPr>
            <w:tcW w:w="0" w:type="auto"/>
            <w:vAlign w:val="center"/>
            <w:hideMark/>
          </w:tcPr>
          <w:p w14:paraId="795AD892"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300.50</w:t>
            </w:r>
          </w:p>
        </w:tc>
      </w:tr>
      <w:tr w:rsidR="00DC429E" w:rsidRPr="00300EEC" w14:paraId="06EDE105" w14:textId="77777777" w:rsidTr="00DC429E">
        <w:trPr>
          <w:trHeight w:val="382"/>
          <w:tblCellSpacing w:w="15" w:type="dxa"/>
        </w:trPr>
        <w:tc>
          <w:tcPr>
            <w:tcW w:w="0" w:type="auto"/>
            <w:vAlign w:val="center"/>
            <w:hideMark/>
          </w:tcPr>
          <w:p w14:paraId="26ED861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HHB-197</w:t>
            </w:r>
          </w:p>
        </w:tc>
        <w:tc>
          <w:tcPr>
            <w:tcW w:w="0" w:type="auto"/>
            <w:vAlign w:val="center"/>
            <w:hideMark/>
          </w:tcPr>
          <w:p w14:paraId="013E20C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71.33</w:t>
            </w:r>
          </w:p>
        </w:tc>
        <w:tc>
          <w:tcPr>
            <w:tcW w:w="0" w:type="auto"/>
            <w:vAlign w:val="center"/>
            <w:hideMark/>
          </w:tcPr>
          <w:p w14:paraId="477C7F3C"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2.94</w:t>
            </w:r>
          </w:p>
        </w:tc>
        <w:tc>
          <w:tcPr>
            <w:tcW w:w="0" w:type="auto"/>
            <w:vAlign w:val="center"/>
            <w:hideMark/>
          </w:tcPr>
          <w:p w14:paraId="0E29EDD4"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59.88</w:t>
            </w:r>
          </w:p>
        </w:tc>
        <w:tc>
          <w:tcPr>
            <w:tcW w:w="0" w:type="auto"/>
            <w:vAlign w:val="center"/>
            <w:hideMark/>
          </w:tcPr>
          <w:p w14:paraId="7995927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3.00</w:t>
            </w:r>
          </w:p>
        </w:tc>
        <w:tc>
          <w:tcPr>
            <w:tcW w:w="0" w:type="auto"/>
            <w:vAlign w:val="center"/>
            <w:hideMark/>
          </w:tcPr>
          <w:p w14:paraId="7A20BEC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11.72</w:t>
            </w:r>
          </w:p>
        </w:tc>
        <w:tc>
          <w:tcPr>
            <w:tcW w:w="0" w:type="auto"/>
            <w:vAlign w:val="center"/>
            <w:hideMark/>
          </w:tcPr>
          <w:p w14:paraId="55432F7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65.44</w:t>
            </w:r>
          </w:p>
        </w:tc>
        <w:tc>
          <w:tcPr>
            <w:tcW w:w="0" w:type="auto"/>
            <w:vAlign w:val="center"/>
            <w:hideMark/>
          </w:tcPr>
          <w:p w14:paraId="0D8075A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214.75</w:t>
            </w:r>
          </w:p>
        </w:tc>
        <w:tc>
          <w:tcPr>
            <w:tcW w:w="0" w:type="auto"/>
            <w:vAlign w:val="center"/>
            <w:hideMark/>
          </w:tcPr>
          <w:p w14:paraId="142E022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49.41</w:t>
            </w:r>
          </w:p>
        </w:tc>
        <w:tc>
          <w:tcPr>
            <w:tcW w:w="0" w:type="auto"/>
            <w:vAlign w:val="center"/>
            <w:hideMark/>
          </w:tcPr>
          <w:p w14:paraId="44144E8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6.25</w:t>
            </w:r>
          </w:p>
        </w:tc>
        <w:tc>
          <w:tcPr>
            <w:tcW w:w="0" w:type="auto"/>
            <w:vAlign w:val="center"/>
            <w:hideMark/>
          </w:tcPr>
          <w:p w14:paraId="5A15872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289.60</w:t>
            </w:r>
          </w:p>
        </w:tc>
      </w:tr>
      <w:tr w:rsidR="00DC429E" w:rsidRPr="00300EEC" w14:paraId="4767F64D" w14:textId="77777777" w:rsidTr="00DC429E">
        <w:trPr>
          <w:trHeight w:val="349"/>
          <w:tblCellSpacing w:w="15" w:type="dxa"/>
        </w:trPr>
        <w:tc>
          <w:tcPr>
            <w:tcW w:w="0" w:type="auto"/>
            <w:vAlign w:val="center"/>
            <w:hideMark/>
          </w:tcPr>
          <w:p w14:paraId="6EDE431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NMH-68</w:t>
            </w:r>
          </w:p>
        </w:tc>
        <w:tc>
          <w:tcPr>
            <w:tcW w:w="0" w:type="auto"/>
            <w:vAlign w:val="center"/>
            <w:hideMark/>
          </w:tcPr>
          <w:p w14:paraId="5FC0FE7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61.33</w:t>
            </w:r>
          </w:p>
        </w:tc>
        <w:tc>
          <w:tcPr>
            <w:tcW w:w="0" w:type="auto"/>
            <w:vAlign w:val="center"/>
            <w:hideMark/>
          </w:tcPr>
          <w:p w14:paraId="09EEA96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2.90</w:t>
            </w:r>
          </w:p>
        </w:tc>
        <w:tc>
          <w:tcPr>
            <w:tcW w:w="0" w:type="auto"/>
            <w:vAlign w:val="center"/>
            <w:hideMark/>
          </w:tcPr>
          <w:p w14:paraId="23E547D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67.87</w:t>
            </w:r>
          </w:p>
        </w:tc>
        <w:tc>
          <w:tcPr>
            <w:tcW w:w="0" w:type="auto"/>
            <w:vAlign w:val="center"/>
            <w:hideMark/>
          </w:tcPr>
          <w:p w14:paraId="2E017C7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2.15</w:t>
            </w:r>
          </w:p>
        </w:tc>
        <w:tc>
          <w:tcPr>
            <w:tcW w:w="0" w:type="auto"/>
            <w:vAlign w:val="center"/>
            <w:hideMark/>
          </w:tcPr>
          <w:p w14:paraId="0A0FA82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15.47</w:t>
            </w:r>
          </w:p>
        </w:tc>
        <w:tc>
          <w:tcPr>
            <w:tcW w:w="0" w:type="auto"/>
            <w:vAlign w:val="center"/>
            <w:hideMark/>
          </w:tcPr>
          <w:p w14:paraId="15B2EDB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54.45</w:t>
            </w:r>
          </w:p>
        </w:tc>
        <w:tc>
          <w:tcPr>
            <w:tcW w:w="0" w:type="auto"/>
            <w:vAlign w:val="center"/>
            <w:hideMark/>
          </w:tcPr>
          <w:p w14:paraId="0C56172B"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209.57</w:t>
            </w:r>
          </w:p>
        </w:tc>
        <w:tc>
          <w:tcPr>
            <w:tcW w:w="0" w:type="auto"/>
            <w:vAlign w:val="center"/>
            <w:hideMark/>
          </w:tcPr>
          <w:p w14:paraId="5DC37B0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56.80</w:t>
            </w:r>
          </w:p>
        </w:tc>
        <w:tc>
          <w:tcPr>
            <w:tcW w:w="0" w:type="auto"/>
            <w:vAlign w:val="center"/>
            <w:hideMark/>
          </w:tcPr>
          <w:p w14:paraId="2F52998D"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7.65</w:t>
            </w:r>
          </w:p>
        </w:tc>
        <w:tc>
          <w:tcPr>
            <w:tcW w:w="0" w:type="auto"/>
            <w:vAlign w:val="center"/>
            <w:hideMark/>
          </w:tcPr>
          <w:p w14:paraId="0ED974F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310.50</w:t>
            </w:r>
          </w:p>
        </w:tc>
      </w:tr>
      <w:tr w:rsidR="00DC429E" w:rsidRPr="00300EEC" w14:paraId="6330DDEF" w14:textId="77777777" w:rsidTr="00DC429E">
        <w:trPr>
          <w:trHeight w:val="382"/>
          <w:tblCellSpacing w:w="15" w:type="dxa"/>
        </w:trPr>
        <w:tc>
          <w:tcPr>
            <w:tcW w:w="0" w:type="auto"/>
            <w:vAlign w:val="center"/>
            <w:hideMark/>
          </w:tcPr>
          <w:p w14:paraId="7A60BD0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Pusa-322</w:t>
            </w:r>
          </w:p>
        </w:tc>
        <w:tc>
          <w:tcPr>
            <w:tcW w:w="0" w:type="auto"/>
            <w:vAlign w:val="center"/>
            <w:hideMark/>
          </w:tcPr>
          <w:p w14:paraId="6C402282"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69.00</w:t>
            </w:r>
          </w:p>
        </w:tc>
        <w:tc>
          <w:tcPr>
            <w:tcW w:w="0" w:type="auto"/>
            <w:vAlign w:val="center"/>
            <w:hideMark/>
          </w:tcPr>
          <w:p w14:paraId="7378D05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2.96</w:t>
            </w:r>
          </w:p>
        </w:tc>
        <w:tc>
          <w:tcPr>
            <w:tcW w:w="0" w:type="auto"/>
            <w:vAlign w:val="center"/>
            <w:hideMark/>
          </w:tcPr>
          <w:p w14:paraId="7CDD378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68.60</w:t>
            </w:r>
          </w:p>
        </w:tc>
        <w:tc>
          <w:tcPr>
            <w:tcW w:w="0" w:type="auto"/>
            <w:vAlign w:val="center"/>
            <w:hideMark/>
          </w:tcPr>
          <w:p w14:paraId="4DA7159F"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3.84</w:t>
            </w:r>
          </w:p>
        </w:tc>
        <w:tc>
          <w:tcPr>
            <w:tcW w:w="0" w:type="auto"/>
            <w:vAlign w:val="center"/>
            <w:hideMark/>
          </w:tcPr>
          <w:p w14:paraId="1DF552CD"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10.67</w:t>
            </w:r>
          </w:p>
        </w:tc>
        <w:tc>
          <w:tcPr>
            <w:tcW w:w="0" w:type="auto"/>
            <w:vAlign w:val="center"/>
            <w:hideMark/>
          </w:tcPr>
          <w:p w14:paraId="6776345F"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67.77</w:t>
            </w:r>
          </w:p>
        </w:tc>
        <w:tc>
          <w:tcPr>
            <w:tcW w:w="0" w:type="auto"/>
            <w:vAlign w:val="center"/>
            <w:hideMark/>
          </w:tcPr>
          <w:p w14:paraId="3CC41FAA"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214.47</w:t>
            </w:r>
          </w:p>
        </w:tc>
        <w:tc>
          <w:tcPr>
            <w:tcW w:w="0" w:type="auto"/>
            <w:vAlign w:val="center"/>
            <w:hideMark/>
          </w:tcPr>
          <w:p w14:paraId="4AFF9FF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47.33</w:t>
            </w:r>
          </w:p>
        </w:tc>
        <w:tc>
          <w:tcPr>
            <w:tcW w:w="0" w:type="auto"/>
            <w:vAlign w:val="center"/>
            <w:hideMark/>
          </w:tcPr>
          <w:p w14:paraId="4BA88D1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6.90</w:t>
            </w:r>
          </w:p>
        </w:tc>
        <w:tc>
          <w:tcPr>
            <w:tcW w:w="0" w:type="auto"/>
            <w:vAlign w:val="center"/>
            <w:hideMark/>
          </w:tcPr>
          <w:p w14:paraId="1C397457"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295.40</w:t>
            </w:r>
          </w:p>
        </w:tc>
      </w:tr>
      <w:tr w:rsidR="00DC429E" w:rsidRPr="00300EEC" w14:paraId="214DB09F" w14:textId="77777777" w:rsidTr="00DC429E">
        <w:trPr>
          <w:trHeight w:val="349"/>
          <w:tblCellSpacing w:w="15" w:type="dxa"/>
        </w:trPr>
        <w:tc>
          <w:tcPr>
            <w:tcW w:w="0" w:type="auto"/>
            <w:vAlign w:val="center"/>
            <w:hideMark/>
          </w:tcPr>
          <w:p w14:paraId="64BEF9BB"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JBH-1</w:t>
            </w:r>
          </w:p>
        </w:tc>
        <w:tc>
          <w:tcPr>
            <w:tcW w:w="0" w:type="auto"/>
            <w:vAlign w:val="center"/>
            <w:hideMark/>
          </w:tcPr>
          <w:p w14:paraId="0D7F67F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69.67</w:t>
            </w:r>
          </w:p>
        </w:tc>
        <w:tc>
          <w:tcPr>
            <w:tcW w:w="0" w:type="auto"/>
            <w:vAlign w:val="center"/>
            <w:hideMark/>
          </w:tcPr>
          <w:p w14:paraId="6BC3E07E"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3.35</w:t>
            </w:r>
          </w:p>
        </w:tc>
        <w:tc>
          <w:tcPr>
            <w:tcW w:w="0" w:type="auto"/>
            <w:vAlign w:val="center"/>
            <w:hideMark/>
          </w:tcPr>
          <w:p w14:paraId="54882E5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73.58</w:t>
            </w:r>
          </w:p>
        </w:tc>
        <w:tc>
          <w:tcPr>
            <w:tcW w:w="0" w:type="auto"/>
            <w:vAlign w:val="center"/>
            <w:hideMark/>
          </w:tcPr>
          <w:p w14:paraId="0766C774"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3.22</w:t>
            </w:r>
          </w:p>
        </w:tc>
        <w:tc>
          <w:tcPr>
            <w:tcW w:w="0" w:type="auto"/>
            <w:vAlign w:val="center"/>
            <w:hideMark/>
          </w:tcPr>
          <w:p w14:paraId="0CFE6CAF"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14.00</w:t>
            </w:r>
          </w:p>
        </w:tc>
        <w:tc>
          <w:tcPr>
            <w:tcW w:w="0" w:type="auto"/>
            <w:vAlign w:val="center"/>
            <w:hideMark/>
          </w:tcPr>
          <w:p w14:paraId="179C2A4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69.00</w:t>
            </w:r>
          </w:p>
        </w:tc>
        <w:tc>
          <w:tcPr>
            <w:tcW w:w="0" w:type="auto"/>
            <w:vAlign w:val="center"/>
            <w:hideMark/>
          </w:tcPr>
          <w:p w14:paraId="5D0DA75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220.20</w:t>
            </w:r>
          </w:p>
        </w:tc>
        <w:tc>
          <w:tcPr>
            <w:tcW w:w="0" w:type="auto"/>
            <w:vAlign w:val="center"/>
            <w:hideMark/>
          </w:tcPr>
          <w:p w14:paraId="6FD8FF54"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54.81</w:t>
            </w:r>
          </w:p>
        </w:tc>
        <w:tc>
          <w:tcPr>
            <w:tcW w:w="0" w:type="auto"/>
            <w:vAlign w:val="center"/>
            <w:hideMark/>
          </w:tcPr>
          <w:p w14:paraId="72C8341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7.10</w:t>
            </w:r>
          </w:p>
        </w:tc>
        <w:tc>
          <w:tcPr>
            <w:tcW w:w="0" w:type="auto"/>
            <w:vAlign w:val="center"/>
            <w:hideMark/>
          </w:tcPr>
          <w:p w14:paraId="0583833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Cs/>
                <w:iCs/>
                <w:sz w:val="22"/>
                <w:szCs w:val="22"/>
                <w:lang w:val="en-IN"/>
              </w:rPr>
              <w:t>310.35</w:t>
            </w:r>
          </w:p>
        </w:tc>
      </w:tr>
      <w:tr w:rsidR="00DC429E" w:rsidRPr="00300EEC" w14:paraId="5AAC6FC6" w14:textId="77777777" w:rsidTr="00DC429E">
        <w:trPr>
          <w:trHeight w:val="382"/>
          <w:tblCellSpacing w:w="15" w:type="dxa"/>
        </w:trPr>
        <w:tc>
          <w:tcPr>
            <w:tcW w:w="0" w:type="auto"/>
            <w:vAlign w:val="center"/>
            <w:hideMark/>
          </w:tcPr>
          <w:p w14:paraId="3C7D7CDC"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Mean</w:t>
            </w:r>
          </w:p>
        </w:tc>
        <w:tc>
          <w:tcPr>
            <w:tcW w:w="0" w:type="auto"/>
            <w:vAlign w:val="center"/>
            <w:hideMark/>
          </w:tcPr>
          <w:p w14:paraId="352BC722"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68.98</w:t>
            </w:r>
          </w:p>
        </w:tc>
        <w:tc>
          <w:tcPr>
            <w:tcW w:w="0" w:type="auto"/>
            <w:vAlign w:val="center"/>
            <w:hideMark/>
          </w:tcPr>
          <w:p w14:paraId="6B833A9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3.22</w:t>
            </w:r>
          </w:p>
        </w:tc>
        <w:tc>
          <w:tcPr>
            <w:tcW w:w="0" w:type="auto"/>
            <w:vAlign w:val="center"/>
            <w:hideMark/>
          </w:tcPr>
          <w:p w14:paraId="246AB70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58.97</w:t>
            </w:r>
          </w:p>
        </w:tc>
        <w:tc>
          <w:tcPr>
            <w:tcW w:w="0" w:type="auto"/>
            <w:vAlign w:val="center"/>
            <w:hideMark/>
          </w:tcPr>
          <w:p w14:paraId="2CFB4B4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3.41</w:t>
            </w:r>
          </w:p>
        </w:tc>
        <w:tc>
          <w:tcPr>
            <w:tcW w:w="0" w:type="auto"/>
            <w:vAlign w:val="center"/>
            <w:hideMark/>
          </w:tcPr>
          <w:p w14:paraId="3F829E5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14.30</w:t>
            </w:r>
          </w:p>
        </w:tc>
        <w:tc>
          <w:tcPr>
            <w:tcW w:w="0" w:type="auto"/>
            <w:vAlign w:val="center"/>
            <w:hideMark/>
          </w:tcPr>
          <w:p w14:paraId="1100F2AE"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64.82</w:t>
            </w:r>
          </w:p>
        </w:tc>
        <w:tc>
          <w:tcPr>
            <w:tcW w:w="0" w:type="auto"/>
            <w:vAlign w:val="center"/>
            <w:hideMark/>
          </w:tcPr>
          <w:p w14:paraId="6C6AC1D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216.37</w:t>
            </w:r>
          </w:p>
        </w:tc>
        <w:tc>
          <w:tcPr>
            <w:tcW w:w="0" w:type="auto"/>
            <w:vAlign w:val="center"/>
            <w:hideMark/>
          </w:tcPr>
          <w:p w14:paraId="569B63FE"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46.75</w:t>
            </w:r>
          </w:p>
        </w:tc>
        <w:tc>
          <w:tcPr>
            <w:tcW w:w="0" w:type="auto"/>
            <w:vAlign w:val="center"/>
            <w:hideMark/>
          </w:tcPr>
          <w:p w14:paraId="2257F01A"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7.45</w:t>
            </w:r>
          </w:p>
        </w:tc>
        <w:tc>
          <w:tcPr>
            <w:tcW w:w="0" w:type="auto"/>
            <w:vAlign w:val="center"/>
            <w:hideMark/>
          </w:tcPr>
          <w:p w14:paraId="22A2CD5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302.67</w:t>
            </w:r>
          </w:p>
        </w:tc>
      </w:tr>
      <w:tr w:rsidR="00DC429E" w:rsidRPr="00300EEC" w14:paraId="28FE2C37" w14:textId="77777777" w:rsidTr="00DC429E">
        <w:trPr>
          <w:trHeight w:val="349"/>
          <w:tblCellSpacing w:w="15" w:type="dxa"/>
        </w:trPr>
        <w:tc>
          <w:tcPr>
            <w:tcW w:w="0" w:type="auto"/>
            <w:vAlign w:val="center"/>
            <w:hideMark/>
          </w:tcPr>
          <w:p w14:paraId="2448F1B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proofErr w:type="spellStart"/>
            <w:r w:rsidRPr="00300EEC">
              <w:rPr>
                <w:rFonts w:ascii="Times New Roman" w:hAnsi="Times New Roman" w:cs="Times New Roman"/>
                <w:b/>
                <w:bCs/>
                <w:iCs/>
                <w:sz w:val="22"/>
                <w:szCs w:val="22"/>
                <w:lang w:val="en-IN"/>
              </w:rPr>
              <w:t>SEm</w:t>
            </w:r>
            <w:proofErr w:type="spellEnd"/>
            <w:r w:rsidRPr="00300EEC">
              <w:rPr>
                <w:rFonts w:ascii="Times New Roman" w:hAnsi="Times New Roman" w:cs="Times New Roman"/>
                <w:b/>
                <w:bCs/>
                <w:iCs/>
                <w:sz w:val="22"/>
                <w:szCs w:val="22"/>
                <w:lang w:val="en-IN"/>
              </w:rPr>
              <w:t xml:space="preserve"> (±)</w:t>
            </w:r>
          </w:p>
        </w:tc>
        <w:tc>
          <w:tcPr>
            <w:tcW w:w="0" w:type="auto"/>
            <w:vAlign w:val="center"/>
            <w:hideMark/>
          </w:tcPr>
          <w:p w14:paraId="1D6E042D"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1.46</w:t>
            </w:r>
          </w:p>
        </w:tc>
        <w:tc>
          <w:tcPr>
            <w:tcW w:w="0" w:type="auto"/>
            <w:vAlign w:val="center"/>
            <w:hideMark/>
          </w:tcPr>
          <w:p w14:paraId="20A2EE2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0.17</w:t>
            </w:r>
          </w:p>
        </w:tc>
        <w:tc>
          <w:tcPr>
            <w:tcW w:w="0" w:type="auto"/>
            <w:vAlign w:val="center"/>
            <w:hideMark/>
          </w:tcPr>
          <w:p w14:paraId="2596B2F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2.53</w:t>
            </w:r>
          </w:p>
        </w:tc>
        <w:tc>
          <w:tcPr>
            <w:tcW w:w="0" w:type="auto"/>
            <w:vAlign w:val="center"/>
            <w:hideMark/>
          </w:tcPr>
          <w:p w14:paraId="215CB068"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0.09</w:t>
            </w:r>
          </w:p>
        </w:tc>
        <w:tc>
          <w:tcPr>
            <w:tcW w:w="0" w:type="auto"/>
            <w:vAlign w:val="center"/>
            <w:hideMark/>
          </w:tcPr>
          <w:p w14:paraId="7BE8573A"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0.31</w:t>
            </w:r>
          </w:p>
        </w:tc>
        <w:tc>
          <w:tcPr>
            <w:tcW w:w="0" w:type="auto"/>
            <w:vAlign w:val="center"/>
            <w:hideMark/>
          </w:tcPr>
          <w:p w14:paraId="1B6736EC"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1.38</w:t>
            </w:r>
          </w:p>
        </w:tc>
        <w:tc>
          <w:tcPr>
            <w:tcW w:w="0" w:type="auto"/>
            <w:vAlign w:val="center"/>
            <w:hideMark/>
          </w:tcPr>
          <w:p w14:paraId="61B2B01C"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11.35</w:t>
            </w:r>
          </w:p>
        </w:tc>
        <w:tc>
          <w:tcPr>
            <w:tcW w:w="0" w:type="auto"/>
            <w:vAlign w:val="center"/>
            <w:hideMark/>
          </w:tcPr>
          <w:p w14:paraId="1F1AFABD"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1.02</w:t>
            </w:r>
          </w:p>
        </w:tc>
        <w:tc>
          <w:tcPr>
            <w:tcW w:w="0" w:type="auto"/>
            <w:vAlign w:val="center"/>
            <w:hideMark/>
          </w:tcPr>
          <w:p w14:paraId="6911F2F5"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0.30</w:t>
            </w:r>
          </w:p>
        </w:tc>
        <w:tc>
          <w:tcPr>
            <w:tcW w:w="0" w:type="auto"/>
            <w:vAlign w:val="center"/>
            <w:hideMark/>
          </w:tcPr>
          <w:p w14:paraId="70A29A16"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12.57</w:t>
            </w:r>
          </w:p>
        </w:tc>
      </w:tr>
      <w:tr w:rsidR="00DC429E" w:rsidRPr="00300EEC" w14:paraId="384647FD" w14:textId="77777777" w:rsidTr="00DC429E">
        <w:trPr>
          <w:trHeight w:val="382"/>
          <w:tblCellSpacing w:w="15" w:type="dxa"/>
        </w:trPr>
        <w:tc>
          <w:tcPr>
            <w:tcW w:w="0" w:type="auto"/>
            <w:vAlign w:val="center"/>
            <w:hideMark/>
          </w:tcPr>
          <w:p w14:paraId="39F2F4F3"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CV (%)</w:t>
            </w:r>
          </w:p>
        </w:tc>
        <w:tc>
          <w:tcPr>
            <w:tcW w:w="0" w:type="auto"/>
            <w:vAlign w:val="center"/>
            <w:hideMark/>
          </w:tcPr>
          <w:p w14:paraId="38ABE63E"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3.67</w:t>
            </w:r>
          </w:p>
        </w:tc>
        <w:tc>
          <w:tcPr>
            <w:tcW w:w="0" w:type="auto"/>
            <w:vAlign w:val="center"/>
            <w:hideMark/>
          </w:tcPr>
          <w:p w14:paraId="35ACBBCE"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9.32</w:t>
            </w:r>
          </w:p>
        </w:tc>
        <w:tc>
          <w:tcPr>
            <w:tcW w:w="0" w:type="auto"/>
            <w:vAlign w:val="center"/>
            <w:hideMark/>
          </w:tcPr>
          <w:p w14:paraId="3EAD9B2A"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7.43</w:t>
            </w:r>
          </w:p>
        </w:tc>
        <w:tc>
          <w:tcPr>
            <w:tcW w:w="0" w:type="auto"/>
            <w:vAlign w:val="center"/>
            <w:hideMark/>
          </w:tcPr>
          <w:p w14:paraId="25265F1E"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5.00</w:t>
            </w:r>
          </w:p>
        </w:tc>
        <w:tc>
          <w:tcPr>
            <w:tcW w:w="0" w:type="auto"/>
            <w:vAlign w:val="center"/>
            <w:hideMark/>
          </w:tcPr>
          <w:p w14:paraId="4C1BD8F7"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3.77</w:t>
            </w:r>
          </w:p>
        </w:tc>
        <w:tc>
          <w:tcPr>
            <w:tcW w:w="0" w:type="auto"/>
            <w:vAlign w:val="center"/>
            <w:hideMark/>
          </w:tcPr>
          <w:p w14:paraId="635F581D"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4.00</w:t>
            </w:r>
          </w:p>
        </w:tc>
        <w:tc>
          <w:tcPr>
            <w:tcW w:w="0" w:type="auto"/>
            <w:vAlign w:val="center"/>
            <w:hideMark/>
          </w:tcPr>
          <w:p w14:paraId="5BC44F50"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10.67</w:t>
            </w:r>
          </w:p>
        </w:tc>
        <w:tc>
          <w:tcPr>
            <w:tcW w:w="0" w:type="auto"/>
            <w:vAlign w:val="center"/>
            <w:hideMark/>
          </w:tcPr>
          <w:p w14:paraId="152396CB"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3.91</w:t>
            </w:r>
          </w:p>
        </w:tc>
        <w:tc>
          <w:tcPr>
            <w:tcW w:w="0" w:type="auto"/>
            <w:vAlign w:val="center"/>
            <w:hideMark/>
          </w:tcPr>
          <w:p w14:paraId="115C9E59"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7.06</w:t>
            </w:r>
          </w:p>
        </w:tc>
        <w:tc>
          <w:tcPr>
            <w:tcW w:w="0" w:type="auto"/>
            <w:vAlign w:val="center"/>
            <w:hideMark/>
          </w:tcPr>
          <w:p w14:paraId="29338371" w14:textId="77777777" w:rsidR="00DC429E" w:rsidRPr="00300EEC" w:rsidRDefault="00DC429E" w:rsidP="00300EEC">
            <w:pPr>
              <w:pStyle w:val="BodyText"/>
              <w:spacing w:before="8" w:line="360" w:lineRule="auto"/>
              <w:jc w:val="both"/>
              <w:rPr>
                <w:rFonts w:ascii="Times New Roman" w:hAnsi="Times New Roman" w:cs="Times New Roman"/>
                <w:bCs/>
                <w:iCs/>
                <w:sz w:val="22"/>
                <w:szCs w:val="22"/>
                <w:lang w:val="en-IN"/>
              </w:rPr>
            </w:pPr>
            <w:r w:rsidRPr="00300EEC">
              <w:rPr>
                <w:rFonts w:ascii="Times New Roman" w:hAnsi="Times New Roman" w:cs="Times New Roman"/>
                <w:b/>
                <w:bCs/>
                <w:iCs/>
                <w:sz w:val="22"/>
                <w:szCs w:val="22"/>
                <w:lang w:val="en-IN"/>
              </w:rPr>
              <w:t>7.27</w:t>
            </w:r>
          </w:p>
        </w:tc>
      </w:tr>
    </w:tbl>
    <w:p w14:paraId="1A158E40" w14:textId="77777777" w:rsidR="00DC429E" w:rsidRPr="00300EEC" w:rsidRDefault="00DC429E" w:rsidP="00300EEC">
      <w:pPr>
        <w:spacing w:line="360" w:lineRule="auto"/>
        <w:jc w:val="both"/>
        <w:rPr>
          <w:rFonts w:ascii="Times New Roman" w:hAnsi="Times New Roman" w:cs="Times New Roman"/>
        </w:rPr>
      </w:pPr>
    </w:p>
    <w:p w14:paraId="6CF5AA88" w14:textId="6B9FBB88" w:rsidR="00DC429E" w:rsidRPr="00DC429E" w:rsidRDefault="00DC429E" w:rsidP="00300EEC">
      <w:pPr>
        <w:spacing w:line="360" w:lineRule="auto"/>
        <w:jc w:val="both"/>
        <w:rPr>
          <w:rFonts w:ascii="Times New Roman" w:hAnsi="Times New Roman" w:cs="Times New Roman"/>
          <w:b/>
          <w:bCs/>
          <w:lang w:val="en-US"/>
        </w:rPr>
      </w:pPr>
      <w:r w:rsidRPr="00DC429E">
        <w:rPr>
          <w:rFonts w:ascii="Times New Roman" w:hAnsi="Times New Roman" w:cs="Times New Roman"/>
          <w:b/>
          <w:bCs/>
          <w:lang w:val="en-US"/>
        </w:rPr>
        <w:t>CONCLUSION</w:t>
      </w:r>
    </w:p>
    <w:p w14:paraId="279C105B" w14:textId="77777777" w:rsidR="00DC429E" w:rsidRPr="00DC429E" w:rsidRDefault="00DC429E" w:rsidP="00300EEC">
      <w:pPr>
        <w:spacing w:line="360" w:lineRule="auto"/>
        <w:jc w:val="both"/>
        <w:rPr>
          <w:rFonts w:ascii="Times New Roman" w:hAnsi="Times New Roman" w:cs="Times New Roman"/>
          <w:lang w:val="en-US"/>
        </w:rPr>
      </w:pPr>
      <w:r w:rsidRPr="00DC429E">
        <w:rPr>
          <w:rFonts w:ascii="Times New Roman" w:hAnsi="Times New Roman" w:cs="Times New Roman"/>
          <w:lang w:val="en-US"/>
        </w:rPr>
        <w:t>The present investigation demonstrated the existence of substantial genetic variability among the twelve pearl millet genotypes for all the ten quantitative traits studied, indicating significant scope for genetic improvement through selection and hybridization. Analysis of variance revealed highly significant differences among the genotypes, confirming the availability of adequate genetic diversity for yield and fodder-related characters.</w:t>
      </w:r>
    </w:p>
    <w:p w14:paraId="292C2ABB" w14:textId="77777777" w:rsidR="00DC429E" w:rsidRPr="00DC429E" w:rsidRDefault="00DC429E" w:rsidP="00300EEC">
      <w:pPr>
        <w:spacing w:line="360" w:lineRule="auto"/>
        <w:jc w:val="both"/>
        <w:rPr>
          <w:rFonts w:ascii="Times New Roman" w:hAnsi="Times New Roman" w:cs="Times New Roman"/>
          <w:lang w:val="en-US"/>
        </w:rPr>
      </w:pPr>
      <w:r w:rsidRPr="00DC429E">
        <w:rPr>
          <w:rFonts w:ascii="Times New Roman" w:hAnsi="Times New Roman" w:cs="Times New Roman"/>
          <w:lang w:val="en-US"/>
        </w:rPr>
        <w:t xml:space="preserve">Among the evaluated genotypes, Bio-448 recorded the highest green fodder yield and dry matter yield, whereas GHB-732 produced the highest grain yield per plant. NMH-68 was identified as the earliest flowering genotype, while MP-7792 exhibited maximum plant height. Genotypes such as Bio-448, GHB-732, KBH-3940, JHBH-676 and JBH-1 showed superior performance for one or more economically important traits and may therefore be considered promising genetic resources for future pearl millet improvement </w:t>
      </w:r>
      <w:proofErr w:type="spellStart"/>
      <w:r w:rsidRPr="00DC429E">
        <w:rPr>
          <w:rFonts w:ascii="Times New Roman" w:hAnsi="Times New Roman" w:cs="Times New Roman"/>
          <w:lang w:val="en-US"/>
        </w:rPr>
        <w:t>programmes</w:t>
      </w:r>
      <w:proofErr w:type="spellEnd"/>
      <w:r w:rsidRPr="00DC429E">
        <w:rPr>
          <w:rFonts w:ascii="Times New Roman" w:hAnsi="Times New Roman" w:cs="Times New Roman"/>
          <w:lang w:val="en-US"/>
        </w:rPr>
        <w:t>.</w:t>
      </w:r>
    </w:p>
    <w:p w14:paraId="1E702034" w14:textId="4390F5FF" w:rsidR="00DC429E" w:rsidRDefault="00DC429E" w:rsidP="00300EEC">
      <w:pPr>
        <w:spacing w:line="360" w:lineRule="auto"/>
        <w:jc w:val="both"/>
        <w:rPr>
          <w:rFonts w:ascii="Times New Roman" w:hAnsi="Times New Roman" w:cs="Times New Roman"/>
          <w:lang w:val="en-US"/>
        </w:rPr>
      </w:pPr>
      <w:r w:rsidRPr="00DC429E">
        <w:rPr>
          <w:rFonts w:ascii="Times New Roman" w:hAnsi="Times New Roman" w:cs="Times New Roman"/>
          <w:lang w:val="en-US"/>
        </w:rPr>
        <w:t xml:space="preserve">The wide variation observed for flowering time, plant height, tillering ability, leaf characteristics, panicle length, grain yield and fodder yield indicates that these traits can be effectively utilized in </w:t>
      </w:r>
      <w:r w:rsidRPr="00DC429E">
        <w:rPr>
          <w:rFonts w:ascii="Times New Roman" w:hAnsi="Times New Roman" w:cs="Times New Roman"/>
          <w:lang w:val="en-US"/>
        </w:rPr>
        <w:lastRenderedPageBreak/>
        <w:t xml:space="preserve">selecting superior genotypes for dual-purpose improvement. The identified elite genotypes may be further evaluated across different environments for stability and adaptability and can also be used as potential parents in hybridization </w:t>
      </w:r>
      <w:proofErr w:type="spellStart"/>
      <w:r w:rsidRPr="00DC429E">
        <w:rPr>
          <w:rFonts w:ascii="Times New Roman" w:hAnsi="Times New Roman" w:cs="Times New Roman"/>
          <w:lang w:val="en-US"/>
        </w:rPr>
        <w:t>programmes</w:t>
      </w:r>
      <w:proofErr w:type="spellEnd"/>
      <w:r w:rsidRPr="00DC429E">
        <w:rPr>
          <w:rFonts w:ascii="Times New Roman" w:hAnsi="Times New Roman" w:cs="Times New Roman"/>
          <w:lang w:val="en-US"/>
        </w:rPr>
        <w:t xml:space="preserve"> aimed at developing high-yielding, early-maturing and fodder-rich pearl millet cultivars suitable for the semi-arid conditions of Bundelkhand and similar </w:t>
      </w:r>
      <w:proofErr w:type="spellStart"/>
      <w:r w:rsidRPr="00DC429E">
        <w:rPr>
          <w:rFonts w:ascii="Times New Roman" w:hAnsi="Times New Roman" w:cs="Times New Roman"/>
          <w:lang w:val="en-US"/>
        </w:rPr>
        <w:t>agro</w:t>
      </w:r>
      <w:proofErr w:type="spellEnd"/>
      <w:r w:rsidRPr="00DC429E">
        <w:rPr>
          <w:rFonts w:ascii="Times New Roman" w:hAnsi="Times New Roman" w:cs="Times New Roman"/>
          <w:lang w:val="en-US"/>
        </w:rPr>
        <w:t xml:space="preserve">-climatic regions. the findings of the present study provide valuable information for pearl millet breeding </w:t>
      </w:r>
      <w:proofErr w:type="spellStart"/>
      <w:r w:rsidRPr="00DC429E">
        <w:rPr>
          <w:rFonts w:ascii="Times New Roman" w:hAnsi="Times New Roman" w:cs="Times New Roman"/>
          <w:lang w:val="en-US"/>
        </w:rPr>
        <w:t>programmes</w:t>
      </w:r>
      <w:proofErr w:type="spellEnd"/>
      <w:r w:rsidRPr="00DC429E">
        <w:rPr>
          <w:rFonts w:ascii="Times New Roman" w:hAnsi="Times New Roman" w:cs="Times New Roman"/>
          <w:lang w:val="en-US"/>
        </w:rPr>
        <w:t>.</w:t>
      </w:r>
    </w:p>
    <w:p w14:paraId="6C41D810" w14:textId="77777777" w:rsidR="00C9538E" w:rsidRPr="00322702" w:rsidRDefault="00C9538E" w:rsidP="00C9538E">
      <w:pPr>
        <w:spacing w:before="100" w:beforeAutospacing="1" w:after="100" w:afterAutospacing="1" w:line="240" w:lineRule="auto"/>
        <w:rPr>
          <w:rFonts w:ascii="Times New Roman" w:eastAsia="Times New Roman" w:hAnsi="Times New Roman" w:cs="Times New Roman"/>
          <w:sz w:val="24"/>
          <w:szCs w:val="24"/>
          <w:lang w:val="en-US"/>
          <w14:ligatures w14:val="none"/>
        </w:rPr>
      </w:pPr>
      <w:r w:rsidRPr="00322702">
        <w:rPr>
          <w:rFonts w:ascii="Times New Roman" w:eastAsia="Times New Roman" w:hAnsi="Times New Roman" w:cs="Times New Roman"/>
          <w:b/>
          <w:bCs/>
          <w:sz w:val="24"/>
          <w:szCs w:val="24"/>
          <w:lang w:val="en-US"/>
          <w14:ligatures w14:val="none"/>
        </w:rPr>
        <w:t>Limitations</w:t>
      </w:r>
      <w:r w:rsidRPr="00322702">
        <w:rPr>
          <w:rFonts w:ascii="Times New Roman" w:eastAsia="Times New Roman" w:hAnsi="Times New Roman" w:cs="Times New Roman"/>
          <w:sz w:val="24"/>
          <w:szCs w:val="24"/>
          <w:lang w:val="en-US"/>
          <w14:ligatures w14:val="none"/>
        </w:rPr>
        <w:br/>
        <w:t xml:space="preserve">The study was conducted at a single location during one season, which limits broad recommendation of the identified genotypes. Stability across environments, seasonal variation, and genotype × environment interaction </w:t>
      </w:r>
      <w:proofErr w:type="gramStart"/>
      <w:r w:rsidRPr="00322702">
        <w:rPr>
          <w:rFonts w:ascii="Times New Roman" w:eastAsia="Times New Roman" w:hAnsi="Times New Roman" w:cs="Times New Roman"/>
          <w:sz w:val="24"/>
          <w:szCs w:val="24"/>
          <w:lang w:val="en-US"/>
          <w14:ligatures w14:val="none"/>
        </w:rPr>
        <w:t>were</w:t>
      </w:r>
      <w:proofErr w:type="gramEnd"/>
      <w:r w:rsidRPr="00322702">
        <w:rPr>
          <w:rFonts w:ascii="Times New Roman" w:eastAsia="Times New Roman" w:hAnsi="Times New Roman" w:cs="Times New Roman"/>
          <w:sz w:val="24"/>
          <w:szCs w:val="24"/>
          <w:lang w:val="en-US"/>
          <w14:ligatures w14:val="none"/>
        </w:rPr>
        <w:t xml:space="preserve"> not assessed. The manuscript reports mean performance and ANOVA but does not present the stated genetic variability, correlation, or path coefficient results. Further multi-location and multi-season evaluation is required.</w:t>
      </w:r>
    </w:p>
    <w:p w14:paraId="7B6BA530" w14:textId="77777777" w:rsidR="00C9538E" w:rsidRPr="000839CE" w:rsidRDefault="00C9538E" w:rsidP="00C9538E">
      <w:pPr>
        <w:spacing w:after="0" w:line="240" w:lineRule="auto"/>
        <w:rPr>
          <w:rFonts w:ascii="Times New Roman" w:hAnsi="Times New Roman" w:cs="Times New Roman"/>
          <w:b/>
        </w:rPr>
      </w:pPr>
      <w:bookmarkStart w:id="0" w:name="_Hlk234486585"/>
      <w:bookmarkStart w:id="1" w:name="_Hlk234075571"/>
      <w:bookmarkStart w:id="2" w:name="_Hlk232755622"/>
      <w:r w:rsidRPr="000839CE">
        <w:rPr>
          <w:rFonts w:ascii="Times New Roman" w:hAnsi="Times New Roman" w:cs="Times New Roman"/>
          <w:b/>
        </w:rPr>
        <w:t>Declaration of AI Use</w:t>
      </w:r>
    </w:p>
    <w:p w14:paraId="6BAD18F9" w14:textId="77777777" w:rsidR="00C9538E" w:rsidRPr="000839CE" w:rsidRDefault="00C9538E" w:rsidP="00C9538E">
      <w:pPr>
        <w:spacing w:after="0" w:line="240" w:lineRule="auto"/>
        <w:rPr>
          <w:rFonts w:ascii="Times New Roman" w:hAnsi="Times New Roman" w:cs="Times New Roman"/>
        </w:rPr>
      </w:pPr>
      <w:bookmarkStart w:id="3" w:name="_Hlk234486575"/>
      <w:bookmarkEnd w:id="0"/>
    </w:p>
    <w:p w14:paraId="6AA3F015" w14:textId="77777777" w:rsidR="00C9538E" w:rsidRPr="000839CE" w:rsidRDefault="00C9538E" w:rsidP="00C9538E">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ascii="Times New Roman" w:hAnsi="Times New Roman" w:cs="Times New Roman"/>
        </w:rPr>
        <w:t>.</w:t>
      </w:r>
    </w:p>
    <w:bookmarkEnd w:id="2"/>
    <w:bookmarkEnd w:id="3"/>
    <w:p w14:paraId="2B3A0796" w14:textId="77777777" w:rsidR="00C9538E" w:rsidRPr="00DC429E" w:rsidRDefault="00C9538E" w:rsidP="00300EEC">
      <w:pPr>
        <w:spacing w:line="360" w:lineRule="auto"/>
        <w:jc w:val="both"/>
        <w:rPr>
          <w:rFonts w:ascii="Times New Roman" w:hAnsi="Times New Roman" w:cs="Times New Roman"/>
          <w:lang w:val="en-US"/>
        </w:rPr>
      </w:pPr>
    </w:p>
    <w:p w14:paraId="5A526F35" w14:textId="77777777" w:rsidR="00DC429E" w:rsidRPr="00DC429E" w:rsidRDefault="00DC429E" w:rsidP="00300EEC">
      <w:pPr>
        <w:widowControl w:val="0"/>
        <w:autoSpaceDE w:val="0"/>
        <w:autoSpaceDN w:val="0"/>
        <w:spacing w:before="109" w:after="0" w:line="360" w:lineRule="auto"/>
        <w:ind w:left="28"/>
        <w:jc w:val="both"/>
        <w:rPr>
          <w:rFonts w:ascii="Times New Roman" w:eastAsia="Cambria" w:hAnsi="Times New Roman" w:cs="Times New Roman"/>
          <w:b/>
          <w:kern w:val="0"/>
          <w:lang w:val="en-US"/>
          <w14:ligatures w14:val="none"/>
        </w:rPr>
      </w:pPr>
      <w:r w:rsidRPr="00DC429E">
        <w:rPr>
          <w:rFonts w:ascii="Times New Roman" w:eastAsia="Cambria" w:hAnsi="Times New Roman" w:cs="Times New Roman"/>
          <w:b/>
          <w:spacing w:val="-2"/>
          <w:kern w:val="0"/>
          <w:lang w:val="en-US"/>
          <w14:ligatures w14:val="none"/>
        </w:rPr>
        <w:t>REFERENCES</w:t>
      </w:r>
    </w:p>
    <w:p w14:paraId="27813240" w14:textId="77777777" w:rsidR="00DC429E" w:rsidRPr="00DC429E" w:rsidRDefault="00DC429E" w:rsidP="00300EEC">
      <w:pPr>
        <w:widowControl w:val="0"/>
        <w:numPr>
          <w:ilvl w:val="0"/>
          <w:numId w:val="1"/>
        </w:numPr>
        <w:tabs>
          <w:tab w:val="left" w:pos="634"/>
          <w:tab w:val="left" w:pos="651"/>
        </w:tabs>
        <w:autoSpaceDE w:val="0"/>
        <w:autoSpaceDN w:val="0"/>
        <w:spacing w:after="0" w:line="360" w:lineRule="auto"/>
        <w:ind w:right="26" w:hanging="624"/>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kern w:val="0"/>
          <w:lang w:val="en-US"/>
          <w14:ligatures w14:val="none"/>
        </w:rPr>
        <w:t>Al-Jibouri, H.A., Miller, P.A. and Robinson, H.F. (1958). Genotypic and environmental variances and covariances in upland cotton crosses of interspecific origin. Agronomy Journal, 50, 633–636.</w:t>
      </w:r>
    </w:p>
    <w:p w14:paraId="22718D9B" w14:textId="77777777" w:rsidR="00DC429E" w:rsidRPr="00DC429E" w:rsidRDefault="00DC429E" w:rsidP="00300EEC">
      <w:pPr>
        <w:widowControl w:val="0"/>
        <w:numPr>
          <w:ilvl w:val="0"/>
          <w:numId w:val="1"/>
        </w:numPr>
        <w:tabs>
          <w:tab w:val="left" w:pos="634"/>
          <w:tab w:val="left" w:pos="650"/>
        </w:tabs>
        <w:autoSpaceDE w:val="0"/>
        <w:autoSpaceDN w:val="0"/>
        <w:spacing w:after="0" w:line="360" w:lineRule="auto"/>
        <w:ind w:left="650" w:right="27" w:hanging="624"/>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kern w:val="0"/>
          <w:lang w:val="en-US"/>
          <w14:ligatures w14:val="none"/>
        </w:rPr>
        <w:t>Allard, R.W. (1960). Principles of Plant Breeding. John Wiley &amp; Sons, New York.</w:t>
      </w:r>
    </w:p>
    <w:p w14:paraId="79522A4E" w14:textId="77777777" w:rsidR="00DC429E" w:rsidRPr="00DC429E" w:rsidRDefault="00DC429E" w:rsidP="00300EEC">
      <w:pPr>
        <w:widowControl w:val="0"/>
        <w:numPr>
          <w:ilvl w:val="0"/>
          <w:numId w:val="1"/>
        </w:numPr>
        <w:tabs>
          <w:tab w:val="left" w:pos="633"/>
          <w:tab w:val="left" w:pos="650"/>
        </w:tabs>
        <w:autoSpaceDE w:val="0"/>
        <w:autoSpaceDN w:val="0"/>
        <w:spacing w:after="0" w:line="360" w:lineRule="auto"/>
        <w:ind w:left="650" w:right="27" w:hanging="624"/>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kern w:val="0"/>
          <w:lang w:val="en-US"/>
          <w14:ligatures w14:val="none"/>
        </w:rPr>
        <w:t>Burton, G.W. (1952). Quantitative inheritance in grasses. Proceedings of the 6th International Grassland Congress, 277–283.</w:t>
      </w:r>
    </w:p>
    <w:p w14:paraId="602DD89D" w14:textId="77777777" w:rsidR="00DC429E" w:rsidRPr="00DC429E" w:rsidRDefault="00DC429E" w:rsidP="00300EEC">
      <w:pPr>
        <w:widowControl w:val="0"/>
        <w:numPr>
          <w:ilvl w:val="0"/>
          <w:numId w:val="1"/>
        </w:numPr>
        <w:tabs>
          <w:tab w:val="left" w:pos="633"/>
          <w:tab w:val="left" w:pos="650"/>
        </w:tabs>
        <w:autoSpaceDE w:val="0"/>
        <w:autoSpaceDN w:val="0"/>
        <w:spacing w:after="0" w:line="360" w:lineRule="auto"/>
        <w:ind w:left="650" w:right="27" w:hanging="624"/>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spacing w:val="-2"/>
          <w:kern w:val="0"/>
          <w:lang w:val="en-US"/>
          <w14:ligatures w14:val="none"/>
        </w:rPr>
        <w:t>Burton, G.W. and DeVane, E.H. (1953). Estimating heritability in tall fescue from replicated clonal material. Agronomy Journal, 45, 478–481.</w:t>
      </w:r>
    </w:p>
    <w:p w14:paraId="59DBD6A0" w14:textId="77777777" w:rsidR="00DC429E" w:rsidRPr="00DC429E" w:rsidRDefault="00DC429E" w:rsidP="00300EEC">
      <w:pPr>
        <w:widowControl w:val="0"/>
        <w:numPr>
          <w:ilvl w:val="0"/>
          <w:numId w:val="1"/>
        </w:numPr>
        <w:tabs>
          <w:tab w:val="left" w:pos="633"/>
          <w:tab w:val="left" w:pos="650"/>
        </w:tabs>
        <w:autoSpaceDE w:val="0"/>
        <w:autoSpaceDN w:val="0"/>
        <w:spacing w:after="0" w:line="360" w:lineRule="auto"/>
        <w:ind w:left="650" w:right="27" w:hanging="624"/>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kern w:val="0"/>
          <w:lang w:val="en-US"/>
          <w14:ligatures w14:val="none"/>
        </w:rPr>
        <w:t>Dewey, D.R. and Lu, K.H. (1959). A correlation and path coefficient analysis of components of crested wheatgrass seed production. Agronomy Journal, 51, 515–518.</w:t>
      </w:r>
    </w:p>
    <w:p w14:paraId="61C59EED" w14:textId="77777777" w:rsidR="00DC429E" w:rsidRPr="00DC429E" w:rsidRDefault="00DC429E" w:rsidP="00300EEC">
      <w:pPr>
        <w:widowControl w:val="0"/>
        <w:numPr>
          <w:ilvl w:val="0"/>
          <w:numId w:val="1"/>
        </w:numPr>
        <w:tabs>
          <w:tab w:val="left" w:pos="633"/>
          <w:tab w:val="left" w:pos="650"/>
        </w:tabs>
        <w:autoSpaceDE w:val="0"/>
        <w:autoSpaceDN w:val="0"/>
        <w:spacing w:after="0" w:line="360" w:lineRule="auto"/>
        <w:ind w:left="650" w:right="27" w:hanging="624"/>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kern w:val="0"/>
          <w:lang w:val="en-US"/>
          <w14:ligatures w14:val="none"/>
        </w:rPr>
        <w:t>Falconer, D.S. and Mackay, T.F.C. (1996). Introduction to Quantitative Genetics (4th ed.). Longman, London.</w:t>
      </w:r>
    </w:p>
    <w:p w14:paraId="756ECC07" w14:textId="77777777" w:rsidR="00DC429E" w:rsidRPr="00DC429E" w:rsidRDefault="00DC429E" w:rsidP="00300EEC">
      <w:pPr>
        <w:widowControl w:val="0"/>
        <w:numPr>
          <w:ilvl w:val="0"/>
          <w:numId w:val="1"/>
        </w:numPr>
        <w:tabs>
          <w:tab w:val="left" w:pos="633"/>
          <w:tab w:val="left" w:pos="650"/>
        </w:tabs>
        <w:autoSpaceDE w:val="0"/>
        <w:autoSpaceDN w:val="0"/>
        <w:spacing w:after="0" w:line="360" w:lineRule="auto"/>
        <w:ind w:left="650" w:right="27" w:hanging="624"/>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spacing w:val="-2"/>
          <w:kern w:val="0"/>
          <w:lang w:val="en-US"/>
          <w14:ligatures w14:val="none"/>
        </w:rPr>
        <w:t xml:space="preserve">Govindaraj, M., Rai, K.N., </w:t>
      </w:r>
      <w:proofErr w:type="spellStart"/>
      <w:r w:rsidRPr="00DC429E">
        <w:rPr>
          <w:rFonts w:ascii="Times New Roman" w:eastAsia="Cambria" w:hAnsi="Times New Roman" w:cs="Times New Roman"/>
          <w:color w:val="0D0D0D"/>
          <w:spacing w:val="-2"/>
          <w:kern w:val="0"/>
          <w:lang w:val="en-US"/>
          <w14:ligatures w14:val="none"/>
        </w:rPr>
        <w:t>Kanatti</w:t>
      </w:r>
      <w:proofErr w:type="spellEnd"/>
      <w:r w:rsidRPr="00DC429E">
        <w:rPr>
          <w:rFonts w:ascii="Times New Roman" w:eastAsia="Cambria" w:hAnsi="Times New Roman" w:cs="Times New Roman"/>
          <w:color w:val="0D0D0D"/>
          <w:spacing w:val="-2"/>
          <w:kern w:val="0"/>
          <w:lang w:val="en-US"/>
          <w14:ligatures w14:val="none"/>
        </w:rPr>
        <w:t>, A. and Upadhyaya, H.D. (2020). Exploring the genetic variability and diversity of pearl millet core collection germplasm for grain nutritional traits improvement. Scientific Reports, 10, 21177.</w:t>
      </w:r>
    </w:p>
    <w:p w14:paraId="369611E5" w14:textId="77777777" w:rsidR="00DC429E" w:rsidRPr="00DC429E" w:rsidRDefault="00DC429E" w:rsidP="00300EEC">
      <w:pPr>
        <w:widowControl w:val="0"/>
        <w:numPr>
          <w:ilvl w:val="0"/>
          <w:numId w:val="1"/>
        </w:numPr>
        <w:tabs>
          <w:tab w:val="left" w:pos="633"/>
        </w:tabs>
        <w:autoSpaceDE w:val="0"/>
        <w:autoSpaceDN w:val="0"/>
        <w:spacing w:after="0" w:line="360" w:lineRule="auto"/>
        <w:ind w:left="633"/>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spacing w:val="-2"/>
          <w:kern w:val="0"/>
          <w:lang w:val="en-US"/>
          <w14:ligatures w14:val="none"/>
        </w:rPr>
        <w:lastRenderedPageBreak/>
        <w:t xml:space="preserve"> Govindaraj, M., Selvi, B., </w:t>
      </w:r>
      <w:proofErr w:type="spellStart"/>
      <w:r w:rsidRPr="00DC429E">
        <w:rPr>
          <w:rFonts w:ascii="Times New Roman" w:eastAsia="Cambria" w:hAnsi="Times New Roman" w:cs="Times New Roman"/>
          <w:color w:val="0D0D0D"/>
          <w:spacing w:val="-2"/>
          <w:kern w:val="0"/>
          <w:lang w:val="en-US"/>
          <w14:ligatures w14:val="none"/>
        </w:rPr>
        <w:t>Rajarathinam</w:t>
      </w:r>
      <w:proofErr w:type="spellEnd"/>
      <w:r w:rsidRPr="00DC429E">
        <w:rPr>
          <w:rFonts w:ascii="Times New Roman" w:eastAsia="Cambria" w:hAnsi="Times New Roman" w:cs="Times New Roman"/>
          <w:color w:val="0D0D0D"/>
          <w:spacing w:val="-2"/>
          <w:kern w:val="0"/>
          <w:lang w:val="en-US"/>
          <w14:ligatures w14:val="none"/>
        </w:rPr>
        <w:t>, S. and Sumathi, P. (2011). Genetic variability and heritability of grain yield components and grain mineral concentration in pearl millet. African Journal of Food, Agriculture, Nutrition and Development, 11(3), 4758–4771.</w:t>
      </w:r>
    </w:p>
    <w:p w14:paraId="363940A7" w14:textId="77777777" w:rsidR="00DC429E" w:rsidRPr="00DC429E" w:rsidRDefault="00DC429E" w:rsidP="00300EEC">
      <w:pPr>
        <w:widowControl w:val="0"/>
        <w:numPr>
          <w:ilvl w:val="0"/>
          <w:numId w:val="1"/>
        </w:numPr>
        <w:tabs>
          <w:tab w:val="left" w:pos="632"/>
          <w:tab w:val="left" w:pos="649"/>
        </w:tabs>
        <w:autoSpaceDE w:val="0"/>
        <w:autoSpaceDN w:val="0"/>
        <w:spacing w:after="0" w:line="360" w:lineRule="auto"/>
        <w:ind w:left="649" w:right="27" w:hanging="624"/>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kern w:val="0"/>
          <w:lang w:val="en-US"/>
          <w14:ligatures w14:val="none"/>
        </w:rPr>
        <w:t>Hanson, C.H., Robinson, H.F. and Comstock, R.E. (1956). Biometrical studies of yield in segregating populations of Korean lespedeza. Agronomy Journal, 48, 268–272.</w:t>
      </w:r>
    </w:p>
    <w:p w14:paraId="4D7224ED" w14:textId="77777777" w:rsidR="00DC429E" w:rsidRPr="00DC429E" w:rsidRDefault="00DC429E" w:rsidP="00300EEC">
      <w:pPr>
        <w:widowControl w:val="0"/>
        <w:numPr>
          <w:ilvl w:val="0"/>
          <w:numId w:val="1"/>
        </w:numPr>
        <w:tabs>
          <w:tab w:val="left" w:pos="631"/>
          <w:tab w:val="left" w:pos="649"/>
        </w:tabs>
        <w:autoSpaceDE w:val="0"/>
        <w:autoSpaceDN w:val="0"/>
        <w:spacing w:after="0" w:line="360" w:lineRule="auto"/>
        <w:ind w:left="649" w:right="28" w:hanging="624"/>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kern w:val="0"/>
          <w:lang w:val="en-US"/>
          <w14:ligatures w14:val="none"/>
        </w:rPr>
        <w:t>Johnson, H.W., Robinson, H.F. and Comstock, R.E. (1955). Estimates of genetic and environmental variability in soybean. Agronomy Journal, 47, 314–318.</w:t>
      </w:r>
    </w:p>
    <w:p w14:paraId="2EFF8545" w14:textId="77777777" w:rsidR="00DC429E" w:rsidRPr="00DC429E" w:rsidRDefault="00DC429E" w:rsidP="00300EEC">
      <w:pPr>
        <w:widowControl w:val="0"/>
        <w:numPr>
          <w:ilvl w:val="0"/>
          <w:numId w:val="1"/>
        </w:numPr>
        <w:tabs>
          <w:tab w:val="left" w:pos="631"/>
          <w:tab w:val="left" w:pos="649"/>
        </w:tabs>
        <w:autoSpaceDE w:val="0"/>
        <w:autoSpaceDN w:val="0"/>
        <w:spacing w:after="0" w:line="360" w:lineRule="auto"/>
        <w:ind w:left="649" w:right="28" w:hanging="624"/>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kern w:val="0"/>
          <w:lang w:val="en-US"/>
          <w14:ligatures w14:val="none"/>
        </w:rPr>
        <w:t>Kumari, N., Sharma, N.K. and Gupta, S.K. (2018). Studies on variability, character association and genetic diversity in maintainer lines of pearl millet. Annals of Arid Zone, 56(3–4).</w:t>
      </w:r>
    </w:p>
    <w:p w14:paraId="1BA8747F" w14:textId="77777777" w:rsidR="00DC429E" w:rsidRPr="00DC429E" w:rsidRDefault="00DC429E" w:rsidP="00300EEC">
      <w:pPr>
        <w:widowControl w:val="0"/>
        <w:numPr>
          <w:ilvl w:val="0"/>
          <w:numId w:val="1"/>
        </w:numPr>
        <w:tabs>
          <w:tab w:val="left" w:pos="649"/>
          <w:tab w:val="left" w:pos="687"/>
        </w:tabs>
        <w:autoSpaceDE w:val="0"/>
        <w:autoSpaceDN w:val="0"/>
        <w:spacing w:after="0" w:line="360" w:lineRule="auto"/>
        <w:ind w:right="28"/>
        <w:jc w:val="both"/>
        <w:rPr>
          <w:rFonts w:ascii="Times New Roman" w:eastAsia="Cambria" w:hAnsi="Times New Roman" w:cs="Times New Roman"/>
          <w:color w:val="0D0D0D"/>
          <w:kern w:val="0"/>
          <w:lang w:val="en-US"/>
          <w14:ligatures w14:val="none"/>
        </w:rPr>
      </w:pPr>
      <w:r w:rsidRPr="00DC429E">
        <w:rPr>
          <w:rFonts w:ascii="Times New Roman" w:eastAsia="Cambria" w:hAnsi="Times New Roman" w:cs="Times New Roman"/>
          <w:color w:val="0D0D0D"/>
          <w:kern w:val="0"/>
          <w:lang w:val="en-US"/>
          <w14:ligatures w14:val="none"/>
        </w:rPr>
        <w:t>H</w:t>
      </w:r>
      <w:r w:rsidRPr="00DC429E">
        <w:rPr>
          <w:rFonts w:ascii="Times New Roman" w:eastAsia="Cambria" w:hAnsi="Times New Roman" w:cs="Times New Roman"/>
          <w:kern w:val="0"/>
          <w:lang w:val="en-US"/>
          <w14:ligatures w14:val="none"/>
        </w:rPr>
        <w:t xml:space="preserve"> </w:t>
      </w:r>
      <w:r w:rsidRPr="00DC429E">
        <w:rPr>
          <w:rFonts w:ascii="Times New Roman" w:eastAsia="Cambria" w:hAnsi="Times New Roman" w:cs="Times New Roman"/>
          <w:color w:val="0D0D0D"/>
          <w:kern w:val="0"/>
          <w:lang w:val="en-US"/>
          <w14:ligatures w14:val="none"/>
        </w:rPr>
        <w:t>Lush, J.L. (1949). Heritability of Quantitative Characters in Farm Animals. Iowa State College Press.</w:t>
      </w:r>
    </w:p>
    <w:p w14:paraId="2889EA1B" w14:textId="77777777" w:rsidR="00DC429E" w:rsidRPr="00DC429E" w:rsidRDefault="00DC429E" w:rsidP="00300EEC">
      <w:pPr>
        <w:widowControl w:val="0"/>
        <w:numPr>
          <w:ilvl w:val="0"/>
          <w:numId w:val="1"/>
        </w:numPr>
        <w:tabs>
          <w:tab w:val="left" w:pos="649"/>
          <w:tab w:val="left" w:pos="687"/>
        </w:tabs>
        <w:autoSpaceDE w:val="0"/>
        <w:autoSpaceDN w:val="0"/>
        <w:spacing w:after="0" w:line="360" w:lineRule="auto"/>
        <w:ind w:right="28"/>
        <w:jc w:val="both"/>
        <w:rPr>
          <w:rFonts w:ascii="Times New Roman" w:eastAsia="Cambria" w:hAnsi="Times New Roman" w:cs="Times New Roman"/>
          <w:color w:val="0D0D0D"/>
          <w:kern w:val="0"/>
          <w:lang w:val="en-US"/>
          <w14:ligatures w14:val="none"/>
        </w:rPr>
      </w:pPr>
      <w:r w:rsidRPr="00DC429E">
        <w:rPr>
          <w:rFonts w:ascii="Times New Roman" w:eastAsia="Cambria" w:hAnsi="Times New Roman" w:cs="Times New Roman"/>
          <w:color w:val="0D0D0D"/>
          <w:kern w:val="0"/>
          <w:lang w:val="en-US"/>
          <w14:ligatures w14:val="none"/>
        </w:rPr>
        <w:t xml:space="preserve">Panse, V.G. and </w:t>
      </w:r>
      <w:proofErr w:type="spellStart"/>
      <w:r w:rsidRPr="00DC429E">
        <w:rPr>
          <w:rFonts w:ascii="Times New Roman" w:eastAsia="Cambria" w:hAnsi="Times New Roman" w:cs="Times New Roman"/>
          <w:color w:val="0D0D0D"/>
          <w:kern w:val="0"/>
          <w:lang w:val="en-US"/>
          <w14:ligatures w14:val="none"/>
        </w:rPr>
        <w:t>Sukhatme</w:t>
      </w:r>
      <w:proofErr w:type="spellEnd"/>
      <w:r w:rsidRPr="00DC429E">
        <w:rPr>
          <w:rFonts w:ascii="Times New Roman" w:eastAsia="Cambria" w:hAnsi="Times New Roman" w:cs="Times New Roman"/>
          <w:color w:val="0D0D0D"/>
          <w:kern w:val="0"/>
          <w:lang w:val="en-US"/>
          <w14:ligatures w14:val="none"/>
        </w:rPr>
        <w:t>, P.V. (1985). Statistical Methods for Agricultural Workers (4th ed.). ICAR, New Delhi.</w:t>
      </w:r>
    </w:p>
    <w:p w14:paraId="4DE6C99A" w14:textId="77777777" w:rsidR="00DC429E" w:rsidRPr="00DC429E" w:rsidRDefault="00DC429E" w:rsidP="00300EEC">
      <w:pPr>
        <w:widowControl w:val="0"/>
        <w:numPr>
          <w:ilvl w:val="0"/>
          <w:numId w:val="1"/>
        </w:numPr>
        <w:tabs>
          <w:tab w:val="left" w:pos="631"/>
          <w:tab w:val="left" w:pos="649"/>
        </w:tabs>
        <w:autoSpaceDE w:val="0"/>
        <w:autoSpaceDN w:val="0"/>
        <w:spacing w:after="0" w:line="360" w:lineRule="auto"/>
        <w:ind w:right="28"/>
        <w:jc w:val="both"/>
        <w:rPr>
          <w:rFonts w:ascii="Times New Roman" w:eastAsia="Cambria" w:hAnsi="Times New Roman" w:cs="Times New Roman"/>
          <w:color w:val="0D0D0D"/>
          <w:kern w:val="0"/>
          <w:lang w:val="en-US"/>
          <w14:ligatures w14:val="none"/>
        </w:rPr>
      </w:pPr>
      <w:r w:rsidRPr="00DC429E">
        <w:rPr>
          <w:rFonts w:ascii="Times New Roman" w:eastAsia="Cambria" w:hAnsi="Times New Roman" w:cs="Times New Roman"/>
          <w:color w:val="0D0D0D"/>
          <w:kern w:val="0"/>
          <w:lang w:val="en-US"/>
          <w14:ligatures w14:val="none"/>
        </w:rPr>
        <w:t>Poehlman, J.M. and Sleper, D.A. (1995). Breeding Field Crops (4th ed.). Iowa State University Press.</w:t>
      </w:r>
    </w:p>
    <w:p w14:paraId="29D0F0D6" w14:textId="77777777" w:rsidR="00DC429E" w:rsidRPr="00DC429E" w:rsidRDefault="00DC429E" w:rsidP="00300EEC">
      <w:pPr>
        <w:widowControl w:val="0"/>
        <w:numPr>
          <w:ilvl w:val="0"/>
          <w:numId w:val="1"/>
        </w:numPr>
        <w:tabs>
          <w:tab w:val="left" w:pos="631"/>
          <w:tab w:val="left" w:pos="649"/>
        </w:tabs>
        <w:autoSpaceDE w:val="0"/>
        <w:autoSpaceDN w:val="0"/>
        <w:spacing w:after="0" w:line="360" w:lineRule="auto"/>
        <w:ind w:right="28"/>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kern w:val="0"/>
          <w:lang w:val="en-US"/>
          <w14:ligatures w14:val="none"/>
        </w:rPr>
        <w:t>Rai, K.N., Govindaraj, M. and Rao, A.S. (2012). Genetic enhancement of grain iron and zinc content in pearl millet. Quality Assurance and Safety of Crops &amp; Foods, 4, 119–125.</w:t>
      </w:r>
    </w:p>
    <w:p w14:paraId="4FB41E0E" w14:textId="77777777" w:rsidR="00DC429E" w:rsidRPr="00DC429E" w:rsidRDefault="00DC429E" w:rsidP="00300EEC">
      <w:pPr>
        <w:widowControl w:val="0"/>
        <w:numPr>
          <w:ilvl w:val="0"/>
          <w:numId w:val="1"/>
        </w:numPr>
        <w:tabs>
          <w:tab w:val="left" w:pos="630"/>
          <w:tab w:val="left" w:pos="648"/>
        </w:tabs>
        <w:autoSpaceDE w:val="0"/>
        <w:autoSpaceDN w:val="0"/>
        <w:spacing w:after="0" w:line="360" w:lineRule="auto"/>
        <w:ind w:right="29"/>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kern w:val="0"/>
          <w:lang w:val="en-US"/>
          <w14:ligatures w14:val="none"/>
        </w:rPr>
        <w:t>Robinson, H.F., Comstock, R.E. and Harvey, P.H. (1949). Estimates of heritability and the degree of dominance in corn. Agronomy Journal, 41, 353–359.</w:t>
      </w:r>
    </w:p>
    <w:p w14:paraId="4BF1D088" w14:textId="77777777" w:rsidR="00DC429E" w:rsidRPr="00DC429E" w:rsidRDefault="00DC429E" w:rsidP="00300EEC">
      <w:pPr>
        <w:widowControl w:val="0"/>
        <w:numPr>
          <w:ilvl w:val="0"/>
          <w:numId w:val="1"/>
        </w:numPr>
        <w:tabs>
          <w:tab w:val="left" w:pos="630"/>
          <w:tab w:val="left" w:pos="648"/>
        </w:tabs>
        <w:autoSpaceDE w:val="0"/>
        <w:autoSpaceDN w:val="0"/>
        <w:spacing w:after="0" w:line="360" w:lineRule="auto"/>
        <w:ind w:right="29"/>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kern w:val="0"/>
          <w:lang w:val="en-US"/>
          <w14:ligatures w14:val="none"/>
        </w:rPr>
        <w:t>Singh, B.D. (2015). Plant Breeding: Principles and Methods (10th ed.). Kalyani Publishers, New Delhi.</w:t>
      </w:r>
    </w:p>
    <w:p w14:paraId="16D9DC42" w14:textId="77777777" w:rsidR="00DC429E" w:rsidRPr="00DC429E" w:rsidRDefault="00DC429E" w:rsidP="00300EEC">
      <w:pPr>
        <w:widowControl w:val="0"/>
        <w:numPr>
          <w:ilvl w:val="0"/>
          <w:numId w:val="1"/>
        </w:numPr>
        <w:tabs>
          <w:tab w:val="left" w:pos="631"/>
        </w:tabs>
        <w:autoSpaceDE w:val="0"/>
        <w:autoSpaceDN w:val="0"/>
        <w:spacing w:after="0" w:line="360" w:lineRule="auto"/>
        <w:ind w:right="27"/>
        <w:jc w:val="both"/>
        <w:rPr>
          <w:rFonts w:ascii="Times New Roman" w:eastAsia="Cambria" w:hAnsi="Times New Roman" w:cs="Times New Roman"/>
          <w:color w:val="0D0D0D"/>
          <w:kern w:val="0"/>
          <w:lang w:val="en-US"/>
          <w14:ligatures w14:val="none"/>
        </w:rPr>
      </w:pPr>
      <w:r w:rsidRPr="00DC429E">
        <w:rPr>
          <w:rFonts w:ascii="Times New Roman" w:eastAsia="Cambria" w:hAnsi="Times New Roman" w:cs="Times New Roman"/>
          <w:color w:val="0D0D0D"/>
          <w:kern w:val="0"/>
          <w:lang w:val="en-US"/>
          <w14:ligatures w14:val="none"/>
        </w:rPr>
        <w:t>Singh, P. and Narayanan, S.S. (2013). Biometrical Techniques in Plant Breeding. Kalyani Publishers.</w:t>
      </w:r>
    </w:p>
    <w:p w14:paraId="3EE38434" w14:textId="77777777" w:rsidR="00DC429E" w:rsidRPr="00DC429E"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kern w:val="0"/>
          <w:lang w:val="en-US"/>
          <w14:ligatures w14:val="none"/>
        </w:rPr>
        <w:t>Wright, S. (1921). Correlation and causation. Journal of Agricultural Research, 20, 557–585.</w:t>
      </w:r>
      <w:r w:rsidRPr="00DC429E">
        <w:rPr>
          <w:rFonts w:ascii="Times New Roman" w:eastAsia="Cambria" w:hAnsi="Times New Roman" w:cs="Times New Roman"/>
          <w:kern w:val="0"/>
          <w:lang w:val="en-US"/>
          <w14:ligatures w14:val="none"/>
        </w:rPr>
        <w:t xml:space="preserve"> </w:t>
      </w:r>
    </w:p>
    <w:p w14:paraId="39538985" w14:textId="77777777" w:rsidR="00DC429E" w:rsidRPr="00DC429E"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color w:val="0D0D0D"/>
          <w:kern w:val="0"/>
          <w:lang w:val="en-US"/>
          <w14:ligatures w14:val="none"/>
        </w:rPr>
        <w:t xml:space="preserve">Yadav, O.P., Rai, K.N., Rajpurohit, B.S., Hash, C.T. and Mahala, R.S. (2012). </w:t>
      </w:r>
      <w:proofErr w:type="gramStart"/>
      <w:r w:rsidRPr="00DC429E">
        <w:rPr>
          <w:rFonts w:ascii="Times New Roman" w:eastAsia="Cambria" w:hAnsi="Times New Roman" w:cs="Times New Roman"/>
          <w:color w:val="0D0D0D"/>
          <w:kern w:val="0"/>
          <w:lang w:val="en-US"/>
          <w14:ligatures w14:val="none"/>
        </w:rPr>
        <w:t>Twenty Five</w:t>
      </w:r>
      <w:proofErr w:type="gramEnd"/>
      <w:r w:rsidRPr="00DC429E">
        <w:rPr>
          <w:rFonts w:ascii="Times New Roman" w:eastAsia="Cambria" w:hAnsi="Times New Roman" w:cs="Times New Roman"/>
          <w:color w:val="0D0D0D"/>
          <w:kern w:val="0"/>
          <w:lang w:val="en-US"/>
          <w14:ligatures w14:val="none"/>
        </w:rPr>
        <w:t xml:space="preserve"> Years of Pearl Millet Improvement in India. ICAR–AICPMIP, Jodhpur.</w:t>
      </w:r>
    </w:p>
    <w:p w14:paraId="54CF89DC" w14:textId="77777777" w:rsidR="00DC429E" w:rsidRPr="00DC429E"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kern w:val="0"/>
          <w:lang w:val="en-US"/>
          <w14:ligatures w14:val="none"/>
        </w:rPr>
        <w:t xml:space="preserve">Yadav, O.P., Gupta, S.K. and Rai, K.N. (2021). Genetic gains in pearl millet in India: Insights into historic breeding strategies and future perspective. Frontiers in Plant Science, 12, 645038. </w:t>
      </w:r>
    </w:p>
    <w:p w14:paraId="39DE21F7" w14:textId="77777777"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DC429E">
        <w:rPr>
          <w:rFonts w:ascii="Times New Roman" w:eastAsia="Cambria" w:hAnsi="Times New Roman" w:cs="Times New Roman"/>
          <w:kern w:val="0"/>
          <w:lang w:val="en-US"/>
          <w14:ligatures w14:val="none"/>
        </w:rPr>
        <w:t xml:space="preserve">Satyavathi, C.T., </w:t>
      </w:r>
      <w:proofErr w:type="spellStart"/>
      <w:r w:rsidRPr="00DC429E">
        <w:rPr>
          <w:rFonts w:ascii="Times New Roman" w:eastAsia="Cambria" w:hAnsi="Times New Roman" w:cs="Times New Roman"/>
          <w:kern w:val="0"/>
          <w:lang w:val="en-US"/>
          <w14:ligatures w14:val="none"/>
        </w:rPr>
        <w:t>Ambawat</w:t>
      </w:r>
      <w:proofErr w:type="spellEnd"/>
      <w:r w:rsidRPr="00DC429E">
        <w:rPr>
          <w:rFonts w:ascii="Times New Roman" w:eastAsia="Cambria" w:hAnsi="Times New Roman" w:cs="Times New Roman"/>
          <w:kern w:val="0"/>
          <w:lang w:val="en-US"/>
          <w14:ligatures w14:val="none"/>
        </w:rPr>
        <w:t xml:space="preserve">, S., Thirunavukkarasu, N. et al. (2024). Pearl Millet. Agronomy Monographs. American Society of Agronomy/Wiley. </w:t>
      </w:r>
    </w:p>
    <w:p w14:paraId="1ACE72C6" w14:textId="77777777"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300EEC">
        <w:rPr>
          <w:rFonts w:ascii="Times New Roman" w:eastAsia="Cambria" w:hAnsi="Times New Roman" w:cs="Times New Roman"/>
          <w:kern w:val="0"/>
          <w:lang w:val="en-US"/>
          <w14:ligatures w14:val="none"/>
        </w:rPr>
        <w:t>Reddy, P.S., Satyavathi, C.T., Khandelwal, V. et al. (2021). Performance and stability of pearl millet varieties for grain yield and micronutrients in arid and semi-arid regions of India. Agronomy, 11, 1248.</w:t>
      </w:r>
    </w:p>
    <w:p w14:paraId="2B1465D7" w14:textId="77777777"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300EEC">
        <w:rPr>
          <w:rFonts w:ascii="Times New Roman" w:hAnsi="Times New Roman" w:cs="Times New Roman"/>
          <w:color w:val="0D0D0D"/>
        </w:rPr>
        <w:t>Acquaah, G. (2012). Principles of Plant Genetics and Breeding (2nd ed.). Wiley-Blackwell.</w:t>
      </w:r>
    </w:p>
    <w:p w14:paraId="3E526254" w14:textId="77777777"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300EEC">
        <w:rPr>
          <w:rFonts w:ascii="Times New Roman" w:hAnsi="Times New Roman" w:cs="Times New Roman"/>
          <w:color w:val="0D0D0D"/>
        </w:rPr>
        <w:t>Fehr, W.R. (1987). Principles of Cultivar Development. Macmillan Publishing Company.</w:t>
      </w:r>
    </w:p>
    <w:p w14:paraId="7B456536" w14:textId="77777777"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300EEC">
        <w:rPr>
          <w:rFonts w:ascii="Times New Roman" w:hAnsi="Times New Roman" w:cs="Times New Roman"/>
          <w:color w:val="0D0D0D"/>
        </w:rPr>
        <w:t>Hallauer, A.R., Carena, M.J. and Miranda Filho, J.B. (2010). Quantitative Genetics in Maize Breeding (3rd ed.). Springer.</w:t>
      </w:r>
    </w:p>
    <w:p w14:paraId="2B0C8458" w14:textId="77777777" w:rsidR="002221BD"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300EEC">
        <w:rPr>
          <w:rFonts w:ascii="Times New Roman" w:hAnsi="Times New Roman" w:cs="Times New Roman"/>
          <w:color w:val="0D0D0D"/>
        </w:rPr>
        <w:lastRenderedPageBreak/>
        <w:t>Sharma, J.R. (2006). Statistical and Biometrical Techniques in Plant Breeding. New Age International Publishers.</w:t>
      </w:r>
    </w:p>
    <w:p w14:paraId="7F131375" w14:textId="77777777" w:rsidR="002221BD"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300EEC">
        <w:rPr>
          <w:rFonts w:ascii="Times New Roman" w:hAnsi="Times New Roman" w:cs="Times New Roman"/>
          <w:color w:val="0D0D0D"/>
        </w:rPr>
        <w:t>Falconer, D.S. (1989). Introduction to Quantitative Genetics (3rd ed.). Longman Scientific &amp; Technical.</w:t>
      </w:r>
    </w:p>
    <w:p w14:paraId="291A4B3B" w14:textId="77777777" w:rsidR="002221BD"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300EEC">
        <w:rPr>
          <w:rFonts w:ascii="Times New Roman" w:hAnsi="Times New Roman" w:cs="Times New Roman"/>
          <w:color w:val="0D0D0D"/>
          <w:spacing w:val="-2"/>
        </w:rPr>
        <w:t>Stoskopf, N.C., Tomes, D.T. and Christie, B.R. (1993). Plant Breeding: Theory and Practice. Westview Press.</w:t>
      </w:r>
    </w:p>
    <w:p w14:paraId="342010A0" w14:textId="77777777" w:rsidR="002221BD"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300EEC">
        <w:rPr>
          <w:rFonts w:ascii="Times New Roman" w:hAnsi="Times New Roman" w:cs="Times New Roman"/>
          <w:color w:val="0D0D0D"/>
          <w:spacing w:val="-2"/>
        </w:rPr>
        <w:t xml:space="preserve">Bahl, P.N. and </w:t>
      </w:r>
      <w:proofErr w:type="spellStart"/>
      <w:r w:rsidRPr="00300EEC">
        <w:rPr>
          <w:rFonts w:ascii="Times New Roman" w:hAnsi="Times New Roman" w:cs="Times New Roman"/>
          <w:color w:val="0D0D0D"/>
          <w:spacing w:val="-2"/>
        </w:rPr>
        <w:t>Salimath</w:t>
      </w:r>
      <w:proofErr w:type="spellEnd"/>
      <w:r w:rsidRPr="00300EEC">
        <w:rPr>
          <w:rFonts w:ascii="Times New Roman" w:hAnsi="Times New Roman" w:cs="Times New Roman"/>
          <w:color w:val="0D0D0D"/>
          <w:spacing w:val="-2"/>
        </w:rPr>
        <w:t>, P.M. (1996). Genetics, Cytogenetics and Breeding of Crop Plants. Oxford &amp; IBH.</w:t>
      </w:r>
    </w:p>
    <w:p w14:paraId="31DFDD9D" w14:textId="77777777" w:rsidR="002221BD"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300EEC">
        <w:rPr>
          <w:rFonts w:ascii="Times New Roman" w:hAnsi="Times New Roman" w:cs="Times New Roman"/>
          <w:color w:val="0D0D0D"/>
          <w:spacing w:val="-2"/>
        </w:rPr>
        <w:t xml:space="preserve">ICRISAT. (2023). Pearl Millet Breeding and Improvement Programme. International Crops Research Institute for the Semi-Arid Tropics, </w:t>
      </w:r>
      <w:proofErr w:type="spellStart"/>
      <w:r w:rsidRPr="00300EEC">
        <w:rPr>
          <w:rFonts w:ascii="Times New Roman" w:hAnsi="Times New Roman" w:cs="Times New Roman"/>
          <w:color w:val="0D0D0D"/>
          <w:spacing w:val="-2"/>
        </w:rPr>
        <w:t>Patancheru</w:t>
      </w:r>
      <w:proofErr w:type="spellEnd"/>
      <w:r w:rsidRPr="00300EEC">
        <w:rPr>
          <w:rFonts w:ascii="Times New Roman" w:hAnsi="Times New Roman" w:cs="Times New Roman"/>
          <w:color w:val="0D0D0D"/>
          <w:spacing w:val="-2"/>
        </w:rPr>
        <w:t>.</w:t>
      </w:r>
    </w:p>
    <w:p w14:paraId="4CB26548" w14:textId="191E1387" w:rsidR="00DC429E" w:rsidRPr="00300EEC" w:rsidRDefault="00DC429E" w:rsidP="00300EEC">
      <w:pPr>
        <w:widowControl w:val="0"/>
        <w:numPr>
          <w:ilvl w:val="0"/>
          <w:numId w:val="1"/>
        </w:numPr>
        <w:tabs>
          <w:tab w:val="left" w:pos="631"/>
        </w:tabs>
        <w:autoSpaceDE w:val="0"/>
        <w:autoSpaceDN w:val="0"/>
        <w:spacing w:after="0" w:line="360" w:lineRule="auto"/>
        <w:jc w:val="both"/>
        <w:rPr>
          <w:rFonts w:ascii="Times New Roman" w:eastAsia="Cambria" w:hAnsi="Times New Roman" w:cs="Times New Roman"/>
          <w:kern w:val="0"/>
          <w:lang w:val="en-US"/>
          <w14:ligatures w14:val="none"/>
        </w:rPr>
      </w:pPr>
      <w:r w:rsidRPr="00300EEC">
        <w:rPr>
          <w:rFonts w:ascii="Times New Roman" w:hAnsi="Times New Roman" w:cs="Times New Roman"/>
          <w:color w:val="0D0D0D"/>
          <w:spacing w:val="-2"/>
        </w:rPr>
        <w:t>Yadav, O.P., Gupta, S.K., Govindaraj, M. and Rai, K.N. (2023). Advances in pearl millet breeding for food, fodder and climate resilience. In: Pearl Millet. Agronomy Monographs. ASA, CSSA and SSSA.</w:t>
      </w:r>
    </w:p>
    <w:p w14:paraId="72E44F00" w14:textId="77777777" w:rsidR="00DC429E" w:rsidRPr="00300EEC" w:rsidRDefault="00DC429E" w:rsidP="00300EEC">
      <w:pPr>
        <w:pStyle w:val="ListParagraph"/>
        <w:tabs>
          <w:tab w:val="left" w:pos="747"/>
          <w:tab w:val="left" w:pos="765"/>
        </w:tabs>
        <w:spacing w:before="109" w:line="360" w:lineRule="auto"/>
        <w:ind w:left="765" w:right="26"/>
        <w:jc w:val="both"/>
        <w:rPr>
          <w:rFonts w:ascii="Times New Roman" w:hAnsi="Times New Roman" w:cs="Times New Roman"/>
        </w:rPr>
      </w:pPr>
      <w:r w:rsidRPr="00300EEC">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BB796A8" wp14:editId="0D1B74FD">
                <wp:simplePos x="0" y="0"/>
                <wp:positionH relativeFrom="column">
                  <wp:posOffset>-203200</wp:posOffset>
                </wp:positionH>
                <wp:positionV relativeFrom="paragraph">
                  <wp:posOffset>6822440</wp:posOffset>
                </wp:positionV>
                <wp:extent cx="742950" cy="266700"/>
                <wp:effectExtent l="0" t="0" r="19050" b="19050"/>
                <wp:wrapNone/>
                <wp:docPr id="1692231643" name="Rectangle 19"/>
                <wp:cNvGraphicFramePr/>
                <a:graphic xmlns:a="http://schemas.openxmlformats.org/drawingml/2006/main">
                  <a:graphicData uri="http://schemas.microsoft.com/office/word/2010/wordprocessingShape">
                    <wps:wsp>
                      <wps:cNvSpPr/>
                      <wps:spPr>
                        <a:xfrm>
                          <a:off x="0" y="0"/>
                          <a:ext cx="742950" cy="2667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B256D7" w14:textId="77777777" w:rsidR="00DC429E" w:rsidRPr="009D199B" w:rsidRDefault="00DC429E" w:rsidP="00DC429E">
                            <w:pPr>
                              <w:jc w:val="center"/>
                              <w:rPr>
                                <w:color w:val="808080" w:themeColor="background1" w:themeShade="80"/>
                              </w:rPr>
                            </w:pPr>
                            <w:r w:rsidRPr="009D199B">
                              <w:rPr>
                                <w:color w:val="808080" w:themeColor="background1" w:themeShade="80"/>
                              </w:rPr>
                              <w:t>10</w:t>
                            </w:r>
                            <w:r>
                              <w:rPr>
                                <w:color w:val="808080" w:themeColor="background1" w:themeShade="8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B796A8" id="Rectangle 19" o:spid="_x0000_s1026" style="position:absolute;left:0;text-align:left;margin-left:-16pt;margin-top:537.2pt;width:58.5pt;height:2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" fillcolor="white [3212]" strokecolor="white [3212]" strokeweight="1pt">
                <v:textbox>
                  <w:txbxContent>
                    <w:p w14:paraId="52B256D7" w14:textId="77777777" w:rsidR="00DC429E" w:rsidRPr="009D199B" w:rsidRDefault="00DC429E" w:rsidP="00DC429E">
                      <w:pPr>
                        <w:jc w:val="center"/>
                        <w:rPr>
                          <w:color w:val="808080" w:themeColor="background1" w:themeShade="80"/>
                        </w:rPr>
                      </w:pPr>
                      <w:r w:rsidRPr="009D199B">
                        <w:rPr>
                          <w:color w:val="808080" w:themeColor="background1" w:themeShade="80"/>
                        </w:rPr>
                        <w:t>10</w:t>
                      </w:r>
                      <w:r>
                        <w:rPr>
                          <w:color w:val="808080" w:themeColor="background1" w:themeShade="80"/>
                        </w:rPr>
                        <w:t>1.</w:t>
                      </w:r>
                    </w:p>
                  </w:txbxContent>
                </v:textbox>
              </v:rect>
            </w:pict>
          </mc:Fallback>
        </mc:AlternateContent>
      </w:r>
      <w:r w:rsidRPr="00300EEC">
        <w:rPr>
          <w:rFonts w:ascii="Times New Roman" w:hAnsi="Times New Roman" w:cs="Times New Roman"/>
        </w:rPr>
        <w:br w:type="column"/>
      </w:r>
    </w:p>
    <w:p w14:paraId="02C897A3" w14:textId="77777777" w:rsidR="00DC429E" w:rsidRPr="00300EEC" w:rsidRDefault="00DC429E" w:rsidP="00300EEC">
      <w:pPr>
        <w:pStyle w:val="ListParagraph"/>
        <w:spacing w:line="360" w:lineRule="auto"/>
        <w:ind w:left="651"/>
        <w:jc w:val="both"/>
        <w:rPr>
          <w:rFonts w:ascii="Times New Roman" w:hAnsi="Times New Roman" w:cs="Times New Roman"/>
        </w:rPr>
      </w:pPr>
    </w:p>
    <w:sectPr w:rsidR="00DC429E" w:rsidRPr="00300E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442E" w14:textId="77777777" w:rsidR="0098443C" w:rsidRDefault="0098443C" w:rsidP="00C279B1">
      <w:pPr>
        <w:spacing w:after="0" w:line="240" w:lineRule="auto"/>
      </w:pPr>
      <w:r>
        <w:separator/>
      </w:r>
    </w:p>
  </w:endnote>
  <w:endnote w:type="continuationSeparator" w:id="0">
    <w:p w14:paraId="5991EADC" w14:textId="77777777" w:rsidR="0098443C" w:rsidRDefault="0098443C" w:rsidP="00C2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64EF" w14:textId="77777777" w:rsidR="00C279B1" w:rsidRDefault="00C27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075B3" w14:textId="77777777" w:rsidR="00C279B1" w:rsidRDefault="00C279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40CF" w14:textId="77777777" w:rsidR="00C279B1" w:rsidRDefault="00C27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41F5" w14:textId="77777777" w:rsidR="0098443C" w:rsidRDefault="0098443C" w:rsidP="00C279B1">
      <w:pPr>
        <w:spacing w:after="0" w:line="240" w:lineRule="auto"/>
      </w:pPr>
      <w:r>
        <w:separator/>
      </w:r>
    </w:p>
  </w:footnote>
  <w:footnote w:type="continuationSeparator" w:id="0">
    <w:p w14:paraId="7A6E153E" w14:textId="77777777" w:rsidR="0098443C" w:rsidRDefault="0098443C" w:rsidP="00C27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703E" w14:textId="18C635E5" w:rsidR="00C279B1" w:rsidRDefault="00C279B1">
    <w:pPr>
      <w:pStyle w:val="Header"/>
    </w:pPr>
    <w:r>
      <w:rPr>
        <w:noProof/>
      </w:rPr>
      <w:pict w14:anchorId="7EAEF3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220219" o:spid="_x0000_s1026" type="#_x0000_t136" style="position:absolute;margin-left:0;margin-top:0;width:656.5pt;height:123.0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7284" w14:textId="03C0CBF4" w:rsidR="00C279B1" w:rsidRDefault="00C279B1">
    <w:pPr>
      <w:pStyle w:val="Header"/>
    </w:pPr>
    <w:r>
      <w:rPr>
        <w:noProof/>
      </w:rPr>
      <w:pict w14:anchorId="1A6084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220220" o:spid="_x0000_s1027" type="#_x0000_t136" style="position:absolute;margin-left:0;margin-top:0;width:656.5pt;height:123.0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E695" w14:textId="611465E4" w:rsidR="00C279B1" w:rsidRDefault="00C279B1">
    <w:pPr>
      <w:pStyle w:val="Header"/>
    </w:pPr>
    <w:r>
      <w:rPr>
        <w:noProof/>
      </w:rPr>
      <w:pict w14:anchorId="792D7C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220218" o:spid="_x0000_s1025" type="#_x0000_t136" style="position:absolute;margin-left:0;margin-top:0;width:656.5pt;height:123.0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103B"/>
    <w:multiLevelType w:val="hybridMultilevel"/>
    <w:tmpl w:val="D9FAF2BE"/>
    <w:lvl w:ilvl="0" w:tplc="FA88EBC8">
      <w:start w:val="1"/>
      <w:numFmt w:val="decimal"/>
      <w:lvlText w:val="%1."/>
      <w:lvlJc w:val="left"/>
      <w:pPr>
        <w:ind w:left="651" w:hanging="607"/>
        <w:jc w:val="right"/>
      </w:pPr>
      <w:rPr>
        <w:rFonts w:ascii="Cambria" w:eastAsia="Cambria" w:hAnsi="Cambria" w:cs="Cambria" w:hint="default"/>
        <w:b w:val="0"/>
        <w:bCs w:val="0"/>
        <w:i w:val="0"/>
        <w:iCs w:val="0"/>
        <w:color w:val="0D0D0D"/>
        <w:spacing w:val="0"/>
        <w:w w:val="100"/>
        <w:sz w:val="18"/>
        <w:szCs w:val="18"/>
        <w:lang w:val="en-US" w:eastAsia="en-US" w:bidi="ar-SA"/>
      </w:rPr>
    </w:lvl>
    <w:lvl w:ilvl="1" w:tplc="FEC09630">
      <w:numFmt w:val="bullet"/>
      <w:lvlText w:val="•"/>
      <w:lvlJc w:val="left"/>
      <w:pPr>
        <w:ind w:left="1121" w:hanging="607"/>
      </w:pPr>
      <w:rPr>
        <w:rFonts w:hint="default"/>
        <w:lang w:val="en-US" w:eastAsia="en-US" w:bidi="ar-SA"/>
      </w:rPr>
    </w:lvl>
    <w:lvl w:ilvl="2" w:tplc="3D6E02B0">
      <w:numFmt w:val="bullet"/>
      <w:lvlText w:val="•"/>
      <w:lvlJc w:val="left"/>
      <w:pPr>
        <w:ind w:left="1582" w:hanging="607"/>
      </w:pPr>
      <w:rPr>
        <w:rFonts w:hint="default"/>
        <w:lang w:val="en-US" w:eastAsia="en-US" w:bidi="ar-SA"/>
      </w:rPr>
    </w:lvl>
    <w:lvl w:ilvl="3" w:tplc="8B6C3CD8">
      <w:numFmt w:val="bullet"/>
      <w:lvlText w:val="•"/>
      <w:lvlJc w:val="left"/>
      <w:pPr>
        <w:ind w:left="2043" w:hanging="607"/>
      </w:pPr>
      <w:rPr>
        <w:rFonts w:hint="default"/>
        <w:lang w:val="en-US" w:eastAsia="en-US" w:bidi="ar-SA"/>
      </w:rPr>
    </w:lvl>
    <w:lvl w:ilvl="4" w:tplc="8D2C3EF6">
      <w:numFmt w:val="bullet"/>
      <w:lvlText w:val="•"/>
      <w:lvlJc w:val="left"/>
      <w:pPr>
        <w:ind w:left="2504" w:hanging="607"/>
      </w:pPr>
      <w:rPr>
        <w:rFonts w:hint="default"/>
        <w:lang w:val="en-US" w:eastAsia="en-US" w:bidi="ar-SA"/>
      </w:rPr>
    </w:lvl>
    <w:lvl w:ilvl="5" w:tplc="C1A204A6">
      <w:numFmt w:val="bullet"/>
      <w:lvlText w:val="•"/>
      <w:lvlJc w:val="left"/>
      <w:pPr>
        <w:ind w:left="2966" w:hanging="607"/>
      </w:pPr>
      <w:rPr>
        <w:rFonts w:hint="default"/>
        <w:lang w:val="en-US" w:eastAsia="en-US" w:bidi="ar-SA"/>
      </w:rPr>
    </w:lvl>
    <w:lvl w:ilvl="6" w:tplc="B06E1BFE">
      <w:numFmt w:val="bullet"/>
      <w:lvlText w:val="•"/>
      <w:lvlJc w:val="left"/>
      <w:pPr>
        <w:ind w:left="3427" w:hanging="607"/>
      </w:pPr>
      <w:rPr>
        <w:rFonts w:hint="default"/>
        <w:lang w:val="en-US" w:eastAsia="en-US" w:bidi="ar-SA"/>
      </w:rPr>
    </w:lvl>
    <w:lvl w:ilvl="7" w:tplc="54B8A69C">
      <w:numFmt w:val="bullet"/>
      <w:lvlText w:val="•"/>
      <w:lvlJc w:val="left"/>
      <w:pPr>
        <w:ind w:left="3888" w:hanging="607"/>
      </w:pPr>
      <w:rPr>
        <w:rFonts w:hint="default"/>
        <w:lang w:val="en-US" w:eastAsia="en-US" w:bidi="ar-SA"/>
      </w:rPr>
    </w:lvl>
    <w:lvl w:ilvl="8" w:tplc="2FA09436">
      <w:numFmt w:val="bullet"/>
      <w:lvlText w:val="•"/>
      <w:lvlJc w:val="left"/>
      <w:pPr>
        <w:ind w:left="4349" w:hanging="607"/>
      </w:pPr>
      <w:rPr>
        <w:rFonts w:hint="default"/>
        <w:lang w:val="en-US" w:eastAsia="en-US" w:bidi="ar-SA"/>
      </w:rPr>
    </w:lvl>
  </w:abstractNum>
  <w:abstractNum w:abstractNumId="1" w15:restartNumberingAfterBreak="0">
    <w:nsid w:val="4AA97588"/>
    <w:multiLevelType w:val="hybridMultilevel"/>
    <w:tmpl w:val="D9FAF2BE"/>
    <w:lvl w:ilvl="0" w:tplc="FFFFFFFF">
      <w:start w:val="1"/>
      <w:numFmt w:val="decimal"/>
      <w:lvlText w:val="%1."/>
      <w:lvlJc w:val="left"/>
      <w:pPr>
        <w:ind w:left="651" w:hanging="607"/>
        <w:jc w:val="right"/>
      </w:pPr>
      <w:rPr>
        <w:rFonts w:ascii="Cambria" w:eastAsia="Cambria" w:hAnsi="Cambria" w:cs="Cambria" w:hint="default"/>
        <w:b w:val="0"/>
        <w:bCs w:val="0"/>
        <w:i w:val="0"/>
        <w:iCs w:val="0"/>
        <w:color w:val="0D0D0D"/>
        <w:spacing w:val="0"/>
        <w:w w:val="100"/>
        <w:sz w:val="18"/>
        <w:szCs w:val="18"/>
        <w:lang w:val="en-US" w:eastAsia="en-US" w:bidi="ar-SA"/>
      </w:rPr>
    </w:lvl>
    <w:lvl w:ilvl="1" w:tplc="FFFFFFFF">
      <w:numFmt w:val="bullet"/>
      <w:lvlText w:val="•"/>
      <w:lvlJc w:val="left"/>
      <w:pPr>
        <w:ind w:left="1121" w:hanging="607"/>
      </w:pPr>
      <w:rPr>
        <w:rFonts w:hint="default"/>
        <w:lang w:val="en-US" w:eastAsia="en-US" w:bidi="ar-SA"/>
      </w:rPr>
    </w:lvl>
    <w:lvl w:ilvl="2" w:tplc="FFFFFFFF">
      <w:numFmt w:val="bullet"/>
      <w:lvlText w:val="•"/>
      <w:lvlJc w:val="left"/>
      <w:pPr>
        <w:ind w:left="1582" w:hanging="607"/>
      </w:pPr>
      <w:rPr>
        <w:rFonts w:hint="default"/>
        <w:lang w:val="en-US" w:eastAsia="en-US" w:bidi="ar-SA"/>
      </w:rPr>
    </w:lvl>
    <w:lvl w:ilvl="3" w:tplc="FFFFFFFF">
      <w:numFmt w:val="bullet"/>
      <w:lvlText w:val="•"/>
      <w:lvlJc w:val="left"/>
      <w:pPr>
        <w:ind w:left="2043" w:hanging="607"/>
      </w:pPr>
      <w:rPr>
        <w:rFonts w:hint="default"/>
        <w:lang w:val="en-US" w:eastAsia="en-US" w:bidi="ar-SA"/>
      </w:rPr>
    </w:lvl>
    <w:lvl w:ilvl="4" w:tplc="FFFFFFFF">
      <w:numFmt w:val="bullet"/>
      <w:lvlText w:val="•"/>
      <w:lvlJc w:val="left"/>
      <w:pPr>
        <w:ind w:left="2504" w:hanging="607"/>
      </w:pPr>
      <w:rPr>
        <w:rFonts w:hint="default"/>
        <w:lang w:val="en-US" w:eastAsia="en-US" w:bidi="ar-SA"/>
      </w:rPr>
    </w:lvl>
    <w:lvl w:ilvl="5" w:tplc="FFFFFFFF">
      <w:numFmt w:val="bullet"/>
      <w:lvlText w:val="•"/>
      <w:lvlJc w:val="left"/>
      <w:pPr>
        <w:ind w:left="2966" w:hanging="607"/>
      </w:pPr>
      <w:rPr>
        <w:rFonts w:hint="default"/>
        <w:lang w:val="en-US" w:eastAsia="en-US" w:bidi="ar-SA"/>
      </w:rPr>
    </w:lvl>
    <w:lvl w:ilvl="6" w:tplc="FFFFFFFF">
      <w:numFmt w:val="bullet"/>
      <w:lvlText w:val="•"/>
      <w:lvlJc w:val="left"/>
      <w:pPr>
        <w:ind w:left="3427" w:hanging="607"/>
      </w:pPr>
      <w:rPr>
        <w:rFonts w:hint="default"/>
        <w:lang w:val="en-US" w:eastAsia="en-US" w:bidi="ar-SA"/>
      </w:rPr>
    </w:lvl>
    <w:lvl w:ilvl="7" w:tplc="FFFFFFFF">
      <w:numFmt w:val="bullet"/>
      <w:lvlText w:val="•"/>
      <w:lvlJc w:val="left"/>
      <w:pPr>
        <w:ind w:left="3888" w:hanging="607"/>
      </w:pPr>
      <w:rPr>
        <w:rFonts w:hint="default"/>
        <w:lang w:val="en-US" w:eastAsia="en-US" w:bidi="ar-SA"/>
      </w:rPr>
    </w:lvl>
    <w:lvl w:ilvl="8" w:tplc="FFFFFFFF">
      <w:numFmt w:val="bullet"/>
      <w:lvlText w:val="•"/>
      <w:lvlJc w:val="left"/>
      <w:pPr>
        <w:ind w:left="4349" w:hanging="607"/>
      </w:pPr>
      <w:rPr>
        <w:rFonts w:hint="default"/>
        <w:lang w:val="en-US" w:eastAsia="en-US" w:bidi="ar-SA"/>
      </w:rPr>
    </w:lvl>
  </w:abstractNum>
  <w:num w:numId="1" w16cid:durableId="55864500">
    <w:abstractNumId w:val="0"/>
  </w:num>
  <w:num w:numId="2" w16cid:durableId="1888494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29E"/>
    <w:rsid w:val="00047F58"/>
    <w:rsid w:val="002221BD"/>
    <w:rsid w:val="00300EEC"/>
    <w:rsid w:val="00331488"/>
    <w:rsid w:val="00377663"/>
    <w:rsid w:val="00856EAD"/>
    <w:rsid w:val="0098443C"/>
    <w:rsid w:val="00AC3403"/>
    <w:rsid w:val="00AD4F5E"/>
    <w:rsid w:val="00B2278F"/>
    <w:rsid w:val="00C279B1"/>
    <w:rsid w:val="00C479E0"/>
    <w:rsid w:val="00C9538E"/>
    <w:rsid w:val="00DA70CE"/>
    <w:rsid w:val="00DC429E"/>
    <w:rsid w:val="00E923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CB052"/>
  <w15:chartTrackingRefBased/>
  <w15:docId w15:val="{BADA2BD9-C7CB-44C4-8914-7A9C3DB6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42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2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2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2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2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2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2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2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2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2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29E"/>
    <w:rPr>
      <w:rFonts w:eastAsiaTheme="majorEastAsia" w:cstheme="majorBidi"/>
      <w:color w:val="272727" w:themeColor="text1" w:themeTint="D8"/>
    </w:rPr>
  </w:style>
  <w:style w:type="paragraph" w:styleId="Title">
    <w:name w:val="Title"/>
    <w:basedOn w:val="Normal"/>
    <w:next w:val="Normal"/>
    <w:link w:val="TitleChar"/>
    <w:uiPriority w:val="10"/>
    <w:qFormat/>
    <w:rsid w:val="00DC4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29E"/>
    <w:pPr>
      <w:spacing w:before="160"/>
      <w:jc w:val="center"/>
    </w:pPr>
    <w:rPr>
      <w:i/>
      <w:iCs/>
      <w:color w:val="404040" w:themeColor="text1" w:themeTint="BF"/>
    </w:rPr>
  </w:style>
  <w:style w:type="character" w:customStyle="1" w:styleId="QuoteChar">
    <w:name w:val="Quote Char"/>
    <w:basedOn w:val="DefaultParagraphFont"/>
    <w:link w:val="Quote"/>
    <w:uiPriority w:val="29"/>
    <w:rsid w:val="00DC429E"/>
    <w:rPr>
      <w:i/>
      <w:iCs/>
      <w:color w:val="404040" w:themeColor="text1" w:themeTint="BF"/>
    </w:rPr>
  </w:style>
  <w:style w:type="paragraph" w:styleId="ListParagraph">
    <w:name w:val="List Paragraph"/>
    <w:basedOn w:val="Normal"/>
    <w:uiPriority w:val="1"/>
    <w:qFormat/>
    <w:rsid w:val="00DC429E"/>
    <w:pPr>
      <w:ind w:left="720"/>
      <w:contextualSpacing/>
    </w:pPr>
  </w:style>
  <w:style w:type="character" w:styleId="IntenseEmphasis">
    <w:name w:val="Intense Emphasis"/>
    <w:basedOn w:val="DefaultParagraphFont"/>
    <w:uiPriority w:val="21"/>
    <w:qFormat/>
    <w:rsid w:val="00DC429E"/>
    <w:rPr>
      <w:i/>
      <w:iCs/>
      <w:color w:val="2F5496" w:themeColor="accent1" w:themeShade="BF"/>
    </w:rPr>
  </w:style>
  <w:style w:type="paragraph" w:styleId="IntenseQuote">
    <w:name w:val="Intense Quote"/>
    <w:basedOn w:val="Normal"/>
    <w:next w:val="Normal"/>
    <w:link w:val="IntenseQuoteChar"/>
    <w:uiPriority w:val="30"/>
    <w:qFormat/>
    <w:rsid w:val="00DC42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29E"/>
    <w:rPr>
      <w:i/>
      <w:iCs/>
      <w:color w:val="2F5496" w:themeColor="accent1" w:themeShade="BF"/>
    </w:rPr>
  </w:style>
  <w:style w:type="character" w:styleId="IntenseReference">
    <w:name w:val="Intense Reference"/>
    <w:basedOn w:val="DefaultParagraphFont"/>
    <w:uiPriority w:val="32"/>
    <w:qFormat/>
    <w:rsid w:val="00DC429E"/>
    <w:rPr>
      <w:b/>
      <w:bCs/>
      <w:smallCaps/>
      <w:color w:val="2F5496" w:themeColor="accent1" w:themeShade="BF"/>
      <w:spacing w:val="5"/>
    </w:rPr>
  </w:style>
  <w:style w:type="character" w:styleId="Hyperlink">
    <w:name w:val="Hyperlink"/>
    <w:basedOn w:val="DefaultParagraphFont"/>
    <w:uiPriority w:val="99"/>
    <w:unhideWhenUsed/>
    <w:rsid w:val="00DC429E"/>
    <w:rPr>
      <w:color w:val="0563C1" w:themeColor="hyperlink"/>
      <w:u w:val="single"/>
    </w:rPr>
  </w:style>
  <w:style w:type="paragraph" w:styleId="BodyText">
    <w:name w:val="Body Text"/>
    <w:basedOn w:val="Normal"/>
    <w:link w:val="BodyTextChar"/>
    <w:uiPriority w:val="1"/>
    <w:qFormat/>
    <w:rsid w:val="00DC429E"/>
    <w:pPr>
      <w:widowControl w:val="0"/>
      <w:autoSpaceDE w:val="0"/>
      <w:autoSpaceDN w:val="0"/>
      <w:spacing w:after="0" w:line="240" w:lineRule="auto"/>
    </w:pPr>
    <w:rPr>
      <w:rFonts w:ascii="Cambria" w:eastAsia="Cambria" w:hAnsi="Cambria" w:cs="Cambria"/>
      <w:kern w:val="0"/>
      <w:sz w:val="20"/>
      <w:szCs w:val="20"/>
      <w:lang w:val="en-US"/>
      <w14:ligatures w14:val="none"/>
    </w:rPr>
  </w:style>
  <w:style w:type="character" w:customStyle="1" w:styleId="BodyTextChar">
    <w:name w:val="Body Text Char"/>
    <w:basedOn w:val="DefaultParagraphFont"/>
    <w:link w:val="BodyText"/>
    <w:uiPriority w:val="1"/>
    <w:rsid w:val="00DC429E"/>
    <w:rPr>
      <w:rFonts w:ascii="Cambria" w:eastAsia="Cambria" w:hAnsi="Cambria" w:cs="Cambria"/>
      <w:kern w:val="0"/>
      <w:sz w:val="20"/>
      <w:szCs w:val="20"/>
      <w:lang w:val="en-US"/>
      <w14:ligatures w14:val="none"/>
    </w:rPr>
  </w:style>
  <w:style w:type="character" w:styleId="UnresolvedMention">
    <w:name w:val="Unresolved Mention"/>
    <w:basedOn w:val="DefaultParagraphFont"/>
    <w:uiPriority w:val="99"/>
    <w:semiHidden/>
    <w:unhideWhenUsed/>
    <w:rsid w:val="00AD4F5E"/>
    <w:rPr>
      <w:color w:val="605E5C"/>
      <w:shd w:val="clear" w:color="auto" w:fill="E1DFDD"/>
    </w:rPr>
  </w:style>
  <w:style w:type="paragraph" w:styleId="Header">
    <w:name w:val="header"/>
    <w:basedOn w:val="Normal"/>
    <w:link w:val="HeaderChar"/>
    <w:uiPriority w:val="99"/>
    <w:unhideWhenUsed/>
    <w:rsid w:val="00C27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9B1"/>
  </w:style>
  <w:style w:type="paragraph" w:styleId="Footer">
    <w:name w:val="footer"/>
    <w:basedOn w:val="Normal"/>
    <w:link w:val="FooterChar"/>
    <w:uiPriority w:val="99"/>
    <w:unhideWhenUsed/>
    <w:rsid w:val="00C27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4135</Words>
  <Characters>23575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Mousmi Syed</dc:creator>
  <cp:keywords/>
  <dc:description/>
  <cp:lastModifiedBy>SDI 1084</cp:lastModifiedBy>
  <cp:revision>8</cp:revision>
  <dcterms:created xsi:type="dcterms:W3CDTF">2026-07-18T16:46:00Z</dcterms:created>
  <dcterms:modified xsi:type="dcterms:W3CDTF">2026-07-20T13:47:00Z</dcterms:modified>
</cp:coreProperties>
</file>