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7859B" w14:textId="4D05741B" w:rsidR="00BD2812" w:rsidRDefault="00BD2812" w:rsidP="000D0281">
      <w:pPr>
        <w:pStyle w:val="Heading1"/>
        <w:jc w:val="both"/>
      </w:pPr>
      <w:r w:rsidRPr="00BD2812">
        <w:t>Sustainable Pharmaceutical Manufacturing and Packaging from Design to Disposal: A Critical Narrative Review of Technologies, Trade-offs and Circularity</w:t>
      </w:r>
    </w:p>
    <w:p w14:paraId="45E38865" w14:textId="77777777" w:rsidR="00BD2812" w:rsidRDefault="00BD2812" w:rsidP="000D0281">
      <w:pPr>
        <w:jc w:val="both"/>
        <w:rPr>
          <w:b/>
          <w:color w:val="1F4E3D"/>
          <w:sz w:val="23"/>
        </w:rPr>
      </w:pPr>
    </w:p>
    <w:p w14:paraId="1593132F" w14:textId="4A7D599C" w:rsidR="006D5BA8" w:rsidRDefault="004C0246" w:rsidP="000D0281">
      <w:pPr>
        <w:jc w:val="both"/>
      </w:pPr>
      <w:r>
        <w:rPr>
          <w:b/>
          <w:color w:val="1F4E3D"/>
          <w:sz w:val="23"/>
        </w:rPr>
        <w:t>Abstract</w:t>
      </w:r>
    </w:p>
    <w:p w14:paraId="46539CDC" w14:textId="77777777" w:rsidR="006D5BA8" w:rsidRDefault="004C0246" w:rsidP="000D0281">
      <w:pPr>
        <w:jc w:val="both"/>
      </w:pPr>
      <w:r>
        <w:t xml:space="preserve">Pharmaceutical sustainability cannot be reduced to a single manufacturing metric or a recyclable pack. Environmental burdens arise across molecular and process design, active pharmaceutical ingredient synthesis, formulation, utilities, primary and secondary packaging, distribution, use, and end-of-life management. This critical narrative review integrates evidence on sustainable pharmaceutical manufacturing and packaging to examine where technological interventions genuinely prevent burdens and where they may merely shift them between life-cycle stages. Literature published mainly from 2000 to 9 June 2026 was identified through accessible scholarly indexes and verified against bibliographic and DOI landing pages, with additional evidence from authoritative regulatory and public-health sources. The strongest evidence supports prevention-oriented manufacturing strategies: route simplification, solvent substitution and recovery, catalysis and biocatalysis, process intensification, continuous manufacturing, and the systematic use of process mass intensity alongside broader life-cycle assessment. Emerging approaches such as mechanochemistry and greener-by-design active ingredients are promising but remain constrained by scale-up, quality, toxicological and regulatory evidence gaps. Packaging studies show that material choice alone does not determine sustainability; protection performance, fill efficiency, </w:t>
      </w:r>
      <w:proofErr w:type="spellStart"/>
      <w:r>
        <w:t>sterilisation</w:t>
      </w:r>
      <w:proofErr w:type="spellEnd"/>
      <w:r>
        <w:t xml:space="preserve">, transport, medicine wastage, collection infrastructure and end-of-life fate can reverse apparent advantages. Multi-layer blisters and sterile formats illustrate the tension between product protection and material circularity. At disposal, take-back systems can reduce uncontrolled release and improve recovery or controlled destruction, but evidence for </w:t>
      </w:r>
      <w:proofErr w:type="spellStart"/>
      <w:r>
        <w:t>behavioural</w:t>
      </w:r>
      <w:proofErr w:type="spellEnd"/>
      <w:r>
        <w:t xml:space="preserve"> uptake, system coverage and environmental benefit remains geographically uneven. Antibiotic manufacturing emissions demonstrate why end-of-pipe control and environmental quality criteria must complement green process design. Overall, the evidence </w:t>
      </w:r>
      <w:proofErr w:type="spellStart"/>
      <w:r>
        <w:t>favours</w:t>
      </w:r>
      <w:proofErr w:type="spellEnd"/>
      <w:r>
        <w:t xml:space="preserve"> a design-to-disposal governance model in which quality, safety and access constraints are treated as boundary conditions while material, energy, toxicity, emissions and circularity outcomes are evaluated together. Priority research needs include </w:t>
      </w:r>
      <w:proofErr w:type="spellStart"/>
      <w:r>
        <w:t>harmonised</w:t>
      </w:r>
      <w:proofErr w:type="spellEnd"/>
      <w:r>
        <w:t xml:space="preserve"> pharmaceutical life-cycle inventories, comparative studies at commercial scale, packaging performance–environment trade-off testing, and procurement or regulatory mechanisms that reward verified life-cycle improvement without compromising medicine quality or supply resilience.</w:t>
      </w:r>
    </w:p>
    <w:p w14:paraId="10B572E6" w14:textId="77777777" w:rsidR="006D5BA8" w:rsidRDefault="004C0246" w:rsidP="000D0281">
      <w:pPr>
        <w:jc w:val="both"/>
      </w:pPr>
      <w:r>
        <w:rPr>
          <w:b/>
        </w:rPr>
        <w:t xml:space="preserve">Keywords: </w:t>
      </w:r>
      <w:r>
        <w:t xml:space="preserve">green chemistry; pharmaceutical manufacturing; sustainable packaging; life cycle assessment; continuous manufacturing; </w:t>
      </w:r>
      <w:proofErr w:type="spellStart"/>
      <w:r>
        <w:t>ecodesign</w:t>
      </w:r>
      <w:proofErr w:type="spellEnd"/>
      <w:r>
        <w:t>; medicine waste; circular economy</w:t>
      </w:r>
    </w:p>
    <w:p w14:paraId="1C05A644" w14:textId="77777777" w:rsidR="006D5BA8" w:rsidRDefault="004C0246" w:rsidP="000D0281">
      <w:pPr>
        <w:pStyle w:val="Heading1"/>
        <w:jc w:val="both"/>
      </w:pPr>
      <w:r>
        <w:t>1. Introduction</w:t>
      </w:r>
    </w:p>
    <w:p w14:paraId="1FC847D6" w14:textId="77777777" w:rsidR="006D5BA8" w:rsidRDefault="004C0246" w:rsidP="000D0281">
      <w:pPr>
        <w:jc w:val="both"/>
      </w:pPr>
      <w:r>
        <w:t>The pharmaceutical sector occupies an unusual position in sustainability policy. Its products generate substantial social value and are governed by strict requirements for identity, strength, purity, stability, sterility where applicable, and reliable supply, yet the same quality architecture can embed high material and energy use across product life cycles. Active pharmaceutical ingredient (API) synthesis frequently involves multi-step chemistry, extensive solvent use and purification, while formulation and packaging add excipients, water, energy, barrier materials and logistics. At the downstream end, unused medicines and packaging enter waste systems whose capacity for segregation, recovery or safe destruction varies widely. A credible sustainability strategy therefore has to protect therapeutic performance while reducing environmental burdens rather than treating environmental objectives as substitutes for quality or access (Anastas &amp; Eghbali, 2010; Constable et al., 2007; Dunn, 2012).</w:t>
      </w:r>
    </w:p>
    <w:p w14:paraId="61789B02" w14:textId="77777777" w:rsidR="006D5BA8" w:rsidRDefault="004C0246" w:rsidP="000D0281">
      <w:pPr>
        <w:jc w:val="both"/>
      </w:pPr>
      <w:r>
        <w:t xml:space="preserve">Green chemistry provided the most influential prevention-oriented foundation for reducing the intrinsic resource and hazard burden of pharmaceutical synthesis. Within industrial pharmaceutical development, this orientation evolved from qualitative principles towards practical solvent guides, process mass intensity </w:t>
      </w:r>
      <w:r>
        <w:lastRenderedPageBreak/>
        <w:t xml:space="preserve">(PMI), route-based benchmarks and plant-level improvement </w:t>
      </w:r>
      <w:proofErr w:type="spellStart"/>
      <w:r>
        <w:t>programmes</w:t>
      </w:r>
      <w:proofErr w:type="spellEnd"/>
      <w:r>
        <w:t xml:space="preserve"> (Henderson et al., 2011; Jimenez-Gonzalez et al., 2011; Kjell et al., 2013; </w:t>
      </w:r>
      <w:proofErr w:type="spellStart"/>
      <w:r>
        <w:t>Roschangar</w:t>
      </w:r>
      <w:proofErr w:type="spellEnd"/>
      <w:r>
        <w:t xml:space="preserve"> et al., 2017). These tools have changed how process chemists identify material hotspots, but they do not by themselves resolve the wider sustainability question. A process can display </w:t>
      </w:r>
      <w:proofErr w:type="spellStart"/>
      <w:r>
        <w:t>favourable</w:t>
      </w:r>
      <w:proofErr w:type="spellEnd"/>
      <w:r>
        <w:t xml:space="preserve"> mass efficiency while relying on energy-intensive operations, a solvent with problematic upstream production, or a product whose environmental persistence dominates downstream risk. Life cycle assessment (LCA) and complementary hazard frameworks are therefore needed to detect burden shifting that mass-based metrics can miss (De Soete et al., 2014; Monteith et al., 2020; Sheldon, 2023).</w:t>
      </w:r>
    </w:p>
    <w:p w14:paraId="6ADF7364" w14:textId="77777777" w:rsidR="006D5BA8" w:rsidRDefault="004C0246" w:rsidP="000D0281">
      <w:pPr>
        <w:jc w:val="both"/>
      </w:pPr>
      <w:r>
        <w:t xml:space="preserve">A second strand of the field extends prevention upstream into product design. The 'benign by design' or greener-drug proposition asks whether environmental degradability, persistence and ecotoxicological characteristics can be considered during discovery without sacrificing pharmacological efficacy, stability or manufacturability. The concept is intellectually compelling because most pharmaceutical residues in the environment ultimately derive from use and excretion rather than manufacturing alone. Yet it remains difficult in practice because the molecular properties that support potency, metabolic stability and shelf life can conflict with ready environmental degradation, and because environmental screening is still poorly integrated into the selection logic of medicinal chemistry </w:t>
      </w:r>
      <w:proofErr w:type="spellStart"/>
      <w:r>
        <w:t>programmes</w:t>
      </w:r>
      <w:proofErr w:type="spellEnd"/>
      <w:r>
        <w:t xml:space="preserve"> (</w:t>
      </w:r>
      <w:proofErr w:type="spellStart"/>
      <w:r>
        <w:t>Kümmerer</w:t>
      </w:r>
      <w:proofErr w:type="spellEnd"/>
      <w:r>
        <w:t xml:space="preserve">, 2007; </w:t>
      </w:r>
      <w:proofErr w:type="spellStart"/>
      <w:r>
        <w:t>Puhlmann</w:t>
      </w:r>
      <w:proofErr w:type="spellEnd"/>
      <w:r>
        <w:t xml:space="preserve"> et al., 2024; Vidaurre et al., 2024). Recent work on excipient life-cycle and biodegradation profiles extends the same logic from APIs to formulation ingredients, reinforcing the need to treat pharmaceutical product design as a multi-component environmental problem (Bading et al., 2025).</w:t>
      </w:r>
    </w:p>
    <w:p w14:paraId="195AB11A" w14:textId="77777777" w:rsidR="006D5BA8" w:rsidRDefault="004C0246" w:rsidP="000D0281">
      <w:pPr>
        <w:jc w:val="both"/>
      </w:pPr>
      <w:r>
        <w:t xml:space="preserve">Packaging has historically sat at the edge of pharmaceutical sustainability discussions even though it mediates product quality, dosing, tamper evidence, transport efficiency, usability and waste. Primary packaging must prevent unacceptable moisture, oxygen, light or microbial ingress and may need to tolerate </w:t>
      </w:r>
      <w:proofErr w:type="spellStart"/>
      <w:r>
        <w:t>sterilisation</w:t>
      </w:r>
      <w:proofErr w:type="spellEnd"/>
      <w:r>
        <w:t xml:space="preserve">. These requirements can </w:t>
      </w:r>
      <w:proofErr w:type="spellStart"/>
      <w:r>
        <w:t>favour</w:t>
      </w:r>
      <w:proofErr w:type="spellEnd"/>
      <w:r>
        <w:t xml:space="preserve"> </w:t>
      </w:r>
      <w:proofErr w:type="spellStart"/>
      <w:r>
        <w:t>aluminium</w:t>
      </w:r>
      <w:proofErr w:type="spellEnd"/>
      <w:r>
        <w:t xml:space="preserve"> laminates, polyvinyl chloride-based blisters, glass, elastomers and multi-material combinations that are difficult to recover in existing recycling systems. LCA studies show that apparently intuitive claims such as '</w:t>
      </w:r>
      <w:proofErr w:type="spellStart"/>
      <w:r>
        <w:t>glass</w:t>
      </w:r>
      <w:proofErr w:type="spellEnd"/>
      <w:r>
        <w:t xml:space="preserve"> is greener' or 'less plastic is always better' are unreliable without a defined functional unit and system boundary. Depending on format, </w:t>
      </w:r>
      <w:proofErr w:type="spellStart"/>
      <w:r>
        <w:t>sterilisation</w:t>
      </w:r>
      <w:proofErr w:type="spellEnd"/>
      <w:r>
        <w:t xml:space="preserve">, transport, pack size, material recovery and medicine wastage, a lighter polymer system or a different pack architecture may have lower impacts than a heavier or more readily recyclable alternative (Bassani et al., 2022a, 2022b; </w:t>
      </w:r>
      <w:proofErr w:type="spellStart"/>
      <w:r>
        <w:t>Belboom</w:t>
      </w:r>
      <w:proofErr w:type="spellEnd"/>
      <w:r>
        <w:t xml:space="preserve"> et al., 2011; Loftus et al., 2026).</w:t>
      </w:r>
    </w:p>
    <w:p w14:paraId="4748E9F8" w14:textId="77777777" w:rsidR="006D5BA8" w:rsidRDefault="004C0246" w:rsidP="000D0281">
      <w:pPr>
        <w:jc w:val="both"/>
      </w:pPr>
      <w:r>
        <w:t xml:space="preserve">End-of-life management adds another layer of uncertainty. Household disposal via mixed waste or sewer systems can contribute to uncontrolled environmental release, while collection and take-back </w:t>
      </w:r>
      <w:proofErr w:type="spellStart"/>
      <w:r>
        <w:t>programmes</w:t>
      </w:r>
      <w:proofErr w:type="spellEnd"/>
      <w:r>
        <w:t xml:space="preserve"> differ in availability, convenience, public awareness and final treatment. Systematic reviews consistently identify knowledge and practice gaps and show that </w:t>
      </w:r>
      <w:proofErr w:type="spellStart"/>
      <w:r>
        <w:t>programme</w:t>
      </w:r>
      <w:proofErr w:type="spellEnd"/>
      <w:r>
        <w:t xml:space="preserve"> effectiveness is context dependent rather than an automatic consequence of offering a collection route (</w:t>
      </w:r>
      <w:proofErr w:type="spellStart"/>
      <w:r>
        <w:t>Alfian</w:t>
      </w:r>
      <w:proofErr w:type="spellEnd"/>
      <w:r>
        <w:t xml:space="preserve"> et al., 2026; Hiew &amp; Low, 2024; Wang et al., 2024). Pharmaceutical packaging can also become separated from the medicine stream, producing a governance mismatch in which empty packs are treated as ordinary packaging while residues or contaminated components require controlled handling. The environmental preference among recycling, incineration and landfill depends on material, contamination, recovery efficiency and local energy and waste systems (Bassani et al., 2024).</w:t>
      </w:r>
    </w:p>
    <w:p w14:paraId="5344996C" w14:textId="77777777" w:rsidR="006D5BA8" w:rsidRDefault="004C0246" w:rsidP="000D0281">
      <w:pPr>
        <w:jc w:val="both"/>
      </w:pPr>
      <w:r>
        <w:t xml:space="preserve">The consequences of fragmented life-cycle governance are especially visible in antibiotic manufacturing. Empirical evidence from production clusters has documented exceptionally high antibiotic concentrations in effluent, and subsequent literature has linked environmental antibiotic exposure to selection pressure for antimicrobial resistance (AMR) while </w:t>
      </w:r>
      <w:proofErr w:type="spellStart"/>
      <w:r>
        <w:t>emphasising</w:t>
      </w:r>
      <w:proofErr w:type="spellEnd"/>
      <w:r>
        <w:t xml:space="preserve"> major uncertainties in exposure pathways and regional </w:t>
      </w:r>
      <w:proofErr w:type="spellStart"/>
      <w:r>
        <w:t>generalisability</w:t>
      </w:r>
      <w:proofErr w:type="spellEnd"/>
      <w:r>
        <w:t xml:space="preserve"> (Larsson et al., 2007; Larsson &amp; Flach, 2022; Topp et al., 2018). This evidence has moved manufacturing emissions from a peripheral environmental issue towards a public-health and procurement concern. The World Health Organization (WHO, 2024) now provides specific guidance on antibiotic manufacturing wastewater and solid waste, whereas conventional medicinal-product environmental risk assessment remains primarily focused on environmental exposure from use and disposal rather than </w:t>
      </w:r>
      <w:r>
        <w:lastRenderedPageBreak/>
        <w:t xml:space="preserve">synthesis. The resulting regulatory asymmetry illustrates why product, process, packaging and end-of-life governance need to be connected rather than </w:t>
      </w:r>
      <w:proofErr w:type="spellStart"/>
      <w:r>
        <w:t>optimised</w:t>
      </w:r>
      <w:proofErr w:type="spellEnd"/>
      <w:r>
        <w:t xml:space="preserve"> in isolation.</w:t>
      </w:r>
    </w:p>
    <w:p w14:paraId="09BEA545" w14:textId="77777777" w:rsidR="006D5BA8" w:rsidRDefault="004C0246" w:rsidP="000D0281">
      <w:pPr>
        <w:jc w:val="both"/>
      </w:pPr>
      <w:r>
        <w:t xml:space="preserve">Existing reviews have contributed substantially to individual components of this agenda. Green and sustainable medicinal chemistry reviews </w:t>
      </w:r>
      <w:proofErr w:type="spellStart"/>
      <w:r>
        <w:t>synthesise</w:t>
      </w:r>
      <w:proofErr w:type="spellEnd"/>
      <w:r>
        <w:t xml:space="preserve"> cleaner reaction design and greener API concepts; continuous-manufacturing reviews examine process intensification; pharmaceutical-packaging LCAs compare materials and end-of-life scenarios; and medicine-disposal reviews evaluate household practices and take-back interventions (Castiello et al., 2023; Rogers &amp; Jensen, 2019; Bassani et al., 2024; Wang et al., 2024). The unresolved problem is that decisions in one domain alter constraints and burdens in another. A lower-solvent process may require a different isolation strategy; a lighter pack may change barrier performance; longer shelf life can reduce medicine wastage but require more resource-intensive packaging; and a theoretically recyclable component can still be environmentally disadvantageous when collection and high-quality reprocessing are absent. A life-cycle synthesis is therefore needed to distinguish interventions with robust cross-stage benefits from those whose advantages depend strongly on context.</w:t>
      </w:r>
    </w:p>
    <w:p w14:paraId="71D70428" w14:textId="77777777" w:rsidR="006D5BA8" w:rsidRDefault="004C0246" w:rsidP="000D0281">
      <w:pPr>
        <w:pStyle w:val="Heading2"/>
        <w:jc w:val="both"/>
      </w:pPr>
      <w:r>
        <w:t>1.1 Scope, Research Gap and Objectives</w:t>
      </w:r>
    </w:p>
    <w:p w14:paraId="60C7664B" w14:textId="77777777" w:rsidR="006D5BA8" w:rsidRDefault="004C0246" w:rsidP="000D0281">
      <w:pPr>
        <w:jc w:val="both"/>
      </w:pPr>
      <w:r>
        <w:t xml:space="preserve">This review examines technologies and decision frameworks that can reduce the environmental burden of human pharmaceutical products across design, manufacturing, packaging and disposal. It focuses on small-molecule and formulated medicines while drawing selectively on bioprocess and sterile-product evidence where it reveals transferable sustainability principles. The central research gap is the limited integration of manufacturing efficiency, molecular and formulation design, packaging performance, environmental emissions, waste infrastructure and circularity within one critical life-cycle argument. The objectives are to identify technologies with the strongest evidence of net environmental benefit, clarify where trade-offs or evidence limitations prevent general claims, examine how quality and regulatory constraints shape implementation, and develop </w:t>
      </w:r>
      <w:proofErr w:type="spellStart"/>
      <w:r>
        <w:t>prioritised</w:t>
      </w:r>
      <w:proofErr w:type="spellEnd"/>
      <w:r>
        <w:t xml:space="preserve"> directions for research and governance. The review does not evaluate clinical effectiveness, therapeutic choice, pharmacoeconomic value or healthcare delivery </w:t>
      </w:r>
      <w:proofErr w:type="spellStart"/>
      <w:r>
        <w:t>decarbonisation</w:t>
      </w:r>
      <w:proofErr w:type="spellEnd"/>
      <w:r>
        <w:t xml:space="preserve"> except where these directly alter manufacturing, packaging or medicine-waste outcomes.</w:t>
      </w:r>
    </w:p>
    <w:p w14:paraId="5CAC3D83" w14:textId="77777777" w:rsidR="006D5BA8" w:rsidRDefault="004C0246" w:rsidP="000D0281">
      <w:pPr>
        <w:pStyle w:val="Heading1"/>
        <w:jc w:val="both"/>
      </w:pPr>
      <w:r>
        <w:t>2. Methods for Literature Selection</w:t>
      </w:r>
    </w:p>
    <w:p w14:paraId="56C0A481" w14:textId="77777777" w:rsidR="006D5BA8" w:rsidRDefault="004C0246" w:rsidP="000D0281">
      <w:pPr>
        <w:pStyle w:val="Heading2"/>
        <w:jc w:val="both"/>
      </w:pPr>
      <w:r>
        <w:t>2.1 Review Design and Rationale</w:t>
      </w:r>
    </w:p>
    <w:p w14:paraId="3773C181" w14:textId="77777777" w:rsidR="006D5BA8" w:rsidRDefault="004C0246" w:rsidP="000D0281">
      <w:pPr>
        <w:jc w:val="both"/>
      </w:pPr>
      <w:r>
        <w:t xml:space="preserve">A critical narrative review design was selected because the question spans heterogeneous evidence: industrial process metrics, synthetic chemistry, engineering case studies, LCA, packaging science, environmental monitoring, </w:t>
      </w:r>
      <w:proofErr w:type="spellStart"/>
      <w:r>
        <w:t>behavioural</w:t>
      </w:r>
      <w:proofErr w:type="spellEnd"/>
      <w:r>
        <w:t xml:space="preserve"> research and regulation. These literatures use incompatible functional units and outcomes and are not amenable to a single pooled effect estimate. Narrative synthesis nevertheless requires explicit searching, verification and critical appraisal. The review therefore followed principles for transparent narrative review construction, including a defined scope, purposeful evidence selection, attention to conflicting findings and a traceable relationship between claims and sources (Green et al., 2006).</w:t>
      </w:r>
    </w:p>
    <w:p w14:paraId="6ED34721" w14:textId="77777777" w:rsidR="006D5BA8" w:rsidRDefault="004C0246" w:rsidP="000D0281">
      <w:pPr>
        <w:pStyle w:val="Heading2"/>
        <w:jc w:val="both"/>
      </w:pPr>
      <w:r>
        <w:t>2.2 Information Sources</w:t>
      </w:r>
    </w:p>
    <w:p w14:paraId="3A5CB1F4" w14:textId="77777777" w:rsidR="006D5BA8" w:rsidRDefault="004C0246" w:rsidP="000D0281">
      <w:pPr>
        <w:jc w:val="both"/>
      </w:pPr>
      <w:r>
        <w:t xml:space="preserve">Literature discovery used PubMed/MEDLINE, </w:t>
      </w:r>
      <w:proofErr w:type="spellStart"/>
      <w:r>
        <w:t>OpenAlex</w:t>
      </w:r>
      <w:proofErr w:type="spellEnd"/>
      <w:r>
        <w:t>, Semantic Scholar and the Directory of Open Access Journals, supplemented by backward and forward citation searching from highly relevant papers and recent reviews. Searches of official websites were used for current guidance and regulatory documents from the World Health Organization, the European Medicines Agency and the European Union. Publisher and DOI landing pages, PubMed records and institutional repositories were used to verify bibliographic identity, publication details and DOI resolution. Subscription databases for which direct, reproducible access was not available were not represented as searched sources.</w:t>
      </w:r>
    </w:p>
    <w:p w14:paraId="1123A5F3" w14:textId="77777777" w:rsidR="006D5BA8" w:rsidRDefault="004C0246" w:rsidP="000D0281">
      <w:pPr>
        <w:pStyle w:val="Heading2"/>
        <w:jc w:val="both"/>
      </w:pPr>
      <w:r>
        <w:lastRenderedPageBreak/>
        <w:t>2.3 Search Strategy and Search Period</w:t>
      </w:r>
    </w:p>
    <w:p w14:paraId="1FA2199F" w14:textId="77777777" w:rsidR="006D5BA8" w:rsidRDefault="004C0246" w:rsidP="000D0281">
      <w:pPr>
        <w:jc w:val="both"/>
      </w:pPr>
      <w:r>
        <w:t xml:space="preserve">The principal search period was 1 January 2000 to 9 June 2026, reflecting the period in which industrial green-chemistry metrics, green-pharmacy concepts and pharmaceutical LCA became established as linked areas of scholarship. Earlier work was eligible when conceptually necessary, although the final synthesis relied predominantly on literature within the stated period. Search concepts combined terms for pharmaceuticals or APIs with manufacturing, synthesis, formulation, process intensification, continuous manufacturing, solvent selection, catalysis, biocatalysis, mechanochemistry, green chemistry, PMI, LCA, environmental emissions, wastewater, AMR, packaging, blister, vial, bottle, </w:t>
      </w:r>
      <w:proofErr w:type="spellStart"/>
      <w:r>
        <w:t>ecodesign</w:t>
      </w:r>
      <w:proofErr w:type="spellEnd"/>
      <w:r>
        <w:t xml:space="preserve">, recyclability, take-back, unused medicines, disposal and circular economy. Representative combinations included '(pharmaceutical OR API) AND (green chemistry OR sustainable manufacturing OR process mass intensity OR life cycle assessment)', '(pharmaceutical packaging) AND (life cycle assessment OR </w:t>
      </w:r>
      <w:proofErr w:type="spellStart"/>
      <w:r>
        <w:t>ecodesign</w:t>
      </w:r>
      <w:proofErr w:type="spellEnd"/>
      <w:r>
        <w:t xml:space="preserve"> OR recyclable OR end-of-life)', and '(unused medicine OR pharmaceutical waste) AND (take-back OR disposal OR household)'. Searches were iteratively narrowed by technology, outcome and material where broad combinations returned non-pharmaceutical literature.</w:t>
      </w:r>
    </w:p>
    <w:p w14:paraId="28BDA109" w14:textId="77777777" w:rsidR="006D5BA8" w:rsidRDefault="004C0246" w:rsidP="000D0281">
      <w:pPr>
        <w:pStyle w:val="Heading2"/>
        <w:jc w:val="both"/>
      </w:pPr>
      <w:r>
        <w:t>2.4 Eligibility Criteria</w:t>
      </w:r>
    </w:p>
    <w:p w14:paraId="0DD7998F" w14:textId="77777777" w:rsidR="006D5BA8" w:rsidRDefault="004C0246" w:rsidP="000D0281">
      <w:pPr>
        <w:jc w:val="both"/>
      </w:pPr>
      <w:r>
        <w:t xml:space="preserve">Peer-reviewed original studies, critical or systematic reviews, and methodological papers were eligible when they directly addressed environmental performance, resource efficiency, waste prevention, emissions, circularity or end-of-life management in pharmaceutical design, manufacturing or packaging. Authoritative guidance and legislation were included when required to interpret implementation constraints. Studies were </w:t>
      </w:r>
      <w:proofErr w:type="spellStart"/>
      <w:r>
        <w:t>prioritised</w:t>
      </w:r>
      <w:proofErr w:type="spellEnd"/>
      <w:r>
        <w:t xml:space="preserve"> when methods, system boundaries, functional units or process assumptions were sufficiently described to permit critical interpretation. English-language publications were used. Non-scholarly promotional material, unverifiable references, patents presented as effectiveness evidence, conference abstracts lacking adequate methods, and sources with incomplete bibliographic identity were excluded. General packaging or chemical-manufacturing literature was retained only where the principle was necessary to interpret pharmaceutical evidence and no closer pharmaceutical source was available.</w:t>
      </w:r>
    </w:p>
    <w:p w14:paraId="232ABAC6" w14:textId="77777777" w:rsidR="006D5BA8" w:rsidRDefault="004C0246" w:rsidP="000D0281">
      <w:pPr>
        <w:pStyle w:val="Heading2"/>
        <w:jc w:val="both"/>
      </w:pPr>
      <w:r>
        <w:t>2.5 Screening, Duplicate Handling and Study Selection</w:t>
      </w:r>
    </w:p>
    <w:p w14:paraId="394BFDC5" w14:textId="77777777" w:rsidR="006D5BA8" w:rsidRDefault="004C0246" w:rsidP="000D0281">
      <w:pPr>
        <w:jc w:val="both"/>
      </w:pPr>
      <w:r>
        <w:t>Search results were screened first for title and abstract relevance, followed by full-text or detailed-record assessment when available. Duplicate citations encountered across indexes and publisher pages were consolidated by title, author, year and DOI. Selection was purposive rather than exhaustive: studies were retained for conceptual importance, methodological quality, commercial or environmental relevance, evidence of scale-up, ability to illuminate conflicting findings, or contribution to a life-cycle trade-off. No screening counts or PRISMA-style flow diagram are reported because a documented systematic-review enumeration was not performed. Sources whose metadata or DOI could not be verified were not used.</w:t>
      </w:r>
    </w:p>
    <w:p w14:paraId="33533F1E" w14:textId="77777777" w:rsidR="006D5BA8" w:rsidRDefault="004C0246" w:rsidP="000D0281">
      <w:pPr>
        <w:pStyle w:val="Heading2"/>
        <w:jc w:val="both"/>
      </w:pPr>
      <w:r>
        <w:t>2.6 Critical Appraisal and Evidence Synthesis</w:t>
      </w:r>
    </w:p>
    <w:p w14:paraId="1BA91F7E" w14:textId="77777777" w:rsidR="006D5BA8" w:rsidRDefault="004C0246" w:rsidP="000D0281">
      <w:pPr>
        <w:jc w:val="both"/>
      </w:pPr>
      <w:r>
        <w:t xml:space="preserve">Evidence was appraised according to study design, transparency of system boundaries, representativeness of industrial scale, completeness of resource or emissions accounting, suitability of comparators, sensitivity analysis, geographic transferability and consistency with independent evidence. For LCA studies, particular attention was paid to functional-unit definition, treatment of avoided burdens, end-of-life assumptions and whether medicine protection or wastage was held constant. For process studies, PMI and yield claims were interpreted alongside solvent, energy, safety and scale. Environmental monitoring studies were examined for sampling context and limits to </w:t>
      </w:r>
      <w:proofErr w:type="spellStart"/>
      <w:r>
        <w:t>generalisation</w:t>
      </w:r>
      <w:proofErr w:type="spellEnd"/>
      <w:r>
        <w:t xml:space="preserve">. </w:t>
      </w:r>
      <w:proofErr w:type="spellStart"/>
      <w:r>
        <w:t>Behavioural</w:t>
      </w:r>
      <w:proofErr w:type="spellEnd"/>
      <w:r>
        <w:t xml:space="preserve"> and take-back evidence was interpreted with regard to intervention design and local infrastructure. Themes were developed around prevention, process intensification, environmental interface, packaging function and material circularity, and disposal governance. Conclusions were calibrated to the strength and breadth of the underlying evidence rather than to the number of publications reporting a similar direction of effect.</w:t>
      </w:r>
    </w:p>
    <w:p w14:paraId="4229E417" w14:textId="77777777" w:rsidR="006D5BA8" w:rsidRDefault="004C0246" w:rsidP="000D0281">
      <w:pPr>
        <w:pStyle w:val="Heading1"/>
        <w:jc w:val="both"/>
      </w:pPr>
      <w:r>
        <w:lastRenderedPageBreak/>
        <w:t>3. Sustainability as a Life-cycle Design Problem</w:t>
      </w:r>
    </w:p>
    <w:p w14:paraId="5C200C7D" w14:textId="77777777" w:rsidR="006D5BA8" w:rsidRDefault="004C0246" w:rsidP="000D0281">
      <w:pPr>
        <w:jc w:val="both"/>
      </w:pPr>
      <w:r>
        <w:t xml:space="preserve">Sustainability in pharmaceuticals is best understood as constrained </w:t>
      </w:r>
      <w:proofErr w:type="spellStart"/>
      <w:r>
        <w:t>optimisation</w:t>
      </w:r>
      <w:proofErr w:type="spellEnd"/>
      <w:r>
        <w:t>. The non-negotiable function is safe and effective delivery of a medicine of assured quality; environmental improvement is credible only when that function is preserved. This framing avoids a common category error in which a material or process is judged 'green' on one attribute without asking whether the same product function is delivered. It also explains why metrics operate at different decision levels. Atom economy and reaction yield can diagnose chemical efficiency, PMI reveals total material throughput, solvent guides integrate hazard and operational considerations, and LCA widens the boundary to upstream production, energy, transport and end-of-life. None is a universal substitute for the others (Anastas &amp; Eghbali, 2010; Jimenez-Gonzalez et al., 2011; Monteith et al., 2020).</w:t>
      </w:r>
    </w:p>
    <w:p w14:paraId="548BF1D9" w14:textId="77777777" w:rsidR="006D5BA8" w:rsidRDefault="004C0246" w:rsidP="000D0281">
      <w:pPr>
        <w:jc w:val="both"/>
      </w:pPr>
      <w:r>
        <w:t>PMI became influential in pharmaceutical process development because it is simple, sensitive to solvent and water use, and readily connected to operational decisions. Unlike reaction-level atom economy, it captures process materials that dominate real manufacturing, including work-up solvents, aqueous washes and purification inputs. Complexity-based benchmarking further helps distinguish poor performance caused by avoidable process choices from the inherently higher resource demand of structurally complex products (Jimenez-Gonzalez et al., 2011; Kjell et al., 2013). Yet mass intensity has known blind spots. Equal kilograms of materials can have very different toxicity, scarcity, energy and upstream burdens; counting water may overwhelm comparisons without improving environmental discrimination; and a lower PMI route can require more heating, cooling or hazardous chemistry. Sheldon (2023) similarly argues that waste metrics are useful when they motivate prevention but become misleading when detached from waste quality and broader environmental consequence.</w:t>
      </w:r>
    </w:p>
    <w:p w14:paraId="17C9F4E4" w14:textId="77777777" w:rsidR="006D5BA8" w:rsidRDefault="004C0246" w:rsidP="000D0281">
      <w:pPr>
        <w:jc w:val="both"/>
      </w:pPr>
      <w:r>
        <w:t xml:space="preserve">LCA addresses some of these limitations by connecting inputs and emissions across defined life-cycle stages, but its apparent comprehensiveness can conceal uncertainty. Pharmaceutical inventories are often proprietary, scale dependent and incomplete, forcing analysts to use generic data or simplified assumptions. De Soete et al. (2014) showed both the value and complexity of environmental sustainability assessment for pharmaceuticals and the need for practicable simplification. Packaging LCAs likewise demonstrate that results can change with assumptions about recycling rates, transport, </w:t>
      </w:r>
      <w:proofErr w:type="spellStart"/>
      <w:r>
        <w:t>sterilisation</w:t>
      </w:r>
      <w:proofErr w:type="spellEnd"/>
      <w:r>
        <w:t xml:space="preserve"> or allocation (Bassani et al., 2022a, 2024). For this reason, LCA is most defensible as a structured comparison under explicit assumptions, not as a single immutable environmental ranking.</w:t>
      </w:r>
    </w:p>
    <w:p w14:paraId="39C48740" w14:textId="77777777" w:rsidR="006D5BA8" w:rsidRDefault="004C0246" w:rsidP="000D0281">
      <w:pPr>
        <w:jc w:val="both"/>
      </w:pPr>
      <w:r>
        <w:t>Hazard and environmental fate add dimensions that neither PMI nor conventional carbon footprints capture adequately. Solvent-selection frameworks combine safety, health and environmental criteria and can steer chemists away from highly hazardous or regulatory-constrained solvents before a route is locked in (</w:t>
      </w:r>
      <w:proofErr w:type="spellStart"/>
      <w:r>
        <w:t>Diorazio</w:t>
      </w:r>
      <w:proofErr w:type="spellEnd"/>
      <w:r>
        <w:t xml:space="preserve"> et al., 2016; Henderson et al., 2011; Prat et al., 2016). Greener-drug design asks a more difficult question: whether APIs themselves can be selected for lower persistence or hazard after use. </w:t>
      </w:r>
      <w:proofErr w:type="spellStart"/>
      <w:r>
        <w:t>Kümmerer</w:t>
      </w:r>
      <w:proofErr w:type="spellEnd"/>
      <w:r>
        <w:t xml:space="preserve"> (2007) framed this as life-cycle engineering at the molecular level, while more recent industry interviews indicate that environmental parameters could, in principle, enter several discovery decisions but compete with potency, pharmacokinetics, safety and development time (</w:t>
      </w:r>
      <w:proofErr w:type="spellStart"/>
      <w:r>
        <w:t>Puhlmann</w:t>
      </w:r>
      <w:proofErr w:type="spellEnd"/>
      <w:r>
        <w:t xml:space="preserve"> et al., 2024; Vidaurre et al., 2024). The evidence therefore supports adding environmental properties to multi-parameter design rather than imposing an isolated 'biodegradability first' criterion.</w:t>
      </w:r>
    </w:p>
    <w:p w14:paraId="43857379" w14:textId="77777777" w:rsidR="006D5BA8" w:rsidRDefault="004C0246" w:rsidP="000D0281">
      <w:pPr>
        <w:jc w:val="both"/>
      </w:pPr>
      <w:r>
        <w:t xml:space="preserve">A mature decision architecture should consequently combine a screening hierarchy. Early discovery can use qualitative hazard and fate flags; route development can deploy solvent guides and PMI; scale-up can add energy, water and emissions inventories; and product or packaging decisions can be tested through comparative LCA. This layered approach is more robust than seeking a single sustainability score because it preserves information about why one option performs better and where trade-offs remain. Table 1 </w:t>
      </w:r>
      <w:proofErr w:type="spellStart"/>
      <w:r>
        <w:t>summarises</w:t>
      </w:r>
      <w:proofErr w:type="spellEnd"/>
      <w:r>
        <w:t xml:space="preserve"> the principal tools and the decisions for which they are most informative.</w:t>
      </w:r>
    </w:p>
    <w:p w14:paraId="71ABBEE6" w14:textId="77777777" w:rsidR="006D5BA8" w:rsidRDefault="004C0246" w:rsidP="000D0281">
      <w:pPr>
        <w:keepNext/>
        <w:jc w:val="both"/>
      </w:pPr>
      <w:r>
        <w:rPr>
          <w:b/>
        </w:rPr>
        <w:lastRenderedPageBreak/>
        <w:t>Table 1. Decision tools for pharmaceutical sustainability and their interpretive limits</w:t>
      </w:r>
    </w:p>
    <w:tbl>
      <w:tblPr>
        <w:tblW w:w="0" w:type="auto"/>
        <w:jc w:val="center"/>
        <w:tblBorders>
          <w:top w:val="single" w:sz="5" w:space="0" w:color="B7C7BF"/>
          <w:left w:val="single" w:sz="5" w:space="0" w:color="B7C7BF"/>
          <w:bottom w:val="single" w:sz="5" w:space="0" w:color="B7C7BF"/>
          <w:right w:val="single" w:sz="5" w:space="0" w:color="B7C7BF"/>
          <w:insideH w:val="single" w:sz="5" w:space="0" w:color="B7C7BF"/>
          <w:insideV w:val="single" w:sz="5" w:space="0" w:color="B7C7BF"/>
        </w:tblBorders>
        <w:tblLayout w:type="fixed"/>
        <w:tblLook w:val="04A0" w:firstRow="1" w:lastRow="0" w:firstColumn="1" w:lastColumn="0" w:noHBand="0" w:noVBand="1"/>
      </w:tblPr>
      <w:tblGrid>
        <w:gridCol w:w="1512"/>
        <w:gridCol w:w="1728"/>
        <w:gridCol w:w="2088"/>
        <w:gridCol w:w="2592"/>
        <w:gridCol w:w="1800"/>
      </w:tblGrid>
      <w:tr w:rsidR="006D5BA8" w14:paraId="24E574E0" w14:textId="77777777">
        <w:trPr>
          <w:tblHeader/>
          <w:jc w:val="center"/>
        </w:trPr>
        <w:tc>
          <w:tcPr>
            <w:tcW w:w="1512" w:type="dxa"/>
            <w:shd w:val="clear" w:color="auto" w:fill="DCE8E2"/>
            <w:tcMar>
              <w:top w:w="80" w:type="dxa"/>
              <w:left w:w="80" w:type="dxa"/>
              <w:bottom w:w="80" w:type="dxa"/>
              <w:right w:w="80" w:type="dxa"/>
            </w:tcMar>
            <w:vAlign w:val="center"/>
          </w:tcPr>
          <w:p w14:paraId="64C76481" w14:textId="77777777" w:rsidR="006D5BA8" w:rsidRDefault="004C0246" w:rsidP="000D0281">
            <w:pPr>
              <w:pStyle w:val="TableText"/>
              <w:jc w:val="both"/>
            </w:pPr>
            <w:r>
              <w:rPr>
                <w:b/>
              </w:rPr>
              <w:t>Tool or concept</w:t>
            </w:r>
          </w:p>
        </w:tc>
        <w:tc>
          <w:tcPr>
            <w:tcW w:w="1728" w:type="dxa"/>
            <w:shd w:val="clear" w:color="auto" w:fill="DCE8E2"/>
            <w:tcMar>
              <w:top w:w="80" w:type="dxa"/>
              <w:left w:w="80" w:type="dxa"/>
              <w:bottom w:w="80" w:type="dxa"/>
              <w:right w:w="80" w:type="dxa"/>
            </w:tcMar>
            <w:vAlign w:val="center"/>
          </w:tcPr>
          <w:p w14:paraId="506798E1" w14:textId="77777777" w:rsidR="006D5BA8" w:rsidRDefault="004C0246" w:rsidP="000D0281">
            <w:pPr>
              <w:pStyle w:val="TableText"/>
              <w:jc w:val="both"/>
            </w:pPr>
            <w:r>
              <w:rPr>
                <w:b/>
              </w:rPr>
              <w:t>Primary decision value</w:t>
            </w:r>
          </w:p>
        </w:tc>
        <w:tc>
          <w:tcPr>
            <w:tcW w:w="2088" w:type="dxa"/>
            <w:shd w:val="clear" w:color="auto" w:fill="DCE8E2"/>
            <w:tcMar>
              <w:top w:w="80" w:type="dxa"/>
              <w:left w:w="80" w:type="dxa"/>
              <w:bottom w:w="80" w:type="dxa"/>
              <w:right w:w="80" w:type="dxa"/>
            </w:tcMar>
            <w:vAlign w:val="center"/>
          </w:tcPr>
          <w:p w14:paraId="3160DEC9" w14:textId="77777777" w:rsidR="006D5BA8" w:rsidRDefault="004C0246" w:rsidP="000D0281">
            <w:pPr>
              <w:pStyle w:val="TableText"/>
              <w:jc w:val="both"/>
            </w:pPr>
            <w:r>
              <w:rPr>
                <w:b/>
              </w:rPr>
              <w:t>Strengths</w:t>
            </w:r>
          </w:p>
        </w:tc>
        <w:tc>
          <w:tcPr>
            <w:tcW w:w="2592" w:type="dxa"/>
            <w:shd w:val="clear" w:color="auto" w:fill="DCE8E2"/>
            <w:tcMar>
              <w:top w:w="80" w:type="dxa"/>
              <w:left w:w="80" w:type="dxa"/>
              <w:bottom w:w="80" w:type="dxa"/>
              <w:right w:w="80" w:type="dxa"/>
            </w:tcMar>
            <w:vAlign w:val="center"/>
          </w:tcPr>
          <w:p w14:paraId="6C4F7FD6" w14:textId="77777777" w:rsidR="006D5BA8" w:rsidRDefault="004C0246" w:rsidP="000D0281">
            <w:pPr>
              <w:pStyle w:val="TableText"/>
              <w:jc w:val="both"/>
            </w:pPr>
            <w:r>
              <w:rPr>
                <w:b/>
              </w:rPr>
              <w:t>Critical limitations</w:t>
            </w:r>
          </w:p>
        </w:tc>
        <w:tc>
          <w:tcPr>
            <w:tcW w:w="1800" w:type="dxa"/>
            <w:shd w:val="clear" w:color="auto" w:fill="DCE8E2"/>
            <w:tcMar>
              <w:top w:w="80" w:type="dxa"/>
              <w:left w:w="80" w:type="dxa"/>
              <w:bottom w:w="80" w:type="dxa"/>
              <w:right w:w="80" w:type="dxa"/>
            </w:tcMar>
            <w:vAlign w:val="center"/>
          </w:tcPr>
          <w:p w14:paraId="40E82523" w14:textId="77777777" w:rsidR="006D5BA8" w:rsidRDefault="004C0246" w:rsidP="000D0281">
            <w:pPr>
              <w:pStyle w:val="TableText"/>
              <w:jc w:val="both"/>
            </w:pPr>
            <w:r>
              <w:rPr>
                <w:b/>
              </w:rPr>
              <w:t>Supporting references</w:t>
            </w:r>
          </w:p>
        </w:tc>
      </w:tr>
      <w:tr w:rsidR="006D5BA8" w14:paraId="3267AC7C" w14:textId="77777777">
        <w:trPr>
          <w:cantSplit/>
          <w:jc w:val="center"/>
        </w:trPr>
        <w:tc>
          <w:tcPr>
            <w:tcW w:w="1512" w:type="dxa"/>
            <w:tcMar>
              <w:top w:w="80" w:type="dxa"/>
              <w:left w:w="80" w:type="dxa"/>
              <w:bottom w:w="80" w:type="dxa"/>
              <w:right w:w="80" w:type="dxa"/>
            </w:tcMar>
            <w:vAlign w:val="center"/>
          </w:tcPr>
          <w:p w14:paraId="11C181F4" w14:textId="77777777" w:rsidR="006D5BA8" w:rsidRDefault="004C0246" w:rsidP="000D0281">
            <w:pPr>
              <w:pStyle w:val="TableText"/>
              <w:jc w:val="both"/>
            </w:pPr>
            <w:r>
              <w:t>Green chemistry principles</w:t>
            </w:r>
          </w:p>
        </w:tc>
        <w:tc>
          <w:tcPr>
            <w:tcW w:w="1728" w:type="dxa"/>
            <w:tcMar>
              <w:top w:w="80" w:type="dxa"/>
              <w:left w:w="80" w:type="dxa"/>
              <w:bottom w:w="80" w:type="dxa"/>
              <w:right w:w="80" w:type="dxa"/>
            </w:tcMar>
            <w:vAlign w:val="center"/>
          </w:tcPr>
          <w:p w14:paraId="47A3398B" w14:textId="77777777" w:rsidR="006D5BA8" w:rsidRDefault="004C0246" w:rsidP="000D0281">
            <w:pPr>
              <w:pStyle w:val="TableText"/>
              <w:jc w:val="both"/>
            </w:pPr>
            <w:r>
              <w:t>Early route and process conception</w:t>
            </w:r>
          </w:p>
        </w:tc>
        <w:tc>
          <w:tcPr>
            <w:tcW w:w="2088" w:type="dxa"/>
            <w:tcMar>
              <w:top w:w="80" w:type="dxa"/>
              <w:left w:w="80" w:type="dxa"/>
              <w:bottom w:w="80" w:type="dxa"/>
              <w:right w:w="80" w:type="dxa"/>
            </w:tcMar>
            <w:vAlign w:val="center"/>
          </w:tcPr>
          <w:p w14:paraId="5BE36369" w14:textId="77777777" w:rsidR="006D5BA8" w:rsidRDefault="004C0246" w:rsidP="000D0281">
            <w:pPr>
              <w:pStyle w:val="TableText"/>
              <w:jc w:val="both"/>
            </w:pPr>
            <w:r>
              <w:t>Prevention-oriented; integrates hazard, efficiency and safer design</w:t>
            </w:r>
          </w:p>
        </w:tc>
        <w:tc>
          <w:tcPr>
            <w:tcW w:w="2592" w:type="dxa"/>
            <w:tcMar>
              <w:top w:w="80" w:type="dxa"/>
              <w:left w:w="80" w:type="dxa"/>
              <w:bottom w:w="80" w:type="dxa"/>
              <w:right w:w="80" w:type="dxa"/>
            </w:tcMar>
            <w:vAlign w:val="center"/>
          </w:tcPr>
          <w:p w14:paraId="3D698BC9" w14:textId="77777777" w:rsidR="006D5BA8" w:rsidRDefault="004C0246" w:rsidP="000D0281">
            <w:pPr>
              <w:pStyle w:val="TableText"/>
              <w:jc w:val="both"/>
            </w:pPr>
            <w:r>
              <w:t>Qualitative unless paired with measurable indicators; principles can conflict in real processes</w:t>
            </w:r>
          </w:p>
        </w:tc>
        <w:tc>
          <w:tcPr>
            <w:tcW w:w="1800" w:type="dxa"/>
            <w:tcMar>
              <w:top w:w="80" w:type="dxa"/>
              <w:left w:w="80" w:type="dxa"/>
              <w:bottom w:w="80" w:type="dxa"/>
              <w:right w:w="80" w:type="dxa"/>
            </w:tcMar>
            <w:vAlign w:val="center"/>
          </w:tcPr>
          <w:p w14:paraId="1524734A" w14:textId="77777777" w:rsidR="006D5BA8" w:rsidRDefault="004C0246" w:rsidP="000D0281">
            <w:pPr>
              <w:pStyle w:val="TableText"/>
              <w:jc w:val="both"/>
            </w:pPr>
            <w:r>
              <w:t>Anastas &amp; Eghbali (2010); Dunn (2012)</w:t>
            </w:r>
          </w:p>
        </w:tc>
      </w:tr>
      <w:tr w:rsidR="006D5BA8" w14:paraId="1E2EB225" w14:textId="77777777">
        <w:trPr>
          <w:cantSplit/>
          <w:jc w:val="center"/>
        </w:trPr>
        <w:tc>
          <w:tcPr>
            <w:tcW w:w="1512" w:type="dxa"/>
            <w:shd w:val="clear" w:color="auto" w:fill="F6F9F7"/>
            <w:tcMar>
              <w:top w:w="80" w:type="dxa"/>
              <w:left w:w="80" w:type="dxa"/>
              <w:bottom w:w="80" w:type="dxa"/>
              <w:right w:w="80" w:type="dxa"/>
            </w:tcMar>
            <w:vAlign w:val="center"/>
          </w:tcPr>
          <w:p w14:paraId="4E50D947" w14:textId="77777777" w:rsidR="006D5BA8" w:rsidRDefault="004C0246" w:rsidP="000D0281">
            <w:pPr>
              <w:pStyle w:val="TableText"/>
              <w:jc w:val="both"/>
            </w:pPr>
            <w:r>
              <w:t>Process mass intensity (PMI)</w:t>
            </w:r>
          </w:p>
        </w:tc>
        <w:tc>
          <w:tcPr>
            <w:tcW w:w="1728" w:type="dxa"/>
            <w:shd w:val="clear" w:color="auto" w:fill="F6F9F7"/>
            <w:tcMar>
              <w:top w:w="80" w:type="dxa"/>
              <w:left w:w="80" w:type="dxa"/>
              <w:bottom w:w="80" w:type="dxa"/>
              <w:right w:w="80" w:type="dxa"/>
            </w:tcMar>
            <w:vAlign w:val="center"/>
          </w:tcPr>
          <w:p w14:paraId="0EAC5688" w14:textId="77777777" w:rsidR="006D5BA8" w:rsidRDefault="004C0246" w:rsidP="000D0281">
            <w:pPr>
              <w:pStyle w:val="TableText"/>
              <w:jc w:val="both"/>
            </w:pPr>
            <w:r>
              <w:t>Material-efficiency benchmarking from development to manufacture</w:t>
            </w:r>
          </w:p>
        </w:tc>
        <w:tc>
          <w:tcPr>
            <w:tcW w:w="2088" w:type="dxa"/>
            <w:shd w:val="clear" w:color="auto" w:fill="F6F9F7"/>
            <w:tcMar>
              <w:top w:w="80" w:type="dxa"/>
              <w:left w:w="80" w:type="dxa"/>
              <w:bottom w:w="80" w:type="dxa"/>
              <w:right w:w="80" w:type="dxa"/>
            </w:tcMar>
            <w:vAlign w:val="center"/>
          </w:tcPr>
          <w:p w14:paraId="04805BCD" w14:textId="77777777" w:rsidR="006D5BA8" w:rsidRDefault="004C0246" w:rsidP="000D0281">
            <w:pPr>
              <w:pStyle w:val="TableText"/>
              <w:jc w:val="both"/>
            </w:pPr>
            <w:r>
              <w:t>Simple; sensitive to solvents, water and work-up burden; supports target setting</w:t>
            </w:r>
          </w:p>
        </w:tc>
        <w:tc>
          <w:tcPr>
            <w:tcW w:w="2592" w:type="dxa"/>
            <w:shd w:val="clear" w:color="auto" w:fill="F6F9F7"/>
            <w:tcMar>
              <w:top w:w="80" w:type="dxa"/>
              <w:left w:w="80" w:type="dxa"/>
              <w:bottom w:w="80" w:type="dxa"/>
              <w:right w:w="80" w:type="dxa"/>
            </w:tcMar>
            <w:vAlign w:val="center"/>
          </w:tcPr>
          <w:p w14:paraId="4B4E8A62" w14:textId="77777777" w:rsidR="006D5BA8" w:rsidRDefault="004C0246" w:rsidP="000D0281">
            <w:pPr>
              <w:pStyle w:val="TableText"/>
              <w:jc w:val="both"/>
            </w:pPr>
            <w:r>
              <w:t>Does not intrinsically weight toxicity, scarcity or energy; boundary choices matter</w:t>
            </w:r>
          </w:p>
        </w:tc>
        <w:tc>
          <w:tcPr>
            <w:tcW w:w="1800" w:type="dxa"/>
            <w:shd w:val="clear" w:color="auto" w:fill="F6F9F7"/>
            <w:tcMar>
              <w:top w:w="80" w:type="dxa"/>
              <w:left w:w="80" w:type="dxa"/>
              <w:bottom w:w="80" w:type="dxa"/>
              <w:right w:w="80" w:type="dxa"/>
            </w:tcMar>
            <w:vAlign w:val="center"/>
          </w:tcPr>
          <w:p w14:paraId="1F1FB34F" w14:textId="77777777" w:rsidR="006D5BA8" w:rsidRDefault="004C0246" w:rsidP="000D0281">
            <w:pPr>
              <w:pStyle w:val="TableText"/>
              <w:jc w:val="both"/>
            </w:pPr>
            <w:r>
              <w:t>Jimenez-Gonzalez et al. (2011); Kjell et al. (2013); Monteith et al. (2020)</w:t>
            </w:r>
          </w:p>
        </w:tc>
      </w:tr>
      <w:tr w:rsidR="006D5BA8" w14:paraId="6798F7C0" w14:textId="77777777">
        <w:trPr>
          <w:cantSplit/>
          <w:jc w:val="center"/>
        </w:trPr>
        <w:tc>
          <w:tcPr>
            <w:tcW w:w="1512" w:type="dxa"/>
            <w:tcMar>
              <w:top w:w="80" w:type="dxa"/>
              <w:left w:w="80" w:type="dxa"/>
              <w:bottom w:w="80" w:type="dxa"/>
              <w:right w:w="80" w:type="dxa"/>
            </w:tcMar>
            <w:vAlign w:val="center"/>
          </w:tcPr>
          <w:p w14:paraId="0075041F" w14:textId="77777777" w:rsidR="006D5BA8" w:rsidRDefault="004C0246" w:rsidP="000D0281">
            <w:pPr>
              <w:pStyle w:val="TableText"/>
              <w:jc w:val="both"/>
            </w:pPr>
            <w:r>
              <w:t>Solvent selection guides</w:t>
            </w:r>
          </w:p>
        </w:tc>
        <w:tc>
          <w:tcPr>
            <w:tcW w:w="1728" w:type="dxa"/>
            <w:tcMar>
              <w:top w:w="80" w:type="dxa"/>
              <w:left w:w="80" w:type="dxa"/>
              <w:bottom w:w="80" w:type="dxa"/>
              <w:right w:w="80" w:type="dxa"/>
            </w:tcMar>
            <w:vAlign w:val="center"/>
          </w:tcPr>
          <w:p w14:paraId="242BC21A" w14:textId="77777777" w:rsidR="006D5BA8" w:rsidRDefault="004C0246" w:rsidP="000D0281">
            <w:pPr>
              <w:pStyle w:val="TableText"/>
              <w:jc w:val="both"/>
            </w:pPr>
            <w:r>
              <w:t>Solvent screening and substitution</w:t>
            </w:r>
          </w:p>
        </w:tc>
        <w:tc>
          <w:tcPr>
            <w:tcW w:w="2088" w:type="dxa"/>
            <w:tcMar>
              <w:top w:w="80" w:type="dxa"/>
              <w:left w:w="80" w:type="dxa"/>
              <w:bottom w:w="80" w:type="dxa"/>
              <w:right w:w="80" w:type="dxa"/>
            </w:tcMar>
            <w:vAlign w:val="center"/>
          </w:tcPr>
          <w:p w14:paraId="3DC212B3" w14:textId="77777777" w:rsidR="006D5BA8" w:rsidRDefault="004C0246" w:rsidP="000D0281">
            <w:pPr>
              <w:pStyle w:val="TableText"/>
              <w:jc w:val="both"/>
            </w:pPr>
            <w:r>
              <w:t>Integrates safety, health, environmental and regulatory criteria; practical for chemists</w:t>
            </w:r>
          </w:p>
        </w:tc>
        <w:tc>
          <w:tcPr>
            <w:tcW w:w="2592" w:type="dxa"/>
            <w:tcMar>
              <w:top w:w="80" w:type="dxa"/>
              <w:left w:w="80" w:type="dxa"/>
              <w:bottom w:w="80" w:type="dxa"/>
              <w:right w:w="80" w:type="dxa"/>
            </w:tcMar>
            <w:vAlign w:val="center"/>
          </w:tcPr>
          <w:p w14:paraId="5954254B" w14:textId="77777777" w:rsidR="006D5BA8" w:rsidRDefault="004C0246" w:rsidP="000D0281">
            <w:pPr>
              <w:pStyle w:val="TableText"/>
              <w:jc w:val="both"/>
            </w:pPr>
            <w:r>
              <w:t>Rankings depend on criteria and data; substitution can alter yield, separation or energy demand</w:t>
            </w:r>
          </w:p>
        </w:tc>
        <w:tc>
          <w:tcPr>
            <w:tcW w:w="1800" w:type="dxa"/>
            <w:tcMar>
              <w:top w:w="80" w:type="dxa"/>
              <w:left w:w="80" w:type="dxa"/>
              <w:bottom w:w="80" w:type="dxa"/>
              <w:right w:w="80" w:type="dxa"/>
            </w:tcMar>
            <w:vAlign w:val="center"/>
          </w:tcPr>
          <w:p w14:paraId="0C27A2B0" w14:textId="77777777" w:rsidR="006D5BA8" w:rsidRDefault="004C0246" w:rsidP="000D0281">
            <w:pPr>
              <w:pStyle w:val="TableText"/>
              <w:jc w:val="both"/>
            </w:pPr>
            <w:r>
              <w:t xml:space="preserve">Henderson et al. (2011); </w:t>
            </w:r>
            <w:proofErr w:type="spellStart"/>
            <w:r>
              <w:t>Diorazio</w:t>
            </w:r>
            <w:proofErr w:type="spellEnd"/>
            <w:r>
              <w:t xml:space="preserve"> et al. (2016); Prat et al. (2016)</w:t>
            </w:r>
          </w:p>
        </w:tc>
      </w:tr>
      <w:tr w:rsidR="006D5BA8" w14:paraId="37363D1E" w14:textId="77777777">
        <w:trPr>
          <w:cantSplit/>
          <w:jc w:val="center"/>
        </w:trPr>
        <w:tc>
          <w:tcPr>
            <w:tcW w:w="1512" w:type="dxa"/>
            <w:shd w:val="clear" w:color="auto" w:fill="F6F9F7"/>
            <w:tcMar>
              <w:top w:w="80" w:type="dxa"/>
              <w:left w:w="80" w:type="dxa"/>
              <w:bottom w:w="80" w:type="dxa"/>
              <w:right w:w="80" w:type="dxa"/>
            </w:tcMar>
            <w:vAlign w:val="center"/>
          </w:tcPr>
          <w:p w14:paraId="72657B54" w14:textId="77777777" w:rsidR="006D5BA8" w:rsidRDefault="004C0246" w:rsidP="000D0281">
            <w:pPr>
              <w:pStyle w:val="TableText"/>
              <w:jc w:val="both"/>
            </w:pPr>
            <w:r>
              <w:t>Life cycle assessment (LCA)</w:t>
            </w:r>
          </w:p>
        </w:tc>
        <w:tc>
          <w:tcPr>
            <w:tcW w:w="1728" w:type="dxa"/>
            <w:shd w:val="clear" w:color="auto" w:fill="F6F9F7"/>
            <w:tcMar>
              <w:top w:w="80" w:type="dxa"/>
              <w:left w:w="80" w:type="dxa"/>
              <w:bottom w:w="80" w:type="dxa"/>
              <w:right w:w="80" w:type="dxa"/>
            </w:tcMar>
            <w:vAlign w:val="center"/>
          </w:tcPr>
          <w:p w14:paraId="3A394C03" w14:textId="77777777" w:rsidR="006D5BA8" w:rsidRDefault="004C0246" w:rsidP="000D0281">
            <w:pPr>
              <w:pStyle w:val="TableText"/>
              <w:jc w:val="both"/>
            </w:pPr>
            <w:r>
              <w:t>Cross-stage comparison of routes, products and packaging</w:t>
            </w:r>
          </w:p>
        </w:tc>
        <w:tc>
          <w:tcPr>
            <w:tcW w:w="2088" w:type="dxa"/>
            <w:shd w:val="clear" w:color="auto" w:fill="F6F9F7"/>
            <w:tcMar>
              <w:top w:w="80" w:type="dxa"/>
              <w:left w:w="80" w:type="dxa"/>
              <w:bottom w:w="80" w:type="dxa"/>
              <w:right w:w="80" w:type="dxa"/>
            </w:tcMar>
            <w:vAlign w:val="center"/>
          </w:tcPr>
          <w:p w14:paraId="4325EABA" w14:textId="77777777" w:rsidR="006D5BA8" w:rsidRDefault="004C0246" w:rsidP="000D0281">
            <w:pPr>
              <w:pStyle w:val="TableText"/>
              <w:jc w:val="both"/>
            </w:pPr>
            <w:r>
              <w:t>Detects burden shifting; can include upstream and end-of-life effects</w:t>
            </w:r>
          </w:p>
        </w:tc>
        <w:tc>
          <w:tcPr>
            <w:tcW w:w="2592" w:type="dxa"/>
            <w:shd w:val="clear" w:color="auto" w:fill="F6F9F7"/>
            <w:tcMar>
              <w:top w:w="80" w:type="dxa"/>
              <w:left w:w="80" w:type="dxa"/>
              <w:bottom w:w="80" w:type="dxa"/>
              <w:right w:w="80" w:type="dxa"/>
            </w:tcMar>
            <w:vAlign w:val="center"/>
          </w:tcPr>
          <w:p w14:paraId="20AAC108" w14:textId="77777777" w:rsidR="006D5BA8" w:rsidRDefault="004C0246" w:rsidP="000D0281">
            <w:pPr>
              <w:pStyle w:val="TableText"/>
              <w:jc w:val="both"/>
            </w:pPr>
            <w:r>
              <w:t>Inventory gaps, allocation and end-of-life assumptions can dominate results; functional units must preserve product function</w:t>
            </w:r>
          </w:p>
        </w:tc>
        <w:tc>
          <w:tcPr>
            <w:tcW w:w="1800" w:type="dxa"/>
            <w:shd w:val="clear" w:color="auto" w:fill="F6F9F7"/>
            <w:tcMar>
              <w:top w:w="80" w:type="dxa"/>
              <w:left w:w="80" w:type="dxa"/>
              <w:bottom w:w="80" w:type="dxa"/>
              <w:right w:w="80" w:type="dxa"/>
            </w:tcMar>
            <w:vAlign w:val="center"/>
          </w:tcPr>
          <w:p w14:paraId="51BC131E" w14:textId="77777777" w:rsidR="006D5BA8" w:rsidRDefault="004C0246" w:rsidP="000D0281">
            <w:pPr>
              <w:pStyle w:val="TableText"/>
              <w:jc w:val="both"/>
            </w:pPr>
            <w:r>
              <w:t>De Soete et al. (2014); Bassani et al. (2022a, 2024)</w:t>
            </w:r>
          </w:p>
        </w:tc>
      </w:tr>
      <w:tr w:rsidR="006D5BA8" w14:paraId="09438C4D" w14:textId="77777777">
        <w:trPr>
          <w:cantSplit/>
          <w:jc w:val="center"/>
        </w:trPr>
        <w:tc>
          <w:tcPr>
            <w:tcW w:w="1512" w:type="dxa"/>
            <w:tcMar>
              <w:top w:w="80" w:type="dxa"/>
              <w:left w:w="80" w:type="dxa"/>
              <w:bottom w:w="80" w:type="dxa"/>
              <w:right w:w="80" w:type="dxa"/>
            </w:tcMar>
            <w:vAlign w:val="center"/>
          </w:tcPr>
          <w:p w14:paraId="36D36BDC" w14:textId="77777777" w:rsidR="006D5BA8" w:rsidRDefault="004C0246" w:rsidP="000D0281">
            <w:pPr>
              <w:pStyle w:val="TableText"/>
              <w:jc w:val="both"/>
            </w:pPr>
            <w:r>
              <w:t>Benign/greener-by-design</w:t>
            </w:r>
          </w:p>
        </w:tc>
        <w:tc>
          <w:tcPr>
            <w:tcW w:w="1728" w:type="dxa"/>
            <w:tcMar>
              <w:top w:w="80" w:type="dxa"/>
              <w:left w:w="80" w:type="dxa"/>
              <w:bottom w:w="80" w:type="dxa"/>
              <w:right w:w="80" w:type="dxa"/>
            </w:tcMar>
            <w:vAlign w:val="center"/>
          </w:tcPr>
          <w:p w14:paraId="67DDA718" w14:textId="77777777" w:rsidR="006D5BA8" w:rsidRDefault="004C0246" w:rsidP="000D0281">
            <w:pPr>
              <w:pStyle w:val="TableText"/>
              <w:jc w:val="both"/>
            </w:pPr>
            <w:r>
              <w:t>Molecular and formulation selection</w:t>
            </w:r>
          </w:p>
        </w:tc>
        <w:tc>
          <w:tcPr>
            <w:tcW w:w="2088" w:type="dxa"/>
            <w:tcMar>
              <w:top w:w="80" w:type="dxa"/>
              <w:left w:w="80" w:type="dxa"/>
              <w:bottom w:w="80" w:type="dxa"/>
              <w:right w:w="80" w:type="dxa"/>
            </w:tcMar>
            <w:vAlign w:val="center"/>
          </w:tcPr>
          <w:p w14:paraId="3D602B32" w14:textId="77777777" w:rsidR="006D5BA8" w:rsidRDefault="004C0246" w:rsidP="000D0281">
            <w:pPr>
              <w:pStyle w:val="TableText"/>
              <w:jc w:val="both"/>
            </w:pPr>
            <w:r>
              <w:t>Addresses environmental fate at source and potentially reduces post-use burden</w:t>
            </w:r>
          </w:p>
        </w:tc>
        <w:tc>
          <w:tcPr>
            <w:tcW w:w="2592" w:type="dxa"/>
            <w:tcMar>
              <w:top w:w="80" w:type="dxa"/>
              <w:left w:w="80" w:type="dxa"/>
              <w:bottom w:w="80" w:type="dxa"/>
              <w:right w:w="80" w:type="dxa"/>
            </w:tcMar>
            <w:vAlign w:val="center"/>
          </w:tcPr>
          <w:p w14:paraId="2D65F116" w14:textId="77777777" w:rsidR="006D5BA8" w:rsidRDefault="004C0246" w:rsidP="000D0281">
            <w:pPr>
              <w:pStyle w:val="TableText"/>
              <w:jc w:val="both"/>
            </w:pPr>
            <w:r>
              <w:t>Trade-offs with potency, stability and safety; limited validated screening tools and incentives</w:t>
            </w:r>
          </w:p>
        </w:tc>
        <w:tc>
          <w:tcPr>
            <w:tcW w:w="1800" w:type="dxa"/>
            <w:tcMar>
              <w:top w:w="80" w:type="dxa"/>
              <w:left w:w="80" w:type="dxa"/>
              <w:bottom w:w="80" w:type="dxa"/>
              <w:right w:w="80" w:type="dxa"/>
            </w:tcMar>
            <w:vAlign w:val="center"/>
          </w:tcPr>
          <w:p w14:paraId="3ADE9D41" w14:textId="77777777" w:rsidR="006D5BA8" w:rsidRDefault="004C0246" w:rsidP="000D0281">
            <w:pPr>
              <w:pStyle w:val="TableText"/>
              <w:jc w:val="both"/>
            </w:pPr>
            <w:proofErr w:type="spellStart"/>
            <w:r>
              <w:t>Kümmerer</w:t>
            </w:r>
            <w:proofErr w:type="spellEnd"/>
            <w:r>
              <w:t xml:space="preserve"> (2007); </w:t>
            </w:r>
            <w:proofErr w:type="spellStart"/>
            <w:r>
              <w:t>Puhlmann</w:t>
            </w:r>
            <w:proofErr w:type="spellEnd"/>
            <w:r>
              <w:t xml:space="preserve"> et al. (2024); Vidaurre et al. (2024)</w:t>
            </w:r>
          </w:p>
        </w:tc>
      </w:tr>
    </w:tbl>
    <w:p w14:paraId="7F6A1699" w14:textId="77777777" w:rsidR="006D5BA8" w:rsidRDefault="004C0246" w:rsidP="000D0281">
      <w:pPr>
        <w:spacing w:before="40" w:after="120"/>
        <w:jc w:val="both"/>
      </w:pPr>
      <w:r>
        <w:rPr>
          <w:i/>
        </w:rPr>
        <w:t xml:space="preserve">Note. </w:t>
      </w:r>
      <w:r>
        <w:t>PMI = process mass intensity; LCA = life cycle assessment. These tools are complementary rather than interchangeable.</w:t>
      </w:r>
    </w:p>
    <w:p w14:paraId="23F1E75E" w14:textId="77777777" w:rsidR="006D5BA8" w:rsidRDefault="004C0246" w:rsidP="000D0281">
      <w:pPr>
        <w:pStyle w:val="Heading1"/>
        <w:jc w:val="both"/>
      </w:pPr>
      <w:r>
        <w:t>4. Manufacturing Technologies: Prevention before Treatment</w:t>
      </w:r>
    </w:p>
    <w:p w14:paraId="1245B753" w14:textId="77777777" w:rsidR="006D5BA8" w:rsidRDefault="004C0246" w:rsidP="000D0281">
      <w:pPr>
        <w:pStyle w:val="Heading2"/>
        <w:jc w:val="both"/>
      </w:pPr>
      <w:r>
        <w:t>4.1 Route design, molecular choices and formulation ingredients</w:t>
      </w:r>
    </w:p>
    <w:p w14:paraId="1796AB25" w14:textId="77777777" w:rsidR="006D5BA8" w:rsidRDefault="004C0246" w:rsidP="000D0281">
      <w:pPr>
        <w:jc w:val="both"/>
      </w:pPr>
      <w:r>
        <w:t xml:space="preserve">The greatest opportunity to prevent manufacturing burden often occurs before commercial equipment is selected. Route length, protecting-group strategy, stoichiometry, isolation sequence and physical-form requirements determine how many operations must later be heated, cooled, washed, dried and cleaned. Pharmaceutical-industry priority analyses repeatedly identify more selective transformations, catalytic methods, direct </w:t>
      </w:r>
      <w:proofErr w:type="spellStart"/>
      <w:r>
        <w:t>functionalisation</w:t>
      </w:r>
      <w:proofErr w:type="spellEnd"/>
      <w:r>
        <w:t xml:space="preserve">, improved separations and safer solvents as high-value research areas because improvements at these points propagate through the manufacturing train (Constable et al., 2007; Bryan et al., 2018). The practical implication is that sustainability should enter route selection at the same time as robustness, impurity control, cost and intellectual-property considerations, not as a late plant </w:t>
      </w:r>
      <w:proofErr w:type="spellStart"/>
      <w:r>
        <w:t>optimisation</w:t>
      </w:r>
      <w:proofErr w:type="spellEnd"/>
      <w:r>
        <w:t xml:space="preserve"> exercise.</w:t>
      </w:r>
    </w:p>
    <w:p w14:paraId="0A306291" w14:textId="77777777" w:rsidR="006D5BA8" w:rsidRDefault="004C0246" w:rsidP="000D0281">
      <w:pPr>
        <w:jc w:val="both"/>
      </w:pPr>
      <w:r>
        <w:t xml:space="preserve">The greener-by-design API concept extends prevention to molecular selection. </w:t>
      </w:r>
      <w:proofErr w:type="spellStart"/>
      <w:r>
        <w:t>Puhlmann</w:t>
      </w:r>
      <w:proofErr w:type="spellEnd"/>
      <w:r>
        <w:t xml:space="preserve"> et al. (2024), using interviews with pharmaceutical R&amp;D and environmental experts, found perceived opportunities to introduce environmental properties during discovery, but also substantial knowledge and incentive barriers. Vidaurre et al. (2024) similarly argue for aligning environmental drivers with parameters already used in pharmaceutical R&amp;D rather than treating environmental performance as an external test added after candidate selection. These studies are valuable because they examine </w:t>
      </w:r>
      <w:proofErr w:type="spellStart"/>
      <w:r>
        <w:t>organisational</w:t>
      </w:r>
      <w:proofErr w:type="spellEnd"/>
      <w:r>
        <w:t xml:space="preserve"> feasibility, but they are not evidence that greener APIs can yet be delivered routinely without efficacy or development trade-offs. Their sample base is concentrated in large research-based companies, and the concept requires prospective case studies linking molecular design choices to both clinical performance and measured environmental fate.</w:t>
      </w:r>
    </w:p>
    <w:p w14:paraId="7D420A05" w14:textId="77777777" w:rsidR="006D5BA8" w:rsidRDefault="004C0246" w:rsidP="000D0281">
      <w:pPr>
        <w:jc w:val="both"/>
      </w:pPr>
      <w:r>
        <w:t xml:space="preserve">Formulation ingredients deserve the same scrutiny. Bading et al. (2025) combined cradle-to-gate life-cycle and biodegradation assessment across a set of pharmaceutical excipients and found distinct environmental profiles, illustrating that substances commonly considered 'inactive' can differ materially in upstream burden and environmental degradability. Such evidence supports formulation-level selection guides, but it does not </w:t>
      </w:r>
      <w:r>
        <w:lastRenderedPageBreak/>
        <w:t>justify substituting an excipient solely because it scores better environmentally. Compatibility, dose, patient acceptability, stability, microbial control and manufacturing performance remain essential boundary conditions. The more defensible direction is multi-criteria formulation design in which environmental information is available early enough to influence choices among technically acceptable excipients.</w:t>
      </w:r>
    </w:p>
    <w:p w14:paraId="69876E9B" w14:textId="77777777" w:rsidR="006D5BA8" w:rsidRDefault="004C0246" w:rsidP="000D0281">
      <w:pPr>
        <w:pStyle w:val="Heading2"/>
        <w:jc w:val="both"/>
      </w:pPr>
      <w:r>
        <w:t>4.2 Solvent selection, reduction and recovery</w:t>
      </w:r>
    </w:p>
    <w:p w14:paraId="0BAB15D7" w14:textId="77777777" w:rsidR="006D5BA8" w:rsidRDefault="004C0246" w:rsidP="000D0281">
      <w:pPr>
        <w:jc w:val="both"/>
      </w:pPr>
      <w:r>
        <w:t xml:space="preserve">Solvents frequently dominate pharmaceutical PMI because they are used not only as reaction media but also for extraction, </w:t>
      </w:r>
      <w:proofErr w:type="spellStart"/>
      <w:r>
        <w:t>crystallisation</w:t>
      </w:r>
      <w:proofErr w:type="spellEnd"/>
      <w:r>
        <w:t xml:space="preserve">, washing, chromatography, transfer and cleaning. This makes solvent strategy a high-leverage intervention. Industrial guides evolved from simple preferred/undesirable lists towards frameworks that include safety, health, environmental fate, regulatory constraints and physical properties relevant to recovery and separation (Henderson et al., 2011; </w:t>
      </w:r>
      <w:proofErr w:type="spellStart"/>
      <w:r>
        <w:t>Diorazio</w:t>
      </w:r>
      <w:proofErr w:type="spellEnd"/>
      <w:r>
        <w:t xml:space="preserve"> et al., 2016; Prat et al., 2016). The major strength of these tools is their timing: a chemist can avoid locking a problematic solvent into a route before scale-up costs make substitution difficult.</w:t>
      </w:r>
    </w:p>
    <w:p w14:paraId="3D71914D" w14:textId="77777777" w:rsidR="006D5BA8" w:rsidRDefault="004C0246" w:rsidP="000D0281">
      <w:pPr>
        <w:jc w:val="both"/>
      </w:pPr>
      <w:r>
        <w:t xml:space="preserve">Substitution nevertheless has to be process-specific. A nominally preferable solvent can reduce reaction rate, selectivity or </w:t>
      </w:r>
      <w:proofErr w:type="spellStart"/>
      <w:r>
        <w:t>crystallisation</w:t>
      </w:r>
      <w:proofErr w:type="spellEnd"/>
      <w:r>
        <w:t xml:space="preserve"> performance, increasing solvent volume, energy or waste. Conversely, a solvent with a less </w:t>
      </w:r>
      <w:proofErr w:type="spellStart"/>
      <w:r>
        <w:t>favourable</w:t>
      </w:r>
      <w:proofErr w:type="spellEnd"/>
      <w:r>
        <w:t xml:space="preserve"> hazard profile may be efficiently recovered in a closed system and produce a lower total burden than a supposedly benign alternative used once at high volume. Sustainable solvent management therefore follows a hierarchy: avoid unnecessary solvent use, intensify concentrations where safety and operability permit, select lower-hazard solvents, design separations for reuse, and recover high-volume solvents when recovery energy and impurity control are justified. The broader lesson from solvent guides is that hazard ranking should inform process engineering rather than replace it.</w:t>
      </w:r>
    </w:p>
    <w:p w14:paraId="48E019A7" w14:textId="77777777" w:rsidR="006D5BA8" w:rsidRDefault="004C0246" w:rsidP="000D0281">
      <w:pPr>
        <w:jc w:val="both"/>
      </w:pPr>
      <w:r>
        <w:t xml:space="preserve">Water illustrates the metric problem. Replacing organic solvents with water can reduce flammability and volatile organic emissions, but aqueous operations may demand large volumes, difficult separations and energy-intensive drying or treatment. PMI that counts water equally can </w:t>
      </w:r>
      <w:proofErr w:type="spellStart"/>
      <w:r>
        <w:t>penalise</w:t>
      </w:r>
      <w:proofErr w:type="spellEnd"/>
      <w:r>
        <w:t xml:space="preserve"> such routes, whereas metrics that exclude water can hide a significant resource and wastewater burden. Monteith et al. (2020) cautioned against uncritical use of PMI at discovery level and advocated interpretation suited to the decision context. In pharmaceutical sustainability, the correct question is therefore not whether one solvent category is universally green, but whether the complete solvent-and-separation system lowers material, hazard, energy and emissions burdens while maintaining product quality.</w:t>
      </w:r>
    </w:p>
    <w:p w14:paraId="5844FDF9" w14:textId="77777777" w:rsidR="006D5BA8" w:rsidRDefault="004C0246" w:rsidP="000D0281">
      <w:pPr>
        <w:pStyle w:val="Heading2"/>
        <w:jc w:val="both"/>
      </w:pPr>
      <w:r>
        <w:t>4.3 Catalysis and biocatalysis</w:t>
      </w:r>
    </w:p>
    <w:p w14:paraId="69D01F48" w14:textId="77777777" w:rsidR="006D5BA8" w:rsidRDefault="004C0246" w:rsidP="000D0281">
      <w:pPr>
        <w:jc w:val="both"/>
      </w:pPr>
      <w:r>
        <w:t>Catalysis can reduce stoichiometric reagent demand and enable shorter, more selective routes. Biocatalysis is particularly attractive where enzymes replace protecting-group sequences, heavy-metal reagents or severe reaction conditions, and its role in pharmaceutical synthesis has expanded with enzyme engineering and screening technologies (Clouthier &amp; Pelletier, 2012; Abdelraheem et al., 2019; O’Connell et al., 2024). The strongest sustainability cases arise when biocatalysis changes route architecture rather than merely substituting one catalyst in an otherwise unchanged sequence.</w:t>
      </w:r>
    </w:p>
    <w:p w14:paraId="704D0796" w14:textId="77777777" w:rsidR="006D5BA8" w:rsidRDefault="004C0246" w:rsidP="000D0281">
      <w:pPr>
        <w:jc w:val="both"/>
      </w:pPr>
      <w:r>
        <w:t xml:space="preserve">The environmental case for biocatalysis is not automatic. Enzyme production has upstream material and energy burdens; aqueous </w:t>
      </w:r>
      <w:proofErr w:type="spellStart"/>
      <w:r>
        <w:t>biotransformations</w:t>
      </w:r>
      <w:proofErr w:type="spellEnd"/>
      <w:r>
        <w:t xml:space="preserve"> can create dilute streams; cofactor use, </w:t>
      </w:r>
      <w:proofErr w:type="spellStart"/>
      <w:r>
        <w:t>immobilisation</w:t>
      </w:r>
      <w:proofErr w:type="spellEnd"/>
      <w:r>
        <w:t xml:space="preserve"> and downstream extraction can offset reaction-stage benefits. Sustainability comparisons should therefore include enzyme manufacture, loading, lifetime and downstream processing, and should distinguish laboratory demonstrations from plant-relevant productivity. Even so, the accumulated evidence supports biocatalysis as a mature option for selected transformations rather than an experimental curiosity, especially when high chemo-, regio- or stereoselectivity eliminates additional operations.</w:t>
      </w:r>
    </w:p>
    <w:p w14:paraId="5628FE0D" w14:textId="77777777" w:rsidR="006D5BA8" w:rsidRDefault="004C0246" w:rsidP="000D0281">
      <w:pPr>
        <w:pStyle w:val="Heading2"/>
        <w:jc w:val="both"/>
      </w:pPr>
      <w:r>
        <w:t>4.4 Continuous manufacturing and process intensification</w:t>
      </w:r>
    </w:p>
    <w:p w14:paraId="7DA71C99" w14:textId="77777777" w:rsidR="006D5BA8" w:rsidRDefault="004C0246" w:rsidP="000D0281">
      <w:pPr>
        <w:jc w:val="both"/>
      </w:pPr>
      <w:r>
        <w:t xml:space="preserve">Continuous manufacturing can improve sustainability by intensifying heat and mass transfer, reducing reactor inventories, enabling telescoped operations, shrinking hold-up volumes and improving process </w:t>
      </w:r>
      <w:r>
        <w:lastRenderedPageBreak/>
        <w:t xml:space="preserve">control. Rogers and Jensen (2019) show that continuous technologies can support the aims of green chemistry, particularly when integrated with route redesign rather than used to reproduce an inefficient batch process in smaller equipment. ICH Q13 has also reduced regulatory uncertainty by providing a lifecycle framework for continuous manufacture of drug substances and products (European Medicines Agency [EMA], 2023). Regulatory acceptance is therefore no longer the principal conceptual barrier, although product-specific development and validation </w:t>
      </w:r>
      <w:proofErr w:type="gramStart"/>
      <w:r>
        <w:t>demands</w:t>
      </w:r>
      <w:proofErr w:type="gramEnd"/>
      <w:r>
        <w:t xml:space="preserve"> remain substantial.</w:t>
      </w:r>
    </w:p>
    <w:p w14:paraId="0F011EA8" w14:textId="77777777" w:rsidR="006D5BA8" w:rsidRDefault="004C0246" w:rsidP="000D0281">
      <w:pPr>
        <w:jc w:val="both"/>
      </w:pPr>
      <w:r>
        <w:t>The main caveat is that 'continuous' is a mode of operation, not an environmental outcome. Pumps, heating, pressure generation, solvent use, cleaning, start-up waste and downstream separations still matter. The environmental advantage is strongest when continuous flow enables chemistry that is safer, more concentrated, faster or more selective than its batch alternative, or when end-to-end integration avoids isolations. Osorio-Tejada et al. (2022), for example, used LCA to compare batch and waste-</w:t>
      </w:r>
      <w:proofErr w:type="spellStart"/>
      <w:r>
        <w:t>minimised</w:t>
      </w:r>
      <w:proofErr w:type="spellEnd"/>
      <w:r>
        <w:t xml:space="preserve"> continuous-flow synthesis, demonstrating how a process-level life-cycle comparison can reveal benefits beyond simple reaction yield. Such studies remain relatively few at commercial scale, so transferability from highly </w:t>
      </w:r>
      <w:proofErr w:type="spellStart"/>
      <w:r>
        <w:t>optimised</w:t>
      </w:r>
      <w:proofErr w:type="spellEnd"/>
      <w:r>
        <w:t xml:space="preserve"> case studies should be treated cautiously.</w:t>
      </w:r>
    </w:p>
    <w:p w14:paraId="3901DD49" w14:textId="77777777" w:rsidR="006D5BA8" w:rsidRDefault="004C0246" w:rsidP="000D0281">
      <w:pPr>
        <w:jc w:val="both"/>
      </w:pPr>
      <w:r>
        <w:t xml:space="preserve">Process intensification is also valuable for formulation and solid-dose manufacturing through integrated granulation, drying, blending and compression, but sustainability depends on line </w:t>
      </w:r>
      <w:proofErr w:type="spellStart"/>
      <w:r>
        <w:t>utilisation</w:t>
      </w:r>
      <w:proofErr w:type="spellEnd"/>
      <w:r>
        <w:t xml:space="preserve"> and product portfolio. Flexible continuous platforms may reduce facility footprint and work-in-process inventory, yet low-volume products can face poor equipment </w:t>
      </w:r>
      <w:proofErr w:type="spellStart"/>
      <w:r>
        <w:t>utilisation</w:t>
      </w:r>
      <w:proofErr w:type="spellEnd"/>
      <w:r>
        <w:t xml:space="preserve"> or cleaning burdens. The important evidence-based principle is to compare functionally equivalent manufacturing scenarios over realistic campaigns, including changeovers, rejected material and utilities, rather than extrapolating from equipment size alone.</w:t>
      </w:r>
    </w:p>
    <w:p w14:paraId="17931396" w14:textId="77777777" w:rsidR="006D5BA8" w:rsidRDefault="004C0246" w:rsidP="000D0281">
      <w:pPr>
        <w:pStyle w:val="Heading2"/>
        <w:jc w:val="both"/>
      </w:pPr>
      <w:r>
        <w:t>4.5 Mechanochemistry and other solvent-</w:t>
      </w:r>
      <w:proofErr w:type="spellStart"/>
      <w:r>
        <w:t>minimised</w:t>
      </w:r>
      <w:proofErr w:type="spellEnd"/>
      <w:r>
        <w:t xml:space="preserve"> approaches</w:t>
      </w:r>
    </w:p>
    <w:p w14:paraId="006321B6" w14:textId="77777777" w:rsidR="006D5BA8" w:rsidRDefault="004C0246" w:rsidP="000D0281">
      <w:pPr>
        <w:jc w:val="both"/>
      </w:pPr>
      <w:r>
        <w:t>Mechanochemistry has re-emerged as a route to reduce or eliminate bulk solvent in synthesis, salt formation and co-</w:t>
      </w:r>
      <w:proofErr w:type="spellStart"/>
      <w:r>
        <w:t>crystallisation</w:t>
      </w:r>
      <w:proofErr w:type="spellEnd"/>
      <w:r>
        <w:t xml:space="preserve">. Comparative analyses of API-relevant chemistry show </w:t>
      </w:r>
      <w:proofErr w:type="spellStart"/>
      <w:r>
        <w:t>favourable</w:t>
      </w:r>
      <w:proofErr w:type="spellEnd"/>
      <w:r>
        <w:t xml:space="preserve"> green metrics for several mechanochemical routes, and recent reviews map the approach explicitly onto green-chemistry principles (</w:t>
      </w:r>
      <w:proofErr w:type="spellStart"/>
      <w:r>
        <w:t>Arfelis</w:t>
      </w:r>
      <w:proofErr w:type="spellEnd"/>
      <w:r>
        <w:t xml:space="preserve"> et al., 2024; Leitão, 2024). Scale-up work also demonstrates that mechanochemical processing is moving beyond milligram demonstrations (Reynes et al., 2023). These developments are relevant to pharmaceuticals because </w:t>
      </w:r>
      <w:proofErr w:type="spellStart"/>
      <w:r>
        <w:t>crystallisation</w:t>
      </w:r>
      <w:proofErr w:type="spellEnd"/>
      <w:r>
        <w:t xml:space="preserve"> and solid-state control are central to product performance, and solvent-intensive isolation can dominate mass use.</w:t>
      </w:r>
    </w:p>
    <w:p w14:paraId="7610E9C7" w14:textId="77777777" w:rsidR="006D5BA8" w:rsidRDefault="004C0246" w:rsidP="000D0281">
      <w:pPr>
        <w:jc w:val="both"/>
      </w:pPr>
      <w:r>
        <w:t>Confidence in broad superiority remains limited. Milling energy, equipment wear, temperature control, solid handling, reproducibility and contamination can become material at scale. Solvent-free reaction conditions can also transfer burden to reagent excess or intensive purification. Mechanochemistry should therefore be treated as a promising platform technology whose environmental case must be verified through scale-relevant mass and energy balances. The evidence supports targeted deployment where solvent-intensive transformations or solid-state operations are genuine hotspots, not a blanket replacement for solution chemistry.</w:t>
      </w:r>
    </w:p>
    <w:p w14:paraId="01E56D03" w14:textId="77777777" w:rsidR="006D5BA8" w:rsidRDefault="004C0246" w:rsidP="000D0281">
      <w:pPr>
        <w:jc w:val="both"/>
      </w:pPr>
      <w:r>
        <w:t>Across these technologies, the consistent pattern is that prevention-oriented changes have the largest potential when they remove unit operations or avoid material demand rather than simply treating wastes after they are generated. Table 2 compares the maturity and trade-offs of major manufacturing interventions.</w:t>
      </w:r>
    </w:p>
    <w:p w14:paraId="5993B560" w14:textId="77777777" w:rsidR="006D5BA8" w:rsidRDefault="004C0246" w:rsidP="000D0281">
      <w:pPr>
        <w:keepNext/>
        <w:jc w:val="both"/>
      </w:pPr>
      <w:r>
        <w:rPr>
          <w:b/>
        </w:rPr>
        <w:t>Table 2. Manufacturing technologies and the conditions under which sustainability benefits are most credible</w:t>
      </w:r>
    </w:p>
    <w:tbl>
      <w:tblPr>
        <w:tblW w:w="0" w:type="auto"/>
        <w:jc w:val="center"/>
        <w:tblBorders>
          <w:top w:val="single" w:sz="5" w:space="0" w:color="B7C7BF"/>
          <w:left w:val="single" w:sz="5" w:space="0" w:color="B7C7BF"/>
          <w:bottom w:val="single" w:sz="5" w:space="0" w:color="B7C7BF"/>
          <w:right w:val="single" w:sz="5" w:space="0" w:color="B7C7BF"/>
          <w:insideH w:val="single" w:sz="5" w:space="0" w:color="B7C7BF"/>
          <w:insideV w:val="single" w:sz="5" w:space="0" w:color="B7C7BF"/>
        </w:tblBorders>
        <w:tblLayout w:type="fixed"/>
        <w:tblLook w:val="04A0" w:firstRow="1" w:lastRow="0" w:firstColumn="1" w:lastColumn="0" w:noHBand="0" w:noVBand="1"/>
      </w:tblPr>
      <w:tblGrid>
        <w:gridCol w:w="1440"/>
        <w:gridCol w:w="1872"/>
        <w:gridCol w:w="1800"/>
        <w:gridCol w:w="2664"/>
        <w:gridCol w:w="1944"/>
      </w:tblGrid>
      <w:tr w:rsidR="006D5BA8" w14:paraId="07610872" w14:textId="77777777">
        <w:trPr>
          <w:tblHeader/>
          <w:jc w:val="center"/>
        </w:trPr>
        <w:tc>
          <w:tcPr>
            <w:tcW w:w="1440" w:type="dxa"/>
            <w:shd w:val="clear" w:color="auto" w:fill="DCE8E2"/>
            <w:tcMar>
              <w:top w:w="80" w:type="dxa"/>
              <w:left w:w="80" w:type="dxa"/>
              <w:bottom w:w="80" w:type="dxa"/>
              <w:right w:w="80" w:type="dxa"/>
            </w:tcMar>
            <w:vAlign w:val="center"/>
          </w:tcPr>
          <w:p w14:paraId="12A200F1" w14:textId="77777777" w:rsidR="006D5BA8" w:rsidRDefault="004C0246" w:rsidP="000D0281">
            <w:pPr>
              <w:pStyle w:val="TableText"/>
              <w:jc w:val="both"/>
            </w:pPr>
            <w:r>
              <w:rPr>
                <w:b/>
              </w:rPr>
              <w:t>Technology</w:t>
            </w:r>
          </w:p>
        </w:tc>
        <w:tc>
          <w:tcPr>
            <w:tcW w:w="1872" w:type="dxa"/>
            <w:shd w:val="clear" w:color="auto" w:fill="DCE8E2"/>
            <w:tcMar>
              <w:top w:w="80" w:type="dxa"/>
              <w:left w:w="80" w:type="dxa"/>
              <w:bottom w:w="80" w:type="dxa"/>
              <w:right w:w="80" w:type="dxa"/>
            </w:tcMar>
            <w:vAlign w:val="center"/>
          </w:tcPr>
          <w:p w14:paraId="6C0AD898" w14:textId="77777777" w:rsidR="006D5BA8" w:rsidRDefault="004C0246" w:rsidP="000D0281">
            <w:pPr>
              <w:pStyle w:val="TableText"/>
              <w:jc w:val="both"/>
            </w:pPr>
            <w:r>
              <w:rPr>
                <w:b/>
              </w:rPr>
              <w:t>Potential life-cycle benefit</w:t>
            </w:r>
          </w:p>
        </w:tc>
        <w:tc>
          <w:tcPr>
            <w:tcW w:w="1800" w:type="dxa"/>
            <w:shd w:val="clear" w:color="auto" w:fill="DCE8E2"/>
            <w:tcMar>
              <w:top w:w="80" w:type="dxa"/>
              <w:left w:w="80" w:type="dxa"/>
              <w:bottom w:w="80" w:type="dxa"/>
              <w:right w:w="80" w:type="dxa"/>
            </w:tcMar>
            <w:vAlign w:val="center"/>
          </w:tcPr>
          <w:p w14:paraId="77241E26" w14:textId="77777777" w:rsidR="006D5BA8" w:rsidRDefault="004C0246" w:rsidP="000D0281">
            <w:pPr>
              <w:pStyle w:val="TableText"/>
              <w:jc w:val="both"/>
            </w:pPr>
            <w:r>
              <w:rPr>
                <w:b/>
              </w:rPr>
              <w:t>Evidence strength</w:t>
            </w:r>
          </w:p>
        </w:tc>
        <w:tc>
          <w:tcPr>
            <w:tcW w:w="2664" w:type="dxa"/>
            <w:shd w:val="clear" w:color="auto" w:fill="DCE8E2"/>
            <w:tcMar>
              <w:top w:w="80" w:type="dxa"/>
              <w:left w:w="80" w:type="dxa"/>
              <w:bottom w:w="80" w:type="dxa"/>
              <w:right w:w="80" w:type="dxa"/>
            </w:tcMar>
            <w:vAlign w:val="center"/>
          </w:tcPr>
          <w:p w14:paraId="3FA59D67" w14:textId="77777777" w:rsidR="006D5BA8" w:rsidRDefault="004C0246" w:rsidP="000D0281">
            <w:pPr>
              <w:pStyle w:val="TableText"/>
              <w:jc w:val="both"/>
            </w:pPr>
            <w:r>
              <w:rPr>
                <w:b/>
              </w:rPr>
              <w:t>Important trade-offs or failure modes</w:t>
            </w:r>
          </w:p>
        </w:tc>
        <w:tc>
          <w:tcPr>
            <w:tcW w:w="1944" w:type="dxa"/>
            <w:shd w:val="clear" w:color="auto" w:fill="DCE8E2"/>
            <w:tcMar>
              <w:top w:w="80" w:type="dxa"/>
              <w:left w:w="80" w:type="dxa"/>
              <w:bottom w:w="80" w:type="dxa"/>
              <w:right w:w="80" w:type="dxa"/>
            </w:tcMar>
            <w:vAlign w:val="center"/>
          </w:tcPr>
          <w:p w14:paraId="4F944D29" w14:textId="77777777" w:rsidR="006D5BA8" w:rsidRDefault="004C0246" w:rsidP="000D0281">
            <w:pPr>
              <w:pStyle w:val="TableText"/>
              <w:jc w:val="both"/>
            </w:pPr>
            <w:r>
              <w:rPr>
                <w:b/>
              </w:rPr>
              <w:t>Supporting references</w:t>
            </w:r>
          </w:p>
        </w:tc>
      </w:tr>
      <w:tr w:rsidR="006D5BA8" w14:paraId="69535C0C" w14:textId="77777777">
        <w:trPr>
          <w:cantSplit/>
          <w:jc w:val="center"/>
        </w:trPr>
        <w:tc>
          <w:tcPr>
            <w:tcW w:w="1440" w:type="dxa"/>
            <w:tcMar>
              <w:top w:w="80" w:type="dxa"/>
              <w:left w:w="80" w:type="dxa"/>
              <w:bottom w:w="80" w:type="dxa"/>
              <w:right w:w="80" w:type="dxa"/>
            </w:tcMar>
            <w:vAlign w:val="center"/>
          </w:tcPr>
          <w:p w14:paraId="308DBC21" w14:textId="77777777" w:rsidR="006D5BA8" w:rsidRDefault="004C0246" w:rsidP="000D0281">
            <w:pPr>
              <w:pStyle w:val="TableText"/>
              <w:jc w:val="both"/>
            </w:pPr>
            <w:r>
              <w:t>Route simplification and catalytic redesign</w:t>
            </w:r>
          </w:p>
        </w:tc>
        <w:tc>
          <w:tcPr>
            <w:tcW w:w="1872" w:type="dxa"/>
            <w:tcMar>
              <w:top w:w="80" w:type="dxa"/>
              <w:left w:w="80" w:type="dxa"/>
              <w:bottom w:w="80" w:type="dxa"/>
              <w:right w:w="80" w:type="dxa"/>
            </w:tcMar>
            <w:vAlign w:val="center"/>
          </w:tcPr>
          <w:p w14:paraId="4877191A" w14:textId="77777777" w:rsidR="006D5BA8" w:rsidRDefault="004C0246" w:rsidP="000D0281">
            <w:pPr>
              <w:pStyle w:val="TableText"/>
              <w:jc w:val="both"/>
            </w:pPr>
            <w:r>
              <w:t>Fewer steps, isolations, solvents and reagents; improved selectivity</w:t>
            </w:r>
          </w:p>
        </w:tc>
        <w:tc>
          <w:tcPr>
            <w:tcW w:w="1800" w:type="dxa"/>
            <w:tcMar>
              <w:top w:w="80" w:type="dxa"/>
              <w:left w:w="80" w:type="dxa"/>
              <w:bottom w:w="80" w:type="dxa"/>
              <w:right w:w="80" w:type="dxa"/>
            </w:tcMar>
            <w:vAlign w:val="center"/>
          </w:tcPr>
          <w:p w14:paraId="1C0ACF7E" w14:textId="77777777" w:rsidR="006D5BA8" w:rsidRDefault="004C0246" w:rsidP="000D0281">
            <w:pPr>
              <w:pStyle w:val="TableText"/>
              <w:jc w:val="both"/>
            </w:pPr>
            <w:r>
              <w:t>Strong conceptual and industrial evidence</w:t>
            </w:r>
          </w:p>
        </w:tc>
        <w:tc>
          <w:tcPr>
            <w:tcW w:w="2664" w:type="dxa"/>
            <w:tcMar>
              <w:top w:w="80" w:type="dxa"/>
              <w:left w:w="80" w:type="dxa"/>
              <w:bottom w:w="80" w:type="dxa"/>
              <w:right w:w="80" w:type="dxa"/>
            </w:tcMar>
            <w:vAlign w:val="center"/>
          </w:tcPr>
          <w:p w14:paraId="65C6CE77" w14:textId="77777777" w:rsidR="006D5BA8" w:rsidRDefault="004C0246" w:rsidP="000D0281">
            <w:pPr>
              <w:pStyle w:val="TableText"/>
              <w:jc w:val="both"/>
            </w:pPr>
            <w:r>
              <w:t>May conflict with robustness, impurity control, patent position or supply of catalysts/reagents</w:t>
            </w:r>
          </w:p>
        </w:tc>
        <w:tc>
          <w:tcPr>
            <w:tcW w:w="1944" w:type="dxa"/>
            <w:tcMar>
              <w:top w:w="80" w:type="dxa"/>
              <w:left w:w="80" w:type="dxa"/>
              <w:bottom w:w="80" w:type="dxa"/>
              <w:right w:w="80" w:type="dxa"/>
            </w:tcMar>
            <w:vAlign w:val="center"/>
          </w:tcPr>
          <w:p w14:paraId="16EBA631" w14:textId="77777777" w:rsidR="006D5BA8" w:rsidRDefault="004C0246" w:rsidP="000D0281">
            <w:pPr>
              <w:pStyle w:val="TableText"/>
              <w:jc w:val="both"/>
            </w:pPr>
            <w:r>
              <w:t xml:space="preserve">Constable et al. (2007); Bryan et al. (2018); </w:t>
            </w:r>
            <w:proofErr w:type="spellStart"/>
            <w:r>
              <w:t>Roschangar</w:t>
            </w:r>
            <w:proofErr w:type="spellEnd"/>
            <w:r>
              <w:t xml:space="preserve"> et al. (2017)</w:t>
            </w:r>
          </w:p>
        </w:tc>
      </w:tr>
      <w:tr w:rsidR="006D5BA8" w14:paraId="6F8B1D10" w14:textId="77777777">
        <w:trPr>
          <w:cantSplit/>
          <w:jc w:val="center"/>
        </w:trPr>
        <w:tc>
          <w:tcPr>
            <w:tcW w:w="1440" w:type="dxa"/>
            <w:shd w:val="clear" w:color="auto" w:fill="F6F9F7"/>
            <w:tcMar>
              <w:top w:w="80" w:type="dxa"/>
              <w:left w:w="80" w:type="dxa"/>
              <w:bottom w:w="80" w:type="dxa"/>
              <w:right w:w="80" w:type="dxa"/>
            </w:tcMar>
            <w:vAlign w:val="center"/>
          </w:tcPr>
          <w:p w14:paraId="3DFF25AE" w14:textId="77777777" w:rsidR="006D5BA8" w:rsidRDefault="004C0246" w:rsidP="000D0281">
            <w:pPr>
              <w:pStyle w:val="TableText"/>
              <w:jc w:val="both"/>
            </w:pPr>
            <w:r>
              <w:lastRenderedPageBreak/>
              <w:t>Solvent substitution and recovery</w:t>
            </w:r>
          </w:p>
        </w:tc>
        <w:tc>
          <w:tcPr>
            <w:tcW w:w="1872" w:type="dxa"/>
            <w:shd w:val="clear" w:color="auto" w:fill="F6F9F7"/>
            <w:tcMar>
              <w:top w:w="80" w:type="dxa"/>
              <w:left w:w="80" w:type="dxa"/>
              <w:bottom w:w="80" w:type="dxa"/>
              <w:right w:w="80" w:type="dxa"/>
            </w:tcMar>
            <w:vAlign w:val="center"/>
          </w:tcPr>
          <w:p w14:paraId="00555E94" w14:textId="77777777" w:rsidR="006D5BA8" w:rsidRDefault="004C0246" w:rsidP="000D0281">
            <w:pPr>
              <w:pStyle w:val="TableText"/>
              <w:jc w:val="both"/>
            </w:pPr>
            <w:r>
              <w:t>Lower hazard, volatile emissions and virgin-solvent demand</w:t>
            </w:r>
          </w:p>
        </w:tc>
        <w:tc>
          <w:tcPr>
            <w:tcW w:w="1800" w:type="dxa"/>
            <w:shd w:val="clear" w:color="auto" w:fill="F6F9F7"/>
            <w:tcMar>
              <w:top w:w="80" w:type="dxa"/>
              <w:left w:w="80" w:type="dxa"/>
              <w:bottom w:w="80" w:type="dxa"/>
              <w:right w:w="80" w:type="dxa"/>
            </w:tcMar>
            <w:vAlign w:val="center"/>
          </w:tcPr>
          <w:p w14:paraId="661A097D" w14:textId="77777777" w:rsidR="006D5BA8" w:rsidRDefault="004C0246" w:rsidP="000D0281">
            <w:pPr>
              <w:pStyle w:val="TableText"/>
              <w:jc w:val="both"/>
            </w:pPr>
            <w:r>
              <w:t>Strong decision-tool evidence; process-specific outcome evidence</w:t>
            </w:r>
          </w:p>
        </w:tc>
        <w:tc>
          <w:tcPr>
            <w:tcW w:w="2664" w:type="dxa"/>
            <w:shd w:val="clear" w:color="auto" w:fill="F6F9F7"/>
            <w:tcMar>
              <w:top w:w="80" w:type="dxa"/>
              <w:left w:w="80" w:type="dxa"/>
              <w:bottom w:w="80" w:type="dxa"/>
              <w:right w:w="80" w:type="dxa"/>
            </w:tcMar>
            <w:vAlign w:val="center"/>
          </w:tcPr>
          <w:p w14:paraId="0FEAE352" w14:textId="77777777" w:rsidR="006D5BA8" w:rsidRDefault="004C0246" w:rsidP="000D0281">
            <w:pPr>
              <w:pStyle w:val="TableText"/>
              <w:jc w:val="both"/>
            </w:pPr>
            <w:r>
              <w:t>Recovery energy, solvent purity, yield and separation performance can reverse gains</w:t>
            </w:r>
          </w:p>
        </w:tc>
        <w:tc>
          <w:tcPr>
            <w:tcW w:w="1944" w:type="dxa"/>
            <w:shd w:val="clear" w:color="auto" w:fill="F6F9F7"/>
            <w:tcMar>
              <w:top w:w="80" w:type="dxa"/>
              <w:left w:w="80" w:type="dxa"/>
              <w:bottom w:w="80" w:type="dxa"/>
              <w:right w:w="80" w:type="dxa"/>
            </w:tcMar>
            <w:vAlign w:val="center"/>
          </w:tcPr>
          <w:p w14:paraId="411F79A9" w14:textId="77777777" w:rsidR="006D5BA8" w:rsidRDefault="004C0246" w:rsidP="000D0281">
            <w:pPr>
              <w:pStyle w:val="TableText"/>
              <w:jc w:val="both"/>
            </w:pPr>
            <w:r>
              <w:t xml:space="preserve">Henderson et al. (2011); </w:t>
            </w:r>
            <w:proofErr w:type="spellStart"/>
            <w:r>
              <w:t>Diorazio</w:t>
            </w:r>
            <w:proofErr w:type="spellEnd"/>
            <w:r>
              <w:t xml:space="preserve"> et al. (2016); Prat et al. (2016)</w:t>
            </w:r>
          </w:p>
        </w:tc>
      </w:tr>
      <w:tr w:rsidR="006D5BA8" w14:paraId="0F6F2CD2" w14:textId="77777777">
        <w:trPr>
          <w:cantSplit/>
          <w:jc w:val="center"/>
        </w:trPr>
        <w:tc>
          <w:tcPr>
            <w:tcW w:w="1440" w:type="dxa"/>
            <w:tcMar>
              <w:top w:w="80" w:type="dxa"/>
              <w:left w:w="80" w:type="dxa"/>
              <w:bottom w:w="80" w:type="dxa"/>
              <w:right w:w="80" w:type="dxa"/>
            </w:tcMar>
            <w:vAlign w:val="center"/>
          </w:tcPr>
          <w:p w14:paraId="46E6D264" w14:textId="77777777" w:rsidR="006D5BA8" w:rsidRDefault="004C0246" w:rsidP="000D0281">
            <w:pPr>
              <w:pStyle w:val="TableText"/>
              <w:jc w:val="both"/>
            </w:pPr>
            <w:r>
              <w:t>Biocatalysis</w:t>
            </w:r>
          </w:p>
        </w:tc>
        <w:tc>
          <w:tcPr>
            <w:tcW w:w="1872" w:type="dxa"/>
            <w:tcMar>
              <w:top w:w="80" w:type="dxa"/>
              <w:left w:w="80" w:type="dxa"/>
              <w:bottom w:w="80" w:type="dxa"/>
              <w:right w:w="80" w:type="dxa"/>
            </w:tcMar>
            <w:vAlign w:val="center"/>
          </w:tcPr>
          <w:p w14:paraId="20222F9B" w14:textId="77777777" w:rsidR="006D5BA8" w:rsidRDefault="004C0246" w:rsidP="000D0281">
            <w:pPr>
              <w:pStyle w:val="TableText"/>
              <w:jc w:val="both"/>
            </w:pPr>
            <w:r>
              <w:t>High selectivity, milder conditions, route shortening</w:t>
            </w:r>
          </w:p>
        </w:tc>
        <w:tc>
          <w:tcPr>
            <w:tcW w:w="1800" w:type="dxa"/>
            <w:tcMar>
              <w:top w:w="80" w:type="dxa"/>
              <w:left w:w="80" w:type="dxa"/>
              <w:bottom w:w="80" w:type="dxa"/>
              <w:right w:w="80" w:type="dxa"/>
            </w:tcMar>
            <w:vAlign w:val="center"/>
          </w:tcPr>
          <w:p w14:paraId="5A8908A7" w14:textId="77777777" w:rsidR="006D5BA8" w:rsidRDefault="004C0246" w:rsidP="000D0281">
            <w:pPr>
              <w:pStyle w:val="TableText"/>
              <w:jc w:val="both"/>
            </w:pPr>
            <w:r>
              <w:t>Mature for selected transformations; growing application base</w:t>
            </w:r>
          </w:p>
        </w:tc>
        <w:tc>
          <w:tcPr>
            <w:tcW w:w="2664" w:type="dxa"/>
            <w:tcMar>
              <w:top w:w="80" w:type="dxa"/>
              <w:left w:w="80" w:type="dxa"/>
              <w:bottom w:w="80" w:type="dxa"/>
              <w:right w:w="80" w:type="dxa"/>
            </w:tcMar>
            <w:vAlign w:val="center"/>
          </w:tcPr>
          <w:p w14:paraId="561DC31C" w14:textId="77777777" w:rsidR="006D5BA8" w:rsidRDefault="004C0246" w:rsidP="000D0281">
            <w:pPr>
              <w:pStyle w:val="TableText"/>
              <w:jc w:val="both"/>
            </w:pPr>
            <w:r>
              <w:t>Enzyme manufacture, cofactor demand, dilute aqueous streams and extraction burden</w:t>
            </w:r>
          </w:p>
        </w:tc>
        <w:tc>
          <w:tcPr>
            <w:tcW w:w="1944" w:type="dxa"/>
            <w:tcMar>
              <w:top w:w="80" w:type="dxa"/>
              <w:left w:w="80" w:type="dxa"/>
              <w:bottom w:w="80" w:type="dxa"/>
              <w:right w:w="80" w:type="dxa"/>
            </w:tcMar>
            <w:vAlign w:val="center"/>
          </w:tcPr>
          <w:p w14:paraId="4ED2FE36" w14:textId="77777777" w:rsidR="006D5BA8" w:rsidRDefault="004C0246" w:rsidP="000D0281">
            <w:pPr>
              <w:pStyle w:val="TableText"/>
              <w:jc w:val="both"/>
            </w:pPr>
            <w:r>
              <w:t>Clouthier &amp; Pelletier (2012); Abdelraheem et al. (2019); O’Connell et al. (2024)</w:t>
            </w:r>
          </w:p>
        </w:tc>
      </w:tr>
      <w:tr w:rsidR="006D5BA8" w14:paraId="5104ECBD" w14:textId="77777777">
        <w:trPr>
          <w:cantSplit/>
          <w:jc w:val="center"/>
        </w:trPr>
        <w:tc>
          <w:tcPr>
            <w:tcW w:w="1440" w:type="dxa"/>
            <w:shd w:val="clear" w:color="auto" w:fill="F6F9F7"/>
            <w:tcMar>
              <w:top w:w="80" w:type="dxa"/>
              <w:left w:w="80" w:type="dxa"/>
              <w:bottom w:w="80" w:type="dxa"/>
              <w:right w:w="80" w:type="dxa"/>
            </w:tcMar>
            <w:vAlign w:val="center"/>
          </w:tcPr>
          <w:p w14:paraId="3717278A" w14:textId="77777777" w:rsidR="006D5BA8" w:rsidRDefault="004C0246" w:rsidP="000D0281">
            <w:pPr>
              <w:pStyle w:val="TableText"/>
              <w:jc w:val="both"/>
            </w:pPr>
            <w:r>
              <w:t>Continuous manufacturing / flow</w:t>
            </w:r>
          </w:p>
        </w:tc>
        <w:tc>
          <w:tcPr>
            <w:tcW w:w="1872" w:type="dxa"/>
            <w:shd w:val="clear" w:color="auto" w:fill="F6F9F7"/>
            <w:tcMar>
              <w:top w:w="80" w:type="dxa"/>
              <w:left w:w="80" w:type="dxa"/>
              <w:bottom w:w="80" w:type="dxa"/>
              <w:right w:w="80" w:type="dxa"/>
            </w:tcMar>
            <w:vAlign w:val="center"/>
          </w:tcPr>
          <w:p w14:paraId="0E54BC44" w14:textId="77777777" w:rsidR="006D5BA8" w:rsidRDefault="004C0246" w:rsidP="000D0281">
            <w:pPr>
              <w:pStyle w:val="TableText"/>
              <w:jc w:val="both"/>
            </w:pPr>
            <w:r>
              <w:t>Process intensification, lower inventories, telescoping and improved control</w:t>
            </w:r>
          </w:p>
        </w:tc>
        <w:tc>
          <w:tcPr>
            <w:tcW w:w="1800" w:type="dxa"/>
            <w:shd w:val="clear" w:color="auto" w:fill="F6F9F7"/>
            <w:tcMar>
              <w:top w:w="80" w:type="dxa"/>
              <w:left w:w="80" w:type="dxa"/>
              <w:bottom w:w="80" w:type="dxa"/>
              <w:right w:w="80" w:type="dxa"/>
            </w:tcMar>
            <w:vAlign w:val="center"/>
          </w:tcPr>
          <w:p w14:paraId="63C73C17" w14:textId="77777777" w:rsidR="006D5BA8" w:rsidRDefault="004C0246" w:rsidP="000D0281">
            <w:pPr>
              <w:pStyle w:val="TableText"/>
              <w:jc w:val="both"/>
            </w:pPr>
            <w:r>
              <w:t>Strong engineering rationale; growing pharmaceutical case base</w:t>
            </w:r>
          </w:p>
        </w:tc>
        <w:tc>
          <w:tcPr>
            <w:tcW w:w="2664" w:type="dxa"/>
            <w:shd w:val="clear" w:color="auto" w:fill="F6F9F7"/>
            <w:tcMar>
              <w:top w:w="80" w:type="dxa"/>
              <w:left w:w="80" w:type="dxa"/>
              <w:bottom w:w="80" w:type="dxa"/>
              <w:right w:w="80" w:type="dxa"/>
            </w:tcMar>
            <w:vAlign w:val="center"/>
          </w:tcPr>
          <w:p w14:paraId="6D5931D1" w14:textId="77777777" w:rsidR="006D5BA8" w:rsidRDefault="004C0246" w:rsidP="000D0281">
            <w:pPr>
              <w:pStyle w:val="TableText"/>
              <w:jc w:val="both"/>
            </w:pPr>
            <w:r>
              <w:t xml:space="preserve">Not inherently green; utilities, start-up waste, downstream operations and campaign </w:t>
            </w:r>
            <w:proofErr w:type="spellStart"/>
            <w:r>
              <w:t>utilisation</w:t>
            </w:r>
            <w:proofErr w:type="spellEnd"/>
            <w:r>
              <w:t xml:space="preserve"> remain decisive</w:t>
            </w:r>
          </w:p>
        </w:tc>
        <w:tc>
          <w:tcPr>
            <w:tcW w:w="1944" w:type="dxa"/>
            <w:shd w:val="clear" w:color="auto" w:fill="F6F9F7"/>
            <w:tcMar>
              <w:top w:w="80" w:type="dxa"/>
              <w:left w:w="80" w:type="dxa"/>
              <w:bottom w:w="80" w:type="dxa"/>
              <w:right w:w="80" w:type="dxa"/>
            </w:tcMar>
            <w:vAlign w:val="center"/>
          </w:tcPr>
          <w:p w14:paraId="11D91B9C" w14:textId="77777777" w:rsidR="006D5BA8" w:rsidRDefault="004C0246" w:rsidP="000D0281">
            <w:pPr>
              <w:pStyle w:val="TableText"/>
              <w:jc w:val="both"/>
            </w:pPr>
            <w:r>
              <w:t>Rogers &amp; Jensen (2019); Osorio-Tejada et al. (2022); EMA (2023)</w:t>
            </w:r>
          </w:p>
        </w:tc>
      </w:tr>
      <w:tr w:rsidR="006D5BA8" w14:paraId="62FA2ABA" w14:textId="77777777">
        <w:trPr>
          <w:cantSplit/>
          <w:jc w:val="center"/>
        </w:trPr>
        <w:tc>
          <w:tcPr>
            <w:tcW w:w="1440" w:type="dxa"/>
            <w:tcMar>
              <w:top w:w="80" w:type="dxa"/>
              <w:left w:w="80" w:type="dxa"/>
              <w:bottom w:w="80" w:type="dxa"/>
              <w:right w:w="80" w:type="dxa"/>
            </w:tcMar>
            <w:vAlign w:val="center"/>
          </w:tcPr>
          <w:p w14:paraId="44FAE9EC" w14:textId="77777777" w:rsidR="006D5BA8" w:rsidRDefault="004C0246" w:rsidP="000D0281">
            <w:pPr>
              <w:pStyle w:val="TableText"/>
              <w:jc w:val="both"/>
            </w:pPr>
            <w:r>
              <w:t>Mechanochemistry</w:t>
            </w:r>
          </w:p>
        </w:tc>
        <w:tc>
          <w:tcPr>
            <w:tcW w:w="1872" w:type="dxa"/>
            <w:tcMar>
              <w:top w:w="80" w:type="dxa"/>
              <w:left w:w="80" w:type="dxa"/>
              <w:bottom w:w="80" w:type="dxa"/>
              <w:right w:w="80" w:type="dxa"/>
            </w:tcMar>
            <w:vAlign w:val="center"/>
          </w:tcPr>
          <w:p w14:paraId="68ECE5B6" w14:textId="77777777" w:rsidR="006D5BA8" w:rsidRDefault="004C0246" w:rsidP="000D0281">
            <w:pPr>
              <w:pStyle w:val="TableText"/>
              <w:jc w:val="both"/>
            </w:pPr>
            <w:r>
              <w:t>Substantial solvent reduction and direct solid-state processing</w:t>
            </w:r>
          </w:p>
        </w:tc>
        <w:tc>
          <w:tcPr>
            <w:tcW w:w="1800" w:type="dxa"/>
            <w:tcMar>
              <w:top w:w="80" w:type="dxa"/>
              <w:left w:w="80" w:type="dxa"/>
              <w:bottom w:w="80" w:type="dxa"/>
              <w:right w:w="80" w:type="dxa"/>
            </w:tcMar>
            <w:vAlign w:val="center"/>
          </w:tcPr>
          <w:p w14:paraId="6335754B" w14:textId="77777777" w:rsidR="006D5BA8" w:rsidRDefault="004C0246" w:rsidP="000D0281">
            <w:pPr>
              <w:pStyle w:val="TableText"/>
              <w:jc w:val="both"/>
            </w:pPr>
            <w:r>
              <w:t>Promising and increasingly scalable, but less mature industrial evidence</w:t>
            </w:r>
          </w:p>
        </w:tc>
        <w:tc>
          <w:tcPr>
            <w:tcW w:w="2664" w:type="dxa"/>
            <w:tcMar>
              <w:top w:w="80" w:type="dxa"/>
              <w:left w:w="80" w:type="dxa"/>
              <w:bottom w:w="80" w:type="dxa"/>
              <w:right w:w="80" w:type="dxa"/>
            </w:tcMar>
            <w:vAlign w:val="center"/>
          </w:tcPr>
          <w:p w14:paraId="14E1B9F5" w14:textId="77777777" w:rsidR="006D5BA8" w:rsidRDefault="004C0246" w:rsidP="000D0281">
            <w:pPr>
              <w:pStyle w:val="TableText"/>
              <w:jc w:val="both"/>
            </w:pPr>
            <w:r>
              <w:t>Energy, wear, contamination, heat management, solid handling and scale-up uncertainty</w:t>
            </w:r>
          </w:p>
        </w:tc>
        <w:tc>
          <w:tcPr>
            <w:tcW w:w="1944" w:type="dxa"/>
            <w:tcMar>
              <w:top w:w="80" w:type="dxa"/>
              <w:left w:w="80" w:type="dxa"/>
              <w:bottom w:w="80" w:type="dxa"/>
              <w:right w:w="80" w:type="dxa"/>
            </w:tcMar>
            <w:vAlign w:val="center"/>
          </w:tcPr>
          <w:p w14:paraId="32A79B36" w14:textId="77777777" w:rsidR="006D5BA8" w:rsidRDefault="004C0246" w:rsidP="000D0281">
            <w:pPr>
              <w:pStyle w:val="TableText"/>
              <w:jc w:val="both"/>
            </w:pPr>
            <w:proofErr w:type="spellStart"/>
            <w:r>
              <w:t>Arfelis</w:t>
            </w:r>
            <w:proofErr w:type="spellEnd"/>
            <w:r>
              <w:t xml:space="preserve"> et al. (2024); Leitão (2024); Reynes et al. (2023)</w:t>
            </w:r>
          </w:p>
        </w:tc>
      </w:tr>
      <w:tr w:rsidR="006D5BA8" w14:paraId="75E9B6E0" w14:textId="77777777">
        <w:trPr>
          <w:cantSplit/>
          <w:jc w:val="center"/>
        </w:trPr>
        <w:tc>
          <w:tcPr>
            <w:tcW w:w="1440" w:type="dxa"/>
            <w:shd w:val="clear" w:color="auto" w:fill="F6F9F7"/>
            <w:tcMar>
              <w:top w:w="80" w:type="dxa"/>
              <w:left w:w="80" w:type="dxa"/>
              <w:bottom w:w="80" w:type="dxa"/>
              <w:right w:w="80" w:type="dxa"/>
            </w:tcMar>
            <w:vAlign w:val="center"/>
          </w:tcPr>
          <w:p w14:paraId="3245FFAE" w14:textId="77777777" w:rsidR="006D5BA8" w:rsidRDefault="004C0246" w:rsidP="000D0281">
            <w:pPr>
              <w:pStyle w:val="TableText"/>
              <w:jc w:val="both"/>
            </w:pPr>
            <w:r>
              <w:t>Greener API/excipient design</w:t>
            </w:r>
          </w:p>
        </w:tc>
        <w:tc>
          <w:tcPr>
            <w:tcW w:w="1872" w:type="dxa"/>
            <w:shd w:val="clear" w:color="auto" w:fill="F6F9F7"/>
            <w:tcMar>
              <w:top w:w="80" w:type="dxa"/>
              <w:left w:w="80" w:type="dxa"/>
              <w:bottom w:w="80" w:type="dxa"/>
              <w:right w:w="80" w:type="dxa"/>
            </w:tcMar>
            <w:vAlign w:val="center"/>
          </w:tcPr>
          <w:p w14:paraId="426E9572" w14:textId="77777777" w:rsidR="006D5BA8" w:rsidRDefault="004C0246" w:rsidP="000D0281">
            <w:pPr>
              <w:pStyle w:val="TableText"/>
              <w:jc w:val="both"/>
            </w:pPr>
            <w:r>
              <w:t>Potential reduction of post-use persistence or formulation burden at source</w:t>
            </w:r>
          </w:p>
        </w:tc>
        <w:tc>
          <w:tcPr>
            <w:tcW w:w="1800" w:type="dxa"/>
            <w:shd w:val="clear" w:color="auto" w:fill="F6F9F7"/>
            <w:tcMar>
              <w:top w:w="80" w:type="dxa"/>
              <w:left w:w="80" w:type="dxa"/>
              <w:bottom w:w="80" w:type="dxa"/>
              <w:right w:w="80" w:type="dxa"/>
            </w:tcMar>
            <w:vAlign w:val="center"/>
          </w:tcPr>
          <w:p w14:paraId="27680B16" w14:textId="77777777" w:rsidR="006D5BA8" w:rsidRDefault="004C0246" w:rsidP="000D0281">
            <w:pPr>
              <w:pStyle w:val="TableText"/>
              <w:jc w:val="both"/>
            </w:pPr>
            <w:r>
              <w:t xml:space="preserve">Conceptually strong; early empirical and </w:t>
            </w:r>
            <w:proofErr w:type="spellStart"/>
            <w:r>
              <w:t>organisational</w:t>
            </w:r>
            <w:proofErr w:type="spellEnd"/>
            <w:r>
              <w:t xml:space="preserve"> evidence</w:t>
            </w:r>
          </w:p>
        </w:tc>
        <w:tc>
          <w:tcPr>
            <w:tcW w:w="2664" w:type="dxa"/>
            <w:shd w:val="clear" w:color="auto" w:fill="F6F9F7"/>
            <w:tcMar>
              <w:top w:w="80" w:type="dxa"/>
              <w:left w:w="80" w:type="dxa"/>
              <w:bottom w:w="80" w:type="dxa"/>
              <w:right w:w="80" w:type="dxa"/>
            </w:tcMar>
            <w:vAlign w:val="center"/>
          </w:tcPr>
          <w:p w14:paraId="5D7E0835" w14:textId="77777777" w:rsidR="006D5BA8" w:rsidRDefault="004C0246" w:rsidP="000D0281">
            <w:pPr>
              <w:pStyle w:val="TableText"/>
              <w:jc w:val="both"/>
            </w:pPr>
            <w:r>
              <w:t>Possible conflicts with potency, stability, safety and development timelines; limited validated screening tools</w:t>
            </w:r>
          </w:p>
        </w:tc>
        <w:tc>
          <w:tcPr>
            <w:tcW w:w="1944" w:type="dxa"/>
            <w:shd w:val="clear" w:color="auto" w:fill="F6F9F7"/>
            <w:tcMar>
              <w:top w:w="80" w:type="dxa"/>
              <w:left w:w="80" w:type="dxa"/>
              <w:bottom w:w="80" w:type="dxa"/>
              <w:right w:w="80" w:type="dxa"/>
            </w:tcMar>
            <w:vAlign w:val="center"/>
          </w:tcPr>
          <w:p w14:paraId="470DC274" w14:textId="77777777" w:rsidR="006D5BA8" w:rsidRDefault="004C0246" w:rsidP="000D0281">
            <w:pPr>
              <w:pStyle w:val="TableText"/>
              <w:jc w:val="both"/>
            </w:pPr>
            <w:proofErr w:type="spellStart"/>
            <w:r>
              <w:t>Kümmerer</w:t>
            </w:r>
            <w:proofErr w:type="spellEnd"/>
            <w:r>
              <w:t xml:space="preserve"> (2007); </w:t>
            </w:r>
            <w:proofErr w:type="spellStart"/>
            <w:r>
              <w:t>Puhlmann</w:t>
            </w:r>
            <w:proofErr w:type="spellEnd"/>
            <w:r>
              <w:t xml:space="preserve"> et al. (2024); Vidaurre et al. (2024); Bading et al. (2025)</w:t>
            </w:r>
          </w:p>
        </w:tc>
      </w:tr>
    </w:tbl>
    <w:p w14:paraId="2219AE4E" w14:textId="77777777" w:rsidR="006D5BA8" w:rsidRDefault="004C0246" w:rsidP="000D0281">
      <w:pPr>
        <w:spacing w:before="40" w:after="120"/>
        <w:jc w:val="both"/>
      </w:pPr>
      <w:r>
        <w:rPr>
          <w:i/>
        </w:rPr>
        <w:t xml:space="preserve">Note. </w:t>
      </w:r>
      <w:r>
        <w:t>API = active pharmaceutical ingredient. Evidence strength refers to the breadth and maturity of evidence for the technology class, not to a formal risk-of-bias score.</w:t>
      </w:r>
    </w:p>
    <w:p w14:paraId="4E40B4C9" w14:textId="77777777" w:rsidR="006D5BA8" w:rsidRDefault="004C0246" w:rsidP="000D0281">
      <w:pPr>
        <w:pStyle w:val="Heading1"/>
        <w:jc w:val="both"/>
      </w:pPr>
      <w:r>
        <w:t>5. From Plant Gate to Environmental Interface</w:t>
      </w:r>
    </w:p>
    <w:p w14:paraId="236463AE" w14:textId="77777777" w:rsidR="006D5BA8" w:rsidRDefault="004C0246" w:rsidP="000D0281">
      <w:pPr>
        <w:pStyle w:val="Heading2"/>
        <w:jc w:val="both"/>
      </w:pPr>
      <w:r>
        <w:t>5.1 Energy, water, emissions and life-cycle hotspots</w:t>
      </w:r>
    </w:p>
    <w:p w14:paraId="5D50C9D3" w14:textId="77777777" w:rsidR="006D5BA8" w:rsidRDefault="004C0246" w:rsidP="000D0281">
      <w:pPr>
        <w:jc w:val="both"/>
      </w:pPr>
      <w:r>
        <w:t xml:space="preserve">Manufacturing sustainability cannot be inferred from chemistry metrics alone because pharmaceutical plants operate energy- and water-intensive support systems. Heating and cooling, clean utilities, compressed gases, ventilation, containment and cleaning may dominate particular processes, especially where production is low volume or highly regulated. LCA-based work has repeatedly shown that pharmaceutical environmental profiles depend on scale, plant configuration and data quality, while process inventories are difficult to </w:t>
      </w:r>
      <w:proofErr w:type="spellStart"/>
      <w:r>
        <w:t>generalise</w:t>
      </w:r>
      <w:proofErr w:type="spellEnd"/>
      <w:r>
        <w:t xml:space="preserve"> because commercial recipes are proprietary (De Soete et al., 2014). This makes cross-company carbon comparisons less reliable than within-process comparisons built on consistent boundaries.</w:t>
      </w:r>
    </w:p>
    <w:p w14:paraId="7F5B85A8" w14:textId="77777777" w:rsidR="006D5BA8" w:rsidRDefault="004C0246" w:rsidP="000D0281">
      <w:pPr>
        <w:jc w:val="both"/>
      </w:pPr>
      <w:r>
        <w:t>A useful hierarchy is to separate intrinsic process demand from site energy supply. Route redesign and process intensification can reduce the amount of material that must be heated, cooled or dried; solvent recovery can lower upstream solvent production but add distillation energy; electrification and lower-carbon power can reduce operational greenhouse-gas emissions without changing material efficiency. These interventions should not be collapsed into one indicator. A route that reduces PMI but increases high-temperature duty may still be environmentally preferable under a low-carbon energy system, whereas the same route can perform poorly where energy is carbon intensive. LCA is valuable precisely because it exposes such dependencies, but results need sensitivity analysis rather than a single-point ranking.</w:t>
      </w:r>
    </w:p>
    <w:p w14:paraId="75236E59" w14:textId="77777777" w:rsidR="006D5BA8" w:rsidRDefault="004C0246" w:rsidP="000D0281">
      <w:pPr>
        <w:jc w:val="both"/>
      </w:pPr>
      <w:r>
        <w:t xml:space="preserve">Cleaning is another under-reported hotspot. Pharmaceutical quality systems require validated cleaning to avoid cross-contamination, and multiproduct facilities can use substantial water, solvent and energy between campaigns. Technologies that improve campaign length, closed processing or equipment cleanability can therefore create environmental benefits not visible in reaction chemistry. Conversely, highly flexible small-scale equipment may increase cleaning frequency. Evidence remains too sparse for general </w:t>
      </w:r>
      <w:r>
        <w:lastRenderedPageBreak/>
        <w:t>quantitative rules, so cleaning should be incorporated explicitly into plantwide PMI, water and energy inventories rather than assumed negligible.</w:t>
      </w:r>
    </w:p>
    <w:p w14:paraId="6B4D30F5" w14:textId="77777777" w:rsidR="006D5BA8" w:rsidRDefault="004C0246" w:rsidP="000D0281">
      <w:pPr>
        <w:pStyle w:val="Heading2"/>
        <w:jc w:val="both"/>
      </w:pPr>
      <w:r>
        <w:t>5.2 API discharges and antimicrobial resistance</w:t>
      </w:r>
    </w:p>
    <w:p w14:paraId="0B5C251D" w14:textId="77777777" w:rsidR="006D5BA8" w:rsidRDefault="004C0246" w:rsidP="000D0281">
      <w:pPr>
        <w:jc w:val="both"/>
      </w:pPr>
      <w:r>
        <w:t xml:space="preserve">The case for controlling API releases from manufacturing is strongest </w:t>
      </w:r>
      <w:proofErr w:type="gramStart"/>
      <w:r>
        <w:t>where</w:t>
      </w:r>
      <w:proofErr w:type="gramEnd"/>
      <w:r>
        <w:t xml:space="preserve"> environmental concentrations approach levels capable of ecological effects or microbial selection. Larsson et al. (2007) reported extremely high concentrations of several pharmaceuticals in treated effluent receiving waste from a pharmaceutical production cluster near Hyderabad, including ciprofloxacin at concentrations far above those typically associated with municipal effluent. The study was geographically specific and cannot be </w:t>
      </w:r>
      <w:proofErr w:type="spellStart"/>
      <w:r>
        <w:t>generalised</w:t>
      </w:r>
      <w:proofErr w:type="spellEnd"/>
      <w:r>
        <w:t xml:space="preserve"> to all manufacturers, but it overturned the assumption that valuable APIs would necessarily be lost only in trivial quantities. Subsequent analyses have kept manufacturing discharges on the AMR agenda because antibiotic residues can create selection pressure in environments containing dense and diverse microbial communities (Larsson, 2014; Larsson &amp; Flach, 2022; Topp et al., 2018).</w:t>
      </w:r>
    </w:p>
    <w:p w14:paraId="6908719F" w14:textId="77777777" w:rsidR="006D5BA8" w:rsidRDefault="004C0246" w:rsidP="000D0281">
      <w:pPr>
        <w:jc w:val="both"/>
      </w:pPr>
      <w:r>
        <w:t xml:space="preserve">The appropriate response is not to equate all pharmaceutical manufacturing with uncontrolled antibiotic release. Evidence is heterogeneous across locations, production types and wastewater systems. Risk-based frameworks propose compound-specific discharge targets and management approaches that connect predicted no-effect concentrations with manufacturing control (Caldwell et al., 2016). Yet target setting is only as effective as monitoring, transparency and enforcement. </w:t>
      </w:r>
      <w:proofErr w:type="spellStart"/>
      <w:r>
        <w:t>Nijsingh</w:t>
      </w:r>
      <w:proofErr w:type="spellEnd"/>
      <w:r>
        <w:t xml:space="preserve"> et al. (2019) highlighted the fragmented incentives surrounding antibiotic manufacturing pollution, while Larsson and Fick (2009) argued that production-chain transparency could create market pressure for cleaner production. These governance mechanisms matter because manufacturing may occur far from the market in which the finished medicine is reimbursed or procured.</w:t>
      </w:r>
    </w:p>
    <w:p w14:paraId="03FBC16C" w14:textId="77777777" w:rsidR="006D5BA8" w:rsidRDefault="004C0246" w:rsidP="000D0281">
      <w:pPr>
        <w:jc w:val="both"/>
      </w:pPr>
      <w:r>
        <w:t xml:space="preserve">WHO's 2024 guidance represents a notable shift by providing specific recommendations for wastewater and solid-waste management in antibiotic manufacturing and by framing pollution control as part of preserving antibiotic effectiveness. It explicitly addresses regulators, procurers, auditors and industry, making environmental performance a supply-chain governance issue rather than only a plant-engineering problem (WHO, 2024). The guidance is important but its effectiveness will depend on adoption, credible monitoring and equitable implementation. Overly abrupt requirements could threaten supply in markets with limited manufacturing alternatives; weak requirements risk </w:t>
      </w:r>
      <w:proofErr w:type="spellStart"/>
      <w:r>
        <w:t>externalising</w:t>
      </w:r>
      <w:proofErr w:type="spellEnd"/>
      <w:r>
        <w:t xml:space="preserve"> AMR costs to communities and health systems.</w:t>
      </w:r>
    </w:p>
    <w:p w14:paraId="6C380BD9" w14:textId="77777777" w:rsidR="006D5BA8" w:rsidRDefault="004C0246" w:rsidP="000D0281">
      <w:pPr>
        <w:pStyle w:val="Heading2"/>
        <w:jc w:val="both"/>
      </w:pPr>
      <w:r>
        <w:t>5.3 Regulatory boundaries, procurement and transparency</w:t>
      </w:r>
    </w:p>
    <w:p w14:paraId="3D2B65D7" w14:textId="77777777" w:rsidR="006D5BA8" w:rsidRDefault="004C0246" w:rsidP="000D0281">
      <w:pPr>
        <w:jc w:val="both"/>
      </w:pPr>
      <w:r>
        <w:t xml:space="preserve">Regulatory systems create both safeguards and blind spots. The revised European environmental risk assessment guideline for human medicinal products evaluates environmental risk associated with use and disposal, but manufacture is managed through other legal and environmental regimes rather than the medicinal-product ERA itself (EMA, 2024). This separation is administratively understandable but environmentally artificial: the same API may create risks during production and after use, and manufacturing location can shift independently of marketing </w:t>
      </w:r>
      <w:proofErr w:type="spellStart"/>
      <w:r>
        <w:t>authorisation</w:t>
      </w:r>
      <w:proofErr w:type="spellEnd"/>
      <w:r>
        <w:t>. Life-cycle governance therefore requires information exchange across medicinal-product regulation, industrial emissions control, procurement and supplier qualification.</w:t>
      </w:r>
    </w:p>
    <w:p w14:paraId="44EEB30F" w14:textId="77777777" w:rsidR="006D5BA8" w:rsidRDefault="004C0246" w:rsidP="000D0281">
      <w:pPr>
        <w:jc w:val="both"/>
      </w:pPr>
      <w:r>
        <w:t xml:space="preserve">Procurement can connect environmental performance to market access without changing the scientific standard for medicine quality. In principle, buyers can request verified information on solvent efficiency, greenhouse-gas emissions, wastewater controls or packaging, and can reward suppliers that meet transparent thresholds. The challenge is comparability. Supplier self-reporting without standard boundaries can </w:t>
      </w:r>
      <w:proofErr w:type="spellStart"/>
      <w:r>
        <w:t>favour</w:t>
      </w:r>
      <w:proofErr w:type="spellEnd"/>
      <w:r>
        <w:t xml:space="preserve"> disclosure skill rather than environmental performance, while requirements designed around large multinational manufacturers may exclude smaller producers or </w:t>
      </w:r>
      <w:proofErr w:type="spellStart"/>
      <w:r>
        <w:t>destabilise</w:t>
      </w:r>
      <w:proofErr w:type="spellEnd"/>
      <w:r>
        <w:t xml:space="preserve"> supply. A defensible procurement framework should therefore use </w:t>
      </w:r>
      <w:proofErr w:type="spellStart"/>
      <w:r>
        <w:t>harmonised</w:t>
      </w:r>
      <w:proofErr w:type="spellEnd"/>
      <w:r>
        <w:t xml:space="preserve"> indicators, independent assurance where risk is high, and transition periods that protect access while raising performance.</w:t>
      </w:r>
    </w:p>
    <w:p w14:paraId="14582B02" w14:textId="77777777" w:rsidR="006D5BA8" w:rsidRDefault="004C0246" w:rsidP="000D0281">
      <w:pPr>
        <w:jc w:val="both"/>
      </w:pPr>
      <w:r>
        <w:lastRenderedPageBreak/>
        <w:t xml:space="preserve">Table 3 </w:t>
      </w:r>
      <w:proofErr w:type="spellStart"/>
      <w:r>
        <w:t>synthesises</w:t>
      </w:r>
      <w:proofErr w:type="spellEnd"/>
      <w:r>
        <w:t xml:space="preserve"> a control hierarchy from prevention through environmental release management. Its central implication is that end-of-pipe treatment is necessary for residual risks but cannot compensate efficiently for a process that generates avoidable solvent, API or hazardous waste. At the same time, green chemistry cannot substitute for verified effluent control where biologically active residues remain.</w:t>
      </w:r>
    </w:p>
    <w:p w14:paraId="15769610" w14:textId="77777777" w:rsidR="006D5BA8" w:rsidRDefault="004C0246" w:rsidP="000D0281">
      <w:pPr>
        <w:keepNext/>
        <w:jc w:val="both"/>
      </w:pPr>
      <w:r>
        <w:rPr>
          <w:b/>
        </w:rPr>
        <w:t>Table 3. Control hierarchy at the pharmaceutical manufacturing–environment interface</w:t>
      </w:r>
    </w:p>
    <w:tbl>
      <w:tblPr>
        <w:tblW w:w="0" w:type="auto"/>
        <w:jc w:val="center"/>
        <w:tblBorders>
          <w:top w:val="single" w:sz="5" w:space="0" w:color="B7C7BF"/>
          <w:left w:val="single" w:sz="5" w:space="0" w:color="B7C7BF"/>
          <w:bottom w:val="single" w:sz="5" w:space="0" w:color="B7C7BF"/>
          <w:right w:val="single" w:sz="5" w:space="0" w:color="B7C7BF"/>
          <w:insideH w:val="single" w:sz="5" w:space="0" w:color="B7C7BF"/>
          <w:insideV w:val="single" w:sz="5" w:space="0" w:color="B7C7BF"/>
        </w:tblBorders>
        <w:tblLayout w:type="fixed"/>
        <w:tblLook w:val="04A0" w:firstRow="1" w:lastRow="0" w:firstColumn="1" w:lastColumn="0" w:noHBand="0" w:noVBand="1"/>
      </w:tblPr>
      <w:tblGrid>
        <w:gridCol w:w="1512"/>
        <w:gridCol w:w="1872"/>
        <w:gridCol w:w="1944"/>
        <w:gridCol w:w="2592"/>
        <w:gridCol w:w="1800"/>
      </w:tblGrid>
      <w:tr w:rsidR="006D5BA8" w14:paraId="3FA9A360" w14:textId="77777777">
        <w:trPr>
          <w:tblHeader/>
          <w:jc w:val="center"/>
        </w:trPr>
        <w:tc>
          <w:tcPr>
            <w:tcW w:w="1512" w:type="dxa"/>
            <w:shd w:val="clear" w:color="auto" w:fill="DCE8E2"/>
            <w:tcMar>
              <w:top w:w="80" w:type="dxa"/>
              <w:left w:w="80" w:type="dxa"/>
              <w:bottom w:w="80" w:type="dxa"/>
              <w:right w:w="80" w:type="dxa"/>
            </w:tcMar>
            <w:vAlign w:val="center"/>
          </w:tcPr>
          <w:p w14:paraId="0167AF58" w14:textId="77777777" w:rsidR="006D5BA8" w:rsidRDefault="004C0246" w:rsidP="000D0281">
            <w:pPr>
              <w:pStyle w:val="TableText"/>
              <w:jc w:val="both"/>
            </w:pPr>
            <w:r>
              <w:rPr>
                <w:b/>
              </w:rPr>
              <w:t>Control level</w:t>
            </w:r>
          </w:p>
        </w:tc>
        <w:tc>
          <w:tcPr>
            <w:tcW w:w="1872" w:type="dxa"/>
            <w:shd w:val="clear" w:color="auto" w:fill="DCE8E2"/>
            <w:tcMar>
              <w:top w:w="80" w:type="dxa"/>
              <w:left w:w="80" w:type="dxa"/>
              <w:bottom w:w="80" w:type="dxa"/>
              <w:right w:w="80" w:type="dxa"/>
            </w:tcMar>
            <w:vAlign w:val="center"/>
          </w:tcPr>
          <w:p w14:paraId="01BE7A0C" w14:textId="77777777" w:rsidR="006D5BA8" w:rsidRDefault="004C0246" w:rsidP="000D0281">
            <w:pPr>
              <w:pStyle w:val="TableText"/>
              <w:jc w:val="both"/>
            </w:pPr>
            <w:r>
              <w:rPr>
                <w:b/>
              </w:rPr>
              <w:t>Primary mechanism</w:t>
            </w:r>
          </w:p>
        </w:tc>
        <w:tc>
          <w:tcPr>
            <w:tcW w:w="1944" w:type="dxa"/>
            <w:shd w:val="clear" w:color="auto" w:fill="DCE8E2"/>
            <w:tcMar>
              <w:top w:w="80" w:type="dxa"/>
              <w:left w:w="80" w:type="dxa"/>
              <w:bottom w:w="80" w:type="dxa"/>
              <w:right w:w="80" w:type="dxa"/>
            </w:tcMar>
            <w:vAlign w:val="center"/>
          </w:tcPr>
          <w:p w14:paraId="035CBEE2" w14:textId="77777777" w:rsidR="006D5BA8" w:rsidRDefault="004C0246" w:rsidP="000D0281">
            <w:pPr>
              <w:pStyle w:val="TableText"/>
              <w:jc w:val="both"/>
            </w:pPr>
            <w:r>
              <w:rPr>
                <w:b/>
              </w:rPr>
              <w:t>Evidence-based value</w:t>
            </w:r>
          </w:p>
        </w:tc>
        <w:tc>
          <w:tcPr>
            <w:tcW w:w="2592" w:type="dxa"/>
            <w:shd w:val="clear" w:color="auto" w:fill="DCE8E2"/>
            <w:tcMar>
              <w:top w:w="80" w:type="dxa"/>
              <w:left w:w="80" w:type="dxa"/>
              <w:bottom w:w="80" w:type="dxa"/>
              <w:right w:w="80" w:type="dxa"/>
            </w:tcMar>
            <w:vAlign w:val="center"/>
          </w:tcPr>
          <w:p w14:paraId="18139CA3" w14:textId="77777777" w:rsidR="006D5BA8" w:rsidRDefault="004C0246" w:rsidP="000D0281">
            <w:pPr>
              <w:pStyle w:val="TableText"/>
              <w:jc w:val="both"/>
            </w:pPr>
            <w:r>
              <w:rPr>
                <w:b/>
              </w:rPr>
              <w:t>Critical implementation issue</w:t>
            </w:r>
          </w:p>
        </w:tc>
        <w:tc>
          <w:tcPr>
            <w:tcW w:w="1800" w:type="dxa"/>
            <w:shd w:val="clear" w:color="auto" w:fill="DCE8E2"/>
            <w:tcMar>
              <w:top w:w="80" w:type="dxa"/>
              <w:left w:w="80" w:type="dxa"/>
              <w:bottom w:w="80" w:type="dxa"/>
              <w:right w:w="80" w:type="dxa"/>
            </w:tcMar>
            <w:vAlign w:val="center"/>
          </w:tcPr>
          <w:p w14:paraId="436CCAB7" w14:textId="77777777" w:rsidR="006D5BA8" w:rsidRDefault="004C0246" w:rsidP="000D0281">
            <w:pPr>
              <w:pStyle w:val="TableText"/>
              <w:jc w:val="both"/>
            </w:pPr>
            <w:r>
              <w:rPr>
                <w:b/>
              </w:rPr>
              <w:t>Supporting references</w:t>
            </w:r>
          </w:p>
        </w:tc>
      </w:tr>
      <w:tr w:rsidR="006D5BA8" w14:paraId="4B678E0F" w14:textId="77777777">
        <w:trPr>
          <w:cantSplit/>
          <w:jc w:val="center"/>
        </w:trPr>
        <w:tc>
          <w:tcPr>
            <w:tcW w:w="1512" w:type="dxa"/>
            <w:tcMar>
              <w:top w:w="80" w:type="dxa"/>
              <w:left w:w="80" w:type="dxa"/>
              <w:bottom w:w="80" w:type="dxa"/>
              <w:right w:w="80" w:type="dxa"/>
            </w:tcMar>
            <w:vAlign w:val="center"/>
          </w:tcPr>
          <w:p w14:paraId="69ED6BFF" w14:textId="77777777" w:rsidR="006D5BA8" w:rsidRDefault="004C0246" w:rsidP="000D0281">
            <w:pPr>
              <w:pStyle w:val="TableText"/>
              <w:jc w:val="both"/>
            </w:pPr>
            <w:r>
              <w:t>Molecular / route prevention</w:t>
            </w:r>
          </w:p>
        </w:tc>
        <w:tc>
          <w:tcPr>
            <w:tcW w:w="1872" w:type="dxa"/>
            <w:tcMar>
              <w:top w:w="80" w:type="dxa"/>
              <w:left w:w="80" w:type="dxa"/>
              <w:bottom w:w="80" w:type="dxa"/>
              <w:right w:w="80" w:type="dxa"/>
            </w:tcMar>
            <w:vAlign w:val="center"/>
          </w:tcPr>
          <w:p w14:paraId="5454F279" w14:textId="77777777" w:rsidR="006D5BA8" w:rsidRDefault="004C0246" w:rsidP="000D0281">
            <w:pPr>
              <w:pStyle w:val="TableText"/>
              <w:jc w:val="both"/>
            </w:pPr>
            <w:r>
              <w:t>Avoid persistent or hazardous choices and unnecessary process steps</w:t>
            </w:r>
          </w:p>
        </w:tc>
        <w:tc>
          <w:tcPr>
            <w:tcW w:w="1944" w:type="dxa"/>
            <w:tcMar>
              <w:top w:w="80" w:type="dxa"/>
              <w:left w:w="80" w:type="dxa"/>
              <w:bottom w:w="80" w:type="dxa"/>
              <w:right w:w="80" w:type="dxa"/>
            </w:tcMar>
            <w:vAlign w:val="center"/>
          </w:tcPr>
          <w:p w14:paraId="59E6E7D1" w14:textId="77777777" w:rsidR="006D5BA8" w:rsidRDefault="004C0246" w:rsidP="000D0281">
            <w:pPr>
              <w:pStyle w:val="TableText"/>
              <w:jc w:val="both"/>
            </w:pPr>
            <w:r>
              <w:t>Can reduce burden before scale-up and prevent downstream waste</w:t>
            </w:r>
          </w:p>
        </w:tc>
        <w:tc>
          <w:tcPr>
            <w:tcW w:w="2592" w:type="dxa"/>
            <w:tcMar>
              <w:top w:w="80" w:type="dxa"/>
              <w:left w:w="80" w:type="dxa"/>
              <w:bottom w:w="80" w:type="dxa"/>
              <w:right w:w="80" w:type="dxa"/>
            </w:tcMar>
            <w:vAlign w:val="center"/>
          </w:tcPr>
          <w:p w14:paraId="0A58314B" w14:textId="77777777" w:rsidR="006D5BA8" w:rsidRDefault="004C0246" w:rsidP="000D0281">
            <w:pPr>
              <w:pStyle w:val="TableText"/>
              <w:jc w:val="both"/>
            </w:pPr>
            <w:r>
              <w:t>Must preserve efficacy, stability, safety and manufacturability</w:t>
            </w:r>
          </w:p>
        </w:tc>
        <w:tc>
          <w:tcPr>
            <w:tcW w:w="1800" w:type="dxa"/>
            <w:tcMar>
              <w:top w:w="80" w:type="dxa"/>
              <w:left w:w="80" w:type="dxa"/>
              <w:bottom w:w="80" w:type="dxa"/>
              <w:right w:w="80" w:type="dxa"/>
            </w:tcMar>
            <w:vAlign w:val="center"/>
          </w:tcPr>
          <w:p w14:paraId="7467C117" w14:textId="77777777" w:rsidR="006D5BA8" w:rsidRDefault="004C0246" w:rsidP="000D0281">
            <w:pPr>
              <w:pStyle w:val="TableText"/>
              <w:jc w:val="both"/>
            </w:pPr>
            <w:proofErr w:type="spellStart"/>
            <w:r>
              <w:t>Kümmerer</w:t>
            </w:r>
            <w:proofErr w:type="spellEnd"/>
            <w:r>
              <w:t xml:space="preserve"> (2007); </w:t>
            </w:r>
            <w:proofErr w:type="spellStart"/>
            <w:r>
              <w:t>Puhlmann</w:t>
            </w:r>
            <w:proofErr w:type="spellEnd"/>
            <w:r>
              <w:t xml:space="preserve"> et al. (2024); Vidaurre et al. (2024)</w:t>
            </w:r>
          </w:p>
        </w:tc>
      </w:tr>
      <w:tr w:rsidR="006D5BA8" w14:paraId="61A67D1A" w14:textId="77777777">
        <w:trPr>
          <w:cantSplit/>
          <w:jc w:val="center"/>
        </w:trPr>
        <w:tc>
          <w:tcPr>
            <w:tcW w:w="1512" w:type="dxa"/>
            <w:shd w:val="clear" w:color="auto" w:fill="F6F9F7"/>
            <w:tcMar>
              <w:top w:w="80" w:type="dxa"/>
              <w:left w:w="80" w:type="dxa"/>
              <w:bottom w:w="80" w:type="dxa"/>
              <w:right w:w="80" w:type="dxa"/>
            </w:tcMar>
            <w:vAlign w:val="center"/>
          </w:tcPr>
          <w:p w14:paraId="5EC1B548" w14:textId="77777777" w:rsidR="006D5BA8" w:rsidRDefault="004C0246" w:rsidP="000D0281">
            <w:pPr>
              <w:pStyle w:val="TableText"/>
              <w:jc w:val="both"/>
            </w:pPr>
            <w:r>
              <w:t>Process efficiency</w:t>
            </w:r>
          </w:p>
        </w:tc>
        <w:tc>
          <w:tcPr>
            <w:tcW w:w="1872" w:type="dxa"/>
            <w:shd w:val="clear" w:color="auto" w:fill="F6F9F7"/>
            <w:tcMar>
              <w:top w:w="80" w:type="dxa"/>
              <w:left w:w="80" w:type="dxa"/>
              <w:bottom w:w="80" w:type="dxa"/>
              <w:right w:w="80" w:type="dxa"/>
            </w:tcMar>
            <w:vAlign w:val="center"/>
          </w:tcPr>
          <w:p w14:paraId="48547135" w14:textId="77777777" w:rsidR="006D5BA8" w:rsidRDefault="004C0246" w:rsidP="000D0281">
            <w:pPr>
              <w:pStyle w:val="TableText"/>
              <w:jc w:val="both"/>
            </w:pPr>
            <w:r>
              <w:t>Reduce solvent, water, reagents and energy through PMI, solvent tools and intensification</w:t>
            </w:r>
          </w:p>
        </w:tc>
        <w:tc>
          <w:tcPr>
            <w:tcW w:w="1944" w:type="dxa"/>
            <w:shd w:val="clear" w:color="auto" w:fill="F6F9F7"/>
            <w:tcMar>
              <w:top w:w="80" w:type="dxa"/>
              <w:left w:w="80" w:type="dxa"/>
              <w:bottom w:w="80" w:type="dxa"/>
              <w:right w:w="80" w:type="dxa"/>
            </w:tcMar>
            <w:vAlign w:val="center"/>
          </w:tcPr>
          <w:p w14:paraId="6A87E73A" w14:textId="77777777" w:rsidR="006D5BA8" w:rsidRDefault="004C0246" w:rsidP="000D0281">
            <w:pPr>
              <w:pStyle w:val="TableText"/>
              <w:jc w:val="both"/>
            </w:pPr>
            <w:r>
              <w:t>Strong industrial utility for identifying avoidable resource demand</w:t>
            </w:r>
          </w:p>
        </w:tc>
        <w:tc>
          <w:tcPr>
            <w:tcW w:w="2592" w:type="dxa"/>
            <w:shd w:val="clear" w:color="auto" w:fill="F6F9F7"/>
            <w:tcMar>
              <w:top w:w="80" w:type="dxa"/>
              <w:left w:w="80" w:type="dxa"/>
              <w:bottom w:w="80" w:type="dxa"/>
              <w:right w:w="80" w:type="dxa"/>
            </w:tcMar>
            <w:vAlign w:val="center"/>
          </w:tcPr>
          <w:p w14:paraId="7ABE8843" w14:textId="77777777" w:rsidR="006D5BA8" w:rsidRDefault="004C0246" w:rsidP="000D0281">
            <w:pPr>
              <w:pStyle w:val="TableText"/>
              <w:jc w:val="both"/>
            </w:pPr>
            <w:r>
              <w:t>Metric choice can hide hazard or energy trade-offs</w:t>
            </w:r>
          </w:p>
        </w:tc>
        <w:tc>
          <w:tcPr>
            <w:tcW w:w="1800" w:type="dxa"/>
            <w:shd w:val="clear" w:color="auto" w:fill="F6F9F7"/>
            <w:tcMar>
              <w:top w:w="80" w:type="dxa"/>
              <w:left w:w="80" w:type="dxa"/>
              <w:bottom w:w="80" w:type="dxa"/>
              <w:right w:w="80" w:type="dxa"/>
            </w:tcMar>
            <w:vAlign w:val="center"/>
          </w:tcPr>
          <w:p w14:paraId="7A7E7DA1" w14:textId="77777777" w:rsidR="006D5BA8" w:rsidRDefault="004C0246" w:rsidP="000D0281">
            <w:pPr>
              <w:pStyle w:val="TableText"/>
              <w:jc w:val="both"/>
            </w:pPr>
            <w:r>
              <w:t>Jimenez-Gonzalez et al. (2011); Monteith et al. (2020); Rogers &amp; Jensen (2019)</w:t>
            </w:r>
          </w:p>
        </w:tc>
      </w:tr>
      <w:tr w:rsidR="006D5BA8" w14:paraId="1CB3737E" w14:textId="77777777">
        <w:trPr>
          <w:cantSplit/>
          <w:jc w:val="center"/>
        </w:trPr>
        <w:tc>
          <w:tcPr>
            <w:tcW w:w="1512" w:type="dxa"/>
            <w:tcMar>
              <w:top w:w="80" w:type="dxa"/>
              <w:left w:w="80" w:type="dxa"/>
              <w:bottom w:w="80" w:type="dxa"/>
              <w:right w:w="80" w:type="dxa"/>
            </w:tcMar>
            <w:vAlign w:val="center"/>
          </w:tcPr>
          <w:p w14:paraId="4B1A32C6" w14:textId="77777777" w:rsidR="006D5BA8" w:rsidRDefault="004C0246" w:rsidP="000D0281">
            <w:pPr>
              <w:pStyle w:val="TableText"/>
              <w:jc w:val="both"/>
            </w:pPr>
            <w:r>
              <w:t>Containment and recovery</w:t>
            </w:r>
          </w:p>
        </w:tc>
        <w:tc>
          <w:tcPr>
            <w:tcW w:w="1872" w:type="dxa"/>
            <w:tcMar>
              <w:top w:w="80" w:type="dxa"/>
              <w:left w:w="80" w:type="dxa"/>
              <w:bottom w:w="80" w:type="dxa"/>
              <w:right w:w="80" w:type="dxa"/>
            </w:tcMar>
            <w:vAlign w:val="center"/>
          </w:tcPr>
          <w:p w14:paraId="471AB816" w14:textId="77777777" w:rsidR="006D5BA8" w:rsidRDefault="004C0246" w:rsidP="000D0281">
            <w:pPr>
              <w:pStyle w:val="TableText"/>
              <w:jc w:val="both"/>
            </w:pPr>
            <w:r>
              <w:t>Closed transfer, solvent recovery, segregation of high-strength streams</w:t>
            </w:r>
          </w:p>
        </w:tc>
        <w:tc>
          <w:tcPr>
            <w:tcW w:w="1944" w:type="dxa"/>
            <w:tcMar>
              <w:top w:w="80" w:type="dxa"/>
              <w:left w:w="80" w:type="dxa"/>
              <w:bottom w:w="80" w:type="dxa"/>
              <w:right w:w="80" w:type="dxa"/>
            </w:tcMar>
            <w:vAlign w:val="center"/>
          </w:tcPr>
          <w:p w14:paraId="6714FBE2" w14:textId="77777777" w:rsidR="006D5BA8" w:rsidRDefault="004C0246" w:rsidP="000D0281">
            <w:pPr>
              <w:pStyle w:val="TableText"/>
              <w:jc w:val="both"/>
            </w:pPr>
            <w:r>
              <w:t>Prevents diffuse losses and can recover valuable materials</w:t>
            </w:r>
          </w:p>
        </w:tc>
        <w:tc>
          <w:tcPr>
            <w:tcW w:w="2592" w:type="dxa"/>
            <w:tcMar>
              <w:top w:w="80" w:type="dxa"/>
              <w:left w:w="80" w:type="dxa"/>
              <w:bottom w:w="80" w:type="dxa"/>
              <w:right w:w="80" w:type="dxa"/>
            </w:tcMar>
            <w:vAlign w:val="center"/>
          </w:tcPr>
          <w:p w14:paraId="2B0FE96A" w14:textId="77777777" w:rsidR="006D5BA8" w:rsidRDefault="004C0246" w:rsidP="000D0281">
            <w:pPr>
              <w:pStyle w:val="TableText"/>
              <w:jc w:val="both"/>
            </w:pPr>
            <w:r>
              <w:t>Recovery may be energy intensive; contamination can limit reuse</w:t>
            </w:r>
          </w:p>
        </w:tc>
        <w:tc>
          <w:tcPr>
            <w:tcW w:w="1800" w:type="dxa"/>
            <w:tcMar>
              <w:top w:w="80" w:type="dxa"/>
              <w:left w:w="80" w:type="dxa"/>
              <w:bottom w:w="80" w:type="dxa"/>
              <w:right w:w="80" w:type="dxa"/>
            </w:tcMar>
            <w:vAlign w:val="center"/>
          </w:tcPr>
          <w:p w14:paraId="1C7A58F5" w14:textId="77777777" w:rsidR="006D5BA8" w:rsidRDefault="004C0246" w:rsidP="000D0281">
            <w:pPr>
              <w:pStyle w:val="TableText"/>
              <w:jc w:val="both"/>
            </w:pPr>
            <w:proofErr w:type="spellStart"/>
            <w:r>
              <w:t>Diorazio</w:t>
            </w:r>
            <w:proofErr w:type="spellEnd"/>
            <w:r>
              <w:t xml:space="preserve"> et al. (2016); </w:t>
            </w:r>
            <w:proofErr w:type="spellStart"/>
            <w:r>
              <w:t>Roschangar</w:t>
            </w:r>
            <w:proofErr w:type="spellEnd"/>
            <w:r>
              <w:t xml:space="preserve"> et al. (2017)</w:t>
            </w:r>
          </w:p>
        </w:tc>
      </w:tr>
      <w:tr w:rsidR="006D5BA8" w14:paraId="78EF6335" w14:textId="77777777">
        <w:trPr>
          <w:cantSplit/>
          <w:jc w:val="center"/>
        </w:trPr>
        <w:tc>
          <w:tcPr>
            <w:tcW w:w="1512" w:type="dxa"/>
            <w:shd w:val="clear" w:color="auto" w:fill="F6F9F7"/>
            <w:tcMar>
              <w:top w:w="80" w:type="dxa"/>
              <w:left w:w="80" w:type="dxa"/>
              <w:bottom w:w="80" w:type="dxa"/>
              <w:right w:w="80" w:type="dxa"/>
            </w:tcMar>
            <w:vAlign w:val="center"/>
          </w:tcPr>
          <w:p w14:paraId="2B625D00" w14:textId="77777777" w:rsidR="006D5BA8" w:rsidRDefault="004C0246" w:rsidP="000D0281">
            <w:pPr>
              <w:pStyle w:val="TableText"/>
              <w:jc w:val="both"/>
            </w:pPr>
            <w:r>
              <w:t>Wastewater and solid-waste treatment</w:t>
            </w:r>
          </w:p>
        </w:tc>
        <w:tc>
          <w:tcPr>
            <w:tcW w:w="1872" w:type="dxa"/>
            <w:shd w:val="clear" w:color="auto" w:fill="F6F9F7"/>
            <w:tcMar>
              <w:top w:w="80" w:type="dxa"/>
              <w:left w:w="80" w:type="dxa"/>
              <w:bottom w:w="80" w:type="dxa"/>
              <w:right w:w="80" w:type="dxa"/>
            </w:tcMar>
            <w:vAlign w:val="center"/>
          </w:tcPr>
          <w:p w14:paraId="779693A0" w14:textId="77777777" w:rsidR="006D5BA8" w:rsidRDefault="004C0246" w:rsidP="000D0281">
            <w:pPr>
              <w:pStyle w:val="TableText"/>
              <w:jc w:val="both"/>
            </w:pPr>
            <w:r>
              <w:t>Compound-appropriate treatment before environmental release</w:t>
            </w:r>
          </w:p>
        </w:tc>
        <w:tc>
          <w:tcPr>
            <w:tcW w:w="1944" w:type="dxa"/>
            <w:shd w:val="clear" w:color="auto" w:fill="F6F9F7"/>
            <w:tcMar>
              <w:top w:w="80" w:type="dxa"/>
              <w:left w:w="80" w:type="dxa"/>
              <w:bottom w:w="80" w:type="dxa"/>
              <w:right w:w="80" w:type="dxa"/>
            </w:tcMar>
            <w:vAlign w:val="center"/>
          </w:tcPr>
          <w:p w14:paraId="66AA5E07" w14:textId="77777777" w:rsidR="006D5BA8" w:rsidRDefault="004C0246" w:rsidP="000D0281">
            <w:pPr>
              <w:pStyle w:val="TableText"/>
              <w:jc w:val="both"/>
            </w:pPr>
            <w:r>
              <w:t>Essential when biologically active residues remain after prevention</w:t>
            </w:r>
          </w:p>
        </w:tc>
        <w:tc>
          <w:tcPr>
            <w:tcW w:w="2592" w:type="dxa"/>
            <w:shd w:val="clear" w:color="auto" w:fill="F6F9F7"/>
            <w:tcMar>
              <w:top w:w="80" w:type="dxa"/>
              <w:left w:w="80" w:type="dxa"/>
              <w:bottom w:w="80" w:type="dxa"/>
              <w:right w:w="80" w:type="dxa"/>
            </w:tcMar>
            <w:vAlign w:val="center"/>
          </w:tcPr>
          <w:p w14:paraId="30E62AF4" w14:textId="77777777" w:rsidR="006D5BA8" w:rsidRDefault="004C0246" w:rsidP="000D0281">
            <w:pPr>
              <w:pStyle w:val="TableText"/>
              <w:jc w:val="both"/>
            </w:pPr>
            <w:r>
              <w:t>Performance must be demonstrated at relevant concentrations and operating conditions</w:t>
            </w:r>
          </w:p>
        </w:tc>
        <w:tc>
          <w:tcPr>
            <w:tcW w:w="1800" w:type="dxa"/>
            <w:shd w:val="clear" w:color="auto" w:fill="F6F9F7"/>
            <w:tcMar>
              <w:top w:w="80" w:type="dxa"/>
              <w:left w:w="80" w:type="dxa"/>
              <w:bottom w:w="80" w:type="dxa"/>
              <w:right w:w="80" w:type="dxa"/>
            </w:tcMar>
            <w:vAlign w:val="center"/>
          </w:tcPr>
          <w:p w14:paraId="090AA883" w14:textId="77777777" w:rsidR="006D5BA8" w:rsidRDefault="004C0246" w:rsidP="000D0281">
            <w:pPr>
              <w:pStyle w:val="TableText"/>
              <w:jc w:val="both"/>
            </w:pPr>
            <w:r>
              <w:t>Caldwell et al. (2016); WHO (2024)</w:t>
            </w:r>
          </w:p>
        </w:tc>
      </w:tr>
      <w:tr w:rsidR="006D5BA8" w14:paraId="494B7B92" w14:textId="77777777">
        <w:trPr>
          <w:cantSplit/>
          <w:jc w:val="center"/>
        </w:trPr>
        <w:tc>
          <w:tcPr>
            <w:tcW w:w="1512" w:type="dxa"/>
            <w:tcMar>
              <w:top w:w="80" w:type="dxa"/>
              <w:left w:w="80" w:type="dxa"/>
              <w:bottom w:w="80" w:type="dxa"/>
              <w:right w:w="80" w:type="dxa"/>
            </w:tcMar>
            <w:vAlign w:val="center"/>
          </w:tcPr>
          <w:p w14:paraId="12BDDC3F" w14:textId="77777777" w:rsidR="006D5BA8" w:rsidRDefault="004C0246" w:rsidP="000D0281">
            <w:pPr>
              <w:pStyle w:val="TableText"/>
              <w:jc w:val="both"/>
            </w:pPr>
            <w:r>
              <w:t>Supply-chain transparency / procurement</w:t>
            </w:r>
          </w:p>
        </w:tc>
        <w:tc>
          <w:tcPr>
            <w:tcW w:w="1872" w:type="dxa"/>
            <w:tcMar>
              <w:top w:w="80" w:type="dxa"/>
              <w:left w:w="80" w:type="dxa"/>
              <w:bottom w:w="80" w:type="dxa"/>
              <w:right w:w="80" w:type="dxa"/>
            </w:tcMar>
            <w:vAlign w:val="center"/>
          </w:tcPr>
          <w:p w14:paraId="18B71742" w14:textId="77777777" w:rsidR="006D5BA8" w:rsidRDefault="004C0246" w:rsidP="000D0281">
            <w:pPr>
              <w:pStyle w:val="TableText"/>
              <w:jc w:val="both"/>
            </w:pPr>
            <w:r>
              <w:t>Transmit environmental requirements beyond individual sites</w:t>
            </w:r>
          </w:p>
        </w:tc>
        <w:tc>
          <w:tcPr>
            <w:tcW w:w="1944" w:type="dxa"/>
            <w:tcMar>
              <w:top w:w="80" w:type="dxa"/>
              <w:left w:w="80" w:type="dxa"/>
              <w:bottom w:w="80" w:type="dxa"/>
              <w:right w:w="80" w:type="dxa"/>
            </w:tcMar>
            <w:vAlign w:val="center"/>
          </w:tcPr>
          <w:p w14:paraId="4304058F" w14:textId="77777777" w:rsidR="006D5BA8" w:rsidRDefault="004C0246" w:rsidP="000D0281">
            <w:pPr>
              <w:pStyle w:val="TableText"/>
              <w:jc w:val="both"/>
            </w:pPr>
            <w:r>
              <w:t>Can align incentives across global manufacturing chains</w:t>
            </w:r>
          </w:p>
        </w:tc>
        <w:tc>
          <w:tcPr>
            <w:tcW w:w="2592" w:type="dxa"/>
            <w:tcMar>
              <w:top w:w="80" w:type="dxa"/>
              <w:left w:w="80" w:type="dxa"/>
              <w:bottom w:w="80" w:type="dxa"/>
              <w:right w:w="80" w:type="dxa"/>
            </w:tcMar>
            <w:vAlign w:val="center"/>
          </w:tcPr>
          <w:p w14:paraId="0C561CD6" w14:textId="77777777" w:rsidR="006D5BA8" w:rsidRDefault="004C0246" w:rsidP="000D0281">
            <w:pPr>
              <w:pStyle w:val="TableText"/>
              <w:jc w:val="both"/>
            </w:pPr>
            <w:r>
              <w:t>Comparable data, assurance, supplier capacity and medicine access must be protected</w:t>
            </w:r>
          </w:p>
        </w:tc>
        <w:tc>
          <w:tcPr>
            <w:tcW w:w="1800" w:type="dxa"/>
            <w:tcMar>
              <w:top w:w="80" w:type="dxa"/>
              <w:left w:w="80" w:type="dxa"/>
              <w:bottom w:w="80" w:type="dxa"/>
              <w:right w:w="80" w:type="dxa"/>
            </w:tcMar>
            <w:vAlign w:val="center"/>
          </w:tcPr>
          <w:p w14:paraId="5E9D0812" w14:textId="77777777" w:rsidR="006D5BA8" w:rsidRDefault="004C0246" w:rsidP="000D0281">
            <w:pPr>
              <w:pStyle w:val="TableText"/>
              <w:jc w:val="both"/>
            </w:pPr>
            <w:r>
              <w:t xml:space="preserve">Larsson &amp; Fick (2009); </w:t>
            </w:r>
            <w:proofErr w:type="spellStart"/>
            <w:r>
              <w:t>Nijsingh</w:t>
            </w:r>
            <w:proofErr w:type="spellEnd"/>
            <w:r>
              <w:t xml:space="preserve"> et al. (2019); WHO (2024)</w:t>
            </w:r>
          </w:p>
        </w:tc>
      </w:tr>
    </w:tbl>
    <w:p w14:paraId="6FD0727E" w14:textId="77777777" w:rsidR="006D5BA8" w:rsidRDefault="004C0246" w:rsidP="000D0281">
      <w:pPr>
        <w:spacing w:before="40" w:after="120"/>
        <w:jc w:val="both"/>
      </w:pPr>
      <w:r>
        <w:rPr>
          <w:i/>
        </w:rPr>
        <w:t xml:space="preserve">Note. </w:t>
      </w:r>
      <w:r>
        <w:t>AMR-related controls are especially relevant to antibiotic manufacturing, but the hierarchy is transferable to other APIs when environmental risk warrants.</w:t>
      </w:r>
    </w:p>
    <w:p w14:paraId="2AC53F8A" w14:textId="77777777" w:rsidR="006D5BA8" w:rsidRDefault="004C0246" w:rsidP="000D0281">
      <w:pPr>
        <w:pStyle w:val="Heading1"/>
        <w:jc w:val="both"/>
      </w:pPr>
      <w:r>
        <w:t>6. Sustainable Packaging: Performance, Protection and Material Circularity</w:t>
      </w:r>
    </w:p>
    <w:p w14:paraId="6C235D08" w14:textId="77777777" w:rsidR="006D5BA8" w:rsidRDefault="004C0246" w:rsidP="000D0281">
      <w:pPr>
        <w:pStyle w:val="Heading2"/>
        <w:jc w:val="both"/>
      </w:pPr>
      <w:r>
        <w:t>6.1 Packaging function is the correct starting point</w:t>
      </w:r>
    </w:p>
    <w:p w14:paraId="23B4FC2F" w14:textId="77777777" w:rsidR="006D5BA8" w:rsidRDefault="004C0246" w:rsidP="000D0281">
      <w:pPr>
        <w:jc w:val="both"/>
      </w:pPr>
      <w:r>
        <w:t>Pharmaceutical packaging is an engineered protection system, not merely a container. The primary pack may have to maintain moisture and oxygen barriers, light protection, sterility, closure integrity, dose identification and tamper evidence over a defined shelf life and global distribution environment. Secondary packaging can provide mechanical protection, instructions, serialization and aggregation. Environmental comparisons that ignore these functions can recommend a lighter or more recyclable pack that shortens shelf life, increases product damage or causes medicine wastage. Because the environmental burden of the medicine may exceed that of its pack, preventing product loss can be environmentally preferable even when the protective pack itself uses more material.</w:t>
      </w:r>
    </w:p>
    <w:p w14:paraId="713B6FB6" w14:textId="77777777" w:rsidR="006D5BA8" w:rsidRDefault="004C0246" w:rsidP="000D0281">
      <w:pPr>
        <w:jc w:val="both"/>
      </w:pPr>
      <w:r>
        <w:t xml:space="preserve">This functional perspective is explicit in packaging LCA. Bassani et al. (2022a) compared pharmaceutical packaging using functional units linked to delivery of the medicine rather than mass of packaging alone. </w:t>
      </w:r>
      <w:proofErr w:type="spellStart"/>
      <w:r>
        <w:t>Belboom</w:t>
      </w:r>
      <w:proofErr w:type="spellEnd"/>
      <w:r>
        <w:t xml:space="preserve"> et al. (2011) showed that a polymer-vial technology could outperform a traditional glass-vial system under the studied conditions because preparation, </w:t>
      </w:r>
      <w:proofErr w:type="spellStart"/>
      <w:r>
        <w:t>sterilisation</w:t>
      </w:r>
      <w:proofErr w:type="spellEnd"/>
      <w:r>
        <w:t xml:space="preserve"> and transport differed as well as the container material. Such results do not establish polymer as universally superior to glass. They demonstrate that the environmental unit of comparison is the complete packaging-and-filling service, including process changes enabled by the format.</w:t>
      </w:r>
    </w:p>
    <w:p w14:paraId="103994C1" w14:textId="77777777" w:rsidR="006D5BA8" w:rsidRDefault="004C0246" w:rsidP="000D0281">
      <w:pPr>
        <w:jc w:val="both"/>
      </w:pPr>
      <w:r>
        <w:t xml:space="preserve">Hospital-level evidence reinforces the same point. Baehr et al. (2024) assessed pharmaceutical and clinical packaging associated with different medication-administration practices and found that intuitive assumptions about which packaging system was more burdensome did not consistently hold. Loftus et al. (2026) likewise showed that medication packaging carbon footprints vary across blisters, bottles, ampoules </w:t>
      </w:r>
      <w:r>
        <w:lastRenderedPageBreak/>
        <w:t xml:space="preserve">and vials and are sensitive to material and disposal assumptions. These studies broaden packaging sustainability beyond the factory gate, but local formularies, recycling systems and clinical workflows constrain </w:t>
      </w:r>
      <w:proofErr w:type="spellStart"/>
      <w:r>
        <w:t>generalisability</w:t>
      </w:r>
      <w:proofErr w:type="spellEnd"/>
      <w:r>
        <w:t>.</w:t>
      </w:r>
    </w:p>
    <w:p w14:paraId="0C0C5881" w14:textId="77777777" w:rsidR="006D5BA8" w:rsidRDefault="004C0246" w:rsidP="000D0281">
      <w:pPr>
        <w:pStyle w:val="Heading2"/>
        <w:jc w:val="both"/>
      </w:pPr>
      <w:r>
        <w:t>6.2 Blisters, bottles, vials and the multi-material problem</w:t>
      </w:r>
    </w:p>
    <w:p w14:paraId="50ABFCAB" w14:textId="77777777" w:rsidR="006D5BA8" w:rsidRDefault="004C0246" w:rsidP="000D0281">
      <w:pPr>
        <w:jc w:val="both"/>
      </w:pPr>
      <w:r>
        <w:t xml:space="preserve">Blister packs illustrate the conflict between barrier performance and circularity. </w:t>
      </w:r>
      <w:proofErr w:type="spellStart"/>
      <w:r>
        <w:t>Aluminium</w:t>
      </w:r>
      <w:proofErr w:type="spellEnd"/>
      <w:r>
        <w:t>-rich or polymer–</w:t>
      </w:r>
      <w:proofErr w:type="spellStart"/>
      <w:r>
        <w:t>aluminium</w:t>
      </w:r>
      <w:proofErr w:type="spellEnd"/>
      <w:r>
        <w:t xml:space="preserve"> laminates can deliver high protection with low product mass, but their bonded layers are difficult to separate using conventional municipal recycling. Raju et al. (2016) showed that relative environmental performance can vary even between common blister constructions across impact categories, cautioning against a single-material narrative. The correct design question is whether the required barrier can be achieved with less material, fewer incompatible layers or a format compatible with an available collection and recycling route.</w:t>
      </w:r>
    </w:p>
    <w:p w14:paraId="7109019D" w14:textId="77777777" w:rsidR="006D5BA8" w:rsidRDefault="004C0246" w:rsidP="000D0281">
      <w:pPr>
        <w:jc w:val="both"/>
      </w:pPr>
      <w:r>
        <w:t xml:space="preserve">Bottles can be material-efficient for high tablet counts and are often easier to identify as a single dominant material, yet they may contain headspace, closures, desiccants and labels that complicate recovery. They can also shift dispensing and adherence patterns compared with unit-dose blisters. Vials and ampoules add the further constraints of sterility, breakage, closure integrity and, for injectables, stringent material compatibility. Glass has established pharmaceutical acceptance and strong material recyclability in suitable systems, but it is heavy and energy intensive to melt and transport. Polymer containers can reduce mass and avoid some washing or </w:t>
      </w:r>
      <w:proofErr w:type="spellStart"/>
      <w:r>
        <w:t>sterilisation</w:t>
      </w:r>
      <w:proofErr w:type="spellEnd"/>
      <w:r>
        <w:t xml:space="preserve"> operations in specific platform designs, while creating different feedstock and end-of-life challenges (</w:t>
      </w:r>
      <w:proofErr w:type="spellStart"/>
      <w:r>
        <w:t>Belboom</w:t>
      </w:r>
      <w:proofErr w:type="spellEnd"/>
      <w:r>
        <w:t xml:space="preserve"> et al., 2011).</w:t>
      </w:r>
    </w:p>
    <w:p w14:paraId="018FC78B" w14:textId="77777777" w:rsidR="006D5BA8" w:rsidRDefault="004C0246" w:rsidP="000D0281">
      <w:pPr>
        <w:jc w:val="both"/>
      </w:pPr>
      <w:r>
        <w:t xml:space="preserve">These trade-offs show why material substitution requires system testing. A mono-material design can improve theoretical recyclability but fail barrier or machinability requirements. A paper-based secondary pack can be </w:t>
      </w:r>
      <w:proofErr w:type="spellStart"/>
      <w:r>
        <w:t>favourable</w:t>
      </w:r>
      <w:proofErr w:type="spellEnd"/>
      <w:r>
        <w:t xml:space="preserve"> when </w:t>
      </w:r>
      <w:proofErr w:type="spellStart"/>
      <w:r>
        <w:t>fibre</w:t>
      </w:r>
      <w:proofErr w:type="spellEnd"/>
      <w:r>
        <w:t xml:space="preserve"> recovery is strong, while coatings, foils, adhesives and inserts can reduce actual recovery. Digital instructions can reduce paper but create accessibility, regulatory and equity questions. The evidence supports progressive simplification—remove redundant components, reduce gauge and empty volume, </w:t>
      </w:r>
      <w:proofErr w:type="spellStart"/>
      <w:r>
        <w:t>standardise</w:t>
      </w:r>
      <w:proofErr w:type="spellEnd"/>
      <w:r>
        <w:t xml:space="preserve"> compatible materials—before assuming that novel bio-based materials will solve the system.</w:t>
      </w:r>
    </w:p>
    <w:p w14:paraId="03E6DB5E" w14:textId="77777777" w:rsidR="006D5BA8" w:rsidRDefault="004C0246" w:rsidP="000D0281">
      <w:pPr>
        <w:pStyle w:val="Heading2"/>
        <w:jc w:val="both"/>
      </w:pPr>
      <w:r>
        <w:t>6.3 Ecodesign, right-sizing and end-of-life-informed development</w:t>
      </w:r>
    </w:p>
    <w:p w14:paraId="4A7A5DA5" w14:textId="77777777" w:rsidR="006D5BA8" w:rsidRDefault="004C0246" w:rsidP="000D0281">
      <w:pPr>
        <w:jc w:val="both"/>
      </w:pPr>
      <w:r>
        <w:t xml:space="preserve">Ecodesign studies provide the clearest empirical support for packaging prevention. Bassani et al. (2022b) used LCA to derive design recommendations that </w:t>
      </w:r>
      <w:proofErr w:type="spellStart"/>
      <w:r>
        <w:t>emphasised</w:t>
      </w:r>
      <w:proofErr w:type="spellEnd"/>
      <w:r>
        <w:t xml:space="preserve"> reducing packaging mass and volume and selecting lower-impact materials. Their later cradle-to-grave analysis found that packaging production was a major contributor to impact and that take-back and material recovery could improve several impact categories compared with domestic-waste scenarios (Bassani et al., 2024). The two studies together support a hierarchy in which material avoidance and right-sizing precede end-of-life </w:t>
      </w:r>
      <w:proofErr w:type="spellStart"/>
      <w:r>
        <w:t>optimisation</w:t>
      </w:r>
      <w:proofErr w:type="spellEnd"/>
      <w:r>
        <w:t xml:space="preserve"> because every gram not used avoids both production and disposal burdens.</w:t>
      </w:r>
    </w:p>
    <w:p w14:paraId="536766A1" w14:textId="77777777" w:rsidR="006D5BA8" w:rsidRDefault="004C0246" w:rsidP="000D0281">
      <w:pPr>
        <w:jc w:val="both"/>
      </w:pPr>
      <w:r>
        <w:t xml:space="preserve">Right-sizing is not equivalent to simply reducing pack dimensions. Dose regimen, pack count, adherence, stability after opening and dispensing practice determine whether smaller packs increase or decrease total packaging per completed therapy. Unit-dose packaging may use more material per tablet than a bottle but can support inventory control, identification and partial dispensing in some settings. Conversely, unnecessarily large presentation sizes can increase unused medicine. Sustainable pack design therefore needs real-world use data rather than purely geometric </w:t>
      </w:r>
      <w:proofErr w:type="spellStart"/>
      <w:r>
        <w:t>optimisation</w:t>
      </w:r>
      <w:proofErr w:type="spellEnd"/>
      <w:r>
        <w:t>.</w:t>
      </w:r>
    </w:p>
    <w:p w14:paraId="40D9075A" w14:textId="77777777" w:rsidR="006D5BA8" w:rsidRDefault="004C0246" w:rsidP="000D0281">
      <w:pPr>
        <w:jc w:val="both"/>
      </w:pPr>
      <w:r>
        <w:t>End-of-life should be designed into material decisions from the start. Bassani et al. (2024) found that take-back scenarios can improve outcomes when they route recoverable paper or glass to recycling and residual fractions to appropriate treatment. Yet recyclability labels are meaningful only when collection, sorting and reprocessing actually exist. A nominally recyclable pack in a market without collection remains functionally disposable. Designers should therefore model at least several plausible regional end-of-life scenarios rather than assuming a single best-case recycling rate.</w:t>
      </w:r>
    </w:p>
    <w:p w14:paraId="60FBF1DE" w14:textId="77777777" w:rsidR="006D5BA8" w:rsidRDefault="004C0246" w:rsidP="000D0281">
      <w:pPr>
        <w:pStyle w:val="Heading2"/>
        <w:jc w:val="both"/>
      </w:pPr>
      <w:r>
        <w:lastRenderedPageBreak/>
        <w:t>6.4 Bio-based, biodegradable and recycled materials: promise with boundary conditions</w:t>
      </w:r>
    </w:p>
    <w:p w14:paraId="3C7ABA40" w14:textId="77777777" w:rsidR="006D5BA8" w:rsidRDefault="004C0246" w:rsidP="000D0281">
      <w:pPr>
        <w:jc w:val="both"/>
      </w:pPr>
      <w:r>
        <w:t xml:space="preserve">Bio-based and biodegradable polymers attract interest because they appear to reconnect packaging with renewable resources and biological end-of-life pathways. In pharmaceuticals, this promise is constrained by barrier performance, extractables and </w:t>
      </w:r>
      <w:proofErr w:type="spellStart"/>
      <w:r>
        <w:t>leachables</w:t>
      </w:r>
      <w:proofErr w:type="spellEnd"/>
      <w:r>
        <w:t xml:space="preserve">, </w:t>
      </w:r>
      <w:proofErr w:type="spellStart"/>
      <w:r>
        <w:t>sterilisation</w:t>
      </w:r>
      <w:proofErr w:type="spellEnd"/>
      <w:r>
        <w:t xml:space="preserve"> tolerance, shelf-life evidence, machinability, regulatory change control and the availability of industrial composting or other appropriate treatment. A biodegradable material sent to landfill or incineration may deliver little of its intended circularity benefit, while premature degradation is unacceptable for a medicine-protection function. For these reasons, pharmaceutical adoption should be based on product-specific performance and LCA rather than material labels alone.</w:t>
      </w:r>
    </w:p>
    <w:p w14:paraId="4B47F29B" w14:textId="77777777" w:rsidR="006D5BA8" w:rsidRDefault="004C0246" w:rsidP="000D0281">
      <w:pPr>
        <w:jc w:val="both"/>
      </w:pPr>
      <w:r>
        <w:t xml:space="preserve">Recycled content creates a different tension. Regulation (EU) 2025/40 establishes broad packaging circularity requirements but exempts certain immediate and necessary outer pharmaceutical packaging from recycled-content obligations where health, safety and product-quality constraints require it (European Union, 2025). The exemption is environmentally significant because it </w:t>
      </w:r>
      <w:proofErr w:type="spellStart"/>
      <w:r>
        <w:t>recognises</w:t>
      </w:r>
      <w:proofErr w:type="spellEnd"/>
      <w:r>
        <w:t xml:space="preserve"> that recycled-content policy cannot be imported mechanically into contact-sensitive pharmaceutical applications. It should not be interpreted as a blanket exemption from </w:t>
      </w:r>
      <w:proofErr w:type="spellStart"/>
      <w:r>
        <w:t>ecodesign</w:t>
      </w:r>
      <w:proofErr w:type="spellEnd"/>
      <w:r>
        <w:t>. Secondary and tertiary packaging, transport materials and some non-contact components remain important opportunities for recycled content, reuse and material reduction where quality is not compromised.</w:t>
      </w:r>
    </w:p>
    <w:p w14:paraId="2232F77B" w14:textId="77777777" w:rsidR="006D5BA8" w:rsidRDefault="004C0246" w:rsidP="000D0281">
      <w:pPr>
        <w:jc w:val="both"/>
      </w:pPr>
      <w:r>
        <w:t xml:space="preserve">The most credible near-term pathway is therefore differentiated circularity: aggressive reduction and recycled content in low-risk secondary and logistics packaging, compatibility-driven simplification of primary packs, and targeted development of new barrier materials with full pharmaceutical performance testing. This approach is less rhetorically attractive than declaring all packaging recyclable, but it better reflects the evidence and regulatory reality. Table 4 </w:t>
      </w:r>
      <w:proofErr w:type="spellStart"/>
      <w:r>
        <w:t>summarises</w:t>
      </w:r>
      <w:proofErr w:type="spellEnd"/>
      <w:r>
        <w:t xml:space="preserve"> the main packaging strategies and the conditions under which they are likely to produce genuine environmental benefit.</w:t>
      </w:r>
    </w:p>
    <w:p w14:paraId="184CF4FD" w14:textId="77777777" w:rsidR="006D5BA8" w:rsidRDefault="004C0246" w:rsidP="000D0281">
      <w:pPr>
        <w:keepNext/>
        <w:jc w:val="both"/>
      </w:pPr>
      <w:r>
        <w:rPr>
          <w:b/>
        </w:rPr>
        <w:t>Table 4. Pharmaceutical packaging strategies, trade-offs and evidence requirements</w:t>
      </w:r>
    </w:p>
    <w:tbl>
      <w:tblPr>
        <w:tblW w:w="0" w:type="auto"/>
        <w:jc w:val="center"/>
        <w:tblBorders>
          <w:top w:val="single" w:sz="5" w:space="0" w:color="B7C7BF"/>
          <w:left w:val="single" w:sz="5" w:space="0" w:color="B7C7BF"/>
          <w:bottom w:val="single" w:sz="5" w:space="0" w:color="B7C7BF"/>
          <w:right w:val="single" w:sz="5" w:space="0" w:color="B7C7BF"/>
          <w:insideH w:val="single" w:sz="5" w:space="0" w:color="B7C7BF"/>
          <w:insideV w:val="single" w:sz="5" w:space="0" w:color="B7C7BF"/>
        </w:tblBorders>
        <w:tblLayout w:type="fixed"/>
        <w:tblLook w:val="04A0" w:firstRow="1" w:lastRow="0" w:firstColumn="1" w:lastColumn="0" w:noHBand="0" w:noVBand="1"/>
      </w:tblPr>
      <w:tblGrid>
        <w:gridCol w:w="1512"/>
        <w:gridCol w:w="1872"/>
        <w:gridCol w:w="1944"/>
        <w:gridCol w:w="2520"/>
        <w:gridCol w:w="1872"/>
      </w:tblGrid>
      <w:tr w:rsidR="006D5BA8" w14:paraId="51A67626" w14:textId="77777777">
        <w:trPr>
          <w:tblHeader/>
          <w:jc w:val="center"/>
        </w:trPr>
        <w:tc>
          <w:tcPr>
            <w:tcW w:w="1512" w:type="dxa"/>
            <w:shd w:val="clear" w:color="auto" w:fill="DCE8E2"/>
            <w:tcMar>
              <w:top w:w="80" w:type="dxa"/>
              <w:left w:w="80" w:type="dxa"/>
              <w:bottom w:w="80" w:type="dxa"/>
              <w:right w:w="80" w:type="dxa"/>
            </w:tcMar>
            <w:vAlign w:val="center"/>
          </w:tcPr>
          <w:p w14:paraId="5B5F5670" w14:textId="77777777" w:rsidR="006D5BA8" w:rsidRDefault="004C0246" w:rsidP="000D0281">
            <w:pPr>
              <w:pStyle w:val="TableText"/>
              <w:jc w:val="both"/>
            </w:pPr>
            <w:r>
              <w:rPr>
                <w:b/>
              </w:rPr>
              <w:t>Strategy</w:t>
            </w:r>
          </w:p>
        </w:tc>
        <w:tc>
          <w:tcPr>
            <w:tcW w:w="1872" w:type="dxa"/>
            <w:shd w:val="clear" w:color="auto" w:fill="DCE8E2"/>
            <w:tcMar>
              <w:top w:w="80" w:type="dxa"/>
              <w:left w:w="80" w:type="dxa"/>
              <w:bottom w:w="80" w:type="dxa"/>
              <w:right w:w="80" w:type="dxa"/>
            </w:tcMar>
            <w:vAlign w:val="center"/>
          </w:tcPr>
          <w:p w14:paraId="7384004B" w14:textId="77777777" w:rsidR="006D5BA8" w:rsidRDefault="004C0246" w:rsidP="000D0281">
            <w:pPr>
              <w:pStyle w:val="TableText"/>
              <w:jc w:val="both"/>
            </w:pPr>
            <w:r>
              <w:rPr>
                <w:b/>
              </w:rPr>
              <w:t>Likely benefit</w:t>
            </w:r>
          </w:p>
        </w:tc>
        <w:tc>
          <w:tcPr>
            <w:tcW w:w="1944" w:type="dxa"/>
            <w:shd w:val="clear" w:color="auto" w:fill="DCE8E2"/>
            <w:tcMar>
              <w:top w:w="80" w:type="dxa"/>
              <w:left w:w="80" w:type="dxa"/>
              <w:bottom w:w="80" w:type="dxa"/>
              <w:right w:w="80" w:type="dxa"/>
            </w:tcMar>
            <w:vAlign w:val="center"/>
          </w:tcPr>
          <w:p w14:paraId="2A0C35E2" w14:textId="77777777" w:rsidR="006D5BA8" w:rsidRDefault="004C0246" w:rsidP="000D0281">
            <w:pPr>
              <w:pStyle w:val="TableText"/>
              <w:jc w:val="both"/>
            </w:pPr>
            <w:r>
              <w:rPr>
                <w:b/>
              </w:rPr>
              <w:t>Key performance constraint</w:t>
            </w:r>
          </w:p>
        </w:tc>
        <w:tc>
          <w:tcPr>
            <w:tcW w:w="2520" w:type="dxa"/>
            <w:shd w:val="clear" w:color="auto" w:fill="DCE8E2"/>
            <w:tcMar>
              <w:top w:w="80" w:type="dxa"/>
              <w:left w:w="80" w:type="dxa"/>
              <w:bottom w:w="80" w:type="dxa"/>
              <w:right w:w="80" w:type="dxa"/>
            </w:tcMar>
            <w:vAlign w:val="center"/>
          </w:tcPr>
          <w:p w14:paraId="317BE3AA" w14:textId="77777777" w:rsidR="006D5BA8" w:rsidRDefault="004C0246" w:rsidP="000D0281">
            <w:pPr>
              <w:pStyle w:val="TableText"/>
              <w:jc w:val="both"/>
            </w:pPr>
            <w:r>
              <w:rPr>
                <w:b/>
              </w:rPr>
              <w:t>Evidence or decision requirement</w:t>
            </w:r>
          </w:p>
        </w:tc>
        <w:tc>
          <w:tcPr>
            <w:tcW w:w="1872" w:type="dxa"/>
            <w:shd w:val="clear" w:color="auto" w:fill="DCE8E2"/>
            <w:tcMar>
              <w:top w:w="80" w:type="dxa"/>
              <w:left w:w="80" w:type="dxa"/>
              <w:bottom w:w="80" w:type="dxa"/>
              <w:right w:w="80" w:type="dxa"/>
            </w:tcMar>
            <w:vAlign w:val="center"/>
          </w:tcPr>
          <w:p w14:paraId="78D9ABF3" w14:textId="77777777" w:rsidR="006D5BA8" w:rsidRDefault="004C0246" w:rsidP="000D0281">
            <w:pPr>
              <w:pStyle w:val="TableText"/>
              <w:jc w:val="both"/>
            </w:pPr>
            <w:r>
              <w:rPr>
                <w:b/>
              </w:rPr>
              <w:t>Supporting references</w:t>
            </w:r>
          </w:p>
        </w:tc>
      </w:tr>
      <w:tr w:rsidR="006D5BA8" w14:paraId="232E0051" w14:textId="77777777">
        <w:trPr>
          <w:cantSplit/>
          <w:jc w:val="center"/>
        </w:trPr>
        <w:tc>
          <w:tcPr>
            <w:tcW w:w="1512" w:type="dxa"/>
            <w:tcMar>
              <w:top w:w="80" w:type="dxa"/>
              <w:left w:w="80" w:type="dxa"/>
              <w:bottom w:w="80" w:type="dxa"/>
              <w:right w:w="80" w:type="dxa"/>
            </w:tcMar>
            <w:vAlign w:val="center"/>
          </w:tcPr>
          <w:p w14:paraId="7A0F66CB" w14:textId="77777777" w:rsidR="006D5BA8" w:rsidRDefault="004C0246" w:rsidP="000D0281">
            <w:pPr>
              <w:pStyle w:val="TableText"/>
              <w:jc w:val="both"/>
            </w:pPr>
            <w:r>
              <w:t>Material reduction and right-sizing</w:t>
            </w:r>
          </w:p>
        </w:tc>
        <w:tc>
          <w:tcPr>
            <w:tcW w:w="1872" w:type="dxa"/>
            <w:tcMar>
              <w:top w:w="80" w:type="dxa"/>
              <w:left w:w="80" w:type="dxa"/>
              <w:bottom w:w="80" w:type="dxa"/>
              <w:right w:w="80" w:type="dxa"/>
            </w:tcMar>
            <w:vAlign w:val="center"/>
          </w:tcPr>
          <w:p w14:paraId="3BE77587" w14:textId="77777777" w:rsidR="006D5BA8" w:rsidRDefault="004C0246" w:rsidP="000D0281">
            <w:pPr>
              <w:pStyle w:val="TableText"/>
              <w:jc w:val="both"/>
            </w:pPr>
            <w:r>
              <w:t>Lower upstream material, transport and end-of-life burden</w:t>
            </w:r>
          </w:p>
        </w:tc>
        <w:tc>
          <w:tcPr>
            <w:tcW w:w="1944" w:type="dxa"/>
            <w:tcMar>
              <w:top w:w="80" w:type="dxa"/>
              <w:left w:w="80" w:type="dxa"/>
              <w:bottom w:w="80" w:type="dxa"/>
              <w:right w:w="80" w:type="dxa"/>
            </w:tcMar>
            <w:vAlign w:val="center"/>
          </w:tcPr>
          <w:p w14:paraId="39949895" w14:textId="77777777" w:rsidR="006D5BA8" w:rsidRDefault="004C0246" w:rsidP="000D0281">
            <w:pPr>
              <w:pStyle w:val="TableText"/>
              <w:jc w:val="both"/>
            </w:pPr>
            <w:r>
              <w:t>Must preserve barrier, mechanical protection, labelling and dose usability</w:t>
            </w:r>
          </w:p>
        </w:tc>
        <w:tc>
          <w:tcPr>
            <w:tcW w:w="2520" w:type="dxa"/>
            <w:tcMar>
              <w:top w:w="80" w:type="dxa"/>
              <w:left w:w="80" w:type="dxa"/>
              <w:bottom w:w="80" w:type="dxa"/>
              <w:right w:w="80" w:type="dxa"/>
            </w:tcMar>
            <w:vAlign w:val="center"/>
          </w:tcPr>
          <w:p w14:paraId="14AE4C1F" w14:textId="77777777" w:rsidR="006D5BA8" w:rsidRDefault="004C0246" w:rsidP="000D0281">
            <w:pPr>
              <w:pStyle w:val="TableText"/>
              <w:jc w:val="both"/>
            </w:pPr>
            <w:r>
              <w:t>Functional-unit LCA plus stability/transport validation</w:t>
            </w:r>
          </w:p>
        </w:tc>
        <w:tc>
          <w:tcPr>
            <w:tcW w:w="1872" w:type="dxa"/>
            <w:tcMar>
              <w:top w:w="80" w:type="dxa"/>
              <w:left w:w="80" w:type="dxa"/>
              <w:bottom w:w="80" w:type="dxa"/>
              <w:right w:w="80" w:type="dxa"/>
            </w:tcMar>
            <w:vAlign w:val="center"/>
          </w:tcPr>
          <w:p w14:paraId="7DAAF961" w14:textId="77777777" w:rsidR="006D5BA8" w:rsidRDefault="004C0246" w:rsidP="000D0281">
            <w:pPr>
              <w:pStyle w:val="TableText"/>
              <w:jc w:val="both"/>
            </w:pPr>
            <w:r>
              <w:t>Bassani et al. (2022a, 2022b); Loftus et al. (2026)</w:t>
            </w:r>
          </w:p>
        </w:tc>
      </w:tr>
      <w:tr w:rsidR="006D5BA8" w14:paraId="3BC87525" w14:textId="77777777">
        <w:trPr>
          <w:cantSplit/>
          <w:jc w:val="center"/>
        </w:trPr>
        <w:tc>
          <w:tcPr>
            <w:tcW w:w="1512" w:type="dxa"/>
            <w:shd w:val="clear" w:color="auto" w:fill="F6F9F7"/>
            <w:tcMar>
              <w:top w:w="80" w:type="dxa"/>
              <w:left w:w="80" w:type="dxa"/>
              <w:bottom w:w="80" w:type="dxa"/>
              <w:right w:w="80" w:type="dxa"/>
            </w:tcMar>
            <w:vAlign w:val="center"/>
          </w:tcPr>
          <w:p w14:paraId="36CEE37E" w14:textId="77777777" w:rsidR="006D5BA8" w:rsidRDefault="004C0246" w:rsidP="000D0281">
            <w:pPr>
              <w:pStyle w:val="TableText"/>
              <w:jc w:val="both"/>
            </w:pPr>
            <w:r>
              <w:t>Mono-material / simplified structures</w:t>
            </w:r>
          </w:p>
        </w:tc>
        <w:tc>
          <w:tcPr>
            <w:tcW w:w="1872" w:type="dxa"/>
            <w:shd w:val="clear" w:color="auto" w:fill="F6F9F7"/>
            <w:tcMar>
              <w:top w:w="80" w:type="dxa"/>
              <w:left w:w="80" w:type="dxa"/>
              <w:bottom w:w="80" w:type="dxa"/>
              <w:right w:w="80" w:type="dxa"/>
            </w:tcMar>
            <w:vAlign w:val="center"/>
          </w:tcPr>
          <w:p w14:paraId="39FA17DD" w14:textId="77777777" w:rsidR="006D5BA8" w:rsidRDefault="004C0246" w:rsidP="000D0281">
            <w:pPr>
              <w:pStyle w:val="TableText"/>
              <w:jc w:val="both"/>
            </w:pPr>
            <w:r>
              <w:t>Improved sorting and recycling potential</w:t>
            </w:r>
          </w:p>
        </w:tc>
        <w:tc>
          <w:tcPr>
            <w:tcW w:w="1944" w:type="dxa"/>
            <w:shd w:val="clear" w:color="auto" w:fill="F6F9F7"/>
            <w:tcMar>
              <w:top w:w="80" w:type="dxa"/>
              <w:left w:w="80" w:type="dxa"/>
              <w:bottom w:w="80" w:type="dxa"/>
              <w:right w:w="80" w:type="dxa"/>
            </w:tcMar>
            <w:vAlign w:val="center"/>
          </w:tcPr>
          <w:p w14:paraId="4A7250E0" w14:textId="77777777" w:rsidR="006D5BA8" w:rsidRDefault="004C0246" w:rsidP="000D0281">
            <w:pPr>
              <w:pStyle w:val="TableText"/>
              <w:jc w:val="both"/>
            </w:pPr>
            <w:r>
              <w:t>Barrier performance and machinability may require multi-layer designs</w:t>
            </w:r>
          </w:p>
        </w:tc>
        <w:tc>
          <w:tcPr>
            <w:tcW w:w="2520" w:type="dxa"/>
            <w:shd w:val="clear" w:color="auto" w:fill="F6F9F7"/>
            <w:tcMar>
              <w:top w:w="80" w:type="dxa"/>
              <w:left w:w="80" w:type="dxa"/>
              <w:bottom w:w="80" w:type="dxa"/>
              <w:right w:w="80" w:type="dxa"/>
            </w:tcMar>
            <w:vAlign w:val="center"/>
          </w:tcPr>
          <w:p w14:paraId="1E95882E" w14:textId="77777777" w:rsidR="006D5BA8" w:rsidRDefault="004C0246" w:rsidP="000D0281">
            <w:pPr>
              <w:pStyle w:val="TableText"/>
              <w:jc w:val="both"/>
            </w:pPr>
            <w:r>
              <w:t>Local recycling compatibility and pharmaceutical performance testing</w:t>
            </w:r>
          </w:p>
        </w:tc>
        <w:tc>
          <w:tcPr>
            <w:tcW w:w="1872" w:type="dxa"/>
            <w:shd w:val="clear" w:color="auto" w:fill="F6F9F7"/>
            <w:tcMar>
              <w:top w:w="80" w:type="dxa"/>
              <w:left w:w="80" w:type="dxa"/>
              <w:bottom w:w="80" w:type="dxa"/>
              <w:right w:w="80" w:type="dxa"/>
            </w:tcMar>
            <w:vAlign w:val="center"/>
          </w:tcPr>
          <w:p w14:paraId="69960847" w14:textId="77777777" w:rsidR="006D5BA8" w:rsidRDefault="004C0246" w:rsidP="000D0281">
            <w:pPr>
              <w:pStyle w:val="TableText"/>
              <w:jc w:val="both"/>
            </w:pPr>
            <w:r>
              <w:t>Raju et al. (2016); Bassani et al. (2024)</w:t>
            </w:r>
          </w:p>
        </w:tc>
      </w:tr>
      <w:tr w:rsidR="006D5BA8" w14:paraId="3FE9F50A" w14:textId="77777777">
        <w:trPr>
          <w:cantSplit/>
          <w:jc w:val="center"/>
        </w:trPr>
        <w:tc>
          <w:tcPr>
            <w:tcW w:w="1512" w:type="dxa"/>
            <w:tcMar>
              <w:top w:w="80" w:type="dxa"/>
              <w:left w:w="80" w:type="dxa"/>
              <w:bottom w:w="80" w:type="dxa"/>
              <w:right w:w="80" w:type="dxa"/>
            </w:tcMar>
            <w:vAlign w:val="center"/>
          </w:tcPr>
          <w:p w14:paraId="1442CEC2" w14:textId="77777777" w:rsidR="006D5BA8" w:rsidRDefault="004C0246" w:rsidP="000D0281">
            <w:pPr>
              <w:pStyle w:val="TableText"/>
              <w:jc w:val="both"/>
            </w:pPr>
            <w:r>
              <w:t>Glass-to-polymer or polymer-to-glass substitution</w:t>
            </w:r>
          </w:p>
        </w:tc>
        <w:tc>
          <w:tcPr>
            <w:tcW w:w="1872" w:type="dxa"/>
            <w:tcMar>
              <w:top w:w="80" w:type="dxa"/>
              <w:left w:w="80" w:type="dxa"/>
              <w:bottom w:w="80" w:type="dxa"/>
              <w:right w:w="80" w:type="dxa"/>
            </w:tcMar>
            <w:vAlign w:val="center"/>
          </w:tcPr>
          <w:p w14:paraId="6202926F" w14:textId="77777777" w:rsidR="006D5BA8" w:rsidRDefault="004C0246" w:rsidP="000D0281">
            <w:pPr>
              <w:pStyle w:val="TableText"/>
              <w:jc w:val="both"/>
            </w:pPr>
            <w:r>
              <w:t xml:space="preserve">Can alter mass, </w:t>
            </w:r>
            <w:proofErr w:type="spellStart"/>
            <w:r>
              <w:t>sterilisation</w:t>
            </w:r>
            <w:proofErr w:type="spellEnd"/>
            <w:r>
              <w:t>, filling and transport impacts</w:t>
            </w:r>
          </w:p>
        </w:tc>
        <w:tc>
          <w:tcPr>
            <w:tcW w:w="1944" w:type="dxa"/>
            <w:tcMar>
              <w:top w:w="80" w:type="dxa"/>
              <w:left w:w="80" w:type="dxa"/>
              <w:bottom w:w="80" w:type="dxa"/>
              <w:right w:w="80" w:type="dxa"/>
            </w:tcMar>
            <w:vAlign w:val="center"/>
          </w:tcPr>
          <w:p w14:paraId="17B8A1BD" w14:textId="77777777" w:rsidR="006D5BA8" w:rsidRDefault="004C0246" w:rsidP="000D0281">
            <w:pPr>
              <w:pStyle w:val="TableText"/>
              <w:jc w:val="both"/>
            </w:pPr>
            <w:r>
              <w:t xml:space="preserve">Drug–container compatibility, closure integrity, </w:t>
            </w:r>
            <w:proofErr w:type="spellStart"/>
            <w:r>
              <w:t>sterilisation</w:t>
            </w:r>
            <w:proofErr w:type="spellEnd"/>
            <w:r>
              <w:t xml:space="preserve"> and breakage</w:t>
            </w:r>
          </w:p>
        </w:tc>
        <w:tc>
          <w:tcPr>
            <w:tcW w:w="2520" w:type="dxa"/>
            <w:tcMar>
              <w:top w:w="80" w:type="dxa"/>
              <w:left w:w="80" w:type="dxa"/>
              <w:bottom w:w="80" w:type="dxa"/>
              <w:right w:w="80" w:type="dxa"/>
            </w:tcMar>
            <w:vAlign w:val="center"/>
          </w:tcPr>
          <w:p w14:paraId="21219B57" w14:textId="77777777" w:rsidR="006D5BA8" w:rsidRDefault="004C0246" w:rsidP="000D0281">
            <w:pPr>
              <w:pStyle w:val="TableText"/>
              <w:jc w:val="both"/>
            </w:pPr>
            <w:r>
              <w:t>System-level LCA, not material-only comparison</w:t>
            </w:r>
          </w:p>
        </w:tc>
        <w:tc>
          <w:tcPr>
            <w:tcW w:w="1872" w:type="dxa"/>
            <w:tcMar>
              <w:top w:w="80" w:type="dxa"/>
              <w:left w:w="80" w:type="dxa"/>
              <w:bottom w:w="80" w:type="dxa"/>
              <w:right w:w="80" w:type="dxa"/>
            </w:tcMar>
            <w:vAlign w:val="center"/>
          </w:tcPr>
          <w:p w14:paraId="21511D9E" w14:textId="77777777" w:rsidR="006D5BA8" w:rsidRDefault="004C0246" w:rsidP="000D0281">
            <w:pPr>
              <w:pStyle w:val="TableText"/>
              <w:jc w:val="both"/>
            </w:pPr>
            <w:proofErr w:type="spellStart"/>
            <w:r>
              <w:t>Belboom</w:t>
            </w:r>
            <w:proofErr w:type="spellEnd"/>
            <w:r>
              <w:t xml:space="preserve"> et al. (2011); Loftus et al. (2026)</w:t>
            </w:r>
          </w:p>
        </w:tc>
      </w:tr>
      <w:tr w:rsidR="006D5BA8" w14:paraId="1C24B636" w14:textId="77777777">
        <w:trPr>
          <w:cantSplit/>
          <w:jc w:val="center"/>
        </w:trPr>
        <w:tc>
          <w:tcPr>
            <w:tcW w:w="1512" w:type="dxa"/>
            <w:shd w:val="clear" w:color="auto" w:fill="F6F9F7"/>
            <w:tcMar>
              <w:top w:w="80" w:type="dxa"/>
              <w:left w:w="80" w:type="dxa"/>
              <w:bottom w:w="80" w:type="dxa"/>
              <w:right w:w="80" w:type="dxa"/>
            </w:tcMar>
            <w:vAlign w:val="center"/>
          </w:tcPr>
          <w:p w14:paraId="0D6A54C8" w14:textId="77777777" w:rsidR="006D5BA8" w:rsidRDefault="004C0246" w:rsidP="000D0281">
            <w:pPr>
              <w:pStyle w:val="TableText"/>
              <w:jc w:val="both"/>
            </w:pPr>
            <w:r>
              <w:t>Recycled content</w:t>
            </w:r>
          </w:p>
        </w:tc>
        <w:tc>
          <w:tcPr>
            <w:tcW w:w="1872" w:type="dxa"/>
            <w:shd w:val="clear" w:color="auto" w:fill="F6F9F7"/>
            <w:tcMar>
              <w:top w:w="80" w:type="dxa"/>
              <w:left w:w="80" w:type="dxa"/>
              <w:bottom w:w="80" w:type="dxa"/>
              <w:right w:w="80" w:type="dxa"/>
            </w:tcMar>
            <w:vAlign w:val="center"/>
          </w:tcPr>
          <w:p w14:paraId="43432F75" w14:textId="77777777" w:rsidR="006D5BA8" w:rsidRDefault="004C0246" w:rsidP="000D0281">
            <w:pPr>
              <w:pStyle w:val="TableText"/>
              <w:jc w:val="both"/>
            </w:pPr>
            <w:r>
              <w:t xml:space="preserve">Reduces virgin feedstock demand where high-quality </w:t>
            </w:r>
            <w:proofErr w:type="spellStart"/>
            <w:r>
              <w:t>recyclate</w:t>
            </w:r>
            <w:proofErr w:type="spellEnd"/>
            <w:r>
              <w:t xml:space="preserve"> is available</w:t>
            </w:r>
          </w:p>
        </w:tc>
        <w:tc>
          <w:tcPr>
            <w:tcW w:w="1944" w:type="dxa"/>
            <w:shd w:val="clear" w:color="auto" w:fill="F6F9F7"/>
            <w:tcMar>
              <w:top w:w="80" w:type="dxa"/>
              <w:left w:w="80" w:type="dxa"/>
              <w:bottom w:w="80" w:type="dxa"/>
              <w:right w:w="80" w:type="dxa"/>
            </w:tcMar>
            <w:vAlign w:val="center"/>
          </w:tcPr>
          <w:p w14:paraId="03807B31" w14:textId="77777777" w:rsidR="006D5BA8" w:rsidRDefault="004C0246" w:rsidP="000D0281">
            <w:pPr>
              <w:pStyle w:val="TableText"/>
              <w:jc w:val="both"/>
            </w:pPr>
            <w:r>
              <w:t>Contact sensitivity, extractables/</w:t>
            </w:r>
            <w:proofErr w:type="spellStart"/>
            <w:r>
              <w:t>leachables</w:t>
            </w:r>
            <w:proofErr w:type="spellEnd"/>
            <w:r>
              <w:t>, consistency and regulatory compliance</w:t>
            </w:r>
          </w:p>
        </w:tc>
        <w:tc>
          <w:tcPr>
            <w:tcW w:w="2520" w:type="dxa"/>
            <w:shd w:val="clear" w:color="auto" w:fill="F6F9F7"/>
            <w:tcMar>
              <w:top w:w="80" w:type="dxa"/>
              <w:left w:w="80" w:type="dxa"/>
              <w:bottom w:w="80" w:type="dxa"/>
              <w:right w:w="80" w:type="dxa"/>
            </w:tcMar>
            <w:vAlign w:val="center"/>
          </w:tcPr>
          <w:p w14:paraId="7302B88D" w14:textId="77777777" w:rsidR="006D5BA8" w:rsidRDefault="004C0246" w:rsidP="000D0281">
            <w:pPr>
              <w:pStyle w:val="TableText"/>
              <w:jc w:val="both"/>
            </w:pPr>
            <w:r>
              <w:t>Risk-based use focused first on non-contact and secondary components</w:t>
            </w:r>
          </w:p>
        </w:tc>
        <w:tc>
          <w:tcPr>
            <w:tcW w:w="1872" w:type="dxa"/>
            <w:shd w:val="clear" w:color="auto" w:fill="F6F9F7"/>
            <w:tcMar>
              <w:top w:w="80" w:type="dxa"/>
              <w:left w:w="80" w:type="dxa"/>
              <w:bottom w:w="80" w:type="dxa"/>
              <w:right w:w="80" w:type="dxa"/>
            </w:tcMar>
            <w:vAlign w:val="center"/>
          </w:tcPr>
          <w:p w14:paraId="4A6EEA70" w14:textId="77777777" w:rsidR="006D5BA8" w:rsidRDefault="004C0246" w:rsidP="000D0281">
            <w:pPr>
              <w:pStyle w:val="TableText"/>
              <w:jc w:val="both"/>
            </w:pPr>
            <w:r>
              <w:t>European Union (2025)</w:t>
            </w:r>
          </w:p>
        </w:tc>
      </w:tr>
      <w:tr w:rsidR="006D5BA8" w14:paraId="365BCDD4" w14:textId="77777777">
        <w:trPr>
          <w:cantSplit/>
          <w:jc w:val="center"/>
        </w:trPr>
        <w:tc>
          <w:tcPr>
            <w:tcW w:w="1512" w:type="dxa"/>
            <w:tcMar>
              <w:top w:w="80" w:type="dxa"/>
              <w:left w:w="80" w:type="dxa"/>
              <w:bottom w:w="80" w:type="dxa"/>
              <w:right w:w="80" w:type="dxa"/>
            </w:tcMar>
            <w:vAlign w:val="center"/>
          </w:tcPr>
          <w:p w14:paraId="476F0232" w14:textId="77777777" w:rsidR="006D5BA8" w:rsidRDefault="004C0246" w:rsidP="000D0281">
            <w:pPr>
              <w:pStyle w:val="TableText"/>
              <w:jc w:val="both"/>
            </w:pPr>
            <w:r>
              <w:t>Bio-based / biodegradable materials</w:t>
            </w:r>
          </w:p>
        </w:tc>
        <w:tc>
          <w:tcPr>
            <w:tcW w:w="1872" w:type="dxa"/>
            <w:tcMar>
              <w:top w:w="80" w:type="dxa"/>
              <w:left w:w="80" w:type="dxa"/>
              <w:bottom w:w="80" w:type="dxa"/>
              <w:right w:w="80" w:type="dxa"/>
            </w:tcMar>
            <w:vAlign w:val="center"/>
          </w:tcPr>
          <w:p w14:paraId="08B40412" w14:textId="77777777" w:rsidR="006D5BA8" w:rsidRDefault="004C0246" w:rsidP="000D0281">
            <w:pPr>
              <w:pStyle w:val="TableText"/>
              <w:jc w:val="both"/>
            </w:pPr>
            <w:r>
              <w:t>Potential renewable feedstock or alternative end-of-life pathway</w:t>
            </w:r>
          </w:p>
        </w:tc>
        <w:tc>
          <w:tcPr>
            <w:tcW w:w="1944" w:type="dxa"/>
            <w:tcMar>
              <w:top w:w="80" w:type="dxa"/>
              <w:left w:w="80" w:type="dxa"/>
              <w:bottom w:w="80" w:type="dxa"/>
              <w:right w:w="80" w:type="dxa"/>
            </w:tcMar>
            <w:vAlign w:val="center"/>
          </w:tcPr>
          <w:p w14:paraId="7D0CDA16" w14:textId="77777777" w:rsidR="006D5BA8" w:rsidRDefault="004C0246" w:rsidP="000D0281">
            <w:pPr>
              <w:pStyle w:val="TableText"/>
              <w:jc w:val="both"/>
            </w:pPr>
            <w:r>
              <w:t xml:space="preserve">Barrier, shelf life, </w:t>
            </w:r>
            <w:proofErr w:type="spellStart"/>
            <w:r>
              <w:t>sterilisation</w:t>
            </w:r>
            <w:proofErr w:type="spellEnd"/>
            <w:r>
              <w:t xml:space="preserve"> and actual composting/recovery infrastructure</w:t>
            </w:r>
          </w:p>
        </w:tc>
        <w:tc>
          <w:tcPr>
            <w:tcW w:w="2520" w:type="dxa"/>
            <w:tcMar>
              <w:top w:w="80" w:type="dxa"/>
              <w:left w:w="80" w:type="dxa"/>
              <w:bottom w:w="80" w:type="dxa"/>
              <w:right w:w="80" w:type="dxa"/>
            </w:tcMar>
            <w:vAlign w:val="center"/>
          </w:tcPr>
          <w:p w14:paraId="71177CFE" w14:textId="77777777" w:rsidR="006D5BA8" w:rsidRDefault="004C0246" w:rsidP="000D0281">
            <w:pPr>
              <w:pStyle w:val="TableText"/>
              <w:jc w:val="both"/>
            </w:pPr>
            <w:r>
              <w:t>Product-specific qualification plus LCA across realistic end-of-life scenarios</w:t>
            </w:r>
          </w:p>
        </w:tc>
        <w:tc>
          <w:tcPr>
            <w:tcW w:w="1872" w:type="dxa"/>
            <w:tcMar>
              <w:top w:w="80" w:type="dxa"/>
              <w:left w:w="80" w:type="dxa"/>
              <w:bottom w:w="80" w:type="dxa"/>
              <w:right w:w="80" w:type="dxa"/>
            </w:tcMar>
            <w:vAlign w:val="center"/>
          </w:tcPr>
          <w:p w14:paraId="2D2317FB" w14:textId="77777777" w:rsidR="006D5BA8" w:rsidRDefault="004C0246" w:rsidP="000D0281">
            <w:pPr>
              <w:pStyle w:val="TableText"/>
              <w:jc w:val="both"/>
            </w:pPr>
            <w:r>
              <w:t>Bassani et al. (2022b, 2024)</w:t>
            </w:r>
          </w:p>
        </w:tc>
      </w:tr>
      <w:tr w:rsidR="006D5BA8" w14:paraId="7F961C46" w14:textId="77777777">
        <w:trPr>
          <w:cantSplit/>
          <w:jc w:val="center"/>
        </w:trPr>
        <w:tc>
          <w:tcPr>
            <w:tcW w:w="1512" w:type="dxa"/>
            <w:shd w:val="clear" w:color="auto" w:fill="F6F9F7"/>
            <w:tcMar>
              <w:top w:w="80" w:type="dxa"/>
              <w:left w:w="80" w:type="dxa"/>
              <w:bottom w:w="80" w:type="dxa"/>
              <w:right w:w="80" w:type="dxa"/>
            </w:tcMar>
            <w:vAlign w:val="center"/>
          </w:tcPr>
          <w:p w14:paraId="7AF40917" w14:textId="77777777" w:rsidR="006D5BA8" w:rsidRDefault="004C0246" w:rsidP="000D0281">
            <w:pPr>
              <w:pStyle w:val="TableText"/>
              <w:jc w:val="both"/>
            </w:pPr>
            <w:r>
              <w:t>Take-back-linked packaging design</w:t>
            </w:r>
          </w:p>
        </w:tc>
        <w:tc>
          <w:tcPr>
            <w:tcW w:w="1872" w:type="dxa"/>
            <w:shd w:val="clear" w:color="auto" w:fill="F6F9F7"/>
            <w:tcMar>
              <w:top w:w="80" w:type="dxa"/>
              <w:left w:w="80" w:type="dxa"/>
              <w:bottom w:w="80" w:type="dxa"/>
              <w:right w:w="80" w:type="dxa"/>
            </w:tcMar>
            <w:vAlign w:val="center"/>
          </w:tcPr>
          <w:p w14:paraId="7F0DB7B4" w14:textId="77777777" w:rsidR="006D5BA8" w:rsidRDefault="004C0246" w:rsidP="000D0281">
            <w:pPr>
              <w:pStyle w:val="TableText"/>
              <w:jc w:val="both"/>
            </w:pPr>
            <w:r>
              <w:t>Improves segregation and routing to controlled recovery/treatment</w:t>
            </w:r>
          </w:p>
        </w:tc>
        <w:tc>
          <w:tcPr>
            <w:tcW w:w="1944" w:type="dxa"/>
            <w:shd w:val="clear" w:color="auto" w:fill="F6F9F7"/>
            <w:tcMar>
              <w:top w:w="80" w:type="dxa"/>
              <w:left w:w="80" w:type="dxa"/>
              <w:bottom w:w="80" w:type="dxa"/>
              <w:right w:w="80" w:type="dxa"/>
            </w:tcMar>
            <w:vAlign w:val="center"/>
          </w:tcPr>
          <w:p w14:paraId="4C4D7A70" w14:textId="77777777" w:rsidR="006D5BA8" w:rsidRDefault="004C0246" w:rsidP="000D0281">
            <w:pPr>
              <w:pStyle w:val="TableText"/>
              <w:jc w:val="both"/>
            </w:pPr>
            <w:r>
              <w:t>Consumer participation and reverse-logistics coverage</w:t>
            </w:r>
          </w:p>
        </w:tc>
        <w:tc>
          <w:tcPr>
            <w:tcW w:w="2520" w:type="dxa"/>
            <w:shd w:val="clear" w:color="auto" w:fill="F6F9F7"/>
            <w:tcMar>
              <w:top w:w="80" w:type="dxa"/>
              <w:left w:w="80" w:type="dxa"/>
              <w:bottom w:w="80" w:type="dxa"/>
              <w:right w:w="80" w:type="dxa"/>
            </w:tcMar>
            <w:vAlign w:val="center"/>
          </w:tcPr>
          <w:p w14:paraId="535EF2E1" w14:textId="77777777" w:rsidR="006D5BA8" w:rsidRDefault="004C0246" w:rsidP="000D0281">
            <w:pPr>
              <w:pStyle w:val="TableText"/>
              <w:jc w:val="both"/>
            </w:pPr>
            <w:r>
              <w:t>Collection-system design and measured recovery outcomes</w:t>
            </w:r>
          </w:p>
        </w:tc>
        <w:tc>
          <w:tcPr>
            <w:tcW w:w="1872" w:type="dxa"/>
            <w:shd w:val="clear" w:color="auto" w:fill="F6F9F7"/>
            <w:tcMar>
              <w:top w:w="80" w:type="dxa"/>
              <w:left w:w="80" w:type="dxa"/>
              <w:bottom w:w="80" w:type="dxa"/>
              <w:right w:w="80" w:type="dxa"/>
            </w:tcMar>
            <w:vAlign w:val="center"/>
          </w:tcPr>
          <w:p w14:paraId="7C98738E" w14:textId="77777777" w:rsidR="006D5BA8" w:rsidRDefault="004C0246" w:rsidP="000D0281">
            <w:pPr>
              <w:pStyle w:val="TableText"/>
              <w:jc w:val="both"/>
            </w:pPr>
            <w:r>
              <w:t>Bassani et al. (2024); Wang et al. (2024)</w:t>
            </w:r>
          </w:p>
        </w:tc>
      </w:tr>
    </w:tbl>
    <w:p w14:paraId="3CC795DA" w14:textId="77777777" w:rsidR="006D5BA8" w:rsidRDefault="004C0246" w:rsidP="000D0281">
      <w:pPr>
        <w:spacing w:before="40" w:after="120"/>
        <w:jc w:val="both"/>
      </w:pPr>
      <w:r>
        <w:rPr>
          <w:i/>
        </w:rPr>
        <w:lastRenderedPageBreak/>
        <w:t xml:space="preserve">Note. </w:t>
      </w:r>
      <w:r>
        <w:t xml:space="preserve">Packaging choices should be compared for equivalent medicine protection and delivery; theoretical recyclability is not equivalent to </w:t>
      </w:r>
      <w:proofErr w:type="spellStart"/>
      <w:r>
        <w:t>realised</w:t>
      </w:r>
      <w:proofErr w:type="spellEnd"/>
      <w:r>
        <w:t xml:space="preserve"> recycling.</w:t>
      </w:r>
    </w:p>
    <w:p w14:paraId="4FCC9FBD" w14:textId="77777777" w:rsidR="006D5BA8" w:rsidRDefault="004C0246" w:rsidP="000D0281">
      <w:pPr>
        <w:pStyle w:val="Heading1"/>
        <w:jc w:val="both"/>
      </w:pPr>
      <w:r>
        <w:t>7. Disposal, Take-back and Closing the Loop</w:t>
      </w:r>
    </w:p>
    <w:p w14:paraId="781903CD" w14:textId="77777777" w:rsidR="006D5BA8" w:rsidRDefault="004C0246" w:rsidP="000D0281">
      <w:pPr>
        <w:pStyle w:val="Heading2"/>
        <w:jc w:val="both"/>
      </w:pPr>
      <w:r>
        <w:t>7.1 Unused medicines as a product-and-system design problem</w:t>
      </w:r>
    </w:p>
    <w:p w14:paraId="72B3D01F" w14:textId="77777777" w:rsidR="006D5BA8" w:rsidRDefault="004C0246" w:rsidP="000D0281">
      <w:pPr>
        <w:jc w:val="both"/>
      </w:pPr>
      <w:r>
        <w:t>Unused and expired medicines represent a compounded environmental loss: the impacts of manufacturing, packaging and distribution have already occurred, while the product may still require controlled disposal and can release APIs if discarded inappropriately. Household studies and systematic reviews show that mixed-waste disposal and sewer disposal remain common in many settings, although prevalence varies by country and survey design (Hiew &amp; Low, 2024; Wang et al., 2024). The problem is often framed as a consumer knowledge deficit, but that interpretation is incomplete. Pack sizes, prescribing, dispensing, treatment changes, adverse effects, adherence, expiry dating and access to return routes all influence how much medicine becomes waste.</w:t>
      </w:r>
    </w:p>
    <w:p w14:paraId="774430D1" w14:textId="77777777" w:rsidR="006D5BA8" w:rsidRDefault="004C0246" w:rsidP="000D0281">
      <w:pPr>
        <w:jc w:val="both"/>
      </w:pPr>
      <w:r>
        <w:t xml:space="preserve">A design-to-disposal strategy therefore </w:t>
      </w:r>
      <w:proofErr w:type="spellStart"/>
      <w:r>
        <w:t>prioritises</w:t>
      </w:r>
      <w:proofErr w:type="spellEnd"/>
      <w:r>
        <w:t xml:space="preserve"> prevention before collection. Better demand forecasting, appropriate pack sizes, inventory rotation and dispensing practices can reduce the amount of unused medicine. Longer shelf life may also reduce expiry losses, but only if achieved without disproportionately increasing manufacturing or packaging burden. These measures require coordination across manufacturers, regulators, wholesalers, pharmacies and healthcare providers, demonstrating that end-of-life performance is partly determined upstream.</w:t>
      </w:r>
    </w:p>
    <w:p w14:paraId="0E11B000" w14:textId="77777777" w:rsidR="006D5BA8" w:rsidRDefault="004C0246" w:rsidP="000D0281">
      <w:pPr>
        <w:pStyle w:val="Heading2"/>
        <w:jc w:val="both"/>
      </w:pPr>
      <w:r>
        <w:t xml:space="preserve">7.2 Take-back </w:t>
      </w:r>
      <w:proofErr w:type="spellStart"/>
      <w:r>
        <w:t>programmes</w:t>
      </w:r>
      <w:proofErr w:type="spellEnd"/>
      <w:r>
        <w:t xml:space="preserve"> and </w:t>
      </w:r>
      <w:proofErr w:type="spellStart"/>
      <w:r>
        <w:t>behavioural</w:t>
      </w:r>
      <w:proofErr w:type="spellEnd"/>
      <w:r>
        <w:t xml:space="preserve"> interventions</w:t>
      </w:r>
    </w:p>
    <w:p w14:paraId="57999D08" w14:textId="77777777" w:rsidR="006D5BA8" w:rsidRDefault="004C0246" w:rsidP="000D0281">
      <w:pPr>
        <w:jc w:val="both"/>
      </w:pPr>
      <w:r>
        <w:t xml:space="preserve">Take-back </w:t>
      </w:r>
      <w:proofErr w:type="spellStart"/>
      <w:r>
        <w:t>programmes</w:t>
      </w:r>
      <w:proofErr w:type="spellEnd"/>
      <w:r>
        <w:t xml:space="preserve"> offer a controlled route for unused medicines and can reduce direct disposal to wastewater or mixed household waste. Wang et al. (2024) found substantial variation among </w:t>
      </w:r>
      <w:proofErr w:type="spellStart"/>
      <w:r>
        <w:t>programmes</w:t>
      </w:r>
      <w:proofErr w:type="spellEnd"/>
      <w:r>
        <w:t xml:space="preserve"> and identified differences in design, accessibility and implementation across countries. More recent review evidence focused on intervention studies suggests that combinations of disposal aids, information and accessible return options can improve proper disposal </w:t>
      </w:r>
      <w:proofErr w:type="spellStart"/>
      <w:r>
        <w:t>behaviour</w:t>
      </w:r>
      <w:proofErr w:type="spellEnd"/>
      <w:r>
        <w:t>, but the evidence base remains small and context dependent (</w:t>
      </w:r>
      <w:proofErr w:type="spellStart"/>
      <w:r>
        <w:t>Alfian</w:t>
      </w:r>
      <w:proofErr w:type="spellEnd"/>
      <w:r>
        <w:t xml:space="preserve"> et al., 2026). The policy implication is that merely announcing a return scheme is insufficient; convenience, communication, cost allocation and final treatment need to be designed as an integrated service.</w:t>
      </w:r>
    </w:p>
    <w:p w14:paraId="3B2A1C1D" w14:textId="77777777" w:rsidR="006D5BA8" w:rsidRDefault="004C0246" w:rsidP="000D0281">
      <w:pPr>
        <w:jc w:val="both"/>
      </w:pPr>
      <w:proofErr w:type="spellStart"/>
      <w:r>
        <w:t>Behavioural</w:t>
      </w:r>
      <w:proofErr w:type="spellEnd"/>
      <w:r>
        <w:t xml:space="preserve"> evidence also cautions against over-reliance on awareness campaigns. Hiew and Low (2024) documented persistent gaps between knowledge, attitudes and actual household disposal practice. Information may improve awareness without overcoming travel distance, inconvenient pharmacy arrangements or uncertainty about which products are accepted. Effective systems reduce friction: collection points are visible, free, trusted and linked to clear instructions. Evaluation should measure returned mass, participation, contamination and final treatment rather than only self-reported intention.</w:t>
      </w:r>
    </w:p>
    <w:p w14:paraId="59856711" w14:textId="77777777" w:rsidR="006D5BA8" w:rsidRDefault="004C0246" w:rsidP="000D0281">
      <w:pPr>
        <w:pStyle w:val="Heading2"/>
        <w:jc w:val="both"/>
      </w:pPr>
      <w:r>
        <w:t>7.3 Packaging end-of-life and the limits of circularity</w:t>
      </w:r>
    </w:p>
    <w:p w14:paraId="6DCFCB8B" w14:textId="77777777" w:rsidR="006D5BA8" w:rsidRDefault="004C0246" w:rsidP="000D0281">
      <w:pPr>
        <w:jc w:val="both"/>
      </w:pPr>
      <w:r>
        <w:t xml:space="preserve">For empty pharmaceutical packaging, the preferred end-of-life route depends on residual contamination and material structure. Clean </w:t>
      </w:r>
      <w:proofErr w:type="spellStart"/>
      <w:r>
        <w:t>fibreboard</w:t>
      </w:r>
      <w:proofErr w:type="spellEnd"/>
      <w:r>
        <w:t xml:space="preserve"> and some glass or mono-material plastics can enter conventional recycling where local systems accept them. Multi-layer blister packs, composite sachets, desiccants, contaminated containers and small-format components are more difficult. Bassani et al. (2024) showed that collection and recovery assumptions materially affect life-cycle results, supporting dedicated routes where recoverable fractions can be separated efficiently. Yet reverse logistics also consume transport and handling resources; collection should therefore be designed around existing pharmacy or municipal networks rather than creating highly inefficient parallel systems.</w:t>
      </w:r>
    </w:p>
    <w:p w14:paraId="57C08191" w14:textId="77777777" w:rsidR="006D5BA8" w:rsidRDefault="004C0246" w:rsidP="000D0281">
      <w:pPr>
        <w:jc w:val="both"/>
      </w:pPr>
      <w:r>
        <w:t xml:space="preserve">Incineration is often portrayed only as a loss of material circularity, but for pharmaceutical residues it can provide controlled destruction where recycling would spread contamination or where small multi-material fractions cannot be economically separated. Landfill may avoid some combustion emissions but preserves </w:t>
      </w:r>
      <w:r>
        <w:lastRenderedPageBreak/>
        <w:t>material loss and can create long-term leakage concerns. The hierarchy is therefore conditional: prevent unnecessary packaging, reuse only where validated and safe, recycle clean and separable materials, and use controlled destruction for contaminated or technically unrecoverable residues. Circularity should not override toxicological control.</w:t>
      </w:r>
    </w:p>
    <w:p w14:paraId="0F376B13" w14:textId="77777777" w:rsidR="006D5BA8" w:rsidRDefault="004C0246" w:rsidP="000D0281">
      <w:pPr>
        <w:jc w:val="both"/>
      </w:pPr>
      <w:r>
        <w:t xml:space="preserve">A further systems issue is responsibility. Extended producer responsibility can finance collection and create incentives for design improvement, while procurement can </w:t>
      </w:r>
      <w:proofErr w:type="spellStart"/>
      <w:r>
        <w:t>favour</w:t>
      </w:r>
      <w:proofErr w:type="spellEnd"/>
      <w:r>
        <w:t xml:space="preserve"> formats with lower verified life-cycle burdens. Yet fee modulation based only on recyclability can </w:t>
      </w:r>
      <w:proofErr w:type="spellStart"/>
      <w:r>
        <w:t>penalise</w:t>
      </w:r>
      <w:proofErr w:type="spellEnd"/>
      <w:r>
        <w:t xml:space="preserve"> necessary high-barrier or sterile formats. A more defensible approach combines material design scores with exemptions or adjustment for pharmaceutical performance requirements, while still requiring evidence that exemptions are technically necessary. The EU packaging regulation moves in this direction by distinguishing contact-sensitive medicinal packaging from the broader recycled-content mandate (European Union, 2025).</w:t>
      </w:r>
    </w:p>
    <w:p w14:paraId="5C1371BF" w14:textId="77777777" w:rsidR="006D5BA8" w:rsidRDefault="004C0246" w:rsidP="000D0281">
      <w:pPr>
        <w:jc w:val="both"/>
      </w:pPr>
      <w:r>
        <w:t>Table 5 connects end-of-life options to upstream design choices and governance responsibilities. The hierarchy deliberately distinguishes medicine residues from packaging material because safe destruction and material recovery are not always compatible objectives.</w:t>
      </w:r>
    </w:p>
    <w:p w14:paraId="70FF8EEA" w14:textId="77777777" w:rsidR="006D5BA8" w:rsidRDefault="004C0246" w:rsidP="000D0281">
      <w:pPr>
        <w:keepNext/>
        <w:jc w:val="both"/>
      </w:pPr>
      <w:r>
        <w:rPr>
          <w:b/>
        </w:rPr>
        <w:t>Table 5. Design-to-disposal hierarchy for medicines and pharmaceutical packaging</w:t>
      </w:r>
    </w:p>
    <w:tbl>
      <w:tblPr>
        <w:tblW w:w="0" w:type="auto"/>
        <w:jc w:val="center"/>
        <w:tblBorders>
          <w:top w:val="single" w:sz="5" w:space="0" w:color="B7C7BF"/>
          <w:left w:val="single" w:sz="5" w:space="0" w:color="B7C7BF"/>
          <w:bottom w:val="single" w:sz="5" w:space="0" w:color="B7C7BF"/>
          <w:right w:val="single" w:sz="5" w:space="0" w:color="B7C7BF"/>
          <w:insideH w:val="single" w:sz="5" w:space="0" w:color="B7C7BF"/>
          <w:insideV w:val="single" w:sz="5" w:space="0" w:color="B7C7BF"/>
        </w:tblBorders>
        <w:tblLayout w:type="fixed"/>
        <w:tblLook w:val="04A0" w:firstRow="1" w:lastRow="0" w:firstColumn="1" w:lastColumn="0" w:noHBand="0" w:noVBand="1"/>
      </w:tblPr>
      <w:tblGrid>
        <w:gridCol w:w="1080"/>
        <w:gridCol w:w="2088"/>
        <w:gridCol w:w="2088"/>
        <w:gridCol w:w="2592"/>
        <w:gridCol w:w="1872"/>
      </w:tblGrid>
      <w:tr w:rsidR="006D5BA8" w14:paraId="752DD858" w14:textId="77777777">
        <w:trPr>
          <w:tblHeader/>
          <w:jc w:val="center"/>
        </w:trPr>
        <w:tc>
          <w:tcPr>
            <w:tcW w:w="1080" w:type="dxa"/>
            <w:shd w:val="clear" w:color="auto" w:fill="DCE8E2"/>
            <w:tcMar>
              <w:top w:w="80" w:type="dxa"/>
              <w:left w:w="80" w:type="dxa"/>
              <w:bottom w:w="80" w:type="dxa"/>
              <w:right w:w="80" w:type="dxa"/>
            </w:tcMar>
            <w:vAlign w:val="center"/>
          </w:tcPr>
          <w:p w14:paraId="171AA1BE" w14:textId="77777777" w:rsidR="006D5BA8" w:rsidRDefault="004C0246" w:rsidP="000D0281">
            <w:pPr>
              <w:pStyle w:val="TableText"/>
              <w:jc w:val="both"/>
            </w:pPr>
            <w:r>
              <w:rPr>
                <w:b/>
              </w:rPr>
              <w:t>Priority</w:t>
            </w:r>
          </w:p>
        </w:tc>
        <w:tc>
          <w:tcPr>
            <w:tcW w:w="2088" w:type="dxa"/>
            <w:shd w:val="clear" w:color="auto" w:fill="DCE8E2"/>
            <w:tcMar>
              <w:top w:w="80" w:type="dxa"/>
              <w:left w:w="80" w:type="dxa"/>
              <w:bottom w:w="80" w:type="dxa"/>
              <w:right w:w="80" w:type="dxa"/>
            </w:tcMar>
            <w:vAlign w:val="center"/>
          </w:tcPr>
          <w:p w14:paraId="73BBBDE0" w14:textId="77777777" w:rsidR="006D5BA8" w:rsidRDefault="004C0246" w:rsidP="000D0281">
            <w:pPr>
              <w:pStyle w:val="TableText"/>
              <w:jc w:val="both"/>
            </w:pPr>
            <w:r>
              <w:rPr>
                <w:b/>
              </w:rPr>
              <w:t>Design or system action</w:t>
            </w:r>
          </w:p>
        </w:tc>
        <w:tc>
          <w:tcPr>
            <w:tcW w:w="2088" w:type="dxa"/>
            <w:shd w:val="clear" w:color="auto" w:fill="DCE8E2"/>
            <w:tcMar>
              <w:top w:w="80" w:type="dxa"/>
              <w:left w:w="80" w:type="dxa"/>
              <w:bottom w:w="80" w:type="dxa"/>
              <w:right w:w="80" w:type="dxa"/>
            </w:tcMar>
            <w:vAlign w:val="center"/>
          </w:tcPr>
          <w:p w14:paraId="04704200" w14:textId="77777777" w:rsidR="006D5BA8" w:rsidRDefault="004C0246" w:rsidP="000D0281">
            <w:pPr>
              <w:pStyle w:val="TableText"/>
              <w:jc w:val="both"/>
            </w:pPr>
            <w:r>
              <w:rPr>
                <w:b/>
              </w:rPr>
              <w:t>Environmental rationale</w:t>
            </w:r>
          </w:p>
        </w:tc>
        <w:tc>
          <w:tcPr>
            <w:tcW w:w="2592" w:type="dxa"/>
            <w:shd w:val="clear" w:color="auto" w:fill="DCE8E2"/>
            <w:tcMar>
              <w:top w:w="80" w:type="dxa"/>
              <w:left w:w="80" w:type="dxa"/>
              <w:bottom w:w="80" w:type="dxa"/>
              <w:right w:w="80" w:type="dxa"/>
            </w:tcMar>
            <w:vAlign w:val="center"/>
          </w:tcPr>
          <w:p w14:paraId="61A0A4C8" w14:textId="77777777" w:rsidR="006D5BA8" w:rsidRDefault="004C0246" w:rsidP="000D0281">
            <w:pPr>
              <w:pStyle w:val="TableText"/>
              <w:jc w:val="both"/>
            </w:pPr>
            <w:r>
              <w:rPr>
                <w:b/>
              </w:rPr>
              <w:t>Main uncertainty / safeguard</w:t>
            </w:r>
          </w:p>
        </w:tc>
        <w:tc>
          <w:tcPr>
            <w:tcW w:w="1872" w:type="dxa"/>
            <w:shd w:val="clear" w:color="auto" w:fill="DCE8E2"/>
            <w:tcMar>
              <w:top w:w="80" w:type="dxa"/>
              <w:left w:w="80" w:type="dxa"/>
              <w:bottom w:w="80" w:type="dxa"/>
              <w:right w:w="80" w:type="dxa"/>
            </w:tcMar>
            <w:vAlign w:val="center"/>
          </w:tcPr>
          <w:p w14:paraId="6ADE81FE" w14:textId="77777777" w:rsidR="006D5BA8" w:rsidRDefault="004C0246" w:rsidP="000D0281">
            <w:pPr>
              <w:pStyle w:val="TableText"/>
              <w:jc w:val="both"/>
            </w:pPr>
            <w:r>
              <w:rPr>
                <w:b/>
              </w:rPr>
              <w:t>Supporting references</w:t>
            </w:r>
          </w:p>
        </w:tc>
      </w:tr>
      <w:tr w:rsidR="006D5BA8" w14:paraId="441C1815" w14:textId="77777777">
        <w:trPr>
          <w:cantSplit/>
          <w:jc w:val="center"/>
        </w:trPr>
        <w:tc>
          <w:tcPr>
            <w:tcW w:w="1080" w:type="dxa"/>
            <w:tcMar>
              <w:top w:w="80" w:type="dxa"/>
              <w:left w:w="80" w:type="dxa"/>
              <w:bottom w:w="80" w:type="dxa"/>
              <w:right w:w="80" w:type="dxa"/>
            </w:tcMar>
            <w:vAlign w:val="center"/>
          </w:tcPr>
          <w:p w14:paraId="7AD19789" w14:textId="77777777" w:rsidR="006D5BA8" w:rsidRDefault="004C0246" w:rsidP="000D0281">
            <w:pPr>
              <w:pStyle w:val="TableText"/>
              <w:jc w:val="both"/>
            </w:pPr>
            <w:r>
              <w:t>1. Prevent surplus</w:t>
            </w:r>
          </w:p>
        </w:tc>
        <w:tc>
          <w:tcPr>
            <w:tcW w:w="2088" w:type="dxa"/>
            <w:tcMar>
              <w:top w:w="80" w:type="dxa"/>
              <w:left w:w="80" w:type="dxa"/>
              <w:bottom w:w="80" w:type="dxa"/>
              <w:right w:w="80" w:type="dxa"/>
            </w:tcMar>
            <w:vAlign w:val="center"/>
          </w:tcPr>
          <w:p w14:paraId="55AF4E71" w14:textId="77777777" w:rsidR="006D5BA8" w:rsidRDefault="004C0246" w:rsidP="000D0281">
            <w:pPr>
              <w:pStyle w:val="TableText"/>
              <w:jc w:val="both"/>
            </w:pPr>
            <w:proofErr w:type="spellStart"/>
            <w:r>
              <w:t>Optimise</w:t>
            </w:r>
            <w:proofErr w:type="spellEnd"/>
            <w:r>
              <w:t xml:space="preserve"> pack size, inventory, shelf life and dispensing to reduce unused medicine</w:t>
            </w:r>
          </w:p>
        </w:tc>
        <w:tc>
          <w:tcPr>
            <w:tcW w:w="2088" w:type="dxa"/>
            <w:tcMar>
              <w:top w:w="80" w:type="dxa"/>
              <w:left w:w="80" w:type="dxa"/>
              <w:bottom w:w="80" w:type="dxa"/>
              <w:right w:w="80" w:type="dxa"/>
            </w:tcMar>
            <w:vAlign w:val="center"/>
          </w:tcPr>
          <w:p w14:paraId="41611FA4" w14:textId="77777777" w:rsidR="006D5BA8" w:rsidRDefault="004C0246" w:rsidP="000D0281">
            <w:pPr>
              <w:pStyle w:val="TableText"/>
              <w:jc w:val="both"/>
            </w:pPr>
            <w:r>
              <w:t>Avoids all upstream impacts of products that would otherwise be discarded</w:t>
            </w:r>
          </w:p>
        </w:tc>
        <w:tc>
          <w:tcPr>
            <w:tcW w:w="2592" w:type="dxa"/>
            <w:tcMar>
              <w:top w:w="80" w:type="dxa"/>
              <w:left w:w="80" w:type="dxa"/>
              <w:bottom w:w="80" w:type="dxa"/>
              <w:right w:w="80" w:type="dxa"/>
            </w:tcMar>
            <w:vAlign w:val="center"/>
          </w:tcPr>
          <w:p w14:paraId="4607A135" w14:textId="77777777" w:rsidR="006D5BA8" w:rsidRDefault="004C0246" w:rsidP="000D0281">
            <w:pPr>
              <w:pStyle w:val="TableText"/>
              <w:jc w:val="both"/>
            </w:pPr>
            <w:r>
              <w:t>Must not restrict access or create shortages; drivers of non-use vary by context</w:t>
            </w:r>
          </w:p>
        </w:tc>
        <w:tc>
          <w:tcPr>
            <w:tcW w:w="1872" w:type="dxa"/>
            <w:tcMar>
              <w:top w:w="80" w:type="dxa"/>
              <w:left w:w="80" w:type="dxa"/>
              <w:bottom w:w="80" w:type="dxa"/>
              <w:right w:w="80" w:type="dxa"/>
            </w:tcMar>
            <w:vAlign w:val="center"/>
          </w:tcPr>
          <w:p w14:paraId="2DC044CC" w14:textId="77777777" w:rsidR="006D5BA8" w:rsidRDefault="004C0246" w:rsidP="000D0281">
            <w:pPr>
              <w:pStyle w:val="TableText"/>
              <w:jc w:val="both"/>
            </w:pPr>
            <w:r>
              <w:t>Hiew &amp; Low (2024); Wang et al. (2024)</w:t>
            </w:r>
          </w:p>
        </w:tc>
      </w:tr>
      <w:tr w:rsidR="006D5BA8" w14:paraId="5C8A47A6" w14:textId="77777777">
        <w:trPr>
          <w:cantSplit/>
          <w:jc w:val="center"/>
        </w:trPr>
        <w:tc>
          <w:tcPr>
            <w:tcW w:w="1080" w:type="dxa"/>
            <w:shd w:val="clear" w:color="auto" w:fill="F6F9F7"/>
            <w:tcMar>
              <w:top w:w="80" w:type="dxa"/>
              <w:left w:w="80" w:type="dxa"/>
              <w:bottom w:w="80" w:type="dxa"/>
              <w:right w:w="80" w:type="dxa"/>
            </w:tcMar>
            <w:vAlign w:val="center"/>
          </w:tcPr>
          <w:p w14:paraId="04D4AC88" w14:textId="77777777" w:rsidR="006D5BA8" w:rsidRDefault="004C0246" w:rsidP="000D0281">
            <w:pPr>
              <w:pStyle w:val="TableText"/>
              <w:jc w:val="both"/>
            </w:pPr>
            <w:r>
              <w:t>2. Enable convenient return</w:t>
            </w:r>
          </w:p>
        </w:tc>
        <w:tc>
          <w:tcPr>
            <w:tcW w:w="2088" w:type="dxa"/>
            <w:shd w:val="clear" w:color="auto" w:fill="F6F9F7"/>
            <w:tcMar>
              <w:top w:w="80" w:type="dxa"/>
              <w:left w:w="80" w:type="dxa"/>
              <w:bottom w:w="80" w:type="dxa"/>
              <w:right w:w="80" w:type="dxa"/>
            </w:tcMar>
            <w:vAlign w:val="center"/>
          </w:tcPr>
          <w:p w14:paraId="6DEB9B25" w14:textId="77777777" w:rsidR="006D5BA8" w:rsidRDefault="004C0246" w:rsidP="000D0281">
            <w:pPr>
              <w:pStyle w:val="TableText"/>
              <w:jc w:val="both"/>
            </w:pPr>
            <w:r>
              <w:t>Pharmacy/community take-back with clear accepted-product rules</w:t>
            </w:r>
          </w:p>
        </w:tc>
        <w:tc>
          <w:tcPr>
            <w:tcW w:w="2088" w:type="dxa"/>
            <w:shd w:val="clear" w:color="auto" w:fill="F6F9F7"/>
            <w:tcMar>
              <w:top w:w="80" w:type="dxa"/>
              <w:left w:w="80" w:type="dxa"/>
              <w:bottom w:w="80" w:type="dxa"/>
              <w:right w:w="80" w:type="dxa"/>
            </w:tcMar>
            <w:vAlign w:val="center"/>
          </w:tcPr>
          <w:p w14:paraId="02ABCE0F" w14:textId="77777777" w:rsidR="006D5BA8" w:rsidRDefault="004C0246" w:rsidP="000D0281">
            <w:pPr>
              <w:pStyle w:val="TableText"/>
              <w:jc w:val="both"/>
            </w:pPr>
            <w:r>
              <w:t>Reduces uncontrolled sewer or mixed-waste disposal and enables controlled routing</w:t>
            </w:r>
          </w:p>
        </w:tc>
        <w:tc>
          <w:tcPr>
            <w:tcW w:w="2592" w:type="dxa"/>
            <w:shd w:val="clear" w:color="auto" w:fill="F6F9F7"/>
            <w:tcMar>
              <w:top w:w="80" w:type="dxa"/>
              <w:left w:w="80" w:type="dxa"/>
              <w:bottom w:w="80" w:type="dxa"/>
              <w:right w:w="80" w:type="dxa"/>
            </w:tcMar>
            <w:vAlign w:val="center"/>
          </w:tcPr>
          <w:p w14:paraId="140CD36B" w14:textId="77777777" w:rsidR="006D5BA8" w:rsidRDefault="004C0246" w:rsidP="000D0281">
            <w:pPr>
              <w:pStyle w:val="TableText"/>
              <w:jc w:val="both"/>
            </w:pPr>
            <w:r>
              <w:t>Participation depends on convenience, communication and system coverage</w:t>
            </w:r>
          </w:p>
        </w:tc>
        <w:tc>
          <w:tcPr>
            <w:tcW w:w="1872" w:type="dxa"/>
            <w:shd w:val="clear" w:color="auto" w:fill="F6F9F7"/>
            <w:tcMar>
              <w:top w:w="80" w:type="dxa"/>
              <w:left w:w="80" w:type="dxa"/>
              <w:bottom w:w="80" w:type="dxa"/>
              <w:right w:w="80" w:type="dxa"/>
            </w:tcMar>
            <w:vAlign w:val="center"/>
          </w:tcPr>
          <w:p w14:paraId="4B176BAA" w14:textId="77777777" w:rsidR="006D5BA8" w:rsidRDefault="004C0246" w:rsidP="000D0281">
            <w:pPr>
              <w:pStyle w:val="TableText"/>
              <w:jc w:val="both"/>
            </w:pPr>
            <w:r>
              <w:t xml:space="preserve">Wang et al. (2024); </w:t>
            </w:r>
            <w:proofErr w:type="spellStart"/>
            <w:r>
              <w:t>Alfian</w:t>
            </w:r>
            <w:proofErr w:type="spellEnd"/>
            <w:r>
              <w:t xml:space="preserve"> et al. (2026)</w:t>
            </w:r>
          </w:p>
        </w:tc>
      </w:tr>
      <w:tr w:rsidR="006D5BA8" w14:paraId="4DB23497" w14:textId="77777777">
        <w:trPr>
          <w:cantSplit/>
          <w:jc w:val="center"/>
        </w:trPr>
        <w:tc>
          <w:tcPr>
            <w:tcW w:w="1080" w:type="dxa"/>
            <w:tcMar>
              <w:top w:w="80" w:type="dxa"/>
              <w:left w:w="80" w:type="dxa"/>
              <w:bottom w:w="80" w:type="dxa"/>
              <w:right w:w="80" w:type="dxa"/>
            </w:tcMar>
            <w:vAlign w:val="center"/>
          </w:tcPr>
          <w:p w14:paraId="3FEBA4EA" w14:textId="77777777" w:rsidR="006D5BA8" w:rsidRDefault="004C0246" w:rsidP="000D0281">
            <w:pPr>
              <w:pStyle w:val="TableText"/>
              <w:jc w:val="both"/>
            </w:pPr>
            <w:r>
              <w:t>3. Separate recoverable packaging</w:t>
            </w:r>
          </w:p>
        </w:tc>
        <w:tc>
          <w:tcPr>
            <w:tcW w:w="2088" w:type="dxa"/>
            <w:tcMar>
              <w:top w:w="80" w:type="dxa"/>
              <w:left w:w="80" w:type="dxa"/>
              <w:bottom w:w="80" w:type="dxa"/>
              <w:right w:w="80" w:type="dxa"/>
            </w:tcMar>
            <w:vAlign w:val="center"/>
          </w:tcPr>
          <w:p w14:paraId="4E227747" w14:textId="77777777" w:rsidR="006D5BA8" w:rsidRDefault="004C0246" w:rsidP="000D0281">
            <w:pPr>
              <w:pStyle w:val="TableText"/>
              <w:jc w:val="both"/>
            </w:pPr>
            <w:r>
              <w:t>Design and sort clean paper, glass, metals and compatible polymers for recycling</w:t>
            </w:r>
          </w:p>
        </w:tc>
        <w:tc>
          <w:tcPr>
            <w:tcW w:w="2088" w:type="dxa"/>
            <w:tcMar>
              <w:top w:w="80" w:type="dxa"/>
              <w:left w:w="80" w:type="dxa"/>
              <w:bottom w:w="80" w:type="dxa"/>
              <w:right w:w="80" w:type="dxa"/>
            </w:tcMar>
            <w:vAlign w:val="center"/>
          </w:tcPr>
          <w:p w14:paraId="1B46C991" w14:textId="77777777" w:rsidR="006D5BA8" w:rsidRDefault="004C0246" w:rsidP="000D0281">
            <w:pPr>
              <w:pStyle w:val="TableText"/>
              <w:jc w:val="both"/>
            </w:pPr>
            <w:r>
              <w:t>Recovers material value and can lower several LCA impacts</w:t>
            </w:r>
          </w:p>
        </w:tc>
        <w:tc>
          <w:tcPr>
            <w:tcW w:w="2592" w:type="dxa"/>
            <w:tcMar>
              <w:top w:w="80" w:type="dxa"/>
              <w:left w:w="80" w:type="dxa"/>
              <w:bottom w:w="80" w:type="dxa"/>
              <w:right w:w="80" w:type="dxa"/>
            </w:tcMar>
            <w:vAlign w:val="center"/>
          </w:tcPr>
          <w:p w14:paraId="05AF934D" w14:textId="77777777" w:rsidR="006D5BA8" w:rsidRDefault="004C0246" w:rsidP="000D0281">
            <w:pPr>
              <w:pStyle w:val="TableText"/>
              <w:jc w:val="both"/>
            </w:pPr>
            <w:r>
              <w:t>Small formats and multi-layer laminates can be technically or economically difficult</w:t>
            </w:r>
          </w:p>
        </w:tc>
        <w:tc>
          <w:tcPr>
            <w:tcW w:w="1872" w:type="dxa"/>
            <w:tcMar>
              <w:top w:w="80" w:type="dxa"/>
              <w:left w:w="80" w:type="dxa"/>
              <w:bottom w:w="80" w:type="dxa"/>
              <w:right w:w="80" w:type="dxa"/>
            </w:tcMar>
            <w:vAlign w:val="center"/>
          </w:tcPr>
          <w:p w14:paraId="3BB2995C" w14:textId="77777777" w:rsidR="006D5BA8" w:rsidRDefault="004C0246" w:rsidP="000D0281">
            <w:pPr>
              <w:pStyle w:val="TableText"/>
              <w:jc w:val="both"/>
            </w:pPr>
            <w:r>
              <w:t>Bassani et al. (2024)</w:t>
            </w:r>
          </w:p>
        </w:tc>
      </w:tr>
      <w:tr w:rsidR="006D5BA8" w14:paraId="1FCCEF0A" w14:textId="77777777">
        <w:trPr>
          <w:cantSplit/>
          <w:jc w:val="center"/>
        </w:trPr>
        <w:tc>
          <w:tcPr>
            <w:tcW w:w="1080" w:type="dxa"/>
            <w:shd w:val="clear" w:color="auto" w:fill="F6F9F7"/>
            <w:tcMar>
              <w:top w:w="80" w:type="dxa"/>
              <w:left w:w="80" w:type="dxa"/>
              <w:bottom w:w="80" w:type="dxa"/>
              <w:right w:w="80" w:type="dxa"/>
            </w:tcMar>
            <w:vAlign w:val="center"/>
          </w:tcPr>
          <w:p w14:paraId="48985A59" w14:textId="77777777" w:rsidR="006D5BA8" w:rsidRDefault="004C0246" w:rsidP="000D0281">
            <w:pPr>
              <w:pStyle w:val="TableText"/>
              <w:jc w:val="both"/>
            </w:pPr>
            <w:r>
              <w:t>4. Controlled destruction of residues</w:t>
            </w:r>
          </w:p>
        </w:tc>
        <w:tc>
          <w:tcPr>
            <w:tcW w:w="2088" w:type="dxa"/>
            <w:shd w:val="clear" w:color="auto" w:fill="F6F9F7"/>
            <w:tcMar>
              <w:top w:w="80" w:type="dxa"/>
              <w:left w:w="80" w:type="dxa"/>
              <w:bottom w:w="80" w:type="dxa"/>
              <w:right w:w="80" w:type="dxa"/>
            </w:tcMar>
            <w:vAlign w:val="center"/>
          </w:tcPr>
          <w:p w14:paraId="17CEEBD7" w14:textId="77777777" w:rsidR="006D5BA8" w:rsidRDefault="004C0246" w:rsidP="000D0281">
            <w:pPr>
              <w:pStyle w:val="TableText"/>
              <w:jc w:val="both"/>
            </w:pPr>
            <w:r>
              <w:t>Use appropriate high-temperature or validated treatment for medicines/contaminated fractions</w:t>
            </w:r>
          </w:p>
        </w:tc>
        <w:tc>
          <w:tcPr>
            <w:tcW w:w="2088" w:type="dxa"/>
            <w:shd w:val="clear" w:color="auto" w:fill="F6F9F7"/>
            <w:tcMar>
              <w:top w:w="80" w:type="dxa"/>
              <w:left w:w="80" w:type="dxa"/>
              <w:bottom w:w="80" w:type="dxa"/>
              <w:right w:w="80" w:type="dxa"/>
            </w:tcMar>
            <w:vAlign w:val="center"/>
          </w:tcPr>
          <w:p w14:paraId="783A52F8" w14:textId="77777777" w:rsidR="006D5BA8" w:rsidRDefault="004C0246" w:rsidP="000D0281">
            <w:pPr>
              <w:pStyle w:val="TableText"/>
              <w:jc w:val="both"/>
            </w:pPr>
            <w:proofErr w:type="spellStart"/>
            <w:r>
              <w:t>Prioritises</w:t>
            </w:r>
            <w:proofErr w:type="spellEnd"/>
            <w:r>
              <w:t xml:space="preserve"> destruction of biologically active residues where recovery is unsafe</w:t>
            </w:r>
          </w:p>
        </w:tc>
        <w:tc>
          <w:tcPr>
            <w:tcW w:w="2592" w:type="dxa"/>
            <w:shd w:val="clear" w:color="auto" w:fill="F6F9F7"/>
            <w:tcMar>
              <w:top w:w="80" w:type="dxa"/>
              <w:left w:w="80" w:type="dxa"/>
              <w:bottom w:w="80" w:type="dxa"/>
              <w:right w:w="80" w:type="dxa"/>
            </w:tcMar>
            <w:vAlign w:val="center"/>
          </w:tcPr>
          <w:p w14:paraId="708DF950" w14:textId="77777777" w:rsidR="006D5BA8" w:rsidRDefault="004C0246" w:rsidP="000D0281">
            <w:pPr>
              <w:pStyle w:val="TableText"/>
              <w:jc w:val="both"/>
            </w:pPr>
            <w:r>
              <w:t>Energy use and emissions require control; not a substitute for waste prevention</w:t>
            </w:r>
          </w:p>
        </w:tc>
        <w:tc>
          <w:tcPr>
            <w:tcW w:w="1872" w:type="dxa"/>
            <w:shd w:val="clear" w:color="auto" w:fill="F6F9F7"/>
            <w:tcMar>
              <w:top w:w="80" w:type="dxa"/>
              <w:left w:w="80" w:type="dxa"/>
              <w:bottom w:w="80" w:type="dxa"/>
              <w:right w:w="80" w:type="dxa"/>
            </w:tcMar>
            <w:vAlign w:val="center"/>
          </w:tcPr>
          <w:p w14:paraId="11A270C5" w14:textId="77777777" w:rsidR="006D5BA8" w:rsidRDefault="004C0246" w:rsidP="000D0281">
            <w:pPr>
              <w:pStyle w:val="TableText"/>
              <w:jc w:val="both"/>
            </w:pPr>
            <w:r>
              <w:t>WHO (2024); Bassani et al. (2024)</w:t>
            </w:r>
          </w:p>
        </w:tc>
      </w:tr>
      <w:tr w:rsidR="006D5BA8" w14:paraId="1161C6AE" w14:textId="77777777">
        <w:trPr>
          <w:cantSplit/>
          <w:jc w:val="center"/>
        </w:trPr>
        <w:tc>
          <w:tcPr>
            <w:tcW w:w="1080" w:type="dxa"/>
            <w:tcMar>
              <w:top w:w="80" w:type="dxa"/>
              <w:left w:w="80" w:type="dxa"/>
              <w:bottom w:w="80" w:type="dxa"/>
              <w:right w:w="80" w:type="dxa"/>
            </w:tcMar>
            <w:vAlign w:val="center"/>
          </w:tcPr>
          <w:p w14:paraId="13FB1253" w14:textId="77777777" w:rsidR="006D5BA8" w:rsidRDefault="004C0246" w:rsidP="000D0281">
            <w:pPr>
              <w:pStyle w:val="TableText"/>
              <w:jc w:val="both"/>
            </w:pPr>
            <w:r>
              <w:t>5. Govern incentives</w:t>
            </w:r>
          </w:p>
        </w:tc>
        <w:tc>
          <w:tcPr>
            <w:tcW w:w="2088" w:type="dxa"/>
            <w:tcMar>
              <w:top w:w="80" w:type="dxa"/>
              <w:left w:w="80" w:type="dxa"/>
              <w:bottom w:w="80" w:type="dxa"/>
              <w:right w:w="80" w:type="dxa"/>
            </w:tcMar>
            <w:vAlign w:val="center"/>
          </w:tcPr>
          <w:p w14:paraId="21FABCC4" w14:textId="77777777" w:rsidR="006D5BA8" w:rsidRDefault="004C0246" w:rsidP="000D0281">
            <w:pPr>
              <w:pStyle w:val="TableText"/>
              <w:jc w:val="both"/>
            </w:pPr>
            <w:r>
              <w:t>Use producer responsibility, procurement and transparent reporting</w:t>
            </w:r>
          </w:p>
        </w:tc>
        <w:tc>
          <w:tcPr>
            <w:tcW w:w="2088" w:type="dxa"/>
            <w:tcMar>
              <w:top w:w="80" w:type="dxa"/>
              <w:left w:w="80" w:type="dxa"/>
              <w:bottom w:w="80" w:type="dxa"/>
              <w:right w:w="80" w:type="dxa"/>
            </w:tcMar>
            <w:vAlign w:val="center"/>
          </w:tcPr>
          <w:p w14:paraId="2B28710A" w14:textId="77777777" w:rsidR="006D5BA8" w:rsidRDefault="004C0246" w:rsidP="000D0281">
            <w:pPr>
              <w:pStyle w:val="TableText"/>
              <w:jc w:val="both"/>
            </w:pPr>
            <w:r>
              <w:t>Links design and end-of-life costs to market actors able to influence them</w:t>
            </w:r>
          </w:p>
        </w:tc>
        <w:tc>
          <w:tcPr>
            <w:tcW w:w="2592" w:type="dxa"/>
            <w:tcMar>
              <w:top w:w="80" w:type="dxa"/>
              <w:left w:w="80" w:type="dxa"/>
              <w:bottom w:w="80" w:type="dxa"/>
              <w:right w:w="80" w:type="dxa"/>
            </w:tcMar>
            <w:vAlign w:val="center"/>
          </w:tcPr>
          <w:p w14:paraId="49854B33" w14:textId="77777777" w:rsidR="006D5BA8" w:rsidRDefault="004C0246" w:rsidP="000D0281">
            <w:pPr>
              <w:pStyle w:val="TableText"/>
              <w:jc w:val="both"/>
            </w:pPr>
            <w:r>
              <w:t>Indicators must account for quality-critical packaging and supply resilience</w:t>
            </w:r>
          </w:p>
        </w:tc>
        <w:tc>
          <w:tcPr>
            <w:tcW w:w="1872" w:type="dxa"/>
            <w:tcMar>
              <w:top w:w="80" w:type="dxa"/>
              <w:left w:w="80" w:type="dxa"/>
              <w:bottom w:w="80" w:type="dxa"/>
              <w:right w:w="80" w:type="dxa"/>
            </w:tcMar>
            <w:vAlign w:val="center"/>
          </w:tcPr>
          <w:p w14:paraId="19A2B0B5" w14:textId="77777777" w:rsidR="006D5BA8" w:rsidRDefault="004C0246" w:rsidP="000D0281">
            <w:pPr>
              <w:pStyle w:val="TableText"/>
              <w:jc w:val="both"/>
            </w:pPr>
            <w:r>
              <w:t>European Union (2025); WHO (2024)</w:t>
            </w:r>
          </w:p>
        </w:tc>
      </w:tr>
    </w:tbl>
    <w:p w14:paraId="6F0FBA27" w14:textId="77777777" w:rsidR="006D5BA8" w:rsidRDefault="004C0246" w:rsidP="000D0281">
      <w:pPr>
        <w:spacing w:before="40" w:after="120"/>
        <w:jc w:val="both"/>
      </w:pPr>
      <w:r>
        <w:rPr>
          <w:i/>
        </w:rPr>
        <w:t xml:space="preserve">Note. </w:t>
      </w:r>
      <w:r>
        <w:t>The hierarchy is conditional on local waste infrastructure and medicine-specific safety requirements; it is not a universal ranking of every disposal technology.</w:t>
      </w:r>
    </w:p>
    <w:p w14:paraId="49656C2B" w14:textId="77777777" w:rsidR="006D5BA8" w:rsidRDefault="004C0246" w:rsidP="000D0281">
      <w:pPr>
        <w:pStyle w:val="Heading1"/>
        <w:jc w:val="both"/>
      </w:pPr>
      <w:r>
        <w:t xml:space="preserve">8. Integration: From Fragmented </w:t>
      </w:r>
      <w:proofErr w:type="spellStart"/>
      <w:r>
        <w:t>Optimisation</w:t>
      </w:r>
      <w:proofErr w:type="spellEnd"/>
      <w:r>
        <w:t xml:space="preserve"> to Design-to-Disposal Governance</w:t>
      </w:r>
    </w:p>
    <w:p w14:paraId="52F38D27" w14:textId="77777777" w:rsidR="006D5BA8" w:rsidRDefault="004C0246" w:rsidP="000D0281">
      <w:pPr>
        <w:jc w:val="both"/>
      </w:pPr>
      <w:r>
        <w:t xml:space="preserve">The evidence across manufacturing and packaging points towards a common failure mode: local </w:t>
      </w:r>
      <w:proofErr w:type="spellStart"/>
      <w:r>
        <w:t>optimisation</w:t>
      </w:r>
      <w:proofErr w:type="spellEnd"/>
      <w:r>
        <w:t>. A process team can reduce PMI, a packaging team can increase recycled content, and a waste team can expand take-back while the total system remains environmentally inefficient. Local metrics are indispensable for operational control, but decisions with cross-stage consequences need a shared life-cycle framework. The framework should begin with therapeutic and quality function, identify material and emission hotspots, screen hazard and environmental fate, compare alternatives using consistent functional units, and test sensitivity to regional energy and waste systems.</w:t>
      </w:r>
    </w:p>
    <w:p w14:paraId="647B01B5" w14:textId="77777777" w:rsidR="006D5BA8" w:rsidRDefault="004C0246" w:rsidP="000D0281">
      <w:pPr>
        <w:jc w:val="both"/>
      </w:pPr>
      <w:r>
        <w:t xml:space="preserve">This integration changes the order of decision making. Prevention comes first: avoid unnecessary route steps, solvent volume, packaging material and unused medicine. The second layer is substitution and </w:t>
      </w:r>
      <w:r>
        <w:lastRenderedPageBreak/>
        <w:t>intensification: choose safer solvents, catalytic or biocatalytic transformations, continuous operations and simplified packaging where they preserve function. The third layer is recovery: recycle solvents, recover materials and use reverse logistics where the recovered value and environmental benefit justify the additional operations. The final layer is controlled treatment of residual streams that cannot be prevented or safely recovered. This hierarchy resembles circular-economy logic but adds a pharmaceutical safeguard: quality and control of biologically active substances take precedence over material circularity when the two conflict.</w:t>
      </w:r>
    </w:p>
    <w:p w14:paraId="5DFD7636" w14:textId="77777777" w:rsidR="006D5BA8" w:rsidRDefault="004C0246" w:rsidP="000D0281">
      <w:pPr>
        <w:jc w:val="both"/>
      </w:pPr>
      <w:r>
        <w:t xml:space="preserve">The framework also clarifies how evidence should be interpreted. Manufacturing studies often report detailed material data but weak downstream coverage; packaging studies may have strong LCA methodology but simplified assumptions about medicine wastage; disposal studies can document </w:t>
      </w:r>
      <w:proofErr w:type="spellStart"/>
      <w:r>
        <w:t>behaviour</w:t>
      </w:r>
      <w:proofErr w:type="spellEnd"/>
      <w:r>
        <w:t xml:space="preserve"> while saying little about environmental outcomes after collection. No single evidence class closes the life cycle. Confidence is strongest when a technology removes material demand at source and its benefit persists under plausible energy and end-of-life scenarios. Confidence is weaker when a claim depends on high recycling rates, </w:t>
      </w:r>
      <w:proofErr w:type="spellStart"/>
      <w:r>
        <w:t>idealised</w:t>
      </w:r>
      <w:proofErr w:type="spellEnd"/>
      <w:r>
        <w:t xml:space="preserve"> consumer </w:t>
      </w:r>
      <w:proofErr w:type="spellStart"/>
      <w:r>
        <w:t>behaviour</w:t>
      </w:r>
      <w:proofErr w:type="spellEnd"/>
      <w:r>
        <w:t xml:space="preserve"> or laboratory-scale process performance.</w:t>
      </w:r>
    </w:p>
    <w:p w14:paraId="5FACE050" w14:textId="77777777" w:rsidR="006D5BA8" w:rsidRDefault="004C0246" w:rsidP="000D0281">
      <w:pPr>
        <w:jc w:val="both"/>
      </w:pPr>
      <w:r>
        <w:t xml:space="preserve">Several apparent contradictions are therefore resolvable. Continuous manufacturing is not inherently greener, but it can be greener when intensification eliminates operations or reduces inventories. Glass is not inherently more sustainable than polymer, because manufacturing, </w:t>
      </w:r>
      <w:proofErr w:type="spellStart"/>
      <w:r>
        <w:t>sterilisation</w:t>
      </w:r>
      <w:proofErr w:type="spellEnd"/>
      <w:r>
        <w:t>, mass and transport can dominate. Biodegradable packaging is not inherently circular, because end-of-life infrastructure and barrier performance determine whether biodegradability is useful. Take-back is not inherently low-impact, because collection efficiency and final treatment matter. Greener APIs are not inherently clinically feasible, because environmental properties must coexist with pharmacological and stability requirements. These are not reasons to abandon the technologies; they are reasons to define the conditions under which claims are valid.</w:t>
      </w:r>
    </w:p>
    <w:p w14:paraId="06265015" w14:textId="77777777" w:rsidR="006D5BA8" w:rsidRDefault="004C0246" w:rsidP="000D0281">
      <w:pPr>
        <w:jc w:val="both"/>
      </w:pPr>
      <w:r>
        <w:t xml:space="preserve">Governance mechanisms should mirror these conditions. Regulatory guidance can provide accepted scientific pathways for process changes, as ICH Q13 does for continuous manufacturing (EMA, 2023). Environmental guidance can establish discharge expectations, as WHO has done for antibiotic manufacturing (WHO, 2024). Packaging regulation can set broad circularity direction while retaining exemptions for quality-critical contact-sensitive applications (European Union, 2025). Procurement can then reward verified performance within these guardrails. The missing element is </w:t>
      </w:r>
      <w:proofErr w:type="spellStart"/>
      <w:r>
        <w:t>harmonised</w:t>
      </w:r>
      <w:proofErr w:type="spellEnd"/>
      <w:r>
        <w:t>, product-relevant data that allow regulators and buyers to distinguish real improvement from selective metric reporting.</w:t>
      </w:r>
    </w:p>
    <w:p w14:paraId="06DAE224" w14:textId="77777777" w:rsidR="006D5BA8" w:rsidRDefault="004C0246" w:rsidP="000D0281">
      <w:pPr>
        <w:jc w:val="both"/>
      </w:pPr>
      <w:proofErr w:type="spellStart"/>
      <w:r>
        <w:t>Digitalisation</w:t>
      </w:r>
      <w:proofErr w:type="spellEnd"/>
      <w:r>
        <w:t xml:space="preserve"> can support this architecture without being treated as a sustainability intervention by itself. Electronic batch records, process analytical technology, digital twins and supply-chain traceability can reduce variability, improve yield or identify waste when connected to specific process decisions. Product passports or material data could improve packaging sorting and supplier transparency. Yet digital systems have their own infrastructure and data-governance costs, and environmental benefit must be demonstrated through changed material or energy flows. The correct role of </w:t>
      </w:r>
      <w:proofErr w:type="spellStart"/>
      <w:r>
        <w:t>digitalisation</w:t>
      </w:r>
      <w:proofErr w:type="spellEnd"/>
      <w:r>
        <w:t xml:space="preserve"> is as an enabling layer for measurement, control and verification rather than a substitute for physical process redesign.</w:t>
      </w:r>
    </w:p>
    <w:p w14:paraId="16222E83" w14:textId="77777777" w:rsidR="006D5BA8" w:rsidRDefault="004C0246" w:rsidP="000D0281">
      <w:pPr>
        <w:jc w:val="both"/>
      </w:pPr>
      <w:r>
        <w:t xml:space="preserve">Finally, equity and supply resilience need explicit treatment. Environmental requirements imposed without transition support can shift production towards suppliers with greater reporting capacity rather than necessarily better environmental performance, or can reduce redundancy in fragile supply chains. Conversely, weak environmental standards can </w:t>
      </w:r>
      <w:proofErr w:type="spellStart"/>
      <w:r>
        <w:t>externalise</w:t>
      </w:r>
      <w:proofErr w:type="spellEnd"/>
      <w:r>
        <w:t xml:space="preserve"> pollution to manufacturing regions with limited regulatory capacity. Sustainable pharmaceutical technology is therefore inseparable from institutional design: metrics must be verifiable, requirements proportionate to risk, and implementation sequenced so that environmental improvement does not undermine reliable access to essential medicines.</w:t>
      </w:r>
    </w:p>
    <w:p w14:paraId="385F0A3E" w14:textId="77777777" w:rsidR="006D5BA8" w:rsidRDefault="004C0246" w:rsidP="000D0281">
      <w:pPr>
        <w:pStyle w:val="Heading1"/>
        <w:jc w:val="both"/>
      </w:pPr>
      <w:r>
        <w:t>9. Future Directions</w:t>
      </w:r>
    </w:p>
    <w:p w14:paraId="3118BE45" w14:textId="77777777" w:rsidR="006D5BA8" w:rsidRDefault="004C0246" w:rsidP="000D0281">
      <w:pPr>
        <w:jc w:val="both"/>
      </w:pPr>
      <w:r>
        <w:t xml:space="preserve">The immediate research priority is a </w:t>
      </w:r>
      <w:proofErr w:type="spellStart"/>
      <w:r>
        <w:t>harmonised</w:t>
      </w:r>
      <w:proofErr w:type="spellEnd"/>
      <w:r>
        <w:t xml:space="preserve"> life-cycle inventory architecture for pharmaceuticals. Current studies repeatedly face proprietary or incomplete data for solvents, utilities, cleaning, formulation, packaging and waste treatment, which limits comparison across products and sites. A practical next step is </w:t>
      </w:r>
      <w:r>
        <w:lastRenderedPageBreak/>
        <w:t xml:space="preserve">an industry–academic data framework with agreed unit-process definitions, </w:t>
      </w:r>
      <w:proofErr w:type="spellStart"/>
      <w:r>
        <w:t>anonymised</w:t>
      </w:r>
      <w:proofErr w:type="spellEnd"/>
      <w:r>
        <w:t xml:space="preserve"> ranges for commercially sensitive operations and standard reporting of PMI, water, energy, solvent recovery, greenhouse-gas emissions and key hazardous releases. Prospective validation should compare modelled inventories with measured plant data across multiple scales and regions. The outcome should not be a universal sustainability score but a transparent dataset that supports reproducible LCA and benchmarking (De Soete et al., 2014; Monteith et al., 2020).</w:t>
      </w:r>
    </w:p>
    <w:p w14:paraId="1D483D6D" w14:textId="77777777" w:rsidR="006D5BA8" w:rsidRDefault="004C0246" w:rsidP="000D0281">
      <w:pPr>
        <w:jc w:val="both"/>
      </w:pPr>
      <w:r>
        <w:t xml:space="preserve">A second priority is prospective comparative testing of manufacturing technologies at commercial or demonstration scale. Continuous flow, biocatalysis and mechanochemistry are often assessed through selected successful cases, creating a risk of publication and transferability bias. Comparative studies should start from the same product specification and include route development, start-up and shutdown, solvent recovery, cleaning, off-specification material, utilities and waste treatment over realistic campaign lengths. The most useful outcomes would include conventional process metrics plus LCA categories and economic sensitivity, allowing users to identify the production volumes and process characteristics under which each technology creates net benefit (Rogers &amp; Jensen, 2019; </w:t>
      </w:r>
      <w:proofErr w:type="spellStart"/>
      <w:r>
        <w:t>Arfelis</w:t>
      </w:r>
      <w:proofErr w:type="spellEnd"/>
      <w:r>
        <w:t xml:space="preserve"> et al., 2024).</w:t>
      </w:r>
    </w:p>
    <w:p w14:paraId="776948B3" w14:textId="77777777" w:rsidR="006D5BA8" w:rsidRDefault="004C0246" w:rsidP="000D0281">
      <w:pPr>
        <w:jc w:val="both"/>
      </w:pPr>
      <w:r>
        <w:t xml:space="preserve">Third, greener-by-design research needs to move from feasibility discourse to longitudinal drug-development evidence. Environmental fate, biodegradation and ecotoxicity screens should be evaluated as additional parameters in medicinal chemistry </w:t>
      </w:r>
      <w:proofErr w:type="spellStart"/>
      <w:r>
        <w:t>programmes</w:t>
      </w:r>
      <w:proofErr w:type="spellEnd"/>
      <w:r>
        <w:t>, with explicit documentation of when they alter candidate selection and whether selected compounds maintain potency, safety, pharmacokinetics and manufacturability. Similar work is needed for excipients. The research design should follow candidates from discovery through formulation and environmental testing rather than comparing unrelated marketed substances. Such evidence would clarify whether environmental criteria can be added without systematically increasing attrition or development time (</w:t>
      </w:r>
      <w:proofErr w:type="spellStart"/>
      <w:r>
        <w:t>Puhlmann</w:t>
      </w:r>
      <w:proofErr w:type="spellEnd"/>
      <w:r>
        <w:t xml:space="preserve"> et al., 2024; Vidaurre et al., 2024; Bading et al., 2025).</w:t>
      </w:r>
    </w:p>
    <w:p w14:paraId="1D16ED85" w14:textId="77777777" w:rsidR="006D5BA8" w:rsidRDefault="004C0246" w:rsidP="000D0281">
      <w:pPr>
        <w:jc w:val="both"/>
      </w:pPr>
      <w:r>
        <w:t xml:space="preserve">Fourth, packaging research should couple protection performance to environmental assessment. Most LCA studies assume equivalent medicine delivery, yet real differences in moisture barrier, breakage, dose identification, </w:t>
      </w:r>
      <w:proofErr w:type="spellStart"/>
      <w:r>
        <w:t>sterilisation</w:t>
      </w:r>
      <w:proofErr w:type="spellEnd"/>
      <w:r>
        <w:t xml:space="preserve"> and shelf life can alter product wastage. Future trials should therefore compare candidate packaging under validated stability and distribution conditions and incorporate measured wastage, fill efficiency and end-of-life recovery into the functional unit. Multi-country scenarios are needed because recycling and take-back infrastructure differ substantially. This would allow </w:t>
      </w:r>
      <w:proofErr w:type="spellStart"/>
      <w:r>
        <w:t>ecodesign</w:t>
      </w:r>
      <w:proofErr w:type="spellEnd"/>
      <w:r>
        <w:t xml:space="preserve"> to </w:t>
      </w:r>
      <w:proofErr w:type="spellStart"/>
      <w:r>
        <w:t>optimise</w:t>
      </w:r>
      <w:proofErr w:type="spellEnd"/>
      <w:r>
        <w:t xml:space="preserve"> for the delivered dose over shelf life rather than for packaging mass alone (Bassani et al., 2022a, 2024; Baehr et al., 2024).</w:t>
      </w:r>
    </w:p>
    <w:p w14:paraId="13A2CFC6" w14:textId="77777777" w:rsidR="006D5BA8" w:rsidRDefault="004C0246" w:rsidP="000D0281">
      <w:pPr>
        <w:jc w:val="both"/>
      </w:pPr>
      <w:r>
        <w:t>Fifth, antibiotic manufacturing needs outcome-oriented implementation research. The scientific basis for controlling antibiotic residues is now strong enough to support risk-based discharge targets, but evidence is needed on how supplier audits, procurement clauses, treatment upgrades and public reporting change environmental concentrations and AMR-relevant selection pressure over time. Studies should include upstream and downstream environmental sampling, treatment performance, production volume and independent verification, particularly in major manufacturing regions. Policy evaluation should also examine whether environmental requirements alter supply security, prices or market concentration (Caldwell et al., 2016; Larsson &amp; Flach, 2022; WHO, 2024).</w:t>
      </w:r>
    </w:p>
    <w:p w14:paraId="6809AB34" w14:textId="77777777" w:rsidR="006D5BA8" w:rsidRDefault="004C0246" w:rsidP="000D0281">
      <w:pPr>
        <w:jc w:val="both"/>
      </w:pPr>
      <w:r>
        <w:t xml:space="preserve">Sixth, medicine take-back </w:t>
      </w:r>
      <w:proofErr w:type="spellStart"/>
      <w:r>
        <w:t>programmes</w:t>
      </w:r>
      <w:proofErr w:type="spellEnd"/>
      <w:r>
        <w:t xml:space="preserve"> require trials that connect </w:t>
      </w:r>
      <w:proofErr w:type="spellStart"/>
      <w:r>
        <w:t>behaviour</w:t>
      </w:r>
      <w:proofErr w:type="spellEnd"/>
      <w:r>
        <w:t xml:space="preserve"> to environmental outcomes. Intervention studies should measure not only knowledge or stated intention but returned medicine mass, composition, participation by demographic and geographic group, contamination rates, transport burden, final treatment and changes in sewer or household disposal. Cluster-</w:t>
      </w:r>
      <w:proofErr w:type="spellStart"/>
      <w:r>
        <w:t>randomised</w:t>
      </w:r>
      <w:proofErr w:type="spellEnd"/>
      <w:r>
        <w:t xml:space="preserve"> or stepped-wedge designs across pharmacy networks could test combinations of communication, disposal kits, incentives and convenient collection. Where take-back is already mature, natural experiments around policy changes may provide more realistic evidence than small educational interventions (Wang et al., 2024; </w:t>
      </w:r>
      <w:proofErr w:type="spellStart"/>
      <w:r>
        <w:t>Alfian</w:t>
      </w:r>
      <w:proofErr w:type="spellEnd"/>
      <w:r>
        <w:t xml:space="preserve"> et al., 2026).</w:t>
      </w:r>
    </w:p>
    <w:p w14:paraId="55F9E6A5" w14:textId="77777777" w:rsidR="006D5BA8" w:rsidRDefault="004C0246" w:rsidP="000D0281">
      <w:pPr>
        <w:jc w:val="both"/>
      </w:pPr>
      <w:r>
        <w:t xml:space="preserve">Longer term, the field needs integrated decision rules that can be used in regulatory change control and procurement. These rules should specify when environmental improvement is sufficiently demonstrated to </w:t>
      </w:r>
      <w:r>
        <w:lastRenderedPageBreak/>
        <w:t xml:space="preserve">justify process or packaging change and how uncertainty should be handled. Rather than requiring a single global threshold, frameworks could use minimum evidence packages: verified product quality equivalence, transparent system boundaries, at least two environmental indicators, sensitivity to energy and end-of-life assumptions, and disclosure of trade-offs. Pilot procurement </w:t>
      </w:r>
      <w:proofErr w:type="spellStart"/>
      <w:r>
        <w:t>programmes</w:t>
      </w:r>
      <w:proofErr w:type="spellEnd"/>
      <w:r>
        <w:t xml:space="preserve"> could then test whether such evidence changes supplier </w:t>
      </w:r>
      <w:proofErr w:type="spellStart"/>
      <w:r>
        <w:t>behaviour</w:t>
      </w:r>
      <w:proofErr w:type="spellEnd"/>
      <w:r>
        <w:t xml:space="preserve"> without restricting competition or access.</w:t>
      </w:r>
    </w:p>
    <w:p w14:paraId="6F123256" w14:textId="77777777" w:rsidR="006D5BA8" w:rsidRDefault="004C0246" w:rsidP="000D0281">
      <w:pPr>
        <w:pStyle w:val="Heading1"/>
        <w:jc w:val="both"/>
      </w:pPr>
      <w:r>
        <w:t>10. Conclusions</w:t>
      </w:r>
    </w:p>
    <w:p w14:paraId="28220AC0" w14:textId="77777777" w:rsidR="006D5BA8" w:rsidRDefault="004C0246" w:rsidP="000D0281">
      <w:pPr>
        <w:jc w:val="both"/>
      </w:pPr>
      <w:r>
        <w:t>Sustainable pharmaceutical technology is most defensible when it prevents burden at source and verifies that benefits persist across the product life cycle. The evidence is strongest for early route simplification, systematic solvent management, material-efficiency measurement, catalysis and biocatalysis where they remove operations, and process intensification or continuous manufacturing when they materially reduce inventories, separations or waste. Mechanochemistry and greener-by-design APIs or excipients expand the prevention frontier but require more scale-relevant and longitudinal evidence before broad superiority can be claimed.</w:t>
      </w:r>
    </w:p>
    <w:p w14:paraId="3D0324D1" w14:textId="77777777" w:rsidR="006D5BA8" w:rsidRDefault="004C0246" w:rsidP="000D0281">
      <w:pPr>
        <w:jc w:val="both"/>
      </w:pPr>
      <w:r>
        <w:t xml:space="preserve">Packaging sustainability depends on delivered pharmaceutical function rather than material identity. Lightweighting, right-sizing and structural simplification are robust first-line strategies, but barrier performance, </w:t>
      </w:r>
      <w:proofErr w:type="spellStart"/>
      <w:r>
        <w:t>sterilisation</w:t>
      </w:r>
      <w:proofErr w:type="spellEnd"/>
      <w:r>
        <w:t>, transport, medicine wastage and local recovery infrastructure can reverse simple material rankings. Recycled, bio-based or biodegradable materials should therefore be introduced through pharmaceutical performance qualification and life-cycle comparison, not by label-based assumptions. End-of-life systems are similarly conditional: take-back can improve control of unused medicines and enable recovery of suitable packaging fractions, while controlled destruction remains necessary for biologically active residues and contaminated materials.</w:t>
      </w:r>
    </w:p>
    <w:p w14:paraId="3CA84130" w14:textId="77777777" w:rsidR="006D5BA8" w:rsidRDefault="004C0246" w:rsidP="000D0281">
      <w:pPr>
        <w:jc w:val="both"/>
      </w:pPr>
      <w:r>
        <w:t>The central synthesis is that design, manufacturing, packaging and disposal should be governed as one connected system. Quality, patient safety and reliable access define the operating boundary; within that boundary, environmental decisions should combine resource efficiency, hazard, emissions, environmental fate and circularity. Such an approach reduces the risk that progress in one life-cycle stage simply exports burden to another and provides a more credible basis for regulation, procurement and industrial investment.</w:t>
      </w:r>
    </w:p>
    <w:p w14:paraId="1DD9B16C" w14:textId="77777777" w:rsidR="006D5BA8" w:rsidRDefault="004C0246" w:rsidP="000D0281">
      <w:pPr>
        <w:pStyle w:val="Heading1"/>
        <w:jc w:val="both"/>
      </w:pPr>
      <w:r>
        <w:t>11. Limitations</w:t>
      </w:r>
    </w:p>
    <w:p w14:paraId="43782DB0" w14:textId="77777777" w:rsidR="006D5BA8" w:rsidRDefault="004C0246" w:rsidP="000D0281">
      <w:pPr>
        <w:jc w:val="both"/>
      </w:pPr>
      <w:r>
        <w:t>As a critical narrative review, this synthesis is intrinsically vulnerable to selection and interpretive bias despite use of a transparent search scope, explicit eligibility logic and source verification. The review was not designed as a systematic review and did not generate auditable screening counts or a quantitative meta-analysis. Direct access to some subscription bibliographic databases was unavailable, so the information sources represent accessible scholarly indexes, citation searching and verified publisher or institutional records rather than complete coverage of every database.</w:t>
      </w:r>
    </w:p>
    <w:p w14:paraId="747D8E47" w14:textId="5351791A" w:rsidR="006D5BA8" w:rsidRDefault="004C0246" w:rsidP="000D0281">
      <w:pPr>
        <w:jc w:val="both"/>
      </w:pPr>
      <w:r>
        <w:t>The underlying evidence is heterogeneous in functional units, system boundaries, process scale, energy systems and end-of-life assumptions. Commercial pharmaceutical manufacturing data are often proprietary, which limits independent replication and can bias the literature towards publishable success cases. Packaging studies are concentrated in selected products and regions and cannot fully represent global waste infrastructure. Evidence on long-term performance of newer materials, commercial-scale mechanochemistry, greener-by-design APIs and outcome-level impacts of take-back remains comparatively limited. Rapid technological and regulatory change also means that implementation conditions may evolve after the stated search end date. These constraints limit the precision of cross-technology ranking but do not alter the principal conclusion that life-cycle, function-preserving assessment is necessary to avoid burden shifting.</w:t>
      </w:r>
    </w:p>
    <w:p w14:paraId="6DC175C4" w14:textId="77777777" w:rsidR="00C56414" w:rsidRDefault="00C56414" w:rsidP="00C56414">
      <w:pPr>
        <w:shd w:val="clear" w:color="auto" w:fill="FFFFFF"/>
        <w:spacing w:after="0" w:line="240" w:lineRule="auto"/>
        <w:rPr>
          <w:rFonts w:ascii="Arial" w:eastAsia="Times New Roman" w:hAnsi="Arial" w:cs="Arial"/>
          <w:color w:val="222222"/>
          <w:sz w:val="24"/>
          <w:szCs w:val="24"/>
          <w:lang w:val="en-IN" w:eastAsia="en-IN"/>
        </w:rPr>
      </w:pPr>
      <w:bookmarkStart w:id="0" w:name="_Hlk232854992"/>
    </w:p>
    <w:p w14:paraId="716DA357" w14:textId="77777777" w:rsidR="001A7FEA" w:rsidRDefault="001A7FEA" w:rsidP="00C56414">
      <w:pPr>
        <w:spacing w:after="0" w:line="240" w:lineRule="auto"/>
        <w:rPr>
          <w:rFonts w:ascii="Times New Roman" w:hAnsi="Times New Roman" w:cs="Times New Roman"/>
          <w:b/>
        </w:rPr>
      </w:pPr>
      <w:bookmarkStart w:id="1" w:name="_Hlk234486585"/>
      <w:bookmarkStart w:id="2" w:name="_Hlk234075571"/>
      <w:bookmarkStart w:id="3" w:name="_Hlk232755622"/>
    </w:p>
    <w:p w14:paraId="31CFC026" w14:textId="05B0F9D9" w:rsidR="00C56414" w:rsidRPr="000839CE" w:rsidRDefault="00C56414" w:rsidP="00C56414">
      <w:pPr>
        <w:spacing w:after="0" w:line="240" w:lineRule="auto"/>
        <w:rPr>
          <w:rFonts w:ascii="Times New Roman" w:hAnsi="Times New Roman" w:cs="Times New Roman"/>
          <w:b/>
        </w:rPr>
      </w:pPr>
      <w:r w:rsidRPr="000839CE">
        <w:rPr>
          <w:rFonts w:ascii="Times New Roman" w:hAnsi="Times New Roman" w:cs="Times New Roman"/>
          <w:b/>
        </w:rPr>
        <w:lastRenderedPageBreak/>
        <w:t>Declaration of AI Use</w:t>
      </w:r>
    </w:p>
    <w:p w14:paraId="0A0B4F3E" w14:textId="77777777" w:rsidR="00C56414" w:rsidRPr="000839CE" w:rsidRDefault="00C56414" w:rsidP="00C56414">
      <w:pPr>
        <w:spacing w:after="0" w:line="240" w:lineRule="auto"/>
        <w:rPr>
          <w:rFonts w:ascii="Times New Roman" w:hAnsi="Times New Roman" w:cs="Times New Roman"/>
        </w:rPr>
      </w:pPr>
      <w:bookmarkStart w:id="4" w:name="_Hlk234486575"/>
      <w:bookmarkEnd w:id="1"/>
    </w:p>
    <w:p w14:paraId="6EEBC467" w14:textId="77777777" w:rsidR="00C56414" w:rsidRPr="000839CE" w:rsidRDefault="00C56414" w:rsidP="00C56414">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2"/>
      <w:r w:rsidRPr="00C56790">
        <w:rPr>
          <w:rFonts w:ascii="Times New Roman" w:hAnsi="Times New Roman" w:cs="Times New Roman"/>
        </w:rPr>
        <w:t>.</w:t>
      </w:r>
    </w:p>
    <w:bookmarkEnd w:id="0"/>
    <w:bookmarkEnd w:id="3"/>
    <w:bookmarkEnd w:id="4"/>
    <w:p w14:paraId="779FBD46" w14:textId="77777777" w:rsidR="00C56414" w:rsidRDefault="00C56414" w:rsidP="000D0281">
      <w:pPr>
        <w:jc w:val="both"/>
      </w:pPr>
    </w:p>
    <w:p w14:paraId="0FC835BA" w14:textId="77777777" w:rsidR="006D5BA8" w:rsidRDefault="004C0246" w:rsidP="000D0281">
      <w:pPr>
        <w:pStyle w:val="Heading1"/>
        <w:jc w:val="both"/>
      </w:pPr>
      <w:r>
        <w:t>References</w:t>
      </w:r>
    </w:p>
    <w:p w14:paraId="0EC1E4D5" w14:textId="5B29B4EE" w:rsidR="006D5BA8" w:rsidRDefault="004C0246" w:rsidP="000D0281">
      <w:pPr>
        <w:pStyle w:val="Reference"/>
        <w:jc w:val="both"/>
      </w:pPr>
      <w:r>
        <w:t xml:space="preserve">Abdelraheem, E. M. M., Busch, H., Hanefeld, U., &amp; Tonin, F. (2019). Biocatalysis explained: From pharmaceutical to bulk chemical production. </w:t>
      </w:r>
      <w:r>
        <w:rPr>
          <w:i/>
        </w:rPr>
        <w:t>Reaction Chemistry &amp; Engineering</w:t>
      </w:r>
      <w:r>
        <w:t xml:space="preserve">, </w:t>
      </w:r>
      <w:r>
        <w:rPr>
          <w:i/>
        </w:rPr>
        <w:t>4</w:t>
      </w:r>
      <w:r>
        <w:t xml:space="preserve">(11), 1878–1894. </w:t>
      </w:r>
      <w:r>
        <w:rPr>
          <w:color w:val="0563C1"/>
          <w:u w:val="single"/>
        </w:rPr>
        <w:t>https://doi.org/10.1039/C9RE00301K</w:t>
      </w:r>
    </w:p>
    <w:p w14:paraId="3F748510" w14:textId="0401A868" w:rsidR="006D5BA8" w:rsidRDefault="004C0246" w:rsidP="000D0281">
      <w:pPr>
        <w:pStyle w:val="Reference"/>
        <w:jc w:val="both"/>
      </w:pPr>
      <w:proofErr w:type="spellStart"/>
      <w:r>
        <w:t>Alfian</w:t>
      </w:r>
      <w:proofErr w:type="spellEnd"/>
      <w:r>
        <w:t xml:space="preserve">, S. D., </w:t>
      </w:r>
      <w:proofErr w:type="spellStart"/>
      <w:r>
        <w:t>Khoiry</w:t>
      </w:r>
      <w:proofErr w:type="spellEnd"/>
      <w:r>
        <w:t xml:space="preserve">, Q. A., Griselda, M., Aziz, C. S. F., </w:t>
      </w:r>
      <w:proofErr w:type="spellStart"/>
      <w:r>
        <w:t>Kartadikaria</w:t>
      </w:r>
      <w:proofErr w:type="spellEnd"/>
      <w:r>
        <w:t xml:space="preserve">, E., Sweileh, W., &amp; Abdulah, R. (2026). Interventions to address improper disposal practices of unused and expired household medications: A systematic review. </w:t>
      </w:r>
      <w:r>
        <w:rPr>
          <w:i/>
        </w:rPr>
        <w:t>Public Health in Practice</w:t>
      </w:r>
      <w:r>
        <w:t xml:space="preserve">, </w:t>
      </w:r>
      <w:r>
        <w:rPr>
          <w:i/>
        </w:rPr>
        <w:t>11</w:t>
      </w:r>
      <w:r>
        <w:t xml:space="preserve">, 100793. </w:t>
      </w:r>
      <w:r>
        <w:rPr>
          <w:color w:val="0563C1"/>
          <w:u w:val="single"/>
        </w:rPr>
        <w:t>https://doi.org/10.1016/j.puhip.2026.100793</w:t>
      </w:r>
    </w:p>
    <w:p w14:paraId="74218DCD" w14:textId="4FA184F1" w:rsidR="006D5BA8" w:rsidRDefault="004C0246" w:rsidP="000D0281">
      <w:pPr>
        <w:pStyle w:val="Reference"/>
        <w:jc w:val="both"/>
      </w:pPr>
      <w:r>
        <w:t xml:space="preserve">Anastas, P., &amp; Eghbali, N. (2010). Green chemistry: Principles and practice. </w:t>
      </w:r>
      <w:r>
        <w:rPr>
          <w:i/>
        </w:rPr>
        <w:t>Chemical Society Reviews</w:t>
      </w:r>
      <w:r>
        <w:t xml:space="preserve">, </w:t>
      </w:r>
      <w:r>
        <w:rPr>
          <w:i/>
        </w:rPr>
        <w:t>39</w:t>
      </w:r>
      <w:r>
        <w:t xml:space="preserve">(1), 301–312. </w:t>
      </w:r>
      <w:r>
        <w:rPr>
          <w:color w:val="0563C1"/>
          <w:u w:val="single"/>
        </w:rPr>
        <w:t>https://doi.org/10.1039/B918763B</w:t>
      </w:r>
    </w:p>
    <w:p w14:paraId="4649ED41" w14:textId="299EF455" w:rsidR="006D5BA8" w:rsidRDefault="004C0246" w:rsidP="000D0281">
      <w:pPr>
        <w:pStyle w:val="Reference"/>
        <w:jc w:val="both"/>
      </w:pPr>
      <w:proofErr w:type="spellStart"/>
      <w:r>
        <w:t>Arfelis</w:t>
      </w:r>
      <w:proofErr w:type="spellEnd"/>
      <w:r>
        <w:t xml:space="preserve">, S., Martín-Perales, A. I., Nguyen, R., Pérez, A., Cherubin, I., Len, C., Malpartida, I., Bala, A., &amp; </w:t>
      </w:r>
      <w:proofErr w:type="spellStart"/>
      <w:r>
        <w:t>Fullana</w:t>
      </w:r>
      <w:proofErr w:type="spellEnd"/>
      <w:r>
        <w:t xml:space="preserve">-I-Palmer, P. (2024). Linking mechanochemistry with the green chemistry principles: Review article. </w:t>
      </w:r>
      <w:proofErr w:type="spellStart"/>
      <w:r>
        <w:rPr>
          <w:i/>
        </w:rPr>
        <w:t>Heliyon</w:t>
      </w:r>
      <w:proofErr w:type="spellEnd"/>
      <w:r>
        <w:t xml:space="preserve">, </w:t>
      </w:r>
      <w:r>
        <w:rPr>
          <w:i/>
        </w:rPr>
        <w:t>10</w:t>
      </w:r>
      <w:r>
        <w:t xml:space="preserve">(14), e34655. </w:t>
      </w:r>
      <w:r>
        <w:rPr>
          <w:color w:val="0563C1"/>
          <w:u w:val="single"/>
        </w:rPr>
        <w:t>https://doi.org/10.1016/j.heliyon.2024.e34655</w:t>
      </w:r>
    </w:p>
    <w:p w14:paraId="1D1FB327" w14:textId="37980815" w:rsidR="006D5BA8" w:rsidRDefault="004C0246" w:rsidP="000D0281">
      <w:pPr>
        <w:pStyle w:val="Reference"/>
        <w:jc w:val="both"/>
      </w:pPr>
      <w:r>
        <w:t xml:space="preserve">Bading, M., Griffing, E., Olsson, O., Harris, J., Scher, J., Sakurai, A., Overcash, M., &amp; </w:t>
      </w:r>
      <w:proofErr w:type="spellStart"/>
      <w:r>
        <w:t>Kümmerer</w:t>
      </w:r>
      <w:proofErr w:type="spellEnd"/>
      <w:r>
        <w:t xml:space="preserve">, K. (2025). Assessments of life cycle and biodegradation properties uncovered distinct profiles of pharmaceutical excipients guiding selection for drug formulations. </w:t>
      </w:r>
      <w:r>
        <w:rPr>
          <w:i/>
        </w:rPr>
        <w:t>Green Chemistry</w:t>
      </w:r>
      <w:r>
        <w:t xml:space="preserve">, </w:t>
      </w:r>
      <w:r>
        <w:rPr>
          <w:i/>
        </w:rPr>
        <w:t>27</w:t>
      </w:r>
      <w:r>
        <w:t xml:space="preserve">, 15568–15581. </w:t>
      </w:r>
      <w:r>
        <w:rPr>
          <w:color w:val="0563C1"/>
          <w:u w:val="single"/>
        </w:rPr>
        <w:t>https://doi.org/10.1039/D5GC02518D</w:t>
      </w:r>
    </w:p>
    <w:p w14:paraId="64289F28" w14:textId="393FD56A" w:rsidR="006D5BA8" w:rsidRDefault="004C0246" w:rsidP="000D0281">
      <w:pPr>
        <w:pStyle w:val="Reference"/>
        <w:jc w:val="both"/>
      </w:pPr>
      <w:r>
        <w:t xml:space="preserve">Baehr, J., Göllner-Völker, L., Baehr, M., Muthukumar, H., Lapa, N., &amp; </w:t>
      </w:r>
      <w:proofErr w:type="spellStart"/>
      <w:r>
        <w:t>Schebek</w:t>
      </w:r>
      <w:proofErr w:type="spellEnd"/>
      <w:r>
        <w:t xml:space="preserve">, L. (2024). Life cycle assessment of pharmaceutical and clinical packaging required for medication administration practices. </w:t>
      </w:r>
      <w:r>
        <w:rPr>
          <w:i/>
        </w:rPr>
        <w:t>The International Journal of Life Cycle Assessment</w:t>
      </w:r>
      <w:r>
        <w:t xml:space="preserve">, </w:t>
      </w:r>
      <w:r>
        <w:rPr>
          <w:i/>
        </w:rPr>
        <w:t>29</w:t>
      </w:r>
      <w:r>
        <w:t xml:space="preserve">, 416–432. </w:t>
      </w:r>
      <w:r>
        <w:rPr>
          <w:color w:val="0563C1"/>
          <w:u w:val="single"/>
        </w:rPr>
        <w:t>https://doi.org/10.1007/s11367-023-02270-x</w:t>
      </w:r>
    </w:p>
    <w:p w14:paraId="056EA005" w14:textId="5FB448AE" w:rsidR="006D5BA8" w:rsidRDefault="004C0246" w:rsidP="000D0281">
      <w:pPr>
        <w:pStyle w:val="Reference"/>
        <w:jc w:val="both"/>
      </w:pPr>
      <w:r>
        <w:t xml:space="preserve">Bassani, F., Rodrigues, C., Marques, P., &amp; Freire, F. (2022a). Life cycle assessment of pharmaceutical packaging. </w:t>
      </w:r>
      <w:r>
        <w:rPr>
          <w:i/>
        </w:rPr>
        <w:t>The International Journal of Life Cycle Assessment</w:t>
      </w:r>
      <w:r>
        <w:t xml:space="preserve">, </w:t>
      </w:r>
      <w:r>
        <w:rPr>
          <w:i/>
        </w:rPr>
        <w:t>27</w:t>
      </w:r>
      <w:r>
        <w:t xml:space="preserve">(7), 978–992. </w:t>
      </w:r>
      <w:r>
        <w:rPr>
          <w:color w:val="0563C1"/>
          <w:u w:val="single"/>
        </w:rPr>
        <w:t>https://doi.org/10.1007/s11367-022-02062-9</w:t>
      </w:r>
    </w:p>
    <w:p w14:paraId="7FFD9529" w14:textId="3D5A554E" w:rsidR="006D5BA8" w:rsidRDefault="004C0246" w:rsidP="000D0281">
      <w:pPr>
        <w:pStyle w:val="Reference"/>
        <w:jc w:val="both"/>
      </w:pPr>
      <w:r>
        <w:t xml:space="preserve">Bassani, F., Rodrigues, C., Marques, P., &amp; Freire, F. (2022b). Ecodesign approach for pharmaceutical packaging based on life cycle assessment. </w:t>
      </w:r>
      <w:r>
        <w:rPr>
          <w:i/>
        </w:rPr>
        <w:t>Science of the Total Environment</w:t>
      </w:r>
      <w:r>
        <w:t xml:space="preserve">, </w:t>
      </w:r>
      <w:r>
        <w:rPr>
          <w:i/>
        </w:rPr>
        <w:t>816</w:t>
      </w:r>
      <w:r>
        <w:t xml:space="preserve">, 151565. </w:t>
      </w:r>
      <w:r>
        <w:rPr>
          <w:color w:val="0563C1"/>
          <w:u w:val="single"/>
        </w:rPr>
        <w:t>https://doi.org/10.1016/j.scitotenv.2021.151565</w:t>
      </w:r>
    </w:p>
    <w:p w14:paraId="3E5052AF" w14:textId="6C57ED46" w:rsidR="006D5BA8" w:rsidRDefault="004C0246" w:rsidP="000D0281">
      <w:pPr>
        <w:pStyle w:val="Reference"/>
        <w:jc w:val="both"/>
      </w:pPr>
      <w:r>
        <w:t xml:space="preserve">Bassani, F., Rodrigues, C., &amp; Freire, F. (2024). Life cycle assessment of pharmaceutical packaging addressing end-of-life alternatives. </w:t>
      </w:r>
      <w:r>
        <w:rPr>
          <w:i/>
        </w:rPr>
        <w:t>Waste Management</w:t>
      </w:r>
      <w:r>
        <w:t xml:space="preserve">, </w:t>
      </w:r>
      <w:r>
        <w:rPr>
          <w:i/>
        </w:rPr>
        <w:t>175</w:t>
      </w:r>
      <w:r>
        <w:t xml:space="preserve">, 1–11. </w:t>
      </w:r>
      <w:r>
        <w:rPr>
          <w:color w:val="0563C1"/>
          <w:u w:val="single"/>
        </w:rPr>
        <w:t>https://doi.org/10.1016/j.wasman.2023.12.022</w:t>
      </w:r>
    </w:p>
    <w:p w14:paraId="2A80E91B" w14:textId="5497B1E4" w:rsidR="006D5BA8" w:rsidRDefault="004C0246" w:rsidP="000D0281">
      <w:pPr>
        <w:pStyle w:val="Reference"/>
        <w:jc w:val="both"/>
      </w:pPr>
      <w:proofErr w:type="spellStart"/>
      <w:r>
        <w:t>Belboom</w:t>
      </w:r>
      <w:proofErr w:type="spellEnd"/>
      <w:r>
        <w:t xml:space="preserve">, S., Renzoni, R., </w:t>
      </w:r>
      <w:proofErr w:type="spellStart"/>
      <w:r>
        <w:t>Verjans</w:t>
      </w:r>
      <w:proofErr w:type="spellEnd"/>
      <w:r>
        <w:t xml:space="preserve">, B., Léonard, A., &amp; Germain, A. (2011). A life cycle assessment of injectable drug primary packaging: Comparing the traditional process in glass vials with the closed vial technology (polymer vials). </w:t>
      </w:r>
      <w:r>
        <w:rPr>
          <w:i/>
        </w:rPr>
        <w:t>The International Journal of Life Cycle Assessment</w:t>
      </w:r>
      <w:r>
        <w:t xml:space="preserve">, </w:t>
      </w:r>
      <w:r>
        <w:rPr>
          <w:i/>
        </w:rPr>
        <w:t>16</w:t>
      </w:r>
      <w:r>
        <w:t xml:space="preserve">(2), 159–167. </w:t>
      </w:r>
      <w:r>
        <w:rPr>
          <w:color w:val="0563C1"/>
          <w:u w:val="single"/>
        </w:rPr>
        <w:t>https://doi.org/10.1007/s11367-011-0248-z</w:t>
      </w:r>
    </w:p>
    <w:p w14:paraId="2E7B6902" w14:textId="1C31032A" w:rsidR="006D5BA8" w:rsidRDefault="004C0246" w:rsidP="000D0281">
      <w:pPr>
        <w:pStyle w:val="Reference"/>
        <w:jc w:val="both"/>
      </w:pPr>
      <w:r>
        <w:t xml:space="preserve">Bryan, M. C., Dunn, P. J., Entwistle, D., Gallou, F., Koenig, S. G., Hayler, J. D., Hickey, M. R., Hughes, S., Kopach, M. E., Moine, G., Richardson, P., </w:t>
      </w:r>
      <w:proofErr w:type="spellStart"/>
      <w:r>
        <w:t>Roschangar</w:t>
      </w:r>
      <w:proofErr w:type="spellEnd"/>
      <w:r>
        <w:t xml:space="preserve">, F., Steven, A., &amp; </w:t>
      </w:r>
      <w:proofErr w:type="spellStart"/>
      <w:r>
        <w:t>Weiberth</w:t>
      </w:r>
      <w:proofErr w:type="spellEnd"/>
      <w:r>
        <w:t xml:space="preserve">, F. J. (2018). Key green chemistry research areas from a pharmaceutical manufacturers’ perspective revisited. </w:t>
      </w:r>
      <w:r>
        <w:rPr>
          <w:i/>
        </w:rPr>
        <w:t>Green Chemistry</w:t>
      </w:r>
      <w:r>
        <w:t xml:space="preserve">, </w:t>
      </w:r>
      <w:r>
        <w:rPr>
          <w:i/>
        </w:rPr>
        <w:t>20</w:t>
      </w:r>
      <w:r>
        <w:t xml:space="preserve">, 5082–5103. </w:t>
      </w:r>
      <w:r>
        <w:rPr>
          <w:color w:val="0563C1"/>
          <w:u w:val="single"/>
        </w:rPr>
        <w:t>https://doi.org/10.1039/C8GC01276H</w:t>
      </w:r>
    </w:p>
    <w:p w14:paraId="4F782E0B" w14:textId="19EF06F4" w:rsidR="006D5BA8" w:rsidRDefault="004C0246" w:rsidP="000D0281">
      <w:pPr>
        <w:pStyle w:val="Reference"/>
        <w:jc w:val="both"/>
      </w:pPr>
      <w:r>
        <w:t xml:space="preserve">Caldwell, D. J., Mertens, B., Kappler, K., Senac, T., </w:t>
      </w:r>
      <w:proofErr w:type="spellStart"/>
      <w:r>
        <w:t>Journel</w:t>
      </w:r>
      <w:proofErr w:type="spellEnd"/>
      <w:r>
        <w:t xml:space="preserve">, R., Wilson, P., Meyerhoff, R. D., Parke, N. J., </w:t>
      </w:r>
      <w:proofErr w:type="spellStart"/>
      <w:r>
        <w:t>Mastrocco</w:t>
      </w:r>
      <w:proofErr w:type="spellEnd"/>
      <w:r>
        <w:t xml:space="preserve">, F., Mattson, B., Murray-Smith, R., Dolan, D. G., Straub, J. O., Wiedemann, M., Hartmann, A., &amp; Finan, D. S. (2016). A risk-based approach to managing active pharmaceutical ingredients in manufacturing effluent. </w:t>
      </w:r>
      <w:r>
        <w:rPr>
          <w:i/>
        </w:rPr>
        <w:t>Environmental Toxicology and Chemistry</w:t>
      </w:r>
      <w:r>
        <w:t xml:space="preserve">, </w:t>
      </w:r>
      <w:r>
        <w:rPr>
          <w:i/>
        </w:rPr>
        <w:t>35</w:t>
      </w:r>
      <w:r>
        <w:t xml:space="preserve">(4), 813–822. </w:t>
      </w:r>
      <w:r>
        <w:rPr>
          <w:color w:val="0563C1"/>
          <w:u w:val="single"/>
        </w:rPr>
        <w:t>https://doi.org/10.1002/etc.3163</w:t>
      </w:r>
    </w:p>
    <w:p w14:paraId="508B3E4D" w14:textId="46A4E22A" w:rsidR="006D5BA8" w:rsidRDefault="004C0246" w:rsidP="000D0281">
      <w:pPr>
        <w:pStyle w:val="Reference"/>
        <w:jc w:val="both"/>
      </w:pPr>
      <w:r>
        <w:t xml:space="preserve">Castiello, C., </w:t>
      </w:r>
      <w:proofErr w:type="spellStart"/>
      <w:r>
        <w:t>Junghanns</w:t>
      </w:r>
      <w:proofErr w:type="spellEnd"/>
      <w:r>
        <w:t xml:space="preserve">, P., Mergel, A., Jacob, C., Ducho, C., Valente, S., </w:t>
      </w:r>
      <w:proofErr w:type="spellStart"/>
      <w:r>
        <w:t>Rotili</w:t>
      </w:r>
      <w:proofErr w:type="spellEnd"/>
      <w:r>
        <w:t xml:space="preserve">, D., Fioravanti, R., </w:t>
      </w:r>
      <w:proofErr w:type="spellStart"/>
      <w:r>
        <w:t>Zwergel</w:t>
      </w:r>
      <w:proofErr w:type="spellEnd"/>
      <w:r>
        <w:t xml:space="preserve">, C., &amp; Mai, A. (2023). </w:t>
      </w:r>
      <w:proofErr w:type="spellStart"/>
      <w:r>
        <w:t>GreenMedChem</w:t>
      </w:r>
      <w:proofErr w:type="spellEnd"/>
      <w:r>
        <w:t xml:space="preserve">: The challenge in the next decade toward eco-friendly compounds and processes in drug design. </w:t>
      </w:r>
      <w:r>
        <w:rPr>
          <w:i/>
        </w:rPr>
        <w:t>Green Chemistry</w:t>
      </w:r>
      <w:r>
        <w:t xml:space="preserve">, </w:t>
      </w:r>
      <w:r>
        <w:rPr>
          <w:i/>
        </w:rPr>
        <w:t>25</w:t>
      </w:r>
      <w:r>
        <w:t xml:space="preserve">(6), 2109–2169. </w:t>
      </w:r>
      <w:r>
        <w:rPr>
          <w:color w:val="0563C1"/>
          <w:u w:val="single"/>
        </w:rPr>
        <w:t>https://doi.org/10.1039/D2GC03772F</w:t>
      </w:r>
    </w:p>
    <w:p w14:paraId="08E1F5CE" w14:textId="7D0F016B" w:rsidR="006D5BA8" w:rsidRDefault="004C0246" w:rsidP="000D0281">
      <w:pPr>
        <w:pStyle w:val="Reference"/>
        <w:jc w:val="both"/>
      </w:pPr>
      <w:r>
        <w:t xml:space="preserve">Clouthier, C. M., &amp; Pelletier, J. N. (2012). Expanding the organic toolbox: A guide to integrating biocatalysis in synthesis. </w:t>
      </w:r>
      <w:r>
        <w:rPr>
          <w:i/>
        </w:rPr>
        <w:t>Chemical Society Reviews</w:t>
      </w:r>
      <w:r>
        <w:t xml:space="preserve">, </w:t>
      </w:r>
      <w:r>
        <w:rPr>
          <w:i/>
        </w:rPr>
        <w:t>41</w:t>
      </w:r>
      <w:r>
        <w:t xml:space="preserve">, 1585–1605. </w:t>
      </w:r>
      <w:r>
        <w:rPr>
          <w:color w:val="0563C1"/>
          <w:u w:val="single"/>
        </w:rPr>
        <w:t>https://doi.org/10.1039/C2CS15286J</w:t>
      </w:r>
    </w:p>
    <w:p w14:paraId="5F9F8D8A" w14:textId="3CE18775" w:rsidR="006D5BA8" w:rsidRDefault="004C0246" w:rsidP="000D0281">
      <w:pPr>
        <w:pStyle w:val="Reference"/>
        <w:jc w:val="both"/>
      </w:pPr>
      <w:r>
        <w:t xml:space="preserve">Constable, D. J. C., Dunn, P. J., Hayler, J. D., Humphrey, G. R., Leazer, J. L., Jr., Linderman, R. J., Lorenz, K., Manley, J., Pearlman, B. A., Wells, A., Zaks, A., &amp; Zhang, T. Y. (2007). Key green chemistry research areas—A perspective from pharmaceutical manufacturers. </w:t>
      </w:r>
      <w:r>
        <w:rPr>
          <w:i/>
        </w:rPr>
        <w:t>Green Chemistry</w:t>
      </w:r>
      <w:r>
        <w:t xml:space="preserve">, </w:t>
      </w:r>
      <w:r>
        <w:rPr>
          <w:i/>
        </w:rPr>
        <w:t>9</w:t>
      </w:r>
      <w:r>
        <w:t xml:space="preserve">(5), 411–420. </w:t>
      </w:r>
      <w:r>
        <w:rPr>
          <w:color w:val="0563C1"/>
          <w:u w:val="single"/>
        </w:rPr>
        <w:t>https://doi.org/10.1039/B703488C</w:t>
      </w:r>
    </w:p>
    <w:p w14:paraId="0705DFB2" w14:textId="171B08AB" w:rsidR="006D5BA8" w:rsidRDefault="004C0246" w:rsidP="000D0281">
      <w:pPr>
        <w:pStyle w:val="Reference"/>
        <w:jc w:val="both"/>
      </w:pPr>
      <w:r>
        <w:lastRenderedPageBreak/>
        <w:t xml:space="preserve">De Soete, W., </w:t>
      </w:r>
      <w:proofErr w:type="spellStart"/>
      <w:r>
        <w:t>Debaveye</w:t>
      </w:r>
      <w:proofErr w:type="spellEnd"/>
      <w:r>
        <w:t xml:space="preserve">, S., De Meester, S., Van der Vorst, G., Aelterman, W., </w:t>
      </w:r>
      <w:proofErr w:type="spellStart"/>
      <w:r>
        <w:t>Heirman</w:t>
      </w:r>
      <w:proofErr w:type="spellEnd"/>
      <w:r>
        <w:t xml:space="preserve">, B., </w:t>
      </w:r>
      <w:proofErr w:type="spellStart"/>
      <w:r>
        <w:t>Cappuyns</w:t>
      </w:r>
      <w:proofErr w:type="spellEnd"/>
      <w:r>
        <w:t xml:space="preserve">, P., &amp; Dewulf, J. (2014). Environmental sustainability assessments of pharmaceuticals: An emerging need for simplification in life cycle assessments. </w:t>
      </w:r>
      <w:r>
        <w:rPr>
          <w:i/>
        </w:rPr>
        <w:t>Environmental Science &amp; Technology</w:t>
      </w:r>
      <w:r>
        <w:t xml:space="preserve">, </w:t>
      </w:r>
      <w:r>
        <w:rPr>
          <w:i/>
        </w:rPr>
        <w:t>48</w:t>
      </w:r>
      <w:r>
        <w:t xml:space="preserve">(20), 12247–12255. </w:t>
      </w:r>
      <w:r>
        <w:rPr>
          <w:color w:val="0563C1"/>
          <w:u w:val="single"/>
        </w:rPr>
        <w:t>https://doi.org/10.1021/es502562d</w:t>
      </w:r>
    </w:p>
    <w:p w14:paraId="07636D1C" w14:textId="019C810A" w:rsidR="006D5BA8" w:rsidRDefault="004C0246" w:rsidP="000D0281">
      <w:pPr>
        <w:pStyle w:val="Reference"/>
        <w:jc w:val="both"/>
      </w:pPr>
      <w:r>
        <w:t xml:space="preserve">Diorazio, L. J., Hose, D. R. J., &amp; Adlington, N. K. (2016). Toward a more holistic framework for solvent selection. </w:t>
      </w:r>
      <w:r>
        <w:rPr>
          <w:i/>
        </w:rPr>
        <w:t>Organic Process Research &amp; Development</w:t>
      </w:r>
      <w:r>
        <w:t xml:space="preserve">, </w:t>
      </w:r>
      <w:r>
        <w:rPr>
          <w:i/>
        </w:rPr>
        <w:t>20</w:t>
      </w:r>
      <w:r>
        <w:t xml:space="preserve">(4), 760–773. </w:t>
      </w:r>
      <w:r>
        <w:rPr>
          <w:color w:val="0563C1"/>
          <w:u w:val="single"/>
        </w:rPr>
        <w:t>https://doi.org/10.1021/acs.oprd.6b00015</w:t>
      </w:r>
    </w:p>
    <w:p w14:paraId="0C5D7C8E" w14:textId="1F6CE29C" w:rsidR="006D5BA8" w:rsidRDefault="004C0246" w:rsidP="000D0281">
      <w:pPr>
        <w:pStyle w:val="Reference"/>
        <w:jc w:val="both"/>
      </w:pPr>
      <w:r>
        <w:t xml:space="preserve">Dunn, P. J. (2012). The importance of green chemistry in process research and development. </w:t>
      </w:r>
      <w:r>
        <w:rPr>
          <w:i/>
        </w:rPr>
        <w:t>Chemical Society Reviews</w:t>
      </w:r>
      <w:r>
        <w:t xml:space="preserve">, </w:t>
      </w:r>
      <w:r>
        <w:rPr>
          <w:i/>
        </w:rPr>
        <w:t>41</w:t>
      </w:r>
      <w:r>
        <w:t xml:space="preserve">, 1452–1461. </w:t>
      </w:r>
      <w:r>
        <w:rPr>
          <w:color w:val="0563C1"/>
          <w:u w:val="single"/>
        </w:rPr>
        <w:t>https://doi.org/10.1039/C1CS15041C</w:t>
      </w:r>
    </w:p>
    <w:p w14:paraId="797FFB98" w14:textId="0FCD0045" w:rsidR="006D5BA8" w:rsidRDefault="004C0246" w:rsidP="000D0281">
      <w:pPr>
        <w:pStyle w:val="Reference"/>
        <w:jc w:val="both"/>
      </w:pPr>
      <w:r>
        <w:t xml:space="preserve">European Medicines Agency. (2023). </w:t>
      </w:r>
      <w:r>
        <w:rPr>
          <w:i/>
        </w:rPr>
        <w:t>ICH guideline Q13 on continuous manufacturing of drug substances and drug products—Step 5</w:t>
      </w:r>
      <w:r>
        <w:t xml:space="preserve"> (EMA/CHMP/ICH/427817/2021). </w:t>
      </w:r>
      <w:r>
        <w:rPr>
          <w:color w:val="0563C1"/>
          <w:u w:val="single"/>
        </w:rPr>
        <w:t>https://www.ema.europa.eu/en/ich-guideline-q13-continuous-manufacturing-drug-substances-drug-products-scientific-guideline</w:t>
      </w:r>
    </w:p>
    <w:p w14:paraId="3DE3F646" w14:textId="41F623B7" w:rsidR="006D5BA8" w:rsidRDefault="004C0246" w:rsidP="000D0281">
      <w:pPr>
        <w:pStyle w:val="Reference"/>
        <w:jc w:val="both"/>
      </w:pPr>
      <w:r>
        <w:t xml:space="preserve">European Medicines Agency. (2024). </w:t>
      </w:r>
      <w:r>
        <w:rPr>
          <w:i/>
        </w:rPr>
        <w:t>Guideline on the environmental risk assessment of medicinal products for human use—Revision 1</w:t>
      </w:r>
      <w:r>
        <w:t xml:space="preserve"> (EMEA/CHMP/SWP/4447/00 Rev. 1 Corr.). </w:t>
      </w:r>
      <w:r>
        <w:rPr>
          <w:color w:val="0563C1"/>
          <w:u w:val="single"/>
        </w:rPr>
        <w:t>https://www.ema.europa.eu/en/environmental-risk-assessment-medicinal-products-human-use-scientific-guideline</w:t>
      </w:r>
    </w:p>
    <w:p w14:paraId="6D6B9F3D" w14:textId="4E6F57E8" w:rsidR="006D5BA8" w:rsidRDefault="004C0246" w:rsidP="000D0281">
      <w:pPr>
        <w:pStyle w:val="Reference"/>
        <w:jc w:val="both"/>
      </w:pPr>
      <w:r>
        <w:t xml:space="preserve">European Union. (2025). Regulation (EU) 2025/40 of the European Parliament and of the Council of 19 December 2024 on packaging and packaging waste, amending Regulation (EU) 2019/1020 and Directive (EU) 2019/904, and repealing Directive 94/62/EC. Official Journal of the European Union. </w:t>
      </w:r>
      <w:r>
        <w:rPr>
          <w:color w:val="0563C1"/>
          <w:u w:val="single"/>
        </w:rPr>
        <w:t>https://eur-lex.europa.eu/eli/reg/2025/40/oj/eng</w:t>
      </w:r>
    </w:p>
    <w:p w14:paraId="54C8CFC2" w14:textId="705CD801" w:rsidR="006D5BA8" w:rsidRDefault="004C0246" w:rsidP="000D0281">
      <w:pPr>
        <w:pStyle w:val="Reference"/>
        <w:jc w:val="both"/>
      </w:pPr>
      <w:r>
        <w:t xml:space="preserve">Green, B. N., Johnson, C. D., &amp; Adams, A. (2006). Writing narrative literature reviews for peer-reviewed journals: Secrets of the trade. </w:t>
      </w:r>
      <w:r>
        <w:rPr>
          <w:i/>
        </w:rPr>
        <w:t>Journal of Chiropractic Medicine</w:t>
      </w:r>
      <w:r>
        <w:t xml:space="preserve">, </w:t>
      </w:r>
      <w:r>
        <w:rPr>
          <w:i/>
        </w:rPr>
        <w:t>5</w:t>
      </w:r>
      <w:r>
        <w:t xml:space="preserve">(3), 101–117. </w:t>
      </w:r>
      <w:r>
        <w:rPr>
          <w:color w:val="0563C1"/>
          <w:u w:val="single"/>
        </w:rPr>
        <w:t>https://doi.org/10.1016/S0899-3467(07)60142-6</w:t>
      </w:r>
    </w:p>
    <w:p w14:paraId="36D73532" w14:textId="6AB0BECC" w:rsidR="006D5BA8" w:rsidRDefault="004C0246" w:rsidP="000D0281">
      <w:pPr>
        <w:pStyle w:val="Reference"/>
        <w:jc w:val="both"/>
      </w:pPr>
      <w:r>
        <w:t xml:space="preserve">Henderson, R. K., Jiménez-González, C., Constable, D. J. C., Alston, S. R., Inglis, G. G. A., Fisher, G., Sherwood, J., Binks, S. P., &amp; </w:t>
      </w:r>
      <w:proofErr w:type="spellStart"/>
      <w:r>
        <w:t>Curzons</w:t>
      </w:r>
      <w:proofErr w:type="spellEnd"/>
      <w:r>
        <w:t xml:space="preserve">, A. D. (2011). Expanding GSK’s solvent selection guide—Embedding sustainability into solvent selection starting at medicinal chemistry. </w:t>
      </w:r>
      <w:r>
        <w:rPr>
          <w:i/>
        </w:rPr>
        <w:t>Green Chemistry</w:t>
      </w:r>
      <w:r>
        <w:t xml:space="preserve">, </w:t>
      </w:r>
      <w:r>
        <w:rPr>
          <w:i/>
        </w:rPr>
        <w:t>13</w:t>
      </w:r>
      <w:r>
        <w:t xml:space="preserve">(4), 854–862. </w:t>
      </w:r>
      <w:r>
        <w:rPr>
          <w:color w:val="0563C1"/>
          <w:u w:val="single"/>
        </w:rPr>
        <w:t>https://doi.org/10.1039/C0GC00918K</w:t>
      </w:r>
    </w:p>
    <w:p w14:paraId="79209255" w14:textId="1F4932A4" w:rsidR="006D5BA8" w:rsidRDefault="004C0246" w:rsidP="000D0281">
      <w:pPr>
        <w:pStyle w:val="Reference"/>
        <w:jc w:val="both"/>
      </w:pPr>
      <w:r>
        <w:t xml:space="preserve">Hiew, S. Y., &amp; Low, B. Y. (2024). The knowledge, attitude, and practice of the public regarding household pharmaceutical waste disposal: A systematic review (2013–2023). </w:t>
      </w:r>
      <w:r>
        <w:rPr>
          <w:i/>
        </w:rPr>
        <w:t>International Journal of Pharmacy Practice</w:t>
      </w:r>
      <w:r>
        <w:t xml:space="preserve">, </w:t>
      </w:r>
      <w:r>
        <w:rPr>
          <w:i/>
        </w:rPr>
        <w:t>32</w:t>
      </w:r>
      <w:r>
        <w:t xml:space="preserve">(2), 120–132. </w:t>
      </w:r>
      <w:r>
        <w:rPr>
          <w:color w:val="0563C1"/>
          <w:u w:val="single"/>
        </w:rPr>
        <w:t>https://doi.org/10.1093/ijpp/riae001</w:t>
      </w:r>
    </w:p>
    <w:p w14:paraId="719AB88B" w14:textId="531469E5" w:rsidR="006D5BA8" w:rsidRDefault="004C0246" w:rsidP="000D0281">
      <w:pPr>
        <w:pStyle w:val="Reference"/>
        <w:jc w:val="both"/>
      </w:pPr>
      <w:r>
        <w:t xml:space="preserve">Jimenez-Gonzalez, C., Ponder, C. S., Broxterman, Q. B., &amp; Manley, J. B. (2011). Using the right green yardstick: Why process mass intensity is used in the pharmaceutical industry to drive more sustainable processes. </w:t>
      </w:r>
      <w:r>
        <w:rPr>
          <w:i/>
        </w:rPr>
        <w:t>Organic Process Research &amp; Development</w:t>
      </w:r>
      <w:r>
        <w:t xml:space="preserve">, </w:t>
      </w:r>
      <w:r>
        <w:rPr>
          <w:i/>
        </w:rPr>
        <w:t>15</w:t>
      </w:r>
      <w:r>
        <w:t xml:space="preserve">(4), 912–917. </w:t>
      </w:r>
      <w:r>
        <w:rPr>
          <w:color w:val="0563C1"/>
          <w:u w:val="single"/>
        </w:rPr>
        <w:t>https://doi.org/10.1021/op200097d</w:t>
      </w:r>
    </w:p>
    <w:p w14:paraId="57A69B77" w14:textId="1A8E03E2" w:rsidR="006D5BA8" w:rsidRDefault="004C0246" w:rsidP="000D0281">
      <w:pPr>
        <w:pStyle w:val="Reference"/>
        <w:jc w:val="both"/>
      </w:pPr>
      <w:r>
        <w:t xml:space="preserve">Kjell, D. P., Watson, I. A., Wolfe, C. N., &amp; Spitler, J. T. (2013). Complexity-based metric for process mass intensity in the pharmaceutical industry. </w:t>
      </w:r>
      <w:r>
        <w:rPr>
          <w:i/>
        </w:rPr>
        <w:t>Organic Process Research &amp; Development</w:t>
      </w:r>
      <w:r>
        <w:t xml:space="preserve">, </w:t>
      </w:r>
      <w:r>
        <w:rPr>
          <w:i/>
        </w:rPr>
        <w:t>17</w:t>
      </w:r>
      <w:r>
        <w:t xml:space="preserve">(2), 169–174. </w:t>
      </w:r>
      <w:r>
        <w:rPr>
          <w:color w:val="0563C1"/>
          <w:u w:val="single"/>
        </w:rPr>
        <w:t>https://doi.org/10.1021/op3002917</w:t>
      </w:r>
    </w:p>
    <w:p w14:paraId="2DA6FE85" w14:textId="475B5249" w:rsidR="006D5BA8" w:rsidRDefault="004C0246" w:rsidP="000D0281">
      <w:pPr>
        <w:pStyle w:val="Reference"/>
        <w:jc w:val="both"/>
      </w:pPr>
      <w:proofErr w:type="spellStart"/>
      <w:r>
        <w:t>Kümmerer</w:t>
      </w:r>
      <w:proofErr w:type="spellEnd"/>
      <w:r>
        <w:t xml:space="preserve">, K. (2007). Sustainable from the very beginning: Rational design of molecules by life cycle engineering as an important approach for green pharmacy and green chemistry. </w:t>
      </w:r>
      <w:r>
        <w:rPr>
          <w:i/>
        </w:rPr>
        <w:t>Green Chemistry</w:t>
      </w:r>
      <w:r>
        <w:t xml:space="preserve">, </w:t>
      </w:r>
      <w:r>
        <w:rPr>
          <w:i/>
        </w:rPr>
        <w:t>9</w:t>
      </w:r>
      <w:r>
        <w:t xml:space="preserve">, 899–907. </w:t>
      </w:r>
      <w:r>
        <w:rPr>
          <w:color w:val="0563C1"/>
          <w:u w:val="single"/>
        </w:rPr>
        <w:t>https://doi.org/10.1039/B618298B</w:t>
      </w:r>
    </w:p>
    <w:p w14:paraId="7A7F096F" w14:textId="503D4F21" w:rsidR="006D5BA8" w:rsidRDefault="004C0246" w:rsidP="000D0281">
      <w:pPr>
        <w:pStyle w:val="Reference"/>
        <w:jc w:val="both"/>
      </w:pPr>
      <w:r>
        <w:t xml:space="preserve">Larsson, D. G. J. (2014). Antibiotics in the environment. </w:t>
      </w:r>
      <w:r>
        <w:rPr>
          <w:i/>
        </w:rPr>
        <w:t>Upsala Journal of Medical Sciences</w:t>
      </w:r>
      <w:r>
        <w:t xml:space="preserve">, </w:t>
      </w:r>
      <w:r>
        <w:rPr>
          <w:i/>
        </w:rPr>
        <w:t>119</w:t>
      </w:r>
      <w:r>
        <w:t xml:space="preserve">(2), 108–112. </w:t>
      </w:r>
      <w:r>
        <w:rPr>
          <w:color w:val="0563C1"/>
          <w:u w:val="single"/>
        </w:rPr>
        <w:t>https://doi.org/10.3109/03009734.2014.896438</w:t>
      </w:r>
    </w:p>
    <w:p w14:paraId="7699CE59" w14:textId="0B871B2F" w:rsidR="006D5BA8" w:rsidRDefault="004C0246" w:rsidP="000D0281">
      <w:pPr>
        <w:pStyle w:val="Reference"/>
        <w:jc w:val="both"/>
      </w:pPr>
      <w:r>
        <w:t xml:space="preserve">Larsson, D. G. J., de Pedro, C., &amp; </w:t>
      </w:r>
      <w:proofErr w:type="spellStart"/>
      <w:r>
        <w:t>Paxéus</w:t>
      </w:r>
      <w:proofErr w:type="spellEnd"/>
      <w:r>
        <w:t xml:space="preserve">, N. (2007). Effluent from drug manufactures contains extremely high levels of pharmaceuticals. </w:t>
      </w:r>
      <w:r>
        <w:rPr>
          <w:i/>
        </w:rPr>
        <w:t>Journal of Hazardous Materials</w:t>
      </w:r>
      <w:r>
        <w:t xml:space="preserve">, </w:t>
      </w:r>
      <w:r>
        <w:rPr>
          <w:i/>
        </w:rPr>
        <w:t>148</w:t>
      </w:r>
      <w:r>
        <w:t xml:space="preserve">(3), 751–755. </w:t>
      </w:r>
      <w:r>
        <w:rPr>
          <w:color w:val="0563C1"/>
          <w:u w:val="single"/>
        </w:rPr>
        <w:t>https://doi.org/10.1016/j.jhazmat.2007.07.008</w:t>
      </w:r>
    </w:p>
    <w:p w14:paraId="058E233F" w14:textId="750F00E8" w:rsidR="006D5BA8" w:rsidRDefault="004C0246" w:rsidP="000D0281">
      <w:pPr>
        <w:pStyle w:val="Reference"/>
        <w:jc w:val="both"/>
      </w:pPr>
      <w:r>
        <w:t xml:space="preserve">Larsson, D. G. J., &amp; Fick, J. (2009). Transparency throughout the production chain—A way to reduce pollution from the manufacturing of pharmaceuticals? </w:t>
      </w:r>
      <w:r>
        <w:rPr>
          <w:i/>
        </w:rPr>
        <w:t>Regulatory Toxicology and Pharmacology</w:t>
      </w:r>
      <w:r>
        <w:t xml:space="preserve">, </w:t>
      </w:r>
      <w:r>
        <w:rPr>
          <w:i/>
        </w:rPr>
        <w:t>53</w:t>
      </w:r>
      <w:r>
        <w:t xml:space="preserve">(3), 161–163. </w:t>
      </w:r>
      <w:r>
        <w:rPr>
          <w:color w:val="0563C1"/>
          <w:u w:val="single"/>
        </w:rPr>
        <w:t>https://doi.org/10.1016/j.yrtph.2009.01.008</w:t>
      </w:r>
    </w:p>
    <w:p w14:paraId="38EAE58E" w14:textId="482E17EA" w:rsidR="006D5BA8" w:rsidRDefault="004C0246" w:rsidP="000D0281">
      <w:pPr>
        <w:pStyle w:val="Reference"/>
        <w:jc w:val="both"/>
      </w:pPr>
      <w:r>
        <w:t xml:space="preserve">Larsson, D. G. J., &amp; Flach, C.-F. (2022). Antibiotic resistance in the environment. </w:t>
      </w:r>
      <w:r>
        <w:rPr>
          <w:i/>
        </w:rPr>
        <w:t>Nature Reviews Microbiology</w:t>
      </w:r>
      <w:r>
        <w:t xml:space="preserve">, </w:t>
      </w:r>
      <w:r>
        <w:rPr>
          <w:i/>
        </w:rPr>
        <w:t>20</w:t>
      </w:r>
      <w:r>
        <w:t xml:space="preserve">(5), 257–269. </w:t>
      </w:r>
      <w:r>
        <w:rPr>
          <w:color w:val="0563C1"/>
          <w:u w:val="single"/>
        </w:rPr>
        <w:t>https://doi.org/10.1038/s41579-021-00649-x</w:t>
      </w:r>
    </w:p>
    <w:p w14:paraId="26753EDF" w14:textId="7A75D3EF" w:rsidR="006D5BA8" w:rsidRDefault="004C0246" w:rsidP="000D0281">
      <w:pPr>
        <w:pStyle w:val="Reference"/>
        <w:jc w:val="both"/>
      </w:pPr>
      <w:r>
        <w:t xml:space="preserve">Leitão, E. P. T. (2024). Comparison of traditional and mechanochemical production processes for nine active pharmaceutical ingredients (APIs). </w:t>
      </w:r>
      <w:r>
        <w:rPr>
          <w:i/>
        </w:rPr>
        <w:t>RSC Sustainability</w:t>
      </w:r>
      <w:r>
        <w:t xml:space="preserve">, </w:t>
      </w:r>
      <w:r>
        <w:rPr>
          <w:i/>
        </w:rPr>
        <w:t>2</w:t>
      </w:r>
      <w:r>
        <w:t xml:space="preserve">(12), 3655–3668. </w:t>
      </w:r>
      <w:r>
        <w:rPr>
          <w:color w:val="0563C1"/>
          <w:u w:val="single"/>
        </w:rPr>
        <w:t>https://doi.org/10.1039/D4SU00385C</w:t>
      </w:r>
    </w:p>
    <w:p w14:paraId="7AF9B305" w14:textId="24885111" w:rsidR="006D5BA8" w:rsidRDefault="004C0246" w:rsidP="000D0281">
      <w:pPr>
        <w:pStyle w:val="Reference"/>
        <w:jc w:val="both"/>
      </w:pPr>
      <w:r>
        <w:t xml:space="preserve">Loftus, M. J., Forrester, C., Shul, L. Y., Padgett, C., </w:t>
      </w:r>
      <w:proofErr w:type="spellStart"/>
      <w:r>
        <w:t>Cruda</w:t>
      </w:r>
      <w:proofErr w:type="spellEnd"/>
      <w:r>
        <w:t xml:space="preserve">, M. F., Macklin, B., Vandenberg, A., Leder, K., Dooley, M., &amp; McAlister, S. (2026). The carbon footprint of different medication packaging items at an Australian tertiary hospital. </w:t>
      </w:r>
      <w:r>
        <w:rPr>
          <w:i/>
        </w:rPr>
        <w:t>Journal of Pharmacy Practice and Research</w:t>
      </w:r>
      <w:r>
        <w:t xml:space="preserve">, </w:t>
      </w:r>
      <w:r>
        <w:rPr>
          <w:i/>
        </w:rPr>
        <w:t>56</w:t>
      </w:r>
      <w:r>
        <w:t xml:space="preserve">(2), 147–155. </w:t>
      </w:r>
      <w:r>
        <w:rPr>
          <w:color w:val="0563C1"/>
          <w:u w:val="single"/>
        </w:rPr>
        <w:t>https://doi.org/10.1002/jppr.70044</w:t>
      </w:r>
    </w:p>
    <w:p w14:paraId="5855C7FE" w14:textId="5EA3D148" w:rsidR="006D5BA8" w:rsidRDefault="004C0246" w:rsidP="000D0281">
      <w:pPr>
        <w:pStyle w:val="Reference"/>
        <w:jc w:val="both"/>
      </w:pPr>
      <w:r>
        <w:t xml:space="preserve">Monteith, E. R., </w:t>
      </w:r>
      <w:proofErr w:type="spellStart"/>
      <w:r>
        <w:t>Mampuys</w:t>
      </w:r>
      <w:proofErr w:type="spellEnd"/>
      <w:r>
        <w:t xml:space="preserve">, P., Summerton, L., Clark, J. H., Maes, B. U. W., &amp; McElroy, C. R. (2020). Why we might be misusing process mass intensity (PMI) and a methodology to apply it effectively as a discovery level metric. </w:t>
      </w:r>
      <w:r>
        <w:rPr>
          <w:i/>
        </w:rPr>
        <w:t>Green Chemistry</w:t>
      </w:r>
      <w:r>
        <w:t xml:space="preserve">, </w:t>
      </w:r>
      <w:r>
        <w:rPr>
          <w:i/>
        </w:rPr>
        <w:t>22</w:t>
      </w:r>
      <w:r>
        <w:t xml:space="preserve">, 123–135. </w:t>
      </w:r>
      <w:r>
        <w:rPr>
          <w:color w:val="0563C1"/>
          <w:u w:val="single"/>
        </w:rPr>
        <w:t>https://doi.org/10.1039/C9GC01537J</w:t>
      </w:r>
    </w:p>
    <w:p w14:paraId="6DE63ACE" w14:textId="21A4CD9C" w:rsidR="006D5BA8" w:rsidRDefault="004C0246" w:rsidP="000D0281">
      <w:pPr>
        <w:pStyle w:val="Reference"/>
        <w:jc w:val="both"/>
      </w:pPr>
      <w:r>
        <w:t xml:space="preserve">Nijsingh, N., Munthe, C., &amp; Larsson, D. G. J. (2019). Managing pollution from antibiotics manufacturing: Charting actors, incentives and disincentives. </w:t>
      </w:r>
      <w:r>
        <w:rPr>
          <w:i/>
        </w:rPr>
        <w:t>Environmental Health</w:t>
      </w:r>
      <w:r>
        <w:t xml:space="preserve">, </w:t>
      </w:r>
      <w:r>
        <w:rPr>
          <w:i/>
        </w:rPr>
        <w:t>18</w:t>
      </w:r>
      <w:r>
        <w:t xml:space="preserve">, 95. </w:t>
      </w:r>
      <w:r>
        <w:rPr>
          <w:color w:val="0563C1"/>
          <w:u w:val="single"/>
        </w:rPr>
        <w:t>https://doi.org/10.1186/s12940-019-0531-1</w:t>
      </w:r>
    </w:p>
    <w:p w14:paraId="346AE161" w14:textId="5742333C" w:rsidR="006D5BA8" w:rsidRDefault="004C0246" w:rsidP="000D0281">
      <w:pPr>
        <w:pStyle w:val="Reference"/>
        <w:jc w:val="both"/>
      </w:pPr>
      <w:r>
        <w:t xml:space="preserve">O’Connell, A., Barry, A., Burke, A. J., Hutton, A. E., Bell, E. L., Green, A. P., &amp; O’Reilly, E. (2024). Biocatalysis: Landmark discoveries and applications in chemical synthesis. </w:t>
      </w:r>
      <w:r>
        <w:rPr>
          <w:i/>
        </w:rPr>
        <w:t>Chemical Society Reviews</w:t>
      </w:r>
      <w:r>
        <w:t xml:space="preserve">, </w:t>
      </w:r>
      <w:r>
        <w:rPr>
          <w:i/>
        </w:rPr>
        <w:t>53</w:t>
      </w:r>
      <w:r>
        <w:t xml:space="preserve">(6), 2828–2850. </w:t>
      </w:r>
      <w:r>
        <w:rPr>
          <w:color w:val="0563C1"/>
          <w:u w:val="single"/>
        </w:rPr>
        <w:t>https://doi.org/10.1039/D3CS00689A</w:t>
      </w:r>
    </w:p>
    <w:p w14:paraId="0355197D" w14:textId="15CE8F36" w:rsidR="006D5BA8" w:rsidRDefault="004C0246" w:rsidP="000D0281">
      <w:pPr>
        <w:pStyle w:val="Reference"/>
        <w:jc w:val="both"/>
      </w:pPr>
      <w:r>
        <w:lastRenderedPageBreak/>
        <w:t>Osorio-Tejada, J., Ferlin, F., Vaccaro, L., &amp; Hessel, V. (2022). Life cycle assessment of multistep benzoxazole synthesis: From batch to waste-</w:t>
      </w:r>
      <w:proofErr w:type="spellStart"/>
      <w:r>
        <w:t>minimised</w:t>
      </w:r>
      <w:proofErr w:type="spellEnd"/>
      <w:r>
        <w:t xml:space="preserve"> continuous flow systems. </w:t>
      </w:r>
      <w:r>
        <w:rPr>
          <w:i/>
        </w:rPr>
        <w:t>Green Chemistry</w:t>
      </w:r>
      <w:r>
        <w:t xml:space="preserve">, </w:t>
      </w:r>
      <w:r>
        <w:rPr>
          <w:i/>
        </w:rPr>
        <w:t>24</w:t>
      </w:r>
      <w:r>
        <w:t xml:space="preserve">, 325–337. </w:t>
      </w:r>
      <w:r>
        <w:rPr>
          <w:color w:val="0563C1"/>
          <w:u w:val="single"/>
        </w:rPr>
        <w:t>https://doi.org/10.1039/D1GC03202J</w:t>
      </w:r>
    </w:p>
    <w:p w14:paraId="72BF7C51" w14:textId="32ABF49B" w:rsidR="006D5BA8" w:rsidRDefault="004C0246" w:rsidP="000D0281">
      <w:pPr>
        <w:pStyle w:val="Reference"/>
        <w:jc w:val="both"/>
      </w:pPr>
      <w:r>
        <w:t xml:space="preserve">Prat, D., Wells, A., Hayler, J., Sneddon, H., McElroy, C. R., Abou-Shehada, S., &amp; Dunn, P. J. (2016). CHEM21 selection guide of classical- and less classical-solvents. </w:t>
      </w:r>
      <w:r>
        <w:rPr>
          <w:i/>
        </w:rPr>
        <w:t>Green Chemistry</w:t>
      </w:r>
      <w:r>
        <w:t xml:space="preserve">, </w:t>
      </w:r>
      <w:r>
        <w:rPr>
          <w:i/>
        </w:rPr>
        <w:t>18</w:t>
      </w:r>
      <w:r>
        <w:t xml:space="preserve">(1), 288–296. </w:t>
      </w:r>
      <w:r>
        <w:rPr>
          <w:color w:val="0563C1"/>
          <w:u w:val="single"/>
        </w:rPr>
        <w:t>https://doi.org/10.1039/C5GC01008J</w:t>
      </w:r>
    </w:p>
    <w:p w14:paraId="37111A34" w14:textId="6BC47BC4" w:rsidR="006D5BA8" w:rsidRDefault="004C0246" w:rsidP="000D0281">
      <w:pPr>
        <w:pStyle w:val="Reference"/>
        <w:jc w:val="both"/>
      </w:pPr>
      <w:r>
        <w:t xml:space="preserve">Puhlmann, N., Vidaurre, R., &amp; </w:t>
      </w:r>
      <w:proofErr w:type="spellStart"/>
      <w:r>
        <w:t>Kümmerer</w:t>
      </w:r>
      <w:proofErr w:type="spellEnd"/>
      <w:r>
        <w:t xml:space="preserve">, K. (2024). Designing greener active pharmaceutical ingredients: Insights from pharmaceutical industry into drug discovery and development. </w:t>
      </w:r>
      <w:r>
        <w:rPr>
          <w:i/>
        </w:rPr>
        <w:t>European Journal of Pharmaceutical Sciences</w:t>
      </w:r>
      <w:r>
        <w:t xml:space="preserve">, </w:t>
      </w:r>
      <w:r>
        <w:rPr>
          <w:i/>
        </w:rPr>
        <w:t>192</w:t>
      </w:r>
      <w:r>
        <w:t xml:space="preserve">, 106614. </w:t>
      </w:r>
      <w:r>
        <w:rPr>
          <w:color w:val="0563C1"/>
          <w:u w:val="single"/>
        </w:rPr>
        <w:t>https://doi.org/10.1016/j.ejps.2023.106614</w:t>
      </w:r>
    </w:p>
    <w:p w14:paraId="26270127" w14:textId="0B8FC328" w:rsidR="006D5BA8" w:rsidRDefault="004C0246" w:rsidP="000D0281">
      <w:pPr>
        <w:pStyle w:val="Reference"/>
        <w:jc w:val="both"/>
      </w:pPr>
      <w:r>
        <w:t xml:space="preserve">Raju, G., Sarkar, P., Singla, E., Singh, H., &amp; Sharma, R. K. (2016). Comparison of environmental sustainability of pharmaceutical packaging. </w:t>
      </w:r>
      <w:r>
        <w:rPr>
          <w:i/>
        </w:rPr>
        <w:t>Perspectives in Science</w:t>
      </w:r>
      <w:r>
        <w:t xml:space="preserve">, </w:t>
      </w:r>
      <w:r>
        <w:rPr>
          <w:i/>
        </w:rPr>
        <w:t>8</w:t>
      </w:r>
      <w:r>
        <w:t xml:space="preserve">, 683–685. </w:t>
      </w:r>
      <w:r>
        <w:rPr>
          <w:color w:val="0563C1"/>
          <w:u w:val="single"/>
        </w:rPr>
        <w:t>https://doi.org/10.1016/j.pisc.2016.06.058</w:t>
      </w:r>
    </w:p>
    <w:p w14:paraId="4163FADA" w14:textId="12F45C66" w:rsidR="006D5BA8" w:rsidRDefault="004C0246" w:rsidP="000D0281">
      <w:pPr>
        <w:pStyle w:val="Reference"/>
        <w:jc w:val="both"/>
      </w:pPr>
      <w:r>
        <w:t xml:space="preserve">Reynes, J. F., </w:t>
      </w:r>
      <w:proofErr w:type="spellStart"/>
      <w:r>
        <w:t>Isoni</w:t>
      </w:r>
      <w:proofErr w:type="spellEnd"/>
      <w:r>
        <w:t xml:space="preserve">, V., &amp; García, F. (2023). Tinkering with mechanochemical tools for scale up. </w:t>
      </w:r>
      <w:proofErr w:type="spellStart"/>
      <w:r>
        <w:rPr>
          <w:i/>
        </w:rPr>
        <w:t>Angewandte</w:t>
      </w:r>
      <w:proofErr w:type="spellEnd"/>
      <w:r>
        <w:rPr>
          <w:i/>
        </w:rPr>
        <w:t xml:space="preserve"> Chemie International Edition</w:t>
      </w:r>
      <w:r>
        <w:t xml:space="preserve">, </w:t>
      </w:r>
      <w:r>
        <w:rPr>
          <w:i/>
        </w:rPr>
        <w:t>62</w:t>
      </w:r>
      <w:r>
        <w:t xml:space="preserve">, e202300819. </w:t>
      </w:r>
      <w:r>
        <w:rPr>
          <w:color w:val="0563C1"/>
          <w:u w:val="single"/>
        </w:rPr>
        <w:t>https://doi.org/10.1002/anie.202300819</w:t>
      </w:r>
    </w:p>
    <w:p w14:paraId="339B5430" w14:textId="121192E6" w:rsidR="006D5BA8" w:rsidRDefault="004C0246" w:rsidP="000D0281">
      <w:pPr>
        <w:pStyle w:val="Reference"/>
        <w:jc w:val="both"/>
      </w:pPr>
      <w:r>
        <w:t xml:space="preserve">Rogers, L., &amp; Jensen, K. F. (2019). Continuous manufacturing—The green chemistry promise? </w:t>
      </w:r>
      <w:r>
        <w:rPr>
          <w:i/>
        </w:rPr>
        <w:t>Green Chemistry</w:t>
      </w:r>
      <w:r>
        <w:t xml:space="preserve">, </w:t>
      </w:r>
      <w:r>
        <w:rPr>
          <w:i/>
        </w:rPr>
        <w:t>21</w:t>
      </w:r>
      <w:r>
        <w:t xml:space="preserve">(13), 3481–3498. </w:t>
      </w:r>
      <w:r>
        <w:rPr>
          <w:color w:val="0563C1"/>
          <w:u w:val="single"/>
        </w:rPr>
        <w:t>https://doi.org/10.1039/C9GC00773C</w:t>
      </w:r>
    </w:p>
    <w:p w14:paraId="68F98ADB" w14:textId="0266B1F5" w:rsidR="006D5BA8" w:rsidRDefault="004C0246" w:rsidP="000D0281">
      <w:pPr>
        <w:pStyle w:val="Reference"/>
        <w:jc w:val="both"/>
      </w:pPr>
      <w:proofErr w:type="spellStart"/>
      <w:r>
        <w:t>Roschangar</w:t>
      </w:r>
      <w:proofErr w:type="spellEnd"/>
      <w:r>
        <w:t xml:space="preserve">, F., Colberg, J., Dunn, P. J., Gallou, F., Hayler, J. D., Koenig, S. G., Kopach, M. E., Leahy, D. K., </w:t>
      </w:r>
      <w:proofErr w:type="spellStart"/>
      <w:r>
        <w:t>Mergelsberg</w:t>
      </w:r>
      <w:proofErr w:type="spellEnd"/>
      <w:r>
        <w:t xml:space="preserve">, I., Tucker, J. L., Sheldon, R. A., &amp; Senanayake, C. H. (2017). A deeper shade of green: Inspiring sustainable drug manufacturing. </w:t>
      </w:r>
      <w:r>
        <w:rPr>
          <w:i/>
        </w:rPr>
        <w:t>Green Chemistry</w:t>
      </w:r>
      <w:r>
        <w:t xml:space="preserve">, </w:t>
      </w:r>
      <w:r>
        <w:rPr>
          <w:i/>
        </w:rPr>
        <w:t>19</w:t>
      </w:r>
      <w:r>
        <w:t xml:space="preserve">(1), 281–285. </w:t>
      </w:r>
      <w:r>
        <w:rPr>
          <w:color w:val="0563C1"/>
          <w:u w:val="single"/>
        </w:rPr>
        <w:t>https://doi.org/10.1039/C6GC02901A</w:t>
      </w:r>
    </w:p>
    <w:p w14:paraId="4850D018" w14:textId="08CA0AFC" w:rsidR="006D5BA8" w:rsidRDefault="004C0246" w:rsidP="000D0281">
      <w:pPr>
        <w:pStyle w:val="Reference"/>
        <w:jc w:val="both"/>
      </w:pPr>
      <w:r>
        <w:t xml:space="preserve">Sheldon, R. A. (2023). The E factor at 30: A passion for pollution prevention. </w:t>
      </w:r>
      <w:r>
        <w:rPr>
          <w:i/>
        </w:rPr>
        <w:t>Green Chemistry</w:t>
      </w:r>
      <w:r>
        <w:t xml:space="preserve">, </w:t>
      </w:r>
      <w:r>
        <w:rPr>
          <w:i/>
        </w:rPr>
        <w:t>25</w:t>
      </w:r>
      <w:r>
        <w:t xml:space="preserve">, 1704–1728. </w:t>
      </w:r>
      <w:r>
        <w:rPr>
          <w:color w:val="0563C1"/>
          <w:u w:val="single"/>
        </w:rPr>
        <w:t>https://doi.org/10.1039/D2GC04747K</w:t>
      </w:r>
    </w:p>
    <w:p w14:paraId="5F4C0F12" w14:textId="4731156B" w:rsidR="006D5BA8" w:rsidRDefault="004C0246" w:rsidP="000D0281">
      <w:pPr>
        <w:pStyle w:val="Reference"/>
        <w:jc w:val="both"/>
      </w:pPr>
      <w:r>
        <w:t xml:space="preserve">Topp, E., Larsson, D. G. J., Miller, D. N., Van den </w:t>
      </w:r>
      <w:proofErr w:type="spellStart"/>
      <w:r>
        <w:t>Eede</w:t>
      </w:r>
      <w:proofErr w:type="spellEnd"/>
      <w:r>
        <w:t xml:space="preserve">, C., &amp; Virta, M. P. J. (2018). Antimicrobial resistance and the environment: Assessment of advances, gaps and recommendations for agriculture, aquaculture and pharmaceutical manufacturing. </w:t>
      </w:r>
      <w:r>
        <w:rPr>
          <w:i/>
        </w:rPr>
        <w:t>FEMS Microbiology Ecology</w:t>
      </w:r>
      <w:r>
        <w:t xml:space="preserve">, </w:t>
      </w:r>
      <w:r>
        <w:rPr>
          <w:i/>
        </w:rPr>
        <w:t>94</w:t>
      </w:r>
      <w:r>
        <w:t xml:space="preserve">(3), fix185. </w:t>
      </w:r>
      <w:r>
        <w:rPr>
          <w:color w:val="0563C1"/>
          <w:u w:val="single"/>
        </w:rPr>
        <w:t>https://doi.org/10.1093/femsec/fix185</w:t>
      </w:r>
    </w:p>
    <w:p w14:paraId="03EB0407" w14:textId="4D3ADD9A" w:rsidR="006D5BA8" w:rsidRDefault="004C0246" w:rsidP="000D0281">
      <w:pPr>
        <w:pStyle w:val="Reference"/>
        <w:jc w:val="both"/>
      </w:pPr>
      <w:r>
        <w:t xml:space="preserve">Vidaurre, R., </w:t>
      </w:r>
      <w:proofErr w:type="spellStart"/>
      <w:r>
        <w:t>Bramke</w:t>
      </w:r>
      <w:proofErr w:type="spellEnd"/>
      <w:r>
        <w:t xml:space="preserve">, I., </w:t>
      </w:r>
      <w:proofErr w:type="spellStart"/>
      <w:r>
        <w:t>Puhlmann</w:t>
      </w:r>
      <w:proofErr w:type="spellEnd"/>
      <w:r>
        <w:t xml:space="preserve">, N., Owen, S. F., Angst, D., Moermond, C., </w:t>
      </w:r>
      <w:proofErr w:type="spellStart"/>
      <w:r>
        <w:t>Venhuis</w:t>
      </w:r>
      <w:proofErr w:type="spellEnd"/>
      <w:r>
        <w:t xml:space="preserve">, B., Lombardo, A., </w:t>
      </w:r>
      <w:proofErr w:type="spellStart"/>
      <w:r>
        <w:t>Kümmerer</w:t>
      </w:r>
      <w:proofErr w:type="spellEnd"/>
      <w:r>
        <w:t xml:space="preserve">, K., </w:t>
      </w:r>
      <w:proofErr w:type="spellStart"/>
      <w:r>
        <w:t>Sikanen</w:t>
      </w:r>
      <w:proofErr w:type="spellEnd"/>
      <w:r>
        <w:t xml:space="preserve">, T., Ryan, J., Häner, A., Janer, G., Roggo, S., &amp; Nimrod Perkins, A. (2024). Design of greener drugs: Aligning parameters in pharmaceutical R&amp;D and drivers for environmental impact. </w:t>
      </w:r>
      <w:r>
        <w:rPr>
          <w:i/>
        </w:rPr>
        <w:t>Drug Discovery Today</w:t>
      </w:r>
      <w:r>
        <w:t xml:space="preserve">, </w:t>
      </w:r>
      <w:r>
        <w:rPr>
          <w:i/>
        </w:rPr>
        <w:t>29</w:t>
      </w:r>
      <w:r>
        <w:t xml:space="preserve">(7), 104022. </w:t>
      </w:r>
      <w:r>
        <w:rPr>
          <w:color w:val="0563C1"/>
          <w:u w:val="single"/>
        </w:rPr>
        <w:t>https://doi.org/10.1016/j.drudis.2024.104022</w:t>
      </w:r>
    </w:p>
    <w:p w14:paraId="6A0635E4" w14:textId="5AB98A7C" w:rsidR="006D5BA8" w:rsidRDefault="004C0246" w:rsidP="000D0281">
      <w:pPr>
        <w:pStyle w:val="Reference"/>
        <w:jc w:val="both"/>
      </w:pPr>
      <w:r>
        <w:t xml:space="preserve">Wang, L. S., Aziz, Z., Wang, E. S., &amp; Chik, Z. (2024). Unused medicine take-back </w:t>
      </w:r>
      <w:proofErr w:type="spellStart"/>
      <w:r>
        <w:t>programmes</w:t>
      </w:r>
      <w:proofErr w:type="spellEnd"/>
      <w:r>
        <w:t xml:space="preserve">: A systematic review. </w:t>
      </w:r>
      <w:r>
        <w:rPr>
          <w:i/>
        </w:rPr>
        <w:t>Journal of Pharmaceutical Policy and Practice</w:t>
      </w:r>
      <w:r>
        <w:t xml:space="preserve">, </w:t>
      </w:r>
      <w:r>
        <w:rPr>
          <w:i/>
        </w:rPr>
        <w:t>17</w:t>
      </w:r>
      <w:r>
        <w:t xml:space="preserve">(1), 2395535. </w:t>
      </w:r>
      <w:r>
        <w:rPr>
          <w:color w:val="0563C1"/>
          <w:u w:val="single"/>
        </w:rPr>
        <w:t>https://doi.org/10.1080/20523211.2024.2395535</w:t>
      </w:r>
    </w:p>
    <w:p w14:paraId="0B4E5242" w14:textId="5284DF37" w:rsidR="006D5BA8" w:rsidRDefault="004C0246" w:rsidP="000D0281">
      <w:pPr>
        <w:pStyle w:val="Reference"/>
        <w:jc w:val="both"/>
      </w:pPr>
      <w:r>
        <w:t xml:space="preserve">World Health Organization. (2024). </w:t>
      </w:r>
      <w:r>
        <w:rPr>
          <w:i/>
        </w:rPr>
        <w:t>Guidance on wastewater and solid waste management for manufacturing of antibiotics.</w:t>
      </w:r>
      <w:r>
        <w:t xml:space="preserve"> </w:t>
      </w:r>
      <w:r>
        <w:rPr>
          <w:color w:val="0563C1"/>
          <w:u w:val="single"/>
        </w:rPr>
        <w:t>https://www.who.int/publications/i/item/9789240097254</w:t>
      </w:r>
    </w:p>
    <w:sectPr w:rsidR="006D5BA8" w:rsidSect="00034616">
      <w:headerReference w:type="even" r:id="rId8"/>
      <w:headerReference w:type="default" r:id="rId9"/>
      <w:footerReference w:type="even" r:id="rId10"/>
      <w:footerReference w:type="default" r:id="rId11"/>
      <w:headerReference w:type="first" r:id="rId12"/>
      <w:footerReference w:type="first" r:id="rId13"/>
      <w:pgSz w:w="12240" w:h="15840"/>
      <w:pgMar w:top="1080" w:right="1181" w:bottom="1080"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29C74" w14:textId="77777777" w:rsidR="004877E4" w:rsidRDefault="004877E4">
      <w:pPr>
        <w:spacing w:after="0" w:line="240" w:lineRule="auto"/>
      </w:pPr>
      <w:r>
        <w:separator/>
      </w:r>
    </w:p>
  </w:endnote>
  <w:endnote w:type="continuationSeparator" w:id="0">
    <w:p w14:paraId="31A5B60D" w14:textId="77777777" w:rsidR="004877E4" w:rsidRDefault="00487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27C9" w14:textId="77777777" w:rsidR="001A7FEA" w:rsidRDefault="001A7F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99828" w14:textId="77777777" w:rsidR="006D5BA8" w:rsidRDefault="004C0246">
    <w:pPr>
      <w:pStyle w:val="Footer"/>
      <w:jc w:val="center"/>
    </w:pPr>
    <w:r>
      <w:rPr>
        <w:color w:val="646464"/>
        <w:sz w:val="17"/>
      </w:rPr>
      <w:t xml:space="preserve">Page </w:t>
    </w:r>
    <w:r>
      <w:rPr>
        <w:color w:val="646464"/>
        <w:sz w:val="17"/>
      </w:rPr>
      <w:fldChar w:fldCharType="begin"/>
    </w:r>
    <w:r>
      <w:rPr>
        <w:color w:val="646464"/>
        <w:sz w:val="17"/>
      </w:rPr>
      <w:instrText>PAGE</w:instrText>
    </w:r>
    <w:r>
      <w:rPr>
        <w:color w:val="646464"/>
        <w:sz w:val="17"/>
      </w:rPr>
      <w:fldChar w:fldCharType="separate"/>
    </w:r>
    <w:r w:rsidR="00BD2812">
      <w:rPr>
        <w:noProof/>
        <w:color w:val="646464"/>
        <w:sz w:val="17"/>
      </w:rPr>
      <w:t>1</w:t>
    </w:r>
    <w:r>
      <w:rPr>
        <w:color w:val="646464"/>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055F" w14:textId="77777777" w:rsidR="001A7FEA" w:rsidRDefault="001A7F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3C36" w14:textId="77777777" w:rsidR="004877E4" w:rsidRDefault="004877E4">
      <w:pPr>
        <w:spacing w:after="0" w:line="240" w:lineRule="auto"/>
      </w:pPr>
      <w:r>
        <w:separator/>
      </w:r>
    </w:p>
  </w:footnote>
  <w:footnote w:type="continuationSeparator" w:id="0">
    <w:p w14:paraId="3299FCDB" w14:textId="77777777" w:rsidR="004877E4" w:rsidRDefault="00487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0EF84" w14:textId="1869260A" w:rsidR="001A7FEA" w:rsidRDefault="001A7FEA">
    <w:pPr>
      <w:pStyle w:val="Header"/>
    </w:pPr>
    <w:r>
      <w:rPr>
        <w:noProof/>
      </w:rPr>
      <w:pict w14:anchorId="1B048B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0159891" o:spid="_x0000_s1026" type="#_x0000_t136" style="position:absolute;margin-left:0;margin-top:0;width:586.4pt;height:109.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01B03" w14:textId="7D100F04" w:rsidR="001A7FEA" w:rsidRDefault="001A7FEA">
    <w:pPr>
      <w:pStyle w:val="Header"/>
    </w:pPr>
    <w:r>
      <w:rPr>
        <w:noProof/>
      </w:rPr>
      <w:pict w14:anchorId="24416D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0159892" o:spid="_x0000_s1027" type="#_x0000_t136" style="position:absolute;margin-left:0;margin-top:0;width:586.4pt;height:109.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7C826" w14:textId="17BDDAF1" w:rsidR="001A7FEA" w:rsidRDefault="001A7FEA">
    <w:pPr>
      <w:pStyle w:val="Header"/>
    </w:pPr>
    <w:r>
      <w:rPr>
        <w:noProof/>
      </w:rPr>
      <w:pict w14:anchorId="4736AD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0159890" o:spid="_x0000_s1025" type="#_x0000_t136" style="position:absolute;margin-left:0;margin-top:0;width:586.4pt;height:109.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6642049">
    <w:abstractNumId w:val="8"/>
  </w:num>
  <w:num w:numId="2" w16cid:durableId="1325663858">
    <w:abstractNumId w:val="6"/>
  </w:num>
  <w:num w:numId="3" w16cid:durableId="997347123">
    <w:abstractNumId w:val="5"/>
  </w:num>
  <w:num w:numId="4" w16cid:durableId="1873574738">
    <w:abstractNumId w:val="4"/>
  </w:num>
  <w:num w:numId="5" w16cid:durableId="2018271013">
    <w:abstractNumId w:val="7"/>
  </w:num>
  <w:num w:numId="6" w16cid:durableId="469329239">
    <w:abstractNumId w:val="3"/>
  </w:num>
  <w:num w:numId="7" w16cid:durableId="1908375274">
    <w:abstractNumId w:val="2"/>
  </w:num>
  <w:num w:numId="8" w16cid:durableId="975912948">
    <w:abstractNumId w:val="1"/>
  </w:num>
  <w:num w:numId="9" w16cid:durableId="2076007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0281"/>
    <w:rsid w:val="0015074B"/>
    <w:rsid w:val="001958E3"/>
    <w:rsid w:val="001A7FEA"/>
    <w:rsid w:val="0029639D"/>
    <w:rsid w:val="00326F90"/>
    <w:rsid w:val="00457B45"/>
    <w:rsid w:val="004877E4"/>
    <w:rsid w:val="004C0246"/>
    <w:rsid w:val="006C4A25"/>
    <w:rsid w:val="006D5BA8"/>
    <w:rsid w:val="00AA1D8D"/>
    <w:rsid w:val="00B47730"/>
    <w:rsid w:val="00BD2812"/>
    <w:rsid w:val="00C5641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2C5192"/>
  <w14:defaultImageDpi w14:val="300"/>
  <w15:docId w15:val="{F7575F09-C992-4FC5-9603-86B07B50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F4E3D"/>
      <w:sz w:val="26"/>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b/>
      <w:bCs/>
      <w:color w:val="355E49"/>
      <w:sz w:val="23"/>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b/>
      <w:bCs/>
      <w:color w:val="46464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20" w:after="80" w:line="240" w:lineRule="auto"/>
      <w:contextualSpacing/>
    </w:pPr>
    <w:rPr>
      <w:rFonts w:asciiTheme="majorHAnsi" w:eastAsiaTheme="majorEastAsia" w:hAnsiTheme="majorHAnsi" w:cstheme="majorBidi"/>
      <w:b/>
      <w:color w:val="1F4E3D"/>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30" w:line="240" w:lineRule="auto"/>
    </w:pPr>
    <w:rPr>
      <w:rFonts w:ascii="Aptos" w:eastAsia="Aptos" w:hAnsi="Aptos"/>
      <w:sz w:val="16"/>
    </w:rPr>
  </w:style>
  <w:style w:type="paragraph" w:customStyle="1" w:styleId="Reference">
    <w:name w:val="Reference"/>
    <w:pPr>
      <w:spacing w:after="60" w:line="245" w:lineRule="auto"/>
      <w:ind w:left="389" w:hanging="389"/>
    </w:pPr>
    <w:rPr>
      <w:rFonts w:ascii="Aptos" w:eastAsia="Aptos" w:hAnsi="Apto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7B0ED-AFFE-45B6-B9AD-105E124B7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21</Pages>
  <Words>13468</Words>
  <Characters>76774</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Pharmaceutical Manufacturing and Packaging from Design to Disposal</dc:title>
  <dc:subject>Critical narrative review</dc:subject>
  <dc:creator/>
  <cp:keywords>pharmaceutical manufacturing; sustainable packaging; green chemistry; life cycle assessment; disposal</cp:keywords>
  <dc:description>generated by python-docx</dc:description>
  <cp:lastModifiedBy>SDI 1166</cp:lastModifiedBy>
  <cp:revision>6</cp:revision>
  <dcterms:created xsi:type="dcterms:W3CDTF">2013-12-23T23:15:00Z</dcterms:created>
  <dcterms:modified xsi:type="dcterms:W3CDTF">2026-08-08T12:03:00Z</dcterms:modified>
  <cp:category/>
</cp:coreProperties>
</file>